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2B4B" w14:textId="6C672AA3" w:rsidR="007B043F" w:rsidRPr="007C3EC5" w:rsidRDefault="006E72A8" w:rsidP="005D0DA3">
      <w:pPr>
        <w:tabs>
          <w:tab w:val="left" w:pos="8010"/>
        </w:tabs>
        <w:rPr>
          <w:sz w:val="48"/>
          <w:lang w:val="en-US"/>
        </w:rPr>
      </w:pPr>
      <w:r>
        <w:rPr>
          <w:noProof/>
          <w:sz w:val="48"/>
          <w:lang w:val="en-US"/>
        </w:rPr>
        <w:tab/>
      </w:r>
      <w:r>
        <w:rPr>
          <w:noProof/>
          <w:sz w:val="48"/>
          <w:lang w:val="en-US"/>
        </w:rPr>
        <w:tab/>
      </w:r>
      <w:r>
        <w:rPr>
          <w:noProof/>
          <w:sz w:val="48"/>
          <w:lang w:val="en-US"/>
        </w:rPr>
        <w:drawing>
          <wp:inline distT="0" distB="0" distL="0" distR="0" wp14:anchorId="4CDBB197" wp14:editId="4F8DD5A3">
            <wp:extent cx="711200" cy="1277620"/>
            <wp:effectExtent l="0" t="0" r="0" b="0"/>
            <wp:docPr id="794289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200" cy="1277620"/>
                    </a:xfrm>
                    <a:prstGeom prst="rect">
                      <a:avLst/>
                    </a:prstGeom>
                    <a:noFill/>
                  </pic:spPr>
                </pic:pic>
              </a:graphicData>
            </a:graphic>
          </wp:inline>
        </w:drawing>
      </w:r>
    </w:p>
    <w:p w14:paraId="2307BDBB" w14:textId="77777777" w:rsidR="007B043F" w:rsidRPr="007C3EC5" w:rsidRDefault="007B043F" w:rsidP="00DD0528">
      <w:pPr>
        <w:rPr>
          <w:lang w:val="en-US"/>
        </w:rPr>
      </w:pPr>
    </w:p>
    <w:p w14:paraId="7B066E78" w14:textId="4E6654B8" w:rsidR="007B043F" w:rsidRDefault="007B043F" w:rsidP="00DD0528">
      <w:pPr>
        <w:rPr>
          <w:sz w:val="32"/>
          <w:szCs w:val="32"/>
          <w:lang w:val="en-US"/>
        </w:rPr>
      </w:pPr>
    </w:p>
    <w:p w14:paraId="46CD018B" w14:textId="41C0FE26" w:rsidR="007C3EC5" w:rsidRDefault="007C3EC5" w:rsidP="00DD0528">
      <w:pPr>
        <w:rPr>
          <w:sz w:val="32"/>
          <w:szCs w:val="32"/>
          <w:lang w:val="en-US"/>
        </w:rPr>
      </w:pPr>
    </w:p>
    <w:p w14:paraId="458C9C17" w14:textId="77777777" w:rsidR="007C3EC5" w:rsidRPr="007C3EC5" w:rsidRDefault="007C3EC5" w:rsidP="00DD0528">
      <w:pPr>
        <w:rPr>
          <w:sz w:val="32"/>
          <w:szCs w:val="32"/>
          <w:lang w:val="en-US"/>
        </w:rPr>
      </w:pPr>
    </w:p>
    <w:p w14:paraId="40C8F2FF" w14:textId="77777777" w:rsidR="004A0507" w:rsidRPr="007C3EC5" w:rsidRDefault="004A0507" w:rsidP="00DD0528">
      <w:pPr>
        <w:rPr>
          <w:sz w:val="32"/>
          <w:szCs w:val="32"/>
          <w:lang w:val="en-US"/>
        </w:rPr>
      </w:pPr>
    </w:p>
    <w:p w14:paraId="0AFDE18A" w14:textId="77777777" w:rsidR="008E73E5" w:rsidRPr="00035AA6" w:rsidRDefault="005B7944" w:rsidP="00025060">
      <w:pPr>
        <w:jc w:val="center"/>
        <w:rPr>
          <w:b/>
          <w:bCs/>
          <w:sz w:val="32"/>
          <w:szCs w:val="32"/>
          <w:lang w:val="en-US"/>
        </w:rPr>
      </w:pPr>
      <w:bookmarkStart w:id="0" w:name="_Hlk155522857"/>
      <w:r w:rsidRPr="00035AA6">
        <w:rPr>
          <w:b/>
          <w:bCs/>
          <w:sz w:val="32"/>
          <w:szCs w:val="32"/>
          <w:lang w:val="en-US"/>
        </w:rPr>
        <w:t xml:space="preserve">FINAL </w:t>
      </w:r>
      <w:r w:rsidR="00977D61" w:rsidRPr="00035AA6">
        <w:rPr>
          <w:b/>
          <w:bCs/>
          <w:sz w:val="32"/>
          <w:szCs w:val="32"/>
          <w:lang w:val="en-US"/>
        </w:rPr>
        <w:t xml:space="preserve">EVALUATION OF </w:t>
      </w:r>
      <w:r w:rsidR="00393CEA" w:rsidRPr="00035AA6">
        <w:rPr>
          <w:b/>
          <w:bCs/>
          <w:sz w:val="32"/>
          <w:szCs w:val="32"/>
          <w:lang w:val="en-US"/>
        </w:rPr>
        <w:t xml:space="preserve">THE </w:t>
      </w:r>
      <w:r w:rsidR="00556530" w:rsidRPr="00035AA6">
        <w:rPr>
          <w:b/>
          <w:bCs/>
          <w:sz w:val="32"/>
          <w:szCs w:val="32"/>
          <w:lang w:val="en-US"/>
        </w:rPr>
        <w:t xml:space="preserve">UNDP GEORGIA </w:t>
      </w:r>
      <w:r w:rsidR="004D6414" w:rsidRPr="00035AA6">
        <w:rPr>
          <w:b/>
          <w:bCs/>
          <w:sz w:val="32"/>
          <w:szCs w:val="32"/>
          <w:lang w:val="en-US"/>
        </w:rPr>
        <w:t xml:space="preserve">PROJECT: </w:t>
      </w:r>
    </w:p>
    <w:p w14:paraId="5D395485" w14:textId="77777777" w:rsidR="008E73E5" w:rsidRPr="00035AA6" w:rsidRDefault="008E73E5" w:rsidP="00025060">
      <w:pPr>
        <w:jc w:val="center"/>
        <w:rPr>
          <w:b/>
          <w:bCs/>
          <w:sz w:val="32"/>
          <w:szCs w:val="32"/>
          <w:lang w:val="en-US"/>
        </w:rPr>
      </w:pPr>
    </w:p>
    <w:p w14:paraId="781EEEC9" w14:textId="48C2335D" w:rsidR="007B043F" w:rsidRPr="00035AA6" w:rsidRDefault="004D6414" w:rsidP="00025060">
      <w:pPr>
        <w:jc w:val="center"/>
        <w:rPr>
          <w:b/>
          <w:bCs/>
          <w:sz w:val="32"/>
          <w:szCs w:val="32"/>
          <w:lang w:val="en-US"/>
        </w:rPr>
      </w:pPr>
      <w:r w:rsidRPr="00035AA6">
        <w:rPr>
          <w:b/>
          <w:bCs/>
          <w:sz w:val="32"/>
          <w:szCs w:val="32"/>
          <w:lang w:val="en-US"/>
        </w:rPr>
        <w:t>“</w:t>
      </w:r>
      <w:r w:rsidR="005B7944" w:rsidRPr="00035AA6">
        <w:rPr>
          <w:b/>
          <w:bCs/>
          <w:sz w:val="32"/>
          <w:szCs w:val="32"/>
          <w:lang w:val="en-US"/>
        </w:rPr>
        <w:t xml:space="preserve">CREATING BETTER LIFE-LONG LEARNING OPPORTUNITIES THROUGH LOCAL PARTNERSHIPS </w:t>
      </w:r>
      <w:r w:rsidR="00015D5E" w:rsidRPr="00035AA6">
        <w:rPr>
          <w:b/>
          <w:bCs/>
          <w:sz w:val="32"/>
          <w:szCs w:val="32"/>
          <w:lang w:val="en-US"/>
        </w:rPr>
        <w:t>(</w:t>
      </w:r>
      <w:r w:rsidR="005B7944" w:rsidRPr="00035AA6">
        <w:rPr>
          <w:b/>
          <w:bCs/>
          <w:sz w:val="32"/>
          <w:szCs w:val="32"/>
          <w:lang w:val="en-US"/>
        </w:rPr>
        <w:t>17 Sep</w:t>
      </w:r>
      <w:r w:rsidR="00403E92" w:rsidRPr="00035AA6">
        <w:rPr>
          <w:b/>
          <w:bCs/>
          <w:sz w:val="32"/>
          <w:szCs w:val="32"/>
          <w:lang w:val="en-US"/>
        </w:rPr>
        <w:t>.</w:t>
      </w:r>
      <w:r w:rsidR="005B7944" w:rsidRPr="00035AA6">
        <w:rPr>
          <w:b/>
          <w:bCs/>
          <w:sz w:val="32"/>
          <w:szCs w:val="32"/>
          <w:lang w:val="en-US"/>
        </w:rPr>
        <w:t xml:space="preserve"> 2020 – 17 Dec</w:t>
      </w:r>
      <w:r w:rsidR="00403E92" w:rsidRPr="00035AA6">
        <w:rPr>
          <w:b/>
          <w:bCs/>
          <w:sz w:val="32"/>
          <w:szCs w:val="32"/>
          <w:lang w:val="en-US"/>
        </w:rPr>
        <w:t>.</w:t>
      </w:r>
      <w:r w:rsidR="005B7944" w:rsidRPr="00035AA6">
        <w:rPr>
          <w:b/>
          <w:bCs/>
          <w:sz w:val="32"/>
          <w:szCs w:val="32"/>
          <w:lang w:val="en-US"/>
        </w:rPr>
        <w:t xml:space="preserve"> 2023</w:t>
      </w:r>
      <w:r w:rsidR="00D82F86" w:rsidRPr="00035AA6">
        <w:rPr>
          <w:b/>
          <w:bCs/>
          <w:sz w:val="32"/>
          <w:szCs w:val="32"/>
          <w:lang w:val="en-US"/>
        </w:rPr>
        <w:t>)</w:t>
      </w:r>
      <w:r w:rsidRPr="00035AA6">
        <w:rPr>
          <w:b/>
          <w:bCs/>
          <w:sz w:val="32"/>
          <w:szCs w:val="32"/>
          <w:lang w:val="en-US"/>
        </w:rPr>
        <w:t>”</w:t>
      </w:r>
    </w:p>
    <w:p w14:paraId="55BB802A" w14:textId="77777777" w:rsidR="007B043F" w:rsidRPr="00035AA6" w:rsidRDefault="007B043F" w:rsidP="00025060">
      <w:pPr>
        <w:jc w:val="center"/>
        <w:rPr>
          <w:b/>
          <w:bCs/>
          <w:lang w:val="en-US"/>
        </w:rPr>
      </w:pPr>
    </w:p>
    <w:p w14:paraId="1530C1DF" w14:textId="20585460" w:rsidR="007B043F" w:rsidRPr="00035AA6" w:rsidRDefault="007B043F" w:rsidP="00025060">
      <w:pPr>
        <w:jc w:val="center"/>
        <w:rPr>
          <w:b/>
          <w:bCs/>
          <w:lang w:val="en-US"/>
        </w:rPr>
      </w:pPr>
    </w:p>
    <w:p w14:paraId="77A99B79" w14:textId="40BE5E6D" w:rsidR="007C3EC5" w:rsidRPr="00035AA6" w:rsidRDefault="007C3EC5" w:rsidP="00025060">
      <w:pPr>
        <w:jc w:val="center"/>
        <w:rPr>
          <w:b/>
          <w:bCs/>
          <w:lang w:val="en-US"/>
        </w:rPr>
      </w:pPr>
    </w:p>
    <w:p w14:paraId="4EBD2245" w14:textId="5FB14DA1" w:rsidR="007C3EC5" w:rsidRPr="00035AA6" w:rsidRDefault="00457E6D" w:rsidP="00025060">
      <w:pPr>
        <w:jc w:val="center"/>
        <w:rPr>
          <w:b/>
          <w:bCs/>
          <w:sz w:val="32"/>
          <w:szCs w:val="32"/>
          <w:lang w:val="en-US"/>
        </w:rPr>
      </w:pPr>
      <w:r>
        <w:rPr>
          <w:b/>
          <w:bCs/>
          <w:sz w:val="32"/>
          <w:szCs w:val="32"/>
          <w:lang w:val="en-US"/>
        </w:rPr>
        <w:t xml:space="preserve">FINAL </w:t>
      </w:r>
      <w:r w:rsidR="00F96418" w:rsidRPr="00035AA6">
        <w:rPr>
          <w:b/>
          <w:bCs/>
          <w:sz w:val="32"/>
          <w:szCs w:val="32"/>
          <w:lang w:val="en-US"/>
        </w:rPr>
        <w:t>EVALUATION</w:t>
      </w:r>
      <w:r w:rsidR="007C3EC5" w:rsidRPr="00035AA6">
        <w:rPr>
          <w:b/>
          <w:bCs/>
          <w:sz w:val="32"/>
          <w:szCs w:val="32"/>
          <w:lang w:val="en-US"/>
        </w:rPr>
        <w:t xml:space="preserve"> REPORT</w:t>
      </w:r>
    </w:p>
    <w:bookmarkEnd w:id="0"/>
    <w:p w14:paraId="623963F9" w14:textId="77777777" w:rsidR="007C3EC5" w:rsidRPr="00035AA6" w:rsidRDefault="007C3EC5" w:rsidP="00DD0528">
      <w:pPr>
        <w:rPr>
          <w:b/>
          <w:bCs/>
          <w:lang w:val="en-US"/>
        </w:rPr>
      </w:pPr>
    </w:p>
    <w:p w14:paraId="0A8A5019" w14:textId="77777777" w:rsidR="007B043F" w:rsidRPr="00035AA6" w:rsidRDefault="007B043F" w:rsidP="00DD0528">
      <w:pPr>
        <w:rPr>
          <w:b/>
          <w:bCs/>
          <w:lang w:val="en-US"/>
        </w:rPr>
      </w:pPr>
    </w:p>
    <w:p w14:paraId="772F7884" w14:textId="77777777" w:rsidR="007B043F" w:rsidRPr="00035AA6" w:rsidRDefault="007B043F" w:rsidP="00DD0528">
      <w:pPr>
        <w:rPr>
          <w:b/>
          <w:bCs/>
          <w:lang w:val="en-US"/>
        </w:rPr>
      </w:pPr>
    </w:p>
    <w:p w14:paraId="732F4AF3" w14:textId="77777777" w:rsidR="007B043F" w:rsidRPr="00035AA6" w:rsidRDefault="007B043F" w:rsidP="00DD0528">
      <w:pPr>
        <w:rPr>
          <w:b/>
          <w:bCs/>
          <w:lang w:val="en-US"/>
        </w:rPr>
      </w:pPr>
    </w:p>
    <w:p w14:paraId="785B34CD" w14:textId="77777777" w:rsidR="007B043F" w:rsidRPr="00035AA6" w:rsidRDefault="007B043F" w:rsidP="00DD0528">
      <w:pPr>
        <w:rPr>
          <w:b/>
          <w:bCs/>
          <w:lang w:val="en-US"/>
        </w:rPr>
      </w:pPr>
    </w:p>
    <w:p w14:paraId="5E05854C" w14:textId="561DD14C" w:rsidR="007B043F" w:rsidRPr="00035AA6" w:rsidRDefault="00393CEA" w:rsidP="00DD0528">
      <w:pPr>
        <w:rPr>
          <w:b/>
          <w:bCs/>
          <w:lang w:val="en-US"/>
        </w:rPr>
      </w:pPr>
      <w:r w:rsidRPr="00035AA6">
        <w:rPr>
          <w:b/>
          <w:bCs/>
          <w:lang w:val="en-US"/>
        </w:rPr>
        <w:t>External Evaluator</w:t>
      </w:r>
      <w:r w:rsidR="0004543F" w:rsidRPr="00035AA6">
        <w:rPr>
          <w:b/>
          <w:bCs/>
          <w:lang w:val="en-US"/>
        </w:rPr>
        <w:t>:</w:t>
      </w:r>
    </w:p>
    <w:p w14:paraId="14D792F2" w14:textId="77777777" w:rsidR="007B043F" w:rsidRPr="00035AA6" w:rsidRDefault="00393CEA" w:rsidP="00DD0528">
      <w:pPr>
        <w:rPr>
          <w:b/>
          <w:bCs/>
          <w:lang w:val="en-US"/>
        </w:rPr>
      </w:pPr>
      <w:r w:rsidRPr="00035AA6">
        <w:rPr>
          <w:b/>
          <w:bCs/>
          <w:lang w:val="en-US"/>
        </w:rPr>
        <w:t>Bjorn Pettersson</w:t>
      </w:r>
    </w:p>
    <w:p w14:paraId="2D2D1BB1" w14:textId="440DF296" w:rsidR="0004543F" w:rsidRPr="00035AA6" w:rsidRDefault="005B7944" w:rsidP="00DD0528">
      <w:pPr>
        <w:rPr>
          <w:b/>
          <w:bCs/>
          <w:lang w:val="en-US"/>
        </w:rPr>
      </w:pPr>
      <w:r w:rsidRPr="00035AA6">
        <w:rPr>
          <w:b/>
          <w:bCs/>
          <w:lang w:val="en-US"/>
        </w:rPr>
        <w:t>Independent Consultant</w:t>
      </w:r>
    </w:p>
    <w:p w14:paraId="368C1D9C" w14:textId="77777777" w:rsidR="00C25E0C" w:rsidRPr="00035AA6" w:rsidRDefault="00C25E0C" w:rsidP="00DD0528">
      <w:pPr>
        <w:rPr>
          <w:b/>
          <w:bCs/>
          <w:lang w:val="en-US"/>
        </w:rPr>
      </w:pPr>
    </w:p>
    <w:p w14:paraId="3858A803" w14:textId="77777777" w:rsidR="002E6553" w:rsidRPr="00035AA6" w:rsidRDefault="002E6553" w:rsidP="00DD0528">
      <w:pPr>
        <w:rPr>
          <w:b/>
          <w:bCs/>
          <w:lang w:val="en-US"/>
        </w:rPr>
      </w:pPr>
    </w:p>
    <w:p w14:paraId="3C3259BA" w14:textId="77777777" w:rsidR="002E6553" w:rsidRPr="00035AA6" w:rsidRDefault="002E6553" w:rsidP="00DD0528">
      <w:pPr>
        <w:rPr>
          <w:b/>
          <w:bCs/>
          <w:lang w:val="en-US"/>
        </w:rPr>
      </w:pPr>
    </w:p>
    <w:p w14:paraId="72A8F7DA" w14:textId="77777777" w:rsidR="002E6553" w:rsidRPr="00035AA6" w:rsidRDefault="002E6553" w:rsidP="00DD0528">
      <w:pPr>
        <w:rPr>
          <w:b/>
          <w:bCs/>
          <w:lang w:val="en-US"/>
        </w:rPr>
      </w:pPr>
    </w:p>
    <w:p w14:paraId="57396ABE" w14:textId="77777777" w:rsidR="002E6553" w:rsidRPr="00035AA6" w:rsidRDefault="002E6553" w:rsidP="00DD0528">
      <w:pPr>
        <w:rPr>
          <w:b/>
          <w:bCs/>
          <w:lang w:val="en-US"/>
        </w:rPr>
      </w:pPr>
    </w:p>
    <w:p w14:paraId="01E10D94" w14:textId="71CFA047" w:rsidR="002E6553" w:rsidRPr="00035AA6" w:rsidRDefault="000176F3" w:rsidP="00DD0528">
      <w:pPr>
        <w:rPr>
          <w:b/>
          <w:bCs/>
          <w:lang w:val="en-US"/>
        </w:rPr>
      </w:pPr>
      <w:r w:rsidRPr="00035AA6">
        <w:rPr>
          <w:b/>
          <w:bCs/>
          <w:lang w:val="en-US"/>
        </w:rPr>
        <w:t>Evaluation period: 13 December 2023-</w:t>
      </w:r>
      <w:r w:rsidR="00457E6D">
        <w:rPr>
          <w:b/>
          <w:bCs/>
          <w:lang w:val="en-US"/>
        </w:rPr>
        <w:t>1</w:t>
      </w:r>
      <w:r w:rsidRPr="00035AA6">
        <w:rPr>
          <w:b/>
          <w:bCs/>
          <w:lang w:val="en-US"/>
        </w:rPr>
        <w:t>9 January 2024</w:t>
      </w:r>
    </w:p>
    <w:p w14:paraId="4547DBDC" w14:textId="77777777" w:rsidR="000176F3" w:rsidRPr="00035AA6" w:rsidRDefault="000176F3" w:rsidP="00DD0528">
      <w:pPr>
        <w:rPr>
          <w:b/>
          <w:bCs/>
          <w:lang w:val="en-US"/>
        </w:rPr>
      </w:pPr>
    </w:p>
    <w:p w14:paraId="31D2A961" w14:textId="159AE1A8" w:rsidR="002E6553" w:rsidRPr="00035AA6" w:rsidRDefault="00457E6D" w:rsidP="00DD0528">
      <w:pPr>
        <w:rPr>
          <w:b/>
          <w:bCs/>
          <w:lang w:val="en-US"/>
        </w:rPr>
      </w:pPr>
      <w:r>
        <w:rPr>
          <w:b/>
          <w:bCs/>
          <w:lang w:val="en-US"/>
        </w:rPr>
        <w:t xml:space="preserve">Final </w:t>
      </w:r>
      <w:r w:rsidR="00500A79" w:rsidRPr="00035AA6">
        <w:rPr>
          <w:b/>
          <w:bCs/>
          <w:lang w:val="en-US"/>
        </w:rPr>
        <w:t>e</w:t>
      </w:r>
      <w:r w:rsidR="000176F3" w:rsidRPr="00035AA6">
        <w:rPr>
          <w:b/>
          <w:bCs/>
          <w:lang w:val="en-US"/>
        </w:rPr>
        <w:t xml:space="preserve">valuation report submitted: </w:t>
      </w:r>
      <w:r w:rsidR="000176F3" w:rsidRPr="00035AA6">
        <w:rPr>
          <w:b/>
          <w:bCs/>
          <w:lang w:val="en-US"/>
        </w:rPr>
        <w:tab/>
      </w:r>
      <w:r>
        <w:rPr>
          <w:b/>
          <w:bCs/>
          <w:lang w:val="en-US"/>
        </w:rPr>
        <w:t>1</w:t>
      </w:r>
      <w:r w:rsidR="008116D2" w:rsidRPr="00035AA6">
        <w:rPr>
          <w:b/>
          <w:bCs/>
          <w:lang w:val="en-US"/>
        </w:rPr>
        <w:t>9</w:t>
      </w:r>
      <w:r w:rsidR="00CB1E78" w:rsidRPr="00035AA6">
        <w:rPr>
          <w:b/>
          <w:bCs/>
          <w:lang w:val="en-US"/>
        </w:rPr>
        <w:t xml:space="preserve"> </w:t>
      </w:r>
      <w:r w:rsidR="00F96418" w:rsidRPr="00035AA6">
        <w:rPr>
          <w:b/>
          <w:bCs/>
          <w:lang w:val="en-US"/>
        </w:rPr>
        <w:t>January</w:t>
      </w:r>
      <w:r w:rsidR="00C7651D" w:rsidRPr="00035AA6">
        <w:rPr>
          <w:b/>
          <w:bCs/>
          <w:lang w:val="en-US"/>
        </w:rPr>
        <w:t xml:space="preserve"> </w:t>
      </w:r>
      <w:r w:rsidR="0004543F" w:rsidRPr="00035AA6">
        <w:rPr>
          <w:b/>
          <w:bCs/>
          <w:lang w:val="en-US"/>
        </w:rPr>
        <w:t>202</w:t>
      </w:r>
      <w:r w:rsidR="00F96418" w:rsidRPr="00035AA6">
        <w:rPr>
          <w:b/>
          <w:bCs/>
          <w:lang w:val="en-US"/>
        </w:rPr>
        <w:t>4</w:t>
      </w:r>
    </w:p>
    <w:p w14:paraId="79B8B412" w14:textId="77777777" w:rsidR="007B043F" w:rsidRPr="007C3EC5" w:rsidRDefault="007B043F" w:rsidP="00DD0528">
      <w:pPr>
        <w:rPr>
          <w:lang w:val="en-US"/>
        </w:rPr>
      </w:pPr>
    </w:p>
    <w:p w14:paraId="7F620E58" w14:textId="77777777" w:rsidR="00AB4549" w:rsidRDefault="00AB4549" w:rsidP="00BD754D">
      <w:pPr>
        <w:jc w:val="center"/>
        <w:rPr>
          <w:b/>
          <w:bCs/>
          <w:sz w:val="28"/>
          <w:szCs w:val="28"/>
          <w:lang w:val="en-US"/>
        </w:rPr>
      </w:pPr>
    </w:p>
    <w:p w14:paraId="2F7A49A2" w14:textId="77777777" w:rsidR="00AB4549" w:rsidRDefault="00AB4549" w:rsidP="00BD754D">
      <w:pPr>
        <w:jc w:val="center"/>
        <w:rPr>
          <w:b/>
          <w:bCs/>
          <w:sz w:val="28"/>
          <w:szCs w:val="28"/>
          <w:lang w:val="en-US"/>
        </w:rPr>
      </w:pPr>
    </w:p>
    <w:p w14:paraId="7FD94E24" w14:textId="77777777" w:rsidR="00AB4549" w:rsidRDefault="00AB4549" w:rsidP="00BD754D">
      <w:pPr>
        <w:jc w:val="center"/>
        <w:rPr>
          <w:b/>
          <w:bCs/>
          <w:sz w:val="28"/>
          <w:szCs w:val="28"/>
          <w:lang w:val="en-US"/>
        </w:rPr>
      </w:pPr>
    </w:p>
    <w:p w14:paraId="2F9C4390" w14:textId="77777777" w:rsidR="00AB4549" w:rsidRDefault="00AB4549" w:rsidP="00BD754D">
      <w:pPr>
        <w:jc w:val="center"/>
        <w:rPr>
          <w:b/>
          <w:bCs/>
          <w:sz w:val="28"/>
          <w:szCs w:val="28"/>
          <w:lang w:val="en-US"/>
        </w:rPr>
      </w:pPr>
    </w:p>
    <w:p w14:paraId="4BF3FEAA" w14:textId="77777777" w:rsidR="00AB4549" w:rsidRDefault="00AB4549" w:rsidP="00BD754D">
      <w:pPr>
        <w:jc w:val="center"/>
        <w:rPr>
          <w:b/>
          <w:bCs/>
          <w:sz w:val="28"/>
          <w:szCs w:val="28"/>
          <w:lang w:val="en-US"/>
        </w:rPr>
      </w:pPr>
    </w:p>
    <w:p w14:paraId="6E01C531" w14:textId="77777777" w:rsidR="00AB4549" w:rsidRDefault="00AB4549" w:rsidP="00BD754D">
      <w:pPr>
        <w:jc w:val="center"/>
        <w:rPr>
          <w:b/>
          <w:bCs/>
          <w:sz w:val="28"/>
          <w:szCs w:val="28"/>
          <w:lang w:val="en-US"/>
        </w:rPr>
      </w:pPr>
    </w:p>
    <w:p w14:paraId="1FAEB92E" w14:textId="77777777" w:rsidR="00AB4549" w:rsidRDefault="00AB4549" w:rsidP="00BD754D">
      <w:pPr>
        <w:jc w:val="center"/>
        <w:rPr>
          <w:b/>
          <w:bCs/>
          <w:sz w:val="28"/>
          <w:szCs w:val="28"/>
          <w:lang w:val="en-US"/>
        </w:rPr>
      </w:pPr>
    </w:p>
    <w:p w14:paraId="3DE11279" w14:textId="54F6EB53" w:rsidR="007B043F" w:rsidRPr="00BD754D" w:rsidRDefault="00500A79" w:rsidP="00BD754D">
      <w:pPr>
        <w:jc w:val="center"/>
        <w:rPr>
          <w:b/>
          <w:bCs/>
          <w:sz w:val="28"/>
          <w:szCs w:val="28"/>
          <w:lang w:val="en-US"/>
        </w:rPr>
      </w:pPr>
      <w:r w:rsidRPr="00BD754D">
        <w:rPr>
          <w:b/>
          <w:bCs/>
          <w:sz w:val="28"/>
          <w:szCs w:val="28"/>
          <w:lang w:val="en-US"/>
        </w:rPr>
        <w:t>Acknowledgement</w:t>
      </w:r>
    </w:p>
    <w:p w14:paraId="50C62FE0" w14:textId="77777777" w:rsidR="00500A79" w:rsidRDefault="00500A79" w:rsidP="00DD0528">
      <w:pPr>
        <w:rPr>
          <w:lang w:val="en-US"/>
        </w:rPr>
      </w:pPr>
    </w:p>
    <w:p w14:paraId="2FED69F1" w14:textId="250C6456" w:rsidR="00500A79" w:rsidRPr="007C3EC5" w:rsidRDefault="00500A79" w:rsidP="00DD0528">
      <w:pPr>
        <w:rPr>
          <w:lang w:val="en-US"/>
        </w:rPr>
      </w:pPr>
      <w:r>
        <w:rPr>
          <w:lang w:val="en-US"/>
        </w:rPr>
        <w:t>The evaluator would like to ex</w:t>
      </w:r>
      <w:r w:rsidR="00156FF2">
        <w:rPr>
          <w:lang w:val="en-US"/>
        </w:rPr>
        <w:t>press</w:t>
      </w:r>
      <w:r>
        <w:rPr>
          <w:lang w:val="en-US"/>
        </w:rPr>
        <w:t xml:space="preserve"> his gratitude for the professional support provided by the </w:t>
      </w:r>
      <w:r w:rsidR="00ED55AF">
        <w:rPr>
          <w:lang w:val="en-US"/>
        </w:rPr>
        <w:t>national</w:t>
      </w:r>
      <w:r>
        <w:rPr>
          <w:lang w:val="en-US"/>
        </w:rPr>
        <w:t xml:space="preserve"> consultant Ms Eka Demetrasvili</w:t>
      </w:r>
      <w:r w:rsidR="005A2D1D">
        <w:rPr>
          <w:lang w:val="en-US"/>
        </w:rPr>
        <w:t xml:space="preserve">, </w:t>
      </w:r>
      <w:r w:rsidR="00ED55AF">
        <w:rPr>
          <w:lang w:val="en-US"/>
        </w:rPr>
        <w:t>by</w:t>
      </w:r>
      <w:r w:rsidR="00457E6D">
        <w:rPr>
          <w:lang w:val="en-US"/>
        </w:rPr>
        <w:t xml:space="preserve"> </w:t>
      </w:r>
      <w:r w:rsidR="00ED55AF">
        <w:rPr>
          <w:lang w:val="en-US"/>
        </w:rPr>
        <w:t>UNDP</w:t>
      </w:r>
      <w:r w:rsidR="005A2D1D" w:rsidRPr="005A2D1D">
        <w:rPr>
          <w:rFonts w:ascii="Arial" w:hAnsi="Arial" w:cs="Arial"/>
          <w:color w:val="1D2228"/>
          <w:sz w:val="16"/>
          <w:szCs w:val="16"/>
          <w:shd w:val="clear" w:color="auto" w:fill="FFFFFF"/>
        </w:rPr>
        <w:t xml:space="preserve"> </w:t>
      </w:r>
      <w:r w:rsidR="005A2D1D" w:rsidRPr="005A2D1D">
        <w:t>Economic Development Team Leader</w:t>
      </w:r>
      <w:r w:rsidR="00457E6D">
        <w:rPr>
          <w:lang w:val="en-US"/>
        </w:rPr>
        <w:t xml:space="preserve">, </w:t>
      </w:r>
      <w:r w:rsidR="00ED55AF">
        <w:rPr>
          <w:lang w:val="en-US"/>
        </w:rPr>
        <w:t xml:space="preserve"> </w:t>
      </w:r>
      <w:r w:rsidR="00CF1459">
        <w:rPr>
          <w:lang w:val="en-US"/>
        </w:rPr>
        <w:t xml:space="preserve">Mr George Nanobashvili, and the UNDP </w:t>
      </w:r>
      <w:r w:rsidR="00ED55AF">
        <w:rPr>
          <w:lang w:val="en-US"/>
        </w:rPr>
        <w:t>CBLLL Project Team</w:t>
      </w:r>
      <w:r w:rsidR="00BD754D">
        <w:rPr>
          <w:lang w:val="en-US"/>
        </w:rPr>
        <w:t>:</w:t>
      </w:r>
      <w:r w:rsidR="00ED55AF">
        <w:rPr>
          <w:lang w:val="en-US"/>
        </w:rPr>
        <w:t xml:space="preserve"> Ms Natia Mzhavanadze and Ms Tea Tatishvili.</w:t>
      </w:r>
    </w:p>
    <w:p w14:paraId="7E8E7037" w14:textId="77777777" w:rsidR="007B043F" w:rsidRPr="007C3EC5" w:rsidRDefault="007B043F" w:rsidP="00DD0528">
      <w:pPr>
        <w:rPr>
          <w:lang w:val="en-US"/>
        </w:rPr>
      </w:pPr>
    </w:p>
    <w:p w14:paraId="3973DA07" w14:textId="77777777" w:rsidR="007B043F" w:rsidRPr="007C3EC5" w:rsidRDefault="007B043F" w:rsidP="00DD0528">
      <w:pPr>
        <w:rPr>
          <w:lang w:val="en-US"/>
        </w:rPr>
      </w:pPr>
    </w:p>
    <w:p w14:paraId="2C8015B0" w14:textId="7A6EAE3E" w:rsidR="007A572E" w:rsidRPr="007C3EC5" w:rsidRDefault="007A572E">
      <w:pPr>
        <w:jc w:val="left"/>
        <w:rPr>
          <w:lang w:val="en-US"/>
        </w:rPr>
      </w:pPr>
      <w:r w:rsidRPr="007C3EC5">
        <w:rPr>
          <w:lang w:val="en-US"/>
        </w:rPr>
        <w:br w:type="page"/>
      </w:r>
    </w:p>
    <w:p w14:paraId="031F7A70" w14:textId="77777777" w:rsidR="007B043F" w:rsidRPr="007C3EC5" w:rsidRDefault="007B043F" w:rsidP="00DD0528">
      <w:pPr>
        <w:rPr>
          <w:lang w:val="en-US"/>
        </w:rPr>
      </w:pPr>
    </w:p>
    <w:p w14:paraId="48CCBDEE" w14:textId="77777777" w:rsidR="007B043F" w:rsidRPr="007C3EC5" w:rsidRDefault="007B043F" w:rsidP="00DD0528">
      <w:pPr>
        <w:rPr>
          <w:lang w:val="en-US"/>
        </w:rPr>
      </w:pPr>
    </w:p>
    <w:p w14:paraId="719F27C1" w14:textId="77777777" w:rsidR="007B043F" w:rsidRPr="007C3EC5" w:rsidRDefault="007B043F" w:rsidP="00DD0528">
      <w:pPr>
        <w:rPr>
          <w:lang w:val="en-US"/>
        </w:rPr>
      </w:pPr>
    </w:p>
    <w:p w14:paraId="01C4FE38" w14:textId="77777777" w:rsidR="007B043F" w:rsidRPr="007C3EC5" w:rsidRDefault="007B043F" w:rsidP="00DD0528">
      <w:pPr>
        <w:rPr>
          <w:lang w:val="en-US"/>
        </w:rPr>
      </w:pPr>
    </w:p>
    <w:p w14:paraId="7D595B6B" w14:textId="77777777" w:rsidR="007B043F" w:rsidRPr="007C3EC5" w:rsidRDefault="007B043F" w:rsidP="00DD0528">
      <w:pPr>
        <w:rPr>
          <w:lang w:val="en-US"/>
        </w:rPr>
      </w:pPr>
    </w:p>
    <w:sdt>
      <w:sdtPr>
        <w:rPr>
          <w:lang w:val="en-US"/>
        </w:rPr>
        <w:id w:val="127441432"/>
        <w:docPartObj>
          <w:docPartGallery w:val="Table of Contents"/>
          <w:docPartUnique/>
        </w:docPartObj>
      </w:sdtPr>
      <w:sdtEndPr>
        <w:rPr>
          <w:noProof/>
        </w:rPr>
      </w:sdtEndPr>
      <w:sdtContent>
        <w:p w14:paraId="68151719" w14:textId="1FFE98DD" w:rsidR="00467147" w:rsidRPr="007C3EC5" w:rsidRDefault="007B45E1" w:rsidP="007A572E">
          <w:pPr>
            <w:jc w:val="center"/>
            <w:rPr>
              <w:b/>
              <w:bCs/>
              <w:color w:val="0070C0"/>
              <w:sz w:val="28"/>
              <w:szCs w:val="28"/>
              <w:lang w:val="en-US"/>
            </w:rPr>
          </w:pPr>
          <w:r w:rsidRPr="007C3EC5">
            <w:rPr>
              <w:b/>
              <w:bCs/>
              <w:color w:val="0070C0"/>
              <w:sz w:val="28"/>
              <w:szCs w:val="28"/>
              <w:lang w:val="en-US"/>
            </w:rPr>
            <w:t>Table of content</w:t>
          </w:r>
          <w:r w:rsidR="007A572E" w:rsidRPr="007C3EC5">
            <w:rPr>
              <w:b/>
              <w:bCs/>
              <w:color w:val="0070C0"/>
              <w:sz w:val="28"/>
              <w:szCs w:val="28"/>
              <w:lang w:val="en-US"/>
            </w:rPr>
            <w:t>s</w:t>
          </w:r>
        </w:p>
        <w:p w14:paraId="6B7A726D" w14:textId="77777777" w:rsidR="007B45E1" w:rsidRPr="007C3EC5" w:rsidRDefault="007B45E1" w:rsidP="00DD0528">
          <w:pPr>
            <w:rPr>
              <w:lang w:val="en-US" w:eastAsia="ja-JP"/>
            </w:rPr>
          </w:pPr>
        </w:p>
        <w:p w14:paraId="49B1A334" w14:textId="52EBD056" w:rsidR="008E3132" w:rsidRDefault="00000000">
          <w:pPr>
            <w:pStyle w:val="TOC1"/>
            <w:tabs>
              <w:tab w:val="left" w:pos="440"/>
              <w:tab w:val="right" w:leader="dot" w:pos="9350"/>
            </w:tabs>
            <w:rPr>
              <w:rFonts w:asciiTheme="minorHAnsi" w:eastAsiaTheme="minorEastAsia" w:hAnsiTheme="minorHAnsi" w:cstheme="minorBidi"/>
              <w:noProof/>
              <w:kern w:val="2"/>
              <w:sz w:val="22"/>
              <w:lang w:eastAsia="en-GB"/>
              <w14:ligatures w14:val="standardContextual"/>
            </w:rPr>
          </w:pPr>
          <w:hyperlink w:anchor="_Toc155599362" w:history="1">
            <w:r w:rsidR="008E3132" w:rsidRPr="00851C8B">
              <w:rPr>
                <w:rStyle w:val="Hyperlink"/>
                <w:noProof/>
              </w:rPr>
              <w:t>1.</w:t>
            </w:r>
            <w:r w:rsidR="008E3132">
              <w:rPr>
                <w:rFonts w:asciiTheme="minorHAnsi" w:eastAsiaTheme="minorEastAsia" w:hAnsiTheme="minorHAnsi" w:cstheme="minorBidi"/>
                <w:noProof/>
                <w:kern w:val="2"/>
                <w:sz w:val="22"/>
                <w:lang w:eastAsia="en-GB"/>
                <w14:ligatures w14:val="standardContextual"/>
              </w:rPr>
              <w:tab/>
            </w:r>
            <w:r w:rsidR="008E3132" w:rsidRPr="00851C8B">
              <w:rPr>
                <w:rStyle w:val="Hyperlink"/>
                <w:noProof/>
              </w:rPr>
              <w:t>INTRODUCTION</w:t>
            </w:r>
            <w:r w:rsidR="008E3132">
              <w:rPr>
                <w:noProof/>
                <w:webHidden/>
              </w:rPr>
              <w:tab/>
            </w:r>
            <w:r w:rsidR="008E3132">
              <w:rPr>
                <w:noProof/>
                <w:webHidden/>
              </w:rPr>
              <w:fldChar w:fldCharType="begin"/>
            </w:r>
            <w:r w:rsidR="008E3132">
              <w:rPr>
                <w:noProof/>
                <w:webHidden/>
              </w:rPr>
              <w:instrText xml:space="preserve"> PAGEREF _Toc155599362 \h </w:instrText>
            </w:r>
            <w:r w:rsidR="008E3132">
              <w:rPr>
                <w:noProof/>
                <w:webHidden/>
              </w:rPr>
            </w:r>
            <w:r w:rsidR="008E3132">
              <w:rPr>
                <w:noProof/>
                <w:webHidden/>
              </w:rPr>
              <w:fldChar w:fldCharType="separate"/>
            </w:r>
            <w:r w:rsidR="008E3132">
              <w:rPr>
                <w:noProof/>
                <w:webHidden/>
              </w:rPr>
              <w:t>9</w:t>
            </w:r>
            <w:r w:rsidR="008E3132">
              <w:rPr>
                <w:noProof/>
                <w:webHidden/>
              </w:rPr>
              <w:fldChar w:fldCharType="end"/>
            </w:r>
          </w:hyperlink>
        </w:p>
        <w:p w14:paraId="3ECED8BC" w14:textId="3AAB2A97" w:rsidR="008E3132" w:rsidRDefault="00000000">
          <w:pPr>
            <w:pStyle w:val="TOC2"/>
            <w:tabs>
              <w:tab w:val="right" w:leader="dot" w:pos="9350"/>
            </w:tabs>
            <w:rPr>
              <w:rFonts w:asciiTheme="minorHAnsi" w:eastAsiaTheme="minorEastAsia" w:hAnsiTheme="minorHAnsi" w:cstheme="minorBidi"/>
              <w:noProof/>
              <w:kern w:val="2"/>
              <w:sz w:val="22"/>
              <w:lang w:eastAsia="en-GB"/>
              <w14:ligatures w14:val="standardContextual"/>
            </w:rPr>
          </w:pPr>
          <w:hyperlink w:anchor="_Toc155599363" w:history="1">
            <w:r w:rsidR="008E3132" w:rsidRPr="00851C8B">
              <w:rPr>
                <w:rStyle w:val="Hyperlink"/>
                <w:noProof/>
              </w:rPr>
              <w:t>Background</w:t>
            </w:r>
            <w:r w:rsidR="008E3132">
              <w:rPr>
                <w:noProof/>
                <w:webHidden/>
              </w:rPr>
              <w:tab/>
              <w:t>9</w:t>
            </w:r>
          </w:hyperlink>
        </w:p>
        <w:p w14:paraId="205D773F" w14:textId="323E65AC" w:rsidR="008E3132" w:rsidRDefault="00000000">
          <w:pPr>
            <w:pStyle w:val="TOC2"/>
            <w:tabs>
              <w:tab w:val="right" w:leader="dot" w:pos="9350"/>
            </w:tabs>
            <w:rPr>
              <w:rFonts w:asciiTheme="minorHAnsi" w:eastAsiaTheme="minorEastAsia" w:hAnsiTheme="minorHAnsi" w:cstheme="minorBidi"/>
              <w:noProof/>
              <w:kern w:val="2"/>
              <w:sz w:val="22"/>
              <w:lang w:eastAsia="en-GB"/>
              <w14:ligatures w14:val="standardContextual"/>
            </w:rPr>
          </w:pPr>
          <w:hyperlink w:anchor="_Toc155599364" w:history="1">
            <w:r w:rsidR="008E3132" w:rsidRPr="00851C8B">
              <w:rPr>
                <w:rStyle w:val="Hyperlink"/>
                <w:noProof/>
              </w:rPr>
              <w:t>Project to be evaluated: Creating Better Life-Long Learning Opportunities through Local Partnerships (CBLLL)</w:t>
            </w:r>
            <w:r w:rsidR="008E3132">
              <w:rPr>
                <w:noProof/>
                <w:webHidden/>
              </w:rPr>
              <w:tab/>
              <w:t>9</w:t>
            </w:r>
          </w:hyperlink>
        </w:p>
        <w:p w14:paraId="3CB46249" w14:textId="7DA88437" w:rsidR="008E3132" w:rsidRDefault="00000000">
          <w:pPr>
            <w:pStyle w:val="TOC1"/>
            <w:tabs>
              <w:tab w:val="left" w:pos="440"/>
              <w:tab w:val="right" w:leader="dot" w:pos="9350"/>
            </w:tabs>
            <w:rPr>
              <w:rFonts w:asciiTheme="minorHAnsi" w:eastAsiaTheme="minorEastAsia" w:hAnsiTheme="minorHAnsi" w:cstheme="minorBidi"/>
              <w:noProof/>
              <w:kern w:val="2"/>
              <w:sz w:val="22"/>
              <w:lang w:eastAsia="en-GB"/>
              <w14:ligatures w14:val="standardContextual"/>
            </w:rPr>
          </w:pPr>
          <w:hyperlink w:anchor="_Toc155599365" w:history="1">
            <w:r w:rsidR="008E3132" w:rsidRPr="00851C8B">
              <w:rPr>
                <w:rStyle w:val="Hyperlink"/>
                <w:noProof/>
              </w:rPr>
              <w:t>2.</w:t>
            </w:r>
            <w:r w:rsidR="008E3132">
              <w:rPr>
                <w:rFonts w:asciiTheme="minorHAnsi" w:eastAsiaTheme="minorEastAsia" w:hAnsiTheme="minorHAnsi" w:cstheme="minorBidi"/>
                <w:noProof/>
                <w:kern w:val="2"/>
                <w:sz w:val="22"/>
                <w:lang w:eastAsia="en-GB"/>
                <w14:ligatures w14:val="standardContextual"/>
              </w:rPr>
              <w:tab/>
            </w:r>
            <w:r w:rsidR="008E3132" w:rsidRPr="00851C8B">
              <w:rPr>
                <w:rStyle w:val="Hyperlink"/>
                <w:noProof/>
              </w:rPr>
              <w:t>OBJECTIVES, SCOPE AND LIMITATIONS OF THE EVALUATION</w:t>
            </w:r>
            <w:r w:rsidR="008E3132">
              <w:rPr>
                <w:noProof/>
                <w:webHidden/>
              </w:rPr>
              <w:tab/>
              <w:t>10</w:t>
            </w:r>
          </w:hyperlink>
        </w:p>
        <w:p w14:paraId="6F2B5F69" w14:textId="6E2D10AA" w:rsidR="008E3132" w:rsidRDefault="00000000">
          <w:pPr>
            <w:pStyle w:val="TOC2"/>
            <w:tabs>
              <w:tab w:val="right" w:leader="dot" w:pos="9350"/>
            </w:tabs>
            <w:rPr>
              <w:rFonts w:asciiTheme="minorHAnsi" w:eastAsiaTheme="minorEastAsia" w:hAnsiTheme="minorHAnsi" w:cstheme="minorBidi"/>
              <w:noProof/>
              <w:kern w:val="2"/>
              <w:sz w:val="22"/>
              <w:lang w:eastAsia="en-GB"/>
              <w14:ligatures w14:val="standardContextual"/>
            </w:rPr>
          </w:pPr>
          <w:hyperlink w:anchor="_Toc155599366" w:history="1">
            <w:r w:rsidR="008E3132" w:rsidRPr="00851C8B">
              <w:rPr>
                <w:rStyle w:val="Hyperlink"/>
                <w:noProof/>
              </w:rPr>
              <w:t>Evaluation Objectives</w:t>
            </w:r>
            <w:r w:rsidR="008E3132">
              <w:rPr>
                <w:noProof/>
                <w:webHidden/>
              </w:rPr>
              <w:tab/>
              <w:t>10</w:t>
            </w:r>
          </w:hyperlink>
        </w:p>
        <w:p w14:paraId="6DF837A0" w14:textId="49C1114B" w:rsidR="008E3132" w:rsidRDefault="00000000">
          <w:pPr>
            <w:pStyle w:val="TOC2"/>
            <w:tabs>
              <w:tab w:val="right" w:leader="dot" w:pos="9350"/>
            </w:tabs>
            <w:rPr>
              <w:rFonts w:asciiTheme="minorHAnsi" w:eastAsiaTheme="minorEastAsia" w:hAnsiTheme="minorHAnsi" w:cstheme="minorBidi"/>
              <w:noProof/>
              <w:kern w:val="2"/>
              <w:sz w:val="22"/>
              <w:lang w:eastAsia="en-GB"/>
              <w14:ligatures w14:val="standardContextual"/>
            </w:rPr>
          </w:pPr>
          <w:hyperlink w:anchor="_Toc155599367" w:history="1">
            <w:r w:rsidR="008E3132" w:rsidRPr="00851C8B">
              <w:rPr>
                <w:rStyle w:val="Hyperlink"/>
                <w:noProof/>
              </w:rPr>
              <w:t>Purpose and scope of the evaluation</w:t>
            </w:r>
            <w:r w:rsidR="008E3132">
              <w:rPr>
                <w:noProof/>
                <w:webHidden/>
              </w:rPr>
              <w:tab/>
              <w:t>10</w:t>
            </w:r>
          </w:hyperlink>
        </w:p>
        <w:p w14:paraId="667AF853" w14:textId="66DBB926" w:rsidR="008E3132" w:rsidRDefault="00000000">
          <w:pPr>
            <w:pStyle w:val="TOC2"/>
            <w:tabs>
              <w:tab w:val="right" w:leader="dot" w:pos="9350"/>
            </w:tabs>
            <w:rPr>
              <w:rFonts w:asciiTheme="minorHAnsi" w:eastAsiaTheme="minorEastAsia" w:hAnsiTheme="minorHAnsi" w:cstheme="minorBidi"/>
              <w:noProof/>
              <w:kern w:val="2"/>
              <w:sz w:val="22"/>
              <w:lang w:eastAsia="en-GB"/>
              <w14:ligatures w14:val="standardContextual"/>
            </w:rPr>
          </w:pPr>
          <w:hyperlink w:anchor="_Toc155599368" w:history="1">
            <w:r w:rsidR="008E3132" w:rsidRPr="00851C8B">
              <w:rPr>
                <w:rStyle w:val="Hyperlink"/>
                <w:rFonts w:eastAsia="MS Mincho"/>
                <w:noProof/>
              </w:rPr>
              <w:t>Limitations to the evaluation exercise</w:t>
            </w:r>
            <w:r w:rsidR="008E3132">
              <w:rPr>
                <w:noProof/>
                <w:webHidden/>
              </w:rPr>
              <w:tab/>
              <w:t>11</w:t>
            </w:r>
          </w:hyperlink>
        </w:p>
        <w:p w14:paraId="16956418" w14:textId="6ACCDF62" w:rsidR="008E3132" w:rsidRDefault="00000000">
          <w:pPr>
            <w:pStyle w:val="TOC1"/>
            <w:tabs>
              <w:tab w:val="left" w:pos="440"/>
              <w:tab w:val="right" w:leader="dot" w:pos="9350"/>
            </w:tabs>
            <w:rPr>
              <w:rFonts w:asciiTheme="minorHAnsi" w:eastAsiaTheme="minorEastAsia" w:hAnsiTheme="minorHAnsi" w:cstheme="minorBidi"/>
              <w:noProof/>
              <w:kern w:val="2"/>
              <w:sz w:val="22"/>
              <w:lang w:eastAsia="en-GB"/>
              <w14:ligatures w14:val="standardContextual"/>
            </w:rPr>
          </w:pPr>
          <w:hyperlink w:anchor="_Toc155599369" w:history="1">
            <w:r w:rsidR="008E3132" w:rsidRPr="00851C8B">
              <w:rPr>
                <w:rStyle w:val="Hyperlink"/>
                <w:noProof/>
                <w:lang w:eastAsia="en-GB"/>
              </w:rPr>
              <w:t>3.</w:t>
            </w:r>
            <w:r w:rsidR="008E3132">
              <w:rPr>
                <w:rFonts w:asciiTheme="minorHAnsi" w:eastAsiaTheme="minorEastAsia" w:hAnsiTheme="minorHAnsi" w:cstheme="minorBidi"/>
                <w:noProof/>
                <w:kern w:val="2"/>
                <w:sz w:val="22"/>
                <w:lang w:eastAsia="en-GB"/>
                <w14:ligatures w14:val="standardContextual"/>
              </w:rPr>
              <w:tab/>
            </w:r>
            <w:r w:rsidR="008E3132" w:rsidRPr="00851C8B">
              <w:rPr>
                <w:rStyle w:val="Hyperlink"/>
                <w:noProof/>
                <w:lang w:eastAsia="en-GB"/>
              </w:rPr>
              <w:t>EVALUATION QUESTIONS AND CROSS-CUTTING ISSUES</w:t>
            </w:r>
            <w:r w:rsidR="008E3132">
              <w:rPr>
                <w:noProof/>
                <w:webHidden/>
              </w:rPr>
              <w:tab/>
              <w:t>11</w:t>
            </w:r>
          </w:hyperlink>
        </w:p>
        <w:p w14:paraId="7C2D9B52" w14:textId="33EB7931" w:rsidR="008E3132" w:rsidRDefault="00000000">
          <w:pPr>
            <w:pStyle w:val="TOC1"/>
            <w:tabs>
              <w:tab w:val="left" w:pos="440"/>
              <w:tab w:val="right" w:leader="dot" w:pos="9350"/>
            </w:tabs>
            <w:rPr>
              <w:rFonts w:asciiTheme="minorHAnsi" w:eastAsiaTheme="minorEastAsia" w:hAnsiTheme="minorHAnsi" w:cstheme="minorBidi"/>
              <w:noProof/>
              <w:kern w:val="2"/>
              <w:sz w:val="22"/>
              <w:lang w:eastAsia="en-GB"/>
              <w14:ligatures w14:val="standardContextual"/>
            </w:rPr>
          </w:pPr>
          <w:hyperlink w:anchor="_Toc155599370" w:history="1">
            <w:r w:rsidR="008E3132" w:rsidRPr="00851C8B">
              <w:rPr>
                <w:rStyle w:val="Hyperlink"/>
                <w:noProof/>
              </w:rPr>
              <w:t>4.</w:t>
            </w:r>
            <w:r w:rsidR="008E3132">
              <w:rPr>
                <w:rFonts w:asciiTheme="minorHAnsi" w:eastAsiaTheme="minorEastAsia" w:hAnsiTheme="minorHAnsi" w:cstheme="minorBidi"/>
                <w:noProof/>
                <w:kern w:val="2"/>
                <w:sz w:val="22"/>
                <w:lang w:eastAsia="en-GB"/>
                <w14:ligatures w14:val="standardContextual"/>
              </w:rPr>
              <w:tab/>
            </w:r>
            <w:r w:rsidR="008E3132" w:rsidRPr="00851C8B">
              <w:rPr>
                <w:rStyle w:val="Hyperlink"/>
                <w:noProof/>
              </w:rPr>
              <w:t>METHODOLOGY</w:t>
            </w:r>
            <w:r w:rsidR="008E3132">
              <w:rPr>
                <w:noProof/>
                <w:webHidden/>
              </w:rPr>
              <w:tab/>
              <w:t>13</w:t>
            </w:r>
          </w:hyperlink>
        </w:p>
        <w:p w14:paraId="7CAC983D" w14:textId="3E87185B" w:rsidR="008E3132" w:rsidRDefault="00000000">
          <w:pPr>
            <w:pStyle w:val="TOC2"/>
            <w:tabs>
              <w:tab w:val="right" w:leader="dot" w:pos="9350"/>
            </w:tabs>
            <w:rPr>
              <w:rFonts w:asciiTheme="minorHAnsi" w:eastAsiaTheme="minorEastAsia" w:hAnsiTheme="minorHAnsi" w:cstheme="minorBidi"/>
              <w:noProof/>
              <w:kern w:val="2"/>
              <w:sz w:val="22"/>
              <w:lang w:eastAsia="en-GB"/>
              <w14:ligatures w14:val="standardContextual"/>
            </w:rPr>
          </w:pPr>
          <w:hyperlink w:anchor="_Toc155599371" w:history="1">
            <w:r w:rsidR="008E3132" w:rsidRPr="00851C8B">
              <w:rPr>
                <w:rStyle w:val="Hyperlink"/>
                <w:noProof/>
              </w:rPr>
              <w:t>Evaluation approach</w:t>
            </w:r>
            <w:r w:rsidR="008E3132">
              <w:rPr>
                <w:noProof/>
                <w:webHidden/>
              </w:rPr>
              <w:tab/>
              <w:t>13</w:t>
            </w:r>
          </w:hyperlink>
        </w:p>
        <w:p w14:paraId="04595B51" w14:textId="280B90E1" w:rsidR="008E3132" w:rsidRDefault="00000000">
          <w:pPr>
            <w:pStyle w:val="TOC2"/>
            <w:tabs>
              <w:tab w:val="right" w:leader="dot" w:pos="9350"/>
            </w:tabs>
            <w:rPr>
              <w:rFonts w:asciiTheme="minorHAnsi" w:eastAsiaTheme="minorEastAsia" w:hAnsiTheme="minorHAnsi" w:cstheme="minorBidi"/>
              <w:noProof/>
              <w:kern w:val="2"/>
              <w:sz w:val="22"/>
              <w:lang w:eastAsia="en-GB"/>
              <w14:ligatures w14:val="standardContextual"/>
            </w:rPr>
          </w:pPr>
          <w:hyperlink w:anchor="_Toc155599372" w:history="1">
            <w:r w:rsidR="008E3132" w:rsidRPr="00851C8B">
              <w:rPr>
                <w:rStyle w:val="Hyperlink"/>
                <w:noProof/>
              </w:rPr>
              <w:t>Evaluation Methodology Framework</w:t>
            </w:r>
            <w:r w:rsidR="008E3132">
              <w:rPr>
                <w:noProof/>
                <w:webHidden/>
              </w:rPr>
              <w:tab/>
              <w:t>13</w:t>
            </w:r>
          </w:hyperlink>
        </w:p>
        <w:p w14:paraId="7310EF57" w14:textId="294CFC21" w:rsidR="008E3132" w:rsidRDefault="00000000">
          <w:pPr>
            <w:pStyle w:val="TOC1"/>
            <w:tabs>
              <w:tab w:val="left" w:pos="440"/>
              <w:tab w:val="right" w:leader="dot" w:pos="9350"/>
            </w:tabs>
            <w:rPr>
              <w:rFonts w:asciiTheme="minorHAnsi" w:eastAsiaTheme="minorEastAsia" w:hAnsiTheme="minorHAnsi" w:cstheme="minorBidi"/>
              <w:noProof/>
              <w:kern w:val="2"/>
              <w:sz w:val="22"/>
              <w:lang w:eastAsia="en-GB"/>
              <w14:ligatures w14:val="standardContextual"/>
            </w:rPr>
          </w:pPr>
          <w:hyperlink w:anchor="_Toc155599373" w:history="1">
            <w:r w:rsidR="008E3132" w:rsidRPr="00851C8B">
              <w:rPr>
                <w:rStyle w:val="Hyperlink"/>
                <w:noProof/>
              </w:rPr>
              <w:t>5.</w:t>
            </w:r>
            <w:r w:rsidR="008E3132">
              <w:rPr>
                <w:rFonts w:asciiTheme="minorHAnsi" w:eastAsiaTheme="minorEastAsia" w:hAnsiTheme="minorHAnsi" w:cstheme="minorBidi"/>
                <w:noProof/>
                <w:kern w:val="2"/>
                <w:sz w:val="22"/>
                <w:lang w:eastAsia="en-GB"/>
                <w14:ligatures w14:val="standardContextual"/>
              </w:rPr>
              <w:tab/>
            </w:r>
            <w:r w:rsidR="008E3132" w:rsidRPr="00851C8B">
              <w:rPr>
                <w:rStyle w:val="Hyperlink"/>
                <w:noProof/>
              </w:rPr>
              <w:t>FINDINGS</w:t>
            </w:r>
            <w:r w:rsidR="008E3132">
              <w:rPr>
                <w:noProof/>
                <w:webHidden/>
              </w:rPr>
              <w:tab/>
              <w:t>14</w:t>
            </w:r>
          </w:hyperlink>
        </w:p>
        <w:p w14:paraId="6BBAD04B" w14:textId="74178793" w:rsidR="008E3132" w:rsidRDefault="00000000">
          <w:pPr>
            <w:pStyle w:val="TOC2"/>
            <w:tabs>
              <w:tab w:val="right" w:leader="dot" w:pos="9350"/>
            </w:tabs>
            <w:rPr>
              <w:rFonts w:asciiTheme="minorHAnsi" w:eastAsiaTheme="minorEastAsia" w:hAnsiTheme="minorHAnsi" w:cstheme="minorBidi"/>
              <w:noProof/>
              <w:kern w:val="2"/>
              <w:sz w:val="22"/>
              <w:lang w:eastAsia="en-GB"/>
              <w14:ligatures w14:val="standardContextual"/>
            </w:rPr>
          </w:pPr>
          <w:hyperlink w:anchor="_Toc155599374" w:history="1">
            <w:r w:rsidR="008E3132" w:rsidRPr="00851C8B">
              <w:rPr>
                <w:rStyle w:val="Hyperlink"/>
                <w:noProof/>
              </w:rPr>
              <w:t>Relevance/Coherence</w:t>
            </w:r>
            <w:r w:rsidR="008E3132">
              <w:rPr>
                <w:noProof/>
                <w:webHidden/>
              </w:rPr>
              <w:tab/>
              <w:t>14</w:t>
            </w:r>
          </w:hyperlink>
        </w:p>
        <w:p w14:paraId="78D5B877" w14:textId="567D00BA" w:rsidR="008E3132" w:rsidRDefault="00000000">
          <w:pPr>
            <w:pStyle w:val="TOC3"/>
            <w:tabs>
              <w:tab w:val="left" w:pos="1320"/>
              <w:tab w:val="right" w:leader="dot" w:pos="9350"/>
            </w:tabs>
            <w:rPr>
              <w:rFonts w:asciiTheme="minorHAnsi" w:eastAsiaTheme="minorEastAsia" w:hAnsiTheme="minorHAnsi" w:cstheme="minorBidi"/>
              <w:noProof/>
              <w:kern w:val="2"/>
              <w:sz w:val="22"/>
              <w:lang w:eastAsia="en-GB"/>
              <w14:ligatures w14:val="standardContextual"/>
            </w:rPr>
          </w:pPr>
          <w:hyperlink w:anchor="_Toc155599375" w:history="1">
            <w:r w:rsidR="008E3132" w:rsidRPr="00851C8B">
              <w:rPr>
                <w:rStyle w:val="Hyperlink"/>
                <w:noProof/>
              </w:rPr>
              <w:t>1.1.1</w:t>
            </w:r>
            <w:r w:rsidR="008E3132">
              <w:rPr>
                <w:rFonts w:asciiTheme="minorHAnsi" w:eastAsiaTheme="minorEastAsia" w:hAnsiTheme="minorHAnsi" w:cstheme="minorBidi"/>
                <w:noProof/>
                <w:kern w:val="2"/>
                <w:sz w:val="22"/>
                <w:lang w:eastAsia="en-GB"/>
                <w14:ligatures w14:val="standardContextual"/>
              </w:rPr>
              <w:tab/>
            </w:r>
            <w:r w:rsidR="008E3132" w:rsidRPr="00851C8B">
              <w:rPr>
                <w:rStyle w:val="Hyperlink"/>
                <w:noProof/>
              </w:rPr>
              <w:t>Relevance of the VET sector and the CBLLL project</w:t>
            </w:r>
            <w:r w:rsidR="008E3132">
              <w:rPr>
                <w:noProof/>
                <w:webHidden/>
              </w:rPr>
              <w:tab/>
              <w:t>14</w:t>
            </w:r>
          </w:hyperlink>
        </w:p>
        <w:p w14:paraId="3A12AABC" w14:textId="117C76B4" w:rsidR="008E3132" w:rsidRDefault="00000000">
          <w:pPr>
            <w:pStyle w:val="TOC3"/>
            <w:tabs>
              <w:tab w:val="left" w:pos="1320"/>
              <w:tab w:val="right" w:leader="dot" w:pos="9350"/>
            </w:tabs>
            <w:rPr>
              <w:rFonts w:asciiTheme="minorHAnsi" w:eastAsiaTheme="minorEastAsia" w:hAnsiTheme="minorHAnsi" w:cstheme="minorBidi"/>
              <w:noProof/>
              <w:kern w:val="2"/>
              <w:sz w:val="22"/>
              <w:lang w:eastAsia="en-GB"/>
              <w14:ligatures w14:val="standardContextual"/>
            </w:rPr>
          </w:pPr>
          <w:hyperlink w:anchor="_Toc155599376" w:history="1">
            <w:r w:rsidR="008E3132" w:rsidRPr="00851C8B">
              <w:rPr>
                <w:rStyle w:val="Hyperlink"/>
                <w:noProof/>
              </w:rPr>
              <w:t>1.1.2</w:t>
            </w:r>
            <w:r w:rsidR="008E3132">
              <w:rPr>
                <w:rFonts w:asciiTheme="minorHAnsi" w:eastAsiaTheme="minorEastAsia" w:hAnsiTheme="minorHAnsi" w:cstheme="minorBidi"/>
                <w:noProof/>
                <w:kern w:val="2"/>
                <w:sz w:val="22"/>
                <w:lang w:eastAsia="en-GB"/>
                <w14:ligatures w14:val="standardContextual"/>
              </w:rPr>
              <w:tab/>
            </w:r>
            <w:r w:rsidR="008E3132" w:rsidRPr="00851C8B">
              <w:rPr>
                <w:rStyle w:val="Hyperlink"/>
                <w:noProof/>
              </w:rPr>
              <w:t>Coherence and coordination with other VET programmes</w:t>
            </w:r>
            <w:r w:rsidR="008E3132">
              <w:rPr>
                <w:noProof/>
                <w:webHidden/>
              </w:rPr>
              <w:tab/>
              <w:t>15</w:t>
            </w:r>
          </w:hyperlink>
        </w:p>
        <w:p w14:paraId="792CD1B9" w14:textId="4AA4E517" w:rsidR="008E3132" w:rsidRDefault="00000000">
          <w:pPr>
            <w:pStyle w:val="TOC3"/>
            <w:tabs>
              <w:tab w:val="left" w:pos="1320"/>
              <w:tab w:val="right" w:leader="dot" w:pos="9350"/>
            </w:tabs>
            <w:rPr>
              <w:rFonts w:asciiTheme="minorHAnsi" w:eastAsiaTheme="minorEastAsia" w:hAnsiTheme="minorHAnsi" w:cstheme="minorBidi"/>
              <w:noProof/>
              <w:kern w:val="2"/>
              <w:sz w:val="22"/>
              <w:lang w:eastAsia="en-GB"/>
              <w14:ligatures w14:val="standardContextual"/>
            </w:rPr>
          </w:pPr>
          <w:hyperlink w:anchor="_Toc155599377" w:history="1">
            <w:r w:rsidR="008E3132" w:rsidRPr="00851C8B">
              <w:rPr>
                <w:rStyle w:val="Hyperlink"/>
                <w:noProof/>
                <w:lang w:val="en-US"/>
              </w:rPr>
              <w:t>1.1.3</w:t>
            </w:r>
            <w:r w:rsidR="008E3132">
              <w:rPr>
                <w:rFonts w:asciiTheme="minorHAnsi" w:eastAsiaTheme="minorEastAsia" w:hAnsiTheme="minorHAnsi" w:cstheme="minorBidi"/>
                <w:noProof/>
                <w:kern w:val="2"/>
                <w:sz w:val="22"/>
                <w:lang w:eastAsia="en-GB"/>
                <w14:ligatures w14:val="standardContextual"/>
              </w:rPr>
              <w:tab/>
            </w:r>
            <w:r w:rsidR="008E3132" w:rsidRPr="00851C8B">
              <w:rPr>
                <w:rStyle w:val="Hyperlink"/>
                <w:noProof/>
                <w:lang w:val="en-US"/>
              </w:rPr>
              <w:t>Design of the CBLLL project and its Theory of Change</w:t>
            </w:r>
            <w:r w:rsidR="008E3132">
              <w:rPr>
                <w:noProof/>
                <w:webHidden/>
              </w:rPr>
              <w:tab/>
              <w:t>16</w:t>
            </w:r>
          </w:hyperlink>
        </w:p>
        <w:p w14:paraId="4776A7D5" w14:textId="27899F0E" w:rsidR="008E3132" w:rsidRDefault="00000000">
          <w:pPr>
            <w:pStyle w:val="TOC2"/>
            <w:tabs>
              <w:tab w:val="right" w:leader="dot" w:pos="9350"/>
            </w:tabs>
            <w:rPr>
              <w:rFonts w:asciiTheme="minorHAnsi" w:eastAsiaTheme="minorEastAsia" w:hAnsiTheme="minorHAnsi" w:cstheme="minorBidi"/>
              <w:noProof/>
              <w:kern w:val="2"/>
              <w:sz w:val="22"/>
              <w:lang w:eastAsia="en-GB"/>
              <w14:ligatures w14:val="standardContextual"/>
            </w:rPr>
          </w:pPr>
          <w:hyperlink w:anchor="_Toc155599378" w:history="1">
            <w:r w:rsidR="008E3132" w:rsidRPr="00851C8B">
              <w:rPr>
                <w:rStyle w:val="Hyperlink"/>
                <w:noProof/>
              </w:rPr>
              <w:t>Effectiveness</w:t>
            </w:r>
            <w:r w:rsidR="008E3132">
              <w:rPr>
                <w:noProof/>
                <w:webHidden/>
              </w:rPr>
              <w:tab/>
              <w:t>17</w:t>
            </w:r>
          </w:hyperlink>
        </w:p>
        <w:p w14:paraId="2E117983" w14:textId="7C248B83" w:rsidR="008E3132" w:rsidRDefault="00000000">
          <w:pPr>
            <w:pStyle w:val="TOC3"/>
            <w:tabs>
              <w:tab w:val="left" w:pos="1320"/>
              <w:tab w:val="right" w:leader="dot" w:pos="9350"/>
            </w:tabs>
            <w:rPr>
              <w:rFonts w:asciiTheme="minorHAnsi" w:eastAsiaTheme="minorEastAsia" w:hAnsiTheme="minorHAnsi" w:cstheme="minorBidi"/>
              <w:noProof/>
              <w:kern w:val="2"/>
              <w:sz w:val="22"/>
              <w:lang w:eastAsia="en-GB"/>
              <w14:ligatures w14:val="standardContextual"/>
            </w:rPr>
          </w:pPr>
          <w:hyperlink w:anchor="_Toc155599379" w:history="1">
            <w:r w:rsidR="008E3132" w:rsidRPr="00851C8B">
              <w:rPr>
                <w:rStyle w:val="Hyperlink"/>
                <w:noProof/>
                <w:lang w:val="en-US"/>
              </w:rPr>
              <w:t>1.1.4</w:t>
            </w:r>
            <w:r w:rsidR="008E3132">
              <w:rPr>
                <w:rFonts w:asciiTheme="minorHAnsi" w:eastAsiaTheme="minorEastAsia" w:hAnsiTheme="minorHAnsi" w:cstheme="minorBidi"/>
                <w:noProof/>
                <w:kern w:val="2"/>
                <w:sz w:val="22"/>
                <w:lang w:eastAsia="en-GB"/>
                <w14:ligatures w14:val="standardContextual"/>
              </w:rPr>
              <w:tab/>
            </w:r>
            <w:r w:rsidR="008E3132" w:rsidRPr="00851C8B">
              <w:rPr>
                <w:rStyle w:val="Hyperlink"/>
                <w:noProof/>
                <w:lang w:val="en-US"/>
              </w:rPr>
              <w:t>Project outputs and outcomes successfully achieved</w:t>
            </w:r>
            <w:r w:rsidR="008E3132">
              <w:rPr>
                <w:noProof/>
                <w:webHidden/>
              </w:rPr>
              <w:tab/>
              <w:t>17</w:t>
            </w:r>
          </w:hyperlink>
        </w:p>
        <w:p w14:paraId="6F6F55FA" w14:textId="6DA108CA" w:rsidR="008E3132" w:rsidRDefault="00000000">
          <w:pPr>
            <w:pStyle w:val="TOC3"/>
            <w:tabs>
              <w:tab w:val="left" w:pos="1320"/>
              <w:tab w:val="right" w:leader="dot" w:pos="9350"/>
            </w:tabs>
            <w:rPr>
              <w:rFonts w:asciiTheme="minorHAnsi" w:eastAsiaTheme="minorEastAsia" w:hAnsiTheme="minorHAnsi" w:cstheme="minorBidi"/>
              <w:noProof/>
              <w:kern w:val="2"/>
              <w:sz w:val="22"/>
              <w:lang w:eastAsia="en-GB"/>
              <w14:ligatures w14:val="standardContextual"/>
            </w:rPr>
          </w:pPr>
          <w:hyperlink w:anchor="_Toc155599380" w:history="1">
            <w:r w:rsidR="008E3132" w:rsidRPr="00851C8B">
              <w:rPr>
                <w:rStyle w:val="Hyperlink"/>
                <w:noProof/>
              </w:rPr>
              <w:t>1.1.5</w:t>
            </w:r>
            <w:r w:rsidR="008E3132">
              <w:rPr>
                <w:rFonts w:asciiTheme="minorHAnsi" w:eastAsiaTheme="minorEastAsia" w:hAnsiTheme="minorHAnsi" w:cstheme="minorBidi"/>
                <w:noProof/>
                <w:kern w:val="2"/>
                <w:sz w:val="22"/>
                <w:lang w:eastAsia="en-GB"/>
                <w14:ligatures w14:val="standardContextual"/>
              </w:rPr>
              <w:tab/>
            </w:r>
            <w:r w:rsidR="008E3132" w:rsidRPr="00851C8B">
              <w:rPr>
                <w:rStyle w:val="Hyperlink"/>
                <w:noProof/>
              </w:rPr>
              <w:t>Factors contributing to effectiveness</w:t>
            </w:r>
            <w:r w:rsidR="008E3132">
              <w:rPr>
                <w:noProof/>
                <w:webHidden/>
              </w:rPr>
              <w:tab/>
              <w:t>18</w:t>
            </w:r>
          </w:hyperlink>
        </w:p>
        <w:p w14:paraId="1D424B4A" w14:textId="69AD44C0" w:rsidR="008E3132" w:rsidRDefault="00000000">
          <w:pPr>
            <w:pStyle w:val="TOC3"/>
            <w:tabs>
              <w:tab w:val="left" w:pos="1320"/>
              <w:tab w:val="right" w:leader="dot" w:pos="9350"/>
            </w:tabs>
            <w:rPr>
              <w:rFonts w:asciiTheme="minorHAnsi" w:eastAsiaTheme="minorEastAsia" w:hAnsiTheme="minorHAnsi" w:cstheme="minorBidi"/>
              <w:noProof/>
              <w:kern w:val="2"/>
              <w:sz w:val="22"/>
              <w:lang w:eastAsia="en-GB"/>
              <w14:ligatures w14:val="standardContextual"/>
            </w:rPr>
          </w:pPr>
          <w:hyperlink w:anchor="_Toc155599381" w:history="1">
            <w:r w:rsidR="008E3132" w:rsidRPr="00851C8B">
              <w:rPr>
                <w:rStyle w:val="Hyperlink"/>
                <w:noProof/>
              </w:rPr>
              <w:t>1.1.6</w:t>
            </w:r>
            <w:r w:rsidR="008E3132">
              <w:rPr>
                <w:rFonts w:asciiTheme="minorHAnsi" w:eastAsiaTheme="minorEastAsia" w:hAnsiTheme="minorHAnsi" w:cstheme="minorBidi"/>
                <w:noProof/>
                <w:kern w:val="2"/>
                <w:sz w:val="22"/>
                <w:lang w:eastAsia="en-GB"/>
                <w14:ligatures w14:val="standardContextual"/>
              </w:rPr>
              <w:tab/>
            </w:r>
            <w:r w:rsidR="008E3132" w:rsidRPr="00851C8B">
              <w:rPr>
                <w:rStyle w:val="Hyperlink"/>
                <w:noProof/>
              </w:rPr>
              <w:t>Factors that hampered effectiveness</w:t>
            </w:r>
            <w:r w:rsidR="008E3132">
              <w:rPr>
                <w:noProof/>
                <w:webHidden/>
              </w:rPr>
              <w:tab/>
              <w:t>18</w:t>
            </w:r>
          </w:hyperlink>
        </w:p>
        <w:p w14:paraId="134F05EA" w14:textId="3AC340A9" w:rsidR="008E3132" w:rsidRDefault="00000000">
          <w:pPr>
            <w:pStyle w:val="TOC3"/>
            <w:tabs>
              <w:tab w:val="left" w:pos="1320"/>
              <w:tab w:val="right" w:leader="dot" w:pos="9350"/>
            </w:tabs>
            <w:rPr>
              <w:rFonts w:asciiTheme="minorHAnsi" w:eastAsiaTheme="minorEastAsia" w:hAnsiTheme="minorHAnsi" w:cstheme="minorBidi"/>
              <w:noProof/>
              <w:kern w:val="2"/>
              <w:sz w:val="22"/>
              <w:lang w:eastAsia="en-GB"/>
              <w14:ligatures w14:val="standardContextual"/>
            </w:rPr>
          </w:pPr>
          <w:hyperlink w:anchor="_Toc155599382" w:history="1">
            <w:r w:rsidR="008E3132" w:rsidRPr="00851C8B">
              <w:rPr>
                <w:rStyle w:val="Hyperlink"/>
                <w:noProof/>
                <w:lang w:val="en-US"/>
              </w:rPr>
              <w:t>1.1.7</w:t>
            </w:r>
            <w:r w:rsidR="008E3132">
              <w:rPr>
                <w:rFonts w:asciiTheme="minorHAnsi" w:eastAsiaTheme="minorEastAsia" w:hAnsiTheme="minorHAnsi" w:cstheme="minorBidi"/>
                <w:noProof/>
                <w:kern w:val="2"/>
                <w:sz w:val="22"/>
                <w:lang w:eastAsia="en-GB"/>
                <w14:ligatures w14:val="standardContextual"/>
              </w:rPr>
              <w:tab/>
            </w:r>
            <w:r w:rsidR="008E3132" w:rsidRPr="00851C8B">
              <w:rPr>
                <w:rStyle w:val="Hyperlink"/>
                <w:noProof/>
                <w:lang w:val="en-US"/>
              </w:rPr>
              <w:t>Selection of implementing partners</w:t>
            </w:r>
            <w:r w:rsidR="008E3132">
              <w:rPr>
                <w:noProof/>
                <w:webHidden/>
              </w:rPr>
              <w:tab/>
              <w:t>19</w:t>
            </w:r>
          </w:hyperlink>
        </w:p>
        <w:p w14:paraId="59A2A60B" w14:textId="0CCAE41A" w:rsidR="008E3132" w:rsidRDefault="00000000">
          <w:pPr>
            <w:pStyle w:val="TOC2"/>
            <w:tabs>
              <w:tab w:val="right" w:leader="dot" w:pos="9350"/>
            </w:tabs>
            <w:rPr>
              <w:rFonts w:asciiTheme="minorHAnsi" w:eastAsiaTheme="minorEastAsia" w:hAnsiTheme="minorHAnsi" w:cstheme="minorBidi"/>
              <w:noProof/>
              <w:kern w:val="2"/>
              <w:sz w:val="22"/>
              <w:lang w:eastAsia="en-GB"/>
              <w14:ligatures w14:val="standardContextual"/>
            </w:rPr>
          </w:pPr>
          <w:hyperlink w:anchor="_Toc155599383" w:history="1">
            <w:r w:rsidR="008E3132" w:rsidRPr="00851C8B">
              <w:rPr>
                <w:rStyle w:val="Hyperlink"/>
                <w:noProof/>
              </w:rPr>
              <w:t>Efficiency</w:t>
            </w:r>
            <w:r w:rsidR="008E3132">
              <w:rPr>
                <w:noProof/>
                <w:webHidden/>
              </w:rPr>
              <w:tab/>
              <w:t>20</w:t>
            </w:r>
          </w:hyperlink>
        </w:p>
        <w:p w14:paraId="4FC8CB23" w14:textId="64979C2D" w:rsidR="008E3132" w:rsidRDefault="00000000">
          <w:pPr>
            <w:pStyle w:val="TOC3"/>
            <w:tabs>
              <w:tab w:val="left" w:pos="1320"/>
              <w:tab w:val="right" w:leader="dot" w:pos="9350"/>
            </w:tabs>
            <w:rPr>
              <w:rFonts w:asciiTheme="minorHAnsi" w:eastAsiaTheme="minorEastAsia" w:hAnsiTheme="minorHAnsi" w:cstheme="minorBidi"/>
              <w:noProof/>
              <w:kern w:val="2"/>
              <w:sz w:val="22"/>
              <w:lang w:eastAsia="en-GB"/>
              <w14:ligatures w14:val="standardContextual"/>
            </w:rPr>
          </w:pPr>
          <w:hyperlink w:anchor="_Toc155599384" w:history="1">
            <w:r w:rsidR="008E3132" w:rsidRPr="00851C8B">
              <w:rPr>
                <w:rStyle w:val="Hyperlink"/>
                <w:noProof/>
                <w:lang w:val="en-US"/>
              </w:rPr>
              <w:t>1.1.8</w:t>
            </w:r>
            <w:r w:rsidR="008E3132">
              <w:rPr>
                <w:rFonts w:asciiTheme="minorHAnsi" w:eastAsiaTheme="minorEastAsia" w:hAnsiTheme="minorHAnsi" w:cstheme="minorBidi"/>
                <w:noProof/>
                <w:kern w:val="2"/>
                <w:sz w:val="22"/>
                <w:lang w:eastAsia="en-GB"/>
                <w14:ligatures w14:val="standardContextual"/>
              </w:rPr>
              <w:tab/>
            </w:r>
            <w:r w:rsidR="008E3132" w:rsidRPr="00851C8B">
              <w:rPr>
                <w:rStyle w:val="Hyperlink"/>
                <w:noProof/>
                <w:lang w:val="en-US"/>
              </w:rPr>
              <w:t>Efficiency of project management structures and support</w:t>
            </w:r>
            <w:r w:rsidR="008E3132">
              <w:rPr>
                <w:noProof/>
                <w:webHidden/>
              </w:rPr>
              <w:tab/>
              <w:t>20</w:t>
            </w:r>
          </w:hyperlink>
        </w:p>
        <w:p w14:paraId="6525E111" w14:textId="4465479C" w:rsidR="008E3132" w:rsidRDefault="00000000">
          <w:pPr>
            <w:pStyle w:val="TOC3"/>
            <w:tabs>
              <w:tab w:val="left" w:pos="1320"/>
              <w:tab w:val="right" w:leader="dot" w:pos="9350"/>
            </w:tabs>
            <w:rPr>
              <w:rFonts w:asciiTheme="minorHAnsi" w:eastAsiaTheme="minorEastAsia" w:hAnsiTheme="minorHAnsi" w:cstheme="minorBidi"/>
              <w:noProof/>
              <w:kern w:val="2"/>
              <w:sz w:val="22"/>
              <w:lang w:eastAsia="en-GB"/>
              <w14:ligatures w14:val="standardContextual"/>
            </w:rPr>
          </w:pPr>
          <w:hyperlink w:anchor="_Toc155599385" w:history="1">
            <w:r w:rsidR="008E3132" w:rsidRPr="00851C8B">
              <w:rPr>
                <w:rStyle w:val="Hyperlink"/>
                <w:noProof/>
                <w:lang w:val="en-US"/>
              </w:rPr>
              <w:t>1.1.9</w:t>
            </w:r>
            <w:r w:rsidR="008E3132">
              <w:rPr>
                <w:rFonts w:asciiTheme="minorHAnsi" w:eastAsiaTheme="minorEastAsia" w:hAnsiTheme="minorHAnsi" w:cstheme="minorBidi"/>
                <w:noProof/>
                <w:kern w:val="2"/>
                <w:sz w:val="22"/>
                <w:lang w:eastAsia="en-GB"/>
                <w14:ligatures w14:val="standardContextual"/>
              </w:rPr>
              <w:tab/>
            </w:r>
            <w:r w:rsidR="008E3132" w:rsidRPr="00851C8B">
              <w:rPr>
                <w:rStyle w:val="Hyperlink"/>
                <w:noProof/>
                <w:lang w:val="en-US"/>
              </w:rPr>
              <w:t>Monitoring and reporting</w:t>
            </w:r>
            <w:r w:rsidR="008E3132">
              <w:rPr>
                <w:noProof/>
                <w:webHidden/>
              </w:rPr>
              <w:tab/>
              <w:t>21</w:t>
            </w:r>
          </w:hyperlink>
        </w:p>
        <w:p w14:paraId="793843D5" w14:textId="4A971FEB" w:rsidR="008E3132" w:rsidRDefault="00000000">
          <w:pPr>
            <w:pStyle w:val="TOC3"/>
            <w:tabs>
              <w:tab w:val="left" w:pos="1320"/>
              <w:tab w:val="right" w:leader="dot" w:pos="9350"/>
            </w:tabs>
            <w:rPr>
              <w:rFonts w:asciiTheme="minorHAnsi" w:eastAsiaTheme="minorEastAsia" w:hAnsiTheme="minorHAnsi" w:cstheme="minorBidi"/>
              <w:noProof/>
              <w:kern w:val="2"/>
              <w:sz w:val="22"/>
              <w:lang w:eastAsia="en-GB"/>
              <w14:ligatures w14:val="standardContextual"/>
            </w:rPr>
          </w:pPr>
          <w:hyperlink w:anchor="_Toc155599386" w:history="1">
            <w:r w:rsidR="008E3132" w:rsidRPr="00851C8B">
              <w:rPr>
                <w:rStyle w:val="Hyperlink"/>
                <w:noProof/>
                <w:lang w:val="en-US"/>
              </w:rPr>
              <w:t>1.1.10</w:t>
            </w:r>
            <w:r w:rsidR="008E3132">
              <w:rPr>
                <w:rFonts w:asciiTheme="minorHAnsi" w:eastAsiaTheme="minorEastAsia" w:hAnsiTheme="minorHAnsi" w:cstheme="minorBidi"/>
                <w:noProof/>
                <w:kern w:val="2"/>
                <w:sz w:val="22"/>
                <w:lang w:eastAsia="en-GB"/>
                <w14:ligatures w14:val="standardContextual"/>
              </w:rPr>
              <w:tab/>
            </w:r>
            <w:r w:rsidR="008E3132" w:rsidRPr="00851C8B">
              <w:rPr>
                <w:rStyle w:val="Hyperlink"/>
                <w:noProof/>
                <w:lang w:val="en-US"/>
              </w:rPr>
              <w:t>Efficient use of project resources</w:t>
            </w:r>
            <w:r w:rsidR="008E3132">
              <w:rPr>
                <w:noProof/>
                <w:webHidden/>
              </w:rPr>
              <w:tab/>
              <w:t>21</w:t>
            </w:r>
          </w:hyperlink>
        </w:p>
        <w:p w14:paraId="7E8F297A" w14:textId="6983C49A" w:rsidR="008E3132" w:rsidRDefault="00000000">
          <w:pPr>
            <w:pStyle w:val="TOC2"/>
            <w:tabs>
              <w:tab w:val="right" w:leader="dot" w:pos="9350"/>
            </w:tabs>
            <w:rPr>
              <w:rFonts w:asciiTheme="minorHAnsi" w:eastAsiaTheme="minorEastAsia" w:hAnsiTheme="minorHAnsi" w:cstheme="minorBidi"/>
              <w:noProof/>
              <w:kern w:val="2"/>
              <w:sz w:val="22"/>
              <w:lang w:eastAsia="en-GB"/>
              <w14:ligatures w14:val="standardContextual"/>
            </w:rPr>
          </w:pPr>
          <w:hyperlink w:anchor="_Toc155599387" w:history="1">
            <w:r w:rsidR="008E3132" w:rsidRPr="00851C8B">
              <w:rPr>
                <w:rStyle w:val="Hyperlink"/>
                <w:noProof/>
              </w:rPr>
              <w:t>Sustainability</w:t>
            </w:r>
            <w:r w:rsidR="008E3132">
              <w:rPr>
                <w:noProof/>
                <w:webHidden/>
              </w:rPr>
              <w:tab/>
              <w:t>21</w:t>
            </w:r>
          </w:hyperlink>
        </w:p>
        <w:p w14:paraId="55372B20" w14:textId="2B83844B" w:rsidR="008E3132" w:rsidRDefault="00000000">
          <w:pPr>
            <w:pStyle w:val="TOC3"/>
            <w:tabs>
              <w:tab w:val="left" w:pos="1320"/>
              <w:tab w:val="right" w:leader="dot" w:pos="9350"/>
            </w:tabs>
            <w:rPr>
              <w:rFonts w:asciiTheme="minorHAnsi" w:eastAsiaTheme="minorEastAsia" w:hAnsiTheme="minorHAnsi" w:cstheme="minorBidi"/>
              <w:noProof/>
              <w:kern w:val="2"/>
              <w:sz w:val="22"/>
              <w:lang w:eastAsia="en-GB"/>
              <w14:ligatures w14:val="standardContextual"/>
            </w:rPr>
          </w:pPr>
          <w:hyperlink w:anchor="_Toc155599388" w:history="1">
            <w:r w:rsidR="008E3132" w:rsidRPr="00851C8B">
              <w:rPr>
                <w:rStyle w:val="Hyperlink"/>
                <w:noProof/>
                <w:lang w:val="en-US"/>
              </w:rPr>
              <w:t>1.1.11</w:t>
            </w:r>
            <w:r w:rsidR="008E3132">
              <w:rPr>
                <w:rFonts w:asciiTheme="minorHAnsi" w:eastAsiaTheme="minorEastAsia" w:hAnsiTheme="minorHAnsi" w:cstheme="minorBidi"/>
                <w:noProof/>
                <w:kern w:val="2"/>
                <w:sz w:val="22"/>
                <w:lang w:eastAsia="en-GB"/>
                <w14:ligatures w14:val="standardContextual"/>
              </w:rPr>
              <w:tab/>
            </w:r>
            <w:r w:rsidR="008E3132" w:rsidRPr="00851C8B">
              <w:rPr>
                <w:rStyle w:val="Hyperlink"/>
                <w:noProof/>
                <w:lang w:val="en-US"/>
              </w:rPr>
              <w:t>Stability of implementing partners support sustainability, but need for new financial resources</w:t>
            </w:r>
            <w:r w:rsidR="008E3132">
              <w:rPr>
                <w:noProof/>
                <w:webHidden/>
              </w:rPr>
              <w:tab/>
              <w:t>21</w:t>
            </w:r>
          </w:hyperlink>
        </w:p>
        <w:p w14:paraId="407E4391" w14:textId="24E60C21" w:rsidR="008E3132" w:rsidRDefault="00000000">
          <w:pPr>
            <w:pStyle w:val="TOC2"/>
            <w:tabs>
              <w:tab w:val="right" w:leader="dot" w:pos="9350"/>
            </w:tabs>
            <w:rPr>
              <w:rFonts w:asciiTheme="minorHAnsi" w:eastAsiaTheme="minorEastAsia" w:hAnsiTheme="minorHAnsi" w:cstheme="minorBidi"/>
              <w:noProof/>
              <w:kern w:val="2"/>
              <w:sz w:val="22"/>
              <w:lang w:eastAsia="en-GB"/>
              <w14:ligatures w14:val="standardContextual"/>
            </w:rPr>
          </w:pPr>
          <w:hyperlink w:anchor="_Toc155599389" w:history="1">
            <w:r w:rsidR="008E3132" w:rsidRPr="00851C8B">
              <w:rPr>
                <w:rStyle w:val="Hyperlink"/>
                <w:noProof/>
              </w:rPr>
              <w:t>Cross-cutting issues</w:t>
            </w:r>
            <w:r w:rsidR="008E3132">
              <w:rPr>
                <w:noProof/>
                <w:webHidden/>
              </w:rPr>
              <w:tab/>
              <w:t>22</w:t>
            </w:r>
          </w:hyperlink>
        </w:p>
        <w:p w14:paraId="46F2DC74" w14:textId="499791B6" w:rsidR="008E3132" w:rsidRDefault="00000000">
          <w:pPr>
            <w:pStyle w:val="TOC3"/>
            <w:tabs>
              <w:tab w:val="left" w:pos="1320"/>
              <w:tab w:val="right" w:leader="dot" w:pos="9350"/>
            </w:tabs>
            <w:rPr>
              <w:rFonts w:asciiTheme="minorHAnsi" w:eastAsiaTheme="minorEastAsia" w:hAnsiTheme="minorHAnsi" w:cstheme="minorBidi"/>
              <w:noProof/>
              <w:kern w:val="2"/>
              <w:sz w:val="22"/>
              <w:lang w:eastAsia="en-GB"/>
              <w14:ligatures w14:val="standardContextual"/>
            </w:rPr>
          </w:pPr>
          <w:hyperlink w:anchor="_Toc155599390" w:history="1">
            <w:r w:rsidR="008E3132" w:rsidRPr="00851C8B">
              <w:rPr>
                <w:rStyle w:val="Hyperlink"/>
                <w:rFonts w:asciiTheme="majorHAnsi" w:eastAsiaTheme="majorEastAsia" w:hAnsiTheme="majorHAnsi" w:cstheme="majorBidi"/>
                <w:b/>
                <w:bCs/>
                <w:noProof/>
                <w:lang w:val="en-US"/>
              </w:rPr>
              <w:t>1.1.12</w:t>
            </w:r>
            <w:r w:rsidR="008E3132">
              <w:rPr>
                <w:rFonts w:asciiTheme="minorHAnsi" w:eastAsiaTheme="minorEastAsia" w:hAnsiTheme="minorHAnsi" w:cstheme="minorBidi"/>
                <w:noProof/>
                <w:kern w:val="2"/>
                <w:sz w:val="22"/>
                <w:lang w:eastAsia="en-GB"/>
                <w14:ligatures w14:val="standardContextual"/>
              </w:rPr>
              <w:tab/>
            </w:r>
            <w:r w:rsidR="008E3132" w:rsidRPr="00851C8B">
              <w:rPr>
                <w:rStyle w:val="Hyperlink"/>
                <w:rFonts w:asciiTheme="majorHAnsi" w:eastAsiaTheme="majorEastAsia" w:hAnsiTheme="majorHAnsi" w:cstheme="majorBidi"/>
                <w:b/>
                <w:bCs/>
                <w:noProof/>
                <w:lang w:val="en-US"/>
              </w:rPr>
              <w:t>Gender equality promoted by the project</w:t>
            </w:r>
            <w:r w:rsidR="008E3132">
              <w:rPr>
                <w:noProof/>
                <w:webHidden/>
              </w:rPr>
              <w:tab/>
              <w:t>22</w:t>
            </w:r>
          </w:hyperlink>
        </w:p>
        <w:p w14:paraId="6E00329E" w14:textId="2550F626" w:rsidR="008E3132" w:rsidRDefault="00000000">
          <w:pPr>
            <w:pStyle w:val="TOC3"/>
            <w:tabs>
              <w:tab w:val="left" w:pos="1320"/>
              <w:tab w:val="right" w:leader="dot" w:pos="9350"/>
            </w:tabs>
            <w:rPr>
              <w:rFonts w:asciiTheme="minorHAnsi" w:eastAsiaTheme="minorEastAsia" w:hAnsiTheme="minorHAnsi" w:cstheme="minorBidi"/>
              <w:noProof/>
              <w:kern w:val="2"/>
              <w:sz w:val="22"/>
              <w:lang w:eastAsia="en-GB"/>
              <w14:ligatures w14:val="standardContextual"/>
            </w:rPr>
          </w:pPr>
          <w:hyperlink w:anchor="_Toc155599391" w:history="1">
            <w:r w:rsidR="008E3132" w:rsidRPr="00851C8B">
              <w:rPr>
                <w:rStyle w:val="Hyperlink"/>
                <w:noProof/>
                <w:lang w:val="en-US"/>
              </w:rPr>
              <w:t>1.1.13</w:t>
            </w:r>
            <w:r w:rsidR="008E3132">
              <w:rPr>
                <w:rFonts w:asciiTheme="minorHAnsi" w:eastAsiaTheme="minorEastAsia" w:hAnsiTheme="minorHAnsi" w:cstheme="minorBidi"/>
                <w:noProof/>
                <w:kern w:val="2"/>
                <w:sz w:val="22"/>
                <w:lang w:eastAsia="en-GB"/>
                <w14:ligatures w14:val="standardContextual"/>
              </w:rPr>
              <w:tab/>
            </w:r>
            <w:r w:rsidR="008E3132" w:rsidRPr="00851C8B">
              <w:rPr>
                <w:rStyle w:val="Hyperlink"/>
                <w:noProof/>
                <w:lang w:val="en-US"/>
              </w:rPr>
              <w:t>Human rights of vulnerable groups upheld by the CBLLL project</w:t>
            </w:r>
            <w:r w:rsidR="008E3132">
              <w:rPr>
                <w:noProof/>
                <w:webHidden/>
              </w:rPr>
              <w:tab/>
              <w:t>23</w:t>
            </w:r>
          </w:hyperlink>
        </w:p>
        <w:p w14:paraId="18A2C77E" w14:textId="7EABF6E5" w:rsidR="008E3132" w:rsidRDefault="00000000">
          <w:pPr>
            <w:pStyle w:val="TOC3"/>
            <w:tabs>
              <w:tab w:val="left" w:pos="1320"/>
              <w:tab w:val="right" w:leader="dot" w:pos="9350"/>
            </w:tabs>
            <w:rPr>
              <w:rFonts w:asciiTheme="minorHAnsi" w:eastAsiaTheme="minorEastAsia" w:hAnsiTheme="minorHAnsi" w:cstheme="minorBidi"/>
              <w:noProof/>
              <w:kern w:val="2"/>
              <w:sz w:val="22"/>
              <w:lang w:eastAsia="en-GB"/>
              <w14:ligatures w14:val="standardContextual"/>
            </w:rPr>
          </w:pPr>
          <w:hyperlink w:anchor="_Toc155599392" w:history="1">
            <w:r w:rsidR="008E3132" w:rsidRPr="00851C8B">
              <w:rPr>
                <w:rStyle w:val="Hyperlink"/>
                <w:noProof/>
                <w:lang w:val="en-US"/>
              </w:rPr>
              <w:t>1.1.14</w:t>
            </w:r>
            <w:r w:rsidR="008E3132">
              <w:rPr>
                <w:rFonts w:asciiTheme="minorHAnsi" w:eastAsiaTheme="minorEastAsia" w:hAnsiTheme="minorHAnsi" w:cstheme="minorBidi"/>
                <w:noProof/>
                <w:kern w:val="2"/>
                <w:sz w:val="22"/>
                <w:lang w:eastAsia="en-GB"/>
                <w14:ligatures w14:val="standardContextual"/>
              </w:rPr>
              <w:tab/>
            </w:r>
            <w:r w:rsidR="008E3132" w:rsidRPr="00851C8B">
              <w:rPr>
                <w:rStyle w:val="Hyperlink"/>
                <w:noProof/>
                <w:lang w:val="en-US"/>
              </w:rPr>
              <w:t>The involvement of persons with disabilities</w:t>
            </w:r>
            <w:r w:rsidR="008E3132">
              <w:rPr>
                <w:noProof/>
                <w:webHidden/>
              </w:rPr>
              <w:tab/>
              <w:t>23</w:t>
            </w:r>
          </w:hyperlink>
        </w:p>
        <w:p w14:paraId="37CBFC6C" w14:textId="1761AF6B" w:rsidR="008E3132" w:rsidRDefault="00000000">
          <w:pPr>
            <w:pStyle w:val="TOC1"/>
            <w:tabs>
              <w:tab w:val="left" w:pos="440"/>
              <w:tab w:val="right" w:leader="dot" w:pos="9350"/>
            </w:tabs>
            <w:rPr>
              <w:rFonts w:asciiTheme="minorHAnsi" w:eastAsiaTheme="minorEastAsia" w:hAnsiTheme="minorHAnsi" w:cstheme="minorBidi"/>
              <w:noProof/>
              <w:kern w:val="2"/>
              <w:sz w:val="22"/>
              <w:lang w:eastAsia="en-GB"/>
              <w14:ligatures w14:val="standardContextual"/>
            </w:rPr>
          </w:pPr>
          <w:hyperlink w:anchor="_Toc155599393" w:history="1">
            <w:r w:rsidR="008E3132" w:rsidRPr="00851C8B">
              <w:rPr>
                <w:rStyle w:val="Hyperlink"/>
                <w:noProof/>
              </w:rPr>
              <w:t>6.</w:t>
            </w:r>
            <w:r w:rsidR="008E3132">
              <w:rPr>
                <w:rFonts w:asciiTheme="minorHAnsi" w:eastAsiaTheme="minorEastAsia" w:hAnsiTheme="minorHAnsi" w:cstheme="minorBidi"/>
                <w:noProof/>
                <w:kern w:val="2"/>
                <w:sz w:val="22"/>
                <w:lang w:eastAsia="en-GB"/>
                <w14:ligatures w14:val="standardContextual"/>
              </w:rPr>
              <w:tab/>
            </w:r>
            <w:r w:rsidR="008E3132" w:rsidRPr="00851C8B">
              <w:rPr>
                <w:rStyle w:val="Hyperlink"/>
                <w:noProof/>
              </w:rPr>
              <w:t>CONCLUSIONS</w:t>
            </w:r>
            <w:r w:rsidR="008E3132">
              <w:rPr>
                <w:noProof/>
                <w:webHidden/>
              </w:rPr>
              <w:tab/>
              <w:t>24</w:t>
            </w:r>
          </w:hyperlink>
        </w:p>
        <w:p w14:paraId="279F984C" w14:textId="1DE3FE64" w:rsidR="008E3132" w:rsidRDefault="00000000">
          <w:pPr>
            <w:pStyle w:val="TOC1"/>
            <w:tabs>
              <w:tab w:val="left" w:pos="440"/>
              <w:tab w:val="right" w:leader="dot" w:pos="9350"/>
            </w:tabs>
            <w:rPr>
              <w:rFonts w:asciiTheme="minorHAnsi" w:eastAsiaTheme="minorEastAsia" w:hAnsiTheme="minorHAnsi" w:cstheme="minorBidi"/>
              <w:noProof/>
              <w:kern w:val="2"/>
              <w:sz w:val="22"/>
              <w:lang w:eastAsia="en-GB"/>
              <w14:ligatures w14:val="standardContextual"/>
            </w:rPr>
          </w:pPr>
          <w:hyperlink w:anchor="_Toc155599394" w:history="1">
            <w:r w:rsidR="008E3132" w:rsidRPr="00851C8B">
              <w:rPr>
                <w:rStyle w:val="Hyperlink"/>
                <w:noProof/>
              </w:rPr>
              <w:t>7.</w:t>
            </w:r>
            <w:r w:rsidR="008E3132">
              <w:rPr>
                <w:rFonts w:asciiTheme="minorHAnsi" w:eastAsiaTheme="minorEastAsia" w:hAnsiTheme="minorHAnsi" w:cstheme="minorBidi"/>
                <w:noProof/>
                <w:kern w:val="2"/>
                <w:sz w:val="22"/>
                <w:lang w:eastAsia="en-GB"/>
                <w14:ligatures w14:val="standardContextual"/>
              </w:rPr>
              <w:tab/>
            </w:r>
            <w:r w:rsidR="008E3132" w:rsidRPr="00851C8B">
              <w:rPr>
                <w:rStyle w:val="Hyperlink"/>
                <w:noProof/>
              </w:rPr>
              <w:t>RECOMMENDATIONS</w:t>
            </w:r>
            <w:r w:rsidR="008E3132">
              <w:rPr>
                <w:noProof/>
                <w:webHidden/>
              </w:rPr>
              <w:tab/>
              <w:t>25</w:t>
            </w:r>
          </w:hyperlink>
        </w:p>
        <w:p w14:paraId="30A26604" w14:textId="76BD22B4" w:rsidR="008E3132" w:rsidRDefault="00000000">
          <w:pPr>
            <w:pStyle w:val="TOC1"/>
            <w:tabs>
              <w:tab w:val="left" w:pos="440"/>
              <w:tab w:val="right" w:leader="dot" w:pos="9350"/>
            </w:tabs>
            <w:rPr>
              <w:rFonts w:asciiTheme="minorHAnsi" w:eastAsiaTheme="minorEastAsia" w:hAnsiTheme="minorHAnsi" w:cstheme="minorBidi"/>
              <w:noProof/>
              <w:kern w:val="2"/>
              <w:sz w:val="22"/>
              <w:lang w:eastAsia="en-GB"/>
              <w14:ligatures w14:val="standardContextual"/>
            </w:rPr>
          </w:pPr>
          <w:hyperlink w:anchor="_Toc155599395" w:history="1">
            <w:r w:rsidR="008E3132" w:rsidRPr="00851C8B">
              <w:rPr>
                <w:rStyle w:val="Hyperlink"/>
                <w:noProof/>
              </w:rPr>
              <w:t>8.</w:t>
            </w:r>
            <w:r w:rsidR="008E3132">
              <w:rPr>
                <w:rFonts w:asciiTheme="minorHAnsi" w:eastAsiaTheme="minorEastAsia" w:hAnsiTheme="minorHAnsi" w:cstheme="minorBidi"/>
                <w:noProof/>
                <w:kern w:val="2"/>
                <w:sz w:val="22"/>
                <w:lang w:eastAsia="en-GB"/>
                <w14:ligatures w14:val="standardContextual"/>
              </w:rPr>
              <w:tab/>
            </w:r>
            <w:r w:rsidR="008E3132" w:rsidRPr="00851C8B">
              <w:rPr>
                <w:rStyle w:val="Hyperlink"/>
                <w:noProof/>
              </w:rPr>
              <w:t>LESSONS LEARNED</w:t>
            </w:r>
            <w:r w:rsidR="008E3132">
              <w:rPr>
                <w:noProof/>
                <w:webHidden/>
              </w:rPr>
              <w:tab/>
              <w:t>26</w:t>
            </w:r>
          </w:hyperlink>
        </w:p>
        <w:p w14:paraId="61306917" w14:textId="5700576C" w:rsidR="008E3132" w:rsidRDefault="00000000">
          <w:pPr>
            <w:pStyle w:val="TOC2"/>
            <w:tabs>
              <w:tab w:val="right" w:leader="dot" w:pos="9350"/>
            </w:tabs>
            <w:rPr>
              <w:rFonts w:asciiTheme="minorHAnsi" w:eastAsiaTheme="minorEastAsia" w:hAnsiTheme="minorHAnsi" w:cstheme="minorBidi"/>
              <w:noProof/>
              <w:kern w:val="2"/>
              <w:sz w:val="22"/>
              <w:lang w:eastAsia="en-GB"/>
              <w14:ligatures w14:val="standardContextual"/>
            </w:rPr>
          </w:pPr>
          <w:hyperlink w:anchor="_Toc155599396" w:history="1">
            <w:r w:rsidR="008E3132" w:rsidRPr="00851C8B">
              <w:rPr>
                <w:rStyle w:val="Hyperlink"/>
                <w:noProof/>
              </w:rPr>
              <w:t>Teaching skills, educational tools and infrastructure can be developed, but</w:t>
            </w:r>
            <w:r w:rsidR="008E3132">
              <w:rPr>
                <w:noProof/>
                <w:webHidden/>
              </w:rPr>
              <w:tab/>
              <w:t>26</w:t>
            </w:r>
          </w:hyperlink>
        </w:p>
        <w:p w14:paraId="193C75B1" w14:textId="7466337E" w:rsidR="008E3132" w:rsidRDefault="00000000">
          <w:pPr>
            <w:pStyle w:val="TOC2"/>
            <w:tabs>
              <w:tab w:val="right" w:leader="dot" w:pos="9350"/>
            </w:tabs>
            <w:rPr>
              <w:rFonts w:asciiTheme="minorHAnsi" w:eastAsiaTheme="minorEastAsia" w:hAnsiTheme="minorHAnsi" w:cstheme="minorBidi"/>
              <w:noProof/>
              <w:kern w:val="2"/>
              <w:sz w:val="22"/>
              <w:lang w:eastAsia="en-GB"/>
              <w14:ligatures w14:val="standardContextual"/>
            </w:rPr>
          </w:pPr>
          <w:hyperlink w:anchor="_Toc155599397" w:history="1">
            <w:r w:rsidR="008E3132" w:rsidRPr="00851C8B">
              <w:rPr>
                <w:rStyle w:val="Hyperlink"/>
                <w:noProof/>
              </w:rPr>
              <w:t>mind-sets remain</w:t>
            </w:r>
            <w:r w:rsidR="008E3132">
              <w:rPr>
                <w:noProof/>
                <w:webHidden/>
              </w:rPr>
              <w:tab/>
              <w:t>26</w:t>
            </w:r>
          </w:hyperlink>
        </w:p>
        <w:p w14:paraId="3F7BD514" w14:textId="3EB94D8C" w:rsidR="008E3132" w:rsidRDefault="00000000">
          <w:pPr>
            <w:pStyle w:val="TOC2"/>
            <w:tabs>
              <w:tab w:val="right" w:leader="dot" w:pos="9350"/>
            </w:tabs>
            <w:rPr>
              <w:rFonts w:asciiTheme="minorHAnsi" w:eastAsiaTheme="minorEastAsia" w:hAnsiTheme="minorHAnsi" w:cstheme="minorBidi"/>
              <w:noProof/>
              <w:kern w:val="2"/>
              <w:sz w:val="22"/>
              <w:lang w:eastAsia="en-GB"/>
              <w14:ligatures w14:val="standardContextual"/>
            </w:rPr>
          </w:pPr>
          <w:hyperlink w:anchor="_Toc155599398" w:history="1">
            <w:r w:rsidR="008E3132" w:rsidRPr="00851C8B">
              <w:rPr>
                <w:rStyle w:val="Hyperlink"/>
                <w:noProof/>
              </w:rPr>
              <w:t>Even in the era of the “gig-economy”, not everyone wants to be an entrepreneur</w:t>
            </w:r>
            <w:r w:rsidR="008E3132">
              <w:rPr>
                <w:noProof/>
                <w:webHidden/>
              </w:rPr>
              <w:tab/>
              <w:t>27</w:t>
            </w:r>
          </w:hyperlink>
        </w:p>
        <w:p w14:paraId="0CAA2893" w14:textId="4B167450" w:rsidR="008E3132" w:rsidRDefault="00000000">
          <w:pPr>
            <w:pStyle w:val="TOC2"/>
            <w:tabs>
              <w:tab w:val="right" w:leader="dot" w:pos="9350"/>
            </w:tabs>
            <w:rPr>
              <w:rFonts w:asciiTheme="minorHAnsi" w:eastAsiaTheme="minorEastAsia" w:hAnsiTheme="minorHAnsi" w:cstheme="minorBidi"/>
              <w:noProof/>
              <w:kern w:val="2"/>
              <w:sz w:val="22"/>
              <w:lang w:eastAsia="en-GB"/>
              <w14:ligatures w14:val="standardContextual"/>
            </w:rPr>
          </w:pPr>
          <w:hyperlink w:anchor="_Toc155599399" w:history="1">
            <w:r w:rsidR="008E3132" w:rsidRPr="00851C8B">
              <w:rPr>
                <w:rStyle w:val="Hyperlink"/>
                <w:noProof/>
              </w:rPr>
              <w:t>Local and regional authorities have to be on-board to address contextual project challenges</w:t>
            </w:r>
            <w:r w:rsidR="008E3132">
              <w:rPr>
                <w:noProof/>
                <w:webHidden/>
              </w:rPr>
              <w:tab/>
              <w:t>27</w:t>
            </w:r>
          </w:hyperlink>
        </w:p>
        <w:p w14:paraId="76E34DBD" w14:textId="6435F6A0" w:rsidR="008E3132" w:rsidRDefault="00000000">
          <w:pPr>
            <w:pStyle w:val="TOC1"/>
            <w:tabs>
              <w:tab w:val="left" w:pos="440"/>
              <w:tab w:val="right" w:leader="dot" w:pos="9350"/>
            </w:tabs>
            <w:rPr>
              <w:rFonts w:asciiTheme="minorHAnsi" w:eastAsiaTheme="minorEastAsia" w:hAnsiTheme="minorHAnsi" w:cstheme="minorBidi"/>
              <w:noProof/>
              <w:kern w:val="2"/>
              <w:sz w:val="22"/>
              <w:lang w:eastAsia="en-GB"/>
              <w14:ligatures w14:val="standardContextual"/>
            </w:rPr>
          </w:pPr>
          <w:hyperlink w:anchor="_Toc155599400" w:history="1">
            <w:r w:rsidR="008E3132" w:rsidRPr="00851C8B">
              <w:rPr>
                <w:rStyle w:val="Hyperlink"/>
                <w:noProof/>
              </w:rPr>
              <w:t>9.</w:t>
            </w:r>
            <w:r w:rsidR="008E3132">
              <w:rPr>
                <w:rFonts w:asciiTheme="minorHAnsi" w:eastAsiaTheme="minorEastAsia" w:hAnsiTheme="minorHAnsi" w:cstheme="minorBidi"/>
                <w:noProof/>
                <w:kern w:val="2"/>
                <w:sz w:val="22"/>
                <w:lang w:eastAsia="en-GB"/>
                <w14:ligatures w14:val="standardContextual"/>
              </w:rPr>
              <w:tab/>
            </w:r>
            <w:r w:rsidR="008E3132" w:rsidRPr="00851C8B">
              <w:rPr>
                <w:rStyle w:val="Hyperlink"/>
                <w:noProof/>
              </w:rPr>
              <w:t>ANNEXES</w:t>
            </w:r>
            <w:r w:rsidR="008E3132">
              <w:rPr>
                <w:noProof/>
                <w:webHidden/>
              </w:rPr>
              <w:tab/>
              <w:t>28</w:t>
            </w:r>
          </w:hyperlink>
        </w:p>
        <w:p w14:paraId="092A50A9" w14:textId="3D579AA4" w:rsidR="008E3132" w:rsidRDefault="00000000">
          <w:pPr>
            <w:pStyle w:val="TOC2"/>
            <w:tabs>
              <w:tab w:val="right" w:leader="dot" w:pos="9350"/>
            </w:tabs>
            <w:rPr>
              <w:rFonts w:asciiTheme="minorHAnsi" w:eastAsiaTheme="minorEastAsia" w:hAnsiTheme="minorHAnsi" w:cstheme="minorBidi"/>
              <w:noProof/>
              <w:kern w:val="2"/>
              <w:sz w:val="22"/>
              <w:lang w:eastAsia="en-GB"/>
              <w14:ligatures w14:val="standardContextual"/>
            </w:rPr>
          </w:pPr>
          <w:hyperlink w:anchor="_Toc155599401" w:history="1">
            <w:r w:rsidR="008E3132" w:rsidRPr="00851C8B">
              <w:rPr>
                <w:rStyle w:val="Hyperlink"/>
                <w:noProof/>
              </w:rPr>
              <w:t>Annex 1</w:t>
            </w:r>
            <w:r w:rsidR="008E3132">
              <w:rPr>
                <w:noProof/>
                <w:webHidden/>
              </w:rPr>
              <w:tab/>
              <w:t>28</w:t>
            </w:r>
          </w:hyperlink>
        </w:p>
        <w:p w14:paraId="376526C2" w14:textId="6BD7BCC0" w:rsidR="008E3132" w:rsidRDefault="00000000">
          <w:pPr>
            <w:pStyle w:val="TOC2"/>
            <w:tabs>
              <w:tab w:val="right" w:leader="dot" w:pos="9350"/>
            </w:tabs>
            <w:rPr>
              <w:rFonts w:asciiTheme="minorHAnsi" w:eastAsiaTheme="minorEastAsia" w:hAnsiTheme="minorHAnsi" w:cstheme="minorBidi"/>
              <w:noProof/>
              <w:kern w:val="2"/>
              <w:sz w:val="22"/>
              <w:lang w:eastAsia="en-GB"/>
              <w14:ligatures w14:val="standardContextual"/>
            </w:rPr>
          </w:pPr>
          <w:hyperlink w:anchor="_Toc155599402" w:history="1">
            <w:r w:rsidR="008E3132" w:rsidRPr="00851C8B">
              <w:rPr>
                <w:rStyle w:val="Hyperlink"/>
                <w:noProof/>
              </w:rPr>
              <w:t>Annex 2</w:t>
            </w:r>
            <w:r w:rsidR="008E3132">
              <w:rPr>
                <w:noProof/>
                <w:webHidden/>
              </w:rPr>
              <w:tab/>
              <w:t>33</w:t>
            </w:r>
          </w:hyperlink>
        </w:p>
        <w:p w14:paraId="3E8C9F44" w14:textId="21E099C7" w:rsidR="008E3132" w:rsidRDefault="00000000">
          <w:pPr>
            <w:pStyle w:val="TOC2"/>
            <w:tabs>
              <w:tab w:val="right" w:leader="dot" w:pos="9350"/>
            </w:tabs>
            <w:rPr>
              <w:rFonts w:asciiTheme="minorHAnsi" w:eastAsiaTheme="minorEastAsia" w:hAnsiTheme="minorHAnsi" w:cstheme="minorBidi"/>
              <w:noProof/>
              <w:kern w:val="2"/>
              <w:sz w:val="22"/>
              <w:lang w:eastAsia="en-GB"/>
              <w14:ligatures w14:val="standardContextual"/>
            </w:rPr>
          </w:pPr>
          <w:hyperlink w:anchor="_Toc155599403" w:history="1">
            <w:r w:rsidR="008E3132" w:rsidRPr="00851C8B">
              <w:rPr>
                <w:rStyle w:val="Hyperlink"/>
                <w:noProof/>
              </w:rPr>
              <w:t>Annex 3</w:t>
            </w:r>
            <w:r w:rsidR="008E3132">
              <w:rPr>
                <w:noProof/>
                <w:webHidden/>
              </w:rPr>
              <w:tab/>
              <w:t>35</w:t>
            </w:r>
          </w:hyperlink>
        </w:p>
        <w:p w14:paraId="33C6D5C9" w14:textId="20BC8727" w:rsidR="008E3132" w:rsidRDefault="00000000">
          <w:pPr>
            <w:pStyle w:val="TOC2"/>
            <w:tabs>
              <w:tab w:val="right" w:leader="dot" w:pos="9350"/>
            </w:tabs>
            <w:rPr>
              <w:rFonts w:asciiTheme="minorHAnsi" w:eastAsiaTheme="minorEastAsia" w:hAnsiTheme="minorHAnsi" w:cstheme="minorBidi"/>
              <w:noProof/>
              <w:kern w:val="2"/>
              <w:sz w:val="22"/>
              <w:lang w:eastAsia="en-GB"/>
              <w14:ligatures w14:val="standardContextual"/>
            </w:rPr>
          </w:pPr>
          <w:hyperlink w:anchor="_Toc155599404" w:history="1">
            <w:r w:rsidR="008E3132" w:rsidRPr="00851C8B">
              <w:rPr>
                <w:rStyle w:val="Hyperlink"/>
                <w:noProof/>
              </w:rPr>
              <w:t>Annex 4</w:t>
            </w:r>
            <w:r w:rsidR="008E3132">
              <w:rPr>
                <w:noProof/>
                <w:webHidden/>
              </w:rPr>
              <w:tab/>
              <w:t>38</w:t>
            </w:r>
          </w:hyperlink>
        </w:p>
        <w:p w14:paraId="59984927" w14:textId="6E0450F1" w:rsidR="00467147" w:rsidRPr="007C3EC5" w:rsidRDefault="00000000" w:rsidP="00DD0528">
          <w:pPr>
            <w:rPr>
              <w:lang w:val="en-US"/>
            </w:rPr>
          </w:pPr>
        </w:p>
      </w:sdtContent>
    </w:sdt>
    <w:p w14:paraId="423B48C4" w14:textId="77777777" w:rsidR="007B043F" w:rsidRPr="007C3EC5" w:rsidRDefault="007B043F" w:rsidP="00DD0528">
      <w:pPr>
        <w:rPr>
          <w:lang w:val="en-US"/>
        </w:rPr>
      </w:pPr>
    </w:p>
    <w:p w14:paraId="77635ABF" w14:textId="77777777" w:rsidR="007B043F" w:rsidRPr="007C3EC5" w:rsidRDefault="007B043F" w:rsidP="00DD0528">
      <w:pPr>
        <w:rPr>
          <w:lang w:val="en-US"/>
        </w:rPr>
      </w:pPr>
    </w:p>
    <w:p w14:paraId="399D3F88" w14:textId="77777777" w:rsidR="007B043F" w:rsidRPr="007C3EC5" w:rsidRDefault="007B043F" w:rsidP="00DD0528">
      <w:pPr>
        <w:rPr>
          <w:lang w:val="en-US"/>
        </w:rPr>
      </w:pPr>
    </w:p>
    <w:p w14:paraId="609B1ED8" w14:textId="77777777" w:rsidR="007B043F" w:rsidRPr="007C3EC5" w:rsidRDefault="007B043F" w:rsidP="00DD0528">
      <w:pPr>
        <w:rPr>
          <w:lang w:val="en-US"/>
        </w:rPr>
      </w:pPr>
    </w:p>
    <w:p w14:paraId="39FB2786" w14:textId="77777777" w:rsidR="00C55C35" w:rsidRPr="007C3EC5" w:rsidRDefault="00C55C35" w:rsidP="00DD0528">
      <w:pPr>
        <w:rPr>
          <w:lang w:val="en-US"/>
        </w:rPr>
      </w:pPr>
    </w:p>
    <w:p w14:paraId="73281E76" w14:textId="77777777" w:rsidR="004173F0" w:rsidRPr="007C3EC5" w:rsidRDefault="004173F0" w:rsidP="00DD0528">
      <w:pPr>
        <w:rPr>
          <w:lang w:val="en-US"/>
        </w:rPr>
      </w:pPr>
      <w:r w:rsidRPr="007C3EC5">
        <w:rPr>
          <w:lang w:val="en-US"/>
        </w:rPr>
        <w:br w:type="page"/>
      </w:r>
    </w:p>
    <w:p w14:paraId="0C15A663" w14:textId="77777777" w:rsidR="00F96418" w:rsidRPr="00F96418" w:rsidRDefault="00F96418" w:rsidP="00F96418">
      <w:pPr>
        <w:ind w:left="360"/>
        <w:jc w:val="left"/>
        <w:rPr>
          <w:b/>
          <w:sz w:val="28"/>
          <w:szCs w:val="28"/>
        </w:rPr>
      </w:pPr>
      <w:r w:rsidRPr="00F96418">
        <w:rPr>
          <w:b/>
          <w:sz w:val="28"/>
          <w:szCs w:val="28"/>
        </w:rPr>
        <w:lastRenderedPageBreak/>
        <w:t>List of acronyms and abbreviations</w:t>
      </w:r>
    </w:p>
    <w:p w14:paraId="685FA29D" w14:textId="77777777" w:rsidR="006052D4" w:rsidRDefault="006052D4" w:rsidP="006052D4">
      <w:pPr>
        <w:jc w:val="left"/>
        <w:rPr>
          <w:lang w:val="en-US"/>
        </w:rPr>
      </w:pPr>
    </w:p>
    <w:p w14:paraId="5DBCE20C" w14:textId="1D92E591" w:rsidR="006052D4" w:rsidRPr="006052D4" w:rsidRDefault="006052D4" w:rsidP="006052D4">
      <w:pPr>
        <w:jc w:val="left"/>
        <w:rPr>
          <w:lang w:val="en-US"/>
        </w:rPr>
      </w:pPr>
      <w:r w:rsidRPr="006052D4">
        <w:rPr>
          <w:lang w:val="en-US"/>
        </w:rPr>
        <w:t xml:space="preserve">AWP </w:t>
      </w:r>
      <w:r>
        <w:rPr>
          <w:lang w:val="en-US"/>
        </w:rPr>
        <w:tab/>
      </w:r>
      <w:r>
        <w:rPr>
          <w:lang w:val="en-US"/>
        </w:rPr>
        <w:tab/>
      </w:r>
      <w:r>
        <w:rPr>
          <w:lang w:val="en-US"/>
        </w:rPr>
        <w:tab/>
      </w:r>
      <w:r w:rsidRPr="006052D4">
        <w:rPr>
          <w:lang w:val="en-US"/>
        </w:rPr>
        <w:t>Annual Work Plan</w:t>
      </w:r>
    </w:p>
    <w:p w14:paraId="3238DB53" w14:textId="6CECF966" w:rsidR="006052D4" w:rsidRPr="006052D4" w:rsidRDefault="006052D4" w:rsidP="006052D4">
      <w:pPr>
        <w:ind w:left="2160" w:hanging="2160"/>
        <w:jc w:val="left"/>
        <w:rPr>
          <w:lang w:val="en-US"/>
        </w:rPr>
      </w:pPr>
      <w:r w:rsidRPr="006052D4">
        <w:rPr>
          <w:lang w:val="en-US"/>
        </w:rPr>
        <w:t xml:space="preserve">CBLLL </w:t>
      </w:r>
      <w:r>
        <w:rPr>
          <w:lang w:val="en-US"/>
        </w:rPr>
        <w:tab/>
      </w:r>
      <w:r w:rsidRPr="006052D4">
        <w:rPr>
          <w:lang w:val="en-US"/>
        </w:rPr>
        <w:t>Creating Better Lifelong Learning Opportunities through Local Partnerships</w:t>
      </w:r>
    </w:p>
    <w:p w14:paraId="4A42C762" w14:textId="65CADF52" w:rsidR="006052D4" w:rsidRPr="006052D4" w:rsidRDefault="006052D4" w:rsidP="006052D4">
      <w:pPr>
        <w:jc w:val="left"/>
        <w:rPr>
          <w:lang w:val="en-US"/>
        </w:rPr>
      </w:pPr>
      <w:r w:rsidRPr="006052D4">
        <w:rPr>
          <w:lang w:val="en-US"/>
        </w:rPr>
        <w:t xml:space="preserve">CSO </w:t>
      </w:r>
      <w:r>
        <w:rPr>
          <w:lang w:val="en-US"/>
        </w:rPr>
        <w:tab/>
      </w:r>
      <w:r>
        <w:rPr>
          <w:lang w:val="en-US"/>
        </w:rPr>
        <w:tab/>
      </w:r>
      <w:r>
        <w:rPr>
          <w:lang w:val="en-US"/>
        </w:rPr>
        <w:tab/>
      </w:r>
      <w:r w:rsidRPr="006052D4">
        <w:rPr>
          <w:lang w:val="en-US"/>
        </w:rPr>
        <w:t>Civil Society Organization</w:t>
      </w:r>
    </w:p>
    <w:p w14:paraId="7EE7D855" w14:textId="44252BFC" w:rsidR="006052D4" w:rsidRPr="006052D4" w:rsidRDefault="006052D4" w:rsidP="006052D4">
      <w:pPr>
        <w:jc w:val="left"/>
        <w:rPr>
          <w:lang w:val="en-US"/>
        </w:rPr>
      </w:pPr>
      <w:r w:rsidRPr="006052D4">
        <w:rPr>
          <w:lang w:val="en-US"/>
        </w:rPr>
        <w:t xml:space="preserve">EntreComp </w:t>
      </w:r>
      <w:r>
        <w:rPr>
          <w:lang w:val="en-US"/>
        </w:rPr>
        <w:tab/>
      </w:r>
      <w:r>
        <w:rPr>
          <w:lang w:val="en-US"/>
        </w:rPr>
        <w:tab/>
      </w:r>
      <w:r w:rsidRPr="006052D4">
        <w:rPr>
          <w:lang w:val="en-US"/>
        </w:rPr>
        <w:t>European Entrepreneurship Competence Framework</w:t>
      </w:r>
    </w:p>
    <w:p w14:paraId="1F633E00" w14:textId="0E67DCB5" w:rsidR="006052D4" w:rsidRPr="006052D4" w:rsidRDefault="006052D4" w:rsidP="006052D4">
      <w:pPr>
        <w:jc w:val="left"/>
        <w:rPr>
          <w:lang w:val="en-US"/>
        </w:rPr>
      </w:pPr>
      <w:r w:rsidRPr="006052D4">
        <w:rPr>
          <w:lang w:val="en-US"/>
        </w:rPr>
        <w:t xml:space="preserve">ETF </w:t>
      </w:r>
      <w:r>
        <w:rPr>
          <w:lang w:val="en-US"/>
        </w:rPr>
        <w:tab/>
      </w:r>
      <w:r>
        <w:rPr>
          <w:lang w:val="en-US"/>
        </w:rPr>
        <w:tab/>
      </w:r>
      <w:r>
        <w:rPr>
          <w:lang w:val="en-US"/>
        </w:rPr>
        <w:tab/>
      </w:r>
      <w:r w:rsidRPr="006052D4">
        <w:rPr>
          <w:lang w:val="en-US"/>
        </w:rPr>
        <w:t>European Training Foundation</w:t>
      </w:r>
    </w:p>
    <w:p w14:paraId="3D4E4910" w14:textId="63CA679D" w:rsidR="006052D4" w:rsidRPr="006052D4" w:rsidRDefault="006052D4" w:rsidP="006052D4">
      <w:pPr>
        <w:jc w:val="left"/>
        <w:rPr>
          <w:lang w:val="en-US"/>
        </w:rPr>
      </w:pPr>
      <w:r w:rsidRPr="006052D4">
        <w:rPr>
          <w:lang w:val="en-US"/>
        </w:rPr>
        <w:t xml:space="preserve">EU </w:t>
      </w:r>
      <w:r>
        <w:rPr>
          <w:lang w:val="en-US"/>
        </w:rPr>
        <w:tab/>
      </w:r>
      <w:r>
        <w:rPr>
          <w:lang w:val="en-US"/>
        </w:rPr>
        <w:tab/>
      </w:r>
      <w:r>
        <w:rPr>
          <w:lang w:val="en-US"/>
        </w:rPr>
        <w:tab/>
      </w:r>
      <w:r w:rsidRPr="006052D4">
        <w:rPr>
          <w:lang w:val="en-US"/>
        </w:rPr>
        <w:t xml:space="preserve">European Union </w:t>
      </w:r>
    </w:p>
    <w:p w14:paraId="7F55B417" w14:textId="040A7A76" w:rsidR="006052D4" w:rsidRPr="006052D4" w:rsidRDefault="006052D4" w:rsidP="006052D4">
      <w:pPr>
        <w:jc w:val="left"/>
        <w:rPr>
          <w:lang w:val="en-US"/>
        </w:rPr>
      </w:pPr>
      <w:r w:rsidRPr="006052D4">
        <w:rPr>
          <w:lang w:val="en-US"/>
        </w:rPr>
        <w:t xml:space="preserve">DigiComp </w:t>
      </w:r>
      <w:r>
        <w:rPr>
          <w:lang w:val="en-US"/>
        </w:rPr>
        <w:tab/>
      </w:r>
      <w:r>
        <w:rPr>
          <w:lang w:val="en-US"/>
        </w:rPr>
        <w:tab/>
      </w:r>
      <w:r w:rsidRPr="006052D4">
        <w:rPr>
          <w:lang w:val="en-US"/>
        </w:rPr>
        <w:t>Digital Competence Framework</w:t>
      </w:r>
    </w:p>
    <w:p w14:paraId="15EAC8EC" w14:textId="7CA23D6A" w:rsidR="006052D4" w:rsidRPr="006052D4" w:rsidRDefault="006052D4" w:rsidP="006052D4">
      <w:pPr>
        <w:jc w:val="left"/>
        <w:rPr>
          <w:lang w:val="en-US"/>
        </w:rPr>
      </w:pPr>
      <w:r w:rsidRPr="006052D4">
        <w:rPr>
          <w:lang w:val="en-US"/>
        </w:rPr>
        <w:t xml:space="preserve">MoES </w:t>
      </w:r>
      <w:r>
        <w:rPr>
          <w:lang w:val="en-US"/>
        </w:rPr>
        <w:tab/>
      </w:r>
      <w:r>
        <w:rPr>
          <w:lang w:val="en-US"/>
        </w:rPr>
        <w:tab/>
      </w:r>
      <w:r>
        <w:rPr>
          <w:lang w:val="en-US"/>
        </w:rPr>
        <w:tab/>
      </w:r>
      <w:r w:rsidRPr="006052D4">
        <w:rPr>
          <w:lang w:val="en-US"/>
        </w:rPr>
        <w:t>Ministry of Education and Science</w:t>
      </w:r>
    </w:p>
    <w:p w14:paraId="6B2AD53B" w14:textId="60B7783A" w:rsidR="006052D4" w:rsidRPr="006052D4" w:rsidRDefault="006052D4" w:rsidP="006052D4">
      <w:pPr>
        <w:jc w:val="left"/>
        <w:rPr>
          <w:lang w:val="en-US"/>
        </w:rPr>
      </w:pPr>
      <w:r w:rsidRPr="006052D4">
        <w:rPr>
          <w:lang w:val="en-US"/>
        </w:rPr>
        <w:t xml:space="preserve">MoLHSA </w:t>
      </w:r>
      <w:r>
        <w:rPr>
          <w:lang w:val="en-US"/>
        </w:rPr>
        <w:tab/>
      </w:r>
      <w:r>
        <w:rPr>
          <w:lang w:val="en-US"/>
        </w:rPr>
        <w:tab/>
      </w:r>
      <w:r w:rsidRPr="006052D4">
        <w:rPr>
          <w:lang w:val="en-US"/>
        </w:rPr>
        <w:t xml:space="preserve">Ministry of Internally Displaced Persons from the Occupied Territories, </w:t>
      </w:r>
    </w:p>
    <w:p w14:paraId="65432DEB" w14:textId="77777777" w:rsidR="006052D4" w:rsidRPr="006052D4" w:rsidRDefault="006052D4" w:rsidP="006052D4">
      <w:pPr>
        <w:ind w:left="1440" w:firstLine="720"/>
        <w:jc w:val="left"/>
        <w:rPr>
          <w:lang w:val="en-US"/>
        </w:rPr>
      </w:pPr>
      <w:r w:rsidRPr="006052D4">
        <w:rPr>
          <w:lang w:val="en-US"/>
        </w:rPr>
        <w:t>Labour, Health and Social Affairs of Georgia</w:t>
      </w:r>
    </w:p>
    <w:p w14:paraId="5D458961" w14:textId="6458C52D" w:rsidR="006052D4" w:rsidRPr="006052D4" w:rsidRDefault="006052D4" w:rsidP="006052D4">
      <w:pPr>
        <w:jc w:val="left"/>
        <w:rPr>
          <w:lang w:val="en-US"/>
        </w:rPr>
      </w:pPr>
      <w:r w:rsidRPr="006052D4">
        <w:rPr>
          <w:lang w:val="en-US"/>
        </w:rPr>
        <w:t xml:space="preserve">MSY </w:t>
      </w:r>
      <w:r>
        <w:rPr>
          <w:lang w:val="en-US"/>
        </w:rPr>
        <w:tab/>
      </w:r>
      <w:r>
        <w:rPr>
          <w:lang w:val="en-US"/>
        </w:rPr>
        <w:tab/>
      </w:r>
      <w:r>
        <w:rPr>
          <w:lang w:val="en-US"/>
        </w:rPr>
        <w:tab/>
      </w:r>
      <w:r w:rsidRPr="006052D4">
        <w:rPr>
          <w:lang w:val="en-US"/>
        </w:rPr>
        <w:t>Ministry of Sport and Youth Affairs of Georgia</w:t>
      </w:r>
    </w:p>
    <w:p w14:paraId="4FB4357D" w14:textId="28A67F72" w:rsidR="006052D4" w:rsidRPr="006052D4" w:rsidRDefault="006052D4" w:rsidP="006052D4">
      <w:pPr>
        <w:jc w:val="left"/>
        <w:rPr>
          <w:lang w:val="en-US"/>
        </w:rPr>
      </w:pPr>
      <w:r w:rsidRPr="006052D4">
        <w:rPr>
          <w:lang w:val="en-US"/>
        </w:rPr>
        <w:t xml:space="preserve">NCEQE </w:t>
      </w:r>
      <w:r>
        <w:rPr>
          <w:lang w:val="en-US"/>
        </w:rPr>
        <w:tab/>
      </w:r>
      <w:r>
        <w:rPr>
          <w:lang w:val="en-US"/>
        </w:rPr>
        <w:tab/>
      </w:r>
      <w:r w:rsidRPr="006052D4">
        <w:rPr>
          <w:lang w:val="en-US"/>
        </w:rPr>
        <w:t>National Centre for Education Quality Enhancement</w:t>
      </w:r>
    </w:p>
    <w:p w14:paraId="4F74E1CA" w14:textId="74819C9B" w:rsidR="006052D4" w:rsidRPr="006052D4" w:rsidRDefault="006052D4" w:rsidP="006052D4">
      <w:pPr>
        <w:jc w:val="left"/>
        <w:rPr>
          <w:lang w:val="en-US"/>
        </w:rPr>
      </w:pPr>
      <w:r w:rsidRPr="006052D4">
        <w:rPr>
          <w:lang w:val="en-US"/>
        </w:rPr>
        <w:t xml:space="preserve">NEET </w:t>
      </w:r>
      <w:r>
        <w:rPr>
          <w:lang w:val="en-US"/>
        </w:rPr>
        <w:tab/>
      </w:r>
      <w:r>
        <w:rPr>
          <w:lang w:val="en-US"/>
        </w:rPr>
        <w:tab/>
      </w:r>
      <w:r>
        <w:rPr>
          <w:lang w:val="en-US"/>
        </w:rPr>
        <w:tab/>
      </w:r>
      <w:r w:rsidRPr="006052D4">
        <w:rPr>
          <w:lang w:val="en-US"/>
        </w:rPr>
        <w:t>Not in Employment Education or Training</w:t>
      </w:r>
    </w:p>
    <w:p w14:paraId="5206D301" w14:textId="673853D7" w:rsidR="006052D4" w:rsidRPr="006052D4" w:rsidRDefault="006052D4" w:rsidP="006052D4">
      <w:pPr>
        <w:jc w:val="left"/>
        <w:rPr>
          <w:lang w:val="en-US"/>
        </w:rPr>
      </w:pPr>
      <w:r w:rsidRPr="006052D4">
        <w:rPr>
          <w:lang w:val="en-US"/>
        </w:rPr>
        <w:t xml:space="preserve">NGO </w:t>
      </w:r>
      <w:r>
        <w:rPr>
          <w:lang w:val="en-US"/>
        </w:rPr>
        <w:tab/>
      </w:r>
      <w:r>
        <w:rPr>
          <w:lang w:val="en-US"/>
        </w:rPr>
        <w:tab/>
      </w:r>
      <w:r>
        <w:rPr>
          <w:lang w:val="en-US"/>
        </w:rPr>
        <w:tab/>
      </w:r>
      <w:r w:rsidRPr="006052D4">
        <w:rPr>
          <w:lang w:val="en-US"/>
        </w:rPr>
        <w:t>Non-Governmental Organization</w:t>
      </w:r>
    </w:p>
    <w:p w14:paraId="6AD9B849" w14:textId="1CA3681F" w:rsidR="006052D4" w:rsidRPr="006052D4" w:rsidRDefault="006052D4" w:rsidP="006052D4">
      <w:pPr>
        <w:jc w:val="left"/>
        <w:rPr>
          <w:lang w:val="en-US"/>
        </w:rPr>
      </w:pPr>
      <w:r w:rsidRPr="006052D4">
        <w:rPr>
          <w:lang w:val="en-US"/>
        </w:rPr>
        <w:t xml:space="preserve">NIM </w:t>
      </w:r>
      <w:r>
        <w:rPr>
          <w:lang w:val="en-US"/>
        </w:rPr>
        <w:tab/>
      </w:r>
      <w:r>
        <w:rPr>
          <w:lang w:val="en-US"/>
        </w:rPr>
        <w:tab/>
      </w:r>
      <w:r>
        <w:rPr>
          <w:lang w:val="en-US"/>
        </w:rPr>
        <w:tab/>
      </w:r>
      <w:r w:rsidRPr="006052D4">
        <w:rPr>
          <w:lang w:val="en-US"/>
        </w:rPr>
        <w:t>National Implementation Modality</w:t>
      </w:r>
    </w:p>
    <w:p w14:paraId="3D7FAA14" w14:textId="5CD7F551" w:rsidR="006052D4" w:rsidRPr="006052D4" w:rsidRDefault="006052D4" w:rsidP="006052D4">
      <w:pPr>
        <w:jc w:val="left"/>
        <w:rPr>
          <w:lang w:val="en-US"/>
        </w:rPr>
      </w:pPr>
      <w:r w:rsidRPr="006052D4">
        <w:rPr>
          <w:lang w:val="en-US"/>
        </w:rPr>
        <w:t xml:space="preserve">LLL </w:t>
      </w:r>
      <w:r>
        <w:rPr>
          <w:lang w:val="en-US"/>
        </w:rPr>
        <w:tab/>
      </w:r>
      <w:r>
        <w:rPr>
          <w:lang w:val="en-US"/>
        </w:rPr>
        <w:tab/>
      </w:r>
      <w:r>
        <w:rPr>
          <w:lang w:val="en-US"/>
        </w:rPr>
        <w:tab/>
      </w:r>
      <w:r w:rsidRPr="006052D4">
        <w:rPr>
          <w:lang w:val="en-US"/>
        </w:rPr>
        <w:t>Lifelong learning</w:t>
      </w:r>
    </w:p>
    <w:p w14:paraId="65AC87EC" w14:textId="324A1E74" w:rsidR="006052D4" w:rsidRPr="006052D4" w:rsidRDefault="006052D4" w:rsidP="006052D4">
      <w:pPr>
        <w:jc w:val="left"/>
        <w:rPr>
          <w:lang w:val="en-US"/>
        </w:rPr>
      </w:pPr>
      <w:r w:rsidRPr="006052D4">
        <w:rPr>
          <w:lang w:val="en-US"/>
        </w:rPr>
        <w:t xml:space="preserve">PPP </w:t>
      </w:r>
      <w:r>
        <w:rPr>
          <w:lang w:val="en-US"/>
        </w:rPr>
        <w:tab/>
      </w:r>
      <w:r>
        <w:rPr>
          <w:lang w:val="en-US"/>
        </w:rPr>
        <w:tab/>
      </w:r>
      <w:r>
        <w:rPr>
          <w:lang w:val="en-US"/>
        </w:rPr>
        <w:tab/>
      </w:r>
      <w:r w:rsidRPr="006052D4">
        <w:rPr>
          <w:lang w:val="en-US"/>
        </w:rPr>
        <w:t>Public-private partnerships</w:t>
      </w:r>
    </w:p>
    <w:p w14:paraId="26E74D97" w14:textId="5EDE0FD4" w:rsidR="006052D4" w:rsidRPr="006052D4" w:rsidRDefault="006052D4" w:rsidP="006052D4">
      <w:pPr>
        <w:jc w:val="left"/>
        <w:rPr>
          <w:lang w:val="en-US"/>
        </w:rPr>
      </w:pPr>
      <w:r w:rsidRPr="006052D4">
        <w:rPr>
          <w:lang w:val="en-US"/>
        </w:rPr>
        <w:t xml:space="preserve">PwD </w:t>
      </w:r>
      <w:r>
        <w:rPr>
          <w:lang w:val="en-US"/>
        </w:rPr>
        <w:tab/>
      </w:r>
      <w:r>
        <w:rPr>
          <w:lang w:val="en-US"/>
        </w:rPr>
        <w:tab/>
      </w:r>
      <w:r>
        <w:rPr>
          <w:lang w:val="en-US"/>
        </w:rPr>
        <w:tab/>
      </w:r>
      <w:r w:rsidRPr="006052D4">
        <w:rPr>
          <w:lang w:val="en-US"/>
        </w:rPr>
        <w:t>Persons with Disabilities</w:t>
      </w:r>
    </w:p>
    <w:p w14:paraId="12986011" w14:textId="45C0193C" w:rsidR="006052D4" w:rsidRPr="006052D4" w:rsidRDefault="006052D4" w:rsidP="006052D4">
      <w:pPr>
        <w:jc w:val="left"/>
        <w:rPr>
          <w:lang w:val="en-US"/>
        </w:rPr>
      </w:pPr>
      <w:r w:rsidRPr="006052D4">
        <w:rPr>
          <w:lang w:val="en-US"/>
        </w:rPr>
        <w:t xml:space="preserve">RPA </w:t>
      </w:r>
      <w:r>
        <w:rPr>
          <w:lang w:val="en-US"/>
        </w:rPr>
        <w:tab/>
      </w:r>
      <w:r>
        <w:rPr>
          <w:lang w:val="en-US"/>
        </w:rPr>
        <w:tab/>
      </w:r>
      <w:r>
        <w:rPr>
          <w:lang w:val="en-US"/>
        </w:rPr>
        <w:tab/>
      </w:r>
      <w:r w:rsidRPr="006052D4">
        <w:rPr>
          <w:lang w:val="en-US"/>
        </w:rPr>
        <w:t>Responsible Partner Agreement</w:t>
      </w:r>
    </w:p>
    <w:p w14:paraId="7AAA2737" w14:textId="536504E8" w:rsidR="006052D4" w:rsidRPr="006052D4" w:rsidRDefault="006052D4" w:rsidP="006052D4">
      <w:pPr>
        <w:jc w:val="left"/>
        <w:rPr>
          <w:lang w:val="en-US"/>
        </w:rPr>
      </w:pPr>
      <w:r w:rsidRPr="006052D4">
        <w:rPr>
          <w:lang w:val="en-US"/>
        </w:rPr>
        <w:t xml:space="preserve">SSO </w:t>
      </w:r>
      <w:r>
        <w:rPr>
          <w:lang w:val="en-US"/>
        </w:rPr>
        <w:tab/>
      </w:r>
      <w:r>
        <w:rPr>
          <w:lang w:val="en-US"/>
        </w:rPr>
        <w:tab/>
      </w:r>
      <w:r>
        <w:rPr>
          <w:lang w:val="en-US"/>
        </w:rPr>
        <w:tab/>
      </w:r>
      <w:r w:rsidRPr="006052D4">
        <w:rPr>
          <w:lang w:val="en-US"/>
        </w:rPr>
        <w:t>Sectoral Skills Organization</w:t>
      </w:r>
    </w:p>
    <w:p w14:paraId="6CAF6E47" w14:textId="1A351CFC" w:rsidR="006052D4" w:rsidRPr="006052D4" w:rsidRDefault="006052D4" w:rsidP="006052D4">
      <w:pPr>
        <w:jc w:val="left"/>
        <w:rPr>
          <w:lang w:val="en-US"/>
        </w:rPr>
      </w:pPr>
      <w:r w:rsidRPr="006052D4">
        <w:rPr>
          <w:lang w:val="en-US"/>
        </w:rPr>
        <w:t xml:space="preserve">UNDP </w:t>
      </w:r>
      <w:r>
        <w:rPr>
          <w:lang w:val="en-US"/>
        </w:rPr>
        <w:tab/>
      </w:r>
      <w:r>
        <w:rPr>
          <w:lang w:val="en-US"/>
        </w:rPr>
        <w:tab/>
      </w:r>
      <w:r w:rsidRPr="006052D4">
        <w:rPr>
          <w:lang w:val="en-US"/>
        </w:rPr>
        <w:t>United Nations Development Programme</w:t>
      </w:r>
    </w:p>
    <w:p w14:paraId="21267907" w14:textId="2823E694" w:rsidR="006052D4" w:rsidRPr="006052D4" w:rsidRDefault="006052D4" w:rsidP="006052D4">
      <w:pPr>
        <w:jc w:val="left"/>
        <w:rPr>
          <w:lang w:val="en-US"/>
        </w:rPr>
      </w:pPr>
      <w:r w:rsidRPr="006052D4">
        <w:rPr>
          <w:lang w:val="en-US"/>
        </w:rPr>
        <w:t xml:space="preserve">UNICEF </w:t>
      </w:r>
      <w:r>
        <w:rPr>
          <w:lang w:val="en-US"/>
        </w:rPr>
        <w:tab/>
      </w:r>
      <w:r>
        <w:rPr>
          <w:lang w:val="en-US"/>
        </w:rPr>
        <w:tab/>
      </w:r>
      <w:r w:rsidRPr="006052D4">
        <w:rPr>
          <w:lang w:val="en-US"/>
        </w:rPr>
        <w:t>United Nations Children's Fund</w:t>
      </w:r>
    </w:p>
    <w:p w14:paraId="5BFDD649" w14:textId="0D8E2083" w:rsidR="006052D4" w:rsidRPr="006052D4" w:rsidRDefault="006052D4" w:rsidP="006052D4">
      <w:pPr>
        <w:jc w:val="left"/>
        <w:rPr>
          <w:lang w:val="en-US"/>
        </w:rPr>
      </w:pPr>
      <w:r w:rsidRPr="006052D4">
        <w:rPr>
          <w:lang w:val="en-US"/>
        </w:rPr>
        <w:t xml:space="preserve">VET </w:t>
      </w:r>
      <w:r>
        <w:rPr>
          <w:lang w:val="en-US"/>
        </w:rPr>
        <w:tab/>
      </w:r>
      <w:r>
        <w:rPr>
          <w:lang w:val="en-US"/>
        </w:rPr>
        <w:tab/>
      </w:r>
      <w:r>
        <w:rPr>
          <w:lang w:val="en-US"/>
        </w:rPr>
        <w:tab/>
      </w:r>
      <w:r w:rsidRPr="006052D4">
        <w:rPr>
          <w:lang w:val="en-US"/>
        </w:rPr>
        <w:t xml:space="preserve">Vocational Education and Training </w:t>
      </w:r>
    </w:p>
    <w:p w14:paraId="34129912" w14:textId="5EA2E842" w:rsidR="006052D4" w:rsidRPr="006052D4" w:rsidRDefault="006052D4" w:rsidP="006052D4">
      <w:pPr>
        <w:jc w:val="left"/>
        <w:rPr>
          <w:lang w:val="en-US"/>
        </w:rPr>
      </w:pPr>
      <w:r w:rsidRPr="006052D4">
        <w:rPr>
          <w:lang w:val="en-US"/>
        </w:rPr>
        <w:t xml:space="preserve">VSA </w:t>
      </w:r>
      <w:r>
        <w:rPr>
          <w:lang w:val="en-US"/>
        </w:rPr>
        <w:tab/>
      </w:r>
      <w:r>
        <w:rPr>
          <w:lang w:val="en-US"/>
        </w:rPr>
        <w:tab/>
      </w:r>
      <w:r>
        <w:rPr>
          <w:lang w:val="en-US"/>
        </w:rPr>
        <w:tab/>
      </w:r>
      <w:r w:rsidRPr="006052D4">
        <w:rPr>
          <w:lang w:val="en-US"/>
        </w:rPr>
        <w:t>Vocational Skills Agency</w:t>
      </w:r>
    </w:p>
    <w:p w14:paraId="47D466B1" w14:textId="12847A16" w:rsidR="00F96418" w:rsidRDefault="006052D4" w:rsidP="006052D4">
      <w:pPr>
        <w:jc w:val="left"/>
        <w:rPr>
          <w:rFonts w:eastAsiaTheme="majorEastAsia" w:cs="Times New Roman (Headings CS)"/>
          <w:b/>
          <w:bCs/>
          <w:color w:val="2E74B5" w:themeColor="accent1" w:themeShade="BF"/>
          <w:sz w:val="28"/>
          <w:szCs w:val="28"/>
          <w:lang w:val="en-US"/>
        </w:rPr>
      </w:pPr>
      <w:r w:rsidRPr="006052D4">
        <w:rPr>
          <w:lang w:val="en-US"/>
        </w:rPr>
        <w:t xml:space="preserve">WBL </w:t>
      </w:r>
      <w:r>
        <w:rPr>
          <w:lang w:val="en-US"/>
        </w:rPr>
        <w:tab/>
      </w:r>
      <w:r>
        <w:rPr>
          <w:lang w:val="en-US"/>
        </w:rPr>
        <w:tab/>
      </w:r>
      <w:r>
        <w:rPr>
          <w:lang w:val="en-US"/>
        </w:rPr>
        <w:tab/>
      </w:r>
      <w:r w:rsidRPr="006052D4">
        <w:rPr>
          <w:lang w:val="en-US"/>
        </w:rPr>
        <w:t>Work-based learning</w:t>
      </w:r>
      <w:r w:rsidR="00F96418">
        <w:rPr>
          <w:lang w:val="en-US"/>
        </w:rPr>
        <w:br w:type="page"/>
      </w:r>
    </w:p>
    <w:p w14:paraId="39E065D9" w14:textId="70B00B2C" w:rsidR="00AA78D8" w:rsidRDefault="00F96418" w:rsidP="00AA78D8">
      <w:pPr>
        <w:jc w:val="center"/>
        <w:rPr>
          <w:b/>
          <w:sz w:val="28"/>
          <w:szCs w:val="28"/>
        </w:rPr>
      </w:pPr>
      <w:r w:rsidRPr="00F96418">
        <w:rPr>
          <w:b/>
          <w:sz w:val="28"/>
          <w:szCs w:val="28"/>
        </w:rPr>
        <w:lastRenderedPageBreak/>
        <w:t xml:space="preserve">Executive </w:t>
      </w:r>
      <w:r w:rsidR="00AA78D8">
        <w:rPr>
          <w:b/>
          <w:sz w:val="28"/>
          <w:szCs w:val="28"/>
        </w:rPr>
        <w:t>S</w:t>
      </w:r>
      <w:r w:rsidRPr="00F96418">
        <w:rPr>
          <w:b/>
          <w:sz w:val="28"/>
          <w:szCs w:val="28"/>
        </w:rPr>
        <w:t>ummary</w:t>
      </w:r>
    </w:p>
    <w:p w14:paraId="1A6B0EBE" w14:textId="2CD9A515" w:rsidR="00F96418" w:rsidRDefault="00627819" w:rsidP="00AA78D8">
      <w:pPr>
        <w:jc w:val="center"/>
      </w:pPr>
      <w:r>
        <w:rPr>
          <w:b/>
          <w:sz w:val="28"/>
          <w:szCs w:val="28"/>
        </w:rPr>
        <w:t>Creating Better Life-Long Learning Opportunities through Local Partnerships</w:t>
      </w:r>
      <w:r w:rsidR="00AA78D8">
        <w:rPr>
          <w:b/>
          <w:sz w:val="28"/>
          <w:szCs w:val="28"/>
        </w:rPr>
        <w:t xml:space="preserve"> (CBLLL</w:t>
      </w:r>
      <w:r w:rsidR="0043606C">
        <w:rPr>
          <w:b/>
          <w:sz w:val="28"/>
          <w:szCs w:val="28"/>
        </w:rPr>
        <w:t xml:space="preserve"> – UNDP Georgia</w:t>
      </w:r>
      <w:r w:rsidR="00AA78D8">
        <w:rPr>
          <w:b/>
          <w:sz w:val="28"/>
          <w:szCs w:val="28"/>
        </w:rPr>
        <w:t>)</w:t>
      </w:r>
    </w:p>
    <w:p w14:paraId="4518887E" w14:textId="77777777" w:rsidR="007927EF" w:rsidRDefault="007927EF" w:rsidP="007927EF">
      <w:pPr>
        <w:jc w:val="left"/>
      </w:pPr>
    </w:p>
    <w:p w14:paraId="2752AF88" w14:textId="66BD247D" w:rsidR="00F66FE2" w:rsidRDefault="00F66FE2" w:rsidP="00F66FE2">
      <w:pPr>
        <w:jc w:val="left"/>
        <w:rPr>
          <w:lang w:val="en-US"/>
        </w:rPr>
      </w:pPr>
      <w:r w:rsidRPr="00F66FE2">
        <w:rPr>
          <w:lang w:val="en-US"/>
        </w:rPr>
        <w:t xml:space="preserve">The objective of the CBLLL project is to strengthen employability for men and women in </w:t>
      </w:r>
      <w:r w:rsidR="0090073D">
        <w:rPr>
          <w:lang w:val="en-US"/>
        </w:rPr>
        <w:t xml:space="preserve">the </w:t>
      </w:r>
      <w:r w:rsidRPr="00F66FE2">
        <w:rPr>
          <w:lang w:val="en-US"/>
        </w:rPr>
        <w:t xml:space="preserve">capital and </w:t>
      </w:r>
      <w:r w:rsidR="0090073D">
        <w:rPr>
          <w:lang w:val="en-US"/>
        </w:rPr>
        <w:t xml:space="preserve">in </w:t>
      </w:r>
      <w:r w:rsidRPr="00F66FE2">
        <w:rPr>
          <w:lang w:val="en-US"/>
        </w:rPr>
        <w:t xml:space="preserve">rural areas </w:t>
      </w:r>
      <w:r w:rsidR="0043606C">
        <w:rPr>
          <w:lang w:val="en-US"/>
        </w:rPr>
        <w:t xml:space="preserve">of Georgia </w:t>
      </w:r>
      <w:r w:rsidRPr="00F66FE2">
        <w:rPr>
          <w:lang w:val="en-US"/>
        </w:rPr>
        <w:t xml:space="preserve">through increased access to high quality </w:t>
      </w:r>
      <w:r w:rsidR="00C142AD">
        <w:rPr>
          <w:lang w:val="en-US"/>
        </w:rPr>
        <w:t xml:space="preserve">vocational education and training </w:t>
      </w:r>
      <w:r w:rsidRPr="00F66FE2">
        <w:rPr>
          <w:lang w:val="en-US"/>
        </w:rPr>
        <w:t>services</w:t>
      </w:r>
      <w:r w:rsidR="00C142AD">
        <w:rPr>
          <w:lang w:val="en-US"/>
        </w:rPr>
        <w:t>. T</w:t>
      </w:r>
      <w:r w:rsidRPr="00F66FE2">
        <w:rPr>
          <w:lang w:val="en-US"/>
        </w:rPr>
        <w:t xml:space="preserve">he project aims to contribute to the improvement of the quality and accessibility of skills </w:t>
      </w:r>
      <w:r w:rsidR="00C142AD">
        <w:rPr>
          <w:lang w:val="en-US"/>
        </w:rPr>
        <w:t>training</w:t>
      </w:r>
      <w:r w:rsidRPr="00F66FE2">
        <w:rPr>
          <w:lang w:val="en-US"/>
        </w:rPr>
        <w:t xml:space="preserve"> for life-long learning and enhancement of employment opportunities for youth and vulnerable groups</w:t>
      </w:r>
      <w:r>
        <w:rPr>
          <w:lang w:val="en-US"/>
        </w:rPr>
        <w:t>.</w:t>
      </w:r>
    </w:p>
    <w:p w14:paraId="60204308" w14:textId="77777777" w:rsidR="00F66FE2" w:rsidRDefault="00F66FE2" w:rsidP="00F66FE2">
      <w:pPr>
        <w:jc w:val="left"/>
        <w:rPr>
          <w:lang w:val="en-US"/>
        </w:rPr>
      </w:pPr>
    </w:p>
    <w:p w14:paraId="6ABB5D59" w14:textId="4DD04340" w:rsidR="00F66FE2" w:rsidRPr="00F66FE2" w:rsidRDefault="00F66FE2" w:rsidP="00F66FE2">
      <w:pPr>
        <w:jc w:val="left"/>
        <w:rPr>
          <w:lang w:val="en-US"/>
        </w:rPr>
      </w:pPr>
      <w:r w:rsidRPr="00F66FE2">
        <w:rPr>
          <w:lang w:val="en-US"/>
        </w:rPr>
        <w:t>The CBLLL project was implemented from January 2020 to December 2023 with a total budget of 1,125,000 euros</w:t>
      </w:r>
      <w:r w:rsidR="0090073D">
        <w:rPr>
          <w:lang w:val="en-US"/>
        </w:rPr>
        <w:t xml:space="preserve"> (900,000 from the EU and 225,000 from UNDP)</w:t>
      </w:r>
      <w:r w:rsidRPr="00F66FE2">
        <w:rPr>
          <w:lang w:val="en-US"/>
        </w:rPr>
        <w:t xml:space="preserve">.  Its main implementing partners were the </w:t>
      </w:r>
      <w:r w:rsidRPr="00F66FE2">
        <w:t>Vocational Skills Agency (established by the Ministry of Education and Science of Georgia and the Chamber of Commerce and Industry) and the non-governmental youth organisation “Sunny House”.  The project was managed by a UNDP Georgia team and was accountable to a multi-stakeholder Project Board.</w:t>
      </w:r>
    </w:p>
    <w:p w14:paraId="244E08BF" w14:textId="77777777" w:rsidR="00F66FE2" w:rsidRDefault="00F66FE2" w:rsidP="00F66FE2">
      <w:pPr>
        <w:jc w:val="left"/>
        <w:rPr>
          <w:lang w:val="en-US"/>
        </w:rPr>
      </w:pPr>
    </w:p>
    <w:p w14:paraId="4AAE2F6B" w14:textId="118E6635" w:rsidR="00F66FE2" w:rsidRPr="00F66FE2" w:rsidRDefault="00F66FE2" w:rsidP="00F66FE2">
      <w:pPr>
        <w:jc w:val="left"/>
        <w:rPr>
          <w:lang w:val="en-US"/>
        </w:rPr>
      </w:pPr>
      <w:r>
        <w:rPr>
          <w:lang w:val="en-US"/>
        </w:rPr>
        <w:t>The main objective of the evaluation was to a</w:t>
      </w:r>
      <w:r w:rsidRPr="00F66FE2">
        <w:rPr>
          <w:lang w:val="en-US"/>
        </w:rPr>
        <w:t>ssess the</w:t>
      </w:r>
      <w:r>
        <w:rPr>
          <w:lang w:val="en-US"/>
        </w:rPr>
        <w:t xml:space="preserve"> project’s</w:t>
      </w:r>
      <w:r w:rsidRPr="00F66FE2">
        <w:rPr>
          <w:lang w:val="en-US"/>
        </w:rPr>
        <w:t xml:space="preserve"> </w:t>
      </w:r>
      <w:r>
        <w:rPr>
          <w:lang w:val="en-US"/>
        </w:rPr>
        <w:t xml:space="preserve">relevance, </w:t>
      </w:r>
      <w:r w:rsidRPr="00F66FE2">
        <w:rPr>
          <w:lang w:val="en-US"/>
        </w:rPr>
        <w:t xml:space="preserve">effectiveness, efficiency, </w:t>
      </w:r>
      <w:r>
        <w:rPr>
          <w:lang w:val="en-US"/>
        </w:rPr>
        <w:t xml:space="preserve">and sustainability </w:t>
      </w:r>
      <w:r w:rsidRPr="00F66FE2">
        <w:rPr>
          <w:lang w:val="en-US"/>
        </w:rPr>
        <w:t xml:space="preserve">in terms of achieved outputs and </w:t>
      </w:r>
      <w:r>
        <w:rPr>
          <w:lang w:val="en-US"/>
        </w:rPr>
        <w:t>outcomes, and to produce conclusions, recommendations and lessons learned</w:t>
      </w:r>
      <w:r w:rsidR="00C142AD">
        <w:rPr>
          <w:lang w:val="en-US"/>
        </w:rPr>
        <w:t xml:space="preserve"> to be incorporated in</w:t>
      </w:r>
      <w:r w:rsidR="0043606C">
        <w:rPr>
          <w:lang w:val="en-US"/>
        </w:rPr>
        <w:t>to</w:t>
      </w:r>
      <w:r w:rsidR="00C142AD">
        <w:rPr>
          <w:lang w:val="en-US"/>
        </w:rPr>
        <w:t xml:space="preserve"> future UNDP VET projects</w:t>
      </w:r>
      <w:r>
        <w:rPr>
          <w:lang w:val="en-US"/>
        </w:rPr>
        <w:t>.</w:t>
      </w:r>
    </w:p>
    <w:p w14:paraId="7BE64303" w14:textId="77777777" w:rsidR="00C142AD" w:rsidRDefault="00C142AD" w:rsidP="00F66FE2">
      <w:pPr>
        <w:jc w:val="left"/>
        <w:rPr>
          <w:lang w:val="en-US"/>
        </w:rPr>
      </w:pPr>
    </w:p>
    <w:p w14:paraId="06D1E8B4" w14:textId="63FF3FBD" w:rsidR="00C142AD" w:rsidRPr="00C142AD" w:rsidRDefault="00C142AD" w:rsidP="00C142AD">
      <w:pPr>
        <w:jc w:val="left"/>
        <w:rPr>
          <w:lang w:val="en-US"/>
        </w:rPr>
      </w:pPr>
      <w:r>
        <w:rPr>
          <w:lang w:val="en-US"/>
        </w:rPr>
        <w:t>A</w:t>
      </w:r>
      <w:r w:rsidRPr="00C142AD">
        <w:rPr>
          <w:lang w:val="en-US"/>
        </w:rPr>
        <w:t xml:space="preserve"> mixed methodology was applied, allowing for appropriate triangulation of information.  The following methods were used:</w:t>
      </w:r>
    </w:p>
    <w:p w14:paraId="3DD907AC" w14:textId="77777777" w:rsidR="00C142AD" w:rsidRPr="00C142AD" w:rsidRDefault="00C142AD" w:rsidP="00C142AD">
      <w:pPr>
        <w:jc w:val="left"/>
        <w:rPr>
          <w:lang w:val="en-US"/>
        </w:rPr>
      </w:pPr>
    </w:p>
    <w:p w14:paraId="4A0839DC" w14:textId="528C87DA" w:rsidR="00C142AD" w:rsidRPr="00C142AD" w:rsidRDefault="00C142AD" w:rsidP="006031BF">
      <w:pPr>
        <w:numPr>
          <w:ilvl w:val="0"/>
          <w:numId w:val="1"/>
        </w:numPr>
        <w:jc w:val="left"/>
        <w:rPr>
          <w:bCs/>
          <w:lang w:val="en-US"/>
        </w:rPr>
      </w:pPr>
      <w:r w:rsidRPr="00C142AD">
        <w:rPr>
          <w:b/>
          <w:lang w:val="en-US"/>
        </w:rPr>
        <w:t>Desk Review</w:t>
      </w:r>
      <w:r w:rsidRPr="00C142AD">
        <w:rPr>
          <w:bCs/>
          <w:lang w:val="en-US"/>
        </w:rPr>
        <w:t xml:space="preserve"> of a large number of project documents and background information</w:t>
      </w:r>
    </w:p>
    <w:p w14:paraId="3FE7950D" w14:textId="77777777" w:rsidR="00C142AD" w:rsidRPr="00C142AD" w:rsidRDefault="00C142AD" w:rsidP="00C142AD">
      <w:pPr>
        <w:ind w:left="720"/>
        <w:jc w:val="left"/>
        <w:rPr>
          <w:lang w:val="en-US"/>
        </w:rPr>
      </w:pPr>
    </w:p>
    <w:p w14:paraId="49A5C428" w14:textId="6258E3E4" w:rsidR="00C142AD" w:rsidRPr="00C142AD" w:rsidRDefault="00C142AD" w:rsidP="006031BF">
      <w:pPr>
        <w:numPr>
          <w:ilvl w:val="0"/>
          <w:numId w:val="1"/>
        </w:numPr>
        <w:jc w:val="left"/>
        <w:rPr>
          <w:lang w:val="en-US"/>
        </w:rPr>
      </w:pPr>
      <w:r w:rsidRPr="00C142AD">
        <w:rPr>
          <w:b/>
          <w:lang w:val="en-US"/>
        </w:rPr>
        <w:t>Semi-structured interviews</w:t>
      </w:r>
      <w:r w:rsidRPr="00C142AD">
        <w:rPr>
          <w:lang w:val="en-US"/>
        </w:rPr>
        <w:t xml:space="preserve"> conducted virtually by the international evaluator and by a local consultant </w:t>
      </w:r>
    </w:p>
    <w:p w14:paraId="77631D87" w14:textId="77777777" w:rsidR="00C142AD" w:rsidRPr="00C142AD" w:rsidRDefault="00C142AD" w:rsidP="00C142AD">
      <w:pPr>
        <w:jc w:val="left"/>
        <w:rPr>
          <w:lang w:val="en-US"/>
        </w:rPr>
      </w:pPr>
    </w:p>
    <w:p w14:paraId="3070AC92" w14:textId="609EDD04" w:rsidR="00C142AD" w:rsidRDefault="00C142AD" w:rsidP="00C142AD">
      <w:pPr>
        <w:jc w:val="left"/>
        <w:rPr>
          <w:lang w:val="en-US"/>
        </w:rPr>
      </w:pPr>
      <w:r w:rsidRPr="00C142AD">
        <w:rPr>
          <w:lang w:val="en-US"/>
        </w:rPr>
        <w:t>A total of 26 interviews with individuals from representative and balanced groups of stakeholders were conducted and documented.</w:t>
      </w:r>
      <w:r w:rsidR="00FA66D9">
        <w:rPr>
          <w:lang w:val="en-US"/>
        </w:rPr>
        <w:t xml:space="preserve">  The desk review and the in-depth interviews provided the following conclusions and recommendations:</w:t>
      </w:r>
    </w:p>
    <w:p w14:paraId="79DF9929" w14:textId="77777777" w:rsidR="00C142AD" w:rsidRDefault="00C142AD" w:rsidP="00C142AD">
      <w:pPr>
        <w:jc w:val="left"/>
        <w:rPr>
          <w:lang w:val="en-US"/>
        </w:rPr>
      </w:pPr>
    </w:p>
    <w:p w14:paraId="33BF4623" w14:textId="5849B8E7" w:rsidR="00C142AD" w:rsidRPr="00C142AD" w:rsidRDefault="00FA66D9" w:rsidP="00C142AD">
      <w:pPr>
        <w:jc w:val="left"/>
        <w:rPr>
          <w:lang w:val="en-US"/>
        </w:rPr>
      </w:pPr>
      <w:r>
        <w:rPr>
          <w:lang w:val="en-US"/>
        </w:rPr>
        <w:t>Conclusions:</w:t>
      </w:r>
    </w:p>
    <w:p w14:paraId="421BCD8E" w14:textId="77777777" w:rsidR="00FA66D9" w:rsidRPr="006E48DC" w:rsidRDefault="00FA66D9" w:rsidP="006031BF">
      <w:pPr>
        <w:pStyle w:val="ListParagraph"/>
        <w:numPr>
          <w:ilvl w:val="0"/>
          <w:numId w:val="15"/>
        </w:numPr>
        <w:rPr>
          <w:lang w:val="en-US"/>
        </w:rPr>
      </w:pPr>
      <w:r w:rsidRPr="006E48DC">
        <w:rPr>
          <w:lang w:val="en-US"/>
        </w:rPr>
        <w:t xml:space="preserve">UNDP Georgia has invested in a deep understanding of the field of VET in Georgia which is </w:t>
      </w:r>
      <w:r>
        <w:rPr>
          <w:lang w:val="en-US"/>
        </w:rPr>
        <w:t>a condition</w:t>
      </w:r>
      <w:r w:rsidRPr="006E48DC">
        <w:rPr>
          <w:lang w:val="en-US"/>
        </w:rPr>
        <w:t xml:space="preserve"> for</w:t>
      </w:r>
      <w:r>
        <w:rPr>
          <w:lang w:val="en-US"/>
        </w:rPr>
        <w:t xml:space="preserve"> the development of</w:t>
      </w:r>
      <w:r w:rsidRPr="006E48DC">
        <w:rPr>
          <w:lang w:val="en-US"/>
        </w:rPr>
        <w:t xml:space="preserve"> a relevant project design.  The design of the project fits perfectly with its well-developed theory of change that constitutes the project starting point.  The ToC illustrates clearly the logical steps towards the overall objective and encompasses all the inputs into that journey.</w:t>
      </w:r>
      <w:r>
        <w:rPr>
          <w:lang w:val="en-US"/>
        </w:rPr>
        <w:t xml:space="preserve"> </w:t>
      </w:r>
      <w:r w:rsidRPr="005C01AF">
        <w:rPr>
          <w:lang w:val="en-US"/>
        </w:rPr>
        <w:t>The project is in line with national development priorities, UNDP country program outputs and outcomes and the SDGs.</w:t>
      </w:r>
    </w:p>
    <w:p w14:paraId="3FA9A06B" w14:textId="77777777" w:rsidR="00FA66D9" w:rsidRDefault="00FA66D9" w:rsidP="00FA66D9">
      <w:pPr>
        <w:rPr>
          <w:lang w:val="en-US"/>
        </w:rPr>
      </w:pPr>
    </w:p>
    <w:p w14:paraId="697C0EEC" w14:textId="77777777" w:rsidR="00FA66D9" w:rsidRPr="006E48DC" w:rsidRDefault="00FA66D9" w:rsidP="006031BF">
      <w:pPr>
        <w:pStyle w:val="ListParagraph"/>
        <w:numPr>
          <w:ilvl w:val="0"/>
          <w:numId w:val="15"/>
        </w:numPr>
        <w:rPr>
          <w:lang w:val="en-US"/>
        </w:rPr>
      </w:pPr>
      <w:r w:rsidRPr="006E48DC">
        <w:rPr>
          <w:lang w:val="en-US"/>
        </w:rPr>
        <w:t xml:space="preserve">Monitoring data indicate that despite a slow initial implementation rate, the CBLLL project managed to overcome challenges and satisfactorily delivered on its outputs and outcomes. Project indicators show that most targets have been met while a few are still in progress.   </w:t>
      </w:r>
    </w:p>
    <w:p w14:paraId="57555CB5" w14:textId="77777777" w:rsidR="00FA66D9" w:rsidRPr="001A778B" w:rsidRDefault="00FA66D9" w:rsidP="00FA66D9">
      <w:pPr>
        <w:rPr>
          <w:lang w:val="en-US"/>
        </w:rPr>
      </w:pPr>
    </w:p>
    <w:p w14:paraId="00D277F4" w14:textId="77777777" w:rsidR="00FA66D9" w:rsidRPr="006E48DC" w:rsidRDefault="00FA66D9" w:rsidP="006031BF">
      <w:pPr>
        <w:pStyle w:val="ListParagraph"/>
        <w:numPr>
          <w:ilvl w:val="0"/>
          <w:numId w:val="15"/>
        </w:numPr>
        <w:rPr>
          <w:lang w:val="en-US"/>
        </w:rPr>
      </w:pPr>
      <w:r w:rsidRPr="006E48DC">
        <w:rPr>
          <w:lang w:val="en-US"/>
        </w:rPr>
        <w:t>Interlocutors with the evaluation unanimously expressed their satisfaction with the support from the UNDP project management team.  Once management overcame initial personnel challenges and identified the right composition of individuals for the team, satisfaction among counterparts was very high.</w:t>
      </w:r>
    </w:p>
    <w:p w14:paraId="25508A35" w14:textId="77777777" w:rsidR="00FA66D9" w:rsidRPr="001A778B" w:rsidRDefault="00FA66D9" w:rsidP="00FA66D9">
      <w:pPr>
        <w:rPr>
          <w:lang w:val="en-US"/>
        </w:rPr>
      </w:pPr>
    </w:p>
    <w:p w14:paraId="1DD2E06F" w14:textId="77777777" w:rsidR="00FA66D9" w:rsidRDefault="00FA66D9" w:rsidP="006031BF">
      <w:pPr>
        <w:pStyle w:val="ListParagraph"/>
        <w:numPr>
          <w:ilvl w:val="0"/>
          <w:numId w:val="15"/>
        </w:numPr>
      </w:pPr>
      <w:r>
        <w:t>The prospect for overall sustainability of the project is favourable because of the choice of activities (capacity building, development of lasting tools etc) and the relevance and commitment of the national project partners.</w:t>
      </w:r>
    </w:p>
    <w:p w14:paraId="3DF8C4C0" w14:textId="77777777" w:rsidR="00FA66D9" w:rsidRDefault="00FA66D9" w:rsidP="00FA66D9"/>
    <w:p w14:paraId="0BA0C159" w14:textId="77777777" w:rsidR="00FA66D9" w:rsidRDefault="00FA66D9" w:rsidP="006031BF">
      <w:pPr>
        <w:pStyle w:val="ListParagraph"/>
        <w:numPr>
          <w:ilvl w:val="0"/>
          <w:numId w:val="15"/>
        </w:numPr>
      </w:pPr>
      <w:r>
        <w:t xml:space="preserve">While a clear consensus is expressed by all stakeholders regarding the crucial role of the business community in the VET reform process, the diverse and complex CBLLL project is only using two </w:t>
      </w:r>
      <w:r w:rsidRPr="00C25E2E">
        <w:t>main implementing partners, Sunny House and the Skills Agency.</w:t>
      </w:r>
      <w:r>
        <w:t xml:space="preserve">  The business associations and Sector Skills Organisations are only subject to the project, not participating partners of it.</w:t>
      </w:r>
    </w:p>
    <w:p w14:paraId="312628FB" w14:textId="77777777" w:rsidR="00FA66D9" w:rsidRDefault="00FA66D9" w:rsidP="00FA66D9"/>
    <w:p w14:paraId="1FFF011F" w14:textId="77777777" w:rsidR="00FA66D9" w:rsidRPr="006E48DC" w:rsidRDefault="00FA66D9" w:rsidP="006031BF">
      <w:pPr>
        <w:pStyle w:val="ListParagraph"/>
        <w:numPr>
          <w:ilvl w:val="0"/>
          <w:numId w:val="15"/>
        </w:numPr>
        <w:rPr>
          <w:lang w:val="en-US"/>
        </w:rPr>
      </w:pPr>
      <w:r w:rsidRPr="006E48DC">
        <w:rPr>
          <w:lang w:val="en-US"/>
        </w:rPr>
        <w:t xml:space="preserve">A fundamental area of project outputs is the establishment of networks, platforms, youth clubs and other coordination and cooperation forums.  Such forums risk losing their </w:t>
      </w:r>
      <w:r>
        <w:rPr>
          <w:lang w:val="en-US"/>
        </w:rPr>
        <w:t xml:space="preserve">current </w:t>
      </w:r>
      <w:r w:rsidRPr="006E48DC">
        <w:rPr>
          <w:lang w:val="en-US"/>
        </w:rPr>
        <w:t xml:space="preserve">momentum once technical and financial support cease.  It remains to be seen if these networks and cooperation forums will be self-sustained once the project ends.  To evaluate that aspect, this evaluation comes too early.  </w:t>
      </w:r>
    </w:p>
    <w:p w14:paraId="14DAD73C" w14:textId="77777777" w:rsidR="00FA66D9" w:rsidRDefault="00FA66D9" w:rsidP="00FA66D9"/>
    <w:p w14:paraId="2A7FCB86" w14:textId="77777777" w:rsidR="00FA66D9" w:rsidRDefault="00FA66D9" w:rsidP="006031BF">
      <w:pPr>
        <w:pStyle w:val="ListParagraph"/>
        <w:numPr>
          <w:ilvl w:val="0"/>
          <w:numId w:val="15"/>
        </w:numPr>
      </w:pPr>
      <w:r>
        <w:t>D</w:t>
      </w:r>
      <w:r w:rsidRPr="00F575BC">
        <w:t xml:space="preserve">ata indicate that gender equality was not explicitly and systematically addressed in the CBLLL project.  However, its support to awareness-creating efforts around gender-based job-stereotypes in the VET community is an important step towards gender equality. </w:t>
      </w:r>
    </w:p>
    <w:p w14:paraId="03AFAC66" w14:textId="77777777" w:rsidR="00FA66D9" w:rsidRDefault="00FA66D9" w:rsidP="00FA66D9"/>
    <w:p w14:paraId="05757AEF" w14:textId="77777777" w:rsidR="00FA66D9" w:rsidRPr="00640E20" w:rsidRDefault="00FA66D9" w:rsidP="006031BF">
      <w:pPr>
        <w:pStyle w:val="ListParagraph"/>
        <w:numPr>
          <w:ilvl w:val="0"/>
          <w:numId w:val="15"/>
        </w:numPr>
      </w:pPr>
      <w:r w:rsidRPr="00640E20">
        <w:t xml:space="preserve">The VET sector in Georgia is currently experiencing an important momentum as a result of national and international initiatives, including new VET legislation, VET reform strategies and new institutional structures.  Important international donors, including the EU, the UN, ADB and bilateral agencies, are willing to pursue poverty reduction through an improved match between the labour market needs and the skills of the unemployed population.  The availability of substantial international funds and expertise in the VET area is therefore likely to continue or even increase.  This creates an </w:t>
      </w:r>
      <w:r>
        <w:t>important</w:t>
      </w:r>
      <w:r w:rsidRPr="00640E20">
        <w:t xml:space="preserve"> need for </w:t>
      </w:r>
      <w:r>
        <w:t xml:space="preserve">a permanent VET </w:t>
      </w:r>
      <w:r w:rsidRPr="00640E20">
        <w:t>coordination</w:t>
      </w:r>
      <w:r>
        <w:t xml:space="preserve"> platform</w:t>
      </w:r>
      <w:r w:rsidRPr="00640E20">
        <w:t>.</w:t>
      </w:r>
    </w:p>
    <w:p w14:paraId="06F9C6F2" w14:textId="77777777" w:rsidR="00FA66D9" w:rsidRDefault="00FA66D9" w:rsidP="00FA66D9"/>
    <w:p w14:paraId="5944DCBE" w14:textId="7D2DC53D" w:rsidR="00FA66D9" w:rsidRDefault="00FA66D9" w:rsidP="004608D1">
      <w:pPr>
        <w:pStyle w:val="ListParagraph"/>
        <w:numPr>
          <w:ilvl w:val="0"/>
          <w:numId w:val="15"/>
        </w:numPr>
      </w:pPr>
      <w:bookmarkStart w:id="1" w:name="_Hlk156466492"/>
      <w:r>
        <w:t xml:space="preserve">Communication as a tool to achieve outcomes and outputs is not absent from individual components of the project but is not used in the form of a comprehensive strategy to achieve the overall objective of </w:t>
      </w:r>
      <w:r w:rsidR="00342412">
        <w:t xml:space="preserve">increasing youth and NEETs’ access to high quality vocational education and training. </w:t>
      </w:r>
    </w:p>
    <w:bookmarkEnd w:id="1"/>
    <w:p w14:paraId="4B3D32C1" w14:textId="77777777" w:rsidR="00342412" w:rsidRDefault="00342412" w:rsidP="00342412"/>
    <w:p w14:paraId="30D8C7EB" w14:textId="712D5611" w:rsidR="00FA66D9" w:rsidRPr="00FA66D9" w:rsidRDefault="00FA66D9" w:rsidP="006031BF">
      <w:pPr>
        <w:pStyle w:val="ListParagraph"/>
        <w:numPr>
          <w:ilvl w:val="0"/>
          <w:numId w:val="15"/>
        </w:numPr>
        <w:rPr>
          <w:lang w:val="en-US"/>
        </w:rPr>
      </w:pPr>
      <w:r w:rsidRPr="006E48DC">
        <w:rPr>
          <w:lang w:val="en-US"/>
        </w:rPr>
        <w:t xml:space="preserve">UNDP Georgia </w:t>
      </w:r>
      <w:r w:rsidRPr="00D11F98">
        <w:t>advocates for the authorities and public agencies to involve PwDs in all decisions that may affect the implementation of their rights</w:t>
      </w:r>
      <w:r>
        <w:t>, but t</w:t>
      </w:r>
      <w:r w:rsidRPr="006E48DC">
        <w:rPr>
          <w:lang w:val="en-US"/>
        </w:rPr>
        <w:t xml:space="preserve">he evaluation has not received any evidence indicating that persons with disabilities were involved in project planning and implementation. </w:t>
      </w:r>
      <w:r w:rsidRPr="00D11F98">
        <w:t xml:space="preserve"> </w:t>
      </w:r>
    </w:p>
    <w:p w14:paraId="538919DB" w14:textId="77777777" w:rsidR="00FA66D9" w:rsidRPr="00FA66D9" w:rsidRDefault="00FA66D9" w:rsidP="00FA66D9">
      <w:pPr>
        <w:pStyle w:val="ListParagraph"/>
        <w:rPr>
          <w:lang w:val="en-US"/>
        </w:rPr>
      </w:pPr>
    </w:p>
    <w:p w14:paraId="077A5279" w14:textId="2AAC65B1" w:rsidR="00FA66D9" w:rsidRDefault="00FA66D9" w:rsidP="00FA66D9">
      <w:pPr>
        <w:rPr>
          <w:lang w:val="en-US"/>
        </w:rPr>
      </w:pPr>
      <w:r>
        <w:rPr>
          <w:lang w:val="en-US"/>
        </w:rPr>
        <w:t>Recommendations:</w:t>
      </w:r>
    </w:p>
    <w:p w14:paraId="7ABAA619" w14:textId="77777777" w:rsidR="00FA66D9" w:rsidRPr="00A2251E" w:rsidRDefault="00FA66D9" w:rsidP="006031BF">
      <w:pPr>
        <w:pStyle w:val="ListParagraph"/>
        <w:numPr>
          <w:ilvl w:val="0"/>
          <w:numId w:val="14"/>
        </w:numPr>
        <w:rPr>
          <w:lang w:val="en-US"/>
        </w:rPr>
      </w:pPr>
      <w:r>
        <w:rPr>
          <w:lang w:val="en-US"/>
        </w:rPr>
        <w:lastRenderedPageBreak/>
        <w:t xml:space="preserve">Considering the emphasis that government, donors and VET experts put on the role of the private sector in a reformed and improved VET ecosystem, UNDP Georgia should explore the possibility of making Sector Skills Organisations and other business associations </w:t>
      </w:r>
      <w:r w:rsidRPr="00A2251E">
        <w:rPr>
          <w:lang w:val="en-US"/>
        </w:rPr>
        <w:t>implementing partner</w:t>
      </w:r>
      <w:r>
        <w:rPr>
          <w:lang w:val="en-US"/>
        </w:rPr>
        <w:t>s</w:t>
      </w:r>
      <w:r w:rsidRPr="00A2251E">
        <w:rPr>
          <w:lang w:val="en-US"/>
        </w:rPr>
        <w:t xml:space="preserve"> of future project activities</w:t>
      </w:r>
      <w:r>
        <w:rPr>
          <w:lang w:val="en-US"/>
        </w:rPr>
        <w:t>.</w:t>
      </w:r>
      <w:r w:rsidRPr="00A2251E">
        <w:rPr>
          <w:lang w:val="en-US"/>
        </w:rPr>
        <w:t xml:space="preserve"> </w:t>
      </w:r>
    </w:p>
    <w:p w14:paraId="65830B7C" w14:textId="77777777" w:rsidR="00FA66D9" w:rsidRDefault="00FA66D9" w:rsidP="00FA66D9">
      <w:pPr>
        <w:rPr>
          <w:lang w:val="en-US"/>
        </w:rPr>
      </w:pPr>
    </w:p>
    <w:p w14:paraId="6F5C7E5E" w14:textId="77777777" w:rsidR="00FA66D9" w:rsidRPr="00A2251E" w:rsidRDefault="00FA66D9" w:rsidP="006031BF">
      <w:pPr>
        <w:pStyle w:val="ListParagraph"/>
        <w:numPr>
          <w:ilvl w:val="0"/>
          <w:numId w:val="14"/>
        </w:numPr>
        <w:rPr>
          <w:lang w:val="en-US"/>
        </w:rPr>
      </w:pPr>
      <w:r>
        <w:rPr>
          <w:lang w:val="en-US"/>
        </w:rPr>
        <w:t>To make the evaluation process more targeted, c</w:t>
      </w:r>
      <w:r w:rsidRPr="00A2251E">
        <w:rPr>
          <w:lang w:val="en-US"/>
        </w:rPr>
        <w:t>onsider prioritizing evaluation efforts exclusively focused on the sustainability aspect of activities aimed at establishing networks, platforms and other cooperation and coordination arrangements between multiple sectors and stakeholders.  For best effect, such evaluation efforts should only be initiated at the earliest six months after the finalization of the project.</w:t>
      </w:r>
    </w:p>
    <w:p w14:paraId="4A68D2AF" w14:textId="77777777" w:rsidR="00FA66D9" w:rsidRDefault="00FA66D9" w:rsidP="00FA66D9">
      <w:pPr>
        <w:rPr>
          <w:lang w:val="en-US"/>
        </w:rPr>
      </w:pPr>
    </w:p>
    <w:p w14:paraId="32676B34" w14:textId="77777777" w:rsidR="00FA66D9" w:rsidRPr="00A2251E" w:rsidRDefault="00FA66D9" w:rsidP="006031BF">
      <w:pPr>
        <w:pStyle w:val="ListParagraph"/>
        <w:numPr>
          <w:ilvl w:val="0"/>
          <w:numId w:val="14"/>
        </w:numPr>
        <w:rPr>
          <w:lang w:val="en-US"/>
        </w:rPr>
      </w:pPr>
      <w:r w:rsidRPr="00A2251E">
        <w:rPr>
          <w:lang w:val="en-US"/>
        </w:rPr>
        <w:t xml:space="preserve">Consider involving a gender expert to support the initial design of </w:t>
      </w:r>
      <w:r>
        <w:rPr>
          <w:lang w:val="en-US"/>
        </w:rPr>
        <w:t>VET</w:t>
      </w:r>
      <w:r w:rsidRPr="00A2251E">
        <w:rPr>
          <w:lang w:val="en-US"/>
        </w:rPr>
        <w:t xml:space="preserve"> project</w:t>
      </w:r>
      <w:r>
        <w:rPr>
          <w:lang w:val="en-US"/>
        </w:rPr>
        <w:t>s</w:t>
      </w:r>
      <w:r w:rsidRPr="00A2251E">
        <w:rPr>
          <w:lang w:val="en-US"/>
        </w:rPr>
        <w:t xml:space="preserve"> as well as the design of the activities of the implementing partners, or solicit the support of UN Women Georgia during the design phase of any follow up project.  Such expertise can effectively mainstream gender equality efforts into planned programmes and activities without losing the focus on VET and </w:t>
      </w:r>
      <w:r>
        <w:rPr>
          <w:lang w:val="en-US"/>
        </w:rPr>
        <w:t xml:space="preserve">without </w:t>
      </w:r>
      <w:r w:rsidRPr="00A2251E">
        <w:rPr>
          <w:lang w:val="en-US"/>
        </w:rPr>
        <w:t>turning it into a “gender-equality project” per se.  One possible outcome of such an exercise could be the design of activities in support of strengthened gender equality competencies among VET teachers.</w:t>
      </w:r>
    </w:p>
    <w:p w14:paraId="44886562" w14:textId="77777777" w:rsidR="00FA66D9" w:rsidRDefault="00FA66D9" w:rsidP="00FA66D9">
      <w:pPr>
        <w:rPr>
          <w:lang w:val="en-US"/>
        </w:rPr>
      </w:pPr>
    </w:p>
    <w:p w14:paraId="3FA642FC" w14:textId="77777777" w:rsidR="00FA66D9" w:rsidRPr="00A6280D" w:rsidRDefault="00FA66D9" w:rsidP="006031BF">
      <w:pPr>
        <w:pStyle w:val="ListParagraph"/>
        <w:numPr>
          <w:ilvl w:val="0"/>
          <w:numId w:val="14"/>
        </w:numPr>
      </w:pPr>
      <w:r w:rsidRPr="00A6280D">
        <w:t xml:space="preserve">UNDP Georgia </w:t>
      </w:r>
      <w:r>
        <w:t>should</w:t>
      </w:r>
      <w:r w:rsidRPr="00A6280D">
        <w:t xml:space="preserve"> ensure that </w:t>
      </w:r>
      <w:r>
        <w:t xml:space="preserve">the </w:t>
      </w:r>
      <w:r w:rsidRPr="00A6280D">
        <w:t xml:space="preserve">already initiated </w:t>
      </w:r>
      <w:r>
        <w:t xml:space="preserve">donor </w:t>
      </w:r>
      <w:r w:rsidRPr="00A6280D">
        <w:t>coordination efforts</w:t>
      </w:r>
      <w:r>
        <w:t xml:space="preserve"> in the area of VET are kept up beyond the end of the project.  The Cooperation Platform established in October 2022 should continue its activities, and involve not only EU funded VET actors/projects but broaden its membership</w:t>
      </w:r>
      <w:r w:rsidRPr="00A6280D">
        <w:t xml:space="preserve"> </w:t>
      </w:r>
      <w:r>
        <w:t>to all relevant VET stakeholders.</w:t>
      </w:r>
    </w:p>
    <w:p w14:paraId="686483FA" w14:textId="77777777" w:rsidR="00FA66D9" w:rsidRDefault="00FA66D9" w:rsidP="00FA66D9">
      <w:pPr>
        <w:rPr>
          <w:lang w:val="en-US"/>
        </w:rPr>
      </w:pPr>
    </w:p>
    <w:p w14:paraId="73280421" w14:textId="77777777" w:rsidR="00FA66D9" w:rsidRDefault="00FA66D9" w:rsidP="006031BF">
      <w:pPr>
        <w:pStyle w:val="ListParagraph"/>
        <w:numPr>
          <w:ilvl w:val="0"/>
          <w:numId w:val="14"/>
        </w:numPr>
        <w:rPr>
          <w:lang w:val="en-US"/>
        </w:rPr>
      </w:pPr>
      <w:r w:rsidRPr="00A2251E">
        <w:rPr>
          <w:lang w:val="en-US"/>
        </w:rPr>
        <w:t>Given that the GoG expresses concern about the stigmatization of VET, UNDP should consider strengthening the strategic communication component of its VET support programmes to increase public awareness of the VET reform, the new educational opportunities now available and the general transformation the sector is going through.</w:t>
      </w:r>
    </w:p>
    <w:p w14:paraId="61335EEC" w14:textId="77777777" w:rsidR="00FA66D9" w:rsidRDefault="00FA66D9" w:rsidP="00FA66D9">
      <w:pPr>
        <w:pStyle w:val="ListParagraph"/>
        <w:rPr>
          <w:lang w:val="en-US"/>
        </w:rPr>
      </w:pPr>
    </w:p>
    <w:p w14:paraId="0ACD642C" w14:textId="77777777" w:rsidR="00FA66D9" w:rsidRPr="00D11F98" w:rsidRDefault="00FA66D9" w:rsidP="006031BF">
      <w:pPr>
        <w:pStyle w:val="ListParagraph"/>
        <w:numPr>
          <w:ilvl w:val="0"/>
          <w:numId w:val="14"/>
        </w:numPr>
      </w:pPr>
      <w:r>
        <w:rPr>
          <w:lang w:val="en-US"/>
        </w:rPr>
        <w:t xml:space="preserve">Given that </w:t>
      </w:r>
      <w:r w:rsidRPr="00D11F98">
        <w:t>UNDP Georgia has taken a strong public stand in favo</w:t>
      </w:r>
      <w:r>
        <w:t>u</w:t>
      </w:r>
      <w:r w:rsidRPr="00D11F98">
        <w:t>r of the participation of persons with disabilities in all activities affecting their rights and well-being (“nothing about us without us”)</w:t>
      </w:r>
      <w:r>
        <w:t xml:space="preserve">, it </w:t>
      </w:r>
      <w:r w:rsidRPr="00D11F98">
        <w:t xml:space="preserve">would be </w:t>
      </w:r>
      <w:r>
        <w:t>recommendable</w:t>
      </w:r>
      <w:r w:rsidRPr="00D11F98">
        <w:t xml:space="preserve"> that </w:t>
      </w:r>
      <w:r>
        <w:t>future</w:t>
      </w:r>
      <w:r w:rsidRPr="00D11F98">
        <w:t xml:space="preserve"> UNDP</w:t>
      </w:r>
      <w:r>
        <w:t xml:space="preserve"> Georgia VET</w:t>
      </w:r>
      <w:r w:rsidRPr="00D11F98">
        <w:t xml:space="preserve"> projects have a strong cross-cutting focus on inclusion of persons with disabilities</w:t>
      </w:r>
      <w:r>
        <w:t xml:space="preserve"> in all phases of the project, not limited to a role as beneficiaries of certain individual project activities</w:t>
      </w:r>
      <w:r w:rsidRPr="00D11F98">
        <w:t xml:space="preserve">. </w:t>
      </w:r>
    </w:p>
    <w:p w14:paraId="7457E783" w14:textId="66B67617" w:rsidR="00F96418" w:rsidRDefault="00F96418" w:rsidP="00FA66D9">
      <w:pPr>
        <w:jc w:val="left"/>
        <w:rPr>
          <w:rFonts w:eastAsiaTheme="majorEastAsia" w:cs="Times New Roman (Headings CS)"/>
          <w:b/>
          <w:bCs/>
          <w:color w:val="2E74B5" w:themeColor="accent1" w:themeShade="BF"/>
          <w:sz w:val="28"/>
          <w:szCs w:val="28"/>
          <w:lang w:val="en-US"/>
        </w:rPr>
      </w:pPr>
      <w:r>
        <w:rPr>
          <w:lang w:val="en-US"/>
        </w:rPr>
        <w:br w:type="page"/>
      </w:r>
    </w:p>
    <w:p w14:paraId="443E5CE8" w14:textId="77777777" w:rsidR="00864C5C" w:rsidRDefault="00A4310A" w:rsidP="00F3645F">
      <w:pPr>
        <w:pStyle w:val="Heading1"/>
      </w:pPr>
      <w:bookmarkStart w:id="2" w:name="_Toc155599362"/>
      <w:r w:rsidRPr="00F3645F">
        <w:lastRenderedPageBreak/>
        <w:t>INTRODUCTION</w:t>
      </w:r>
      <w:bookmarkEnd w:id="2"/>
      <w:r w:rsidRPr="00F3645F">
        <w:t xml:space="preserve"> </w:t>
      </w:r>
    </w:p>
    <w:p w14:paraId="65258C73" w14:textId="6C7D3F33" w:rsidR="007B043F" w:rsidRPr="00F3645F" w:rsidRDefault="00864C5C" w:rsidP="005C375D">
      <w:pPr>
        <w:pStyle w:val="Heading2"/>
      </w:pPr>
      <w:bookmarkStart w:id="3" w:name="_Toc155599363"/>
      <w:r>
        <w:t>Background</w:t>
      </w:r>
      <w:bookmarkEnd w:id="3"/>
      <w:r w:rsidR="005B7944" w:rsidRPr="00F3645F">
        <w:t xml:space="preserve"> </w:t>
      </w:r>
    </w:p>
    <w:p w14:paraId="6C8A1415" w14:textId="77777777" w:rsidR="004173F0" w:rsidRPr="007C3EC5" w:rsidRDefault="004173F0" w:rsidP="00DD0528">
      <w:pPr>
        <w:rPr>
          <w:lang w:val="en-US" w:eastAsia="en-GB"/>
        </w:rPr>
      </w:pPr>
    </w:p>
    <w:p w14:paraId="3BFF3D1C" w14:textId="76437406" w:rsidR="005B7944" w:rsidRDefault="005B7944" w:rsidP="005B7944">
      <w:pPr>
        <w:rPr>
          <w:lang w:val="en-US"/>
        </w:rPr>
      </w:pPr>
      <w:r w:rsidRPr="005B7944">
        <w:rPr>
          <w:lang w:val="en-US"/>
        </w:rPr>
        <w:t xml:space="preserve">UNDP has been actively involved in reforming </w:t>
      </w:r>
      <w:r w:rsidR="00864C5C">
        <w:rPr>
          <w:lang w:val="en-US"/>
        </w:rPr>
        <w:t>the Vocational Education and Training (</w:t>
      </w:r>
      <w:r w:rsidRPr="005B7944">
        <w:rPr>
          <w:lang w:val="en-US"/>
        </w:rPr>
        <w:t>VET</w:t>
      </w:r>
      <w:r w:rsidR="00864C5C">
        <w:rPr>
          <w:lang w:val="en-US"/>
        </w:rPr>
        <w:t>)</w:t>
      </w:r>
      <w:r w:rsidRPr="005B7944">
        <w:rPr>
          <w:lang w:val="en-US"/>
        </w:rPr>
        <w:t xml:space="preserve"> system in Georgia for the last 10 years and built strong working relations with the major stakeholders and a sound understanding of the prevailing challenges within the VET system. Key intervention areas of UNDP</w:t>
      </w:r>
      <w:r w:rsidR="004D734B">
        <w:rPr>
          <w:lang w:val="en-US"/>
        </w:rPr>
        <w:t>’s current</w:t>
      </w:r>
      <w:r w:rsidRPr="005B7944">
        <w:rPr>
          <w:lang w:val="en-US"/>
        </w:rPr>
        <w:t xml:space="preserve"> VET-</w:t>
      </w:r>
      <w:r w:rsidR="004D734B">
        <w:rPr>
          <w:lang w:val="en-US"/>
        </w:rPr>
        <w:t>activities include</w:t>
      </w:r>
      <w:r w:rsidRPr="005B7944">
        <w:rPr>
          <w:lang w:val="en-US"/>
        </w:rPr>
        <w:t>:</w:t>
      </w:r>
      <w:r w:rsidR="004D734B">
        <w:rPr>
          <w:lang w:val="en-US"/>
        </w:rPr>
        <w:t xml:space="preserve"> support to the implementation of a new legal framework,</w:t>
      </w:r>
      <w:r w:rsidRPr="005B7944">
        <w:rPr>
          <w:lang w:val="en-US"/>
        </w:rPr>
        <w:t xml:space="preserve"> involv</w:t>
      </w:r>
      <w:r w:rsidR="004D734B">
        <w:rPr>
          <w:lang w:val="en-US"/>
        </w:rPr>
        <w:t>ement of</w:t>
      </w:r>
      <w:r w:rsidRPr="005B7944">
        <w:rPr>
          <w:lang w:val="en-US"/>
        </w:rPr>
        <w:t xml:space="preserve"> </w:t>
      </w:r>
      <w:r w:rsidR="004D734B">
        <w:rPr>
          <w:lang w:val="en-US"/>
        </w:rPr>
        <w:t xml:space="preserve">the </w:t>
      </w:r>
      <w:r w:rsidRPr="005B7944">
        <w:rPr>
          <w:lang w:val="en-US"/>
        </w:rPr>
        <w:t>private sector both on governance and provision of VET, support of the new flexible, and high</w:t>
      </w:r>
      <w:r w:rsidR="00BE7E22">
        <w:rPr>
          <w:lang w:val="en-US"/>
        </w:rPr>
        <w:t>-</w:t>
      </w:r>
      <w:r w:rsidRPr="005B7944">
        <w:rPr>
          <w:lang w:val="en-US"/>
        </w:rPr>
        <w:t xml:space="preserve">quality education services to increase access and </w:t>
      </w:r>
      <w:r w:rsidR="004D734B">
        <w:rPr>
          <w:lang w:val="en-US"/>
        </w:rPr>
        <w:t>life-long-learning</w:t>
      </w:r>
      <w:r w:rsidRPr="005B7944">
        <w:rPr>
          <w:lang w:val="en-US"/>
        </w:rPr>
        <w:t xml:space="preserve"> opportunities for all, and development of entrepreneurial education eco-system, which will lead to increased employability of </w:t>
      </w:r>
      <w:r w:rsidR="004D734B">
        <w:rPr>
          <w:lang w:val="en-US"/>
        </w:rPr>
        <w:t xml:space="preserve">the </w:t>
      </w:r>
      <w:r w:rsidRPr="005B7944">
        <w:rPr>
          <w:lang w:val="en-US"/>
        </w:rPr>
        <w:t xml:space="preserve">population, </w:t>
      </w:r>
      <w:r w:rsidR="004D734B">
        <w:t>s</w:t>
      </w:r>
      <w:r w:rsidR="004D734B" w:rsidRPr="004D734B">
        <w:t>mall and medium-sized enterprises </w:t>
      </w:r>
      <w:r w:rsidR="004D734B">
        <w:t>(SME)</w:t>
      </w:r>
      <w:r w:rsidRPr="005B7944">
        <w:rPr>
          <w:lang w:val="en-US"/>
        </w:rPr>
        <w:t xml:space="preserve"> development and increase of productivity of Georgia’s economy.  Since 2012 UNDP has been implementing the “Skills for Employment Program” which focuses on formalizing training/retraining, introducing work-based learning, strengthening teacher/instructor capacities, introducing system components to support life-long-learning. </w:t>
      </w:r>
    </w:p>
    <w:p w14:paraId="58FAD2FF" w14:textId="63D3DFA8" w:rsidR="00864C5C" w:rsidRDefault="00864C5C" w:rsidP="005C375D">
      <w:pPr>
        <w:pStyle w:val="Heading2"/>
      </w:pPr>
      <w:bookmarkStart w:id="4" w:name="_Toc155599364"/>
      <w:r>
        <w:t>Project to be evaluated: Creating Better Life-Long Learning Opportunities through Local Partnerships</w:t>
      </w:r>
      <w:r w:rsidR="005C375D">
        <w:t xml:space="preserve"> (CBLLL)</w:t>
      </w:r>
      <w:bookmarkEnd w:id="4"/>
    </w:p>
    <w:p w14:paraId="7DB3CB38" w14:textId="77777777" w:rsidR="005B7944" w:rsidRPr="005B7944" w:rsidRDefault="005B7944" w:rsidP="005B7944">
      <w:pPr>
        <w:rPr>
          <w:lang w:val="en-US"/>
        </w:rPr>
      </w:pPr>
    </w:p>
    <w:p w14:paraId="2DA1C87E" w14:textId="323C9302" w:rsidR="005B7944" w:rsidRDefault="00864C5C" w:rsidP="005B7944">
      <w:pPr>
        <w:rPr>
          <w:lang w:val="en-US"/>
        </w:rPr>
      </w:pPr>
      <w:bookmarkStart w:id="5" w:name="_Hlk155522792"/>
      <w:r>
        <w:rPr>
          <w:lang w:val="en-US"/>
        </w:rPr>
        <w:t>T</w:t>
      </w:r>
      <w:r w:rsidR="005B7944" w:rsidRPr="005B7944">
        <w:rPr>
          <w:lang w:val="en-US"/>
        </w:rPr>
        <w:t xml:space="preserve">he overall objective of the </w:t>
      </w:r>
      <w:r w:rsidR="005C375D">
        <w:rPr>
          <w:lang w:val="en-US"/>
        </w:rPr>
        <w:t xml:space="preserve">CBLLL </w:t>
      </w:r>
      <w:r w:rsidR="005B7944" w:rsidRPr="005B7944">
        <w:rPr>
          <w:lang w:val="en-US"/>
        </w:rPr>
        <w:t xml:space="preserve">project is to strengthen employability for men and women in </w:t>
      </w:r>
      <w:r w:rsidR="00321AB1">
        <w:rPr>
          <w:lang w:val="en-US"/>
        </w:rPr>
        <w:t xml:space="preserve">the </w:t>
      </w:r>
      <w:r w:rsidR="005B7944" w:rsidRPr="005B7944">
        <w:rPr>
          <w:lang w:val="en-US"/>
        </w:rPr>
        <w:t xml:space="preserve">capital and </w:t>
      </w:r>
      <w:r w:rsidR="00321AB1">
        <w:rPr>
          <w:lang w:val="en-US"/>
        </w:rPr>
        <w:t xml:space="preserve">in </w:t>
      </w:r>
      <w:r w:rsidR="005B7944" w:rsidRPr="005B7944">
        <w:rPr>
          <w:lang w:val="en-US"/>
        </w:rPr>
        <w:t>rural areas through increased access to high quality services</w:t>
      </w:r>
      <w:r w:rsidR="00321AB1">
        <w:rPr>
          <w:lang w:val="en-US"/>
        </w:rPr>
        <w:t>.</w:t>
      </w:r>
      <w:r w:rsidR="005B7944" w:rsidRPr="005B7944">
        <w:rPr>
          <w:lang w:val="en-US"/>
        </w:rPr>
        <w:t xml:space="preserve"> </w:t>
      </w:r>
      <w:r w:rsidR="00321AB1">
        <w:rPr>
          <w:lang w:val="en-US"/>
        </w:rPr>
        <w:t>T</w:t>
      </w:r>
      <w:r w:rsidR="005B7944" w:rsidRPr="005B7944">
        <w:rPr>
          <w:lang w:val="en-US"/>
        </w:rPr>
        <w:t>he project aims to contribute to the improvement of the quality and accessibility of skills provision for life-long learning and enhancement of employment opportunities for youth and vulnerable groups</w:t>
      </w:r>
      <w:bookmarkEnd w:id="5"/>
      <w:r w:rsidR="005B7944" w:rsidRPr="005B7944">
        <w:rPr>
          <w:lang w:val="en-US"/>
        </w:rPr>
        <w:t xml:space="preserve"> in </w:t>
      </w:r>
      <w:r w:rsidR="005C375D">
        <w:rPr>
          <w:lang w:val="en-US"/>
        </w:rPr>
        <w:t xml:space="preserve">6 </w:t>
      </w:r>
      <w:r w:rsidR="005B7944" w:rsidRPr="005B7944">
        <w:rPr>
          <w:lang w:val="en-US"/>
        </w:rPr>
        <w:t xml:space="preserve">target regions (Guria, Racha-Lechkhumi, Imereti, Kakheti, Tbilisi and Adjara) with perspective for institutionalization and replication of models and approaches nationwide. </w:t>
      </w:r>
    </w:p>
    <w:p w14:paraId="2DC93803" w14:textId="77777777" w:rsidR="00D5632E" w:rsidRDefault="00D5632E" w:rsidP="005B7944">
      <w:pPr>
        <w:rPr>
          <w:lang w:val="en-US"/>
        </w:rPr>
      </w:pPr>
    </w:p>
    <w:p w14:paraId="52D3CF9F" w14:textId="0BBE42B4" w:rsidR="00EC355A" w:rsidRDefault="00D5632E" w:rsidP="005B7944">
      <w:pPr>
        <w:rPr>
          <w:lang w:val="en-US"/>
        </w:rPr>
      </w:pPr>
      <w:r>
        <w:rPr>
          <w:lang w:val="en-US"/>
        </w:rPr>
        <w:t>The results framework is organized around 14 action areas</w:t>
      </w:r>
      <w:r w:rsidR="00EC355A">
        <w:rPr>
          <w:lang w:val="en-US"/>
        </w:rPr>
        <w:t>,</w:t>
      </w:r>
      <w:r>
        <w:rPr>
          <w:lang w:val="en-US"/>
        </w:rPr>
        <w:t xml:space="preserve"> linked to three outputs, </w:t>
      </w:r>
      <w:r w:rsidR="00EC355A">
        <w:rPr>
          <w:lang w:val="en-US"/>
        </w:rPr>
        <w:t>striving for</w:t>
      </w:r>
      <w:r>
        <w:rPr>
          <w:lang w:val="en-US"/>
        </w:rPr>
        <w:t xml:space="preserve"> the following two outcomes:</w:t>
      </w:r>
    </w:p>
    <w:p w14:paraId="4433AF60" w14:textId="77777777" w:rsidR="00EC355A" w:rsidRDefault="00EC355A" w:rsidP="005B7944">
      <w:pPr>
        <w:rPr>
          <w:lang w:val="en-US"/>
        </w:rPr>
      </w:pPr>
    </w:p>
    <w:p w14:paraId="68F8528A" w14:textId="77777777" w:rsidR="00EC355A" w:rsidRDefault="00EC355A" w:rsidP="006031BF">
      <w:pPr>
        <w:pStyle w:val="ListParagraph"/>
        <w:numPr>
          <w:ilvl w:val="0"/>
          <w:numId w:val="17"/>
        </w:numPr>
        <w:rPr>
          <w:lang w:val="en-US"/>
        </w:rPr>
      </w:pPr>
      <w:r>
        <w:rPr>
          <w:lang w:val="en-US"/>
        </w:rPr>
        <w:t>Strengthened institutions contribute to the delivery of high-quality lifelong learning in selected regions</w:t>
      </w:r>
    </w:p>
    <w:p w14:paraId="3217EAD5" w14:textId="2BD3DF6F" w:rsidR="00D5632E" w:rsidRPr="00EC355A" w:rsidRDefault="00EC355A" w:rsidP="006031BF">
      <w:pPr>
        <w:pStyle w:val="ListParagraph"/>
        <w:numPr>
          <w:ilvl w:val="0"/>
          <w:numId w:val="17"/>
        </w:numPr>
        <w:rPr>
          <w:lang w:val="en-US"/>
        </w:rPr>
      </w:pPr>
      <w:r>
        <w:rPr>
          <w:lang w:val="en-US"/>
        </w:rPr>
        <w:t>Youth and selected vulnerable groups have access to flexible services of formal and non-formal learning in targeted regions</w:t>
      </w:r>
      <w:r w:rsidR="00D5632E" w:rsidRPr="00EC355A">
        <w:rPr>
          <w:lang w:val="en-US"/>
        </w:rPr>
        <w:t xml:space="preserve"> </w:t>
      </w:r>
    </w:p>
    <w:p w14:paraId="2DC7EF07" w14:textId="77777777" w:rsidR="00864C5C" w:rsidRPr="005B7944" w:rsidRDefault="00864C5C" w:rsidP="005B7944">
      <w:pPr>
        <w:rPr>
          <w:lang w:val="en-US"/>
        </w:rPr>
      </w:pPr>
    </w:p>
    <w:p w14:paraId="1427ECC2" w14:textId="03E30751" w:rsidR="008B6679" w:rsidRDefault="008B6679" w:rsidP="005B7944">
      <w:pPr>
        <w:rPr>
          <w:lang w:val="en-US"/>
        </w:rPr>
      </w:pPr>
      <w:bookmarkStart w:id="6" w:name="_Hlk155522949"/>
      <w:r>
        <w:rPr>
          <w:lang w:val="en-US"/>
        </w:rPr>
        <w:t>The CBLLL project was implemented from January 2020 to December 2023 (</w:t>
      </w:r>
      <w:r w:rsidR="00454B29">
        <w:rPr>
          <w:lang w:val="en-US"/>
        </w:rPr>
        <w:t xml:space="preserve">including </w:t>
      </w:r>
      <w:r>
        <w:rPr>
          <w:lang w:val="en-US"/>
        </w:rPr>
        <w:t xml:space="preserve">two non-cost extensions) with a </w:t>
      </w:r>
      <w:r w:rsidR="00454B29">
        <w:rPr>
          <w:lang w:val="en-US"/>
        </w:rPr>
        <w:t xml:space="preserve">total </w:t>
      </w:r>
      <w:r>
        <w:rPr>
          <w:lang w:val="en-US"/>
        </w:rPr>
        <w:t>budget of 1,125</w:t>
      </w:r>
      <w:r w:rsidR="00454B29">
        <w:rPr>
          <w:lang w:val="en-US"/>
        </w:rPr>
        <w:t>,000 euros</w:t>
      </w:r>
      <w:r w:rsidR="00321AB1">
        <w:rPr>
          <w:lang w:val="en-US"/>
        </w:rPr>
        <w:t xml:space="preserve"> </w:t>
      </w:r>
      <w:r w:rsidR="00321AB1" w:rsidRPr="00321AB1">
        <w:rPr>
          <w:lang w:val="en-US"/>
        </w:rPr>
        <w:t>(900,000 from the EU and 225,000 from UNDP)</w:t>
      </w:r>
      <w:r w:rsidR="00454B29">
        <w:rPr>
          <w:lang w:val="en-US"/>
        </w:rPr>
        <w:t xml:space="preserve">.  Its main implementing partners were the </w:t>
      </w:r>
      <w:r w:rsidR="00454B29" w:rsidRPr="00454B29">
        <w:t xml:space="preserve">Vocational Skills Agency </w:t>
      </w:r>
      <w:r w:rsidR="00454B29">
        <w:t>(</w:t>
      </w:r>
      <w:r w:rsidR="00454B29" w:rsidRPr="00454B29">
        <w:t>established by the Ministry of Education and Science of Georgia and the Chamber of Commerce and Industry</w:t>
      </w:r>
      <w:r w:rsidR="00454B29">
        <w:t>) and the non-governmental youth organisation “Sunny House</w:t>
      </w:r>
      <w:r w:rsidR="005C753C">
        <w:t>.”</w:t>
      </w:r>
      <w:r w:rsidR="00F67518">
        <w:t xml:space="preserve">  The project was managed by a UNDP Georgia team consisting of a project manager (100%), a project assistant (100%) and Section Team Leader (25%).  It reported to and was accountable to a multi-stakeholder Project Board made up of representatives from UNDP senior management, the </w:t>
      </w:r>
      <w:r w:rsidR="00321AB1">
        <w:t xml:space="preserve">main </w:t>
      </w:r>
      <w:r w:rsidR="00F67518">
        <w:t>donor (EU) and the Ministry of Education and Science.</w:t>
      </w:r>
    </w:p>
    <w:p w14:paraId="05440E54" w14:textId="43DB0A62" w:rsidR="00B22262" w:rsidRPr="007C3EC5" w:rsidRDefault="00B22262" w:rsidP="00F3645F">
      <w:pPr>
        <w:pStyle w:val="Heading1"/>
      </w:pPr>
      <w:bookmarkStart w:id="7" w:name="_Toc155599365"/>
      <w:bookmarkEnd w:id="6"/>
      <w:r w:rsidRPr="007C3EC5">
        <w:lastRenderedPageBreak/>
        <w:t>OBJECTIVES, SCOPE</w:t>
      </w:r>
      <w:r w:rsidR="003F52D6">
        <w:t xml:space="preserve"> AND LIMITATIONS OF</w:t>
      </w:r>
      <w:r w:rsidRPr="007C3EC5">
        <w:t xml:space="preserve"> THE EVALUATION</w:t>
      </w:r>
      <w:bookmarkEnd w:id="7"/>
      <w:r w:rsidRPr="007C3EC5">
        <w:t xml:space="preserve"> </w:t>
      </w:r>
    </w:p>
    <w:p w14:paraId="06ACE892" w14:textId="7EE8A0FE" w:rsidR="00B22262" w:rsidRPr="007C3EC5" w:rsidRDefault="00B22262" w:rsidP="00F3645F">
      <w:pPr>
        <w:pStyle w:val="Heading2"/>
      </w:pPr>
      <w:bookmarkStart w:id="8" w:name="_Toc155599366"/>
      <w:r w:rsidRPr="007C3EC5">
        <w:t>Evaluation Objectives</w:t>
      </w:r>
      <w:bookmarkEnd w:id="8"/>
    </w:p>
    <w:p w14:paraId="3D753DBD" w14:textId="77777777" w:rsidR="00633E5A" w:rsidRPr="007C3EC5" w:rsidRDefault="00633E5A" w:rsidP="00633E5A">
      <w:pPr>
        <w:rPr>
          <w:lang w:val="en-US" w:eastAsia="en-GB"/>
        </w:rPr>
      </w:pPr>
    </w:p>
    <w:p w14:paraId="7A3619F0" w14:textId="46B82481" w:rsidR="00A172EB" w:rsidRDefault="00FB1544" w:rsidP="00AB4549">
      <w:pPr>
        <w:rPr>
          <w:lang w:val="en-US"/>
        </w:rPr>
      </w:pPr>
      <w:r w:rsidRPr="00FB1544">
        <w:rPr>
          <w:lang w:val="en-US"/>
        </w:rPr>
        <w:t xml:space="preserve">The </w:t>
      </w:r>
      <w:r w:rsidR="00A172EB">
        <w:rPr>
          <w:lang w:val="en-US"/>
        </w:rPr>
        <w:t xml:space="preserve">specific objectives of the final external evaluation </w:t>
      </w:r>
      <w:r w:rsidR="00801421">
        <w:rPr>
          <w:lang w:val="en-US"/>
        </w:rPr>
        <w:t>were</w:t>
      </w:r>
      <w:r w:rsidR="00A172EB">
        <w:rPr>
          <w:lang w:val="en-US"/>
        </w:rPr>
        <w:t>:</w:t>
      </w:r>
      <w:r w:rsidRPr="00FB1544">
        <w:rPr>
          <w:lang w:val="en-US"/>
        </w:rPr>
        <w:t xml:space="preserve"> </w:t>
      </w:r>
    </w:p>
    <w:p w14:paraId="4A78C15A" w14:textId="77777777" w:rsidR="00A172EB" w:rsidRDefault="00A172EB" w:rsidP="00AB4549">
      <w:pPr>
        <w:ind w:left="360"/>
        <w:rPr>
          <w:lang w:val="en-US"/>
        </w:rPr>
      </w:pPr>
    </w:p>
    <w:p w14:paraId="62004622" w14:textId="3308F89B" w:rsidR="00A172EB" w:rsidRPr="00A172EB" w:rsidRDefault="00A172EB" w:rsidP="006031BF">
      <w:pPr>
        <w:numPr>
          <w:ilvl w:val="0"/>
          <w:numId w:val="4"/>
        </w:numPr>
        <w:ind w:left="360"/>
        <w:rPr>
          <w:lang w:val="en-US"/>
        </w:rPr>
      </w:pPr>
      <w:r w:rsidRPr="00A172EB">
        <w:rPr>
          <w:lang w:val="en-US"/>
        </w:rPr>
        <w:t>To evaluate the project’s objectives and target results.</w:t>
      </w:r>
    </w:p>
    <w:p w14:paraId="3F8F72C6" w14:textId="77777777" w:rsidR="00A172EB" w:rsidRPr="00A172EB" w:rsidRDefault="00A172EB" w:rsidP="006031BF">
      <w:pPr>
        <w:numPr>
          <w:ilvl w:val="0"/>
          <w:numId w:val="4"/>
        </w:numPr>
        <w:ind w:left="360"/>
        <w:rPr>
          <w:lang w:val="en-US"/>
        </w:rPr>
      </w:pPr>
      <w:r w:rsidRPr="00A172EB">
        <w:rPr>
          <w:lang w:val="en-US"/>
        </w:rPr>
        <w:t>To evaluate how much delivered activities of the project enabled achieving its objectives and delivering its intended outputs, outcome, and impact.</w:t>
      </w:r>
    </w:p>
    <w:p w14:paraId="7D32E965" w14:textId="77777777" w:rsidR="00A172EB" w:rsidRPr="00A172EB" w:rsidRDefault="00A172EB" w:rsidP="006031BF">
      <w:pPr>
        <w:numPr>
          <w:ilvl w:val="0"/>
          <w:numId w:val="4"/>
        </w:numPr>
        <w:ind w:left="360"/>
        <w:rPr>
          <w:lang w:val="en-US"/>
        </w:rPr>
      </w:pPr>
      <w:r w:rsidRPr="00A172EB">
        <w:t>To assess to what extent the project fulfilled the commitments to accessibility, quality of educational opportunities provided and relevance of skills as stipulated in the Project Document.</w:t>
      </w:r>
    </w:p>
    <w:p w14:paraId="2530D53C" w14:textId="77777777" w:rsidR="00A172EB" w:rsidRPr="00A172EB" w:rsidRDefault="00A172EB" w:rsidP="006031BF">
      <w:pPr>
        <w:numPr>
          <w:ilvl w:val="0"/>
          <w:numId w:val="4"/>
        </w:numPr>
        <w:ind w:left="360"/>
        <w:rPr>
          <w:lang w:val="en-US"/>
        </w:rPr>
      </w:pPr>
      <w:bookmarkStart w:id="9" w:name="_Hlk155523138"/>
      <w:r w:rsidRPr="00A172EB">
        <w:rPr>
          <w:lang w:val="en-US"/>
        </w:rPr>
        <w:t>To assess the effectiveness, efficiency, and added value of the project in terms of achieved outputs and results.</w:t>
      </w:r>
    </w:p>
    <w:p w14:paraId="5D7116EB" w14:textId="77777777" w:rsidR="00A172EB" w:rsidRPr="00A172EB" w:rsidRDefault="00A172EB" w:rsidP="006031BF">
      <w:pPr>
        <w:numPr>
          <w:ilvl w:val="0"/>
          <w:numId w:val="4"/>
        </w:numPr>
        <w:ind w:left="360"/>
        <w:rPr>
          <w:lang w:val="en-US"/>
        </w:rPr>
      </w:pPr>
      <w:r w:rsidRPr="00A172EB">
        <w:rPr>
          <w:lang w:val="en-US"/>
        </w:rPr>
        <w:t>To evaluate the contribution of the project to Sustainable Development Goals (SDGs).</w:t>
      </w:r>
    </w:p>
    <w:p w14:paraId="56891115" w14:textId="77777777" w:rsidR="00A172EB" w:rsidRPr="00A172EB" w:rsidRDefault="00A172EB" w:rsidP="006031BF">
      <w:pPr>
        <w:numPr>
          <w:ilvl w:val="0"/>
          <w:numId w:val="4"/>
        </w:numPr>
        <w:ind w:left="360"/>
        <w:rPr>
          <w:lang w:val="en-US"/>
        </w:rPr>
      </w:pPr>
      <w:r w:rsidRPr="00A172EB">
        <w:rPr>
          <w:lang w:val="en-US"/>
        </w:rPr>
        <w:t xml:space="preserve">To provide results, findings, recommendations, lessons learned, and good practices. </w:t>
      </w:r>
    </w:p>
    <w:p w14:paraId="351330B3" w14:textId="62C84339" w:rsidR="00B22262" w:rsidRPr="007C3EC5" w:rsidRDefault="00B22262" w:rsidP="00A172EB">
      <w:pPr>
        <w:pStyle w:val="Heading2"/>
      </w:pPr>
      <w:bookmarkStart w:id="10" w:name="_Toc155599367"/>
      <w:bookmarkEnd w:id="9"/>
      <w:r w:rsidRPr="007C3EC5">
        <w:t>Purpose and scope of the evaluation</w:t>
      </w:r>
      <w:bookmarkEnd w:id="10"/>
    </w:p>
    <w:p w14:paraId="3C401047" w14:textId="77777777" w:rsidR="00B22262" w:rsidRPr="007C3EC5" w:rsidRDefault="00B22262" w:rsidP="00DD0528">
      <w:pPr>
        <w:rPr>
          <w:lang w:val="en-US"/>
        </w:rPr>
      </w:pPr>
    </w:p>
    <w:p w14:paraId="7E885792" w14:textId="12EB9885" w:rsidR="00A172EB" w:rsidRDefault="00A172EB" w:rsidP="00A172EB">
      <w:pPr>
        <w:spacing w:line="264" w:lineRule="auto"/>
        <w:rPr>
          <w:rFonts w:cstheme="minorHAnsi"/>
        </w:rPr>
      </w:pPr>
      <w:bookmarkStart w:id="11" w:name="_Toc48222059"/>
      <w:bookmarkStart w:id="12" w:name="_Toc48226251"/>
      <w:bookmarkEnd w:id="11"/>
      <w:bookmarkEnd w:id="12"/>
      <w:r w:rsidRPr="00C341F8">
        <w:rPr>
          <w:rFonts w:cstheme="minorHAnsi"/>
        </w:rPr>
        <w:t xml:space="preserve">The </w:t>
      </w:r>
      <w:r w:rsidR="00613E5D">
        <w:rPr>
          <w:rFonts w:cstheme="minorHAnsi"/>
        </w:rPr>
        <w:t xml:space="preserve">purpose and </w:t>
      </w:r>
      <w:r w:rsidRPr="00C341F8">
        <w:rPr>
          <w:rFonts w:cstheme="minorHAnsi"/>
        </w:rPr>
        <w:t xml:space="preserve">scope of </w:t>
      </w:r>
      <w:r>
        <w:rPr>
          <w:rFonts w:cstheme="minorHAnsi"/>
        </w:rPr>
        <w:t xml:space="preserve">the evaluation </w:t>
      </w:r>
      <w:r w:rsidR="00613E5D">
        <w:rPr>
          <w:rFonts w:cstheme="minorHAnsi"/>
        </w:rPr>
        <w:t>include</w:t>
      </w:r>
      <w:r w:rsidR="00801421">
        <w:rPr>
          <w:rFonts w:cstheme="minorHAnsi"/>
        </w:rPr>
        <w:t>d</w:t>
      </w:r>
      <w:r w:rsidRPr="00C341F8">
        <w:rPr>
          <w:rFonts w:cstheme="minorHAnsi"/>
        </w:rPr>
        <w:t xml:space="preserve">: </w:t>
      </w:r>
    </w:p>
    <w:p w14:paraId="50B909BC" w14:textId="77777777" w:rsidR="00A172EB" w:rsidRPr="00C341F8" w:rsidRDefault="00A172EB" w:rsidP="00A172EB">
      <w:pPr>
        <w:spacing w:line="264" w:lineRule="auto"/>
        <w:rPr>
          <w:rFonts w:cstheme="minorHAnsi"/>
        </w:rPr>
      </w:pPr>
    </w:p>
    <w:p w14:paraId="4F947606" w14:textId="5EA4CA6D" w:rsidR="00A172EB" w:rsidRPr="006B0234" w:rsidRDefault="00A172EB" w:rsidP="006031BF">
      <w:pPr>
        <w:pStyle w:val="ListParagraph"/>
        <w:numPr>
          <w:ilvl w:val="0"/>
          <w:numId w:val="5"/>
        </w:numPr>
        <w:spacing w:line="264" w:lineRule="auto"/>
        <w:rPr>
          <w:rFonts w:cstheme="minorHAnsi"/>
        </w:rPr>
      </w:pPr>
      <w:r w:rsidRPr="006B0234">
        <w:rPr>
          <w:rFonts w:cstheme="minorHAnsi"/>
        </w:rPr>
        <w:t xml:space="preserve">Evaluate relevant sources of information, such as the project document, project reports, national strategic and legal documents, records, management, </w:t>
      </w:r>
      <w:r w:rsidRPr="006B0234">
        <w:rPr>
          <w:rFonts w:cstheme="minorHAnsi"/>
          <w:noProof/>
        </w:rPr>
        <w:t>and</w:t>
      </w:r>
      <w:r w:rsidRPr="006B0234">
        <w:rPr>
          <w:rFonts w:cstheme="minorHAnsi"/>
        </w:rPr>
        <w:t xml:space="preserve"> clients’ responses, and any other materials considers useful for </w:t>
      </w:r>
      <w:r w:rsidR="00613E5D" w:rsidRPr="006B0234">
        <w:rPr>
          <w:rFonts w:cstheme="minorHAnsi"/>
        </w:rPr>
        <w:t xml:space="preserve">the </w:t>
      </w:r>
      <w:r w:rsidRPr="006B0234">
        <w:rPr>
          <w:rFonts w:cstheme="minorHAnsi"/>
        </w:rPr>
        <w:t xml:space="preserve">evidence-based </w:t>
      </w:r>
      <w:r w:rsidR="00613E5D" w:rsidRPr="006B0234">
        <w:rPr>
          <w:rFonts w:cstheme="minorHAnsi"/>
        </w:rPr>
        <w:t>evaluation</w:t>
      </w:r>
      <w:r w:rsidRPr="006B0234">
        <w:rPr>
          <w:rFonts w:cstheme="minorHAnsi"/>
        </w:rPr>
        <w:t>.</w:t>
      </w:r>
    </w:p>
    <w:p w14:paraId="0D8092EF" w14:textId="5E8C2BCD" w:rsidR="00A172EB" w:rsidRPr="006B0234" w:rsidRDefault="00A172EB" w:rsidP="006031BF">
      <w:pPr>
        <w:pStyle w:val="ListParagraph"/>
        <w:numPr>
          <w:ilvl w:val="0"/>
          <w:numId w:val="5"/>
        </w:numPr>
        <w:spacing w:line="264" w:lineRule="auto"/>
        <w:rPr>
          <w:rFonts w:cstheme="minorHAnsi"/>
        </w:rPr>
      </w:pPr>
      <w:r w:rsidRPr="006B0234">
        <w:rPr>
          <w:rFonts w:cstheme="minorHAnsi"/>
        </w:rPr>
        <w:t xml:space="preserve">Elaborate an evaluation matrix with evaluation criteria, </w:t>
      </w:r>
      <w:r w:rsidR="00613E5D" w:rsidRPr="006B0234">
        <w:rPr>
          <w:rFonts w:cstheme="minorHAnsi"/>
        </w:rPr>
        <w:t>priority</w:t>
      </w:r>
      <w:r w:rsidRPr="006B0234">
        <w:rPr>
          <w:rFonts w:cstheme="minorHAnsi"/>
        </w:rPr>
        <w:t xml:space="preserve"> evaluation questions (and, where needed, sub-questions), the data sources </w:t>
      </w:r>
      <w:r w:rsidR="00613E5D" w:rsidRPr="006B0234">
        <w:rPr>
          <w:rFonts w:cstheme="minorHAnsi"/>
        </w:rPr>
        <w:t xml:space="preserve">and </w:t>
      </w:r>
      <w:r w:rsidRPr="006B0234">
        <w:rPr>
          <w:rFonts w:cstheme="minorHAnsi"/>
        </w:rPr>
        <w:t>the data collection</w:t>
      </w:r>
      <w:r w:rsidR="00613E5D" w:rsidRPr="006B0234">
        <w:rPr>
          <w:rFonts w:cstheme="minorHAnsi"/>
        </w:rPr>
        <w:t xml:space="preserve"> </w:t>
      </w:r>
      <w:r w:rsidRPr="006B0234">
        <w:rPr>
          <w:rFonts w:cstheme="minorHAnsi"/>
        </w:rPr>
        <w:t>methods.</w:t>
      </w:r>
    </w:p>
    <w:p w14:paraId="18918AA2" w14:textId="5621822F" w:rsidR="00A172EB" w:rsidRPr="006B0234" w:rsidRDefault="00613E5D" w:rsidP="006031BF">
      <w:pPr>
        <w:pStyle w:val="ListParagraph"/>
        <w:numPr>
          <w:ilvl w:val="0"/>
          <w:numId w:val="5"/>
        </w:numPr>
        <w:spacing w:after="200" w:line="264" w:lineRule="auto"/>
        <w:rPr>
          <w:rFonts w:cstheme="minorHAnsi"/>
        </w:rPr>
      </w:pPr>
      <w:r w:rsidRPr="006B0234">
        <w:rPr>
          <w:rFonts w:cstheme="minorHAnsi"/>
        </w:rPr>
        <w:t>Acquire background knowledge of the</w:t>
      </w:r>
      <w:r w:rsidR="00A172EB" w:rsidRPr="006B0234">
        <w:rPr>
          <w:rFonts w:cstheme="minorHAnsi"/>
        </w:rPr>
        <w:t xml:space="preserve"> current standings of vocational education development on national level and </w:t>
      </w:r>
      <w:r w:rsidRPr="006B0234">
        <w:rPr>
          <w:rFonts w:cstheme="minorHAnsi"/>
        </w:rPr>
        <w:t xml:space="preserve">in </w:t>
      </w:r>
      <w:r w:rsidR="00A172EB" w:rsidRPr="006B0234">
        <w:rPr>
          <w:rFonts w:cstheme="minorHAnsi"/>
        </w:rPr>
        <w:t xml:space="preserve">target regions. </w:t>
      </w:r>
    </w:p>
    <w:p w14:paraId="228017FC" w14:textId="3E90B9CB" w:rsidR="00A172EB" w:rsidRPr="006B0234" w:rsidRDefault="00A172EB" w:rsidP="006031BF">
      <w:pPr>
        <w:pStyle w:val="ListParagraph"/>
        <w:numPr>
          <w:ilvl w:val="0"/>
          <w:numId w:val="5"/>
        </w:numPr>
        <w:spacing w:after="200" w:line="264" w:lineRule="auto"/>
        <w:rPr>
          <w:rFonts w:cstheme="minorHAnsi"/>
        </w:rPr>
      </w:pPr>
      <w:r w:rsidRPr="006B0234">
        <w:rPr>
          <w:rFonts w:cstheme="minorHAnsi"/>
        </w:rPr>
        <w:t xml:space="preserve">Frame the evaluation effort using the criteria of </w:t>
      </w:r>
      <w:r w:rsidRPr="006B0234">
        <w:rPr>
          <w:rFonts w:asciiTheme="minorHAnsi" w:hAnsiTheme="minorHAnsi" w:cstheme="minorHAnsi"/>
        </w:rPr>
        <w:t>(a)</w:t>
      </w:r>
      <w:r w:rsidRPr="006B0234">
        <w:rPr>
          <w:rFonts w:asciiTheme="minorHAnsi" w:hAnsiTheme="minorHAnsi" w:cstheme="minorHAnsi"/>
          <w:spacing w:val="18"/>
        </w:rPr>
        <w:t xml:space="preserve"> </w:t>
      </w:r>
      <w:r w:rsidRPr="006B0234">
        <w:rPr>
          <w:rFonts w:asciiTheme="minorHAnsi" w:hAnsiTheme="minorHAnsi" w:cstheme="minorHAnsi"/>
        </w:rPr>
        <w:t>relevance;</w:t>
      </w:r>
      <w:r w:rsidRPr="006B0234">
        <w:rPr>
          <w:rFonts w:asciiTheme="minorHAnsi" w:hAnsiTheme="minorHAnsi" w:cstheme="minorHAnsi"/>
          <w:spacing w:val="18"/>
        </w:rPr>
        <w:t xml:space="preserve"> </w:t>
      </w:r>
      <w:r w:rsidRPr="006B0234">
        <w:rPr>
          <w:rFonts w:asciiTheme="minorHAnsi" w:hAnsiTheme="minorHAnsi" w:cstheme="minorHAnsi"/>
        </w:rPr>
        <w:t>(b)</w:t>
      </w:r>
      <w:r w:rsidRPr="006B0234">
        <w:rPr>
          <w:rFonts w:asciiTheme="minorHAnsi" w:hAnsiTheme="minorHAnsi" w:cstheme="minorHAnsi"/>
          <w:spacing w:val="18"/>
        </w:rPr>
        <w:t xml:space="preserve"> </w:t>
      </w:r>
      <w:r w:rsidRPr="006B0234">
        <w:rPr>
          <w:rFonts w:asciiTheme="minorHAnsi" w:hAnsiTheme="minorHAnsi" w:cstheme="minorHAnsi"/>
        </w:rPr>
        <w:t>coherence;</w:t>
      </w:r>
      <w:r w:rsidRPr="006B0234">
        <w:rPr>
          <w:rFonts w:asciiTheme="minorHAnsi" w:hAnsiTheme="minorHAnsi" w:cstheme="minorHAnsi"/>
          <w:spacing w:val="18"/>
        </w:rPr>
        <w:t xml:space="preserve"> </w:t>
      </w:r>
      <w:r w:rsidRPr="006B0234">
        <w:rPr>
          <w:rFonts w:asciiTheme="minorHAnsi" w:hAnsiTheme="minorHAnsi" w:cstheme="minorHAnsi"/>
        </w:rPr>
        <w:t>(c)</w:t>
      </w:r>
      <w:r w:rsidRPr="006B0234">
        <w:rPr>
          <w:rFonts w:asciiTheme="minorHAnsi" w:hAnsiTheme="minorHAnsi" w:cstheme="minorHAnsi"/>
          <w:spacing w:val="-47"/>
        </w:rPr>
        <w:t xml:space="preserve">     </w:t>
      </w:r>
      <w:r w:rsidRPr="006B0234">
        <w:rPr>
          <w:rFonts w:asciiTheme="minorHAnsi" w:hAnsiTheme="minorHAnsi" w:cstheme="minorHAnsi"/>
        </w:rPr>
        <w:t>effectiveness;</w:t>
      </w:r>
      <w:r w:rsidRPr="006B0234">
        <w:rPr>
          <w:rFonts w:asciiTheme="minorHAnsi" w:hAnsiTheme="minorHAnsi" w:cstheme="minorHAnsi"/>
          <w:spacing w:val="-2"/>
        </w:rPr>
        <w:t xml:space="preserve"> </w:t>
      </w:r>
      <w:r w:rsidRPr="006B0234">
        <w:rPr>
          <w:rFonts w:asciiTheme="minorHAnsi" w:hAnsiTheme="minorHAnsi" w:cstheme="minorHAnsi"/>
        </w:rPr>
        <w:t>(d) efficiency;</w:t>
      </w:r>
      <w:r w:rsidRPr="006B0234">
        <w:rPr>
          <w:rFonts w:asciiTheme="minorHAnsi" w:hAnsiTheme="minorHAnsi" w:cstheme="minorHAnsi"/>
          <w:spacing w:val="-2"/>
        </w:rPr>
        <w:t xml:space="preserve"> </w:t>
      </w:r>
      <w:r w:rsidRPr="006B0234">
        <w:rPr>
          <w:rFonts w:asciiTheme="minorHAnsi" w:hAnsiTheme="minorHAnsi" w:cstheme="minorHAnsi"/>
        </w:rPr>
        <w:t>and</w:t>
      </w:r>
      <w:r w:rsidRPr="006B0234">
        <w:rPr>
          <w:rFonts w:asciiTheme="minorHAnsi" w:hAnsiTheme="minorHAnsi" w:cstheme="minorHAnsi"/>
          <w:spacing w:val="-1"/>
        </w:rPr>
        <w:t xml:space="preserve"> </w:t>
      </w:r>
      <w:r w:rsidRPr="006B0234">
        <w:rPr>
          <w:rFonts w:asciiTheme="minorHAnsi" w:hAnsiTheme="minorHAnsi" w:cstheme="minorHAnsi"/>
        </w:rPr>
        <w:t>(e)</w:t>
      </w:r>
      <w:r w:rsidRPr="006B0234">
        <w:rPr>
          <w:rFonts w:asciiTheme="minorHAnsi" w:hAnsiTheme="minorHAnsi" w:cstheme="minorHAnsi"/>
          <w:spacing w:val="-1"/>
        </w:rPr>
        <w:t xml:space="preserve"> </w:t>
      </w:r>
      <w:r w:rsidRPr="006B0234">
        <w:rPr>
          <w:rFonts w:asciiTheme="minorHAnsi" w:hAnsiTheme="minorHAnsi" w:cstheme="minorHAnsi"/>
        </w:rPr>
        <w:t>sustainability</w:t>
      </w:r>
      <w:r w:rsidRPr="006B0234">
        <w:rPr>
          <w:rFonts w:asciiTheme="minorHAnsi" w:hAnsiTheme="minorHAnsi" w:cstheme="minorHAnsi"/>
          <w:spacing w:val="1"/>
        </w:rPr>
        <w:t xml:space="preserve"> </w:t>
      </w:r>
      <w:r w:rsidRPr="006B0234">
        <w:rPr>
          <w:rFonts w:cstheme="minorHAnsi"/>
        </w:rPr>
        <w:t xml:space="preserve">(including cross-cutting topics: Human Rights, Gender Equality, and Disability). </w:t>
      </w:r>
    </w:p>
    <w:p w14:paraId="2724DBB1" w14:textId="77777777" w:rsidR="00A172EB" w:rsidRPr="006B0234" w:rsidRDefault="00A172EB" w:rsidP="006031BF">
      <w:pPr>
        <w:pStyle w:val="ListParagraph"/>
        <w:numPr>
          <w:ilvl w:val="0"/>
          <w:numId w:val="5"/>
        </w:numPr>
        <w:spacing w:after="200" w:line="264" w:lineRule="auto"/>
        <w:rPr>
          <w:rFonts w:cstheme="minorBidi"/>
        </w:rPr>
      </w:pPr>
      <w:r w:rsidRPr="006B0234">
        <w:rPr>
          <w:rFonts w:cstheme="minorBidi"/>
          <w:noProof/>
        </w:rPr>
        <w:t>Analyze</w:t>
      </w:r>
      <w:r w:rsidRPr="006B0234">
        <w:rPr>
          <w:rFonts w:cstheme="minorBidi"/>
        </w:rPr>
        <w:t xml:space="preserve"> the key objectives of the project and assess to what </w:t>
      </w:r>
      <w:r w:rsidRPr="006B0234">
        <w:rPr>
          <w:rFonts w:cstheme="minorBidi"/>
          <w:noProof/>
        </w:rPr>
        <w:t>extent</w:t>
      </w:r>
      <w:r w:rsidRPr="006B0234">
        <w:rPr>
          <w:rFonts w:cstheme="minorBidi"/>
        </w:rPr>
        <w:t xml:space="preserve"> these objectives have been achieved.</w:t>
      </w:r>
    </w:p>
    <w:p w14:paraId="22C13D7B" w14:textId="77777777" w:rsidR="00A172EB" w:rsidRPr="006B0234" w:rsidRDefault="00A172EB" w:rsidP="006031BF">
      <w:pPr>
        <w:pStyle w:val="ListParagraph"/>
        <w:numPr>
          <w:ilvl w:val="0"/>
          <w:numId w:val="5"/>
        </w:numPr>
        <w:spacing w:after="200" w:line="264" w:lineRule="auto"/>
        <w:rPr>
          <w:rFonts w:cstheme="minorBidi"/>
        </w:rPr>
      </w:pPr>
      <w:r w:rsidRPr="006B0234">
        <w:rPr>
          <w:rFonts w:cstheme="minorBidi"/>
        </w:rPr>
        <w:t>Assess the effectiveness of the CBLLL project`s interventions/initiatives in achieving its stated objectives and contributing to the relevant outcomes as stated in the project document.</w:t>
      </w:r>
    </w:p>
    <w:p w14:paraId="6A606FDF" w14:textId="108A038F" w:rsidR="00A172EB" w:rsidRPr="006B0234" w:rsidRDefault="006B0234" w:rsidP="006031BF">
      <w:pPr>
        <w:pStyle w:val="ListParagraph"/>
        <w:numPr>
          <w:ilvl w:val="0"/>
          <w:numId w:val="5"/>
        </w:numPr>
        <w:spacing w:after="200" w:line="264" w:lineRule="auto"/>
        <w:rPr>
          <w:rFonts w:cstheme="minorHAnsi"/>
        </w:rPr>
      </w:pPr>
      <w:r w:rsidRPr="006B0234">
        <w:rPr>
          <w:rFonts w:cstheme="minorHAnsi"/>
        </w:rPr>
        <w:t>Identify</w:t>
      </w:r>
      <w:r w:rsidR="00A172EB" w:rsidRPr="006B0234">
        <w:rPr>
          <w:rFonts w:cstheme="minorHAnsi"/>
        </w:rPr>
        <w:t xml:space="preserve"> the key stakeholders and hold discussions with them. </w:t>
      </w:r>
    </w:p>
    <w:p w14:paraId="10B0B633" w14:textId="5DB38375" w:rsidR="00A172EB" w:rsidRPr="006B0234" w:rsidRDefault="00A172EB" w:rsidP="006031BF">
      <w:pPr>
        <w:pStyle w:val="ListParagraph"/>
        <w:numPr>
          <w:ilvl w:val="0"/>
          <w:numId w:val="5"/>
        </w:numPr>
        <w:spacing w:line="264" w:lineRule="auto"/>
        <w:rPr>
          <w:rFonts w:cstheme="minorHAnsi"/>
        </w:rPr>
      </w:pPr>
      <w:r w:rsidRPr="006B0234">
        <w:rPr>
          <w:rFonts w:cstheme="minorHAnsi"/>
        </w:rPr>
        <w:t>Evaluate what has worked and what has not worked</w:t>
      </w:r>
      <w:r w:rsidR="006B0234" w:rsidRPr="006B0234">
        <w:rPr>
          <w:rFonts w:cstheme="minorHAnsi"/>
        </w:rPr>
        <w:t xml:space="preserve">, </w:t>
      </w:r>
      <w:r w:rsidRPr="006B0234">
        <w:rPr>
          <w:rFonts w:cstheme="minorHAnsi"/>
        </w:rPr>
        <w:t>and why</w:t>
      </w:r>
      <w:r w:rsidR="006B0234" w:rsidRPr="006B0234">
        <w:rPr>
          <w:rFonts w:cstheme="minorHAnsi"/>
        </w:rPr>
        <w:t>.</w:t>
      </w:r>
    </w:p>
    <w:p w14:paraId="664A837D" w14:textId="3CE54FA7" w:rsidR="00A172EB" w:rsidRPr="006B0234" w:rsidRDefault="00A172EB" w:rsidP="006031BF">
      <w:pPr>
        <w:pStyle w:val="ListParagraph"/>
        <w:numPr>
          <w:ilvl w:val="0"/>
          <w:numId w:val="5"/>
        </w:numPr>
        <w:spacing w:line="264" w:lineRule="auto"/>
        <w:rPr>
          <w:rFonts w:cstheme="minorHAnsi"/>
        </w:rPr>
      </w:pPr>
      <w:r w:rsidRPr="006B0234">
        <w:rPr>
          <w:rFonts w:cstheme="minorHAnsi"/>
        </w:rPr>
        <w:t>Identify and describe key factors that contributed to</w:t>
      </w:r>
      <w:r w:rsidR="006B0234" w:rsidRPr="006B0234">
        <w:rPr>
          <w:rFonts w:cstheme="minorHAnsi"/>
        </w:rPr>
        <w:t xml:space="preserve"> </w:t>
      </w:r>
      <w:r w:rsidRPr="006B0234">
        <w:rPr>
          <w:rFonts w:cstheme="minorHAnsi"/>
        </w:rPr>
        <w:t>sustainability of project outputs/outcome/impact.</w:t>
      </w:r>
    </w:p>
    <w:p w14:paraId="53A33EC1" w14:textId="465FE1FA" w:rsidR="00A172EB" w:rsidRPr="006B0234" w:rsidRDefault="00A172EB" w:rsidP="006031BF">
      <w:pPr>
        <w:pStyle w:val="ListParagraph"/>
        <w:numPr>
          <w:ilvl w:val="0"/>
          <w:numId w:val="5"/>
        </w:numPr>
        <w:spacing w:line="264" w:lineRule="auto"/>
        <w:rPr>
          <w:rFonts w:eastAsia="MS Mincho" w:cstheme="minorHAnsi"/>
        </w:rPr>
      </w:pPr>
      <w:r w:rsidRPr="006B0234">
        <w:rPr>
          <w:rFonts w:cstheme="minorHAnsi"/>
        </w:rPr>
        <w:t xml:space="preserve">The evaluation report </w:t>
      </w:r>
      <w:r w:rsidR="006B0234" w:rsidRPr="006B0234">
        <w:rPr>
          <w:rFonts w:cstheme="minorHAnsi"/>
        </w:rPr>
        <w:t>will</w:t>
      </w:r>
      <w:r w:rsidRPr="006B0234">
        <w:rPr>
          <w:rFonts w:cstheme="minorHAnsi"/>
        </w:rPr>
        <w:t xml:space="preserve"> include a chapter providing a set of conclusions, recommendations, </w:t>
      </w:r>
      <w:r w:rsidRPr="006B0234">
        <w:rPr>
          <w:rFonts w:cstheme="minorHAnsi"/>
          <w:noProof/>
        </w:rPr>
        <w:t>and</w:t>
      </w:r>
      <w:r w:rsidRPr="006B0234">
        <w:rPr>
          <w:rFonts w:cstheme="minorHAnsi"/>
        </w:rPr>
        <w:t xml:space="preserve"> Lessons Learnt</w:t>
      </w:r>
      <w:r w:rsidR="006B0234" w:rsidRPr="006B0234">
        <w:rPr>
          <w:rFonts w:cstheme="minorHAnsi"/>
        </w:rPr>
        <w:t xml:space="preserve"> useful to the design of the next phase of the project</w:t>
      </w:r>
      <w:r w:rsidRPr="006B0234">
        <w:rPr>
          <w:rFonts w:cstheme="minorHAnsi"/>
        </w:rPr>
        <w:t>.</w:t>
      </w:r>
    </w:p>
    <w:p w14:paraId="1A507AF0" w14:textId="77777777" w:rsidR="00A172EB" w:rsidRPr="006B0234" w:rsidRDefault="00A172EB" w:rsidP="006031BF">
      <w:pPr>
        <w:pStyle w:val="ListParagraph"/>
        <w:numPr>
          <w:ilvl w:val="0"/>
          <w:numId w:val="5"/>
        </w:numPr>
        <w:spacing w:line="264" w:lineRule="auto"/>
        <w:rPr>
          <w:rFonts w:eastAsia="MS Mincho" w:cstheme="minorHAnsi"/>
        </w:rPr>
      </w:pPr>
      <w:r w:rsidRPr="006B0234">
        <w:rPr>
          <w:rFonts w:eastAsia="MS Mincho" w:cstheme="minorHAnsi"/>
          <w:noProof/>
        </w:rPr>
        <w:t>Analyze</w:t>
      </w:r>
      <w:r w:rsidRPr="006B0234">
        <w:rPr>
          <w:rFonts w:eastAsia="MS Mincho" w:cstheme="minorHAnsi"/>
        </w:rPr>
        <w:t xml:space="preserve"> the project’s contribution to UN Sustainable Development Goals (SDGs).</w:t>
      </w:r>
    </w:p>
    <w:p w14:paraId="4E157A25" w14:textId="77777777" w:rsidR="00A172EB" w:rsidRDefault="00A172EB" w:rsidP="006031BF">
      <w:pPr>
        <w:pStyle w:val="ListParagraph"/>
        <w:numPr>
          <w:ilvl w:val="0"/>
          <w:numId w:val="5"/>
        </w:numPr>
        <w:spacing w:line="264" w:lineRule="auto"/>
        <w:rPr>
          <w:rFonts w:eastAsia="MS Mincho" w:cstheme="minorHAnsi"/>
        </w:rPr>
      </w:pPr>
      <w:r w:rsidRPr="006B0234">
        <w:rPr>
          <w:rFonts w:eastAsia="MS Mincho" w:cstheme="minorHAnsi"/>
        </w:rPr>
        <w:t xml:space="preserve">Finalize an FE Report based on solicited feedback from the </w:t>
      </w:r>
      <w:r w:rsidRPr="006B0234">
        <w:rPr>
          <w:rFonts w:eastAsia="MS Mincho" w:cstheme="minorHAnsi"/>
          <w:noProof/>
        </w:rPr>
        <w:t>UNDP</w:t>
      </w:r>
      <w:r w:rsidRPr="006B0234">
        <w:rPr>
          <w:rFonts w:eastAsia="MS Mincho" w:cstheme="minorHAnsi"/>
        </w:rPr>
        <w:t xml:space="preserve"> team and key stakeholders.</w:t>
      </w:r>
    </w:p>
    <w:p w14:paraId="612D19C3" w14:textId="599B419F" w:rsidR="001F3DC2" w:rsidRDefault="001F3DC2" w:rsidP="001F3DC2">
      <w:pPr>
        <w:pStyle w:val="Heading2"/>
        <w:rPr>
          <w:rFonts w:eastAsia="MS Mincho"/>
        </w:rPr>
      </w:pPr>
      <w:bookmarkStart w:id="13" w:name="_Toc155599368"/>
      <w:r>
        <w:rPr>
          <w:rFonts w:eastAsia="MS Mincho"/>
        </w:rPr>
        <w:lastRenderedPageBreak/>
        <w:t>Limitations to the evaluation exercise</w:t>
      </w:r>
      <w:bookmarkEnd w:id="13"/>
    </w:p>
    <w:p w14:paraId="60FF5383" w14:textId="77777777" w:rsidR="001F3DC2" w:rsidRDefault="001F3DC2" w:rsidP="001F3DC2">
      <w:pPr>
        <w:spacing w:line="264" w:lineRule="auto"/>
        <w:rPr>
          <w:rFonts w:eastAsia="MS Mincho" w:cstheme="minorHAnsi"/>
        </w:rPr>
      </w:pPr>
    </w:p>
    <w:p w14:paraId="1210D996" w14:textId="0011373D" w:rsidR="006C0D55" w:rsidRDefault="006C0D55" w:rsidP="006C0D55">
      <w:pPr>
        <w:spacing w:line="264" w:lineRule="auto"/>
        <w:rPr>
          <w:rFonts w:eastAsia="MS Mincho" w:cstheme="minorHAnsi"/>
        </w:rPr>
      </w:pPr>
      <w:r>
        <w:rPr>
          <w:rFonts w:eastAsia="MS Mincho" w:cstheme="minorHAnsi"/>
        </w:rPr>
        <w:t>The evaluation was planned to take place during the months of November</w:t>
      </w:r>
      <w:r w:rsidR="00801421">
        <w:rPr>
          <w:rFonts w:eastAsia="MS Mincho" w:cstheme="minorHAnsi"/>
        </w:rPr>
        <w:t>/</w:t>
      </w:r>
      <w:r>
        <w:rPr>
          <w:rFonts w:eastAsia="MS Mincho" w:cstheme="minorHAnsi"/>
        </w:rPr>
        <w:t xml:space="preserve">December 2023, but delays in the recruitment process pushed the </w:t>
      </w:r>
      <w:r w:rsidR="00DA47C3">
        <w:rPr>
          <w:rFonts w:eastAsia="MS Mincho" w:cstheme="minorHAnsi"/>
        </w:rPr>
        <w:t>evaluation</w:t>
      </w:r>
      <w:r>
        <w:rPr>
          <w:rFonts w:eastAsia="MS Mincho" w:cstheme="minorHAnsi"/>
        </w:rPr>
        <w:t xml:space="preserve"> to December 2023</w:t>
      </w:r>
      <w:r w:rsidR="00801421">
        <w:rPr>
          <w:rFonts w:eastAsia="MS Mincho" w:cstheme="minorHAnsi"/>
        </w:rPr>
        <w:t>/</w:t>
      </w:r>
      <w:r>
        <w:rPr>
          <w:rFonts w:eastAsia="MS Mincho" w:cstheme="minorHAnsi"/>
        </w:rPr>
        <w:t>January 2024.  This meant that much of the work had to be carried out in the middle of the Christmas/End-of-Year holiday season.</w:t>
      </w:r>
    </w:p>
    <w:p w14:paraId="13E58566" w14:textId="77777777" w:rsidR="006C0D55" w:rsidRDefault="006C0D55" w:rsidP="006C0D55">
      <w:pPr>
        <w:spacing w:line="264" w:lineRule="auto"/>
        <w:rPr>
          <w:rFonts w:eastAsia="MS Mincho" w:cstheme="minorHAnsi"/>
        </w:rPr>
      </w:pPr>
    </w:p>
    <w:p w14:paraId="6C394820" w14:textId="00272871" w:rsidR="006C0D55" w:rsidRDefault="006C0D55" w:rsidP="006C0D55">
      <w:pPr>
        <w:spacing w:line="264" w:lineRule="auto"/>
        <w:rPr>
          <w:rFonts w:eastAsia="MS Mincho" w:cstheme="minorHAnsi"/>
        </w:rPr>
      </w:pPr>
      <w:r>
        <w:rPr>
          <w:rFonts w:eastAsia="MS Mincho" w:cstheme="minorHAnsi"/>
        </w:rPr>
        <w:t xml:space="preserve">The consultant was hired for 18 working days, while the ToR used a template </w:t>
      </w:r>
      <w:r w:rsidR="00902AD9">
        <w:rPr>
          <w:rFonts w:eastAsia="MS Mincho" w:cstheme="minorHAnsi"/>
        </w:rPr>
        <w:t>e</w:t>
      </w:r>
      <w:r w:rsidR="00902AD9" w:rsidRPr="00902AD9">
        <w:rPr>
          <w:rFonts w:eastAsia="MS Mincho" w:cstheme="minorHAnsi"/>
        </w:rPr>
        <w:t xml:space="preserve">xample of working day allocation </w:t>
      </w:r>
      <w:r w:rsidR="00902AD9">
        <w:rPr>
          <w:rFonts w:eastAsia="MS Mincho" w:cstheme="minorHAnsi"/>
        </w:rPr>
        <w:t>f</w:t>
      </w:r>
      <w:r>
        <w:rPr>
          <w:rFonts w:eastAsia="MS Mincho" w:cstheme="minorHAnsi"/>
        </w:rPr>
        <w:t>rom the UNDP Evaluation Guide</w:t>
      </w:r>
      <w:r w:rsidR="00902AD9">
        <w:rPr>
          <w:rFonts w:eastAsia="MS Mincho" w:cstheme="minorHAnsi"/>
        </w:rPr>
        <w:t>lines which suggests the use of 35 days for an outcome evaluation.  For the CBLLL evaluation, the desk review phase as well as the data collection phase were reduced to half the recommended days</w:t>
      </w:r>
      <w:r w:rsidR="0043606C">
        <w:rPr>
          <w:rFonts w:eastAsia="MS Mincho" w:cstheme="minorHAnsi"/>
        </w:rPr>
        <w:t xml:space="preserve"> in the UNDP template</w:t>
      </w:r>
      <w:r w:rsidR="00902AD9">
        <w:rPr>
          <w:rFonts w:eastAsia="MS Mincho" w:cstheme="minorHAnsi"/>
        </w:rPr>
        <w:t>.  Instead</w:t>
      </w:r>
      <w:r w:rsidR="00FF3393">
        <w:rPr>
          <w:rFonts w:eastAsia="MS Mincho" w:cstheme="minorHAnsi"/>
        </w:rPr>
        <w:t>, a local consultant was hired to assist the evaluator.</w:t>
      </w:r>
      <w:r w:rsidR="00902AD9">
        <w:rPr>
          <w:rFonts w:eastAsia="MS Mincho" w:cstheme="minorHAnsi"/>
        </w:rPr>
        <w:t xml:space="preserve">  </w:t>
      </w:r>
      <w:r w:rsidR="002F1424">
        <w:rPr>
          <w:rFonts w:eastAsia="MS Mincho" w:cstheme="minorHAnsi"/>
        </w:rPr>
        <w:t xml:space="preserve">The </w:t>
      </w:r>
      <w:r w:rsidR="00AB4549">
        <w:rPr>
          <w:rFonts w:eastAsia="MS Mincho" w:cstheme="minorHAnsi"/>
        </w:rPr>
        <w:t>evaluator</w:t>
      </w:r>
      <w:r w:rsidR="002F1424">
        <w:rPr>
          <w:rFonts w:eastAsia="MS Mincho" w:cstheme="minorHAnsi"/>
        </w:rPr>
        <w:t xml:space="preserve"> was based outside of Georgia.</w:t>
      </w:r>
    </w:p>
    <w:p w14:paraId="5554D07B" w14:textId="1938A3E6" w:rsidR="007B45E1" w:rsidRPr="007C3EC5" w:rsidRDefault="007B45E1" w:rsidP="00F3645F">
      <w:pPr>
        <w:pStyle w:val="Heading1"/>
        <w:rPr>
          <w:lang w:eastAsia="en-GB"/>
        </w:rPr>
      </w:pPr>
      <w:bookmarkStart w:id="14" w:name="_Toc155599369"/>
      <w:r w:rsidRPr="007C3EC5">
        <w:rPr>
          <w:lang w:eastAsia="en-GB"/>
        </w:rPr>
        <w:t>EVALUATION QUESTIONS</w:t>
      </w:r>
      <w:r w:rsidR="00383068">
        <w:rPr>
          <w:lang w:eastAsia="en-GB"/>
        </w:rPr>
        <w:t xml:space="preserve"> AND CROSS-CUTTING ISSUES</w:t>
      </w:r>
      <w:bookmarkEnd w:id="14"/>
    </w:p>
    <w:p w14:paraId="31CEEF4D" w14:textId="77777777" w:rsidR="007B45E1" w:rsidRPr="007C3EC5" w:rsidRDefault="007B45E1" w:rsidP="00DD0528">
      <w:pPr>
        <w:rPr>
          <w:lang w:val="en-US" w:eastAsia="en-GB"/>
        </w:rPr>
      </w:pPr>
    </w:p>
    <w:p w14:paraId="07353C4A" w14:textId="5FFABBA0" w:rsidR="007B45E1" w:rsidRPr="007C3EC5" w:rsidRDefault="00512F26" w:rsidP="00DD0528">
      <w:pPr>
        <w:rPr>
          <w:lang w:val="en-US" w:eastAsia="en-GB"/>
        </w:rPr>
      </w:pPr>
      <w:r w:rsidRPr="007C3EC5">
        <w:rPr>
          <w:bCs/>
          <w:lang w:val="en-US"/>
        </w:rPr>
        <w:t xml:space="preserve">The evaluation </w:t>
      </w:r>
      <w:r w:rsidR="006E72A8">
        <w:rPr>
          <w:bCs/>
          <w:lang w:val="en-US"/>
        </w:rPr>
        <w:t>was</w:t>
      </w:r>
      <w:r w:rsidRPr="007C3EC5">
        <w:rPr>
          <w:bCs/>
          <w:lang w:val="en-US"/>
        </w:rPr>
        <w:t xml:space="preserve"> </w:t>
      </w:r>
      <w:r w:rsidR="005C753C" w:rsidRPr="007C3EC5">
        <w:rPr>
          <w:bCs/>
          <w:lang w:val="en-US"/>
        </w:rPr>
        <w:t>organized</w:t>
      </w:r>
      <w:r w:rsidRPr="007C3EC5">
        <w:rPr>
          <w:bCs/>
          <w:lang w:val="en-US"/>
        </w:rPr>
        <w:t xml:space="preserve"> around the five OECD-DAC evaluation criteria </w:t>
      </w:r>
      <w:r w:rsidRPr="007C3EC5">
        <w:rPr>
          <w:bCs/>
          <w:lang w:val="en-US" w:eastAsia="en-GB"/>
        </w:rPr>
        <w:t>as set out in the evaluation</w:t>
      </w:r>
      <w:r w:rsidR="00C2482B">
        <w:rPr>
          <w:bCs/>
          <w:lang w:val="en-US" w:eastAsia="en-GB"/>
        </w:rPr>
        <w:t xml:space="preserve"> </w:t>
      </w:r>
      <w:r w:rsidRPr="007C3EC5">
        <w:rPr>
          <w:bCs/>
          <w:lang w:val="en-US" w:eastAsia="en-GB"/>
        </w:rPr>
        <w:t>ToR</w:t>
      </w:r>
      <w:r w:rsidRPr="007C3EC5">
        <w:rPr>
          <w:bCs/>
          <w:lang w:val="en-US"/>
        </w:rPr>
        <w:t>. It also include</w:t>
      </w:r>
      <w:r w:rsidR="006E72A8">
        <w:rPr>
          <w:bCs/>
          <w:lang w:val="en-US"/>
        </w:rPr>
        <w:t>d</w:t>
      </w:r>
      <w:r w:rsidRPr="007C3EC5">
        <w:rPr>
          <w:bCs/>
          <w:lang w:val="en-US"/>
        </w:rPr>
        <w:t xml:space="preserve"> </w:t>
      </w:r>
      <w:r w:rsidR="00025060">
        <w:rPr>
          <w:bCs/>
          <w:lang w:val="en-US"/>
        </w:rPr>
        <w:t xml:space="preserve">the cross-cutting areas of human rights, gender equality and disability. </w:t>
      </w:r>
    </w:p>
    <w:p w14:paraId="1A5E75A2" w14:textId="77777777" w:rsidR="00512F26" w:rsidRPr="007C3EC5" w:rsidRDefault="00512F26" w:rsidP="00DD0528">
      <w:pPr>
        <w:rPr>
          <w:lang w:val="en-US" w:eastAsia="en-GB"/>
        </w:rPr>
      </w:pPr>
    </w:p>
    <w:p w14:paraId="2056A306" w14:textId="2C0E3728" w:rsidR="007B45E1" w:rsidRPr="007C3EC5" w:rsidRDefault="00512F26" w:rsidP="00DD0528">
      <w:pPr>
        <w:rPr>
          <w:u w:val="single"/>
          <w:lang w:val="en-US" w:eastAsia="en-GB"/>
        </w:rPr>
      </w:pPr>
      <w:bookmarkStart w:id="15" w:name="_Hlk152945521"/>
      <w:r w:rsidRPr="007C3EC5">
        <w:rPr>
          <w:u w:val="single"/>
          <w:lang w:val="en-US" w:eastAsia="en-GB"/>
        </w:rPr>
        <w:t>E</w:t>
      </w:r>
      <w:r w:rsidR="007B45E1" w:rsidRPr="007C3EC5">
        <w:rPr>
          <w:u w:val="single"/>
          <w:lang w:val="en-US" w:eastAsia="en-GB"/>
        </w:rPr>
        <w:t>valuation questions</w:t>
      </w:r>
      <w:r w:rsidR="00025060">
        <w:rPr>
          <w:u w:val="single"/>
          <w:lang w:val="en-US" w:eastAsia="en-GB"/>
        </w:rPr>
        <w:t xml:space="preserve"> under OECD-DAC’s standard criteria</w:t>
      </w:r>
      <w:r w:rsidR="007B45E1" w:rsidRPr="007C3EC5">
        <w:rPr>
          <w:u w:val="single"/>
          <w:lang w:val="en-US" w:eastAsia="en-GB"/>
        </w:rPr>
        <w:t>:</w:t>
      </w:r>
    </w:p>
    <w:bookmarkEnd w:id="15"/>
    <w:p w14:paraId="36B8E33D" w14:textId="77777777" w:rsidR="007B45E1" w:rsidRPr="007C3EC5" w:rsidRDefault="007B45E1" w:rsidP="00DD0528">
      <w:pPr>
        <w:rPr>
          <w:lang w:val="en-US" w:eastAsia="en-GB"/>
        </w:rPr>
      </w:pPr>
    </w:p>
    <w:p w14:paraId="6DF26EA1" w14:textId="34DF566F" w:rsidR="007B45E1" w:rsidRPr="007C3EC5" w:rsidRDefault="007B45E1" w:rsidP="00DD0528">
      <w:pPr>
        <w:rPr>
          <w:color w:val="0070C0"/>
          <w:lang w:val="en-US" w:eastAsia="en-GB"/>
        </w:rPr>
      </w:pPr>
      <w:r w:rsidRPr="007C3EC5">
        <w:rPr>
          <w:color w:val="0070C0"/>
          <w:lang w:val="en-US" w:eastAsia="en-GB"/>
        </w:rPr>
        <w:t>RELEVANCE</w:t>
      </w:r>
      <w:r w:rsidR="009678AF">
        <w:rPr>
          <w:color w:val="0070C0"/>
          <w:lang w:val="en-US" w:eastAsia="en-GB"/>
        </w:rPr>
        <w:t>/COHERENCE</w:t>
      </w:r>
    </w:p>
    <w:p w14:paraId="0D3B4F1A" w14:textId="3CC71D3A" w:rsidR="009678AF" w:rsidRPr="009678AF" w:rsidRDefault="009678AF" w:rsidP="006031BF">
      <w:pPr>
        <w:numPr>
          <w:ilvl w:val="0"/>
          <w:numId w:val="6"/>
        </w:numPr>
        <w:rPr>
          <w:lang w:val="en-US" w:eastAsia="en-GB"/>
        </w:rPr>
      </w:pPr>
      <w:bookmarkStart w:id="16" w:name="_Hlk154831448"/>
      <w:r w:rsidRPr="009678AF">
        <w:rPr>
          <w:lang w:val="en-US" w:eastAsia="en-GB"/>
        </w:rPr>
        <w:t>To what extent was the project in line with national development priorities, country program outputs and outcomes, the UNDP Strategic Plan, and the SDGs?</w:t>
      </w:r>
    </w:p>
    <w:p w14:paraId="37565D28" w14:textId="77777777" w:rsidR="009678AF" w:rsidRPr="009678AF" w:rsidRDefault="009678AF" w:rsidP="006031BF">
      <w:pPr>
        <w:numPr>
          <w:ilvl w:val="0"/>
          <w:numId w:val="6"/>
        </w:numPr>
        <w:rPr>
          <w:lang w:val="en-US" w:eastAsia="en-GB"/>
        </w:rPr>
      </w:pPr>
      <w:r w:rsidRPr="009678AF">
        <w:rPr>
          <w:lang w:val="en-US" w:eastAsia="en-GB"/>
        </w:rPr>
        <w:t>To what extent was the project aligned with the national strategies and priorities in the vocational education field?</w:t>
      </w:r>
    </w:p>
    <w:p w14:paraId="0D39388E" w14:textId="77777777" w:rsidR="00383068" w:rsidRDefault="009678AF" w:rsidP="006031BF">
      <w:pPr>
        <w:numPr>
          <w:ilvl w:val="0"/>
          <w:numId w:val="6"/>
        </w:numPr>
        <w:rPr>
          <w:lang w:val="en-US" w:eastAsia="en-GB"/>
        </w:rPr>
      </w:pPr>
      <w:r w:rsidRPr="009678AF">
        <w:rPr>
          <w:lang w:val="en-US" w:eastAsia="en-GB"/>
        </w:rPr>
        <w:t>To what extent were lessons learned from</w:t>
      </w:r>
      <w:r>
        <w:rPr>
          <w:lang w:val="en-US" w:eastAsia="en-GB"/>
        </w:rPr>
        <w:t>, and coordination with,</w:t>
      </w:r>
      <w:r w:rsidRPr="009678AF">
        <w:rPr>
          <w:lang w:val="en-US" w:eastAsia="en-GB"/>
        </w:rPr>
        <w:t xml:space="preserve"> other relevant projects considered in the design?</w:t>
      </w:r>
    </w:p>
    <w:p w14:paraId="704125D8" w14:textId="4F04FBB5" w:rsidR="009678AF" w:rsidRPr="00383068" w:rsidRDefault="009678AF" w:rsidP="006031BF">
      <w:pPr>
        <w:numPr>
          <w:ilvl w:val="0"/>
          <w:numId w:val="6"/>
        </w:numPr>
        <w:rPr>
          <w:lang w:val="en-US" w:eastAsia="en-GB"/>
        </w:rPr>
      </w:pPr>
      <w:r w:rsidRPr="00383068">
        <w:rPr>
          <w:lang w:val="en-US" w:eastAsia="en-GB"/>
        </w:rPr>
        <w:t>To what extent has the project been appropriately responsive to political, legal, economic, institutional, etc., changes in the country?</w:t>
      </w:r>
    </w:p>
    <w:bookmarkEnd w:id="16"/>
    <w:p w14:paraId="4B37BB39" w14:textId="77777777" w:rsidR="007B45E1" w:rsidRPr="007C3EC5" w:rsidRDefault="007B45E1" w:rsidP="00DD0528">
      <w:pPr>
        <w:rPr>
          <w:lang w:val="en-US" w:eastAsia="en-GB"/>
        </w:rPr>
      </w:pPr>
    </w:p>
    <w:p w14:paraId="34165F29" w14:textId="77777777" w:rsidR="007B45E1" w:rsidRPr="007C3EC5" w:rsidRDefault="007B45E1" w:rsidP="00DD0528">
      <w:pPr>
        <w:rPr>
          <w:color w:val="0070C0"/>
          <w:lang w:val="en-US" w:eastAsia="en-GB"/>
        </w:rPr>
      </w:pPr>
      <w:r w:rsidRPr="007C3EC5">
        <w:rPr>
          <w:color w:val="0070C0"/>
          <w:lang w:val="en-US" w:eastAsia="en-GB"/>
        </w:rPr>
        <w:t>EFFECTIVENESS</w:t>
      </w:r>
    </w:p>
    <w:p w14:paraId="1CFAFFF4" w14:textId="5C6E47F8" w:rsidR="009678AF" w:rsidRPr="0001184C" w:rsidRDefault="009678AF" w:rsidP="006031BF">
      <w:pPr>
        <w:pStyle w:val="ListParagraph"/>
        <w:numPr>
          <w:ilvl w:val="0"/>
          <w:numId w:val="12"/>
        </w:numPr>
        <w:rPr>
          <w:lang w:val="en-US" w:eastAsia="en-GB"/>
        </w:rPr>
      </w:pPr>
      <w:r w:rsidRPr="0001184C">
        <w:rPr>
          <w:lang w:val="en-US" w:eastAsia="en-GB"/>
        </w:rPr>
        <w:t>To what extent were the project outputs, outcome and impact achieved, considering men, women, and vulnerable groups?</w:t>
      </w:r>
    </w:p>
    <w:p w14:paraId="6439F7D3" w14:textId="349AA093" w:rsidR="009678AF" w:rsidRPr="0001184C" w:rsidRDefault="009678AF" w:rsidP="006031BF">
      <w:pPr>
        <w:pStyle w:val="ListParagraph"/>
        <w:numPr>
          <w:ilvl w:val="0"/>
          <w:numId w:val="12"/>
        </w:numPr>
        <w:rPr>
          <w:lang w:val="en-US" w:eastAsia="en-GB"/>
        </w:rPr>
      </w:pPr>
      <w:r w:rsidRPr="0001184C">
        <w:rPr>
          <w:lang w:val="en-US" w:eastAsia="en-GB"/>
        </w:rPr>
        <w:t>What factors have contributed to achieving, or not, intended project outputs and outcomes?</w:t>
      </w:r>
    </w:p>
    <w:p w14:paraId="1EE53EBC" w14:textId="77777777" w:rsidR="009678AF" w:rsidRPr="0001184C" w:rsidRDefault="009678AF" w:rsidP="006031BF">
      <w:pPr>
        <w:pStyle w:val="ListParagraph"/>
        <w:numPr>
          <w:ilvl w:val="0"/>
          <w:numId w:val="12"/>
        </w:numPr>
        <w:rPr>
          <w:lang w:val="en-US" w:eastAsia="en-GB"/>
        </w:rPr>
      </w:pPr>
      <w:r w:rsidRPr="0001184C">
        <w:rPr>
          <w:lang w:val="en-US" w:eastAsia="en-GB"/>
        </w:rPr>
        <w:t>To what extent has UNDP Georgia’s partnerships with all respective stakeholders been appropriate and effective?</w:t>
      </w:r>
    </w:p>
    <w:p w14:paraId="5BA4670C" w14:textId="77777777" w:rsidR="009678AF" w:rsidRPr="0001184C" w:rsidRDefault="009678AF" w:rsidP="006031BF">
      <w:pPr>
        <w:pStyle w:val="ListParagraph"/>
        <w:numPr>
          <w:ilvl w:val="0"/>
          <w:numId w:val="12"/>
        </w:numPr>
        <w:rPr>
          <w:lang w:val="en-US" w:eastAsia="en-GB"/>
        </w:rPr>
      </w:pPr>
      <w:r w:rsidRPr="0001184C">
        <w:rPr>
          <w:lang w:val="en-US" w:eastAsia="en-GB"/>
        </w:rPr>
        <w:t>What factors contributed to effectiveness or ineffectiveness?</w:t>
      </w:r>
    </w:p>
    <w:p w14:paraId="4D120C67" w14:textId="77777777" w:rsidR="009678AF" w:rsidRPr="0001184C" w:rsidRDefault="009678AF" w:rsidP="006031BF">
      <w:pPr>
        <w:pStyle w:val="ListParagraph"/>
        <w:numPr>
          <w:ilvl w:val="0"/>
          <w:numId w:val="12"/>
        </w:numPr>
        <w:rPr>
          <w:lang w:val="en-US" w:eastAsia="en-GB"/>
        </w:rPr>
      </w:pPr>
      <w:r w:rsidRPr="0001184C">
        <w:rPr>
          <w:lang w:val="en-US" w:eastAsia="en-GB"/>
        </w:rPr>
        <w:t>In which areas does the project have the greatest achievements? Why and what have been the supporting factors? How can the project build on or expand these achievements?</w:t>
      </w:r>
    </w:p>
    <w:p w14:paraId="32BE13A7" w14:textId="77777777" w:rsidR="00AB4549" w:rsidRDefault="009678AF" w:rsidP="006031BF">
      <w:pPr>
        <w:pStyle w:val="ListParagraph"/>
        <w:numPr>
          <w:ilvl w:val="0"/>
          <w:numId w:val="12"/>
        </w:numPr>
        <w:rPr>
          <w:lang w:val="en-US" w:eastAsia="en-GB"/>
        </w:rPr>
      </w:pPr>
      <w:r w:rsidRPr="0001184C">
        <w:rPr>
          <w:lang w:val="en-US" w:eastAsia="en-GB"/>
        </w:rPr>
        <w:t>In which areas does the project have the fewest achievements? What have been the constraining factors and why? How can or could they be overcome?</w:t>
      </w:r>
    </w:p>
    <w:p w14:paraId="72293BE9" w14:textId="20F0035F" w:rsidR="009678AF" w:rsidRPr="00AB4549" w:rsidRDefault="009678AF" w:rsidP="006031BF">
      <w:pPr>
        <w:pStyle w:val="ListParagraph"/>
        <w:numPr>
          <w:ilvl w:val="0"/>
          <w:numId w:val="12"/>
        </w:numPr>
        <w:rPr>
          <w:lang w:val="en-US" w:eastAsia="en-GB"/>
        </w:rPr>
      </w:pPr>
      <w:r w:rsidRPr="00AB4549">
        <w:rPr>
          <w:lang w:val="en-US" w:eastAsia="en-GB"/>
        </w:rPr>
        <w:lastRenderedPageBreak/>
        <w:t>What, if any, alternative strategies would have been more effective in achieving the project objectives?</w:t>
      </w:r>
    </w:p>
    <w:p w14:paraId="7D0E3E30" w14:textId="77777777" w:rsidR="007B45E1" w:rsidRPr="007C3EC5" w:rsidRDefault="007B45E1" w:rsidP="00DD0528">
      <w:pPr>
        <w:rPr>
          <w:lang w:val="en-US" w:eastAsia="en-GB"/>
        </w:rPr>
      </w:pPr>
    </w:p>
    <w:p w14:paraId="2674A01D" w14:textId="77777777" w:rsidR="007B45E1" w:rsidRPr="007C3EC5" w:rsidRDefault="007B45E1" w:rsidP="00DD0528">
      <w:pPr>
        <w:rPr>
          <w:color w:val="0070C0"/>
          <w:lang w:val="en-US" w:eastAsia="en-GB"/>
        </w:rPr>
      </w:pPr>
      <w:r w:rsidRPr="007C3EC5">
        <w:rPr>
          <w:color w:val="0070C0"/>
          <w:lang w:val="en-US" w:eastAsia="en-GB"/>
        </w:rPr>
        <w:t xml:space="preserve">EFFICIENCY </w:t>
      </w:r>
    </w:p>
    <w:p w14:paraId="3911D0E0" w14:textId="77777777" w:rsidR="009678AF" w:rsidRPr="009678AF" w:rsidRDefault="009678AF" w:rsidP="006031BF">
      <w:pPr>
        <w:numPr>
          <w:ilvl w:val="0"/>
          <w:numId w:val="7"/>
        </w:numPr>
        <w:rPr>
          <w:lang w:val="en-US" w:eastAsia="en-GB"/>
        </w:rPr>
      </w:pPr>
      <w:bookmarkStart w:id="17" w:name="_Hlk154831992"/>
      <w:r w:rsidRPr="009678AF">
        <w:rPr>
          <w:lang w:val="en-US" w:eastAsia="en-GB"/>
        </w:rPr>
        <w:t>To what extent was the project management structure as outlined in the project document efficient in generating the expected results?</w:t>
      </w:r>
    </w:p>
    <w:p w14:paraId="7B86F9F0" w14:textId="3505A44F" w:rsidR="009678AF" w:rsidRPr="009678AF" w:rsidRDefault="009678AF" w:rsidP="006031BF">
      <w:pPr>
        <w:numPr>
          <w:ilvl w:val="0"/>
          <w:numId w:val="7"/>
        </w:numPr>
        <w:rPr>
          <w:lang w:val="en-US" w:eastAsia="en-GB"/>
        </w:rPr>
      </w:pPr>
      <w:r w:rsidRPr="009678AF">
        <w:rPr>
          <w:lang w:val="en-US" w:eastAsia="en-GB"/>
        </w:rPr>
        <w:t>To what extent have the CBLLL project implementation strategy and execution been efficient and cost-effective?</w:t>
      </w:r>
    </w:p>
    <w:p w14:paraId="042F60DB" w14:textId="1BE72FD8" w:rsidR="009678AF" w:rsidRPr="009678AF" w:rsidRDefault="009678AF" w:rsidP="006031BF">
      <w:pPr>
        <w:numPr>
          <w:ilvl w:val="0"/>
          <w:numId w:val="7"/>
        </w:numPr>
        <w:rPr>
          <w:lang w:val="en-US" w:eastAsia="en-GB"/>
        </w:rPr>
      </w:pPr>
      <w:r w:rsidRPr="009678AF">
        <w:rPr>
          <w:lang w:val="en-US" w:eastAsia="en-GB"/>
        </w:rPr>
        <w:t>To what extent have resources been used efficiently? Have activities support</w:t>
      </w:r>
      <w:r w:rsidR="00BB3D99">
        <w:rPr>
          <w:lang w:val="en-US" w:eastAsia="en-GB"/>
        </w:rPr>
        <w:t>ing</w:t>
      </w:r>
      <w:r w:rsidRPr="009678AF">
        <w:rPr>
          <w:lang w:val="en-US" w:eastAsia="en-GB"/>
        </w:rPr>
        <w:t xml:space="preserve"> the strategy been</w:t>
      </w:r>
      <w:r>
        <w:rPr>
          <w:lang w:val="en-US" w:eastAsia="en-GB"/>
        </w:rPr>
        <w:t xml:space="preserve"> </w:t>
      </w:r>
      <w:r w:rsidRPr="009678AF">
        <w:rPr>
          <w:lang w:val="en-US" w:eastAsia="en-GB"/>
        </w:rPr>
        <w:t>cost-effective?</w:t>
      </w:r>
    </w:p>
    <w:p w14:paraId="28A35DFE" w14:textId="77777777" w:rsidR="009678AF" w:rsidRPr="009678AF" w:rsidRDefault="009678AF" w:rsidP="006031BF">
      <w:pPr>
        <w:numPr>
          <w:ilvl w:val="0"/>
          <w:numId w:val="7"/>
        </w:numPr>
        <w:rPr>
          <w:lang w:val="en-US" w:eastAsia="en-GB"/>
        </w:rPr>
      </w:pPr>
      <w:r w:rsidRPr="009678AF">
        <w:rPr>
          <w:lang w:val="en-US" w:eastAsia="en-GB"/>
        </w:rPr>
        <w:t>To what extent have project funds and activities been delivered in a timely manner?</w:t>
      </w:r>
    </w:p>
    <w:p w14:paraId="1E59A81A" w14:textId="77777777" w:rsidR="009678AF" w:rsidRPr="009678AF" w:rsidRDefault="009678AF" w:rsidP="006031BF">
      <w:pPr>
        <w:numPr>
          <w:ilvl w:val="0"/>
          <w:numId w:val="7"/>
        </w:numPr>
        <w:rPr>
          <w:lang w:val="en-US" w:eastAsia="en-GB"/>
        </w:rPr>
      </w:pPr>
      <w:r w:rsidRPr="009678AF">
        <w:rPr>
          <w:lang w:val="en-US" w:eastAsia="en-GB"/>
        </w:rPr>
        <w:t>To what extent do the M&amp;E systems utilized by UNDP Georgia ensure effective and efficient project management?</w:t>
      </w:r>
    </w:p>
    <w:bookmarkEnd w:id="17"/>
    <w:p w14:paraId="04055DEE" w14:textId="77777777" w:rsidR="007B45E1" w:rsidRPr="007C3EC5" w:rsidRDefault="007B45E1" w:rsidP="00DD0528">
      <w:pPr>
        <w:rPr>
          <w:lang w:val="en-US" w:eastAsia="en-GB"/>
        </w:rPr>
      </w:pPr>
    </w:p>
    <w:p w14:paraId="4113E9A6" w14:textId="77777777" w:rsidR="007B45E1" w:rsidRPr="007C3EC5" w:rsidRDefault="007B45E1" w:rsidP="00DD0528">
      <w:pPr>
        <w:rPr>
          <w:color w:val="0070C0"/>
          <w:lang w:val="en-US" w:eastAsia="en-GB"/>
        </w:rPr>
      </w:pPr>
      <w:r w:rsidRPr="007C3EC5">
        <w:rPr>
          <w:color w:val="0070C0"/>
          <w:lang w:val="en-US" w:eastAsia="en-GB"/>
        </w:rPr>
        <w:t>SUSTAINABILITY</w:t>
      </w:r>
    </w:p>
    <w:p w14:paraId="4EAF293F" w14:textId="77777777" w:rsidR="00BB3D99" w:rsidRPr="00BB3D99" w:rsidRDefault="00BB3D99" w:rsidP="006031BF">
      <w:pPr>
        <w:numPr>
          <w:ilvl w:val="0"/>
          <w:numId w:val="8"/>
        </w:numPr>
        <w:rPr>
          <w:lang w:val="en-US" w:eastAsia="en-GB"/>
        </w:rPr>
      </w:pPr>
      <w:bookmarkStart w:id="18" w:name="_Hlk154832060"/>
      <w:r w:rsidRPr="00BB3D99">
        <w:rPr>
          <w:lang w:val="en-US" w:eastAsia="en-GB"/>
        </w:rPr>
        <w:t xml:space="preserve">To what extent the project output/outcomes/impact fulfill the institutional, policy level and financial sustainability as detailed in the project document? </w:t>
      </w:r>
    </w:p>
    <w:p w14:paraId="30CE3353" w14:textId="77777777" w:rsidR="00BB3D99" w:rsidRPr="00BB3D99" w:rsidRDefault="00BB3D99" w:rsidP="006031BF">
      <w:pPr>
        <w:numPr>
          <w:ilvl w:val="0"/>
          <w:numId w:val="8"/>
        </w:numPr>
        <w:rPr>
          <w:lang w:val="en-US" w:eastAsia="en-GB"/>
        </w:rPr>
      </w:pPr>
      <w:r w:rsidRPr="00BB3D99">
        <w:rPr>
          <w:lang w:val="en-US" w:eastAsia="en-GB"/>
        </w:rPr>
        <w:t>Are there any financial risks that may jeopardize the sustainability of project outputs/outcome/impact affecting women, men, and vulnerable groups?</w:t>
      </w:r>
    </w:p>
    <w:p w14:paraId="7193BE08" w14:textId="77777777" w:rsidR="00BB3D99" w:rsidRPr="00BB3D99" w:rsidRDefault="00BB3D99" w:rsidP="006031BF">
      <w:pPr>
        <w:numPr>
          <w:ilvl w:val="0"/>
          <w:numId w:val="8"/>
        </w:numPr>
        <w:rPr>
          <w:lang w:val="en-US" w:eastAsia="en-GB"/>
        </w:rPr>
      </w:pPr>
      <w:r w:rsidRPr="00BB3D99">
        <w:rPr>
          <w:lang w:val="en-US" w:eastAsia="en-GB"/>
        </w:rPr>
        <w:t>To what extent will targeted men, women and vulnerable people benefit from the project   interventions in the long term?</w:t>
      </w:r>
    </w:p>
    <w:p w14:paraId="4BEE32AA" w14:textId="77777777" w:rsidR="00BB3D99" w:rsidRPr="00BB3D99" w:rsidRDefault="00BB3D99" w:rsidP="006031BF">
      <w:pPr>
        <w:numPr>
          <w:ilvl w:val="0"/>
          <w:numId w:val="8"/>
        </w:numPr>
        <w:rPr>
          <w:lang w:val="en-US" w:eastAsia="en-GB"/>
        </w:rPr>
      </w:pPr>
      <w:r w:rsidRPr="00BB3D99">
        <w:rPr>
          <w:lang w:val="en-US" w:eastAsia="en-GB"/>
        </w:rPr>
        <w:t>To what extent will financial and economic resources be available to sustain the benefits achieved by the project?</w:t>
      </w:r>
    </w:p>
    <w:p w14:paraId="0C1A840B" w14:textId="77777777" w:rsidR="00BB3D99" w:rsidRPr="00BB3D99" w:rsidRDefault="00BB3D99" w:rsidP="006031BF">
      <w:pPr>
        <w:numPr>
          <w:ilvl w:val="0"/>
          <w:numId w:val="8"/>
        </w:numPr>
        <w:rPr>
          <w:lang w:val="en-US" w:eastAsia="en-GB"/>
        </w:rPr>
      </w:pPr>
      <w:r w:rsidRPr="00BB3D99">
        <w:rPr>
          <w:lang w:val="en-US" w:eastAsia="en-GB"/>
        </w:rPr>
        <w:t>Are there any social or political risks that may jeopardize the sustainability of project outputs and the project contributions to country program outputs and outcomes?</w:t>
      </w:r>
    </w:p>
    <w:p w14:paraId="70485D21" w14:textId="77777777" w:rsidR="00BB3D99" w:rsidRPr="00BB3D99" w:rsidRDefault="00BB3D99" w:rsidP="006031BF">
      <w:pPr>
        <w:numPr>
          <w:ilvl w:val="0"/>
          <w:numId w:val="8"/>
        </w:numPr>
        <w:rPr>
          <w:lang w:val="en-US" w:eastAsia="en-GB"/>
        </w:rPr>
      </w:pPr>
      <w:r w:rsidRPr="00BB3D99">
        <w:rPr>
          <w:lang w:val="en-US" w:eastAsia="en-GB"/>
        </w:rPr>
        <w:t>Do the legal frameworks, policies, governance structures, and processes within which the    project operates pose risks that may jeopardize the sustainability of project benefits?</w:t>
      </w:r>
    </w:p>
    <w:p w14:paraId="2329B19A" w14:textId="77777777" w:rsidR="00BB3D99" w:rsidRDefault="00BB3D99" w:rsidP="006031BF">
      <w:pPr>
        <w:numPr>
          <w:ilvl w:val="0"/>
          <w:numId w:val="8"/>
        </w:numPr>
        <w:rPr>
          <w:lang w:val="en-US" w:eastAsia="en-GB"/>
        </w:rPr>
      </w:pPr>
      <w:r w:rsidRPr="00BB3D99">
        <w:rPr>
          <w:lang w:val="en-US" w:eastAsia="en-GB"/>
        </w:rPr>
        <w:t>To what extent do stakeholders (men, women, vulnerable groups) support the project’s long-term objectives?</w:t>
      </w:r>
    </w:p>
    <w:bookmarkEnd w:id="18"/>
    <w:p w14:paraId="659C5979" w14:textId="77777777" w:rsidR="00F743BC" w:rsidRDefault="00F743BC" w:rsidP="00F743BC">
      <w:pPr>
        <w:rPr>
          <w:lang w:val="en-US" w:eastAsia="en-GB"/>
        </w:rPr>
      </w:pPr>
    </w:p>
    <w:p w14:paraId="1AEC1D3D" w14:textId="130A187C" w:rsidR="00F743BC" w:rsidRPr="00BB3D99" w:rsidRDefault="00F743BC" w:rsidP="00F743BC">
      <w:pPr>
        <w:rPr>
          <w:u w:val="single"/>
          <w:lang w:val="en-US" w:eastAsia="en-GB"/>
        </w:rPr>
      </w:pPr>
      <w:r w:rsidRPr="00F743BC">
        <w:rPr>
          <w:u w:val="single"/>
          <w:lang w:val="en-US" w:eastAsia="en-GB"/>
        </w:rPr>
        <w:t>Evaluation questions under cross-cutting issues:</w:t>
      </w:r>
    </w:p>
    <w:p w14:paraId="058CE485" w14:textId="0644B198" w:rsidR="00512F26" w:rsidRPr="007C3EC5" w:rsidRDefault="00512F26" w:rsidP="00512F26">
      <w:pPr>
        <w:rPr>
          <w:lang w:val="en-US" w:eastAsia="en-GB"/>
        </w:rPr>
      </w:pPr>
    </w:p>
    <w:p w14:paraId="082DA6F0" w14:textId="4CB4E8AB" w:rsidR="0099634F" w:rsidRPr="007C3EC5" w:rsidRDefault="00512F26" w:rsidP="0099634F">
      <w:pPr>
        <w:rPr>
          <w:color w:val="0070C0"/>
          <w:lang w:val="en-US" w:eastAsia="en-GB"/>
        </w:rPr>
      </w:pPr>
      <w:bookmarkStart w:id="19" w:name="_Hlk154832131"/>
      <w:r w:rsidRPr="007C3EC5">
        <w:rPr>
          <w:color w:val="0070C0"/>
          <w:lang w:val="en-US" w:eastAsia="en-GB"/>
        </w:rPr>
        <w:t xml:space="preserve">HUMAN RIGHTS </w:t>
      </w:r>
      <w:r w:rsidR="007C3961" w:rsidRPr="007C3EC5">
        <w:rPr>
          <w:color w:val="0070C0"/>
          <w:lang w:val="en-US" w:eastAsia="en-GB"/>
        </w:rPr>
        <w:t xml:space="preserve"> </w:t>
      </w:r>
    </w:p>
    <w:p w14:paraId="409CD338" w14:textId="1F5F94F1" w:rsidR="00FC26A2" w:rsidRDefault="00FC26A2" w:rsidP="006031BF">
      <w:pPr>
        <w:numPr>
          <w:ilvl w:val="0"/>
          <w:numId w:val="9"/>
        </w:numPr>
        <w:spacing w:before="120" w:after="120"/>
        <w:rPr>
          <w:lang w:val="en-US"/>
        </w:rPr>
      </w:pPr>
      <w:r w:rsidRPr="00FC26A2">
        <w:rPr>
          <w:lang w:val="en-US"/>
        </w:rPr>
        <w:t>To what extent have poor, indigenous, and physically challenged, women, men, and other disadvantaged and marginalized groups, including NEETs benefited from the work of CBLLL/UNDP in the country?</w:t>
      </w:r>
    </w:p>
    <w:p w14:paraId="52955A8F" w14:textId="1E578C51" w:rsidR="005B362B" w:rsidRPr="007C3EC5" w:rsidRDefault="005B362B" w:rsidP="005B362B">
      <w:pPr>
        <w:rPr>
          <w:color w:val="0070C0"/>
          <w:lang w:val="en-US" w:eastAsia="en-GB"/>
        </w:rPr>
      </w:pPr>
      <w:bookmarkStart w:id="20" w:name="_Hlk152945061"/>
      <w:r w:rsidRPr="007C3EC5">
        <w:rPr>
          <w:color w:val="0070C0"/>
          <w:lang w:val="en-US" w:eastAsia="en-GB"/>
        </w:rPr>
        <w:t xml:space="preserve">GENDER EQUALITY </w:t>
      </w:r>
    </w:p>
    <w:p w14:paraId="66BF9E69" w14:textId="77777777" w:rsidR="005B362B" w:rsidRPr="00C341F8" w:rsidRDefault="005B362B" w:rsidP="006031BF">
      <w:pPr>
        <w:pStyle w:val="ListParagraph"/>
        <w:widowControl w:val="0"/>
        <w:numPr>
          <w:ilvl w:val="0"/>
          <w:numId w:val="9"/>
        </w:numPr>
        <w:tabs>
          <w:tab w:val="left" w:pos="939"/>
        </w:tabs>
        <w:autoSpaceDE w:val="0"/>
        <w:autoSpaceDN w:val="0"/>
        <w:spacing w:line="264" w:lineRule="auto"/>
        <w:ind w:right="-20"/>
        <w:contextualSpacing w:val="0"/>
        <w:rPr>
          <w:rFonts w:asciiTheme="minorHAnsi" w:hAnsiTheme="minorHAnsi" w:cstheme="minorHAnsi"/>
        </w:rPr>
      </w:pPr>
      <w:r w:rsidRPr="00C341F8">
        <w:rPr>
          <w:rFonts w:asciiTheme="minorHAnsi" w:hAnsiTheme="minorHAnsi" w:cstheme="minorHAnsi"/>
        </w:rPr>
        <w:t>To what extent have gender equality and the empowerment of women been addressed in the</w:t>
      </w:r>
      <w:r w:rsidRPr="00C341F8">
        <w:rPr>
          <w:rFonts w:asciiTheme="minorHAnsi" w:hAnsiTheme="minorHAnsi" w:cstheme="minorHAnsi"/>
          <w:spacing w:val="1"/>
        </w:rPr>
        <w:t xml:space="preserve"> </w:t>
      </w:r>
      <w:r w:rsidRPr="00C341F8">
        <w:rPr>
          <w:rFonts w:asciiTheme="minorHAnsi" w:hAnsiTheme="minorHAnsi" w:cstheme="minorHAnsi"/>
        </w:rPr>
        <w:t>design,</w:t>
      </w:r>
      <w:r w:rsidRPr="00C341F8">
        <w:rPr>
          <w:rFonts w:asciiTheme="minorHAnsi" w:hAnsiTheme="minorHAnsi" w:cstheme="minorHAnsi"/>
          <w:spacing w:val="-1"/>
        </w:rPr>
        <w:t xml:space="preserve"> </w:t>
      </w:r>
      <w:r w:rsidRPr="00C341F8">
        <w:rPr>
          <w:rFonts w:asciiTheme="minorHAnsi" w:hAnsiTheme="minorHAnsi" w:cstheme="minorHAnsi"/>
        </w:rPr>
        <w:t>implementation</w:t>
      </w:r>
      <w:r>
        <w:rPr>
          <w:rFonts w:asciiTheme="minorHAnsi" w:hAnsiTheme="minorHAnsi" w:cstheme="minorHAnsi"/>
        </w:rPr>
        <w:t>,</w:t>
      </w:r>
      <w:r w:rsidRPr="00C341F8">
        <w:rPr>
          <w:rFonts w:asciiTheme="minorHAnsi" w:hAnsiTheme="minorHAnsi" w:cstheme="minorHAnsi"/>
          <w:spacing w:val="-1"/>
        </w:rPr>
        <w:t xml:space="preserve"> </w:t>
      </w:r>
      <w:r w:rsidRPr="00C341F8">
        <w:rPr>
          <w:rFonts w:asciiTheme="minorHAnsi" w:hAnsiTheme="minorHAnsi" w:cstheme="minorHAnsi"/>
        </w:rPr>
        <w:t>and</w:t>
      </w:r>
      <w:r w:rsidRPr="00C341F8">
        <w:rPr>
          <w:rFonts w:asciiTheme="minorHAnsi" w:hAnsiTheme="minorHAnsi" w:cstheme="minorHAnsi"/>
          <w:spacing w:val="-1"/>
        </w:rPr>
        <w:t xml:space="preserve"> </w:t>
      </w:r>
      <w:r w:rsidRPr="00C341F8">
        <w:rPr>
          <w:rFonts w:asciiTheme="minorHAnsi" w:hAnsiTheme="minorHAnsi" w:cstheme="minorHAnsi"/>
        </w:rPr>
        <w:t>monitoring of</w:t>
      </w:r>
      <w:r w:rsidRPr="00C341F8">
        <w:rPr>
          <w:rFonts w:asciiTheme="minorHAnsi" w:hAnsiTheme="minorHAnsi" w:cstheme="minorHAnsi"/>
          <w:spacing w:val="-2"/>
        </w:rPr>
        <w:t xml:space="preserve"> </w:t>
      </w:r>
      <w:r w:rsidRPr="00C341F8">
        <w:rPr>
          <w:rFonts w:asciiTheme="minorHAnsi" w:hAnsiTheme="minorHAnsi" w:cstheme="minorHAnsi"/>
        </w:rPr>
        <w:t>the project?</w:t>
      </w:r>
    </w:p>
    <w:bookmarkEnd w:id="20"/>
    <w:p w14:paraId="3E241497" w14:textId="77777777" w:rsidR="005B362B" w:rsidRDefault="005B362B" w:rsidP="005B362B">
      <w:pPr>
        <w:rPr>
          <w:color w:val="0070C0"/>
          <w:lang w:val="en-US" w:eastAsia="en-GB"/>
        </w:rPr>
      </w:pPr>
    </w:p>
    <w:p w14:paraId="1386F49F" w14:textId="33E39DA8" w:rsidR="005B362B" w:rsidRPr="007C3EC5" w:rsidRDefault="005B362B" w:rsidP="005B362B">
      <w:pPr>
        <w:rPr>
          <w:color w:val="0070C0"/>
          <w:lang w:val="en-US" w:eastAsia="en-GB"/>
        </w:rPr>
      </w:pPr>
      <w:r>
        <w:rPr>
          <w:color w:val="0070C0"/>
          <w:lang w:val="en-US" w:eastAsia="en-GB"/>
        </w:rPr>
        <w:t>DISABILITY</w:t>
      </w:r>
      <w:r w:rsidRPr="007C3EC5">
        <w:rPr>
          <w:color w:val="0070C0"/>
          <w:lang w:val="en-US" w:eastAsia="en-GB"/>
        </w:rPr>
        <w:t xml:space="preserve"> </w:t>
      </w:r>
    </w:p>
    <w:p w14:paraId="7F0328D5" w14:textId="77777777" w:rsidR="005B362B" w:rsidRPr="00C341F8" w:rsidRDefault="005B362B" w:rsidP="006031BF">
      <w:pPr>
        <w:pStyle w:val="ListParagraph"/>
        <w:widowControl w:val="0"/>
        <w:numPr>
          <w:ilvl w:val="0"/>
          <w:numId w:val="10"/>
        </w:numPr>
        <w:tabs>
          <w:tab w:val="left" w:pos="938"/>
          <w:tab w:val="left" w:pos="939"/>
        </w:tabs>
        <w:autoSpaceDE w:val="0"/>
        <w:autoSpaceDN w:val="0"/>
        <w:spacing w:line="264" w:lineRule="auto"/>
        <w:ind w:right="-20"/>
        <w:contextualSpacing w:val="0"/>
        <w:rPr>
          <w:rFonts w:asciiTheme="minorHAnsi" w:hAnsiTheme="minorHAnsi" w:cstheme="minorHAnsi"/>
        </w:rPr>
      </w:pPr>
      <w:r w:rsidRPr="00C341F8">
        <w:rPr>
          <w:rFonts w:asciiTheme="minorHAnsi" w:hAnsiTheme="minorHAnsi" w:cstheme="minorHAnsi"/>
        </w:rPr>
        <w:t>Were persons with disabilities consulted and meaningfully involved in program planning and implementation?</w:t>
      </w:r>
    </w:p>
    <w:p w14:paraId="3742674B" w14:textId="77777777" w:rsidR="005B362B" w:rsidRPr="00C341F8" w:rsidRDefault="005B362B" w:rsidP="006031BF">
      <w:pPr>
        <w:pStyle w:val="ListParagraph"/>
        <w:widowControl w:val="0"/>
        <w:numPr>
          <w:ilvl w:val="0"/>
          <w:numId w:val="10"/>
        </w:numPr>
        <w:tabs>
          <w:tab w:val="left" w:pos="938"/>
          <w:tab w:val="left" w:pos="939"/>
        </w:tabs>
        <w:autoSpaceDE w:val="0"/>
        <w:autoSpaceDN w:val="0"/>
        <w:spacing w:line="264" w:lineRule="auto"/>
        <w:ind w:right="-20"/>
        <w:contextualSpacing w:val="0"/>
        <w:rPr>
          <w:rFonts w:asciiTheme="minorHAnsi" w:hAnsiTheme="minorHAnsi" w:cstheme="minorHAnsi"/>
        </w:rPr>
      </w:pPr>
      <w:r>
        <w:rPr>
          <w:rFonts w:asciiTheme="minorHAnsi" w:hAnsiTheme="minorHAnsi" w:cstheme="minorHAnsi"/>
        </w:rPr>
        <w:lastRenderedPageBreak/>
        <w:t>To what extent the project interventions addressed issues of disability?</w:t>
      </w:r>
    </w:p>
    <w:p w14:paraId="58AA92D9" w14:textId="752A618F" w:rsidR="007B043F" w:rsidRPr="007C3EC5" w:rsidRDefault="00977D61" w:rsidP="00F3645F">
      <w:pPr>
        <w:pStyle w:val="Heading1"/>
        <w:rPr>
          <w:rFonts w:cs="Times New Roman"/>
        </w:rPr>
      </w:pPr>
      <w:bookmarkStart w:id="21" w:name="_Toc48222063"/>
      <w:bookmarkStart w:id="22" w:name="_Toc155599370"/>
      <w:bookmarkEnd w:id="19"/>
      <w:bookmarkEnd w:id="21"/>
      <w:r w:rsidRPr="007C3EC5">
        <w:t>METHODOLOGY</w:t>
      </w:r>
      <w:bookmarkEnd w:id="22"/>
    </w:p>
    <w:p w14:paraId="0ADE6689" w14:textId="77777777" w:rsidR="00AC4467" w:rsidRPr="007C3EC5" w:rsidRDefault="00AC4467" w:rsidP="00A172EB">
      <w:pPr>
        <w:pStyle w:val="Heading2"/>
      </w:pPr>
      <w:bookmarkStart w:id="23" w:name="_Toc155599371"/>
      <w:r w:rsidRPr="007C3EC5">
        <w:t>Evaluation approach</w:t>
      </w:r>
      <w:bookmarkEnd w:id="23"/>
    </w:p>
    <w:p w14:paraId="3853D77F" w14:textId="77777777" w:rsidR="00605C28" w:rsidRPr="007C3EC5" w:rsidRDefault="00605C28" w:rsidP="00605C28">
      <w:pPr>
        <w:rPr>
          <w:lang w:val="en-US"/>
        </w:rPr>
      </w:pPr>
    </w:p>
    <w:p w14:paraId="038C805D" w14:textId="383C1B5C" w:rsidR="005E564A" w:rsidRPr="007C3EC5" w:rsidRDefault="005E564A" w:rsidP="005E564A">
      <w:pPr>
        <w:rPr>
          <w:szCs w:val="24"/>
          <w:lang w:val="en-US"/>
        </w:rPr>
      </w:pPr>
      <w:r w:rsidRPr="007C3EC5">
        <w:rPr>
          <w:szCs w:val="24"/>
          <w:lang w:val="en-US"/>
        </w:rPr>
        <w:t>The UN</w:t>
      </w:r>
      <w:r w:rsidR="001B6F03">
        <w:rPr>
          <w:szCs w:val="24"/>
          <w:lang w:val="en-US"/>
        </w:rPr>
        <w:t xml:space="preserve"> </w:t>
      </w:r>
      <w:r w:rsidRPr="007C3EC5">
        <w:rPr>
          <w:szCs w:val="24"/>
          <w:lang w:val="en-US"/>
        </w:rPr>
        <w:t>E</w:t>
      </w:r>
      <w:r w:rsidR="001B6F03">
        <w:rPr>
          <w:szCs w:val="24"/>
          <w:lang w:val="en-US"/>
        </w:rPr>
        <w:t>valuation Group’s</w:t>
      </w:r>
      <w:r w:rsidRPr="007C3EC5">
        <w:rPr>
          <w:szCs w:val="24"/>
          <w:lang w:val="en-US"/>
        </w:rPr>
        <w:t xml:space="preserve"> Norms and Standards emphasize that evaluations should promote: “evidence-based learning through the application of a utilization focused approach and the engagement of users and beneficiaries.”  A utilization focus approach w</w:t>
      </w:r>
      <w:r w:rsidR="001B6F03">
        <w:rPr>
          <w:szCs w:val="24"/>
          <w:lang w:val="en-US"/>
        </w:rPr>
        <w:t>as</w:t>
      </w:r>
      <w:r w:rsidRPr="007C3EC5">
        <w:rPr>
          <w:szCs w:val="24"/>
          <w:lang w:val="en-US"/>
        </w:rPr>
        <w:t xml:space="preserve"> the key organizing approach of this evaluation, which emphasize</w:t>
      </w:r>
      <w:r w:rsidR="001B6F03">
        <w:rPr>
          <w:szCs w:val="24"/>
          <w:lang w:val="en-US"/>
        </w:rPr>
        <w:t>d</w:t>
      </w:r>
      <w:r w:rsidRPr="007C3EC5">
        <w:rPr>
          <w:szCs w:val="24"/>
          <w:lang w:val="en-US"/>
        </w:rPr>
        <w:t xml:space="preserve"> the importance of working with evaluation users to ensure that results and recommendations </w:t>
      </w:r>
      <w:r w:rsidR="001B6F03">
        <w:rPr>
          <w:szCs w:val="24"/>
          <w:lang w:val="en-US"/>
        </w:rPr>
        <w:t>were</w:t>
      </w:r>
      <w:r w:rsidRPr="007C3EC5">
        <w:rPr>
          <w:szCs w:val="24"/>
          <w:lang w:val="en-US"/>
        </w:rPr>
        <w:t xml:space="preserve"> relevant, and followed up. The utilization approach </w:t>
      </w:r>
      <w:r w:rsidR="001B6F03">
        <w:rPr>
          <w:szCs w:val="24"/>
          <w:lang w:val="en-US"/>
        </w:rPr>
        <w:t>was</w:t>
      </w:r>
      <w:r w:rsidRPr="007C3EC5">
        <w:rPr>
          <w:szCs w:val="24"/>
          <w:lang w:val="en-US"/>
        </w:rPr>
        <w:t xml:space="preserve"> effective to:</w:t>
      </w:r>
    </w:p>
    <w:p w14:paraId="69C40A29" w14:textId="39C60071" w:rsidR="005E564A" w:rsidRPr="007C3EC5" w:rsidRDefault="005E564A" w:rsidP="006031BF">
      <w:pPr>
        <w:pStyle w:val="ListParagraph"/>
        <w:numPr>
          <w:ilvl w:val="0"/>
          <w:numId w:val="3"/>
        </w:numPr>
        <w:rPr>
          <w:szCs w:val="24"/>
          <w:lang w:val="en-US"/>
        </w:rPr>
      </w:pPr>
      <w:r w:rsidRPr="007C3EC5">
        <w:rPr>
          <w:szCs w:val="24"/>
          <w:lang w:val="en-US"/>
        </w:rPr>
        <w:t xml:space="preserve">Determine why interventions </w:t>
      </w:r>
      <w:r w:rsidR="001B6F03">
        <w:rPr>
          <w:szCs w:val="24"/>
          <w:lang w:val="en-US"/>
        </w:rPr>
        <w:t>were</w:t>
      </w:r>
      <w:r w:rsidRPr="007C3EC5">
        <w:rPr>
          <w:szCs w:val="24"/>
          <w:lang w:val="en-US"/>
        </w:rPr>
        <w:t xml:space="preserve"> successful or not, and the </w:t>
      </w:r>
      <w:r w:rsidR="00BF55A3">
        <w:rPr>
          <w:szCs w:val="24"/>
          <w:lang w:val="en-US"/>
        </w:rPr>
        <w:t>CBLLL project’s</w:t>
      </w:r>
      <w:r w:rsidRPr="007C3EC5">
        <w:rPr>
          <w:szCs w:val="24"/>
          <w:lang w:val="en-US"/>
        </w:rPr>
        <w:t xml:space="preserve"> contribution to the stated results</w:t>
      </w:r>
    </w:p>
    <w:p w14:paraId="20C6A90E" w14:textId="67F5F622" w:rsidR="005E564A" w:rsidRPr="007C3EC5" w:rsidRDefault="005E564A" w:rsidP="006031BF">
      <w:pPr>
        <w:pStyle w:val="ListParagraph"/>
        <w:numPr>
          <w:ilvl w:val="0"/>
          <w:numId w:val="3"/>
        </w:numPr>
        <w:rPr>
          <w:szCs w:val="24"/>
          <w:lang w:val="en-US"/>
        </w:rPr>
      </w:pPr>
      <w:r w:rsidRPr="007C3EC5">
        <w:rPr>
          <w:szCs w:val="24"/>
          <w:lang w:val="en-US"/>
        </w:rPr>
        <w:t xml:space="preserve">Establish if the processes intended to lead to results </w:t>
      </w:r>
      <w:r w:rsidR="001B6F03">
        <w:rPr>
          <w:szCs w:val="24"/>
          <w:lang w:val="en-US"/>
        </w:rPr>
        <w:t>were</w:t>
      </w:r>
      <w:r w:rsidRPr="007C3EC5">
        <w:rPr>
          <w:szCs w:val="24"/>
          <w:lang w:val="en-US"/>
        </w:rPr>
        <w:t xml:space="preserve"> adequate</w:t>
      </w:r>
    </w:p>
    <w:p w14:paraId="1F3F7659" w14:textId="77777777" w:rsidR="005E564A" w:rsidRPr="007C3EC5" w:rsidRDefault="005E564A" w:rsidP="006031BF">
      <w:pPr>
        <w:pStyle w:val="ListParagraph"/>
        <w:numPr>
          <w:ilvl w:val="0"/>
          <w:numId w:val="3"/>
        </w:numPr>
        <w:rPr>
          <w:szCs w:val="24"/>
          <w:lang w:val="en-US"/>
        </w:rPr>
      </w:pPr>
      <w:r w:rsidRPr="007C3EC5">
        <w:rPr>
          <w:szCs w:val="24"/>
          <w:lang w:val="en-US"/>
        </w:rPr>
        <w:t>Establish whether key results have been achieved.</w:t>
      </w:r>
    </w:p>
    <w:p w14:paraId="22D07F74" w14:textId="1843D78E" w:rsidR="007B043F" w:rsidRPr="007C3EC5" w:rsidRDefault="00977D61" w:rsidP="00A172EB">
      <w:pPr>
        <w:pStyle w:val="Heading2"/>
      </w:pPr>
      <w:bookmarkStart w:id="24" w:name="_Toc155599372"/>
      <w:r w:rsidRPr="007C3EC5">
        <w:t>Evaluation Methodology Framework</w:t>
      </w:r>
      <w:bookmarkEnd w:id="24"/>
    </w:p>
    <w:p w14:paraId="33B638D8" w14:textId="77777777" w:rsidR="00285DC0" w:rsidRPr="007C3EC5" w:rsidRDefault="00285DC0" w:rsidP="00DD0528">
      <w:pPr>
        <w:rPr>
          <w:lang w:val="en-US"/>
        </w:rPr>
      </w:pPr>
    </w:p>
    <w:p w14:paraId="1D090661" w14:textId="259D2CA1" w:rsidR="00633E5A" w:rsidRPr="007C3EC5" w:rsidRDefault="00633E5A" w:rsidP="00633E5A">
      <w:pPr>
        <w:rPr>
          <w:lang w:val="en-US"/>
        </w:rPr>
      </w:pPr>
      <w:r w:rsidRPr="007C3EC5">
        <w:rPr>
          <w:lang w:val="en-US"/>
        </w:rPr>
        <w:t>The evaluation w</w:t>
      </w:r>
      <w:r w:rsidR="001B6F03">
        <w:rPr>
          <w:lang w:val="en-US"/>
        </w:rPr>
        <w:t>as</w:t>
      </w:r>
      <w:r w:rsidRPr="007C3EC5">
        <w:rPr>
          <w:lang w:val="en-US"/>
        </w:rPr>
        <w:t xml:space="preserve"> guided by the </w:t>
      </w:r>
      <w:r w:rsidR="00BF55A3">
        <w:rPr>
          <w:lang w:val="en-US"/>
        </w:rPr>
        <w:t>UNDP</w:t>
      </w:r>
      <w:r w:rsidR="00F43608">
        <w:rPr>
          <w:lang w:val="en-US"/>
        </w:rPr>
        <w:t xml:space="preserve"> </w:t>
      </w:r>
      <w:r w:rsidR="00BF55A3">
        <w:rPr>
          <w:lang w:val="en-US"/>
        </w:rPr>
        <w:t>Evaluations</w:t>
      </w:r>
      <w:r w:rsidR="00F43608">
        <w:rPr>
          <w:lang w:val="en-US"/>
        </w:rPr>
        <w:t xml:space="preserve"> Guidelines (June 2021)</w:t>
      </w:r>
      <w:r w:rsidR="00DD5DF6">
        <w:rPr>
          <w:lang w:val="en-US"/>
        </w:rPr>
        <w:t>,</w:t>
      </w:r>
      <w:r w:rsidR="00BF55A3">
        <w:rPr>
          <w:lang w:val="en-US"/>
        </w:rPr>
        <w:t xml:space="preserve"> </w:t>
      </w:r>
      <w:r w:rsidRPr="007C3EC5">
        <w:rPr>
          <w:lang w:val="en-US"/>
        </w:rPr>
        <w:t>UNEG Norms and Standards for Evaluation in the UN System</w:t>
      </w:r>
      <w:r w:rsidR="00DD5DF6">
        <w:rPr>
          <w:lang w:val="en-US"/>
        </w:rPr>
        <w:t xml:space="preserve"> </w:t>
      </w:r>
      <w:r w:rsidR="00DD5DF6" w:rsidRPr="00DD5DF6">
        <w:rPr>
          <w:lang w:val="en-US"/>
        </w:rPr>
        <w:t>(2016)</w:t>
      </w:r>
      <w:r w:rsidRPr="007C3EC5">
        <w:rPr>
          <w:lang w:val="en-US"/>
        </w:rPr>
        <w:t>, and the UNEG Guidance on Integrating Human Rights and Gender Equality into Evaluations</w:t>
      </w:r>
      <w:r w:rsidR="00DD5DF6">
        <w:rPr>
          <w:lang w:val="en-US"/>
        </w:rPr>
        <w:t xml:space="preserve"> (2012)</w:t>
      </w:r>
      <w:r w:rsidRPr="007C3EC5">
        <w:rPr>
          <w:lang w:val="en-US"/>
        </w:rPr>
        <w:t>. These documents provide</w:t>
      </w:r>
      <w:r w:rsidR="001B6F03">
        <w:rPr>
          <w:lang w:val="en-US"/>
        </w:rPr>
        <w:t>d</w:t>
      </w:r>
      <w:r w:rsidRPr="007C3EC5">
        <w:rPr>
          <w:lang w:val="en-US"/>
        </w:rPr>
        <w:t xml:space="preserve"> general background and direction concerning approach and a menu of methodologies from which to choose. </w:t>
      </w:r>
    </w:p>
    <w:p w14:paraId="73742168" w14:textId="7C7DCBD0" w:rsidR="00633E5A" w:rsidRPr="007C3EC5" w:rsidRDefault="00633E5A" w:rsidP="00DD0528">
      <w:pPr>
        <w:rPr>
          <w:lang w:val="en-US"/>
        </w:rPr>
      </w:pPr>
    </w:p>
    <w:p w14:paraId="5116B74B" w14:textId="60B79481" w:rsidR="005D7A86" w:rsidRPr="007C3EC5" w:rsidRDefault="005E564A" w:rsidP="00DD0528">
      <w:pPr>
        <w:rPr>
          <w:lang w:val="en-US"/>
        </w:rPr>
      </w:pPr>
      <w:r w:rsidRPr="007C3EC5">
        <w:rPr>
          <w:lang w:val="en-US"/>
        </w:rPr>
        <w:t>The evaluat</w:t>
      </w:r>
      <w:r w:rsidR="00DD5DF6">
        <w:rPr>
          <w:lang w:val="en-US"/>
        </w:rPr>
        <w:t>or</w:t>
      </w:r>
      <w:r w:rsidRPr="007C3EC5">
        <w:rPr>
          <w:lang w:val="en-US"/>
        </w:rPr>
        <w:t xml:space="preserve"> work</w:t>
      </w:r>
      <w:r w:rsidR="001B6F03">
        <w:rPr>
          <w:lang w:val="en-US"/>
        </w:rPr>
        <w:t>ed</w:t>
      </w:r>
      <w:r w:rsidRPr="007C3EC5">
        <w:rPr>
          <w:lang w:val="en-US"/>
        </w:rPr>
        <w:t xml:space="preserve"> in close collaboration with the </w:t>
      </w:r>
      <w:r w:rsidR="00DD5DF6">
        <w:rPr>
          <w:lang w:val="en-US"/>
        </w:rPr>
        <w:t>UNDP Georgia</w:t>
      </w:r>
      <w:r w:rsidRPr="007C3EC5">
        <w:rPr>
          <w:lang w:val="en-US"/>
        </w:rPr>
        <w:t xml:space="preserve"> Team to ascertain the adequacy of the methodology used.</w:t>
      </w:r>
      <w:r w:rsidR="00DD5DF6">
        <w:rPr>
          <w:lang w:val="en-US"/>
        </w:rPr>
        <w:t xml:space="preserve"> </w:t>
      </w:r>
      <w:r w:rsidR="005D7A86" w:rsidRPr="007C3EC5">
        <w:rPr>
          <w:lang w:val="en-US"/>
        </w:rPr>
        <w:t>As specified in the T</w:t>
      </w:r>
      <w:r w:rsidR="00633E5A" w:rsidRPr="007C3EC5">
        <w:rPr>
          <w:lang w:val="en-US"/>
        </w:rPr>
        <w:t>oR</w:t>
      </w:r>
      <w:r w:rsidR="005D7A86" w:rsidRPr="007C3EC5">
        <w:rPr>
          <w:lang w:val="en-US"/>
        </w:rPr>
        <w:t xml:space="preserve">, </w:t>
      </w:r>
      <w:bookmarkStart w:id="25" w:name="_Hlk155523497"/>
      <w:r w:rsidR="00785251" w:rsidRPr="007C3EC5">
        <w:rPr>
          <w:lang w:val="en-US"/>
        </w:rPr>
        <w:t>a mixed methodology w</w:t>
      </w:r>
      <w:r w:rsidR="001B6F03">
        <w:rPr>
          <w:lang w:val="en-US"/>
        </w:rPr>
        <w:t>as</w:t>
      </w:r>
      <w:r w:rsidR="00785251" w:rsidRPr="007C3EC5">
        <w:rPr>
          <w:lang w:val="en-US"/>
        </w:rPr>
        <w:t xml:space="preserve"> applied</w:t>
      </w:r>
      <w:r w:rsidR="005D7A86" w:rsidRPr="007C3EC5">
        <w:rPr>
          <w:lang w:val="en-US"/>
        </w:rPr>
        <w:t>, allowing for appropriate triangulation of information.  Th</w:t>
      </w:r>
      <w:r w:rsidR="00785251" w:rsidRPr="007C3EC5">
        <w:rPr>
          <w:lang w:val="en-US"/>
        </w:rPr>
        <w:t>e following methods w</w:t>
      </w:r>
      <w:r w:rsidR="001B6F03">
        <w:rPr>
          <w:lang w:val="en-US"/>
        </w:rPr>
        <w:t>ere</w:t>
      </w:r>
      <w:r w:rsidR="00785251" w:rsidRPr="007C3EC5">
        <w:rPr>
          <w:lang w:val="en-US"/>
        </w:rPr>
        <w:t xml:space="preserve"> used</w:t>
      </w:r>
      <w:r w:rsidR="005D7A86" w:rsidRPr="007C3EC5">
        <w:rPr>
          <w:lang w:val="en-US"/>
        </w:rPr>
        <w:t>:</w:t>
      </w:r>
    </w:p>
    <w:p w14:paraId="6F829FCB" w14:textId="77777777" w:rsidR="005D7A86" w:rsidRPr="007C3EC5" w:rsidRDefault="005D7A86" w:rsidP="00DD0528">
      <w:pPr>
        <w:rPr>
          <w:lang w:val="en-US"/>
        </w:rPr>
      </w:pPr>
    </w:p>
    <w:p w14:paraId="01393000" w14:textId="114EABF9" w:rsidR="00024512" w:rsidRPr="007C3EC5" w:rsidRDefault="00024512" w:rsidP="006031BF">
      <w:pPr>
        <w:pStyle w:val="ListParagraph"/>
        <w:numPr>
          <w:ilvl w:val="0"/>
          <w:numId w:val="1"/>
        </w:numPr>
        <w:rPr>
          <w:lang w:val="en-US"/>
        </w:rPr>
      </w:pPr>
      <w:r w:rsidRPr="007C3EC5">
        <w:rPr>
          <w:b/>
          <w:lang w:val="en-US"/>
        </w:rPr>
        <w:t>Desk Review</w:t>
      </w:r>
      <w:r w:rsidR="0032000D">
        <w:rPr>
          <w:b/>
          <w:lang w:val="en-US"/>
        </w:rPr>
        <w:t xml:space="preserve">: </w:t>
      </w:r>
      <w:r w:rsidRPr="007C3EC5">
        <w:rPr>
          <w:lang w:val="en-US"/>
        </w:rPr>
        <w:t>general background</w:t>
      </w:r>
      <w:r w:rsidR="0032000D">
        <w:rPr>
          <w:lang w:val="en-US"/>
        </w:rPr>
        <w:t xml:space="preserve"> to the current </w:t>
      </w:r>
      <w:r w:rsidR="0036468F">
        <w:rPr>
          <w:lang w:val="en-US"/>
        </w:rPr>
        <w:t>VET context in Georgia, including institutional framework</w:t>
      </w:r>
      <w:r w:rsidRPr="007C3EC5">
        <w:rPr>
          <w:lang w:val="en-US"/>
        </w:rPr>
        <w:t xml:space="preserve">; </w:t>
      </w:r>
      <w:r w:rsidR="0036468F">
        <w:rPr>
          <w:lang w:val="en-US"/>
        </w:rPr>
        <w:t>background documents on previous and current UN/EU/bilateral donors’ support to VET in Georgia, review of profiles and activities of key project partners (MoES, Skills Agency, Sunny House etc.), project documents</w:t>
      </w:r>
      <w:r w:rsidR="003E63E5">
        <w:rPr>
          <w:lang w:val="en-US"/>
        </w:rPr>
        <w:t>, work plans</w:t>
      </w:r>
      <w:r w:rsidR="0036468F">
        <w:rPr>
          <w:lang w:val="en-US"/>
        </w:rPr>
        <w:t xml:space="preserve"> and project </w:t>
      </w:r>
      <w:r w:rsidR="00556530">
        <w:rPr>
          <w:lang w:val="en-US"/>
        </w:rPr>
        <w:t xml:space="preserve">progress </w:t>
      </w:r>
      <w:r w:rsidR="0036468F">
        <w:rPr>
          <w:lang w:val="en-US"/>
        </w:rPr>
        <w:t>reports (annual, semi-annual), normative and research documents produced by or related to the project</w:t>
      </w:r>
    </w:p>
    <w:p w14:paraId="1CB89FA1" w14:textId="74794965" w:rsidR="00884F76" w:rsidRDefault="00DD0528" w:rsidP="006031BF">
      <w:pPr>
        <w:pStyle w:val="ListParagraph"/>
        <w:numPr>
          <w:ilvl w:val="0"/>
          <w:numId w:val="1"/>
        </w:numPr>
        <w:rPr>
          <w:lang w:val="en-US"/>
        </w:rPr>
      </w:pPr>
      <w:r w:rsidRPr="007C3EC5">
        <w:rPr>
          <w:b/>
          <w:lang w:val="en-US"/>
        </w:rPr>
        <w:t>Semi-structured i</w:t>
      </w:r>
      <w:r w:rsidR="00024512" w:rsidRPr="007C3EC5">
        <w:rPr>
          <w:b/>
          <w:lang w:val="en-US"/>
        </w:rPr>
        <w:t>nterviews</w:t>
      </w:r>
      <w:r w:rsidR="00633E5A" w:rsidRPr="007C3EC5">
        <w:rPr>
          <w:lang w:val="en-US"/>
        </w:rPr>
        <w:t xml:space="preserve"> </w:t>
      </w:r>
      <w:r w:rsidR="00024512" w:rsidRPr="007C3EC5">
        <w:rPr>
          <w:lang w:val="en-US"/>
        </w:rPr>
        <w:t xml:space="preserve">conducted </w:t>
      </w:r>
      <w:r w:rsidR="00CB2A5E" w:rsidRPr="007C3EC5">
        <w:rPr>
          <w:lang w:val="en-US"/>
        </w:rPr>
        <w:t>virtually</w:t>
      </w:r>
      <w:r w:rsidR="0036468F">
        <w:rPr>
          <w:lang w:val="en-US"/>
        </w:rPr>
        <w:t xml:space="preserve"> by the international evaluator and by </w:t>
      </w:r>
      <w:r w:rsidR="00884F76">
        <w:rPr>
          <w:lang w:val="en-US"/>
        </w:rPr>
        <w:t xml:space="preserve">a </w:t>
      </w:r>
      <w:r w:rsidR="0036468F">
        <w:rPr>
          <w:lang w:val="en-US"/>
        </w:rPr>
        <w:t xml:space="preserve">local consultant. </w:t>
      </w:r>
      <w:r w:rsidR="00884F76">
        <w:rPr>
          <w:lang w:val="en-US"/>
        </w:rPr>
        <w:t>Priority interviewees can be clustered into three groups</w:t>
      </w:r>
      <w:r w:rsidR="00B4176A">
        <w:rPr>
          <w:lang w:val="en-US"/>
        </w:rPr>
        <w:t xml:space="preserve"> of data sources</w:t>
      </w:r>
      <w:r w:rsidR="00884F76">
        <w:rPr>
          <w:lang w:val="en-US"/>
        </w:rPr>
        <w:t>:</w:t>
      </w:r>
    </w:p>
    <w:p w14:paraId="74FF3ACF" w14:textId="77777777" w:rsidR="00884F76" w:rsidRDefault="00884F76" w:rsidP="00884F76">
      <w:pPr>
        <w:pStyle w:val="ListParagraph"/>
        <w:rPr>
          <w:lang w:val="en-US"/>
        </w:rPr>
      </w:pPr>
    </w:p>
    <w:p w14:paraId="472F8BED" w14:textId="1B077583" w:rsidR="00884F76" w:rsidRPr="00884F76" w:rsidRDefault="00884F76" w:rsidP="006031BF">
      <w:pPr>
        <w:pStyle w:val="ListParagraph"/>
        <w:numPr>
          <w:ilvl w:val="0"/>
          <w:numId w:val="11"/>
        </w:numPr>
        <w:rPr>
          <w:lang w:val="en-US"/>
        </w:rPr>
      </w:pPr>
      <w:r>
        <w:rPr>
          <w:lang w:val="en-US"/>
        </w:rPr>
        <w:t>International community</w:t>
      </w:r>
      <w:r w:rsidRPr="00884F76">
        <w:rPr>
          <w:lang w:val="en-US"/>
        </w:rPr>
        <w:t xml:space="preserve"> </w:t>
      </w:r>
      <w:r>
        <w:rPr>
          <w:lang w:val="en-US"/>
        </w:rPr>
        <w:t>(</w:t>
      </w:r>
      <w:r w:rsidRPr="00884F76">
        <w:rPr>
          <w:lang w:val="en-US"/>
        </w:rPr>
        <w:t xml:space="preserve">members of the UNDP Georgia Team, </w:t>
      </w:r>
      <w:r>
        <w:rPr>
          <w:lang w:val="en-US"/>
        </w:rPr>
        <w:t>EU representatives</w:t>
      </w:r>
      <w:r w:rsidR="003E63E5">
        <w:rPr>
          <w:lang w:val="en-US"/>
        </w:rPr>
        <w:t xml:space="preserve">, </w:t>
      </w:r>
      <w:r w:rsidR="001B6F03">
        <w:rPr>
          <w:lang w:val="en-US"/>
        </w:rPr>
        <w:t>other international organisations</w:t>
      </w:r>
      <w:r w:rsidR="003E63E5">
        <w:rPr>
          <w:lang w:val="en-US"/>
        </w:rPr>
        <w:t xml:space="preserve"> collaborating with the project</w:t>
      </w:r>
      <w:r w:rsidR="00936A2B">
        <w:rPr>
          <w:lang w:val="en-US"/>
        </w:rPr>
        <w:t>)</w:t>
      </w:r>
    </w:p>
    <w:p w14:paraId="40A86981" w14:textId="2E1FBCF2" w:rsidR="00884F76" w:rsidRDefault="00884F76" w:rsidP="006031BF">
      <w:pPr>
        <w:pStyle w:val="ListParagraph"/>
        <w:numPr>
          <w:ilvl w:val="0"/>
          <w:numId w:val="11"/>
        </w:numPr>
        <w:rPr>
          <w:lang w:val="en-US"/>
        </w:rPr>
      </w:pPr>
      <w:r>
        <w:rPr>
          <w:lang w:val="en-US"/>
        </w:rPr>
        <w:t xml:space="preserve">Georgian national authorities and state institutions (MoES, Skills Agency, </w:t>
      </w:r>
      <w:r w:rsidR="001B6F03">
        <w:rPr>
          <w:lang w:val="en-US"/>
        </w:rPr>
        <w:t xml:space="preserve">Youth Agency, </w:t>
      </w:r>
      <w:r w:rsidR="003E63E5">
        <w:rPr>
          <w:lang w:val="en-US"/>
        </w:rPr>
        <w:t>VET collages, secondary schools, local and regional authorities</w:t>
      </w:r>
      <w:r w:rsidR="00936A2B">
        <w:rPr>
          <w:lang w:val="en-US"/>
        </w:rPr>
        <w:t>)</w:t>
      </w:r>
    </w:p>
    <w:p w14:paraId="5EC167CB" w14:textId="37D68E0F" w:rsidR="00884F76" w:rsidRDefault="00884F76" w:rsidP="006031BF">
      <w:pPr>
        <w:pStyle w:val="ListParagraph"/>
        <w:numPr>
          <w:ilvl w:val="0"/>
          <w:numId w:val="11"/>
        </w:numPr>
        <w:rPr>
          <w:lang w:val="en-US"/>
        </w:rPr>
      </w:pPr>
      <w:r>
        <w:rPr>
          <w:lang w:val="en-US"/>
        </w:rPr>
        <w:t xml:space="preserve">Representatives of civil society (Sunny House, </w:t>
      </w:r>
      <w:r w:rsidR="001B6F03">
        <w:rPr>
          <w:lang w:val="en-US"/>
        </w:rPr>
        <w:t>other NGOs</w:t>
      </w:r>
      <w:r w:rsidR="00936A2B">
        <w:rPr>
          <w:lang w:val="en-US"/>
        </w:rPr>
        <w:t>)</w:t>
      </w:r>
    </w:p>
    <w:p w14:paraId="507EFCA5" w14:textId="77777777" w:rsidR="0057012E" w:rsidRDefault="0057012E" w:rsidP="0057012E">
      <w:pPr>
        <w:rPr>
          <w:lang w:val="en-US"/>
        </w:rPr>
      </w:pPr>
    </w:p>
    <w:p w14:paraId="17D79F41" w14:textId="58CA3A22" w:rsidR="0057012E" w:rsidRPr="0057012E" w:rsidRDefault="0057012E" w:rsidP="0057012E">
      <w:pPr>
        <w:rPr>
          <w:lang w:val="en-US"/>
        </w:rPr>
      </w:pPr>
      <w:r>
        <w:rPr>
          <w:lang w:val="en-US"/>
        </w:rPr>
        <w:lastRenderedPageBreak/>
        <w:t xml:space="preserve">A total of </w:t>
      </w:r>
      <w:r w:rsidR="00075195">
        <w:rPr>
          <w:lang w:val="en-US"/>
        </w:rPr>
        <w:t>2</w:t>
      </w:r>
      <w:r w:rsidR="00C142AD">
        <w:rPr>
          <w:lang w:val="en-US"/>
        </w:rPr>
        <w:t>6</w:t>
      </w:r>
      <w:r>
        <w:rPr>
          <w:lang w:val="en-US"/>
        </w:rPr>
        <w:t xml:space="preserve"> interviews </w:t>
      </w:r>
      <w:r w:rsidR="00075195">
        <w:rPr>
          <w:lang w:val="en-US"/>
        </w:rPr>
        <w:t xml:space="preserve">with individuals from </w:t>
      </w:r>
      <w:r w:rsidR="005F38F8">
        <w:rPr>
          <w:lang w:val="en-US"/>
        </w:rPr>
        <w:t xml:space="preserve">representative and </w:t>
      </w:r>
      <w:r w:rsidR="00075195">
        <w:rPr>
          <w:lang w:val="en-US"/>
        </w:rPr>
        <w:t xml:space="preserve">balanced groups of stakeholders </w:t>
      </w:r>
      <w:r>
        <w:rPr>
          <w:lang w:val="en-US"/>
        </w:rPr>
        <w:t xml:space="preserve">were conducted and </w:t>
      </w:r>
      <w:r w:rsidR="005F38F8">
        <w:rPr>
          <w:lang w:val="en-US"/>
        </w:rPr>
        <w:t>documented</w:t>
      </w:r>
      <w:r>
        <w:rPr>
          <w:lang w:val="en-US"/>
        </w:rPr>
        <w:t xml:space="preserve"> (see list of interviewees in </w:t>
      </w:r>
      <w:r w:rsidR="0043606C">
        <w:rPr>
          <w:lang w:val="en-US"/>
        </w:rPr>
        <w:t>A</w:t>
      </w:r>
      <w:r>
        <w:rPr>
          <w:lang w:val="en-US"/>
        </w:rPr>
        <w:t>nnex</w:t>
      </w:r>
      <w:r w:rsidR="0043606C">
        <w:rPr>
          <w:lang w:val="en-US"/>
        </w:rPr>
        <w:t xml:space="preserve"> 3</w:t>
      </w:r>
      <w:r>
        <w:rPr>
          <w:lang w:val="en-US"/>
        </w:rPr>
        <w:t>).</w:t>
      </w:r>
    </w:p>
    <w:bookmarkEnd w:id="25"/>
    <w:p w14:paraId="59A676C0" w14:textId="77777777" w:rsidR="00884F76" w:rsidRDefault="00884F76" w:rsidP="00884F76">
      <w:pPr>
        <w:pStyle w:val="ListParagraph"/>
        <w:rPr>
          <w:lang w:val="en-US"/>
        </w:rPr>
      </w:pPr>
    </w:p>
    <w:p w14:paraId="4EA584A9" w14:textId="04752F2D" w:rsidR="00281495" w:rsidRDefault="00281495" w:rsidP="00DD0528">
      <w:pPr>
        <w:rPr>
          <w:lang w:val="en-US"/>
        </w:rPr>
      </w:pPr>
      <w:r w:rsidRPr="007C3EC5">
        <w:rPr>
          <w:lang w:val="en-US"/>
        </w:rPr>
        <w:t>The Methodological Framework</w:t>
      </w:r>
      <w:r w:rsidR="00313F62" w:rsidRPr="007C3EC5">
        <w:rPr>
          <w:lang w:val="en-US"/>
        </w:rPr>
        <w:t xml:space="preserve"> </w:t>
      </w:r>
      <w:r w:rsidR="001B6F03">
        <w:rPr>
          <w:lang w:val="en-US"/>
        </w:rPr>
        <w:t xml:space="preserve">(see </w:t>
      </w:r>
      <w:r w:rsidR="0043606C">
        <w:rPr>
          <w:lang w:val="en-US"/>
        </w:rPr>
        <w:t>A</w:t>
      </w:r>
      <w:r w:rsidR="001B6F03">
        <w:rPr>
          <w:lang w:val="en-US"/>
        </w:rPr>
        <w:t>nnex</w:t>
      </w:r>
      <w:r w:rsidR="0043606C">
        <w:rPr>
          <w:lang w:val="en-US"/>
        </w:rPr>
        <w:t xml:space="preserve"> 1</w:t>
      </w:r>
      <w:r w:rsidR="001B6F03">
        <w:rPr>
          <w:lang w:val="en-US"/>
        </w:rPr>
        <w:t>)</w:t>
      </w:r>
      <w:r w:rsidR="00313F62" w:rsidRPr="007C3EC5">
        <w:rPr>
          <w:lang w:val="en-US"/>
        </w:rPr>
        <w:t xml:space="preserve"> is based on the standard OECD/DAC evaluation criteria</w:t>
      </w:r>
      <w:r w:rsidR="00024512" w:rsidRPr="007C3EC5">
        <w:rPr>
          <w:lang w:val="en-US"/>
        </w:rPr>
        <w:t xml:space="preserve"> referred to </w:t>
      </w:r>
      <w:r w:rsidR="00884F76">
        <w:rPr>
          <w:lang w:val="en-US"/>
        </w:rPr>
        <w:t>above</w:t>
      </w:r>
      <w:r w:rsidR="00C11322">
        <w:rPr>
          <w:lang w:val="en-US"/>
        </w:rPr>
        <w:t xml:space="preserve"> and in the</w:t>
      </w:r>
      <w:r w:rsidR="00C2482B">
        <w:rPr>
          <w:lang w:val="en-US"/>
        </w:rPr>
        <w:t xml:space="preserve"> </w:t>
      </w:r>
      <w:r w:rsidR="00FB66C3">
        <w:rPr>
          <w:lang w:val="en-US"/>
        </w:rPr>
        <w:t xml:space="preserve">evaluation </w:t>
      </w:r>
      <w:r w:rsidR="00C11322">
        <w:rPr>
          <w:lang w:val="en-US"/>
        </w:rPr>
        <w:t>ToR</w:t>
      </w:r>
      <w:r w:rsidR="00313F62" w:rsidRPr="007C3EC5">
        <w:rPr>
          <w:lang w:val="en-US"/>
        </w:rPr>
        <w:t>, namely: relevance</w:t>
      </w:r>
      <w:r w:rsidR="00884F76">
        <w:rPr>
          <w:lang w:val="en-US"/>
        </w:rPr>
        <w:t>/coherence</w:t>
      </w:r>
      <w:r w:rsidR="00313F62" w:rsidRPr="007C3EC5">
        <w:rPr>
          <w:lang w:val="en-US"/>
        </w:rPr>
        <w:t>, effectiveness, efficiency</w:t>
      </w:r>
      <w:r w:rsidR="00884F76">
        <w:rPr>
          <w:lang w:val="en-US"/>
        </w:rPr>
        <w:t xml:space="preserve"> </w:t>
      </w:r>
      <w:r w:rsidR="00313F62" w:rsidRPr="007C3EC5">
        <w:rPr>
          <w:lang w:val="en-US"/>
        </w:rPr>
        <w:t xml:space="preserve">and sustainability.  For each evaluation </w:t>
      </w:r>
      <w:r w:rsidR="00C11322">
        <w:rPr>
          <w:lang w:val="en-US"/>
        </w:rPr>
        <w:t>criteria</w:t>
      </w:r>
      <w:r w:rsidR="00313F62" w:rsidRPr="007C3EC5">
        <w:rPr>
          <w:lang w:val="en-US"/>
        </w:rPr>
        <w:t xml:space="preserve"> in the framework, various performance indicators </w:t>
      </w:r>
      <w:r w:rsidR="001B6F03">
        <w:rPr>
          <w:lang w:val="en-US"/>
        </w:rPr>
        <w:t>were</w:t>
      </w:r>
      <w:r w:rsidR="00313F62" w:rsidRPr="007C3EC5">
        <w:rPr>
          <w:lang w:val="en-US"/>
        </w:rPr>
        <w:t xml:space="preserve"> developed</w:t>
      </w:r>
      <w:r w:rsidR="00937E9C" w:rsidRPr="007C3EC5">
        <w:rPr>
          <w:lang w:val="en-US"/>
        </w:rPr>
        <w:t xml:space="preserve"> and included in the framework</w:t>
      </w:r>
      <w:r w:rsidR="00313F62" w:rsidRPr="007C3EC5">
        <w:rPr>
          <w:lang w:val="en-US"/>
        </w:rPr>
        <w:t xml:space="preserve">.  Further, the data sources as well as the methods </w:t>
      </w:r>
      <w:r w:rsidR="00937E9C" w:rsidRPr="007C3EC5">
        <w:rPr>
          <w:lang w:val="en-US"/>
        </w:rPr>
        <w:t>used for collecting the data are</w:t>
      </w:r>
      <w:r w:rsidR="00313F62" w:rsidRPr="007C3EC5">
        <w:rPr>
          <w:lang w:val="en-US"/>
        </w:rPr>
        <w:t xml:space="preserve"> </w:t>
      </w:r>
      <w:r w:rsidR="00C11322">
        <w:rPr>
          <w:lang w:val="en-US"/>
        </w:rPr>
        <w:t xml:space="preserve">also </w:t>
      </w:r>
      <w:r w:rsidR="00313F62" w:rsidRPr="007C3EC5">
        <w:rPr>
          <w:lang w:val="en-US"/>
        </w:rPr>
        <w:t>identified in the framework.</w:t>
      </w:r>
    </w:p>
    <w:p w14:paraId="74DE5D06" w14:textId="77777777" w:rsidR="00AF4444" w:rsidRDefault="00AF4444" w:rsidP="00DD0528">
      <w:pPr>
        <w:rPr>
          <w:lang w:val="en-US"/>
        </w:rPr>
      </w:pPr>
    </w:p>
    <w:p w14:paraId="4F94B409" w14:textId="35BD7F7A" w:rsidR="00AF4444" w:rsidRPr="003357C4" w:rsidRDefault="00AF4444" w:rsidP="00DD0528">
      <w:pPr>
        <w:rPr>
          <w:b/>
          <w:bCs/>
          <w:lang w:val="en-US"/>
        </w:rPr>
      </w:pPr>
      <w:r w:rsidRPr="003357C4">
        <w:rPr>
          <w:b/>
          <w:bCs/>
          <w:lang w:val="en-US"/>
        </w:rPr>
        <w:t>Data sources</w:t>
      </w:r>
      <w:r w:rsidR="00FB66C3">
        <w:rPr>
          <w:b/>
          <w:bCs/>
          <w:lang w:val="en-US"/>
        </w:rPr>
        <w:t xml:space="preserve">, </w:t>
      </w:r>
      <w:r w:rsidR="003357C4" w:rsidRPr="003357C4">
        <w:rPr>
          <w:b/>
          <w:bCs/>
          <w:lang w:val="en-US"/>
        </w:rPr>
        <w:t>triangulation</w:t>
      </w:r>
      <w:r w:rsidR="00FB66C3">
        <w:rPr>
          <w:b/>
          <w:bCs/>
          <w:lang w:val="en-US"/>
        </w:rPr>
        <w:t xml:space="preserve"> and analysis</w:t>
      </w:r>
    </w:p>
    <w:p w14:paraId="7A43C13A" w14:textId="77777777" w:rsidR="00AF4444" w:rsidRDefault="00AF4444" w:rsidP="00DD0528">
      <w:pPr>
        <w:rPr>
          <w:lang w:val="en-US"/>
        </w:rPr>
      </w:pPr>
    </w:p>
    <w:p w14:paraId="5541E328" w14:textId="365F2699" w:rsidR="003357C4" w:rsidRDefault="00AF4444" w:rsidP="00DD0528">
      <w:pPr>
        <w:rPr>
          <w:lang w:val="en-US"/>
        </w:rPr>
      </w:pPr>
      <w:r>
        <w:rPr>
          <w:lang w:val="en-US"/>
        </w:rPr>
        <w:t xml:space="preserve">The data collected originate from three </w:t>
      </w:r>
      <w:r w:rsidR="0057012E">
        <w:rPr>
          <w:lang w:val="en-US"/>
        </w:rPr>
        <w:t>main</w:t>
      </w:r>
      <w:r>
        <w:rPr>
          <w:lang w:val="en-US"/>
        </w:rPr>
        <w:t xml:space="preserve"> sources, namely: 1) UNDP monitoring and reporting efforts, 2) EU monitoring and reporting and 3) bilateral on-line interviews with a diverse and representative group of stakeholders, including</w:t>
      </w:r>
      <w:r w:rsidR="003357C4">
        <w:rPr>
          <w:lang w:val="en-US"/>
        </w:rPr>
        <w:t>:</w:t>
      </w:r>
    </w:p>
    <w:p w14:paraId="40E1CB37" w14:textId="77777777" w:rsidR="003357C4" w:rsidRDefault="003357C4" w:rsidP="00DD0528">
      <w:pPr>
        <w:rPr>
          <w:lang w:val="en-US"/>
        </w:rPr>
      </w:pPr>
    </w:p>
    <w:p w14:paraId="17A8AF37" w14:textId="0DB13E55" w:rsidR="003357C4" w:rsidRPr="002562A8" w:rsidRDefault="003357C4" w:rsidP="006031BF">
      <w:pPr>
        <w:pStyle w:val="ListParagraph"/>
        <w:numPr>
          <w:ilvl w:val="0"/>
          <w:numId w:val="13"/>
        </w:numPr>
        <w:rPr>
          <w:lang w:val="en-US"/>
        </w:rPr>
      </w:pPr>
      <w:r w:rsidRPr="002562A8">
        <w:rPr>
          <w:lang w:val="en-US"/>
        </w:rPr>
        <w:t>The P</w:t>
      </w:r>
      <w:r w:rsidR="00AF4444" w:rsidRPr="002562A8">
        <w:rPr>
          <w:lang w:val="en-US"/>
        </w:rPr>
        <w:t xml:space="preserve">roject </w:t>
      </w:r>
      <w:r w:rsidRPr="002562A8">
        <w:rPr>
          <w:lang w:val="en-US"/>
        </w:rPr>
        <w:t>T</w:t>
      </w:r>
      <w:r w:rsidR="00AF4444" w:rsidRPr="002562A8">
        <w:rPr>
          <w:lang w:val="en-US"/>
        </w:rPr>
        <w:t>eam</w:t>
      </w:r>
    </w:p>
    <w:p w14:paraId="65F68576" w14:textId="77777777" w:rsidR="003357C4" w:rsidRDefault="003357C4" w:rsidP="006031BF">
      <w:pPr>
        <w:pStyle w:val="ListParagraph"/>
        <w:numPr>
          <w:ilvl w:val="0"/>
          <w:numId w:val="13"/>
        </w:numPr>
        <w:rPr>
          <w:lang w:val="en-US"/>
        </w:rPr>
      </w:pPr>
      <w:r w:rsidRPr="002562A8">
        <w:rPr>
          <w:lang w:val="en-US"/>
        </w:rPr>
        <w:t>Implementing partners</w:t>
      </w:r>
    </w:p>
    <w:p w14:paraId="7388EE19" w14:textId="1C4A11EF" w:rsidR="001B6F03" w:rsidRPr="002562A8" w:rsidRDefault="001B6F03" w:rsidP="006031BF">
      <w:pPr>
        <w:pStyle w:val="ListParagraph"/>
        <w:numPr>
          <w:ilvl w:val="0"/>
          <w:numId w:val="13"/>
        </w:numPr>
        <w:rPr>
          <w:lang w:val="en-US"/>
        </w:rPr>
      </w:pPr>
      <w:r>
        <w:rPr>
          <w:lang w:val="en-US"/>
        </w:rPr>
        <w:t>State institutions</w:t>
      </w:r>
    </w:p>
    <w:p w14:paraId="12F59537" w14:textId="77777777" w:rsidR="003357C4" w:rsidRPr="002562A8" w:rsidRDefault="003357C4" w:rsidP="006031BF">
      <w:pPr>
        <w:pStyle w:val="ListParagraph"/>
        <w:numPr>
          <w:ilvl w:val="0"/>
          <w:numId w:val="13"/>
        </w:numPr>
        <w:rPr>
          <w:lang w:val="en-US"/>
        </w:rPr>
      </w:pPr>
      <w:r w:rsidRPr="002562A8">
        <w:rPr>
          <w:lang w:val="en-US"/>
        </w:rPr>
        <w:t>National and local authorities</w:t>
      </w:r>
    </w:p>
    <w:p w14:paraId="622E3CF8" w14:textId="77777777" w:rsidR="003357C4" w:rsidRPr="002562A8" w:rsidRDefault="003357C4" w:rsidP="006031BF">
      <w:pPr>
        <w:pStyle w:val="ListParagraph"/>
        <w:numPr>
          <w:ilvl w:val="0"/>
          <w:numId w:val="13"/>
        </w:numPr>
        <w:rPr>
          <w:lang w:val="en-US"/>
        </w:rPr>
      </w:pPr>
      <w:r w:rsidRPr="002562A8">
        <w:rPr>
          <w:lang w:val="en-US"/>
        </w:rPr>
        <w:t>Beneficiaries (collages and schools)</w:t>
      </w:r>
    </w:p>
    <w:p w14:paraId="4DEE3584" w14:textId="77777777" w:rsidR="003357C4" w:rsidRPr="002562A8" w:rsidRDefault="003357C4" w:rsidP="006031BF">
      <w:pPr>
        <w:pStyle w:val="ListParagraph"/>
        <w:numPr>
          <w:ilvl w:val="0"/>
          <w:numId w:val="13"/>
        </w:numPr>
        <w:rPr>
          <w:lang w:val="en-US"/>
        </w:rPr>
      </w:pPr>
      <w:r w:rsidRPr="002562A8">
        <w:rPr>
          <w:lang w:val="en-US"/>
        </w:rPr>
        <w:t>Civil society organisations</w:t>
      </w:r>
    </w:p>
    <w:p w14:paraId="71622CF9" w14:textId="77777777" w:rsidR="003357C4" w:rsidRPr="002562A8" w:rsidRDefault="003357C4" w:rsidP="006031BF">
      <w:pPr>
        <w:pStyle w:val="ListParagraph"/>
        <w:numPr>
          <w:ilvl w:val="0"/>
          <w:numId w:val="13"/>
        </w:numPr>
        <w:rPr>
          <w:lang w:val="en-US"/>
        </w:rPr>
      </w:pPr>
      <w:r w:rsidRPr="002562A8">
        <w:rPr>
          <w:lang w:val="en-US"/>
        </w:rPr>
        <w:t>Individual consultants contributing to the project</w:t>
      </w:r>
    </w:p>
    <w:p w14:paraId="2F0218C3" w14:textId="01C974D4" w:rsidR="00AF4444" w:rsidRPr="002562A8" w:rsidRDefault="003357C4" w:rsidP="006031BF">
      <w:pPr>
        <w:pStyle w:val="ListParagraph"/>
        <w:numPr>
          <w:ilvl w:val="0"/>
          <w:numId w:val="13"/>
        </w:numPr>
        <w:rPr>
          <w:lang w:val="en-US"/>
        </w:rPr>
      </w:pPr>
      <w:r w:rsidRPr="002562A8">
        <w:rPr>
          <w:lang w:val="en-US"/>
        </w:rPr>
        <w:t>Donor agencies.</w:t>
      </w:r>
    </w:p>
    <w:p w14:paraId="2E7DAFE8" w14:textId="77777777" w:rsidR="003357C4" w:rsidRDefault="003357C4" w:rsidP="00DD0528">
      <w:pPr>
        <w:rPr>
          <w:lang w:val="en-US"/>
        </w:rPr>
      </w:pPr>
    </w:p>
    <w:p w14:paraId="68BEC36A" w14:textId="221E3399" w:rsidR="003357C4" w:rsidRDefault="003357C4" w:rsidP="00DD0528">
      <w:pPr>
        <w:rPr>
          <w:lang w:val="en-US"/>
        </w:rPr>
      </w:pPr>
      <w:r>
        <w:rPr>
          <w:lang w:val="en-US"/>
        </w:rPr>
        <w:t>Data presented in the findings and used for the conclusions</w:t>
      </w:r>
      <w:r w:rsidR="002562A8">
        <w:rPr>
          <w:lang w:val="en-US"/>
        </w:rPr>
        <w:t xml:space="preserve"> have been systematically triangulated between these different categories of sources in order to enhance the reliability of th</w:t>
      </w:r>
      <w:r w:rsidR="007C592E">
        <w:rPr>
          <w:lang w:val="en-US"/>
        </w:rPr>
        <w:t>e findings</w:t>
      </w:r>
      <w:r w:rsidR="002562A8">
        <w:rPr>
          <w:lang w:val="en-US"/>
        </w:rPr>
        <w:t>.</w:t>
      </w:r>
    </w:p>
    <w:p w14:paraId="11B972C7" w14:textId="77777777" w:rsidR="0057012E" w:rsidRDefault="0057012E" w:rsidP="00DD0528">
      <w:pPr>
        <w:rPr>
          <w:lang w:val="en-US"/>
        </w:rPr>
      </w:pPr>
    </w:p>
    <w:p w14:paraId="51ACA3E1" w14:textId="78AD0E66" w:rsidR="00B4176A" w:rsidRDefault="0057012E" w:rsidP="00DD0528">
      <w:pPr>
        <w:rPr>
          <w:lang w:val="en-US"/>
        </w:rPr>
      </w:pPr>
      <w:r>
        <w:rPr>
          <w:lang w:val="en-US"/>
        </w:rPr>
        <w:t xml:space="preserve">A descriptive data analysis was </w:t>
      </w:r>
      <w:r w:rsidR="008744D7">
        <w:rPr>
          <w:lang w:val="en-US"/>
        </w:rPr>
        <w:t>used throughout the evaluation, gathering and systematizing data according to the evaluation criteria, in order to respond to the evaluation questions</w:t>
      </w:r>
      <w:r>
        <w:rPr>
          <w:lang w:val="en-US"/>
        </w:rPr>
        <w:t>.</w:t>
      </w:r>
    </w:p>
    <w:p w14:paraId="345EAA9E" w14:textId="50127771" w:rsidR="00B4176A" w:rsidRDefault="006E72A8" w:rsidP="00F3645F">
      <w:pPr>
        <w:pStyle w:val="Heading1"/>
      </w:pPr>
      <w:bookmarkStart w:id="26" w:name="_Toc155599373"/>
      <w:bookmarkStart w:id="27" w:name="_Hlk153013319"/>
      <w:r>
        <w:t>FINDINGS</w:t>
      </w:r>
      <w:bookmarkEnd w:id="26"/>
    </w:p>
    <w:p w14:paraId="7B338335" w14:textId="77777777" w:rsidR="00FF3BF9" w:rsidRPr="00FF3BF9" w:rsidRDefault="00FF3BF9" w:rsidP="0056558B">
      <w:pPr>
        <w:pStyle w:val="Heading2"/>
      </w:pPr>
      <w:bookmarkStart w:id="28" w:name="_Toc155599374"/>
      <w:r w:rsidRPr="00FF3BF9">
        <w:t>Relevance/Coherence</w:t>
      </w:r>
      <w:bookmarkEnd w:id="28"/>
    </w:p>
    <w:p w14:paraId="184888F4" w14:textId="503B6716" w:rsidR="00FF3BF9" w:rsidRDefault="00253823" w:rsidP="00253823">
      <w:pPr>
        <w:pStyle w:val="Heading3"/>
      </w:pPr>
      <w:bookmarkStart w:id="29" w:name="_Toc155599375"/>
      <w:r>
        <w:t>R</w:t>
      </w:r>
      <w:r w:rsidR="00FF3BF9">
        <w:t>elevance</w:t>
      </w:r>
      <w:r>
        <w:t xml:space="preserve"> of the VET sector and the CBLLL project</w:t>
      </w:r>
      <w:bookmarkEnd w:id="29"/>
    </w:p>
    <w:p w14:paraId="399AC084" w14:textId="77777777" w:rsidR="00FF3BF9" w:rsidRDefault="00FF3BF9" w:rsidP="00C31076">
      <w:pPr>
        <w:rPr>
          <w:lang w:val="en-US"/>
        </w:rPr>
      </w:pPr>
    </w:p>
    <w:p w14:paraId="23FDDD0D" w14:textId="77777777" w:rsidR="00FF3BF9" w:rsidRDefault="00FF3BF9" w:rsidP="006031BF">
      <w:pPr>
        <w:numPr>
          <w:ilvl w:val="0"/>
          <w:numId w:val="6"/>
        </w:numPr>
        <w:rPr>
          <w:lang w:val="en-US"/>
        </w:rPr>
      </w:pPr>
      <w:r w:rsidRPr="00FF3BF9">
        <w:rPr>
          <w:lang w:val="en-US"/>
        </w:rPr>
        <w:t xml:space="preserve">To what extent was </w:t>
      </w:r>
      <w:bookmarkStart w:id="30" w:name="_Hlk155350251"/>
      <w:r w:rsidRPr="00FF3BF9">
        <w:rPr>
          <w:lang w:val="en-US"/>
        </w:rPr>
        <w:t>the project in line with national development priorities, country program outputs and outcomes, the UNDP Strategic Plan, and the SDGs</w:t>
      </w:r>
      <w:bookmarkEnd w:id="30"/>
      <w:r w:rsidRPr="00FF3BF9">
        <w:rPr>
          <w:lang w:val="en-US"/>
        </w:rPr>
        <w:t>?</w:t>
      </w:r>
    </w:p>
    <w:p w14:paraId="08E26EA7" w14:textId="77777777" w:rsidR="001248F7" w:rsidRDefault="001248F7" w:rsidP="001248F7">
      <w:pPr>
        <w:rPr>
          <w:lang w:val="en-US"/>
        </w:rPr>
      </w:pPr>
    </w:p>
    <w:p w14:paraId="62EF77CE" w14:textId="13B2CB1E" w:rsidR="006A1C92" w:rsidRPr="00381796" w:rsidRDefault="00BC11C4" w:rsidP="006A1C92">
      <w:pPr>
        <w:rPr>
          <w:lang w:val="hr-HR"/>
        </w:rPr>
      </w:pPr>
      <w:bookmarkStart w:id="31" w:name="_Hlk155106016"/>
      <w:r>
        <w:rPr>
          <w:lang w:val="en-US"/>
        </w:rPr>
        <w:t>According to the Social-</w:t>
      </w:r>
      <w:r w:rsidR="00370E8E">
        <w:rPr>
          <w:lang w:val="en-US"/>
        </w:rPr>
        <w:t>E</w:t>
      </w:r>
      <w:r>
        <w:rPr>
          <w:lang w:val="en-US"/>
        </w:rPr>
        <w:t>conomic Development Strategy of Georgia</w:t>
      </w:r>
      <w:r w:rsidR="006A1C92">
        <w:rPr>
          <w:lang w:val="en-US"/>
        </w:rPr>
        <w:t xml:space="preserve"> 2020, one important development priority is the r</w:t>
      </w:r>
      <w:r>
        <w:rPr>
          <w:lang w:val="en-US"/>
        </w:rPr>
        <w:t xml:space="preserve">eform and </w:t>
      </w:r>
      <w:r w:rsidR="006A1C92">
        <w:rPr>
          <w:lang w:val="en-US"/>
        </w:rPr>
        <w:t>strengthening of</w:t>
      </w:r>
      <w:r>
        <w:rPr>
          <w:lang w:val="en-US"/>
        </w:rPr>
        <w:t xml:space="preserve"> the VET </w:t>
      </w:r>
      <w:r w:rsidR="006A1C92">
        <w:rPr>
          <w:lang w:val="en-US"/>
        </w:rPr>
        <w:t xml:space="preserve">system, </w:t>
      </w:r>
      <w:r w:rsidR="005C753C">
        <w:rPr>
          <w:lang w:val="en-US"/>
        </w:rPr>
        <w:t>to</w:t>
      </w:r>
      <w:r w:rsidR="006A1C92">
        <w:rPr>
          <w:lang w:val="en-US"/>
        </w:rPr>
        <w:t xml:space="preserve"> ensure</w:t>
      </w:r>
      <w:r w:rsidRPr="00BC11C4">
        <w:rPr>
          <w:lang w:val="en-US"/>
        </w:rPr>
        <w:t xml:space="preserve"> the country’s workforce</w:t>
      </w:r>
      <w:r w:rsidR="006A1C92">
        <w:rPr>
          <w:lang w:val="en-US"/>
        </w:rPr>
        <w:t xml:space="preserve"> </w:t>
      </w:r>
      <w:r w:rsidRPr="00BC11C4">
        <w:rPr>
          <w:lang w:val="en-US"/>
        </w:rPr>
        <w:t>meet</w:t>
      </w:r>
      <w:r w:rsidR="006A1C92">
        <w:rPr>
          <w:lang w:val="en-US"/>
        </w:rPr>
        <w:t>s</w:t>
      </w:r>
      <w:r w:rsidRPr="00BC11C4">
        <w:rPr>
          <w:lang w:val="en-US"/>
        </w:rPr>
        <w:t xml:space="preserve"> labor market requirements</w:t>
      </w:r>
      <w:r w:rsidR="006A1C92">
        <w:rPr>
          <w:lang w:val="en-US"/>
        </w:rPr>
        <w:t>.</w:t>
      </w:r>
      <w:r w:rsidR="006A1C92">
        <w:rPr>
          <w:rStyle w:val="FootnoteReference"/>
          <w:lang w:val="en-US"/>
        </w:rPr>
        <w:footnoteReference w:id="1"/>
      </w:r>
      <w:r w:rsidR="006A1C92">
        <w:rPr>
          <w:lang w:val="en-US"/>
        </w:rPr>
        <w:t xml:space="preserve">  </w:t>
      </w:r>
      <w:r w:rsidR="006A1C92" w:rsidRPr="006A1C92">
        <w:rPr>
          <w:lang w:val="hr-HR"/>
        </w:rPr>
        <w:t>It has been proven that higher</w:t>
      </w:r>
      <w:r w:rsidR="006A1C92" w:rsidRPr="00381796">
        <w:rPr>
          <w:lang w:val="hr-HR"/>
        </w:rPr>
        <w:t xml:space="preserve"> levels of investment </w:t>
      </w:r>
      <w:r w:rsidR="006A1C92" w:rsidRPr="00381796">
        <w:rPr>
          <w:lang w:val="hr-HR"/>
        </w:rPr>
        <w:lastRenderedPageBreak/>
        <w:t>in human development through health and education can raise people above the poverty</w:t>
      </w:r>
      <w:r w:rsidR="006A1C92" w:rsidRPr="006A1C92">
        <w:rPr>
          <w:lang w:val="hr-HR"/>
        </w:rPr>
        <w:t xml:space="preserve"> line through increased employment</w:t>
      </w:r>
      <w:r w:rsidR="006A1C92" w:rsidRPr="00381796">
        <w:rPr>
          <w:lang w:val="hr-HR"/>
        </w:rPr>
        <w:t>. Georgia’s investment in education is comparatively low at 3.6% of GDP compared to global averages</w:t>
      </w:r>
      <w:r w:rsidR="006A1C92" w:rsidRPr="006A1C92">
        <w:rPr>
          <w:lang w:val="hr-HR"/>
        </w:rPr>
        <w:t xml:space="preserve">: </w:t>
      </w:r>
      <w:r w:rsidR="006A1C92" w:rsidRPr="00381796">
        <w:rPr>
          <w:lang w:val="hr-HR"/>
        </w:rPr>
        <w:t>5.1% in EU and 5.3% in OECD countries</w:t>
      </w:r>
      <w:r w:rsidR="006A1C92" w:rsidRPr="006A1C92">
        <w:rPr>
          <w:lang w:val="hr-HR"/>
        </w:rPr>
        <w:t xml:space="preserve"> (2021).  Addressing unemployment through education is therefore a national priority</w:t>
      </w:r>
      <w:r w:rsidR="006A1C92" w:rsidRPr="00381796">
        <w:rPr>
          <w:lang w:val="hr-HR"/>
        </w:rPr>
        <w:t>.</w:t>
      </w:r>
      <w:r w:rsidR="006A1C92" w:rsidRPr="006A1C92">
        <w:rPr>
          <w:vertAlign w:val="superscript"/>
          <w:lang w:val="hr-HR"/>
        </w:rPr>
        <w:footnoteReference w:id="2"/>
      </w:r>
    </w:p>
    <w:bookmarkEnd w:id="31"/>
    <w:p w14:paraId="056E29AC" w14:textId="77777777" w:rsidR="001248F7" w:rsidRPr="00FF3BF9" w:rsidRDefault="001248F7" w:rsidP="001248F7">
      <w:pPr>
        <w:rPr>
          <w:lang w:val="en-US"/>
        </w:rPr>
      </w:pPr>
    </w:p>
    <w:p w14:paraId="1DDAA93F" w14:textId="7639EE23" w:rsidR="00D84248" w:rsidRDefault="00000000" w:rsidP="001248F7">
      <w:pPr>
        <w:rPr>
          <w:lang w:val="en-US"/>
        </w:rPr>
      </w:pPr>
      <w:hyperlink r:id="rId9" w:history="1"/>
      <w:r w:rsidR="00B306B5">
        <w:rPr>
          <w:lang w:val="en-US"/>
        </w:rPr>
        <w:t>The project has contributed to both the UNDP Strategic Plan 2018-2021, Outcome 1: Advance poverty eradication in all its forms and dimensions (particularly Output 1.1.2.), as well as UNDP’s Country Programme 2021-2025, Output 3.1: Improved competitiveness of private sector and labour force, especially youth and vulnerable groups through […] skills development.</w:t>
      </w:r>
    </w:p>
    <w:p w14:paraId="22F49EBB" w14:textId="77777777" w:rsidR="00061DEA" w:rsidRDefault="00061DEA" w:rsidP="001248F7">
      <w:pPr>
        <w:rPr>
          <w:lang w:val="en-US"/>
        </w:rPr>
      </w:pPr>
      <w:bookmarkStart w:id="32" w:name="_Hlk155349764"/>
    </w:p>
    <w:p w14:paraId="7127EFE9" w14:textId="52F2705A" w:rsidR="00061DEA" w:rsidRDefault="00061DEA" w:rsidP="001248F7">
      <w:r>
        <w:rPr>
          <w:lang w:val="en-US"/>
        </w:rPr>
        <w:t>Several of the Sustainable Development Goals (SDGs) address the importance of vocational education</w:t>
      </w:r>
      <w:r w:rsidR="007D722D">
        <w:rPr>
          <w:lang w:val="en-US"/>
        </w:rPr>
        <w:t xml:space="preserve"> and training</w:t>
      </w:r>
      <w:r>
        <w:rPr>
          <w:lang w:val="en-US"/>
        </w:rPr>
        <w:t xml:space="preserve">, particularly </w:t>
      </w:r>
      <w:r w:rsidRPr="007D722D">
        <w:t>SDG 4, which aims to ensure inclusive and equitable quality education and promote lifelong learning opportunities for all</w:t>
      </w:r>
      <w:r w:rsidR="007D722D">
        <w:t xml:space="preserve">.  Further, </w:t>
      </w:r>
      <w:r w:rsidR="007D722D" w:rsidRPr="007D722D">
        <w:t>SDG 8, which focuses on promoting sustained, inclusive, and sustainable economic growth, full and productive employment, and decent work for all, is another goal that highlights the importance of vocational training.</w:t>
      </w:r>
    </w:p>
    <w:p w14:paraId="08C0AFA1" w14:textId="77777777" w:rsidR="007D722D" w:rsidRPr="007D722D" w:rsidRDefault="007D722D" w:rsidP="001248F7">
      <w:pPr>
        <w:rPr>
          <w:lang w:val="en-US"/>
        </w:rPr>
      </w:pPr>
    </w:p>
    <w:p w14:paraId="5C30B537" w14:textId="77777777" w:rsidR="007D722D" w:rsidRDefault="007D722D" w:rsidP="006031BF">
      <w:pPr>
        <w:numPr>
          <w:ilvl w:val="0"/>
          <w:numId w:val="6"/>
        </w:numPr>
        <w:rPr>
          <w:lang w:val="en-US"/>
        </w:rPr>
      </w:pPr>
      <w:r w:rsidRPr="007D722D">
        <w:rPr>
          <w:lang w:val="en-US"/>
        </w:rPr>
        <w:t>To what extent was the project aligned with the national strategies and priorities in the vocational education field?</w:t>
      </w:r>
    </w:p>
    <w:p w14:paraId="5F2C7D7A" w14:textId="77777777" w:rsidR="00A36382" w:rsidRPr="00A36382" w:rsidRDefault="00A36382" w:rsidP="006031BF">
      <w:pPr>
        <w:numPr>
          <w:ilvl w:val="0"/>
          <w:numId w:val="6"/>
        </w:numPr>
        <w:rPr>
          <w:lang w:val="en-US"/>
        </w:rPr>
      </w:pPr>
      <w:r w:rsidRPr="00A36382">
        <w:rPr>
          <w:lang w:val="en-US"/>
        </w:rPr>
        <w:t>To what extent has the project been appropriately responsive to political, legal, economic, institutional, etc., changes in the country?</w:t>
      </w:r>
    </w:p>
    <w:p w14:paraId="3E6A4427" w14:textId="77777777" w:rsidR="00B306B5" w:rsidRDefault="00B306B5" w:rsidP="00B306B5">
      <w:pPr>
        <w:rPr>
          <w:lang w:val="en-US"/>
        </w:rPr>
      </w:pPr>
    </w:p>
    <w:p w14:paraId="4F2552B8" w14:textId="3E57DE7F" w:rsidR="006A1C92" w:rsidRDefault="00341E09" w:rsidP="00B306B5">
      <w:pPr>
        <w:rPr>
          <w:lang w:val="en-US"/>
        </w:rPr>
      </w:pPr>
      <w:bookmarkStart w:id="33" w:name="_Hlk155524086"/>
      <w:r>
        <w:rPr>
          <w:lang w:val="en-US"/>
        </w:rPr>
        <w:t>Several</w:t>
      </w:r>
      <w:r w:rsidR="006A1C92">
        <w:rPr>
          <w:lang w:val="en-US"/>
        </w:rPr>
        <w:t xml:space="preserve"> recent Georgian laws, policies and strategi</w:t>
      </w:r>
      <w:r w:rsidR="003E319D">
        <w:rPr>
          <w:lang w:val="en-US"/>
        </w:rPr>
        <w:t>c institutional developments</w:t>
      </w:r>
      <w:r w:rsidR="006A1C92">
        <w:rPr>
          <w:lang w:val="en-US"/>
        </w:rPr>
        <w:t xml:space="preserve"> in the area of vocational education guided and align</w:t>
      </w:r>
      <w:r w:rsidR="003E319D">
        <w:rPr>
          <w:lang w:val="en-US"/>
        </w:rPr>
        <w:t>ed perfectly</w:t>
      </w:r>
      <w:r w:rsidR="006A1C92">
        <w:rPr>
          <w:lang w:val="en-US"/>
        </w:rPr>
        <w:t xml:space="preserve"> with the CBLLL project</w:t>
      </w:r>
      <w:r w:rsidR="003E319D">
        <w:rPr>
          <w:lang w:val="en-US"/>
        </w:rPr>
        <w:t>. These include the Vocational Education Reform Strategy (2013-2020), the Law on Vocational Education (2018), and the creation of the Vocational Skills Agency (2022).</w:t>
      </w:r>
      <w:r w:rsidR="006A1C92">
        <w:rPr>
          <w:lang w:val="en-US"/>
        </w:rPr>
        <w:t xml:space="preserve"> </w:t>
      </w:r>
    </w:p>
    <w:p w14:paraId="5AB276C1" w14:textId="77777777" w:rsidR="00B306B5" w:rsidRDefault="00B306B5" w:rsidP="00B306B5">
      <w:pPr>
        <w:rPr>
          <w:lang w:val="en-US"/>
        </w:rPr>
      </w:pPr>
    </w:p>
    <w:p w14:paraId="41EC8C75" w14:textId="16AEE3B6" w:rsidR="006A1C92" w:rsidRPr="006A1C92" w:rsidRDefault="006A1C92" w:rsidP="006A1C92">
      <w:pPr>
        <w:rPr>
          <w:lang w:val="en-US"/>
        </w:rPr>
      </w:pPr>
      <w:r w:rsidRPr="006A1C92">
        <w:rPr>
          <w:lang w:val="en-US"/>
        </w:rPr>
        <w:t>Interviews with the Skills Agency confirm that the activities in the CBLLL project were all priorities for the agency</w:t>
      </w:r>
      <w:bookmarkEnd w:id="33"/>
      <w:r w:rsidRPr="006A1C92">
        <w:rPr>
          <w:lang w:val="en-US"/>
        </w:rPr>
        <w:t xml:space="preserve"> and in many cases were already under way or in the work plan of the agency but lacked sufficient resources.  This is not a coincidence but a result of close collaboration on the design and development of the </w:t>
      </w:r>
      <w:r w:rsidR="00341E09">
        <w:rPr>
          <w:lang w:val="en-US"/>
        </w:rPr>
        <w:t xml:space="preserve">CBLLL </w:t>
      </w:r>
      <w:r w:rsidRPr="006A1C92">
        <w:rPr>
          <w:lang w:val="en-US"/>
        </w:rPr>
        <w:t xml:space="preserve">project. </w:t>
      </w:r>
    </w:p>
    <w:p w14:paraId="7723A2C4" w14:textId="1F3449FF" w:rsidR="00C64BE1" w:rsidRDefault="009646E7" w:rsidP="00253823">
      <w:pPr>
        <w:pStyle w:val="Heading3"/>
      </w:pPr>
      <w:bookmarkStart w:id="34" w:name="_Toc155599376"/>
      <w:bookmarkEnd w:id="32"/>
      <w:r>
        <w:t>Coherence and c</w:t>
      </w:r>
      <w:r w:rsidR="00C64BE1">
        <w:t xml:space="preserve">oordination with other </w:t>
      </w:r>
      <w:r>
        <w:t>VET programmes</w:t>
      </w:r>
      <w:bookmarkEnd w:id="34"/>
    </w:p>
    <w:p w14:paraId="42103FDB" w14:textId="77777777" w:rsidR="00FF3BF9" w:rsidRDefault="00FF3BF9" w:rsidP="00C31076">
      <w:pPr>
        <w:rPr>
          <w:lang w:val="en-US"/>
        </w:rPr>
      </w:pPr>
    </w:p>
    <w:p w14:paraId="2AC7F0A6" w14:textId="77777777" w:rsidR="00FF3BF9" w:rsidRDefault="00FF3BF9" w:rsidP="006031BF">
      <w:pPr>
        <w:numPr>
          <w:ilvl w:val="0"/>
          <w:numId w:val="6"/>
        </w:numPr>
        <w:rPr>
          <w:lang w:val="en-US"/>
        </w:rPr>
      </w:pPr>
      <w:r w:rsidRPr="00FF3BF9">
        <w:rPr>
          <w:lang w:val="en-US"/>
        </w:rPr>
        <w:t>To what extent were lessons learned from, and coordination with, other relevant projects considered in the design?</w:t>
      </w:r>
    </w:p>
    <w:p w14:paraId="72CF1764" w14:textId="77777777" w:rsidR="00481B5E" w:rsidRDefault="00481B5E" w:rsidP="00481B5E">
      <w:pPr>
        <w:ind w:left="360"/>
        <w:rPr>
          <w:lang w:val="en-US"/>
        </w:rPr>
      </w:pPr>
    </w:p>
    <w:p w14:paraId="22761334" w14:textId="7E1E6CD4" w:rsidR="00CE7FE0" w:rsidRDefault="009646E7" w:rsidP="00CE7FE0">
      <w:pPr>
        <w:rPr>
          <w:lang w:val="en-US"/>
        </w:rPr>
      </w:pPr>
      <w:r>
        <w:rPr>
          <w:lang w:val="en-US"/>
        </w:rPr>
        <w:t xml:space="preserve">The number of governmental and non-governmental actors involved in support to the VET sector in Georgia is impressive.  That brings with it a risk of duplication of efforts, uncoordinated activities, dissimilar approaches and </w:t>
      </w:r>
      <w:r w:rsidR="008214AC">
        <w:rPr>
          <w:lang w:val="en-US"/>
        </w:rPr>
        <w:t>uneven thematic and geographical coverage.  It can also risk overwhelming the receiving institutions and organisations.  Therefore, several interlocutors of the evaluation stressed the need for enhanced coordination going forward.</w:t>
      </w:r>
    </w:p>
    <w:p w14:paraId="4ECD1269" w14:textId="77777777" w:rsidR="009646E7" w:rsidRDefault="009646E7" w:rsidP="00CE7FE0">
      <w:pPr>
        <w:rPr>
          <w:lang w:val="en-US"/>
        </w:rPr>
      </w:pPr>
    </w:p>
    <w:p w14:paraId="45FC0279" w14:textId="4433FC78" w:rsidR="00CE7FE0" w:rsidRDefault="008214AC" w:rsidP="00CE7FE0">
      <w:r>
        <w:rPr>
          <w:lang w:val="en-US"/>
        </w:rPr>
        <w:lastRenderedPageBreak/>
        <w:t xml:space="preserve">The CBLLL project has done well in this area, quickly realizing the need for VET coordination. </w:t>
      </w:r>
      <w:r w:rsidR="00CE7FE0">
        <w:rPr>
          <w:lang w:val="en-US"/>
        </w:rPr>
        <w:t xml:space="preserve">The project </w:t>
      </w:r>
      <w:r w:rsidR="00850DAA">
        <w:rPr>
          <w:lang w:val="en-US"/>
        </w:rPr>
        <w:t xml:space="preserve">therefore </w:t>
      </w:r>
      <w:r w:rsidR="00CE7FE0">
        <w:rPr>
          <w:lang w:val="en-US"/>
        </w:rPr>
        <w:t xml:space="preserve">set up a cooperation platform for coordination of VET activities, especially those within the framework of the EU funded “Skills for Jobs” programme. </w:t>
      </w:r>
      <w:r w:rsidR="00CE7FE0" w:rsidRPr="00CE7FE0">
        <w:t xml:space="preserve">The purpose </w:t>
      </w:r>
      <w:r w:rsidR="00CE7FE0">
        <w:t>of this platform is to</w:t>
      </w:r>
      <w:r w:rsidR="00CE7FE0" w:rsidRPr="00CE7FE0">
        <w:t xml:space="preserve"> promote and facilitate communication, cooperation and coordination</w:t>
      </w:r>
      <w:r w:rsidR="00CE7FE0">
        <w:t xml:space="preserve"> between</w:t>
      </w:r>
      <w:r w:rsidR="00CE7FE0" w:rsidRPr="00CE7FE0">
        <w:t xml:space="preserve"> the projects </w:t>
      </w:r>
      <w:r w:rsidR="00CE7FE0">
        <w:t>with</w:t>
      </w:r>
      <w:r w:rsidR="00CE7FE0" w:rsidRPr="00CE7FE0">
        <w:t xml:space="preserve"> similar activities, </w:t>
      </w:r>
      <w:r w:rsidR="00CE7FE0">
        <w:t xml:space="preserve">carried out in the same </w:t>
      </w:r>
      <w:r w:rsidR="00CE7FE0" w:rsidRPr="00CE7FE0">
        <w:t xml:space="preserve">regions/municipalities and </w:t>
      </w:r>
      <w:r w:rsidR="00CE7FE0">
        <w:t xml:space="preserve">targeting similar </w:t>
      </w:r>
      <w:r w:rsidR="00CE7FE0" w:rsidRPr="00CE7FE0">
        <w:t xml:space="preserve">beneficiaries. </w:t>
      </w:r>
      <w:r w:rsidR="00401949">
        <w:t xml:space="preserve">This initiative clearly facilitates complementarity and </w:t>
      </w:r>
      <w:r w:rsidR="00CE7FE0" w:rsidRPr="00CE7FE0">
        <w:t>avoid</w:t>
      </w:r>
      <w:r w:rsidR="00401949">
        <w:t>s</w:t>
      </w:r>
      <w:r w:rsidR="00CE7FE0" w:rsidRPr="00CE7FE0">
        <w:t xml:space="preserve"> duplication of project acti</w:t>
      </w:r>
      <w:r w:rsidR="00401949">
        <w:t>vities</w:t>
      </w:r>
      <w:r w:rsidR="00CE7FE0" w:rsidRPr="00CE7FE0">
        <w:t xml:space="preserve">. </w:t>
      </w:r>
    </w:p>
    <w:p w14:paraId="7ABD51A4" w14:textId="77777777" w:rsidR="00850DAA" w:rsidRDefault="00850DAA" w:rsidP="00CE7FE0"/>
    <w:p w14:paraId="19E6DFBA" w14:textId="6E58FF08" w:rsidR="00850DAA" w:rsidRDefault="00850DAA" w:rsidP="00FF3BF9">
      <w:pPr>
        <w:rPr>
          <w:lang w:val="en-US"/>
        </w:rPr>
      </w:pPr>
      <w:r>
        <w:rPr>
          <w:lang w:val="en-US"/>
        </w:rPr>
        <w:t>Already at an early point</w:t>
      </w:r>
      <w:r w:rsidR="00341E09">
        <w:rPr>
          <w:lang w:val="en-US"/>
        </w:rPr>
        <w:t xml:space="preserve"> of the project</w:t>
      </w:r>
      <w:r>
        <w:rPr>
          <w:lang w:val="en-US"/>
        </w:rPr>
        <w:t xml:space="preserve">, it </w:t>
      </w:r>
      <w:r w:rsidR="00341E09">
        <w:rPr>
          <w:lang w:val="en-US"/>
        </w:rPr>
        <w:t xml:space="preserve">became </w:t>
      </w:r>
      <w:r>
        <w:rPr>
          <w:lang w:val="en-US"/>
        </w:rPr>
        <w:t xml:space="preserve">obvious that too many VET studies and research projects supported by international resources were under way or planned </w:t>
      </w:r>
      <w:r w:rsidRPr="00850DAA">
        <w:rPr>
          <w:lang w:val="en-US"/>
        </w:rPr>
        <w:t>(particularly related to the labour market)</w:t>
      </w:r>
      <w:r>
        <w:rPr>
          <w:lang w:val="en-US"/>
        </w:rPr>
        <w:t xml:space="preserve">.  </w:t>
      </w:r>
      <w:r w:rsidR="00E53F8E" w:rsidRPr="00E53F8E">
        <w:t xml:space="preserve">During formal and informal donor coordination meetings it was </w:t>
      </w:r>
      <w:r w:rsidR="00E53F8E">
        <w:t xml:space="preserve">therefore </w:t>
      </w:r>
      <w:r w:rsidR="00E53F8E" w:rsidRPr="00E53F8E">
        <w:t>agreed that some actors should reduce their studies</w:t>
      </w:r>
      <w:r>
        <w:rPr>
          <w:lang w:val="en-US"/>
        </w:rPr>
        <w:t>.</w:t>
      </w:r>
      <w:r w:rsidR="00E53F8E">
        <w:rPr>
          <w:rStyle w:val="FootnoteReference"/>
          <w:lang w:val="en-US"/>
        </w:rPr>
        <w:footnoteReference w:id="3"/>
      </w:r>
    </w:p>
    <w:p w14:paraId="292434EC" w14:textId="77777777" w:rsidR="00850DAA" w:rsidRDefault="00850DAA" w:rsidP="00FF3BF9">
      <w:pPr>
        <w:rPr>
          <w:lang w:val="en-US"/>
        </w:rPr>
      </w:pPr>
    </w:p>
    <w:p w14:paraId="5367DE61" w14:textId="5AAB66FF" w:rsidR="00FF3BF9" w:rsidRDefault="00E53F8E" w:rsidP="00FF3BF9">
      <w:pPr>
        <w:rPr>
          <w:lang w:val="en-US"/>
        </w:rPr>
      </w:pPr>
      <w:r>
        <w:rPr>
          <w:lang w:val="en-US"/>
        </w:rPr>
        <w:t>However, s</w:t>
      </w:r>
      <w:r w:rsidR="0042556A">
        <w:rPr>
          <w:lang w:val="en-US"/>
        </w:rPr>
        <w:t>ometimes “duplication” is not something to be avoided but rather enhances the impact of the activity</w:t>
      </w:r>
      <w:r w:rsidR="00341E09">
        <w:rPr>
          <w:lang w:val="en-US"/>
        </w:rPr>
        <w:t xml:space="preserve">: </w:t>
      </w:r>
      <w:r>
        <w:rPr>
          <w:lang w:val="en-US"/>
        </w:rPr>
        <w:t>“</w:t>
      </w:r>
      <w:r w:rsidR="00341E09">
        <w:rPr>
          <w:lang w:val="en-US"/>
        </w:rPr>
        <w:t>c</w:t>
      </w:r>
      <w:r>
        <w:rPr>
          <w:lang w:val="en-US"/>
        </w:rPr>
        <w:t>onverting overlaps into synergies</w:t>
      </w:r>
      <w:r w:rsidR="005C753C">
        <w:rPr>
          <w:lang w:val="en-US"/>
        </w:rPr>
        <w:t>,”</w:t>
      </w:r>
      <w:r>
        <w:rPr>
          <w:lang w:val="en-US"/>
        </w:rPr>
        <w:t xml:space="preserve"> as one interviewee put it.</w:t>
      </w:r>
      <w:r w:rsidR="0042556A">
        <w:rPr>
          <w:lang w:val="en-US"/>
        </w:rPr>
        <w:t xml:space="preserve"> For example, the d</w:t>
      </w:r>
      <w:r w:rsidR="00FF3BF9" w:rsidRPr="00FF3BF9">
        <w:rPr>
          <w:lang w:val="en-US"/>
        </w:rPr>
        <w:t xml:space="preserve">evelopment of VET capacity in schools </w:t>
      </w:r>
      <w:r w:rsidR="00EF3AA2">
        <w:rPr>
          <w:lang w:val="en-US"/>
        </w:rPr>
        <w:t>was</w:t>
      </w:r>
      <w:r w:rsidR="00FF3BF9" w:rsidRPr="00FF3BF9">
        <w:rPr>
          <w:lang w:val="en-US"/>
        </w:rPr>
        <w:t xml:space="preserve"> a joint initiative with ADB, a total of 30 schools </w:t>
      </w:r>
      <w:r w:rsidR="00EF3AA2">
        <w:rPr>
          <w:lang w:val="en-US"/>
        </w:rPr>
        <w:t>were</w:t>
      </w:r>
      <w:r w:rsidR="00FF3BF9" w:rsidRPr="00FF3BF9">
        <w:rPr>
          <w:lang w:val="en-US"/>
        </w:rPr>
        <w:t xml:space="preserve"> supported, 10 </w:t>
      </w:r>
      <w:r w:rsidR="00EF3AA2">
        <w:rPr>
          <w:lang w:val="en-US"/>
        </w:rPr>
        <w:t xml:space="preserve">of them </w:t>
      </w:r>
      <w:r w:rsidR="00FF3BF9" w:rsidRPr="00FF3BF9">
        <w:rPr>
          <w:lang w:val="en-US"/>
        </w:rPr>
        <w:t xml:space="preserve">through the CBLLL project. </w:t>
      </w:r>
    </w:p>
    <w:p w14:paraId="545E6113" w14:textId="465A403E" w:rsidR="00FF3BF9" w:rsidRDefault="00FF3BF9" w:rsidP="00253823">
      <w:pPr>
        <w:pStyle w:val="Heading3"/>
        <w:rPr>
          <w:lang w:val="en-US"/>
        </w:rPr>
      </w:pPr>
      <w:bookmarkStart w:id="35" w:name="_Toc155599377"/>
      <w:r>
        <w:rPr>
          <w:lang w:val="en-US"/>
        </w:rPr>
        <w:t>Design of the CBLLL project</w:t>
      </w:r>
      <w:r w:rsidR="003734FE">
        <w:rPr>
          <w:lang w:val="en-US"/>
        </w:rPr>
        <w:t xml:space="preserve"> and its T</w:t>
      </w:r>
      <w:r w:rsidR="00253823">
        <w:rPr>
          <w:lang w:val="en-US"/>
        </w:rPr>
        <w:t>heory of Change</w:t>
      </w:r>
      <w:bookmarkEnd w:id="35"/>
    </w:p>
    <w:p w14:paraId="0DCE45BF" w14:textId="77777777" w:rsidR="00FF3BF9" w:rsidRDefault="00FF3BF9" w:rsidP="00C31076">
      <w:pPr>
        <w:rPr>
          <w:lang w:val="en-US"/>
        </w:rPr>
      </w:pPr>
    </w:p>
    <w:p w14:paraId="7A4853F1" w14:textId="004A3999" w:rsidR="00B306B5" w:rsidRPr="00B306B5" w:rsidRDefault="003734FE" w:rsidP="00B306B5">
      <w:pPr>
        <w:rPr>
          <w:lang w:val="en-US"/>
        </w:rPr>
      </w:pPr>
      <w:r>
        <w:rPr>
          <w:lang w:val="en-US"/>
        </w:rPr>
        <w:t xml:space="preserve">A detailed review of the CBLLL project document and work plans shows that it was designed and developed by UNDP staff </w:t>
      </w:r>
      <w:r w:rsidR="0022220E">
        <w:rPr>
          <w:lang w:val="en-US"/>
        </w:rPr>
        <w:t xml:space="preserve">and </w:t>
      </w:r>
      <w:r w:rsidR="00477015">
        <w:rPr>
          <w:lang w:val="en-US"/>
        </w:rPr>
        <w:t xml:space="preserve">a </w:t>
      </w:r>
      <w:r w:rsidR="0022220E">
        <w:rPr>
          <w:lang w:val="en-US"/>
        </w:rPr>
        <w:t xml:space="preserve">consultant </w:t>
      </w:r>
      <w:r>
        <w:rPr>
          <w:lang w:val="en-US"/>
        </w:rPr>
        <w:t xml:space="preserve">with an intimate knowledge and understanding of the VET sector in Georgia.  </w:t>
      </w:r>
      <w:r w:rsidR="00B306B5" w:rsidRPr="00B306B5">
        <w:rPr>
          <w:lang w:val="en-US"/>
        </w:rPr>
        <w:t>UNDP Georgia has invested in a deep understanding of the field of VET in Georgia which is the starting point for a relevant project design.  Th</w:t>
      </w:r>
      <w:r w:rsidR="00341E09">
        <w:rPr>
          <w:lang w:val="en-US"/>
        </w:rPr>
        <w:t>at</w:t>
      </w:r>
      <w:r w:rsidR="00B306B5" w:rsidRPr="00B306B5">
        <w:rPr>
          <w:lang w:val="en-US"/>
        </w:rPr>
        <w:t xml:space="preserve"> investment consists of 10-years of support to the VET sector and concrete research and studies of the vocational education system.</w:t>
      </w:r>
      <w:r w:rsidR="00B306B5" w:rsidRPr="00B306B5">
        <w:rPr>
          <w:vertAlign w:val="superscript"/>
          <w:lang w:val="en-US"/>
        </w:rPr>
        <w:footnoteReference w:id="4"/>
      </w:r>
    </w:p>
    <w:p w14:paraId="14019803" w14:textId="77777777" w:rsidR="00B306B5" w:rsidRDefault="00B306B5" w:rsidP="00C31076">
      <w:pPr>
        <w:rPr>
          <w:lang w:val="en-US"/>
        </w:rPr>
      </w:pPr>
    </w:p>
    <w:p w14:paraId="2E8EEA00" w14:textId="6FF7B651" w:rsidR="003734FE" w:rsidRDefault="003734FE" w:rsidP="00C31076">
      <w:pPr>
        <w:rPr>
          <w:lang w:val="en-US"/>
        </w:rPr>
      </w:pPr>
      <w:r>
        <w:rPr>
          <w:lang w:val="en-US"/>
        </w:rPr>
        <w:t>The strategy of pursuing limited piloting while preparing for replication by others at a more comprehensive level is clearly not an afterthought but part of the project strategy from the beginning. Given the relatively modest budget</w:t>
      </w:r>
      <w:r w:rsidR="00D0173B">
        <w:rPr>
          <w:lang w:val="en-US"/>
        </w:rPr>
        <w:t xml:space="preserve">, the small management team and the </w:t>
      </w:r>
      <w:r w:rsidR="00341E09">
        <w:rPr>
          <w:lang w:val="en-US"/>
        </w:rPr>
        <w:t xml:space="preserve">relatively </w:t>
      </w:r>
      <w:r w:rsidR="00D0173B">
        <w:rPr>
          <w:lang w:val="en-US"/>
        </w:rPr>
        <w:t>brief implement</w:t>
      </w:r>
      <w:r w:rsidR="00341E09">
        <w:rPr>
          <w:lang w:val="en-US"/>
        </w:rPr>
        <w:t>ation</w:t>
      </w:r>
      <w:r w:rsidR="00D0173B">
        <w:rPr>
          <w:lang w:val="en-US"/>
        </w:rPr>
        <w:t xml:space="preserve"> period this was a very appropriate strategy.  However, </w:t>
      </w:r>
      <w:r w:rsidR="009A3DD2">
        <w:rPr>
          <w:lang w:val="en-US"/>
        </w:rPr>
        <w:t xml:space="preserve">several evaluation interlocutors expressed concern that </w:t>
      </w:r>
      <w:r w:rsidR="00D0173B">
        <w:rPr>
          <w:lang w:val="en-US"/>
        </w:rPr>
        <w:t xml:space="preserve">within that focus, the project design </w:t>
      </w:r>
      <w:r w:rsidR="00370E8E">
        <w:rPr>
          <w:lang w:val="en-US"/>
        </w:rPr>
        <w:t>was</w:t>
      </w:r>
      <w:r w:rsidR="00D0173B">
        <w:rPr>
          <w:lang w:val="en-US"/>
        </w:rPr>
        <w:t xml:space="preserve"> very ambitious, with a</w:t>
      </w:r>
      <w:r w:rsidR="00146AFA">
        <w:rPr>
          <w:lang w:val="en-US"/>
        </w:rPr>
        <w:t>n exceedingly</w:t>
      </w:r>
      <w:r w:rsidR="00D0173B">
        <w:rPr>
          <w:lang w:val="en-US"/>
        </w:rPr>
        <w:t xml:space="preserve"> large number of </w:t>
      </w:r>
      <w:r w:rsidR="00146AFA">
        <w:rPr>
          <w:lang w:val="en-US"/>
        </w:rPr>
        <w:t>action</w:t>
      </w:r>
      <w:r w:rsidR="009A3DD2">
        <w:rPr>
          <w:lang w:val="en-US"/>
        </w:rPr>
        <w:t xml:space="preserve"> areas</w:t>
      </w:r>
      <w:r w:rsidR="00146AFA">
        <w:rPr>
          <w:lang w:val="en-US"/>
        </w:rPr>
        <w:t xml:space="preserve">, </w:t>
      </w:r>
      <w:r w:rsidR="00D93C38">
        <w:rPr>
          <w:lang w:val="en-US"/>
        </w:rPr>
        <w:t>s</w:t>
      </w:r>
      <w:r w:rsidR="00146AFA">
        <w:rPr>
          <w:lang w:val="en-US"/>
        </w:rPr>
        <w:t>ub-activities</w:t>
      </w:r>
      <w:r w:rsidR="00D93C38">
        <w:rPr>
          <w:lang w:val="en-US"/>
        </w:rPr>
        <w:t xml:space="preserve"> and tasks</w:t>
      </w:r>
      <w:r w:rsidR="009A3DD2">
        <w:rPr>
          <w:lang w:val="en-US"/>
        </w:rPr>
        <w:t xml:space="preserve">. No fewer than 137 </w:t>
      </w:r>
      <w:r w:rsidR="00D93C38">
        <w:rPr>
          <w:lang w:val="en-US"/>
        </w:rPr>
        <w:t>tasks</w:t>
      </w:r>
      <w:r w:rsidR="009A3DD2">
        <w:rPr>
          <w:lang w:val="en-US"/>
        </w:rPr>
        <w:t xml:space="preserve"> are included in the </w:t>
      </w:r>
      <w:r w:rsidR="00370E8E">
        <w:rPr>
          <w:lang w:val="en-US"/>
        </w:rPr>
        <w:t xml:space="preserve">2022 </w:t>
      </w:r>
      <w:r w:rsidR="009A3DD2">
        <w:rPr>
          <w:lang w:val="en-US"/>
        </w:rPr>
        <w:t xml:space="preserve">workplan.  Implementing these activities in so many different areas during 30 months would have been a challenge even without </w:t>
      </w:r>
      <w:r w:rsidR="00253823">
        <w:rPr>
          <w:lang w:val="en-US"/>
        </w:rPr>
        <w:t xml:space="preserve">the </w:t>
      </w:r>
      <w:r w:rsidR="009A3DD2">
        <w:rPr>
          <w:lang w:val="en-US"/>
        </w:rPr>
        <w:t xml:space="preserve">delays caused by COVID-19 and other challenges </w:t>
      </w:r>
      <w:r w:rsidR="00370E8E">
        <w:rPr>
          <w:lang w:val="en-US"/>
        </w:rPr>
        <w:t xml:space="preserve">which </w:t>
      </w:r>
      <w:r w:rsidR="009A3DD2">
        <w:rPr>
          <w:lang w:val="en-US"/>
        </w:rPr>
        <w:t>reduc</w:t>
      </w:r>
      <w:r w:rsidR="00370E8E">
        <w:rPr>
          <w:lang w:val="en-US"/>
        </w:rPr>
        <w:t>ed</w:t>
      </w:r>
      <w:r w:rsidR="009A3DD2">
        <w:rPr>
          <w:lang w:val="en-US"/>
        </w:rPr>
        <w:t xml:space="preserve"> the actual implementation time (see Effectiveness).  </w:t>
      </w:r>
    </w:p>
    <w:p w14:paraId="6EA5FA95" w14:textId="77777777" w:rsidR="009955AD" w:rsidRDefault="009955AD" w:rsidP="00C31076">
      <w:pPr>
        <w:rPr>
          <w:lang w:val="en-US"/>
        </w:rPr>
      </w:pPr>
    </w:p>
    <w:p w14:paraId="25A6587D" w14:textId="0628BB53" w:rsidR="009955AD" w:rsidRDefault="0037191B" w:rsidP="00C31076">
      <w:pPr>
        <w:rPr>
          <w:lang w:val="en-US"/>
        </w:rPr>
      </w:pPr>
      <w:r>
        <w:rPr>
          <w:lang w:val="en-US"/>
        </w:rPr>
        <w:t xml:space="preserve">In terms of outcomes and outputs, they are kept to an appropriately manageable level, with Outcome 1 focused on strengthening institutions (9 Action areas) and Outcome 2 on access to the VET system (5 Action areas).  Technically, it could be argued that Output 1.1 on youth’s access to skills </w:t>
      </w:r>
      <w:r w:rsidR="00C64BE1">
        <w:rPr>
          <w:lang w:val="en-US"/>
        </w:rPr>
        <w:t>fits better under</w:t>
      </w:r>
      <w:r>
        <w:rPr>
          <w:lang w:val="en-US"/>
        </w:rPr>
        <w:t xml:space="preserve"> Outcome 2, which focuses on access, </w:t>
      </w:r>
      <w:r w:rsidR="00C64BE1">
        <w:rPr>
          <w:lang w:val="en-US"/>
        </w:rPr>
        <w:t>but the delivered result is the same.</w:t>
      </w:r>
    </w:p>
    <w:p w14:paraId="465AC57C" w14:textId="77777777" w:rsidR="009A3DD2" w:rsidRDefault="009A3DD2" w:rsidP="00C31076">
      <w:pPr>
        <w:rPr>
          <w:lang w:val="en-US"/>
        </w:rPr>
      </w:pPr>
    </w:p>
    <w:p w14:paraId="5DAEA199" w14:textId="7B73C1FC" w:rsidR="009A3DD2" w:rsidRDefault="009A3DD2" w:rsidP="00C31076">
      <w:pPr>
        <w:rPr>
          <w:lang w:val="en-US"/>
        </w:rPr>
      </w:pPr>
      <w:bookmarkStart w:id="36" w:name="_Hlk155350086"/>
      <w:r>
        <w:rPr>
          <w:lang w:val="en-US"/>
        </w:rPr>
        <w:lastRenderedPageBreak/>
        <w:t xml:space="preserve">The design of the project fits </w:t>
      </w:r>
      <w:r w:rsidR="00341E09">
        <w:rPr>
          <w:lang w:val="en-US"/>
        </w:rPr>
        <w:t>perfectly</w:t>
      </w:r>
      <w:r>
        <w:rPr>
          <w:lang w:val="en-US"/>
        </w:rPr>
        <w:t xml:space="preserve"> with the </w:t>
      </w:r>
      <w:r w:rsidR="00174529">
        <w:rPr>
          <w:lang w:val="en-US"/>
        </w:rPr>
        <w:t xml:space="preserve">well-developed </w:t>
      </w:r>
      <w:r>
        <w:rPr>
          <w:lang w:val="en-US"/>
        </w:rPr>
        <w:t xml:space="preserve">theory of change </w:t>
      </w:r>
      <w:r w:rsidR="00341E09">
        <w:rPr>
          <w:lang w:val="en-US"/>
        </w:rPr>
        <w:t xml:space="preserve">(ToC) </w:t>
      </w:r>
      <w:r>
        <w:rPr>
          <w:lang w:val="en-US"/>
        </w:rPr>
        <w:t>that constitutes its starting point.</w:t>
      </w:r>
      <w:r w:rsidR="00174529">
        <w:rPr>
          <w:lang w:val="en-US"/>
        </w:rPr>
        <w:t xml:space="preserve">  The ToC illustrates clearly the logical steps towards the overall objective and encompasses all the inputs into that journey.  </w:t>
      </w:r>
      <w:bookmarkEnd w:id="36"/>
      <w:r w:rsidR="005E6AD3">
        <w:rPr>
          <w:lang w:val="en-US"/>
        </w:rPr>
        <w:t>In the visual version, c</w:t>
      </w:r>
      <w:r w:rsidR="00174529">
        <w:rPr>
          <w:lang w:val="en-US"/>
        </w:rPr>
        <w:t xml:space="preserve">ross-cutting issues are left hovering by itself, which </w:t>
      </w:r>
      <w:r w:rsidR="005E6AD3">
        <w:rPr>
          <w:lang w:val="en-US"/>
        </w:rPr>
        <w:t>according to some</w:t>
      </w:r>
      <w:r w:rsidR="00D93C38">
        <w:rPr>
          <w:lang w:val="en-US"/>
        </w:rPr>
        <w:t xml:space="preserve"> interviewees</w:t>
      </w:r>
      <w:r w:rsidR="005E6AD3">
        <w:rPr>
          <w:lang w:val="en-US"/>
        </w:rPr>
        <w:t xml:space="preserve">, </w:t>
      </w:r>
      <w:r w:rsidR="00174529">
        <w:rPr>
          <w:lang w:val="en-US"/>
        </w:rPr>
        <w:t xml:space="preserve">might be an appropriate illustration of their role in the project (see </w:t>
      </w:r>
      <w:r w:rsidR="00341E09">
        <w:rPr>
          <w:lang w:val="en-US"/>
        </w:rPr>
        <w:t>c</w:t>
      </w:r>
      <w:r w:rsidR="00174529">
        <w:rPr>
          <w:lang w:val="en-US"/>
        </w:rPr>
        <w:t>ross-cutting issues).</w:t>
      </w:r>
    </w:p>
    <w:p w14:paraId="1E48FCCC" w14:textId="3453E162" w:rsidR="00C31076" w:rsidRPr="00FF3BF9" w:rsidRDefault="001164B3" w:rsidP="0056558B">
      <w:pPr>
        <w:pStyle w:val="Heading2"/>
      </w:pPr>
      <w:bookmarkStart w:id="37" w:name="_Toc155599378"/>
      <w:r w:rsidRPr="00FF3BF9">
        <w:t>Effectiveness</w:t>
      </w:r>
      <w:bookmarkEnd w:id="37"/>
    </w:p>
    <w:p w14:paraId="5AEA6653" w14:textId="1AEA1CD7" w:rsidR="00253823" w:rsidRDefault="00253823" w:rsidP="00253823">
      <w:pPr>
        <w:pStyle w:val="Heading3"/>
        <w:rPr>
          <w:lang w:val="en-US"/>
        </w:rPr>
      </w:pPr>
      <w:bookmarkStart w:id="38" w:name="_Toc155599379"/>
      <w:bookmarkStart w:id="39" w:name="_Hlk154758620"/>
      <w:r>
        <w:rPr>
          <w:lang w:val="en-US"/>
        </w:rPr>
        <w:t xml:space="preserve">Project outputs and outcomes </w:t>
      </w:r>
      <w:r w:rsidR="00645652">
        <w:rPr>
          <w:lang w:val="en-US"/>
        </w:rPr>
        <w:t xml:space="preserve">successfully </w:t>
      </w:r>
      <w:r>
        <w:rPr>
          <w:lang w:val="en-US"/>
        </w:rPr>
        <w:t>achieved</w:t>
      </w:r>
      <w:bookmarkEnd w:id="38"/>
    </w:p>
    <w:p w14:paraId="3FFA8124" w14:textId="77777777" w:rsidR="00253823" w:rsidRDefault="00253823" w:rsidP="00DF0FD6">
      <w:pPr>
        <w:rPr>
          <w:lang w:val="en-US"/>
        </w:rPr>
      </w:pPr>
    </w:p>
    <w:p w14:paraId="2D01351F" w14:textId="77777777" w:rsidR="005521CD" w:rsidRPr="005521CD" w:rsidRDefault="005521CD" w:rsidP="006031BF">
      <w:pPr>
        <w:numPr>
          <w:ilvl w:val="0"/>
          <w:numId w:val="12"/>
        </w:numPr>
        <w:rPr>
          <w:lang w:val="en-US"/>
        </w:rPr>
      </w:pPr>
      <w:bookmarkStart w:id="40" w:name="_Hlk155350773"/>
      <w:r w:rsidRPr="005521CD">
        <w:rPr>
          <w:lang w:val="en-US"/>
        </w:rPr>
        <w:t>To what extent were the project outputs, outcome and impact achieved, considering men, women, and vulnerable groups?</w:t>
      </w:r>
    </w:p>
    <w:p w14:paraId="2F3981BB" w14:textId="77777777" w:rsidR="005521CD" w:rsidRDefault="005521CD" w:rsidP="00DF0FD6">
      <w:pPr>
        <w:rPr>
          <w:lang w:val="en-US"/>
        </w:rPr>
      </w:pPr>
    </w:p>
    <w:p w14:paraId="7702C6BB" w14:textId="48F662CF" w:rsidR="00DA47C3" w:rsidRDefault="00645652" w:rsidP="00DF0FD6">
      <w:pPr>
        <w:rPr>
          <w:lang w:val="en-US"/>
        </w:rPr>
      </w:pPr>
      <w:r>
        <w:rPr>
          <w:lang w:val="en-US"/>
        </w:rPr>
        <w:t xml:space="preserve">Monitoring data indicate that despite a slow initial implementation rate, the CBLLL project managed to overcome challenges and satisfactorily delivered on its outputs and outcomes. Project indicators show that most targets have been met while a few are still in progress.   </w:t>
      </w:r>
    </w:p>
    <w:bookmarkEnd w:id="40"/>
    <w:p w14:paraId="657143DF" w14:textId="77777777" w:rsidR="00645652" w:rsidRDefault="00645652" w:rsidP="00DF0FD6">
      <w:pPr>
        <w:rPr>
          <w:lang w:val="en-US"/>
        </w:rPr>
      </w:pPr>
    </w:p>
    <w:p w14:paraId="09A974CF" w14:textId="076E5516" w:rsidR="00921CA8" w:rsidRDefault="00921CA8" w:rsidP="00DF0FD6">
      <w:pPr>
        <w:rPr>
          <w:lang w:val="en-US"/>
        </w:rPr>
      </w:pPr>
      <w:r>
        <w:rPr>
          <w:lang w:val="en-US"/>
        </w:rPr>
        <w:t>Given the large number of national and international actors involved in supporting similar components of the VET reform in Georgia, it is often difficult to prove direct causality between a specific project and the progress evidently made in the VET field in the last couple of years.  However, in addition to UNDP and EU positive monitoring results</w:t>
      </w:r>
      <w:r w:rsidR="001225C9">
        <w:rPr>
          <w:lang w:val="en-US"/>
        </w:rPr>
        <w:t xml:space="preserve"> of the CBLLL project</w:t>
      </w:r>
      <w:r>
        <w:rPr>
          <w:lang w:val="en-US"/>
        </w:rPr>
        <w:t>, several government reports confirm significant progress in the areas covered by the project</w:t>
      </w:r>
      <w:r w:rsidR="001225C9">
        <w:rPr>
          <w:lang w:val="en-US"/>
        </w:rPr>
        <w:t>.</w:t>
      </w:r>
      <w:r w:rsidR="001225C9">
        <w:rPr>
          <w:rStyle w:val="FootnoteReference"/>
          <w:lang w:val="en-US"/>
        </w:rPr>
        <w:footnoteReference w:id="5"/>
      </w:r>
      <w:r>
        <w:rPr>
          <w:lang w:val="en-US"/>
        </w:rPr>
        <w:t xml:space="preserve"> </w:t>
      </w:r>
    </w:p>
    <w:p w14:paraId="5D374898" w14:textId="77777777" w:rsidR="00DF0FD6" w:rsidRDefault="00DF0FD6" w:rsidP="00DF0FD6">
      <w:pPr>
        <w:rPr>
          <w:lang w:val="en-US"/>
        </w:rPr>
      </w:pPr>
    </w:p>
    <w:p w14:paraId="06945CF9" w14:textId="41129894" w:rsidR="001225C9" w:rsidRDefault="00D93C38" w:rsidP="001225C9">
      <w:pPr>
        <w:rPr>
          <w:lang w:val="en-US"/>
        </w:rPr>
      </w:pPr>
      <w:r>
        <w:rPr>
          <w:lang w:val="en-US"/>
        </w:rPr>
        <w:t>Triangulated e</w:t>
      </w:r>
      <w:r w:rsidR="001225C9">
        <w:rPr>
          <w:lang w:val="en-US"/>
        </w:rPr>
        <w:t>vidence gathered from the three sources used by the evaluation (UNDP monitoring, EU monitoring and key informant interviews) point to success in the following areas</w:t>
      </w:r>
      <w:r w:rsidR="000327C1">
        <w:rPr>
          <w:lang w:val="en-US"/>
        </w:rPr>
        <w:t>, among others</w:t>
      </w:r>
      <w:r w:rsidR="001225C9">
        <w:rPr>
          <w:lang w:val="en-US"/>
        </w:rPr>
        <w:t>:</w:t>
      </w:r>
      <w:r w:rsidR="00197AF9">
        <w:rPr>
          <w:lang w:val="en-US"/>
        </w:rPr>
        <w:t xml:space="preserve"> support to collages through new models and partnerships, support to secondary schools offering VET programmes, </w:t>
      </w:r>
      <w:r w:rsidR="000327C1">
        <w:rPr>
          <w:lang w:val="en-US"/>
        </w:rPr>
        <w:t>networks</w:t>
      </w:r>
      <w:r w:rsidR="005521CD">
        <w:rPr>
          <w:lang w:val="en-US"/>
        </w:rPr>
        <w:t xml:space="preserve"> </w:t>
      </w:r>
      <w:r w:rsidR="000327C1">
        <w:rPr>
          <w:lang w:val="en-US"/>
        </w:rPr>
        <w:t>and platforms for new partnerships (SSOs, coll</w:t>
      </w:r>
      <w:r w:rsidR="00370E8E">
        <w:rPr>
          <w:lang w:val="en-US"/>
        </w:rPr>
        <w:t>e</w:t>
      </w:r>
      <w:r w:rsidR="000327C1">
        <w:rPr>
          <w:lang w:val="en-US"/>
        </w:rPr>
        <w:t xml:space="preserve">ges and municipalities etc), extracurricular activities </w:t>
      </w:r>
      <w:r w:rsidR="00C131C3">
        <w:rPr>
          <w:lang w:val="en-US"/>
        </w:rPr>
        <w:t xml:space="preserve">and non-formal education </w:t>
      </w:r>
      <w:r w:rsidR="000327C1">
        <w:rPr>
          <w:lang w:val="en-US"/>
        </w:rPr>
        <w:t>enhancing competencies</w:t>
      </w:r>
      <w:r w:rsidR="00C131C3">
        <w:rPr>
          <w:rStyle w:val="FootnoteReference"/>
          <w:lang w:val="en-US"/>
        </w:rPr>
        <w:footnoteReference w:id="6"/>
      </w:r>
      <w:r w:rsidR="000327C1">
        <w:rPr>
          <w:lang w:val="en-US"/>
        </w:rPr>
        <w:t>,</w:t>
      </w:r>
      <w:r w:rsidR="0010305C">
        <w:rPr>
          <w:lang w:val="en-US"/>
        </w:rPr>
        <w:t xml:space="preserve"> VET staff and teachers provided with new competencies</w:t>
      </w:r>
      <w:r w:rsidR="00144623">
        <w:rPr>
          <w:rStyle w:val="FootnoteReference"/>
          <w:lang w:val="en-US"/>
        </w:rPr>
        <w:footnoteReference w:id="7"/>
      </w:r>
      <w:r w:rsidR="0010305C">
        <w:rPr>
          <w:lang w:val="en-US"/>
        </w:rPr>
        <w:t xml:space="preserve">, catch-up courses developed for NEETs, </w:t>
      </w:r>
      <w:r w:rsidR="008E1642">
        <w:rPr>
          <w:lang w:val="en-US"/>
        </w:rPr>
        <w:t xml:space="preserve">occupational standards, </w:t>
      </w:r>
      <w:r w:rsidR="0010305C">
        <w:rPr>
          <w:lang w:val="en-US"/>
        </w:rPr>
        <w:t>modules, guides, strategies, action plans and other tools developed</w:t>
      </w:r>
      <w:r w:rsidR="008E1642">
        <w:rPr>
          <w:lang w:val="en-US"/>
        </w:rPr>
        <w:t xml:space="preserve">, </w:t>
      </w:r>
      <w:r w:rsidR="000327C1">
        <w:rPr>
          <w:lang w:val="en-US"/>
        </w:rPr>
        <w:t xml:space="preserve"> </w:t>
      </w:r>
      <w:r w:rsidR="008E1642">
        <w:rPr>
          <w:lang w:val="en-US"/>
        </w:rPr>
        <w:t>career education and orientation for vulnerable groups developed, digital as well as the introduction of blended learning concepts.</w:t>
      </w:r>
    </w:p>
    <w:p w14:paraId="4A02F4AE" w14:textId="1F537517" w:rsidR="005E6AD3" w:rsidRDefault="00A52754" w:rsidP="00253823">
      <w:pPr>
        <w:pStyle w:val="Heading3"/>
      </w:pPr>
      <w:bookmarkStart w:id="41" w:name="_Toc155599380"/>
      <w:r>
        <w:t>Factors contributing to effectiveness</w:t>
      </w:r>
      <w:bookmarkEnd w:id="41"/>
    </w:p>
    <w:p w14:paraId="02BF8A50" w14:textId="77777777" w:rsidR="00E368DC" w:rsidRDefault="00E368DC" w:rsidP="00E368DC"/>
    <w:p w14:paraId="40F887A6" w14:textId="77777777" w:rsidR="00DE3659" w:rsidRPr="00DE3659" w:rsidRDefault="00DE3659" w:rsidP="006031BF">
      <w:pPr>
        <w:numPr>
          <w:ilvl w:val="0"/>
          <w:numId w:val="12"/>
        </w:numPr>
        <w:rPr>
          <w:lang w:val="en-US"/>
        </w:rPr>
      </w:pPr>
      <w:r w:rsidRPr="00DE3659">
        <w:rPr>
          <w:lang w:val="en-US"/>
        </w:rPr>
        <w:t>What factors have contributed to achieving, or not, intended project outputs and outcomes?</w:t>
      </w:r>
    </w:p>
    <w:p w14:paraId="49440D35" w14:textId="77777777" w:rsidR="00DE3659" w:rsidRPr="00DE3659" w:rsidRDefault="00DE3659" w:rsidP="006031BF">
      <w:pPr>
        <w:numPr>
          <w:ilvl w:val="0"/>
          <w:numId w:val="12"/>
        </w:numPr>
        <w:rPr>
          <w:lang w:val="en-US"/>
        </w:rPr>
      </w:pPr>
      <w:r w:rsidRPr="00DE3659">
        <w:rPr>
          <w:lang w:val="en-US"/>
        </w:rPr>
        <w:t>What factors contributed to effectiveness or ineffectiveness?</w:t>
      </w:r>
    </w:p>
    <w:p w14:paraId="39EFA9E6" w14:textId="77777777" w:rsidR="00DE3659" w:rsidRDefault="00DE3659" w:rsidP="00E368DC"/>
    <w:p w14:paraId="22768138" w14:textId="7F2E9AA5" w:rsidR="00E368DC" w:rsidRPr="00E368DC" w:rsidRDefault="00E368DC" w:rsidP="00E368DC">
      <w:r>
        <w:t>Interlocutors with the evaluation were systematically asked to identify factors that contributed to project effectiveness</w:t>
      </w:r>
      <w:r w:rsidR="00F00E64">
        <w:t>. Their answers can be summarized in the following points.</w:t>
      </w:r>
    </w:p>
    <w:p w14:paraId="170443D1" w14:textId="77777777" w:rsidR="005E6AD3" w:rsidRDefault="005E6AD3" w:rsidP="001164B3"/>
    <w:p w14:paraId="2070CD2F" w14:textId="71750820" w:rsidR="00583A9A" w:rsidRDefault="00583A9A" w:rsidP="006031BF">
      <w:pPr>
        <w:pStyle w:val="ListParagraph"/>
        <w:numPr>
          <w:ilvl w:val="0"/>
          <w:numId w:val="18"/>
        </w:numPr>
      </w:pPr>
      <w:r>
        <w:t xml:space="preserve">A well-designed project </w:t>
      </w:r>
    </w:p>
    <w:p w14:paraId="6CCE8068" w14:textId="6898B55C" w:rsidR="0000661D" w:rsidRDefault="0000661D" w:rsidP="006031BF">
      <w:pPr>
        <w:pStyle w:val="ListParagraph"/>
        <w:numPr>
          <w:ilvl w:val="0"/>
          <w:numId w:val="18"/>
        </w:numPr>
      </w:pPr>
      <w:r>
        <w:t>Committed and capable implementing partners</w:t>
      </w:r>
    </w:p>
    <w:p w14:paraId="3C5C9A28" w14:textId="4FE126E2" w:rsidR="00A52754" w:rsidRDefault="003D6445" w:rsidP="006031BF">
      <w:pPr>
        <w:pStyle w:val="ListParagraph"/>
        <w:numPr>
          <w:ilvl w:val="0"/>
          <w:numId w:val="18"/>
        </w:numPr>
      </w:pPr>
      <w:r>
        <w:t>High degree of r</w:t>
      </w:r>
      <w:r w:rsidR="00A52754">
        <w:t>elevance/need for the project</w:t>
      </w:r>
    </w:p>
    <w:p w14:paraId="70AC4EF7" w14:textId="205D1AFE" w:rsidR="004757C0" w:rsidRDefault="004757C0" w:rsidP="006031BF">
      <w:pPr>
        <w:pStyle w:val="ListParagraph"/>
        <w:numPr>
          <w:ilvl w:val="0"/>
          <w:numId w:val="18"/>
        </w:numPr>
      </w:pPr>
      <w:r>
        <w:t>Momentum for vocational education in Georgia</w:t>
      </w:r>
    </w:p>
    <w:p w14:paraId="069CA1C9" w14:textId="1903DEB2" w:rsidR="00A52754" w:rsidRDefault="00A52754" w:rsidP="006031BF">
      <w:pPr>
        <w:pStyle w:val="ListParagraph"/>
        <w:numPr>
          <w:ilvl w:val="0"/>
          <w:numId w:val="18"/>
        </w:numPr>
      </w:pPr>
      <w:r>
        <w:t xml:space="preserve">Availability of expertise within and </w:t>
      </w:r>
      <w:r w:rsidR="004757C0">
        <w:t>around the project</w:t>
      </w:r>
    </w:p>
    <w:p w14:paraId="438B104F" w14:textId="70EF6583" w:rsidR="00A52754" w:rsidRDefault="00AF2FFD" w:rsidP="006031BF">
      <w:pPr>
        <w:pStyle w:val="ListParagraph"/>
        <w:numPr>
          <w:ilvl w:val="0"/>
          <w:numId w:val="18"/>
        </w:numPr>
      </w:pPr>
      <w:r>
        <w:t>Existence of a</w:t>
      </w:r>
      <w:r w:rsidR="004757C0">
        <w:t xml:space="preserve"> broader national and international VET community with shared goals</w:t>
      </w:r>
    </w:p>
    <w:p w14:paraId="04EA67DF" w14:textId="044B5DE6" w:rsidR="00583A9A" w:rsidRDefault="00583A9A" w:rsidP="006031BF">
      <w:pPr>
        <w:pStyle w:val="ListParagraph"/>
        <w:numPr>
          <w:ilvl w:val="0"/>
          <w:numId w:val="18"/>
        </w:numPr>
      </w:pPr>
      <w:r>
        <w:t>Trust and familiarity between actors in a small community of education professionals</w:t>
      </w:r>
    </w:p>
    <w:p w14:paraId="616D6851" w14:textId="659B0EF5" w:rsidR="00583A9A" w:rsidRDefault="00583A9A" w:rsidP="006031BF">
      <w:pPr>
        <w:pStyle w:val="ListParagraph"/>
        <w:numPr>
          <w:ilvl w:val="0"/>
          <w:numId w:val="18"/>
        </w:numPr>
      </w:pPr>
      <w:r>
        <w:t>A realistic number of direct beneficiaries (coupled with replication and scale-up plans)</w:t>
      </w:r>
    </w:p>
    <w:p w14:paraId="59265D06" w14:textId="725F686A" w:rsidR="00766C08" w:rsidRDefault="00766C08" w:rsidP="00253823">
      <w:pPr>
        <w:pStyle w:val="Heading3"/>
      </w:pPr>
      <w:bookmarkStart w:id="42" w:name="_Toc155599381"/>
      <w:bookmarkEnd w:id="39"/>
      <w:r>
        <w:t>Factors that hampered effectiveness</w:t>
      </w:r>
      <w:bookmarkEnd w:id="42"/>
    </w:p>
    <w:p w14:paraId="192F582E" w14:textId="77777777" w:rsidR="007075EC" w:rsidRDefault="007075EC" w:rsidP="008B362F"/>
    <w:p w14:paraId="140D3894" w14:textId="222D1487" w:rsidR="006322B7" w:rsidRDefault="006322B7" w:rsidP="008B362F">
      <w:r>
        <w:t xml:space="preserve">The data sources coincide in pointing to two major developments </w:t>
      </w:r>
      <w:r w:rsidR="00487BB9">
        <w:t>that</w:t>
      </w:r>
      <w:r>
        <w:t xml:space="preserve"> hamper</w:t>
      </w:r>
      <w:r w:rsidR="00487BB9">
        <w:t>ed</w:t>
      </w:r>
      <w:r>
        <w:t xml:space="preserve"> the effectiveness of the CBLLL project: 1) the COVID-19 pandemic</w:t>
      </w:r>
      <w:r w:rsidR="00487BB9">
        <w:t>,</w:t>
      </w:r>
      <w:r>
        <w:t xml:space="preserve"> and 2) the </w:t>
      </w:r>
      <w:r w:rsidR="00487BB9">
        <w:t xml:space="preserve">unforeseen </w:t>
      </w:r>
      <w:r>
        <w:t>institutio</w:t>
      </w:r>
      <w:r w:rsidR="00487BB9">
        <w:t xml:space="preserve">nal and policy </w:t>
      </w:r>
      <w:r>
        <w:t>chang</w:t>
      </w:r>
      <w:r w:rsidR="00487BB9">
        <w:t>es in the VET sector</w:t>
      </w:r>
      <w:r w:rsidR="00A54B56">
        <w:t>. Neither of these two developments was possible to foresee and plan for.</w:t>
      </w:r>
      <w:r>
        <w:t xml:space="preserve"> </w:t>
      </w:r>
    </w:p>
    <w:p w14:paraId="0461A332" w14:textId="77777777" w:rsidR="00B50EE8" w:rsidRDefault="00B50EE8" w:rsidP="008B362F"/>
    <w:p w14:paraId="25B27B85" w14:textId="5B4EE6A8" w:rsidR="00B50EE8" w:rsidRDefault="008E7EEC" w:rsidP="00B50EE8">
      <w:r>
        <w:t xml:space="preserve">Interviewees and monitoring reports </w:t>
      </w:r>
      <w:r w:rsidR="001D0C63">
        <w:t xml:space="preserve">all stress the negative impact of the </w:t>
      </w:r>
      <w:r w:rsidR="00B50EE8" w:rsidRPr="00B50EE8">
        <w:t xml:space="preserve">outbreak of the COVID-19 pandemic </w:t>
      </w:r>
      <w:r w:rsidR="001D0C63">
        <w:t xml:space="preserve">on the effectiveness of the CBLLL project.  </w:t>
      </w:r>
      <w:r w:rsidR="00645977">
        <w:t xml:space="preserve">Most activities involved face-to-face meetings with college and school staff and the format of online meetings was not well-established and familiar to project interlocutors. </w:t>
      </w:r>
      <w:r w:rsidR="001D0C63">
        <w:t xml:space="preserve">The pandemic </w:t>
      </w:r>
      <w:r w:rsidR="00B50EE8" w:rsidRPr="00B50EE8">
        <w:t xml:space="preserve">brought emergency regulations and new rules to working and learning processes for remote work and study and </w:t>
      </w:r>
      <w:r w:rsidR="001D0C63">
        <w:t>limited</w:t>
      </w:r>
      <w:r w:rsidR="00B50EE8" w:rsidRPr="00B50EE8">
        <w:t xml:space="preserve"> the project</w:t>
      </w:r>
      <w:r w:rsidR="001D0C63">
        <w:t>’s</w:t>
      </w:r>
      <w:r w:rsidR="00B50EE8" w:rsidRPr="00B50EE8">
        <w:t xml:space="preserve"> ability to host events and </w:t>
      </w:r>
      <w:r w:rsidR="001D0C63">
        <w:t>carry out field visits</w:t>
      </w:r>
      <w:r w:rsidR="00B50EE8" w:rsidRPr="00B50EE8">
        <w:t xml:space="preserve">. </w:t>
      </w:r>
      <w:r w:rsidR="001D0C63">
        <w:t xml:space="preserve">This was particularly challenging for the implementing partner “Sunny House” who </w:t>
      </w:r>
      <w:r w:rsidR="001D0C63" w:rsidRPr="00B50EE8">
        <w:t>relies on face-to-face interactions between trained youth workers and youth in the regions</w:t>
      </w:r>
      <w:r w:rsidR="001D0C63">
        <w:t>. Eventually the project could gradually shift back to</w:t>
      </w:r>
      <w:r w:rsidR="00B50EE8" w:rsidRPr="00B50EE8">
        <w:t xml:space="preserve"> normal working </w:t>
      </w:r>
      <w:r w:rsidR="001D0C63">
        <w:t>procedures</w:t>
      </w:r>
      <w:r w:rsidR="00B50EE8" w:rsidRPr="00B50EE8">
        <w:t xml:space="preserve">. </w:t>
      </w:r>
    </w:p>
    <w:p w14:paraId="0B90C28D" w14:textId="77777777" w:rsidR="009C164A" w:rsidRDefault="009C164A" w:rsidP="00B50EE8"/>
    <w:p w14:paraId="2DE2F9AA" w14:textId="319AB224" w:rsidR="009C164A" w:rsidRPr="00B50EE8" w:rsidRDefault="009C164A" w:rsidP="00B50EE8">
      <w:r>
        <w:t>The delayed establishment of the Skills Agency on</w:t>
      </w:r>
      <w:r w:rsidR="009C6CDA">
        <w:t xml:space="preserve"> 29 April 2021 required major adjustments to the project work plan.  The Skills Agency then became operational in January 2022</w:t>
      </w:r>
      <w:r w:rsidR="003239AE">
        <w:t>.</w:t>
      </w:r>
      <w:r w:rsidR="003239AE">
        <w:rPr>
          <w:rStyle w:val="FootnoteReference"/>
        </w:rPr>
        <w:footnoteReference w:id="8"/>
      </w:r>
      <w:r>
        <w:t xml:space="preserve"> </w:t>
      </w:r>
      <w:r w:rsidR="003239AE">
        <w:t>The Skills Agency appreciated the non-cost project extensions, but struggled to implement a very complex 30 months-project in about 1 ½ years.</w:t>
      </w:r>
      <w:r w:rsidR="003D6445">
        <w:rPr>
          <w:rStyle w:val="FootnoteReference"/>
        </w:rPr>
        <w:footnoteReference w:id="9"/>
      </w:r>
    </w:p>
    <w:p w14:paraId="13C12D41" w14:textId="77777777" w:rsidR="00B50EE8" w:rsidRDefault="00B50EE8" w:rsidP="008B362F"/>
    <w:p w14:paraId="407E3E83" w14:textId="76FFBB96" w:rsidR="00766C08" w:rsidRDefault="00766C08" w:rsidP="008B362F">
      <w:r>
        <w:t xml:space="preserve">On 22 June 2021, the National Center for Quality Development in Education issued new, more cumbersome, regulations for the approval of educational modules in the VET system, which </w:t>
      </w:r>
      <w:r w:rsidR="000A0143">
        <w:t>substantially delayed the approval of the CBLLL produced modules on personal care and health services.</w:t>
      </w:r>
      <w:r w:rsidR="006322B7">
        <w:t xml:space="preserve">  Similarly, new VET student admission regulations </w:t>
      </w:r>
      <w:r w:rsidR="003D6445">
        <w:t>were also</w:t>
      </w:r>
      <w:r w:rsidR="006322B7">
        <w:t xml:space="preserve"> introduced, which means VET applicants can only be admitted once a year (August) as opposed to twice previously.</w:t>
      </w:r>
    </w:p>
    <w:p w14:paraId="6573D182" w14:textId="77777777" w:rsidR="00B1191B" w:rsidRDefault="00B1191B" w:rsidP="008B362F"/>
    <w:p w14:paraId="5D7417A5" w14:textId="204F5724" w:rsidR="00B1191B" w:rsidRDefault="00B1191B" w:rsidP="008B362F">
      <w:r>
        <w:t xml:space="preserve">Frequent institutional changes have also taken place in the Youth Agency which initially was a separate entity, then assigned to the Ministry of Sport, later to the MoES, then a separate entity </w:t>
      </w:r>
      <w:r>
        <w:lastRenderedPageBreak/>
        <w:t xml:space="preserve">and as of 2024, returned to the MoES.  This </w:t>
      </w:r>
      <w:r w:rsidR="009A7AD7">
        <w:t xml:space="preserve">reportedly </w:t>
      </w:r>
      <w:r>
        <w:t>result</w:t>
      </w:r>
      <w:r w:rsidR="003D6445">
        <w:t>ed</w:t>
      </w:r>
      <w:r>
        <w:t xml:space="preserve"> in </w:t>
      </w:r>
      <w:r w:rsidR="003D6445">
        <w:t>a lack of</w:t>
      </w:r>
      <w:r>
        <w:t xml:space="preserve"> institutional memory and continuity of activities.</w:t>
      </w:r>
      <w:r w:rsidR="009A7AD7">
        <w:rPr>
          <w:rStyle w:val="FootnoteReference"/>
        </w:rPr>
        <w:footnoteReference w:id="10"/>
      </w:r>
    </w:p>
    <w:p w14:paraId="45195254" w14:textId="77777777" w:rsidR="00B50EE8" w:rsidRDefault="00B50EE8" w:rsidP="008B362F"/>
    <w:p w14:paraId="5A60A6DC" w14:textId="79F79C5C" w:rsidR="00B50EE8" w:rsidRDefault="00510A84" w:rsidP="008B362F">
      <w:r>
        <w:t xml:space="preserve">A more foreseeable event, the local government elections in October 2021, also made the CBLLL project lose some ground.  The change of local authorities and staff meant the project had to be re-introduced and explained </w:t>
      </w:r>
      <w:r w:rsidR="003D6445">
        <w:t xml:space="preserve">to stakeholders once </w:t>
      </w:r>
      <w:r>
        <w:t xml:space="preserve">again.  Trust had to be rebuilt and commitment and enthusiasm re-generated.  Some activities </w:t>
      </w:r>
      <w:r w:rsidR="003D6445">
        <w:t>which took</w:t>
      </w:r>
      <w:r>
        <w:t xml:space="preserve"> place during this </w:t>
      </w:r>
      <w:r w:rsidR="007218BE">
        <w:t>pre- and post-election period were also slightly affected.</w:t>
      </w:r>
    </w:p>
    <w:p w14:paraId="1314272E" w14:textId="77777777" w:rsidR="005E6AD3" w:rsidRDefault="005E6AD3" w:rsidP="008B362F"/>
    <w:p w14:paraId="4CE18B4F" w14:textId="76B0DB98" w:rsidR="005E6AD3" w:rsidRDefault="007B6660" w:rsidP="003D6445">
      <w:pPr>
        <w:pStyle w:val="Heading4"/>
      </w:pPr>
      <w:r>
        <w:t>The legacy of the USSR: need to overcome a mind-set</w:t>
      </w:r>
    </w:p>
    <w:p w14:paraId="6BD2BA31" w14:textId="77777777" w:rsidR="007B6660" w:rsidRDefault="007B6660" w:rsidP="008B362F"/>
    <w:p w14:paraId="47E6B419" w14:textId="7F212E71" w:rsidR="00FC7C3E" w:rsidRDefault="007B6660" w:rsidP="008B362F">
      <w:r>
        <w:t>Some of the hands-on implementing actors providing information to the evaluation testified to the challenges inherent in overcoming old mind-sets among individuals who have been part of the vocational education system since the Soviet Union era. They reportedly express</w:t>
      </w:r>
      <w:r w:rsidR="003F3939">
        <w:t>ed</w:t>
      </w:r>
      <w:r>
        <w:t xml:space="preserve"> s</w:t>
      </w:r>
      <w:r w:rsidR="004D3632">
        <w:t>c</w:t>
      </w:r>
      <w:r>
        <w:t>eptici</w:t>
      </w:r>
      <w:r w:rsidR="004D3632">
        <w:t>s</w:t>
      </w:r>
      <w:r>
        <w:t>m towards change and dissolution with conflicting reform initiatives, which reportedly lead to “feelings of alienation, anxiety and sometimes even protest</w:t>
      </w:r>
      <w:r w:rsidR="005C753C">
        <w:t>.”</w:t>
      </w:r>
      <w:r w:rsidR="004D3632">
        <w:rPr>
          <w:rStyle w:val="FootnoteReference"/>
        </w:rPr>
        <w:footnoteReference w:id="11"/>
      </w:r>
    </w:p>
    <w:p w14:paraId="7CA03AF1" w14:textId="77777777" w:rsidR="00FC7C3E" w:rsidRDefault="00FC7C3E" w:rsidP="008B362F"/>
    <w:p w14:paraId="764D10DE" w14:textId="12120875" w:rsidR="007B6660" w:rsidRDefault="00FC7C3E" w:rsidP="008B362F">
      <w:r>
        <w:t xml:space="preserve">This mind-set, sometimes translated into a negative perception of youth activities and </w:t>
      </w:r>
      <w:r w:rsidR="00F6735E">
        <w:t>non-</w:t>
      </w:r>
      <w:r>
        <w:t>formal education within formal education institutions. Implementing partners therefore had to overcome occasional negative attitudes and s</w:t>
      </w:r>
      <w:r w:rsidR="004D3632">
        <w:t>c</w:t>
      </w:r>
      <w:r>
        <w:t>epticism towards their activities.</w:t>
      </w:r>
      <w:r w:rsidR="007B6660">
        <w:t xml:space="preserve"> </w:t>
      </w:r>
      <w:r w:rsidR="002314C6">
        <w:t>But implementing partners also highlight the significant interest and appetite for youth activities and non-formal education in the regions, once beneficiaries became more familiar with the concepts.</w:t>
      </w:r>
    </w:p>
    <w:p w14:paraId="097F59AF" w14:textId="77777777" w:rsidR="005E6AD3" w:rsidRPr="005E6AD3" w:rsidRDefault="005E6AD3" w:rsidP="0085770E">
      <w:pPr>
        <w:pStyle w:val="Heading3"/>
        <w:rPr>
          <w:lang w:val="en-US"/>
        </w:rPr>
      </w:pPr>
      <w:bookmarkStart w:id="43" w:name="_Toc155599382"/>
      <w:r w:rsidRPr="005E6AD3">
        <w:rPr>
          <w:lang w:val="en-US"/>
        </w:rPr>
        <w:t>Selection of implementing partners</w:t>
      </w:r>
      <w:bookmarkEnd w:id="43"/>
    </w:p>
    <w:p w14:paraId="75A04558" w14:textId="77777777" w:rsidR="005E6AD3" w:rsidRPr="005E6AD3" w:rsidRDefault="005E6AD3" w:rsidP="005E6AD3">
      <w:pPr>
        <w:rPr>
          <w:rFonts w:asciiTheme="minorHAnsi" w:hAnsiTheme="minorHAnsi"/>
          <w:lang w:val="en-US"/>
        </w:rPr>
      </w:pPr>
    </w:p>
    <w:p w14:paraId="3CC03856" w14:textId="77777777" w:rsidR="00DE3659" w:rsidRPr="00DE3659" w:rsidRDefault="00DE3659" w:rsidP="006031BF">
      <w:pPr>
        <w:numPr>
          <w:ilvl w:val="0"/>
          <w:numId w:val="12"/>
        </w:numPr>
        <w:rPr>
          <w:lang w:val="en-US"/>
        </w:rPr>
      </w:pPr>
      <w:r w:rsidRPr="00DE3659">
        <w:rPr>
          <w:lang w:val="en-US"/>
        </w:rPr>
        <w:t>To what extent has UNDP Georgia’s partnerships with all respective stakeholders been appropriate and effective?</w:t>
      </w:r>
    </w:p>
    <w:p w14:paraId="5C2CC64C" w14:textId="77777777" w:rsidR="00DE3659" w:rsidRDefault="00DE3659" w:rsidP="005E6AD3">
      <w:pPr>
        <w:rPr>
          <w:lang w:val="en-US"/>
        </w:rPr>
      </w:pPr>
    </w:p>
    <w:p w14:paraId="49AF3B7A" w14:textId="3D8CC34A" w:rsidR="00001A61" w:rsidRPr="00956A72" w:rsidRDefault="005E6AD3" w:rsidP="005E6AD3">
      <w:pPr>
        <w:rPr>
          <w:lang w:val="en-US"/>
        </w:rPr>
      </w:pPr>
      <w:r w:rsidRPr="00956A72">
        <w:rPr>
          <w:lang w:val="en-US"/>
        </w:rPr>
        <w:t>The newly established Skills Agency</w:t>
      </w:r>
      <w:r w:rsidR="009A73E7" w:rsidRPr="00956A72">
        <w:rPr>
          <w:lang w:val="en-US"/>
        </w:rPr>
        <w:t xml:space="preserve">, </w:t>
      </w:r>
      <w:r w:rsidR="009A73E7" w:rsidRPr="00956A72">
        <w:t>jointly established by the Ministry of Education and Science and the Chamber of Commerce and Industry</w:t>
      </w:r>
      <w:r w:rsidR="009A73E7" w:rsidRPr="00956A72">
        <w:rPr>
          <w:lang w:val="en-US"/>
        </w:rPr>
        <w:t xml:space="preserve">, </w:t>
      </w:r>
      <w:r w:rsidRPr="00956A72">
        <w:rPr>
          <w:lang w:val="en-US"/>
        </w:rPr>
        <w:t xml:space="preserve">joined the project as a strategic partner on 4 January 2022 (1 year and 3 months after the start of the project). </w:t>
      </w:r>
      <w:r w:rsidR="00001A61" w:rsidRPr="00956A72">
        <w:rPr>
          <w:lang w:val="en-US"/>
        </w:rPr>
        <w:t xml:space="preserve"> </w:t>
      </w:r>
      <w:r w:rsidR="00A90814" w:rsidRPr="00956A72">
        <w:rPr>
          <w:lang w:val="en-US"/>
        </w:rPr>
        <w:t xml:space="preserve">The Skills Agency and the CBLLL project appears to be a perfect match as their work plans </w:t>
      </w:r>
      <w:r w:rsidR="006C2841" w:rsidRPr="00956A72">
        <w:rPr>
          <w:lang w:val="en-US"/>
        </w:rPr>
        <w:t>largely include</w:t>
      </w:r>
      <w:r w:rsidR="00A90814" w:rsidRPr="00956A72">
        <w:rPr>
          <w:lang w:val="en-US"/>
        </w:rPr>
        <w:t xml:space="preserve"> identical or similar activities.  Further, cooperation with a permanent VET agency close to the MoES also ensured a range of technical competencies, continuity, follow up and sustainability of activities. </w:t>
      </w:r>
    </w:p>
    <w:p w14:paraId="5539050B" w14:textId="77777777" w:rsidR="00001A61" w:rsidRPr="00956A72" w:rsidRDefault="00001A61" w:rsidP="005E6AD3">
      <w:pPr>
        <w:rPr>
          <w:lang w:val="en-US"/>
        </w:rPr>
      </w:pPr>
    </w:p>
    <w:p w14:paraId="209138B5" w14:textId="60FA8F69" w:rsidR="005E6AD3" w:rsidRPr="00956A72" w:rsidRDefault="005E6AD3" w:rsidP="005E6AD3">
      <w:pPr>
        <w:rPr>
          <w:lang w:val="en-US"/>
        </w:rPr>
      </w:pPr>
      <w:r w:rsidRPr="00956A72">
        <w:rPr>
          <w:lang w:val="en-US"/>
        </w:rPr>
        <w:t>Co-applicant Sunny House</w:t>
      </w:r>
      <w:r w:rsidR="00001A61" w:rsidRPr="00956A72">
        <w:rPr>
          <w:lang w:val="en-US"/>
        </w:rPr>
        <w:t xml:space="preserve">, </w:t>
      </w:r>
      <w:r w:rsidR="00001A61" w:rsidRPr="00956A72">
        <w:t>a nonprofit youth</w:t>
      </w:r>
      <w:r w:rsidR="00A90814" w:rsidRPr="00956A72">
        <w:t>-</w:t>
      </w:r>
      <w:r w:rsidR="00001A61" w:rsidRPr="00956A72">
        <w:t>oriented NGO</w:t>
      </w:r>
      <w:r w:rsidR="00001A61" w:rsidRPr="00956A72">
        <w:rPr>
          <w:lang w:val="en-US"/>
        </w:rPr>
        <w:t xml:space="preserve"> promoting </w:t>
      </w:r>
      <w:r w:rsidR="00001A61" w:rsidRPr="00956A72">
        <w:t>healthy lifestyle, high morality and civic awareness</w:t>
      </w:r>
      <w:r w:rsidR="00001A61" w:rsidRPr="00956A72">
        <w:rPr>
          <w:lang w:val="en-US"/>
        </w:rPr>
        <w:t xml:space="preserve"> through non-formal education</w:t>
      </w:r>
      <w:r w:rsidR="00A90814" w:rsidRPr="00956A72">
        <w:rPr>
          <w:lang w:val="en-US"/>
        </w:rPr>
        <w:t xml:space="preserve">, was entrusted with the implementation of </w:t>
      </w:r>
      <w:r w:rsidR="003A08FE" w:rsidRPr="00956A72">
        <w:rPr>
          <w:lang w:val="en-US"/>
        </w:rPr>
        <w:t xml:space="preserve">a broad range of </w:t>
      </w:r>
      <w:r w:rsidR="006D29DF" w:rsidRPr="00956A72">
        <w:rPr>
          <w:lang w:val="en-US"/>
        </w:rPr>
        <w:t xml:space="preserve">CBLLL </w:t>
      </w:r>
      <w:r w:rsidR="003A08FE" w:rsidRPr="00956A72">
        <w:rPr>
          <w:lang w:val="en-US"/>
        </w:rPr>
        <w:t>activities</w:t>
      </w:r>
      <w:r w:rsidR="00001A61" w:rsidRPr="00956A72">
        <w:rPr>
          <w:lang w:val="en-US"/>
        </w:rPr>
        <w:t>.</w:t>
      </w:r>
      <w:r w:rsidR="003A08FE" w:rsidRPr="00956A72">
        <w:rPr>
          <w:lang w:val="en-US"/>
        </w:rPr>
        <w:t xml:space="preserve">  The organization brought a close-to-the-ground perspective on youth, extracurricular activities and non-formal education.</w:t>
      </w:r>
      <w:r w:rsidR="006D29DF" w:rsidRPr="00956A72">
        <w:rPr>
          <w:lang w:val="en-US"/>
        </w:rPr>
        <w:t xml:space="preserve">   Sunny House’s activities were well-received by all interlocutors of the evaluation</w:t>
      </w:r>
      <w:r w:rsidR="001B2573" w:rsidRPr="00956A72">
        <w:rPr>
          <w:lang w:val="en-US"/>
        </w:rPr>
        <w:t xml:space="preserve"> and proved to be a very complementary choice to the other implementing partner, the Skills Agency.</w:t>
      </w:r>
    </w:p>
    <w:p w14:paraId="2449F826" w14:textId="77777777" w:rsidR="00F752EC" w:rsidRDefault="00F752EC" w:rsidP="005E6AD3">
      <w:pPr>
        <w:rPr>
          <w:lang w:val="en-US"/>
        </w:rPr>
      </w:pPr>
    </w:p>
    <w:p w14:paraId="1EA1A9B4" w14:textId="10E10A04" w:rsidR="00001A61" w:rsidRPr="00956A72" w:rsidRDefault="001B2573" w:rsidP="005E6AD3">
      <w:pPr>
        <w:rPr>
          <w:lang w:val="en-US"/>
        </w:rPr>
      </w:pPr>
      <w:r w:rsidRPr="00956A72">
        <w:rPr>
          <w:lang w:val="en-US"/>
        </w:rPr>
        <w:lastRenderedPageBreak/>
        <w:t>In addition, a number of short-term consultants were hired for concrete tasks such as developing modules, guides, frameworks and practical tools.</w:t>
      </w:r>
    </w:p>
    <w:p w14:paraId="51FFC671" w14:textId="77777777" w:rsidR="00001A61" w:rsidRPr="00956A72" w:rsidRDefault="00001A61" w:rsidP="005E6AD3">
      <w:pPr>
        <w:rPr>
          <w:lang w:val="en-US"/>
        </w:rPr>
      </w:pPr>
    </w:p>
    <w:p w14:paraId="5D510ABD" w14:textId="46CACE02" w:rsidR="000D0CA8" w:rsidRPr="00956A72" w:rsidRDefault="001B2573" w:rsidP="005E6AD3">
      <w:pPr>
        <w:rPr>
          <w:lang w:val="en-US"/>
        </w:rPr>
      </w:pPr>
      <w:r w:rsidRPr="00956A72">
        <w:rPr>
          <w:lang w:val="en-US"/>
        </w:rPr>
        <w:t xml:space="preserve">Given the breadth of the project, the number of action areas covered and the profiles of the implementing partners, </w:t>
      </w:r>
      <w:r w:rsidR="003B1531" w:rsidRPr="00956A72">
        <w:rPr>
          <w:lang w:val="en-US"/>
        </w:rPr>
        <w:t xml:space="preserve">only </w:t>
      </w:r>
      <w:r w:rsidRPr="00956A72">
        <w:rPr>
          <w:lang w:val="en-US"/>
        </w:rPr>
        <w:t xml:space="preserve">two main partners might have been </w:t>
      </w:r>
      <w:r w:rsidR="003B1531" w:rsidRPr="00956A72">
        <w:rPr>
          <w:lang w:val="en-US"/>
        </w:rPr>
        <w:t>at</w:t>
      </w:r>
      <w:r w:rsidRPr="00956A72">
        <w:rPr>
          <w:lang w:val="en-US"/>
        </w:rPr>
        <w:t xml:space="preserve"> the low end of an ideal project composition. </w:t>
      </w:r>
      <w:r w:rsidR="003B1531" w:rsidRPr="00956A72">
        <w:rPr>
          <w:lang w:val="en-US"/>
        </w:rPr>
        <w:t xml:space="preserve"> </w:t>
      </w:r>
      <w:r w:rsidR="00B44BD2" w:rsidRPr="00956A72">
        <w:rPr>
          <w:lang w:val="en-US"/>
        </w:rPr>
        <w:t>Stakeholders contacted by the evaluation</w:t>
      </w:r>
      <w:r w:rsidR="003B1531" w:rsidRPr="00956A72">
        <w:rPr>
          <w:lang w:val="en-US"/>
        </w:rPr>
        <w:t xml:space="preserve"> suggested that involving the private business community more in the actual implementation of the project would have been a strategic move.  </w:t>
      </w:r>
      <w:r w:rsidR="005E6AD3" w:rsidRPr="00956A72">
        <w:rPr>
          <w:lang w:val="en-US"/>
        </w:rPr>
        <w:t>The CBLLL project, previous UNDP studies, and the government VET policies/strategies all point to the</w:t>
      </w:r>
      <w:r w:rsidR="00B44BD2" w:rsidRPr="00956A72">
        <w:rPr>
          <w:lang w:val="en-US"/>
        </w:rPr>
        <w:t xml:space="preserve"> crucial</w:t>
      </w:r>
      <w:r w:rsidR="005E6AD3" w:rsidRPr="00956A72">
        <w:rPr>
          <w:lang w:val="en-US"/>
        </w:rPr>
        <w:t xml:space="preserve"> role played by the private sector in guiding and supporting the development of a well-functioning VET system. But interviewees suggested that the private sector seems to not play a sufficiently significant role in the projec</w:t>
      </w:r>
      <w:r w:rsidR="001631CB" w:rsidRPr="00956A72">
        <w:rPr>
          <w:lang w:val="en-US"/>
        </w:rPr>
        <w:t>t.  The project provides support to the formation of business association and sectorial skills organisations in a limited area of activities, but maybe some of</w:t>
      </w:r>
      <w:r w:rsidR="00B44BD2" w:rsidRPr="00956A72">
        <w:rPr>
          <w:lang w:val="en-US"/>
        </w:rPr>
        <w:t xml:space="preserve"> the</w:t>
      </w:r>
      <w:r w:rsidR="001631CB" w:rsidRPr="00956A72">
        <w:rPr>
          <w:lang w:val="en-US"/>
        </w:rPr>
        <w:t xml:space="preserve"> already established and well-functioning private sector organisations could have also been </w:t>
      </w:r>
      <w:r w:rsidR="005E6AD3" w:rsidRPr="00956A72">
        <w:rPr>
          <w:lang w:val="en-US"/>
        </w:rPr>
        <w:t>official project partner</w:t>
      </w:r>
      <w:r w:rsidR="000D0CA8" w:rsidRPr="00956A72">
        <w:rPr>
          <w:lang w:val="en-US"/>
        </w:rPr>
        <w:t>s</w:t>
      </w:r>
      <w:r w:rsidR="00B44BD2" w:rsidRPr="00956A72">
        <w:rPr>
          <w:lang w:val="en-US"/>
        </w:rPr>
        <w:t>.  It was argued such a role would create</w:t>
      </w:r>
      <w:r w:rsidR="005E6AD3" w:rsidRPr="00956A72">
        <w:rPr>
          <w:lang w:val="en-US"/>
        </w:rPr>
        <w:t xml:space="preserve"> ownership of the process </w:t>
      </w:r>
      <w:r w:rsidR="000D0CA8" w:rsidRPr="00956A72">
        <w:rPr>
          <w:lang w:val="en-US"/>
        </w:rPr>
        <w:t xml:space="preserve">and </w:t>
      </w:r>
      <w:r w:rsidR="005E6AD3" w:rsidRPr="00956A72">
        <w:rPr>
          <w:lang w:val="en-US"/>
        </w:rPr>
        <w:t>private sector responsibility</w:t>
      </w:r>
      <w:r w:rsidR="000D0CA8" w:rsidRPr="00956A72">
        <w:rPr>
          <w:lang w:val="en-US"/>
        </w:rPr>
        <w:t xml:space="preserve"> for project success and</w:t>
      </w:r>
      <w:r w:rsidR="00B44BD2" w:rsidRPr="00956A72">
        <w:rPr>
          <w:lang w:val="en-US"/>
        </w:rPr>
        <w:t xml:space="preserve"> long-term</w:t>
      </w:r>
      <w:r w:rsidR="000D0CA8" w:rsidRPr="00956A72">
        <w:rPr>
          <w:lang w:val="en-US"/>
        </w:rPr>
        <w:t xml:space="preserve"> </w:t>
      </w:r>
      <w:r w:rsidR="005E6AD3" w:rsidRPr="00956A72">
        <w:rPr>
          <w:lang w:val="en-US"/>
        </w:rPr>
        <w:t>sustainability</w:t>
      </w:r>
      <w:r w:rsidR="000D0CA8" w:rsidRPr="00956A72">
        <w:rPr>
          <w:lang w:val="en-US"/>
        </w:rPr>
        <w:t>.</w:t>
      </w:r>
      <w:r w:rsidR="005E6AD3" w:rsidRPr="00956A72">
        <w:rPr>
          <w:lang w:val="en-US"/>
        </w:rPr>
        <w:t xml:space="preserve"> </w:t>
      </w:r>
    </w:p>
    <w:p w14:paraId="06A051F5" w14:textId="1C3BC0E6" w:rsidR="001164B3" w:rsidRPr="00E12B49" w:rsidRDefault="00E12B49" w:rsidP="0056558B">
      <w:pPr>
        <w:pStyle w:val="Heading2"/>
      </w:pPr>
      <w:bookmarkStart w:id="44" w:name="_Toc155599383"/>
      <w:r w:rsidRPr="00E12B49">
        <w:t>Efficiency</w:t>
      </w:r>
      <w:bookmarkEnd w:id="44"/>
    </w:p>
    <w:p w14:paraId="02D4E83D" w14:textId="77777777" w:rsidR="00E12B49" w:rsidRDefault="00E12B49" w:rsidP="00C31076">
      <w:pPr>
        <w:rPr>
          <w:lang w:val="en-US"/>
        </w:rPr>
      </w:pPr>
    </w:p>
    <w:p w14:paraId="20620992" w14:textId="77777777" w:rsidR="00E12B49" w:rsidRDefault="00E12B49" w:rsidP="006031BF">
      <w:pPr>
        <w:numPr>
          <w:ilvl w:val="0"/>
          <w:numId w:val="7"/>
        </w:numPr>
        <w:rPr>
          <w:lang w:val="en-US"/>
        </w:rPr>
      </w:pPr>
      <w:r w:rsidRPr="00E12B49">
        <w:rPr>
          <w:lang w:val="en-US"/>
        </w:rPr>
        <w:t>To what extent was the project management structure as outlined in the project document efficient in generating the expected results?</w:t>
      </w:r>
    </w:p>
    <w:p w14:paraId="6F87FECD" w14:textId="77777777" w:rsidR="006C1083" w:rsidRPr="006C1083" w:rsidRDefault="006C1083" w:rsidP="006031BF">
      <w:pPr>
        <w:numPr>
          <w:ilvl w:val="0"/>
          <w:numId w:val="7"/>
        </w:numPr>
        <w:rPr>
          <w:lang w:val="en-US"/>
        </w:rPr>
      </w:pPr>
      <w:r w:rsidRPr="006C1083">
        <w:rPr>
          <w:lang w:val="en-US"/>
        </w:rPr>
        <w:t>To what extent have the CBLLL project implementation strategy and execution been efficient and cost-effective?</w:t>
      </w:r>
    </w:p>
    <w:p w14:paraId="0D492B14" w14:textId="77777777" w:rsidR="00374496" w:rsidRPr="00374496" w:rsidRDefault="00374496" w:rsidP="006031BF">
      <w:pPr>
        <w:numPr>
          <w:ilvl w:val="0"/>
          <w:numId w:val="7"/>
        </w:numPr>
        <w:rPr>
          <w:lang w:val="en-US"/>
        </w:rPr>
      </w:pPr>
      <w:r w:rsidRPr="00374496">
        <w:rPr>
          <w:lang w:val="en-US"/>
        </w:rPr>
        <w:t>To what extent have resources been used efficiently? Have activities supporting the strategy been cost-effective?</w:t>
      </w:r>
    </w:p>
    <w:p w14:paraId="7B59B593" w14:textId="50690CD1" w:rsidR="00165725" w:rsidRDefault="0085770E" w:rsidP="0085770E">
      <w:pPr>
        <w:pStyle w:val="Heading3"/>
        <w:rPr>
          <w:lang w:val="en-US"/>
        </w:rPr>
      </w:pPr>
      <w:bookmarkStart w:id="45" w:name="_Toc155599384"/>
      <w:r>
        <w:rPr>
          <w:lang w:val="en-US"/>
        </w:rPr>
        <w:t>Efficiency of p</w:t>
      </w:r>
      <w:r w:rsidR="00165725">
        <w:rPr>
          <w:lang w:val="en-US"/>
        </w:rPr>
        <w:t>roject management structures and support</w:t>
      </w:r>
      <w:bookmarkEnd w:id="45"/>
    </w:p>
    <w:p w14:paraId="47857CD6" w14:textId="77777777" w:rsidR="00165725" w:rsidRDefault="00165725" w:rsidP="00165725">
      <w:pPr>
        <w:rPr>
          <w:lang w:val="en-US"/>
        </w:rPr>
      </w:pPr>
    </w:p>
    <w:p w14:paraId="5BF91496" w14:textId="6FD227CD" w:rsidR="00165725" w:rsidRDefault="00165725" w:rsidP="00165725">
      <w:pPr>
        <w:rPr>
          <w:lang w:val="en-US"/>
        </w:rPr>
      </w:pPr>
      <w:r>
        <w:rPr>
          <w:lang w:val="en-US"/>
        </w:rPr>
        <w:t>Interlocutors with the evaluation una</w:t>
      </w:r>
      <w:r w:rsidR="001F312C">
        <w:rPr>
          <w:lang w:val="en-US"/>
        </w:rPr>
        <w:t>ni</w:t>
      </w:r>
      <w:r>
        <w:rPr>
          <w:lang w:val="en-US"/>
        </w:rPr>
        <w:t xml:space="preserve">mously expressed their satisfaction with the support from the UNDP project management team.  Once management overcame initial </w:t>
      </w:r>
      <w:r w:rsidR="001F312C">
        <w:rPr>
          <w:lang w:val="en-US"/>
        </w:rPr>
        <w:t xml:space="preserve">personnel </w:t>
      </w:r>
      <w:r>
        <w:rPr>
          <w:lang w:val="en-US"/>
        </w:rPr>
        <w:t>challenges and identified the right composition of individuals for the team, satisfaction among counterparts was very high.</w:t>
      </w:r>
      <w:r>
        <w:rPr>
          <w:rStyle w:val="FootnoteReference"/>
          <w:lang w:val="en-US"/>
        </w:rPr>
        <w:footnoteReference w:id="12"/>
      </w:r>
    </w:p>
    <w:p w14:paraId="76473632" w14:textId="77777777" w:rsidR="00165725" w:rsidRDefault="00165725" w:rsidP="00165725">
      <w:pPr>
        <w:rPr>
          <w:lang w:val="en-US"/>
        </w:rPr>
      </w:pPr>
    </w:p>
    <w:p w14:paraId="60AC933C" w14:textId="063E5FAD" w:rsidR="0010406D" w:rsidRDefault="0010406D" w:rsidP="0010406D">
      <w:pPr>
        <w:rPr>
          <w:lang w:val="en-US"/>
        </w:rPr>
      </w:pPr>
      <w:r>
        <w:rPr>
          <w:lang w:val="en-US"/>
        </w:rPr>
        <w:t>The project management team receive praise from counterparts for an appropriate level of flexibility and adaptability to unforeseen challenges that delayed implementation.  For example, during the first project extension UNDP and the main donor accepted the need for an update of the work plan, which allowed partners to re-adjust schedules and among other activities dedicate more time to development of qualifications.</w:t>
      </w:r>
    </w:p>
    <w:p w14:paraId="3E82969C" w14:textId="7E5E2DF6" w:rsidR="0010406D" w:rsidRDefault="006C1083" w:rsidP="006C1083">
      <w:pPr>
        <w:pStyle w:val="Heading3"/>
        <w:rPr>
          <w:lang w:val="en-US"/>
        </w:rPr>
      </w:pPr>
      <w:bookmarkStart w:id="46" w:name="_Toc155599385"/>
      <w:r>
        <w:rPr>
          <w:lang w:val="en-US"/>
        </w:rPr>
        <w:t>Monitoring and reporting</w:t>
      </w:r>
      <w:bookmarkEnd w:id="46"/>
    </w:p>
    <w:p w14:paraId="47A7BD0C" w14:textId="77777777" w:rsidR="00350658" w:rsidRDefault="00350658" w:rsidP="00350658">
      <w:pPr>
        <w:rPr>
          <w:lang w:val="en-US"/>
        </w:rPr>
      </w:pPr>
    </w:p>
    <w:p w14:paraId="55B51CD6" w14:textId="04433473" w:rsidR="003A1FD3" w:rsidRDefault="00350658" w:rsidP="00350658">
      <w:pPr>
        <w:rPr>
          <w:lang w:val="en-US"/>
        </w:rPr>
      </w:pPr>
      <w:r>
        <w:rPr>
          <w:lang w:val="en-US"/>
        </w:rPr>
        <w:t>UNDP Georgia has a dedicated resource person for M&amp;E of the entire Country Programme.  This person has had limited involvement with the CBLLL project</w:t>
      </w:r>
      <w:r w:rsidR="003A1FD3">
        <w:rPr>
          <w:lang w:val="en-US"/>
        </w:rPr>
        <w:t xml:space="preserve"> so far, but will be involved in final reporting</w:t>
      </w:r>
      <w:r>
        <w:rPr>
          <w:lang w:val="en-US"/>
        </w:rPr>
        <w:t xml:space="preserve">.  Individual </w:t>
      </w:r>
      <w:r w:rsidR="00E97AD5">
        <w:rPr>
          <w:lang w:val="en-US"/>
        </w:rPr>
        <w:t xml:space="preserve">UNDP Georgia </w:t>
      </w:r>
      <w:r>
        <w:rPr>
          <w:lang w:val="en-US"/>
        </w:rPr>
        <w:t>projects normally have their own M&amp;E person</w:t>
      </w:r>
      <w:r w:rsidR="003A1FD3">
        <w:rPr>
          <w:lang w:val="en-US"/>
        </w:rPr>
        <w:t xml:space="preserve">, unless </w:t>
      </w:r>
      <w:r w:rsidR="003A1FD3">
        <w:rPr>
          <w:lang w:val="en-US"/>
        </w:rPr>
        <w:lastRenderedPageBreak/>
        <w:t xml:space="preserve">they are too small to justify such a resource investment.  For the CBLLL project, the project coordinator was responsible for monitoring and reporting through the periodic progress reports and </w:t>
      </w:r>
      <w:r w:rsidR="00E97AD5">
        <w:rPr>
          <w:lang w:val="en-US"/>
        </w:rPr>
        <w:t xml:space="preserve">directly </w:t>
      </w:r>
      <w:r w:rsidR="003A1FD3">
        <w:rPr>
          <w:lang w:val="en-US"/>
        </w:rPr>
        <w:t xml:space="preserve">to the project Board.  It is evident from those reports that </w:t>
      </w:r>
      <w:r w:rsidR="00A43802">
        <w:rPr>
          <w:lang w:val="en-US"/>
        </w:rPr>
        <w:t xml:space="preserve">the project </w:t>
      </w:r>
      <w:r w:rsidR="00E97AD5">
        <w:rPr>
          <w:lang w:val="en-US"/>
        </w:rPr>
        <w:t xml:space="preserve">initially </w:t>
      </w:r>
      <w:r w:rsidR="00A43802">
        <w:rPr>
          <w:lang w:val="en-US"/>
        </w:rPr>
        <w:t xml:space="preserve">suffered from serious delays, but as implementation progressed, the reports logically became more valuable, with detailed reporting against targets. Reports were reviewed and discussed at regular project board meetings where updated work plans were approved. </w:t>
      </w:r>
      <w:r w:rsidR="003A1FD3">
        <w:rPr>
          <w:lang w:val="en-US"/>
        </w:rPr>
        <w:t xml:space="preserve">In addition, EU conducted </w:t>
      </w:r>
      <w:r w:rsidR="00A43802">
        <w:rPr>
          <w:lang w:val="en-US"/>
        </w:rPr>
        <w:t>its</w:t>
      </w:r>
      <w:r w:rsidR="003A1FD3">
        <w:rPr>
          <w:lang w:val="en-US"/>
        </w:rPr>
        <w:t xml:space="preserve"> own monitoring, including through periodic field visits.</w:t>
      </w:r>
      <w:r w:rsidR="00A43802">
        <w:rPr>
          <w:lang w:val="en-US"/>
        </w:rPr>
        <w:t xml:space="preserve">  A final CBLLL project report is due 6 months after project closure.</w:t>
      </w:r>
    </w:p>
    <w:p w14:paraId="0841AC12" w14:textId="7B5C1DED" w:rsidR="006C1083" w:rsidRDefault="006C1083" w:rsidP="006C1083">
      <w:pPr>
        <w:pStyle w:val="Heading3"/>
        <w:rPr>
          <w:lang w:val="en-US"/>
        </w:rPr>
      </w:pPr>
      <w:bookmarkStart w:id="47" w:name="_Toc155599386"/>
      <w:r>
        <w:rPr>
          <w:lang w:val="en-US"/>
        </w:rPr>
        <w:t>Efficient use of project resources</w:t>
      </w:r>
      <w:bookmarkEnd w:id="47"/>
    </w:p>
    <w:p w14:paraId="3EFD4D55" w14:textId="77777777" w:rsidR="0010406D" w:rsidRPr="00E12B49" w:rsidRDefault="0010406D" w:rsidP="0010406D">
      <w:pPr>
        <w:rPr>
          <w:lang w:val="en-US"/>
        </w:rPr>
      </w:pPr>
    </w:p>
    <w:p w14:paraId="2F9BCB76" w14:textId="213FDD85" w:rsidR="00E12B49" w:rsidRDefault="00BD4219" w:rsidP="00C31076">
      <w:pPr>
        <w:rPr>
          <w:lang w:val="en-US"/>
        </w:rPr>
      </w:pPr>
      <w:r>
        <w:rPr>
          <w:lang w:val="en-US"/>
        </w:rPr>
        <w:t>The main efficiency problem reported to the evaluator relates to delays in implementation.  Everyone agrees that the COVID-19 pandemic is the main culprit to the overall delay of implementation but other causes have also contributed.  For example, in one region inadequate infrastructure in the selected secondary schools delayed VET support activities.</w:t>
      </w:r>
      <w:r w:rsidR="00742742">
        <w:rPr>
          <w:lang w:val="en-US"/>
        </w:rPr>
        <w:t xml:space="preserve">  Further, lengthy deliberations between UNDP, the Skills Agency and Sunny House on for example selection of schools and identification of ideal colleges for transformation into skills hubs also caused some delay.</w:t>
      </w:r>
      <w:r w:rsidR="00CC518E">
        <w:rPr>
          <w:lang w:val="en-US"/>
        </w:rPr>
        <w:t xml:space="preserve">  On the other hand, t</w:t>
      </w:r>
      <w:r w:rsidR="00742742">
        <w:rPr>
          <w:lang w:val="en-US"/>
        </w:rPr>
        <w:t xml:space="preserve">he project is making efficient use of </w:t>
      </w:r>
      <w:r w:rsidR="0080474A">
        <w:rPr>
          <w:lang w:val="en-US"/>
        </w:rPr>
        <w:t>resources already generated by other projects, including ETF resources for developing training modules on entrepreneurship.</w:t>
      </w:r>
      <w:r w:rsidR="00E97AD5">
        <w:rPr>
          <w:rStyle w:val="FootnoteReference"/>
          <w:lang w:val="en-US"/>
        </w:rPr>
        <w:footnoteReference w:id="13"/>
      </w:r>
      <w:r w:rsidR="00742742">
        <w:rPr>
          <w:lang w:val="en-US"/>
        </w:rPr>
        <w:t xml:space="preserve"> </w:t>
      </w:r>
    </w:p>
    <w:p w14:paraId="3D75AA75" w14:textId="1C0514B0" w:rsidR="001164B3" w:rsidRPr="00E12B49" w:rsidRDefault="00E12B49" w:rsidP="0056558B">
      <w:pPr>
        <w:pStyle w:val="Heading2"/>
      </w:pPr>
      <w:bookmarkStart w:id="49" w:name="_Toc155599387"/>
      <w:r w:rsidRPr="00E12B49">
        <w:t>Sustainability</w:t>
      </w:r>
      <w:bookmarkEnd w:id="49"/>
    </w:p>
    <w:p w14:paraId="744B27DD" w14:textId="77777777" w:rsidR="00E12B49" w:rsidRDefault="00E12B49" w:rsidP="00C31076">
      <w:pPr>
        <w:rPr>
          <w:lang w:val="en-US"/>
        </w:rPr>
      </w:pPr>
    </w:p>
    <w:p w14:paraId="06BD4215" w14:textId="77777777" w:rsidR="00E12B49" w:rsidRPr="00E12B49" w:rsidRDefault="00E12B49" w:rsidP="006031BF">
      <w:pPr>
        <w:numPr>
          <w:ilvl w:val="0"/>
          <w:numId w:val="8"/>
        </w:numPr>
        <w:rPr>
          <w:lang w:val="en-US"/>
        </w:rPr>
      </w:pPr>
      <w:r w:rsidRPr="00E12B49">
        <w:rPr>
          <w:lang w:val="en-US"/>
        </w:rPr>
        <w:t>Are there any financial risks that may jeopardize the sustainability of project outputs/outcome/impact affecting women, men, and vulnerable groups?</w:t>
      </w:r>
    </w:p>
    <w:p w14:paraId="0CD71EEC" w14:textId="77777777" w:rsidR="00E12B49" w:rsidRPr="00E12B49" w:rsidRDefault="00E12B49" w:rsidP="006031BF">
      <w:pPr>
        <w:numPr>
          <w:ilvl w:val="0"/>
          <w:numId w:val="8"/>
        </w:numPr>
        <w:rPr>
          <w:lang w:val="en-US"/>
        </w:rPr>
      </w:pPr>
      <w:r w:rsidRPr="00E12B49">
        <w:rPr>
          <w:lang w:val="en-US"/>
        </w:rPr>
        <w:t>To what extent will financial and economic resources be available to sustain the benefits achieved by the project?</w:t>
      </w:r>
    </w:p>
    <w:p w14:paraId="33CA055F" w14:textId="77777777" w:rsidR="00E12B49" w:rsidRPr="00E12B49" w:rsidRDefault="00E12B49" w:rsidP="006031BF">
      <w:pPr>
        <w:numPr>
          <w:ilvl w:val="0"/>
          <w:numId w:val="8"/>
        </w:numPr>
        <w:rPr>
          <w:lang w:val="en-US"/>
        </w:rPr>
      </w:pPr>
      <w:r w:rsidRPr="00E12B49">
        <w:rPr>
          <w:lang w:val="en-US"/>
        </w:rPr>
        <w:t xml:space="preserve">Are there </w:t>
      </w:r>
      <w:bookmarkStart w:id="50" w:name="_Hlk154932733"/>
      <w:r w:rsidRPr="00E12B49">
        <w:rPr>
          <w:lang w:val="en-US"/>
        </w:rPr>
        <w:t xml:space="preserve">any social or political risks that may jeopardize the sustainability of project </w:t>
      </w:r>
      <w:bookmarkEnd w:id="50"/>
      <w:r w:rsidRPr="00E12B49">
        <w:rPr>
          <w:lang w:val="en-US"/>
        </w:rPr>
        <w:t>outputs and the project contributions to country program outputs and outcomes?</w:t>
      </w:r>
    </w:p>
    <w:p w14:paraId="3478DD15" w14:textId="1110FBFD" w:rsidR="004C5EF2" w:rsidRDefault="004C5EF2" w:rsidP="004C5EF2">
      <w:pPr>
        <w:pStyle w:val="Heading3"/>
        <w:rPr>
          <w:lang w:val="en-US"/>
        </w:rPr>
      </w:pPr>
      <w:bookmarkStart w:id="51" w:name="_Toc155599388"/>
      <w:bookmarkStart w:id="52" w:name="_Hlk154915629"/>
      <w:r>
        <w:rPr>
          <w:lang w:val="en-US"/>
        </w:rPr>
        <w:t>Stability of implementing partners support sustainability, but need for new financial resources</w:t>
      </w:r>
      <w:bookmarkEnd w:id="51"/>
      <w:r>
        <w:rPr>
          <w:lang w:val="en-US"/>
        </w:rPr>
        <w:t xml:space="preserve"> </w:t>
      </w:r>
    </w:p>
    <w:p w14:paraId="022BA4F3" w14:textId="1BC63357" w:rsidR="00313E1F" w:rsidRDefault="00313E1F" w:rsidP="007075EC">
      <w:pPr>
        <w:rPr>
          <w:lang w:val="en-US"/>
        </w:rPr>
      </w:pPr>
      <w:bookmarkStart w:id="53" w:name="_Hlk155351390"/>
      <w:r>
        <w:rPr>
          <w:lang w:val="en-US"/>
        </w:rPr>
        <w:t xml:space="preserve">The data collected during the evaluation point to a few </w:t>
      </w:r>
      <w:r w:rsidR="00F22075">
        <w:rPr>
          <w:lang w:val="en-US"/>
        </w:rPr>
        <w:t xml:space="preserve">important </w:t>
      </w:r>
      <w:r>
        <w:rPr>
          <w:lang w:val="en-US"/>
        </w:rPr>
        <w:t>factors supportive of the overall sustainability of the CBLLL project. These include the broad consensus around the relevance of the project and the urgent need to reform the VET sector in Georgia in general.  Other factors include the extensive capacity building component of the project which should ensure a permanent transfer of skills and knowledge</w:t>
      </w:r>
      <w:r w:rsidR="00F20C1D">
        <w:rPr>
          <w:lang w:val="en-US"/>
        </w:rPr>
        <w:t xml:space="preserve"> to teachers, managers and administrators</w:t>
      </w:r>
      <w:r>
        <w:rPr>
          <w:lang w:val="en-US"/>
        </w:rPr>
        <w:t xml:space="preserve">.  Similarly, </w:t>
      </w:r>
      <w:r w:rsidR="00F20C1D">
        <w:rPr>
          <w:lang w:val="en-US"/>
        </w:rPr>
        <w:t xml:space="preserve">the multiple </w:t>
      </w:r>
      <w:r>
        <w:rPr>
          <w:lang w:val="en-US"/>
        </w:rPr>
        <w:t>modules, guidance documents and inputs to regulations</w:t>
      </w:r>
      <w:r w:rsidR="00F20C1D">
        <w:rPr>
          <w:lang w:val="en-US"/>
        </w:rPr>
        <w:t xml:space="preserve"> produced by the project will remain relevant and highly useful long after the finalization of the project.</w:t>
      </w:r>
      <w:r w:rsidR="006A71BD">
        <w:rPr>
          <w:rStyle w:val="FootnoteReference"/>
          <w:lang w:val="en-US"/>
        </w:rPr>
        <w:footnoteReference w:id="14"/>
      </w:r>
      <w:r w:rsidR="00A765ED">
        <w:rPr>
          <w:lang w:val="en-US"/>
        </w:rPr>
        <w:t xml:space="preserve">  Also, the recently created Skills Agency expressed a strong commitment to the continuation of </w:t>
      </w:r>
      <w:r w:rsidR="003A6703">
        <w:rPr>
          <w:lang w:val="en-US"/>
        </w:rPr>
        <w:t xml:space="preserve">the CBLLL </w:t>
      </w:r>
      <w:r w:rsidR="00A765ED">
        <w:rPr>
          <w:lang w:val="en-US"/>
        </w:rPr>
        <w:t>project activities.</w:t>
      </w:r>
    </w:p>
    <w:p w14:paraId="0F875AD1" w14:textId="77777777" w:rsidR="00707B1E" w:rsidRDefault="00707B1E" w:rsidP="007075EC">
      <w:pPr>
        <w:rPr>
          <w:lang w:val="en-US"/>
        </w:rPr>
      </w:pPr>
    </w:p>
    <w:p w14:paraId="494D480B" w14:textId="019F0BDD" w:rsidR="00707B1E" w:rsidRDefault="00707B1E" w:rsidP="007075EC">
      <w:pPr>
        <w:rPr>
          <w:lang w:val="en-US"/>
        </w:rPr>
      </w:pPr>
      <w:r>
        <w:rPr>
          <w:lang w:val="en-US"/>
        </w:rPr>
        <w:lastRenderedPageBreak/>
        <w:t xml:space="preserve">The important learning taking place through the capacity building activities could be captured and documented by systematically introducing </w:t>
      </w:r>
      <w:r w:rsidR="003A6703" w:rsidRPr="003A6703">
        <w:rPr>
          <w:lang w:val="en-US"/>
        </w:rPr>
        <w:t>anonymous</w:t>
      </w:r>
      <w:r>
        <w:rPr>
          <w:lang w:val="en-US"/>
        </w:rPr>
        <w:t xml:space="preserve"> pre- and post-</w:t>
      </w:r>
      <w:r w:rsidR="003A6703">
        <w:rPr>
          <w:lang w:val="en-US"/>
        </w:rPr>
        <w:t>tests</w:t>
      </w:r>
      <w:r>
        <w:rPr>
          <w:lang w:val="en-US"/>
        </w:rPr>
        <w:t xml:space="preserve"> before and after each training session.  This would </w:t>
      </w:r>
      <w:r w:rsidR="00DE770F">
        <w:rPr>
          <w:lang w:val="en-US"/>
        </w:rPr>
        <w:t xml:space="preserve">provide evidence and </w:t>
      </w:r>
      <w:r>
        <w:rPr>
          <w:lang w:val="en-US"/>
        </w:rPr>
        <w:t>support the argument that capacity building is a sustainable contribution to the VET sector.</w:t>
      </w:r>
    </w:p>
    <w:bookmarkEnd w:id="53"/>
    <w:p w14:paraId="097F6E5A" w14:textId="77777777" w:rsidR="00C2402F" w:rsidRDefault="00C2402F" w:rsidP="007075EC">
      <w:pPr>
        <w:rPr>
          <w:lang w:val="en-US"/>
        </w:rPr>
      </w:pPr>
    </w:p>
    <w:p w14:paraId="72FCEC04" w14:textId="0A5F0A53" w:rsidR="00C2402F" w:rsidRDefault="00C2402F" w:rsidP="007075EC">
      <w:pPr>
        <w:rPr>
          <w:lang w:val="en-US"/>
        </w:rPr>
      </w:pPr>
      <w:r>
        <w:rPr>
          <w:lang w:val="en-US"/>
        </w:rPr>
        <w:t xml:space="preserve">Other factors, some identified by the project’s own risk assessment, </w:t>
      </w:r>
      <w:r w:rsidR="00B7402A">
        <w:rPr>
          <w:lang w:val="en-US"/>
        </w:rPr>
        <w:t xml:space="preserve">could be </w:t>
      </w:r>
      <w:r>
        <w:rPr>
          <w:lang w:val="en-US"/>
        </w:rPr>
        <w:t>cause for concern in relation to overall sustainability.</w:t>
      </w:r>
      <w:r w:rsidR="0044704A">
        <w:rPr>
          <w:lang w:val="en-US"/>
        </w:rPr>
        <w:t xml:space="preserve">  Most importantly -and as underlined in the CBLLL project’s sustainability matrix- the financial sustainability of some outcomes/outputs is rather uncertain.  As the project is mostly developing models</w:t>
      </w:r>
      <w:r w:rsidR="00552C38">
        <w:rPr>
          <w:lang w:val="en-US"/>
        </w:rPr>
        <w:t>,</w:t>
      </w:r>
      <w:r w:rsidR="00F22075">
        <w:rPr>
          <w:lang w:val="en-US"/>
        </w:rPr>
        <w:t xml:space="preserve"> </w:t>
      </w:r>
      <w:r w:rsidR="0044704A">
        <w:rPr>
          <w:lang w:val="en-US"/>
        </w:rPr>
        <w:t>and</w:t>
      </w:r>
      <w:r w:rsidR="00F22075">
        <w:rPr>
          <w:lang w:val="en-US"/>
        </w:rPr>
        <w:t xml:space="preserve"> </w:t>
      </w:r>
      <w:r w:rsidR="0044704A">
        <w:rPr>
          <w:lang w:val="en-US"/>
        </w:rPr>
        <w:t xml:space="preserve">implementing pilot activities, which ideally should be replicated and scaled up, there is a need for continued funding </w:t>
      </w:r>
      <w:r w:rsidR="005C753C">
        <w:rPr>
          <w:lang w:val="en-US"/>
        </w:rPr>
        <w:t>to</w:t>
      </w:r>
      <w:r w:rsidR="0044704A">
        <w:rPr>
          <w:lang w:val="en-US"/>
        </w:rPr>
        <w:t xml:space="preserve"> achieve more comprehensive results.</w:t>
      </w:r>
    </w:p>
    <w:p w14:paraId="05672F0E" w14:textId="77777777" w:rsidR="002F15DE" w:rsidRDefault="002F15DE" w:rsidP="007075EC">
      <w:pPr>
        <w:rPr>
          <w:lang w:val="en-US"/>
        </w:rPr>
      </w:pPr>
    </w:p>
    <w:p w14:paraId="6C46B071" w14:textId="5C72DB80" w:rsidR="002F15DE" w:rsidRDefault="002F15DE" w:rsidP="007075EC">
      <w:pPr>
        <w:rPr>
          <w:lang w:val="en-US"/>
        </w:rPr>
      </w:pPr>
      <w:r>
        <w:rPr>
          <w:lang w:val="en-US"/>
        </w:rPr>
        <w:t xml:space="preserve">Interviewees pointed out that such funding can only come from three sources: state budget, external donor funding and private sector collaboration with VET providers.  </w:t>
      </w:r>
      <w:r w:rsidR="00B81DC5">
        <w:rPr>
          <w:lang w:val="en-US"/>
        </w:rPr>
        <w:t xml:space="preserve">New and enhanced partnerships with the private sector is a fundamental component of the entire VET reform, but some informants doubted the commitment and capacity of the </w:t>
      </w:r>
      <w:r w:rsidR="00135E4E">
        <w:rPr>
          <w:lang w:val="en-US"/>
        </w:rPr>
        <w:t xml:space="preserve">entire </w:t>
      </w:r>
      <w:r w:rsidR="00B81DC5">
        <w:rPr>
          <w:lang w:val="en-US"/>
        </w:rPr>
        <w:t xml:space="preserve">business community to provide the necessary funding.  They argued that there is potential for </w:t>
      </w:r>
      <w:r w:rsidR="00135E4E">
        <w:rPr>
          <w:lang w:val="en-US"/>
        </w:rPr>
        <w:t xml:space="preserve">involving some limited private sectors but that the replication of the successful VET model used in for example Switzerland and Germany might not be </w:t>
      </w:r>
      <w:r w:rsidR="00552C38">
        <w:rPr>
          <w:lang w:val="en-US"/>
        </w:rPr>
        <w:t xml:space="preserve">a </w:t>
      </w:r>
      <w:r w:rsidR="00135E4E">
        <w:rPr>
          <w:lang w:val="en-US"/>
        </w:rPr>
        <w:t xml:space="preserve">realistic </w:t>
      </w:r>
      <w:r w:rsidR="00552C38">
        <w:rPr>
          <w:lang w:val="en-US"/>
        </w:rPr>
        <w:t>expectation</w:t>
      </w:r>
      <w:r w:rsidR="00135E4E">
        <w:rPr>
          <w:lang w:val="en-US"/>
        </w:rPr>
        <w:t>.</w:t>
      </w:r>
      <w:r w:rsidR="00B7402A">
        <w:rPr>
          <w:rStyle w:val="FootnoteReference"/>
          <w:lang w:val="en-US"/>
        </w:rPr>
        <w:footnoteReference w:id="15"/>
      </w:r>
    </w:p>
    <w:p w14:paraId="5870ABFA" w14:textId="77777777" w:rsidR="00F22075" w:rsidRDefault="00F22075" w:rsidP="007075EC">
      <w:pPr>
        <w:rPr>
          <w:lang w:val="en-US"/>
        </w:rPr>
      </w:pPr>
    </w:p>
    <w:p w14:paraId="294A2953" w14:textId="32C1A93E" w:rsidR="00F22075" w:rsidRDefault="00F22075" w:rsidP="007075EC">
      <w:pPr>
        <w:rPr>
          <w:lang w:val="en-US"/>
        </w:rPr>
      </w:pPr>
      <w:bookmarkStart w:id="54" w:name="_Hlk155346595"/>
      <w:r>
        <w:rPr>
          <w:lang w:val="en-US"/>
        </w:rPr>
        <w:t xml:space="preserve">Another fundamental area of project outputs is the </w:t>
      </w:r>
      <w:r w:rsidRPr="00F22075">
        <w:rPr>
          <w:lang w:val="en-US"/>
        </w:rPr>
        <w:t>establishment of networks, platforms, youth clubs and other coordination and cooperation forums.</w:t>
      </w:r>
      <w:r>
        <w:rPr>
          <w:lang w:val="en-US"/>
        </w:rPr>
        <w:t xml:space="preserve">  Interviewees warned that such forums risk losing their momentum once technical and financial support cease</w:t>
      </w:r>
      <w:r w:rsidR="000B7998">
        <w:rPr>
          <w:lang w:val="en-US"/>
        </w:rPr>
        <w:t xml:space="preserve">, particularly in regions and rural areas where </w:t>
      </w:r>
      <w:r w:rsidR="003A6703">
        <w:rPr>
          <w:lang w:val="en-US"/>
        </w:rPr>
        <w:t>public</w:t>
      </w:r>
      <w:r w:rsidR="000B7998">
        <w:rPr>
          <w:lang w:val="en-US"/>
        </w:rPr>
        <w:t xml:space="preserve"> transport as well as internet connectivity is limited</w:t>
      </w:r>
      <w:r>
        <w:rPr>
          <w:lang w:val="en-US"/>
        </w:rPr>
        <w:t xml:space="preserve">.  </w:t>
      </w:r>
      <w:r w:rsidR="00330F09">
        <w:rPr>
          <w:lang w:val="en-US"/>
        </w:rPr>
        <w:t>It remains to be seen if these</w:t>
      </w:r>
      <w:r w:rsidR="00B66599">
        <w:rPr>
          <w:lang w:val="en-US"/>
        </w:rPr>
        <w:t xml:space="preserve"> networks and cooperation forums will be self-sustained once the project ends.  In that regard, this evaluation comes too early.  It would be extremely useful to re-examine how operational these networks are a year from now.</w:t>
      </w:r>
    </w:p>
    <w:bookmarkEnd w:id="54"/>
    <w:p w14:paraId="1FC05A1E" w14:textId="77777777" w:rsidR="000069AF" w:rsidRDefault="000069AF" w:rsidP="007075EC">
      <w:pPr>
        <w:rPr>
          <w:lang w:val="en-US"/>
        </w:rPr>
      </w:pPr>
    </w:p>
    <w:p w14:paraId="15E87569" w14:textId="34CB7418" w:rsidR="000069AF" w:rsidRDefault="00902CB6" w:rsidP="007075EC">
      <w:pPr>
        <w:rPr>
          <w:lang w:val="en-US"/>
        </w:rPr>
      </w:pPr>
      <w:r>
        <w:rPr>
          <w:lang w:val="en-US"/>
        </w:rPr>
        <w:t>T</w:t>
      </w:r>
      <w:r w:rsidR="000069AF">
        <w:rPr>
          <w:lang w:val="en-US"/>
        </w:rPr>
        <w:t xml:space="preserve">he evaluation has not revealed </w:t>
      </w:r>
      <w:r w:rsidR="000069AF" w:rsidRPr="000069AF">
        <w:rPr>
          <w:lang w:val="en-US"/>
        </w:rPr>
        <w:t xml:space="preserve">any social or political risks that may jeopardize the sustainability of </w:t>
      </w:r>
      <w:r w:rsidR="00034E28">
        <w:rPr>
          <w:lang w:val="en-US"/>
        </w:rPr>
        <w:t xml:space="preserve">the </w:t>
      </w:r>
      <w:r w:rsidR="000069AF" w:rsidRPr="000069AF">
        <w:rPr>
          <w:lang w:val="en-US"/>
        </w:rPr>
        <w:t>project</w:t>
      </w:r>
      <w:r w:rsidR="000069AF">
        <w:rPr>
          <w:lang w:val="en-US"/>
        </w:rPr>
        <w:t xml:space="preserve">. The current political leadership and the institutions in charge of VET reform </w:t>
      </w:r>
      <w:r w:rsidR="00034E28">
        <w:rPr>
          <w:lang w:val="en-US"/>
        </w:rPr>
        <w:t>have expressed their strong support for the results pursued by the project.</w:t>
      </w:r>
    </w:p>
    <w:p w14:paraId="38F6808C" w14:textId="1E304938" w:rsidR="00C31076" w:rsidRDefault="00C31076" w:rsidP="0056558B">
      <w:pPr>
        <w:pStyle w:val="Heading2"/>
      </w:pPr>
      <w:bookmarkStart w:id="55" w:name="_Toc155599389"/>
      <w:bookmarkEnd w:id="52"/>
      <w:r>
        <w:t>Cross-cutting issues</w:t>
      </w:r>
      <w:bookmarkEnd w:id="55"/>
    </w:p>
    <w:p w14:paraId="3F21C908" w14:textId="77777777" w:rsidR="007C7231" w:rsidRPr="007C7231" w:rsidRDefault="007C7231" w:rsidP="006031BF">
      <w:pPr>
        <w:keepNext/>
        <w:keepLines/>
        <w:numPr>
          <w:ilvl w:val="2"/>
          <w:numId w:val="2"/>
        </w:numPr>
        <w:tabs>
          <w:tab w:val="num" w:pos="360"/>
        </w:tabs>
        <w:spacing w:before="200"/>
        <w:ind w:left="0" w:firstLine="0"/>
        <w:outlineLvl w:val="2"/>
        <w:rPr>
          <w:rFonts w:asciiTheme="majorHAnsi" w:eastAsiaTheme="majorEastAsia" w:hAnsiTheme="majorHAnsi" w:cstheme="majorBidi"/>
          <w:b/>
          <w:bCs/>
          <w:color w:val="5B9BD5" w:themeColor="accent1"/>
          <w:lang w:val="en-US"/>
        </w:rPr>
      </w:pPr>
      <w:bookmarkStart w:id="56" w:name="_Toc155599390"/>
      <w:r w:rsidRPr="007C7231">
        <w:rPr>
          <w:rFonts w:asciiTheme="majorHAnsi" w:eastAsiaTheme="majorEastAsia" w:hAnsiTheme="majorHAnsi" w:cstheme="majorBidi"/>
          <w:b/>
          <w:bCs/>
          <w:color w:val="5B9BD5" w:themeColor="accent1"/>
          <w:lang w:val="en-US"/>
        </w:rPr>
        <w:t>Gender equality promoted by the project</w:t>
      </w:r>
      <w:bookmarkEnd w:id="56"/>
    </w:p>
    <w:p w14:paraId="0E29FBDF" w14:textId="77777777" w:rsidR="007C7231" w:rsidRPr="007C7231" w:rsidRDefault="007C7231" w:rsidP="007C7231">
      <w:pPr>
        <w:rPr>
          <w:lang w:val="en-US"/>
        </w:rPr>
      </w:pPr>
      <w:r w:rsidRPr="007C7231">
        <w:rPr>
          <w:lang w:val="en-US"/>
        </w:rPr>
        <w:t xml:space="preserve"> </w:t>
      </w:r>
    </w:p>
    <w:p w14:paraId="7BB043D2" w14:textId="77777777" w:rsidR="007C7231" w:rsidRPr="007C7231" w:rsidRDefault="007C7231" w:rsidP="006031BF">
      <w:pPr>
        <w:numPr>
          <w:ilvl w:val="0"/>
          <w:numId w:val="9"/>
        </w:numPr>
      </w:pPr>
      <w:r w:rsidRPr="007C7231">
        <w:t>To what extent have gender equality and the empowerment of women been addressed in the design, implementation, and monitoring of the project?</w:t>
      </w:r>
    </w:p>
    <w:p w14:paraId="3426B6C4" w14:textId="77777777" w:rsidR="007C7231" w:rsidRPr="007C7231" w:rsidRDefault="007C7231" w:rsidP="007C7231">
      <w:pPr>
        <w:ind w:left="577"/>
      </w:pPr>
    </w:p>
    <w:p w14:paraId="4C3E5133" w14:textId="735FA452" w:rsidR="007C7231" w:rsidRPr="007C7231" w:rsidRDefault="007C7231" w:rsidP="007C7231">
      <w:r w:rsidRPr="007C7231">
        <w:t xml:space="preserve">In its reporting, the project team puts forward the argument that high-quality education </w:t>
      </w:r>
      <w:r w:rsidR="005C753C" w:rsidRPr="007C7231">
        <w:t>is</w:t>
      </w:r>
      <w:r w:rsidRPr="007C7231">
        <w:t xml:space="preserve"> a requirement for women’s economic empowerment and that providing inclusive learning environments would eliminate discriminatory attitudes.  It is further highlighted that gender mainstreaming and inclusive development are cross-cutting issues for both partners of the CBLLL project.  Undoubtedly that is a helpful starting point, but does not necessarily turn the CBLLL project into a project with a gender-equality focus.</w:t>
      </w:r>
      <w:r w:rsidRPr="007C7231">
        <w:rPr>
          <w:lang w:val="en-US"/>
        </w:rPr>
        <w:t xml:space="preserve">  </w:t>
      </w:r>
      <w:r w:rsidRPr="007C7231">
        <w:t xml:space="preserve">Rather, the data indicate that gender equality </w:t>
      </w:r>
      <w:r w:rsidRPr="007C7231">
        <w:lastRenderedPageBreak/>
        <w:t>was not explicitly and systematically addressed in the CBLLL project.  However, its support to awareness-creating efforts around gender-based job-stereotypes in the VET community is an important step towards gender equality.  Also, the gender-segregated statistic from the different project activities indicate a clear female majority participation in many CBLLL project activities.</w:t>
      </w:r>
    </w:p>
    <w:p w14:paraId="0DBDDCC2" w14:textId="77777777" w:rsidR="007C7231" w:rsidRPr="007C7231" w:rsidRDefault="007C7231" w:rsidP="007C7231"/>
    <w:p w14:paraId="47CAC00A" w14:textId="77777777" w:rsidR="007C7231" w:rsidRPr="007C7231" w:rsidRDefault="007C7231" w:rsidP="007C7231">
      <w:r w:rsidRPr="007C7231">
        <w:t>Since the project was designed, the Skills Agency has developed a Gender Action Plan for 2022-2026 which could provide entry points for future UNDP gender equality support.</w:t>
      </w:r>
    </w:p>
    <w:p w14:paraId="3BFB862B" w14:textId="40C37AA1" w:rsidR="00E12B49" w:rsidRDefault="0085770E" w:rsidP="0085770E">
      <w:pPr>
        <w:pStyle w:val="Heading3"/>
        <w:rPr>
          <w:lang w:val="en-US"/>
        </w:rPr>
      </w:pPr>
      <w:bookmarkStart w:id="57" w:name="_Toc155599391"/>
      <w:r>
        <w:rPr>
          <w:lang w:val="en-US"/>
        </w:rPr>
        <w:t>Human rights of vulnerable groups upheld by the CBLLL project</w:t>
      </w:r>
      <w:bookmarkEnd w:id="57"/>
    </w:p>
    <w:p w14:paraId="2279637D" w14:textId="77777777" w:rsidR="0085770E" w:rsidRDefault="0085770E" w:rsidP="00E12B49">
      <w:pPr>
        <w:rPr>
          <w:lang w:val="en-US"/>
        </w:rPr>
      </w:pPr>
    </w:p>
    <w:p w14:paraId="3B56EBD3" w14:textId="77777777" w:rsidR="00E12B49" w:rsidRDefault="00E12B49" w:rsidP="006031BF">
      <w:pPr>
        <w:numPr>
          <w:ilvl w:val="0"/>
          <w:numId w:val="9"/>
        </w:numPr>
        <w:rPr>
          <w:lang w:val="en-US"/>
        </w:rPr>
      </w:pPr>
      <w:r w:rsidRPr="00E12B49">
        <w:rPr>
          <w:lang w:val="en-US"/>
        </w:rPr>
        <w:t>To what extent have poor, indigenous, and physically challenged, women, men, and other disadvantaged and marginalized groups, including NEETs benefited from the work of CBLLL/UNDP in the country?</w:t>
      </w:r>
    </w:p>
    <w:p w14:paraId="531A1C04" w14:textId="77777777" w:rsidR="0085770E" w:rsidRDefault="0085770E" w:rsidP="0085770E">
      <w:pPr>
        <w:rPr>
          <w:lang w:val="en-US"/>
        </w:rPr>
      </w:pPr>
    </w:p>
    <w:p w14:paraId="027D51DF" w14:textId="51E08798" w:rsidR="006C2841" w:rsidRDefault="00C33ED3" w:rsidP="0085770E">
      <w:r>
        <w:rPr>
          <w:lang w:val="en-US"/>
        </w:rPr>
        <w:t>Persons who are not employed and not in education (NEETs) and youth in general</w:t>
      </w:r>
      <w:r w:rsidR="007C7231">
        <w:rPr>
          <w:lang w:val="en-US"/>
        </w:rPr>
        <w:t xml:space="preserve"> are the main target groups and beneficiaries of the CBLLL project.  </w:t>
      </w:r>
      <w:r w:rsidR="00461432">
        <w:t>The conceptual category “v</w:t>
      </w:r>
      <w:r w:rsidR="0085770E" w:rsidRPr="0085770E">
        <w:t>ulnerable groups</w:t>
      </w:r>
      <w:r w:rsidR="00461432">
        <w:t xml:space="preserve">” is frequently referred to in the CBLLL project document as one </w:t>
      </w:r>
      <w:r w:rsidR="00D86F99">
        <w:t xml:space="preserve">priority </w:t>
      </w:r>
      <w:r w:rsidR="00461432">
        <w:t xml:space="preserve">target group, along with NEETs and youth, but is never explicitly defined (sometimes NEETs are included in this group).  Representatives of the implementing partners explained that </w:t>
      </w:r>
      <w:r w:rsidR="00D86F99">
        <w:t xml:space="preserve">“vulnerable groups” encompass </w:t>
      </w:r>
      <w:r w:rsidR="00824BAD">
        <w:t xml:space="preserve">socially and economically excluded groups in Georgia, including persons with disabilities, persons living in severe poverty, internally displaced persons and often ethnic minorities </w:t>
      </w:r>
      <w:r w:rsidR="00A56A24">
        <w:t xml:space="preserve">with weak knowledge of the Georgian language </w:t>
      </w:r>
      <w:r w:rsidR="00824BAD">
        <w:t>(</w:t>
      </w:r>
      <w:r w:rsidR="006C2841">
        <w:t xml:space="preserve">mostly </w:t>
      </w:r>
      <w:r w:rsidR="00824BAD">
        <w:t xml:space="preserve">Armenians and </w:t>
      </w:r>
      <w:r w:rsidR="00D86F99">
        <w:t>Azerbaijanis</w:t>
      </w:r>
      <w:r w:rsidR="00824BAD">
        <w:t>)</w:t>
      </w:r>
      <w:r w:rsidR="00A56A24">
        <w:t>.</w:t>
      </w:r>
      <w:r w:rsidR="006C2841">
        <w:t xml:space="preserve">  The mentioned ethnic minorities benefitted from the project through support to Georgian language learning, which strengthened their access to vocational education</w:t>
      </w:r>
      <w:r w:rsidR="00B72C91">
        <w:t>.</w:t>
      </w:r>
    </w:p>
    <w:p w14:paraId="6C96CF07" w14:textId="77777777" w:rsidR="00B72C91" w:rsidRDefault="00B72C91" w:rsidP="0085770E"/>
    <w:p w14:paraId="0B08C506" w14:textId="62913142" w:rsidR="00B72C91" w:rsidRPr="0085770E" w:rsidRDefault="00B72C91" w:rsidP="0085770E">
      <w:r>
        <w:t xml:space="preserve">The beneficiary category “vulnerable groups” is </w:t>
      </w:r>
      <w:r w:rsidR="00C33ED3">
        <w:t>mentioned</w:t>
      </w:r>
      <w:r>
        <w:t xml:space="preserve"> in most project activities, but there are two specific action areas that </w:t>
      </w:r>
      <w:r w:rsidR="00C33ED3">
        <w:t xml:space="preserve">really focus on concrete activities for vulnerable groups, namely Action IV. </w:t>
      </w:r>
      <w:r w:rsidR="00C33ED3" w:rsidRPr="007C7231">
        <w:rPr>
          <w:i/>
          <w:iCs/>
        </w:rPr>
        <w:t>Creation of distance work or home-based work opportunities for vulnerable and special target groups (PwDs, youth ethnical minorities)</w:t>
      </w:r>
      <w:r w:rsidR="00C33ED3">
        <w:t xml:space="preserve"> and Action XII. </w:t>
      </w:r>
      <w:r w:rsidR="00C33ED3" w:rsidRPr="007C7231">
        <w:rPr>
          <w:i/>
          <w:iCs/>
        </w:rPr>
        <w:t>Development and introduction of special Career Education and Orientation Programme</w:t>
      </w:r>
      <w:r w:rsidR="00C33ED3">
        <w:t>. More on this below in reference to Persons with Disabilities.</w:t>
      </w:r>
    </w:p>
    <w:p w14:paraId="541B54E0" w14:textId="7D9BDF3A" w:rsidR="00E12B49" w:rsidRDefault="0085770E" w:rsidP="0085770E">
      <w:pPr>
        <w:pStyle w:val="Heading3"/>
        <w:rPr>
          <w:lang w:val="en-US"/>
        </w:rPr>
      </w:pPr>
      <w:bookmarkStart w:id="58" w:name="_Toc155599392"/>
      <w:r>
        <w:rPr>
          <w:lang w:val="en-US"/>
        </w:rPr>
        <w:t>The involvement of persons with disabilit</w:t>
      </w:r>
      <w:r w:rsidR="000C1C68">
        <w:rPr>
          <w:lang w:val="en-US"/>
        </w:rPr>
        <w:t>ies</w:t>
      </w:r>
      <w:bookmarkEnd w:id="58"/>
    </w:p>
    <w:p w14:paraId="667F80E6" w14:textId="77777777" w:rsidR="0085770E" w:rsidRPr="00E12B49" w:rsidRDefault="0085770E" w:rsidP="00E12B49">
      <w:pPr>
        <w:rPr>
          <w:lang w:val="en-US"/>
        </w:rPr>
      </w:pPr>
    </w:p>
    <w:p w14:paraId="3793FE47" w14:textId="77777777" w:rsidR="00E12B49" w:rsidRPr="00E12B49" w:rsidRDefault="00E12B49" w:rsidP="006031BF">
      <w:pPr>
        <w:numPr>
          <w:ilvl w:val="0"/>
          <w:numId w:val="10"/>
        </w:numPr>
      </w:pPr>
      <w:r w:rsidRPr="00E12B49">
        <w:t>Were persons with disabilities consulted and meaningfully involved in program planning and implementation?</w:t>
      </w:r>
    </w:p>
    <w:p w14:paraId="438EA8A8" w14:textId="77777777" w:rsidR="00E12B49" w:rsidRPr="00E12B49" w:rsidRDefault="00E12B49" w:rsidP="006031BF">
      <w:pPr>
        <w:numPr>
          <w:ilvl w:val="0"/>
          <w:numId w:val="10"/>
        </w:numPr>
      </w:pPr>
      <w:r w:rsidRPr="00E12B49">
        <w:t>To what extent the project interventions addressed issues of disability?</w:t>
      </w:r>
    </w:p>
    <w:p w14:paraId="17E9E4C8" w14:textId="77777777" w:rsidR="00E12B49" w:rsidRDefault="00E12B49" w:rsidP="00C31076">
      <w:pPr>
        <w:rPr>
          <w:lang w:val="en-US"/>
        </w:rPr>
      </w:pPr>
    </w:p>
    <w:p w14:paraId="17B4CADA" w14:textId="676C1AAE" w:rsidR="005B5E35" w:rsidRDefault="00D83CC5" w:rsidP="00C31076">
      <w:pPr>
        <w:rPr>
          <w:lang w:val="en-US"/>
        </w:rPr>
      </w:pPr>
      <w:bookmarkStart w:id="59" w:name="_Hlk155348930"/>
      <w:r>
        <w:rPr>
          <w:lang w:val="en-US"/>
        </w:rPr>
        <w:t xml:space="preserve">The evaluation has not received any evidence indicating that </w:t>
      </w:r>
      <w:r w:rsidR="009777EB">
        <w:rPr>
          <w:lang w:val="en-US"/>
        </w:rPr>
        <w:t>p</w:t>
      </w:r>
      <w:r>
        <w:rPr>
          <w:lang w:val="en-US"/>
        </w:rPr>
        <w:t xml:space="preserve">ersons with </w:t>
      </w:r>
      <w:r w:rsidR="009777EB">
        <w:rPr>
          <w:lang w:val="en-US"/>
        </w:rPr>
        <w:t>d</w:t>
      </w:r>
      <w:r>
        <w:rPr>
          <w:lang w:val="en-US"/>
        </w:rPr>
        <w:t xml:space="preserve">isabilities were involved in </w:t>
      </w:r>
      <w:r w:rsidR="009777EB">
        <w:rPr>
          <w:lang w:val="en-US"/>
        </w:rPr>
        <w:t>project planning and implementation</w:t>
      </w:r>
      <w:bookmarkEnd w:id="59"/>
      <w:r w:rsidR="009777EB">
        <w:rPr>
          <w:lang w:val="en-US"/>
        </w:rPr>
        <w:t>, but certainly as beneficiaries of several activities.  Most notably, a Student Orientation Service focused on persons with disabilities.  The CBLLL successfully supported the development of a guide for VET collages on how to offer orientation services on VET for PwDs.  Through the Orientation Service, persons with disabilities can better understand what skills are needed for each professional area. Based on this information</w:t>
      </w:r>
      <w:r w:rsidR="005B5E35">
        <w:rPr>
          <w:lang w:val="en-US"/>
        </w:rPr>
        <w:t>, and given the particular disability, the person can make a more informed choice of vocational training</w:t>
      </w:r>
      <w:r w:rsidR="00446EDC">
        <w:rPr>
          <w:lang w:val="en-US"/>
        </w:rPr>
        <w:t xml:space="preserve"> programme</w:t>
      </w:r>
      <w:r w:rsidR="005B5E35">
        <w:rPr>
          <w:lang w:val="en-US"/>
        </w:rPr>
        <w:t>. Similarly, Action IV. (</w:t>
      </w:r>
      <w:r w:rsidR="005B5E35" w:rsidRPr="005B5E35">
        <w:rPr>
          <w:i/>
          <w:iCs/>
          <w:lang w:val="en-US"/>
        </w:rPr>
        <w:t>Creation of distance work or home-based work opportunities for vulnerable and special target groups</w:t>
      </w:r>
      <w:r w:rsidR="005B5E35">
        <w:rPr>
          <w:lang w:val="en-US"/>
        </w:rPr>
        <w:t>) explicitly included persons with disabilities.</w:t>
      </w:r>
    </w:p>
    <w:p w14:paraId="53849C05" w14:textId="77777777" w:rsidR="00FB284A" w:rsidRDefault="00FB284A" w:rsidP="00C31076">
      <w:pPr>
        <w:rPr>
          <w:lang w:val="en-US"/>
        </w:rPr>
      </w:pPr>
    </w:p>
    <w:p w14:paraId="4258C687" w14:textId="7CE656F1" w:rsidR="005B5E35" w:rsidRDefault="005B5E35" w:rsidP="00C31076">
      <w:r>
        <w:rPr>
          <w:lang w:val="en-US"/>
        </w:rPr>
        <w:t xml:space="preserve">Persons with disabilities have also been </w:t>
      </w:r>
      <w:r w:rsidR="008E23E1">
        <w:rPr>
          <w:lang w:val="en-US"/>
        </w:rPr>
        <w:t xml:space="preserve">targeted and supported in their active engagement in youth clubs.  This has been particularly noticeable in Batumi </w:t>
      </w:r>
      <w:r w:rsidR="008E23E1">
        <w:t>(</w:t>
      </w:r>
      <w:r w:rsidR="008E23E1" w:rsidRPr="008E23E1">
        <w:t>Black</w:t>
      </w:r>
      <w:r w:rsidR="008E23E1">
        <w:t xml:space="preserve"> </w:t>
      </w:r>
      <w:r w:rsidR="008E23E1" w:rsidRPr="008E23E1">
        <w:t>Sea</w:t>
      </w:r>
      <w:r w:rsidR="008E23E1">
        <w:t xml:space="preserve"> Collage)</w:t>
      </w:r>
      <w:r w:rsidR="008E23E1" w:rsidRPr="008E23E1">
        <w:rPr>
          <w:lang w:val="en-US"/>
        </w:rPr>
        <w:t xml:space="preserve"> </w:t>
      </w:r>
      <w:r w:rsidR="008E23E1">
        <w:rPr>
          <w:lang w:val="en-US"/>
        </w:rPr>
        <w:t xml:space="preserve">where the active participation and integration of </w:t>
      </w:r>
      <w:r w:rsidR="008E23E1" w:rsidRPr="008E23E1">
        <w:rPr>
          <w:lang w:val="ka-GE"/>
        </w:rPr>
        <w:t>7 students</w:t>
      </w:r>
      <w:r w:rsidR="008E23E1" w:rsidRPr="008E23E1">
        <w:rPr>
          <w:lang w:val="en-US"/>
        </w:rPr>
        <w:t xml:space="preserve"> with various disabilities</w:t>
      </w:r>
      <w:r w:rsidR="008E23E1">
        <w:rPr>
          <w:lang w:val="en-US"/>
        </w:rPr>
        <w:t>,</w:t>
      </w:r>
      <w:r w:rsidR="008E23E1" w:rsidRPr="008E23E1">
        <w:rPr>
          <w:lang w:val="ka-GE"/>
        </w:rPr>
        <w:t xml:space="preserve"> including the hearing impaired</w:t>
      </w:r>
      <w:r w:rsidR="008E23E1">
        <w:rPr>
          <w:lang w:val="ka-GE"/>
        </w:rPr>
        <w:t>,</w:t>
      </w:r>
      <w:r w:rsidR="008E23E1">
        <w:rPr>
          <w:rFonts w:asciiTheme="minorHAnsi" w:hAnsiTheme="minorHAnsi"/>
          <w:lang w:val="ka-GE"/>
        </w:rPr>
        <w:t xml:space="preserve"> was observed</w:t>
      </w:r>
      <w:r w:rsidR="008E23E1" w:rsidRPr="008E23E1">
        <w:rPr>
          <w:lang w:val="ka-GE"/>
        </w:rPr>
        <w:t>.</w:t>
      </w:r>
      <w:r w:rsidR="00A21ABC">
        <w:rPr>
          <w:lang w:val="ka-GE"/>
        </w:rPr>
        <w:t xml:space="preserve"> </w:t>
      </w:r>
      <w:r w:rsidR="00A21ABC">
        <w:rPr>
          <w:rFonts w:asciiTheme="minorHAnsi" w:hAnsiTheme="minorHAnsi"/>
          <w:lang w:val="ka-GE"/>
        </w:rPr>
        <w:t xml:space="preserve"> </w:t>
      </w:r>
      <w:r w:rsidR="00A21ABC">
        <w:rPr>
          <w:lang w:val="ka-GE"/>
        </w:rPr>
        <w:t>T</w:t>
      </w:r>
      <w:r w:rsidR="00A21ABC">
        <w:rPr>
          <w:rFonts w:asciiTheme="minorHAnsi" w:hAnsiTheme="minorHAnsi"/>
          <w:lang w:val="ka-GE"/>
        </w:rPr>
        <w:t>herefore</w:t>
      </w:r>
      <w:r w:rsidR="00A21ABC" w:rsidRPr="00A21ABC">
        <w:rPr>
          <w:lang w:val="ka-GE"/>
        </w:rPr>
        <w:t>, the</w:t>
      </w:r>
      <w:r w:rsidR="00A21ABC" w:rsidRPr="00A21ABC">
        <w:t xml:space="preserve"> youth club at the Black Sea college </w:t>
      </w:r>
      <w:r w:rsidR="00A21ABC">
        <w:t>pursued</w:t>
      </w:r>
      <w:r w:rsidR="00A21ABC" w:rsidRPr="00A21ABC">
        <w:t xml:space="preserve"> a specific project to educate their peers in sign language</w:t>
      </w:r>
      <w:r w:rsidR="00A21ABC">
        <w:t>.</w:t>
      </w:r>
    </w:p>
    <w:p w14:paraId="794810A5" w14:textId="77777777" w:rsidR="004A11BD" w:rsidRDefault="004A11BD" w:rsidP="00C31076"/>
    <w:p w14:paraId="48360272" w14:textId="1DC62595" w:rsidR="004A11BD" w:rsidRDefault="004A11BD" w:rsidP="00C31076">
      <w:bookmarkStart w:id="60" w:name="_Hlk155349082"/>
      <w:r>
        <w:t xml:space="preserve">UNDP Georgia has taken a strong public stand in </w:t>
      </w:r>
      <w:r w:rsidR="005C753C">
        <w:t>favour</w:t>
      </w:r>
      <w:r>
        <w:t xml:space="preserve"> of the participation of persons with disabilities in all activities affecting their rights and well-being (</w:t>
      </w:r>
      <w:r w:rsidRPr="004A11BD">
        <w:t>“nothing about us without us”</w:t>
      </w:r>
      <w:r>
        <w:t>).</w:t>
      </w:r>
      <w:r>
        <w:rPr>
          <w:rStyle w:val="FootnoteReference"/>
        </w:rPr>
        <w:footnoteReference w:id="16"/>
      </w:r>
      <w:r>
        <w:t xml:space="preserve"> It advocates for the authorities </w:t>
      </w:r>
      <w:r w:rsidR="00F22ED0">
        <w:t>and public agencies to involve PwDs</w:t>
      </w:r>
      <w:r w:rsidR="00D11F98">
        <w:t xml:space="preserve"> </w:t>
      </w:r>
      <w:r w:rsidR="00D11F98" w:rsidRPr="00D11F98">
        <w:t>in all decisions that may affect the implementation of their rights</w:t>
      </w:r>
      <w:r w:rsidR="00D11F98">
        <w:t>. I</w:t>
      </w:r>
      <w:r>
        <w:t xml:space="preserve">t would therefore be logical that all </w:t>
      </w:r>
      <w:r w:rsidR="00F22ED0">
        <w:t>UNDP</w:t>
      </w:r>
      <w:r>
        <w:t xml:space="preserve"> projects have a strong cross-cutting focus on inclusion of persons with disabil</w:t>
      </w:r>
      <w:r w:rsidR="00F22ED0">
        <w:t>i</w:t>
      </w:r>
      <w:r>
        <w:t>ties</w:t>
      </w:r>
      <w:r w:rsidR="00F22ED0">
        <w:t>.</w:t>
      </w:r>
      <w:r>
        <w:t xml:space="preserve"> </w:t>
      </w:r>
    </w:p>
    <w:p w14:paraId="3E100127" w14:textId="1505D8A8" w:rsidR="00454C00" w:rsidRPr="00454C00" w:rsidRDefault="006E72A8" w:rsidP="00F3645F">
      <w:pPr>
        <w:pStyle w:val="Heading1"/>
      </w:pPr>
      <w:bookmarkStart w:id="62" w:name="_Toc155599393"/>
      <w:bookmarkStart w:id="63" w:name="_Hlk155524179"/>
      <w:bookmarkEnd w:id="27"/>
      <w:bookmarkEnd w:id="60"/>
      <w:r>
        <w:t>CONCLUSIONS</w:t>
      </w:r>
      <w:bookmarkEnd w:id="62"/>
    </w:p>
    <w:p w14:paraId="2825DC24" w14:textId="77777777" w:rsidR="00B4176A" w:rsidRDefault="00B4176A" w:rsidP="00B4176A">
      <w:pPr>
        <w:rPr>
          <w:lang w:val="en-US"/>
        </w:rPr>
      </w:pPr>
    </w:p>
    <w:p w14:paraId="3045C846" w14:textId="47F189A4" w:rsidR="001A778B" w:rsidRPr="006E48DC" w:rsidRDefault="001A778B" w:rsidP="006031BF">
      <w:pPr>
        <w:pStyle w:val="ListParagraph"/>
        <w:numPr>
          <w:ilvl w:val="0"/>
          <w:numId w:val="21"/>
        </w:numPr>
        <w:rPr>
          <w:lang w:val="en-US"/>
        </w:rPr>
      </w:pPr>
      <w:r w:rsidRPr="006E48DC">
        <w:rPr>
          <w:lang w:val="en-US"/>
        </w:rPr>
        <w:t xml:space="preserve">UNDP Georgia has invested in a deep understanding of the field of VET in Georgia which is </w:t>
      </w:r>
      <w:r w:rsidR="005C01AF">
        <w:rPr>
          <w:lang w:val="en-US"/>
        </w:rPr>
        <w:t>a condition</w:t>
      </w:r>
      <w:r w:rsidRPr="006E48DC">
        <w:rPr>
          <w:lang w:val="en-US"/>
        </w:rPr>
        <w:t xml:space="preserve"> for</w:t>
      </w:r>
      <w:r w:rsidR="005C01AF">
        <w:rPr>
          <w:lang w:val="en-US"/>
        </w:rPr>
        <w:t xml:space="preserve"> the development of</w:t>
      </w:r>
      <w:r w:rsidRPr="006E48DC">
        <w:rPr>
          <w:lang w:val="en-US"/>
        </w:rPr>
        <w:t xml:space="preserve"> a relevant project design.  </w:t>
      </w:r>
      <w:r w:rsidR="00691ADA" w:rsidRPr="006E48DC">
        <w:rPr>
          <w:lang w:val="en-US"/>
        </w:rPr>
        <w:t>The design of the project fits perfectly with its well-developed theory of change that constitutes the project starting point.  The ToC illustrates clearly the logical steps towards the overall objective and encompasses all the inputs into that journey.</w:t>
      </w:r>
      <w:r w:rsidR="005C01AF">
        <w:rPr>
          <w:lang w:val="en-US"/>
        </w:rPr>
        <w:t xml:space="preserve"> </w:t>
      </w:r>
      <w:r w:rsidR="005C01AF" w:rsidRPr="005C01AF">
        <w:rPr>
          <w:lang w:val="en-US"/>
        </w:rPr>
        <w:t>The project is in line with national development priorities, UNDP country program outputs and outcomes and the SDGs.</w:t>
      </w:r>
    </w:p>
    <w:p w14:paraId="63AA2E05" w14:textId="77777777" w:rsidR="00956A72" w:rsidRDefault="00956A72" w:rsidP="001A778B">
      <w:pPr>
        <w:rPr>
          <w:lang w:val="en-US"/>
        </w:rPr>
      </w:pPr>
    </w:p>
    <w:p w14:paraId="31A651F5" w14:textId="77777777" w:rsidR="00956A72" w:rsidRPr="006E48DC" w:rsidRDefault="00956A72" w:rsidP="006031BF">
      <w:pPr>
        <w:pStyle w:val="ListParagraph"/>
        <w:numPr>
          <w:ilvl w:val="0"/>
          <w:numId w:val="21"/>
        </w:numPr>
        <w:rPr>
          <w:lang w:val="en-US"/>
        </w:rPr>
      </w:pPr>
      <w:r w:rsidRPr="006E48DC">
        <w:rPr>
          <w:lang w:val="en-US"/>
        </w:rPr>
        <w:t xml:space="preserve">Monitoring data indicate that despite a slow initial implementation rate, the CBLLL project managed to overcome challenges and satisfactorily delivered on its outputs and outcomes. Project indicators show that most targets have been met while a few are still in progress.   </w:t>
      </w:r>
    </w:p>
    <w:p w14:paraId="2A88EFE5" w14:textId="77777777" w:rsidR="00956A72" w:rsidRPr="001A778B" w:rsidRDefault="00956A72" w:rsidP="001A778B">
      <w:pPr>
        <w:rPr>
          <w:lang w:val="en-US"/>
        </w:rPr>
      </w:pPr>
    </w:p>
    <w:p w14:paraId="108EBC14" w14:textId="6C71321D" w:rsidR="004F52CD" w:rsidRPr="006E48DC" w:rsidRDefault="004F52CD" w:rsidP="006031BF">
      <w:pPr>
        <w:pStyle w:val="ListParagraph"/>
        <w:numPr>
          <w:ilvl w:val="0"/>
          <w:numId w:val="21"/>
        </w:numPr>
        <w:rPr>
          <w:lang w:val="en-US"/>
        </w:rPr>
      </w:pPr>
      <w:r w:rsidRPr="006E48DC">
        <w:rPr>
          <w:lang w:val="en-US"/>
        </w:rPr>
        <w:t>Interlocutors with the evaluation unanimously expressed their satisfaction with the support from the UNDP project management team.  Once management overcame initial personnel challenges and identified the right composition of individuals for the team, satisfaction among counterparts was very high.</w:t>
      </w:r>
    </w:p>
    <w:p w14:paraId="00210079" w14:textId="77777777" w:rsidR="001A778B" w:rsidRPr="001A778B" w:rsidRDefault="001A778B" w:rsidP="001A778B">
      <w:pPr>
        <w:rPr>
          <w:lang w:val="en-US"/>
        </w:rPr>
      </w:pPr>
    </w:p>
    <w:p w14:paraId="642C1E63" w14:textId="7320C058" w:rsidR="004F52CD" w:rsidRDefault="004F52CD" w:rsidP="006031BF">
      <w:pPr>
        <w:pStyle w:val="ListParagraph"/>
        <w:numPr>
          <w:ilvl w:val="0"/>
          <w:numId w:val="21"/>
        </w:numPr>
      </w:pPr>
      <w:r>
        <w:t>The prospect for overall sustainability of the project is favo</w:t>
      </w:r>
      <w:r w:rsidR="006E48DC">
        <w:t>u</w:t>
      </w:r>
      <w:r>
        <w:t>rable</w:t>
      </w:r>
      <w:r w:rsidR="006E48DC">
        <w:t xml:space="preserve"> because of</w:t>
      </w:r>
      <w:r>
        <w:t xml:space="preserve"> the choice of activities (capacity building, </w:t>
      </w:r>
      <w:r w:rsidR="006E48DC">
        <w:t xml:space="preserve">development of lasting tools etc) </w:t>
      </w:r>
      <w:r>
        <w:t>and the relevance and commitment of the national project partners.</w:t>
      </w:r>
    </w:p>
    <w:p w14:paraId="2F284187" w14:textId="77777777" w:rsidR="004F52CD" w:rsidRDefault="004F52CD" w:rsidP="004F52CD"/>
    <w:p w14:paraId="1A5D5670" w14:textId="7D5D0601" w:rsidR="00640E20" w:rsidRDefault="00C25E2E" w:rsidP="006031BF">
      <w:pPr>
        <w:pStyle w:val="ListParagraph"/>
        <w:numPr>
          <w:ilvl w:val="0"/>
          <w:numId w:val="21"/>
        </w:numPr>
      </w:pPr>
      <w:r>
        <w:t xml:space="preserve">While a clear consensus is expressed by all stakeholders regarding the crucial role of the business community in the VET reform process, the diverse and complex CBLLL project is only using two </w:t>
      </w:r>
      <w:r w:rsidRPr="00C25E2E">
        <w:t>main implementing partners, Sunny House and the Skills Agency.</w:t>
      </w:r>
      <w:r>
        <w:t xml:space="preserve">  The business associations and Sector Skills Organisations are only subject to the project, not </w:t>
      </w:r>
      <w:r w:rsidR="00F72360">
        <w:t>participating partner</w:t>
      </w:r>
      <w:r w:rsidR="0076634F">
        <w:t>s</w:t>
      </w:r>
      <w:r w:rsidR="00F72360">
        <w:t xml:space="preserve"> of</w:t>
      </w:r>
      <w:r>
        <w:t xml:space="preserve"> it.</w:t>
      </w:r>
    </w:p>
    <w:p w14:paraId="1C9887AE" w14:textId="77777777" w:rsidR="00640E20" w:rsidRDefault="00640E20" w:rsidP="00B51308"/>
    <w:p w14:paraId="6CCE15A0" w14:textId="05F0C5D6" w:rsidR="004A7513" w:rsidRPr="006E48DC" w:rsidRDefault="004A7513" w:rsidP="006031BF">
      <w:pPr>
        <w:pStyle w:val="ListParagraph"/>
        <w:numPr>
          <w:ilvl w:val="0"/>
          <w:numId w:val="21"/>
        </w:numPr>
        <w:rPr>
          <w:lang w:val="en-US"/>
        </w:rPr>
      </w:pPr>
      <w:r w:rsidRPr="006E48DC">
        <w:rPr>
          <w:lang w:val="en-US"/>
        </w:rPr>
        <w:t xml:space="preserve">A fundamental area of project outputs is the establishment of networks, platforms, youth clubs and other coordination and cooperation forums.  Such forums risk losing their </w:t>
      </w:r>
      <w:r w:rsidR="0076634F">
        <w:rPr>
          <w:lang w:val="en-US"/>
        </w:rPr>
        <w:t xml:space="preserve">current </w:t>
      </w:r>
      <w:r w:rsidRPr="006E48DC">
        <w:rPr>
          <w:lang w:val="en-US"/>
        </w:rPr>
        <w:t xml:space="preserve">momentum once technical and financial support cease.  It remains to be seen if these networks and cooperation forums will be self-sustained once the project ends.  </w:t>
      </w:r>
      <w:r w:rsidR="006E48DC" w:rsidRPr="006E48DC">
        <w:rPr>
          <w:lang w:val="en-US"/>
        </w:rPr>
        <w:t>To evaluate that aspect</w:t>
      </w:r>
      <w:r w:rsidRPr="006E48DC">
        <w:rPr>
          <w:lang w:val="en-US"/>
        </w:rPr>
        <w:t xml:space="preserve">, this evaluation comes too early.  </w:t>
      </w:r>
    </w:p>
    <w:p w14:paraId="475AEB35" w14:textId="77777777" w:rsidR="002B3D6B" w:rsidRDefault="002B3D6B" w:rsidP="00B51308"/>
    <w:p w14:paraId="2D443DAE" w14:textId="5DDCAE70" w:rsidR="00B51308" w:rsidRDefault="00F575BC" w:rsidP="006031BF">
      <w:pPr>
        <w:pStyle w:val="ListParagraph"/>
        <w:numPr>
          <w:ilvl w:val="0"/>
          <w:numId w:val="21"/>
        </w:numPr>
      </w:pPr>
      <w:r>
        <w:t>D</w:t>
      </w:r>
      <w:r w:rsidRPr="00F575BC">
        <w:t xml:space="preserve">ata indicate that gender equality was not explicitly and systematically addressed in the CBLLL project.  However, its support to awareness-creating efforts around gender-based job-stereotypes in the VET community is an important step towards gender equality. </w:t>
      </w:r>
    </w:p>
    <w:p w14:paraId="1DBB25D6" w14:textId="77777777" w:rsidR="00F96AEB" w:rsidRDefault="00F96AEB" w:rsidP="00640E20"/>
    <w:p w14:paraId="19E65711" w14:textId="37178341" w:rsidR="00640E20" w:rsidRPr="00640E20" w:rsidRDefault="00640E20" w:rsidP="006031BF">
      <w:pPr>
        <w:pStyle w:val="ListParagraph"/>
        <w:numPr>
          <w:ilvl w:val="0"/>
          <w:numId w:val="21"/>
        </w:numPr>
      </w:pPr>
      <w:r w:rsidRPr="00640E20">
        <w:t xml:space="preserve">The VET sector in Georgia is currently experiencing an important momentum as a result of national and international initiatives, including new VET legislation, VET reform strategies and new institutional structures.  Important international donors, including the EU, the UN, ADB and bilateral agencies, are willing to pursue poverty reduction through an improved match between the labour market needs and the skills of the unemployed population.  The availability of substantial international funds and expertise in the VET area is therefore likely to continue or even increase.  This creates an </w:t>
      </w:r>
      <w:r w:rsidR="005C4EC4">
        <w:t>important</w:t>
      </w:r>
      <w:r w:rsidRPr="00640E20">
        <w:t xml:space="preserve"> need for </w:t>
      </w:r>
      <w:r w:rsidR="005C4EC4">
        <w:t xml:space="preserve">a permanent VET </w:t>
      </w:r>
      <w:r w:rsidRPr="00640E20">
        <w:t>coordination</w:t>
      </w:r>
      <w:r w:rsidR="005C4EC4">
        <w:t xml:space="preserve"> platform</w:t>
      </w:r>
      <w:r w:rsidRPr="00640E20">
        <w:t>.</w:t>
      </w:r>
    </w:p>
    <w:p w14:paraId="07D8DD05" w14:textId="77777777" w:rsidR="00640E20" w:rsidRDefault="00640E20" w:rsidP="00B51308"/>
    <w:p w14:paraId="533CD327" w14:textId="77777777" w:rsidR="009C6208" w:rsidRDefault="009C6208" w:rsidP="009C6208">
      <w:pPr>
        <w:pStyle w:val="ListParagraph"/>
        <w:numPr>
          <w:ilvl w:val="0"/>
          <w:numId w:val="21"/>
        </w:numPr>
      </w:pPr>
      <w:r>
        <w:t xml:space="preserve">Communication as a tool to achieve outcomes and outputs is not absent from individual components of the project but is not used in the form of a comprehensive strategy to achieve the overall objective of increasing youth and NEETs’ access to high quality vocational education and training. </w:t>
      </w:r>
    </w:p>
    <w:p w14:paraId="7FE4420A" w14:textId="77777777" w:rsidR="00640E20" w:rsidRDefault="00640E20" w:rsidP="00B51308"/>
    <w:p w14:paraId="16FA8930" w14:textId="3AD41320" w:rsidR="00B51308" w:rsidRPr="006E48DC" w:rsidRDefault="00D11F98" w:rsidP="006031BF">
      <w:pPr>
        <w:pStyle w:val="ListParagraph"/>
        <w:numPr>
          <w:ilvl w:val="0"/>
          <w:numId w:val="21"/>
        </w:numPr>
        <w:rPr>
          <w:lang w:val="en-US"/>
        </w:rPr>
      </w:pPr>
      <w:r w:rsidRPr="006E48DC">
        <w:rPr>
          <w:lang w:val="en-US"/>
        </w:rPr>
        <w:t xml:space="preserve">UNDP Georgia </w:t>
      </w:r>
      <w:r w:rsidRPr="00D11F98">
        <w:t>advocates for the authorities and public agencies to involve PwDs in all decisions that may affect the implementation of their rights</w:t>
      </w:r>
      <w:r w:rsidR="006E48DC">
        <w:t>, but t</w:t>
      </w:r>
      <w:r w:rsidR="006E48DC" w:rsidRPr="006E48DC">
        <w:rPr>
          <w:lang w:val="en-US"/>
        </w:rPr>
        <w:t xml:space="preserve">he evaluation has not received any evidence indicating that persons with disabilities were involved in project planning and implementation. </w:t>
      </w:r>
      <w:r w:rsidRPr="00D11F98">
        <w:t xml:space="preserve"> </w:t>
      </w:r>
    </w:p>
    <w:p w14:paraId="37D2A385" w14:textId="3582AD1F" w:rsidR="007A572E" w:rsidRDefault="006E72A8" w:rsidP="00F3645F">
      <w:pPr>
        <w:pStyle w:val="Heading1"/>
      </w:pPr>
      <w:bookmarkStart w:id="64" w:name="_Toc155599394"/>
      <w:r>
        <w:t>RECOMMENDATIONS</w:t>
      </w:r>
      <w:bookmarkEnd w:id="64"/>
    </w:p>
    <w:p w14:paraId="1797BF70" w14:textId="77777777" w:rsidR="00BE23C9" w:rsidRDefault="00BE23C9" w:rsidP="00BE23C9">
      <w:pPr>
        <w:rPr>
          <w:lang w:val="en-US"/>
        </w:rPr>
      </w:pPr>
    </w:p>
    <w:p w14:paraId="455C2796" w14:textId="6B406ACB" w:rsidR="006F41DE" w:rsidRPr="00A2251E" w:rsidRDefault="00F72360" w:rsidP="006031BF">
      <w:pPr>
        <w:pStyle w:val="ListParagraph"/>
        <w:numPr>
          <w:ilvl w:val="0"/>
          <w:numId w:val="22"/>
        </w:numPr>
        <w:rPr>
          <w:lang w:val="en-US"/>
        </w:rPr>
      </w:pPr>
      <w:r>
        <w:rPr>
          <w:lang w:val="en-US"/>
        </w:rPr>
        <w:t xml:space="preserve">Considering the emphasis that government, donors and VET experts put on the role of the private sector in a reformed and improved VET ecosystem, UNDP Georgia should explore the possibility of making Sector Skills Organisations and other business associations </w:t>
      </w:r>
      <w:r w:rsidR="006F41DE" w:rsidRPr="00A2251E">
        <w:rPr>
          <w:lang w:val="en-US"/>
        </w:rPr>
        <w:t>implementing partner</w:t>
      </w:r>
      <w:r>
        <w:rPr>
          <w:lang w:val="en-US"/>
        </w:rPr>
        <w:t>s</w:t>
      </w:r>
      <w:r w:rsidR="006F41DE" w:rsidRPr="00A2251E">
        <w:rPr>
          <w:lang w:val="en-US"/>
        </w:rPr>
        <w:t xml:space="preserve"> of future project activities</w:t>
      </w:r>
      <w:r>
        <w:rPr>
          <w:lang w:val="en-US"/>
        </w:rPr>
        <w:t>.</w:t>
      </w:r>
      <w:r w:rsidR="006F41DE" w:rsidRPr="00A2251E">
        <w:rPr>
          <w:lang w:val="en-US"/>
        </w:rPr>
        <w:t xml:space="preserve"> </w:t>
      </w:r>
    </w:p>
    <w:p w14:paraId="12AFDF67" w14:textId="77777777" w:rsidR="006F41DE" w:rsidRDefault="006F41DE" w:rsidP="00BE23C9">
      <w:pPr>
        <w:rPr>
          <w:lang w:val="en-US"/>
        </w:rPr>
      </w:pPr>
    </w:p>
    <w:p w14:paraId="7A05B04A" w14:textId="296F8C96" w:rsidR="00BE23C9" w:rsidRPr="00A2251E" w:rsidRDefault="006A72C3" w:rsidP="006031BF">
      <w:pPr>
        <w:pStyle w:val="ListParagraph"/>
        <w:numPr>
          <w:ilvl w:val="0"/>
          <w:numId w:val="22"/>
        </w:numPr>
        <w:rPr>
          <w:lang w:val="en-US"/>
        </w:rPr>
      </w:pPr>
      <w:r>
        <w:rPr>
          <w:lang w:val="en-US"/>
        </w:rPr>
        <w:t>To make the evaluation process more targeted, c</w:t>
      </w:r>
      <w:r w:rsidR="00BE23C9" w:rsidRPr="00A2251E">
        <w:rPr>
          <w:lang w:val="en-US"/>
        </w:rPr>
        <w:t>onsider prioritizing evaluation efforts exclusively focused on the sustainability aspect of activities aimed at establishing networks, platforms and other cooperation and coordination arrangements between multiple sectors and stakeholders.  For best effect, such evaluation efforts should only be initiated at the earliest six months after the finalization of the project.</w:t>
      </w:r>
    </w:p>
    <w:p w14:paraId="1D48CD45" w14:textId="77777777" w:rsidR="00B51308" w:rsidRDefault="00B51308" w:rsidP="00BE23C9">
      <w:pPr>
        <w:rPr>
          <w:lang w:val="en-US"/>
        </w:rPr>
      </w:pPr>
    </w:p>
    <w:p w14:paraId="1266902A" w14:textId="285F1587" w:rsidR="00B51308" w:rsidRPr="00A2251E" w:rsidRDefault="00B51308" w:rsidP="006031BF">
      <w:pPr>
        <w:pStyle w:val="ListParagraph"/>
        <w:numPr>
          <w:ilvl w:val="0"/>
          <w:numId w:val="22"/>
        </w:numPr>
        <w:rPr>
          <w:lang w:val="en-US"/>
        </w:rPr>
      </w:pPr>
      <w:r w:rsidRPr="00A2251E">
        <w:rPr>
          <w:lang w:val="en-US"/>
        </w:rPr>
        <w:t xml:space="preserve">Consider involving a gender expert to support the initial design of </w:t>
      </w:r>
      <w:r w:rsidR="00F575BC">
        <w:rPr>
          <w:lang w:val="en-US"/>
        </w:rPr>
        <w:t>VET</w:t>
      </w:r>
      <w:r w:rsidRPr="00A2251E">
        <w:rPr>
          <w:lang w:val="en-US"/>
        </w:rPr>
        <w:t xml:space="preserve"> project</w:t>
      </w:r>
      <w:r w:rsidR="00F575BC">
        <w:rPr>
          <w:lang w:val="en-US"/>
        </w:rPr>
        <w:t>s</w:t>
      </w:r>
      <w:r w:rsidRPr="00A2251E">
        <w:rPr>
          <w:lang w:val="en-US"/>
        </w:rPr>
        <w:t xml:space="preserve"> as well as the design of the activities of the implementing partners, or solicit the support of UN </w:t>
      </w:r>
      <w:r w:rsidRPr="00A2251E">
        <w:rPr>
          <w:lang w:val="en-US"/>
        </w:rPr>
        <w:lastRenderedPageBreak/>
        <w:t xml:space="preserve">Women Georgia during the design phase of any follow up project.  Such expertise can effectively mainstream gender equality efforts into planned programmes and activities without losing the focus on VET and </w:t>
      </w:r>
      <w:r w:rsidR="006A72C3">
        <w:rPr>
          <w:lang w:val="en-US"/>
        </w:rPr>
        <w:t xml:space="preserve">without </w:t>
      </w:r>
      <w:r w:rsidRPr="00A2251E">
        <w:rPr>
          <w:lang w:val="en-US"/>
        </w:rPr>
        <w:t>turning it into a “gender-equality project” per se.</w:t>
      </w:r>
      <w:r w:rsidR="0072025F" w:rsidRPr="00A2251E">
        <w:rPr>
          <w:lang w:val="en-US"/>
        </w:rPr>
        <w:t xml:space="preserve">  One possible outcome of such an exercise could be the design of activities in support of strengthened gender equality competencies </w:t>
      </w:r>
      <w:r w:rsidR="001802E2" w:rsidRPr="00A2251E">
        <w:rPr>
          <w:lang w:val="en-US"/>
        </w:rPr>
        <w:t>among VET teachers.</w:t>
      </w:r>
    </w:p>
    <w:p w14:paraId="2DEEEEB9" w14:textId="77777777" w:rsidR="0072025F" w:rsidRDefault="0072025F" w:rsidP="00BE23C9">
      <w:pPr>
        <w:rPr>
          <w:lang w:val="en-US"/>
        </w:rPr>
      </w:pPr>
    </w:p>
    <w:p w14:paraId="62AE470E" w14:textId="7D259584" w:rsidR="00A6280D" w:rsidRPr="00A6280D" w:rsidRDefault="00A6280D" w:rsidP="006031BF">
      <w:pPr>
        <w:pStyle w:val="ListParagraph"/>
        <w:numPr>
          <w:ilvl w:val="0"/>
          <w:numId w:val="22"/>
        </w:numPr>
      </w:pPr>
      <w:r w:rsidRPr="00A6280D">
        <w:t xml:space="preserve">UNDP Georgia </w:t>
      </w:r>
      <w:r>
        <w:t>should</w:t>
      </w:r>
      <w:r w:rsidRPr="00A6280D">
        <w:t xml:space="preserve"> ensure that </w:t>
      </w:r>
      <w:r w:rsidR="009E18E5">
        <w:t xml:space="preserve">the </w:t>
      </w:r>
      <w:r w:rsidRPr="00A6280D">
        <w:t xml:space="preserve">already initiated </w:t>
      </w:r>
      <w:r w:rsidR="00411D1B">
        <w:t xml:space="preserve">donor </w:t>
      </w:r>
      <w:r w:rsidRPr="00A6280D">
        <w:t>coordination efforts</w:t>
      </w:r>
      <w:r w:rsidR="009E18E5">
        <w:t xml:space="preserve"> in the area of VET</w:t>
      </w:r>
      <w:r w:rsidR="00411D1B">
        <w:t xml:space="preserve"> are kept u</w:t>
      </w:r>
      <w:r w:rsidR="009E18E5">
        <w:t xml:space="preserve">p beyond the end of the project.  The </w:t>
      </w:r>
      <w:r w:rsidR="005C4EC4">
        <w:t>C</w:t>
      </w:r>
      <w:r w:rsidR="009E18E5">
        <w:t xml:space="preserve">ooperation </w:t>
      </w:r>
      <w:r w:rsidR="005C4EC4">
        <w:t>P</w:t>
      </w:r>
      <w:r w:rsidR="009E18E5">
        <w:t xml:space="preserve">latform established in </w:t>
      </w:r>
      <w:r w:rsidR="005C4EC4">
        <w:t xml:space="preserve">October </w:t>
      </w:r>
      <w:r w:rsidR="009E18E5">
        <w:t>2022 should continue</w:t>
      </w:r>
      <w:r w:rsidR="00F3022B">
        <w:t xml:space="preserve"> its activities</w:t>
      </w:r>
      <w:r w:rsidR="009E18E5">
        <w:t>, and involve not only EU funded VET actors/projects but broaden its membership</w:t>
      </w:r>
      <w:r w:rsidRPr="00A6280D">
        <w:t xml:space="preserve"> </w:t>
      </w:r>
      <w:r w:rsidR="009E18E5">
        <w:t>to all relevant VET stakeholders.</w:t>
      </w:r>
    </w:p>
    <w:p w14:paraId="5A3729AE" w14:textId="77777777" w:rsidR="001802E2" w:rsidRDefault="001802E2" w:rsidP="0072025F">
      <w:pPr>
        <w:rPr>
          <w:lang w:val="en-US"/>
        </w:rPr>
      </w:pPr>
    </w:p>
    <w:p w14:paraId="63F539E7" w14:textId="69F1E79F" w:rsidR="001802E2" w:rsidRDefault="001802E2" w:rsidP="006031BF">
      <w:pPr>
        <w:pStyle w:val="ListParagraph"/>
        <w:numPr>
          <w:ilvl w:val="0"/>
          <w:numId w:val="22"/>
        </w:numPr>
        <w:rPr>
          <w:lang w:val="en-US"/>
        </w:rPr>
      </w:pPr>
      <w:r w:rsidRPr="00A2251E">
        <w:rPr>
          <w:lang w:val="en-US"/>
        </w:rPr>
        <w:t>Given that the GoG expresses concern about the stigmatization of VET, UNDP should consider strengthening the strategic communication component of its VET support programmes to increase public awareness of the VET reform, the new educational opportunities now available and the general transformation the sector is going through.</w:t>
      </w:r>
    </w:p>
    <w:p w14:paraId="4E3AEB2F" w14:textId="77777777" w:rsidR="00F22ED0" w:rsidRDefault="00F22ED0" w:rsidP="00F22ED0">
      <w:pPr>
        <w:pStyle w:val="ListParagraph"/>
        <w:rPr>
          <w:lang w:val="en-US"/>
        </w:rPr>
      </w:pPr>
    </w:p>
    <w:p w14:paraId="4114FE29" w14:textId="004FBDFF" w:rsidR="00D11F98" w:rsidRPr="00D11F98" w:rsidRDefault="00D11F98" w:rsidP="006031BF">
      <w:pPr>
        <w:pStyle w:val="ListParagraph"/>
        <w:numPr>
          <w:ilvl w:val="0"/>
          <w:numId w:val="22"/>
        </w:numPr>
      </w:pPr>
      <w:r>
        <w:rPr>
          <w:lang w:val="en-US"/>
        </w:rPr>
        <w:t xml:space="preserve">Given that </w:t>
      </w:r>
      <w:r w:rsidRPr="00D11F98">
        <w:t>UNDP Georgia has taken a strong public stand in favo</w:t>
      </w:r>
      <w:r w:rsidR="006A72C3">
        <w:t>u</w:t>
      </w:r>
      <w:r w:rsidRPr="00D11F98">
        <w:t>r of the participation of persons with disabilities in all activities affecting their rights and well-being (“nothing about us without us”)</w:t>
      </w:r>
      <w:r>
        <w:t xml:space="preserve">, it </w:t>
      </w:r>
      <w:r w:rsidRPr="00D11F98">
        <w:t xml:space="preserve">would be </w:t>
      </w:r>
      <w:r>
        <w:t>recommendable</w:t>
      </w:r>
      <w:r w:rsidRPr="00D11F98">
        <w:t xml:space="preserve"> that </w:t>
      </w:r>
      <w:r>
        <w:t>future</w:t>
      </w:r>
      <w:r w:rsidRPr="00D11F98">
        <w:t xml:space="preserve"> UNDP</w:t>
      </w:r>
      <w:r>
        <w:t xml:space="preserve"> Georgia VET</w:t>
      </w:r>
      <w:r w:rsidRPr="00D11F98">
        <w:t xml:space="preserve"> projects have a strong cross-cutting focus on inclusion of persons with disabilities</w:t>
      </w:r>
      <w:r>
        <w:t xml:space="preserve"> in all phases of the project</w:t>
      </w:r>
      <w:r w:rsidR="00BB0793">
        <w:t xml:space="preserve">, </w:t>
      </w:r>
      <w:r>
        <w:t xml:space="preserve">not limited to </w:t>
      </w:r>
      <w:r w:rsidR="00BB0793">
        <w:t xml:space="preserve">a role as </w:t>
      </w:r>
      <w:r>
        <w:t>beneficiaries of certain individual project activities</w:t>
      </w:r>
      <w:r w:rsidRPr="00D11F98">
        <w:t xml:space="preserve">. </w:t>
      </w:r>
    </w:p>
    <w:p w14:paraId="140858CC" w14:textId="22FF75CA" w:rsidR="006E72A8" w:rsidRDefault="006E72A8" w:rsidP="00F3645F">
      <w:pPr>
        <w:pStyle w:val="Heading1"/>
        <w:rPr>
          <w:rStyle w:val="Heading1Char"/>
          <w:b/>
          <w:bCs/>
        </w:rPr>
      </w:pPr>
      <w:bookmarkStart w:id="65" w:name="_Toc155599395"/>
      <w:bookmarkEnd w:id="63"/>
      <w:r w:rsidRPr="005611AA">
        <w:rPr>
          <w:rStyle w:val="Heading1Char"/>
          <w:b/>
          <w:bCs/>
        </w:rPr>
        <w:t>LESSONS LEARNED</w:t>
      </w:r>
      <w:bookmarkEnd w:id="65"/>
    </w:p>
    <w:p w14:paraId="71A9F4A5" w14:textId="77777777" w:rsidR="005611AA" w:rsidRDefault="005611AA" w:rsidP="005611AA">
      <w:pPr>
        <w:rPr>
          <w:lang w:val="en-US"/>
        </w:rPr>
      </w:pPr>
    </w:p>
    <w:p w14:paraId="444C061F" w14:textId="77777777" w:rsidR="006141BD" w:rsidRDefault="005611AA" w:rsidP="006141BD">
      <w:pPr>
        <w:pStyle w:val="Heading2"/>
      </w:pPr>
      <w:bookmarkStart w:id="66" w:name="_Toc155599396"/>
      <w:r>
        <w:t>Teaching skills, educational tools and infrastructure can be developed, but</w:t>
      </w:r>
      <w:bookmarkEnd w:id="66"/>
      <w:r>
        <w:t xml:space="preserve"> </w:t>
      </w:r>
    </w:p>
    <w:p w14:paraId="37CCBF19" w14:textId="3393AB4E" w:rsidR="005611AA" w:rsidRDefault="005611AA" w:rsidP="00321AB1">
      <w:pPr>
        <w:pStyle w:val="Heading2"/>
      </w:pPr>
      <w:bookmarkStart w:id="67" w:name="_Toc155599397"/>
      <w:r>
        <w:t>mind-sets remain</w:t>
      </w:r>
      <w:bookmarkEnd w:id="67"/>
    </w:p>
    <w:p w14:paraId="76A24EAC" w14:textId="03747C89" w:rsidR="006141BD" w:rsidRDefault="006141BD" w:rsidP="006141BD">
      <w:pPr>
        <w:rPr>
          <w:lang w:val="en-US" w:eastAsia="en-GB"/>
        </w:rPr>
      </w:pPr>
      <w:r>
        <w:rPr>
          <w:lang w:val="en-US" w:eastAsia="en-GB"/>
        </w:rPr>
        <w:t xml:space="preserve">Implementers of the CBLLL project were surprised to find that even </w:t>
      </w:r>
      <w:r w:rsidR="00FC0158">
        <w:rPr>
          <w:lang w:val="en-US" w:eastAsia="en-GB"/>
        </w:rPr>
        <w:t xml:space="preserve">32 years after leaving the Soviet Union some teachers and school administrators were influenced by a certain “USSR-mind set” in their views and attitudes towards VET and education.  This teaches us that needs assessments should try to capture </w:t>
      </w:r>
      <w:r w:rsidR="004E294D">
        <w:rPr>
          <w:lang w:val="en-US" w:eastAsia="en-GB"/>
        </w:rPr>
        <w:t xml:space="preserve">wide-spread </w:t>
      </w:r>
      <w:r w:rsidR="00FC0158">
        <w:rPr>
          <w:lang w:val="en-US" w:eastAsia="en-GB"/>
        </w:rPr>
        <w:t xml:space="preserve">attitudes as much as </w:t>
      </w:r>
      <w:r w:rsidR="004E294D">
        <w:rPr>
          <w:lang w:val="en-US" w:eastAsia="en-GB"/>
        </w:rPr>
        <w:t xml:space="preserve">technical </w:t>
      </w:r>
      <w:r w:rsidR="00FC0158">
        <w:rPr>
          <w:lang w:val="en-US" w:eastAsia="en-GB"/>
        </w:rPr>
        <w:t>gaps in capacity to deliver VET.</w:t>
      </w:r>
    </w:p>
    <w:p w14:paraId="1E790E6B" w14:textId="70F38B26" w:rsidR="005611AA" w:rsidRDefault="006141BD" w:rsidP="006141BD">
      <w:pPr>
        <w:pStyle w:val="Heading2"/>
      </w:pPr>
      <w:bookmarkStart w:id="68" w:name="_Toc155599398"/>
      <w:r>
        <w:t>Even in the era of the “gig-economy</w:t>
      </w:r>
      <w:r w:rsidR="005C753C">
        <w:t>,”</w:t>
      </w:r>
      <w:r>
        <w:t xml:space="preserve"> not everyone wants to be an entrepreneur</w:t>
      </w:r>
      <w:bookmarkEnd w:id="68"/>
    </w:p>
    <w:p w14:paraId="2F92303E" w14:textId="7533B4BD" w:rsidR="006141BD" w:rsidRDefault="00FC0158" w:rsidP="006141BD">
      <w:pPr>
        <w:rPr>
          <w:lang w:val="en-US" w:eastAsia="en-GB"/>
        </w:rPr>
      </w:pPr>
      <w:r>
        <w:rPr>
          <w:lang w:val="en-US" w:eastAsia="en-GB"/>
        </w:rPr>
        <w:t>Extracurricular activities, informal education and development of core competencies were all extremely welcome by the youth beneficiaries</w:t>
      </w:r>
      <w:r w:rsidR="006A7E80">
        <w:rPr>
          <w:lang w:val="en-US" w:eastAsia="en-GB"/>
        </w:rPr>
        <w:t>.  However, the implementing partner reports a mixed reception of the entrepreneurial skills trainings.  Many youths expressed a lack of interest in the entrepreneurial segment of the programme.  Given that the objective of the project is to match skills with the demand of the labour market, a cool reception of these activities by some beneficiaries should not necessarily lead to a re-think, but underlines the need to introduce the activities with clear and convincing arguments and realistic expectations.</w:t>
      </w:r>
    </w:p>
    <w:p w14:paraId="1A804C8C" w14:textId="6571D5A2" w:rsidR="006141BD" w:rsidRDefault="006141BD" w:rsidP="006141BD">
      <w:pPr>
        <w:pStyle w:val="Heading2"/>
      </w:pPr>
      <w:bookmarkStart w:id="69" w:name="_Toc155599399"/>
      <w:r>
        <w:lastRenderedPageBreak/>
        <w:t xml:space="preserve">Local and regional authorities </w:t>
      </w:r>
      <w:r w:rsidR="005C753C">
        <w:t>must</w:t>
      </w:r>
      <w:r>
        <w:t xml:space="preserve"> be on-board to address contextual project challenges</w:t>
      </w:r>
      <w:bookmarkEnd w:id="69"/>
    </w:p>
    <w:p w14:paraId="1F61862A" w14:textId="487CF2BA" w:rsidR="006B03AD" w:rsidRPr="005611AA" w:rsidRDefault="006B03AD" w:rsidP="005611AA">
      <w:pPr>
        <w:rPr>
          <w:lang w:val="en-US"/>
        </w:rPr>
        <w:sectPr w:rsidR="006B03AD" w:rsidRPr="005611AA" w:rsidSect="00F72DC0">
          <w:headerReference w:type="default" r:id="rId10"/>
          <w:pgSz w:w="12240" w:h="15840"/>
          <w:pgMar w:top="1440" w:right="1440" w:bottom="1440" w:left="1440" w:header="720" w:footer="720" w:gutter="0"/>
          <w:cols w:space="720"/>
          <w:docGrid w:linePitch="360"/>
        </w:sectPr>
      </w:pPr>
      <w:r>
        <w:rPr>
          <w:lang w:val="en-US"/>
        </w:rPr>
        <w:t>Some of the project challenges reported to the evaluation falls outside of the realm and capacity of the project.  In some regions, attending VET in centrally located towns was made complicated due to lacking or deficient infrastructure.  Transport and/or on-campus dormitories were not always available.  Also, in the mountainous regions heavy snowfall could also prevent students from attending public schools and VET coll</w:t>
      </w:r>
      <w:r w:rsidR="00F64BBC">
        <w:rPr>
          <w:lang w:val="en-US"/>
        </w:rPr>
        <w:t>e</w:t>
      </w:r>
      <w:r>
        <w:rPr>
          <w:lang w:val="en-US"/>
        </w:rPr>
        <w:t xml:space="preserve">ges.  Additionally, poor or inexistent internet coverage in some remote regions </w:t>
      </w:r>
      <w:r w:rsidR="003C541A">
        <w:rPr>
          <w:lang w:val="en-US"/>
        </w:rPr>
        <w:t xml:space="preserve">added to the challenge.  This underlines the importance of creating early partnerships with the local authorities </w:t>
      </w:r>
      <w:r w:rsidR="005C753C">
        <w:rPr>
          <w:lang w:val="en-US"/>
        </w:rPr>
        <w:t>to</w:t>
      </w:r>
      <w:r w:rsidR="003C541A">
        <w:rPr>
          <w:lang w:val="en-US"/>
        </w:rPr>
        <w:t xml:space="preserve"> try to address challenges affecting the effectiveness of the project.  In at least one case reported to the evaluation, a local major organized ad hoc transport to VET activities carried out by the CBLLL project.</w:t>
      </w:r>
    </w:p>
    <w:p w14:paraId="3D796B85" w14:textId="790A68C0" w:rsidR="007B043F" w:rsidRDefault="002E6553" w:rsidP="00F3645F">
      <w:pPr>
        <w:pStyle w:val="Heading1"/>
      </w:pPr>
      <w:bookmarkStart w:id="70" w:name="_Toc155599400"/>
      <w:r w:rsidRPr="007C3EC5">
        <w:lastRenderedPageBreak/>
        <w:t>A</w:t>
      </w:r>
      <w:r w:rsidR="008855E6" w:rsidRPr="007C3EC5">
        <w:t>NNEXES</w:t>
      </w:r>
      <w:bookmarkEnd w:id="70"/>
    </w:p>
    <w:p w14:paraId="0FB29ED3" w14:textId="77777777" w:rsidR="00A4310A" w:rsidRDefault="00A4310A" w:rsidP="00A4310A">
      <w:pPr>
        <w:rPr>
          <w:lang w:val="en-US"/>
        </w:rPr>
      </w:pPr>
    </w:p>
    <w:p w14:paraId="22BCF5D8" w14:textId="410ACE15" w:rsidR="00A4310A" w:rsidRPr="00A4310A" w:rsidRDefault="00A4310A" w:rsidP="00D01C3F">
      <w:pPr>
        <w:pStyle w:val="Heading2"/>
      </w:pPr>
      <w:bookmarkStart w:id="71" w:name="_Toc155599401"/>
      <w:r w:rsidRPr="00A4310A">
        <w:t>Annex 1</w:t>
      </w:r>
      <w:bookmarkEnd w:id="71"/>
    </w:p>
    <w:p w14:paraId="497AFC64" w14:textId="77777777" w:rsidR="00B4176A" w:rsidRDefault="00B4176A" w:rsidP="00B4176A">
      <w:pPr>
        <w:spacing w:line="264" w:lineRule="auto"/>
        <w:jc w:val="center"/>
        <w:rPr>
          <w:rFonts w:cstheme="minorHAnsi"/>
          <w:b/>
        </w:rPr>
      </w:pPr>
    </w:p>
    <w:p w14:paraId="76075304" w14:textId="77777777" w:rsidR="00A4310A" w:rsidRPr="007C3EC5" w:rsidRDefault="00A4310A" w:rsidP="00A4310A">
      <w:pPr>
        <w:rPr>
          <w:b/>
          <w:bCs/>
          <w:u w:val="single"/>
          <w:lang w:val="en-US"/>
        </w:rPr>
      </w:pPr>
      <w:r w:rsidRPr="007C3EC5">
        <w:rPr>
          <w:b/>
          <w:bCs/>
          <w:color w:val="0070C0"/>
          <w:u w:val="single"/>
          <w:lang w:val="en-US"/>
        </w:rPr>
        <w:t xml:space="preserve">Methodological Framework for the evaluation of </w:t>
      </w:r>
      <w:r>
        <w:rPr>
          <w:b/>
          <w:bCs/>
          <w:color w:val="0070C0"/>
          <w:u w:val="single"/>
          <w:lang w:val="en-US"/>
        </w:rPr>
        <w:t>UNDP Georgia project: “Creating Better Lifelong Learning Opportunities through Local Partnerships (CBLLL)”</w:t>
      </w:r>
    </w:p>
    <w:p w14:paraId="1208C23B" w14:textId="77777777" w:rsidR="00A4310A" w:rsidRPr="007C3EC5" w:rsidRDefault="00A4310A" w:rsidP="00A4310A">
      <w:pPr>
        <w:rPr>
          <w:lang w:val="en-US"/>
        </w:rPr>
      </w:pPr>
    </w:p>
    <w:tbl>
      <w:tblPr>
        <w:tblStyle w:val="ListTable3-Accent11"/>
        <w:tblpPr w:leftFromText="141" w:rightFromText="141" w:vertAnchor="text" w:tblpY="1"/>
        <w:tblW w:w="13788" w:type="dxa"/>
        <w:tblLayout w:type="fixed"/>
        <w:tblLook w:val="04A0" w:firstRow="1" w:lastRow="0" w:firstColumn="1" w:lastColumn="0" w:noHBand="0" w:noVBand="1"/>
      </w:tblPr>
      <w:tblGrid>
        <w:gridCol w:w="1818"/>
        <w:gridCol w:w="4273"/>
        <w:gridCol w:w="2976"/>
        <w:gridCol w:w="142"/>
        <w:gridCol w:w="2410"/>
        <w:gridCol w:w="2169"/>
      </w:tblGrid>
      <w:tr w:rsidR="00A4310A" w:rsidRPr="007C3EC5" w14:paraId="21D07C0B" w14:textId="77777777" w:rsidTr="002D232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18" w:type="dxa"/>
          </w:tcPr>
          <w:p w14:paraId="75101BFC" w14:textId="77777777" w:rsidR="00A4310A" w:rsidRPr="007C3EC5" w:rsidRDefault="00A4310A" w:rsidP="002D232A">
            <w:pPr>
              <w:rPr>
                <w:sz w:val="22"/>
                <w:szCs w:val="21"/>
                <w:lang w:val="en-US"/>
              </w:rPr>
            </w:pPr>
            <w:r w:rsidRPr="007C3EC5">
              <w:rPr>
                <w:sz w:val="22"/>
                <w:szCs w:val="21"/>
                <w:lang w:val="en-US"/>
              </w:rPr>
              <w:t>Evaluation Criteria (OECD/DAC)</w:t>
            </w:r>
          </w:p>
        </w:tc>
        <w:tc>
          <w:tcPr>
            <w:tcW w:w="4273" w:type="dxa"/>
          </w:tcPr>
          <w:p w14:paraId="060E887D" w14:textId="77777777" w:rsidR="00A4310A" w:rsidRPr="007C3EC5" w:rsidRDefault="00A4310A" w:rsidP="002D232A">
            <w:pPr>
              <w:cnfStyle w:val="100000000000" w:firstRow="1" w:lastRow="0" w:firstColumn="0" w:lastColumn="0" w:oddVBand="0" w:evenVBand="0" w:oddHBand="0" w:evenHBand="0" w:firstRowFirstColumn="0" w:firstRowLastColumn="0" w:lastRowFirstColumn="0" w:lastRowLastColumn="0"/>
              <w:rPr>
                <w:sz w:val="22"/>
                <w:szCs w:val="21"/>
                <w:lang w:val="en-US"/>
              </w:rPr>
            </w:pPr>
            <w:r w:rsidRPr="007C3EC5">
              <w:rPr>
                <w:sz w:val="22"/>
                <w:szCs w:val="21"/>
                <w:lang w:val="en-US"/>
              </w:rPr>
              <w:t xml:space="preserve">Key evaluation questions </w:t>
            </w:r>
          </w:p>
        </w:tc>
        <w:tc>
          <w:tcPr>
            <w:tcW w:w="2976" w:type="dxa"/>
          </w:tcPr>
          <w:p w14:paraId="7696D349" w14:textId="77777777" w:rsidR="00A4310A" w:rsidRPr="007C3EC5" w:rsidRDefault="00A4310A" w:rsidP="002D232A">
            <w:pPr>
              <w:cnfStyle w:val="100000000000" w:firstRow="1" w:lastRow="0" w:firstColumn="0" w:lastColumn="0" w:oddVBand="0" w:evenVBand="0" w:oddHBand="0" w:evenHBand="0" w:firstRowFirstColumn="0" w:firstRowLastColumn="0" w:lastRowFirstColumn="0" w:lastRowLastColumn="0"/>
              <w:rPr>
                <w:sz w:val="22"/>
                <w:szCs w:val="21"/>
                <w:lang w:val="en-US"/>
              </w:rPr>
            </w:pPr>
            <w:r w:rsidRPr="007C3EC5">
              <w:rPr>
                <w:sz w:val="22"/>
                <w:szCs w:val="21"/>
                <w:lang w:val="en-US"/>
              </w:rPr>
              <w:t>Indicators</w:t>
            </w:r>
            <w:r>
              <w:rPr>
                <w:sz w:val="22"/>
                <w:szCs w:val="21"/>
                <w:lang w:val="en-US"/>
              </w:rPr>
              <w:t>/success standards</w:t>
            </w:r>
            <w:r w:rsidRPr="007C3EC5">
              <w:rPr>
                <w:sz w:val="22"/>
                <w:szCs w:val="21"/>
                <w:lang w:val="en-US"/>
              </w:rPr>
              <w:t xml:space="preserve"> </w:t>
            </w:r>
          </w:p>
        </w:tc>
        <w:tc>
          <w:tcPr>
            <w:tcW w:w="2552" w:type="dxa"/>
            <w:gridSpan w:val="2"/>
          </w:tcPr>
          <w:p w14:paraId="13349A59" w14:textId="77777777" w:rsidR="00A4310A" w:rsidRPr="007C3EC5" w:rsidRDefault="00A4310A" w:rsidP="002D232A">
            <w:pPr>
              <w:cnfStyle w:val="100000000000" w:firstRow="1" w:lastRow="0" w:firstColumn="0" w:lastColumn="0" w:oddVBand="0" w:evenVBand="0" w:oddHBand="0" w:evenHBand="0" w:firstRowFirstColumn="0" w:firstRowLastColumn="0" w:lastRowFirstColumn="0" w:lastRowLastColumn="0"/>
              <w:rPr>
                <w:sz w:val="22"/>
                <w:szCs w:val="21"/>
                <w:lang w:val="en-US"/>
              </w:rPr>
            </w:pPr>
            <w:r w:rsidRPr="007C3EC5">
              <w:rPr>
                <w:sz w:val="22"/>
                <w:szCs w:val="21"/>
                <w:lang w:val="en-US"/>
              </w:rPr>
              <w:t>Data Sources</w:t>
            </w:r>
          </w:p>
        </w:tc>
        <w:tc>
          <w:tcPr>
            <w:tcW w:w="2169" w:type="dxa"/>
          </w:tcPr>
          <w:p w14:paraId="64120180" w14:textId="77777777" w:rsidR="00A4310A" w:rsidRPr="007C3EC5" w:rsidRDefault="00A4310A" w:rsidP="002D232A">
            <w:pPr>
              <w:cnfStyle w:val="100000000000" w:firstRow="1" w:lastRow="0" w:firstColumn="0" w:lastColumn="0" w:oddVBand="0" w:evenVBand="0" w:oddHBand="0" w:evenHBand="0" w:firstRowFirstColumn="0" w:firstRowLastColumn="0" w:lastRowFirstColumn="0" w:lastRowLastColumn="0"/>
              <w:rPr>
                <w:sz w:val="22"/>
                <w:szCs w:val="21"/>
                <w:lang w:val="en-US"/>
              </w:rPr>
            </w:pPr>
            <w:r w:rsidRPr="007C3EC5">
              <w:rPr>
                <w:sz w:val="22"/>
                <w:szCs w:val="21"/>
                <w:lang w:val="en-US"/>
              </w:rPr>
              <w:t>Data Collection Methods</w:t>
            </w:r>
          </w:p>
        </w:tc>
      </w:tr>
      <w:tr w:rsidR="00A4310A" w:rsidRPr="007C3EC5" w14:paraId="19772EC4" w14:textId="77777777" w:rsidTr="002D23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56338517" w14:textId="77777777" w:rsidR="00A4310A" w:rsidRPr="007C3EC5" w:rsidRDefault="00A4310A" w:rsidP="002D232A">
            <w:pPr>
              <w:rPr>
                <w:sz w:val="22"/>
                <w:szCs w:val="21"/>
                <w:lang w:val="en-US"/>
              </w:rPr>
            </w:pPr>
            <w:r w:rsidRPr="007C3EC5">
              <w:rPr>
                <w:sz w:val="22"/>
                <w:szCs w:val="21"/>
                <w:lang w:val="en-US"/>
              </w:rPr>
              <w:t>Relevance</w:t>
            </w:r>
            <w:r>
              <w:rPr>
                <w:sz w:val="22"/>
                <w:szCs w:val="21"/>
                <w:lang w:val="en-US"/>
              </w:rPr>
              <w:t>/Coherence</w:t>
            </w:r>
          </w:p>
        </w:tc>
        <w:tc>
          <w:tcPr>
            <w:tcW w:w="4273" w:type="dxa"/>
          </w:tcPr>
          <w:p w14:paraId="1185AE0E" w14:textId="77777777" w:rsidR="00A4310A" w:rsidRPr="009678AF" w:rsidRDefault="00A4310A" w:rsidP="002D232A">
            <w:pPr>
              <w:cnfStyle w:val="000000100000" w:firstRow="0" w:lastRow="0" w:firstColumn="0" w:lastColumn="0" w:oddVBand="0" w:evenVBand="0" w:oddHBand="1" w:evenHBand="0" w:firstRowFirstColumn="0" w:firstRowLastColumn="0" w:lastRowFirstColumn="0" w:lastRowLastColumn="0"/>
              <w:rPr>
                <w:lang w:val="en-US" w:eastAsia="en-GB"/>
              </w:rPr>
            </w:pPr>
            <w:r w:rsidRPr="009678AF">
              <w:rPr>
                <w:lang w:val="en-US" w:eastAsia="en-GB"/>
              </w:rPr>
              <w:t>To what extent was the project in line with national development priorities, country program outputs and outcomes, the UNDP Strategic Plan, and the SDGs?</w:t>
            </w:r>
          </w:p>
          <w:p w14:paraId="50731BBD" w14:textId="77777777" w:rsidR="00A4310A" w:rsidRPr="009678AF" w:rsidRDefault="00A4310A" w:rsidP="002D232A">
            <w:pPr>
              <w:cnfStyle w:val="000000100000" w:firstRow="0" w:lastRow="0" w:firstColumn="0" w:lastColumn="0" w:oddVBand="0" w:evenVBand="0" w:oddHBand="1" w:evenHBand="0" w:firstRowFirstColumn="0" w:firstRowLastColumn="0" w:lastRowFirstColumn="0" w:lastRowLastColumn="0"/>
              <w:rPr>
                <w:lang w:val="en-US" w:eastAsia="en-GB"/>
              </w:rPr>
            </w:pPr>
            <w:r w:rsidRPr="009678AF">
              <w:rPr>
                <w:lang w:val="en-US" w:eastAsia="en-GB"/>
              </w:rPr>
              <w:t>To what extent was the project aligned with the national strategies and priorities in the vocational education field?</w:t>
            </w:r>
          </w:p>
          <w:p w14:paraId="6AFBF487" w14:textId="77777777" w:rsidR="00A4310A" w:rsidRPr="009678AF" w:rsidRDefault="00A4310A" w:rsidP="002D232A">
            <w:pPr>
              <w:cnfStyle w:val="000000100000" w:firstRow="0" w:lastRow="0" w:firstColumn="0" w:lastColumn="0" w:oddVBand="0" w:evenVBand="0" w:oddHBand="1" w:evenHBand="0" w:firstRowFirstColumn="0" w:firstRowLastColumn="0" w:lastRowFirstColumn="0" w:lastRowLastColumn="0"/>
              <w:rPr>
                <w:lang w:val="en-US" w:eastAsia="en-GB"/>
              </w:rPr>
            </w:pPr>
            <w:r w:rsidRPr="009678AF">
              <w:rPr>
                <w:lang w:val="en-US" w:eastAsia="en-GB"/>
              </w:rPr>
              <w:t>To what extent were lessons learned from</w:t>
            </w:r>
            <w:r>
              <w:rPr>
                <w:lang w:val="en-US" w:eastAsia="en-GB"/>
              </w:rPr>
              <w:t>, and coordination with,</w:t>
            </w:r>
            <w:r w:rsidRPr="009678AF">
              <w:rPr>
                <w:lang w:val="en-US" w:eastAsia="en-GB"/>
              </w:rPr>
              <w:t xml:space="preserve"> other relevant projects considered in the design?</w:t>
            </w:r>
          </w:p>
          <w:p w14:paraId="5EE0DB33" w14:textId="77777777" w:rsidR="00A4310A" w:rsidRPr="009678AF" w:rsidRDefault="00A4310A" w:rsidP="002D232A">
            <w:pPr>
              <w:cnfStyle w:val="000000100000" w:firstRow="0" w:lastRow="0" w:firstColumn="0" w:lastColumn="0" w:oddVBand="0" w:evenVBand="0" w:oddHBand="1" w:evenHBand="0" w:firstRowFirstColumn="0" w:firstRowLastColumn="0" w:lastRowFirstColumn="0" w:lastRowLastColumn="0"/>
              <w:rPr>
                <w:lang w:val="en-US" w:eastAsia="en-GB"/>
              </w:rPr>
            </w:pPr>
            <w:r w:rsidRPr="009678AF">
              <w:rPr>
                <w:lang w:val="en-US" w:eastAsia="en-GB"/>
              </w:rPr>
              <w:t>To what extent has the project been appropriately responsive to political, legal, economic, institutional, etc., changes in the country?</w:t>
            </w:r>
          </w:p>
          <w:p w14:paraId="73460C9D" w14:textId="77777777" w:rsidR="00A4310A" w:rsidRPr="007C3EC5"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p>
        </w:tc>
        <w:tc>
          <w:tcPr>
            <w:tcW w:w="3118" w:type="dxa"/>
            <w:gridSpan w:val="2"/>
          </w:tcPr>
          <w:p w14:paraId="615EE21D" w14:textId="77777777" w:rsidR="00A4310A"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r>
              <w:rPr>
                <w:sz w:val="22"/>
                <w:szCs w:val="21"/>
                <w:lang w:val="en-US"/>
              </w:rPr>
              <w:t>VET explicitly addressed as a priority tool to address poverty in Georgia</w:t>
            </w:r>
            <w:r w:rsidRPr="007C3EC5">
              <w:rPr>
                <w:sz w:val="22"/>
                <w:szCs w:val="21"/>
                <w:lang w:val="en-US"/>
              </w:rPr>
              <w:t xml:space="preserve"> </w:t>
            </w:r>
          </w:p>
          <w:p w14:paraId="10154EC6" w14:textId="77777777" w:rsidR="00A4310A"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p>
          <w:p w14:paraId="1C7BCC69" w14:textId="77777777" w:rsidR="00A4310A" w:rsidRPr="007C3EC5" w:rsidRDefault="00A4310A" w:rsidP="002D232A">
            <w:pPr>
              <w:cnfStyle w:val="000000100000" w:firstRow="0" w:lastRow="0" w:firstColumn="0" w:lastColumn="0" w:oddVBand="0" w:evenVBand="0" w:oddHBand="1" w:evenHBand="0" w:firstRowFirstColumn="0" w:firstRowLastColumn="0" w:lastRowFirstColumn="0" w:lastRowLastColumn="0"/>
              <w:rPr>
                <w:sz w:val="22"/>
                <w:szCs w:val="21"/>
                <w:highlight w:val="yellow"/>
                <w:lang w:val="en-US"/>
              </w:rPr>
            </w:pPr>
            <w:r>
              <w:rPr>
                <w:sz w:val="22"/>
                <w:szCs w:val="21"/>
                <w:lang w:val="en-US"/>
              </w:rPr>
              <w:t>Initial draft project design adapted to new circumstances and avoiding overlap with similar projects</w:t>
            </w:r>
          </w:p>
        </w:tc>
        <w:tc>
          <w:tcPr>
            <w:tcW w:w="2410" w:type="dxa"/>
          </w:tcPr>
          <w:p w14:paraId="545DA0C0" w14:textId="77777777" w:rsidR="00A4310A" w:rsidRPr="007C3EC5"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r>
              <w:rPr>
                <w:sz w:val="22"/>
                <w:szCs w:val="21"/>
                <w:lang w:val="en-US"/>
              </w:rPr>
              <w:t>National policies &amp; development plans, UNDP Strategic Plan, SDGs.</w:t>
            </w:r>
          </w:p>
          <w:p w14:paraId="26ECBFF7" w14:textId="77777777" w:rsidR="00A4310A" w:rsidRPr="007C3EC5"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r>
              <w:rPr>
                <w:sz w:val="22"/>
                <w:szCs w:val="21"/>
                <w:lang w:val="en-US"/>
              </w:rPr>
              <w:t>UNDP Georgia Team, MoES, Skills Agency</w:t>
            </w:r>
          </w:p>
        </w:tc>
        <w:tc>
          <w:tcPr>
            <w:tcW w:w="2169" w:type="dxa"/>
          </w:tcPr>
          <w:p w14:paraId="638D34E1" w14:textId="77777777" w:rsidR="00A4310A" w:rsidRPr="007C3EC5"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r>
              <w:rPr>
                <w:sz w:val="22"/>
                <w:szCs w:val="21"/>
                <w:lang w:val="en-US"/>
              </w:rPr>
              <w:t>Document review &amp; in-depth interviews</w:t>
            </w:r>
            <w:r w:rsidRPr="007C3EC5">
              <w:rPr>
                <w:sz w:val="22"/>
                <w:szCs w:val="21"/>
                <w:lang w:val="en-US"/>
              </w:rPr>
              <w:t xml:space="preserve">  </w:t>
            </w:r>
          </w:p>
          <w:p w14:paraId="3B3286E3" w14:textId="77777777" w:rsidR="00A4310A" w:rsidRPr="007C3EC5"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p>
          <w:p w14:paraId="1C6D8291" w14:textId="77777777" w:rsidR="00A4310A" w:rsidRPr="007C3EC5"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p>
          <w:p w14:paraId="3036AED2" w14:textId="77777777" w:rsidR="00A4310A" w:rsidRPr="007C3EC5"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p>
          <w:p w14:paraId="3CDD8655" w14:textId="77777777" w:rsidR="00A4310A" w:rsidRPr="007C3EC5"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p>
        </w:tc>
      </w:tr>
      <w:tr w:rsidR="00A4310A" w:rsidRPr="007C3EC5" w14:paraId="04385E2B" w14:textId="77777777" w:rsidTr="002D232A">
        <w:tc>
          <w:tcPr>
            <w:cnfStyle w:val="001000000000" w:firstRow="0" w:lastRow="0" w:firstColumn="1" w:lastColumn="0" w:oddVBand="0" w:evenVBand="0" w:oddHBand="0" w:evenHBand="0" w:firstRowFirstColumn="0" w:firstRowLastColumn="0" w:lastRowFirstColumn="0" w:lastRowLastColumn="0"/>
            <w:tcW w:w="1818" w:type="dxa"/>
          </w:tcPr>
          <w:p w14:paraId="0C49DE69" w14:textId="77777777" w:rsidR="00A4310A" w:rsidRPr="007C3EC5" w:rsidRDefault="00A4310A" w:rsidP="002D232A">
            <w:pPr>
              <w:rPr>
                <w:sz w:val="22"/>
                <w:szCs w:val="21"/>
                <w:lang w:val="en-US"/>
              </w:rPr>
            </w:pPr>
            <w:r w:rsidRPr="007C3EC5">
              <w:rPr>
                <w:sz w:val="22"/>
                <w:szCs w:val="21"/>
                <w:lang w:val="en-US"/>
              </w:rPr>
              <w:t>Effectiveness</w:t>
            </w:r>
          </w:p>
        </w:tc>
        <w:tc>
          <w:tcPr>
            <w:tcW w:w="4273" w:type="dxa"/>
          </w:tcPr>
          <w:p w14:paraId="08E62762" w14:textId="77777777" w:rsidR="00A4310A" w:rsidRPr="0001184C" w:rsidRDefault="00A4310A" w:rsidP="002D232A">
            <w:pPr>
              <w:cnfStyle w:val="000000000000" w:firstRow="0" w:lastRow="0" w:firstColumn="0" w:lastColumn="0" w:oddVBand="0" w:evenVBand="0" w:oddHBand="0" w:evenHBand="0" w:firstRowFirstColumn="0" w:firstRowLastColumn="0" w:lastRowFirstColumn="0" w:lastRowLastColumn="0"/>
              <w:rPr>
                <w:sz w:val="22"/>
                <w:szCs w:val="21"/>
                <w:lang w:val="en-US"/>
              </w:rPr>
            </w:pPr>
            <w:r w:rsidRPr="0001184C">
              <w:rPr>
                <w:sz w:val="22"/>
                <w:szCs w:val="21"/>
                <w:lang w:val="en-US"/>
              </w:rPr>
              <w:t>To what extent were the project outputs, outcome and impact achieved, considering men, women, and vulnerable groups?</w:t>
            </w:r>
          </w:p>
          <w:p w14:paraId="008187CA" w14:textId="77777777" w:rsidR="00A4310A" w:rsidRPr="0001184C" w:rsidRDefault="00A4310A" w:rsidP="002D232A">
            <w:pPr>
              <w:cnfStyle w:val="000000000000" w:firstRow="0" w:lastRow="0" w:firstColumn="0" w:lastColumn="0" w:oddVBand="0" w:evenVBand="0" w:oddHBand="0" w:evenHBand="0" w:firstRowFirstColumn="0" w:firstRowLastColumn="0" w:lastRowFirstColumn="0" w:lastRowLastColumn="0"/>
              <w:rPr>
                <w:sz w:val="22"/>
                <w:szCs w:val="21"/>
                <w:lang w:val="en-US"/>
              </w:rPr>
            </w:pPr>
            <w:r w:rsidRPr="0001184C">
              <w:rPr>
                <w:sz w:val="22"/>
                <w:szCs w:val="21"/>
                <w:lang w:val="en-US"/>
              </w:rPr>
              <w:lastRenderedPageBreak/>
              <w:t>What factors have contributed to achieving, or not, intended project outputs and outcomes?</w:t>
            </w:r>
          </w:p>
          <w:p w14:paraId="0442F1CE" w14:textId="77777777" w:rsidR="00A4310A" w:rsidRPr="0001184C" w:rsidRDefault="00A4310A" w:rsidP="002D232A">
            <w:pPr>
              <w:cnfStyle w:val="000000000000" w:firstRow="0" w:lastRow="0" w:firstColumn="0" w:lastColumn="0" w:oddVBand="0" w:evenVBand="0" w:oddHBand="0" w:evenHBand="0" w:firstRowFirstColumn="0" w:firstRowLastColumn="0" w:lastRowFirstColumn="0" w:lastRowLastColumn="0"/>
              <w:rPr>
                <w:sz w:val="22"/>
                <w:szCs w:val="21"/>
                <w:lang w:val="en-US"/>
              </w:rPr>
            </w:pPr>
            <w:r w:rsidRPr="0001184C">
              <w:rPr>
                <w:sz w:val="22"/>
                <w:szCs w:val="21"/>
                <w:lang w:val="en-US"/>
              </w:rPr>
              <w:t>To what extent has UNDP Georgia’s partnerships with all respective stakeholders been appropriate and effective?</w:t>
            </w:r>
          </w:p>
          <w:p w14:paraId="17431FC4" w14:textId="77777777" w:rsidR="00A4310A" w:rsidRPr="0001184C" w:rsidRDefault="00A4310A" w:rsidP="002D232A">
            <w:pPr>
              <w:cnfStyle w:val="000000000000" w:firstRow="0" w:lastRow="0" w:firstColumn="0" w:lastColumn="0" w:oddVBand="0" w:evenVBand="0" w:oddHBand="0" w:evenHBand="0" w:firstRowFirstColumn="0" w:firstRowLastColumn="0" w:lastRowFirstColumn="0" w:lastRowLastColumn="0"/>
              <w:rPr>
                <w:sz w:val="22"/>
                <w:szCs w:val="21"/>
                <w:lang w:val="en-US"/>
              </w:rPr>
            </w:pPr>
            <w:r w:rsidRPr="0001184C">
              <w:rPr>
                <w:sz w:val="22"/>
                <w:szCs w:val="21"/>
                <w:lang w:val="en-US"/>
              </w:rPr>
              <w:t>What factors contributed to effectiveness or ineffectiveness?</w:t>
            </w:r>
          </w:p>
          <w:p w14:paraId="05265C76" w14:textId="77777777" w:rsidR="00A4310A" w:rsidRPr="0001184C" w:rsidRDefault="00A4310A" w:rsidP="002D232A">
            <w:pPr>
              <w:cnfStyle w:val="000000000000" w:firstRow="0" w:lastRow="0" w:firstColumn="0" w:lastColumn="0" w:oddVBand="0" w:evenVBand="0" w:oddHBand="0" w:evenHBand="0" w:firstRowFirstColumn="0" w:firstRowLastColumn="0" w:lastRowFirstColumn="0" w:lastRowLastColumn="0"/>
              <w:rPr>
                <w:sz w:val="22"/>
                <w:szCs w:val="21"/>
                <w:lang w:val="en-US"/>
              </w:rPr>
            </w:pPr>
            <w:r w:rsidRPr="0001184C">
              <w:rPr>
                <w:sz w:val="22"/>
                <w:szCs w:val="21"/>
                <w:lang w:val="en-US"/>
              </w:rPr>
              <w:t>In which areas does the project have the greatest achievements? Why and what have been the supporting factors? How can the project build on or expand these achievements?</w:t>
            </w:r>
          </w:p>
          <w:p w14:paraId="2BB5BC31" w14:textId="77777777" w:rsidR="00A4310A" w:rsidRPr="0001184C" w:rsidRDefault="00A4310A" w:rsidP="002D232A">
            <w:pPr>
              <w:cnfStyle w:val="000000000000" w:firstRow="0" w:lastRow="0" w:firstColumn="0" w:lastColumn="0" w:oddVBand="0" w:evenVBand="0" w:oddHBand="0" w:evenHBand="0" w:firstRowFirstColumn="0" w:firstRowLastColumn="0" w:lastRowFirstColumn="0" w:lastRowLastColumn="0"/>
              <w:rPr>
                <w:sz w:val="22"/>
                <w:szCs w:val="21"/>
                <w:lang w:val="en-US"/>
              </w:rPr>
            </w:pPr>
            <w:r w:rsidRPr="0001184C">
              <w:rPr>
                <w:sz w:val="22"/>
                <w:szCs w:val="21"/>
                <w:lang w:val="en-US"/>
              </w:rPr>
              <w:t>In which areas does the project have the fewest achievements? What have been the constraining factors and why? How can or could they be overcome?</w:t>
            </w:r>
          </w:p>
          <w:p w14:paraId="76017EF8" w14:textId="77777777" w:rsidR="00A4310A" w:rsidRPr="0001184C" w:rsidRDefault="00A4310A" w:rsidP="002D232A">
            <w:pPr>
              <w:cnfStyle w:val="000000000000" w:firstRow="0" w:lastRow="0" w:firstColumn="0" w:lastColumn="0" w:oddVBand="0" w:evenVBand="0" w:oddHBand="0" w:evenHBand="0" w:firstRowFirstColumn="0" w:firstRowLastColumn="0" w:lastRowFirstColumn="0" w:lastRowLastColumn="0"/>
              <w:rPr>
                <w:sz w:val="22"/>
                <w:szCs w:val="21"/>
                <w:lang w:val="en-US"/>
              </w:rPr>
            </w:pPr>
            <w:r w:rsidRPr="0001184C">
              <w:rPr>
                <w:sz w:val="22"/>
                <w:szCs w:val="21"/>
                <w:lang w:val="en-US"/>
              </w:rPr>
              <w:t>What, if any, alternative strategies would have been more effective in achieving the project objectives?</w:t>
            </w:r>
          </w:p>
          <w:p w14:paraId="3270D3F9" w14:textId="77777777" w:rsidR="00A4310A" w:rsidRPr="007C3EC5" w:rsidRDefault="00A4310A" w:rsidP="002D232A">
            <w:pPr>
              <w:cnfStyle w:val="000000000000" w:firstRow="0" w:lastRow="0" w:firstColumn="0" w:lastColumn="0" w:oddVBand="0" w:evenVBand="0" w:oddHBand="0" w:evenHBand="0" w:firstRowFirstColumn="0" w:firstRowLastColumn="0" w:lastRowFirstColumn="0" w:lastRowLastColumn="0"/>
              <w:rPr>
                <w:sz w:val="22"/>
                <w:szCs w:val="21"/>
                <w:lang w:val="en-US"/>
              </w:rPr>
            </w:pPr>
          </w:p>
        </w:tc>
        <w:tc>
          <w:tcPr>
            <w:tcW w:w="3118" w:type="dxa"/>
            <w:gridSpan w:val="2"/>
          </w:tcPr>
          <w:p w14:paraId="2D80D63E" w14:textId="77777777" w:rsidR="00A4310A" w:rsidRDefault="00A4310A" w:rsidP="002D232A">
            <w:pPr>
              <w:cnfStyle w:val="000000000000" w:firstRow="0" w:lastRow="0" w:firstColumn="0" w:lastColumn="0" w:oddVBand="0" w:evenVBand="0" w:oddHBand="0" w:evenHBand="0" w:firstRowFirstColumn="0" w:firstRowLastColumn="0" w:lastRowFirstColumn="0" w:lastRowLastColumn="0"/>
              <w:rPr>
                <w:sz w:val="22"/>
                <w:szCs w:val="21"/>
                <w:lang w:val="en-US"/>
              </w:rPr>
            </w:pPr>
            <w:r>
              <w:rPr>
                <w:sz w:val="22"/>
                <w:szCs w:val="21"/>
                <w:lang w:val="en-US"/>
              </w:rPr>
              <w:lastRenderedPageBreak/>
              <w:t>80% of targets in project results framework achieved</w:t>
            </w:r>
          </w:p>
          <w:p w14:paraId="42A7D9BF" w14:textId="77777777" w:rsidR="00A4310A" w:rsidRDefault="00A4310A" w:rsidP="002D232A">
            <w:pPr>
              <w:cnfStyle w:val="000000000000" w:firstRow="0" w:lastRow="0" w:firstColumn="0" w:lastColumn="0" w:oddVBand="0" w:evenVBand="0" w:oddHBand="0" w:evenHBand="0" w:firstRowFirstColumn="0" w:firstRowLastColumn="0" w:lastRowFirstColumn="0" w:lastRowLastColumn="0"/>
              <w:rPr>
                <w:sz w:val="22"/>
                <w:szCs w:val="21"/>
                <w:lang w:val="en-US"/>
              </w:rPr>
            </w:pPr>
          </w:p>
          <w:p w14:paraId="3C594A54" w14:textId="77777777" w:rsidR="00A4310A" w:rsidRDefault="00A4310A" w:rsidP="002D232A">
            <w:pPr>
              <w:cnfStyle w:val="000000000000" w:firstRow="0" w:lastRow="0" w:firstColumn="0" w:lastColumn="0" w:oddVBand="0" w:evenVBand="0" w:oddHBand="0" w:evenHBand="0" w:firstRowFirstColumn="0" w:firstRowLastColumn="0" w:lastRowFirstColumn="0" w:lastRowLastColumn="0"/>
              <w:rPr>
                <w:sz w:val="22"/>
                <w:szCs w:val="21"/>
                <w:lang w:val="en-US"/>
              </w:rPr>
            </w:pPr>
            <w:r>
              <w:rPr>
                <w:sz w:val="22"/>
                <w:szCs w:val="21"/>
                <w:lang w:val="en-US"/>
              </w:rPr>
              <w:t>Identification of three or more factors of success</w:t>
            </w:r>
          </w:p>
          <w:p w14:paraId="48855F78" w14:textId="77777777" w:rsidR="00A4310A" w:rsidRDefault="00A4310A" w:rsidP="002D232A">
            <w:pPr>
              <w:cnfStyle w:val="000000000000" w:firstRow="0" w:lastRow="0" w:firstColumn="0" w:lastColumn="0" w:oddVBand="0" w:evenVBand="0" w:oddHBand="0" w:evenHBand="0" w:firstRowFirstColumn="0" w:firstRowLastColumn="0" w:lastRowFirstColumn="0" w:lastRowLastColumn="0"/>
              <w:rPr>
                <w:sz w:val="22"/>
                <w:szCs w:val="21"/>
                <w:lang w:val="en-US"/>
              </w:rPr>
            </w:pPr>
          </w:p>
          <w:p w14:paraId="3FAC4819" w14:textId="77777777" w:rsidR="00A4310A" w:rsidRPr="007C3EC5" w:rsidRDefault="00A4310A" w:rsidP="002D232A">
            <w:pPr>
              <w:cnfStyle w:val="000000000000" w:firstRow="0" w:lastRow="0" w:firstColumn="0" w:lastColumn="0" w:oddVBand="0" w:evenVBand="0" w:oddHBand="0" w:evenHBand="0" w:firstRowFirstColumn="0" w:firstRowLastColumn="0" w:lastRowFirstColumn="0" w:lastRowLastColumn="0"/>
              <w:rPr>
                <w:sz w:val="22"/>
                <w:szCs w:val="21"/>
                <w:lang w:val="en-US"/>
              </w:rPr>
            </w:pPr>
            <w:r>
              <w:rPr>
                <w:sz w:val="22"/>
                <w:szCs w:val="21"/>
                <w:lang w:val="en-US"/>
              </w:rPr>
              <w:t>Identification of three or more hindrances/blockages to success</w:t>
            </w:r>
          </w:p>
        </w:tc>
        <w:tc>
          <w:tcPr>
            <w:tcW w:w="2410" w:type="dxa"/>
          </w:tcPr>
          <w:p w14:paraId="4F56C830" w14:textId="77777777" w:rsidR="00A4310A" w:rsidRPr="005E2DB5" w:rsidRDefault="00A4310A" w:rsidP="002D232A">
            <w:pPr>
              <w:cnfStyle w:val="000000000000" w:firstRow="0" w:lastRow="0" w:firstColumn="0" w:lastColumn="0" w:oddVBand="0" w:evenVBand="0" w:oddHBand="0" w:evenHBand="0" w:firstRowFirstColumn="0" w:firstRowLastColumn="0" w:lastRowFirstColumn="0" w:lastRowLastColumn="0"/>
              <w:rPr>
                <w:sz w:val="22"/>
                <w:szCs w:val="21"/>
                <w:lang w:val="en-US"/>
              </w:rPr>
            </w:pPr>
            <w:r>
              <w:rPr>
                <w:sz w:val="22"/>
                <w:szCs w:val="21"/>
                <w:lang w:val="en-US"/>
              </w:rPr>
              <w:lastRenderedPageBreak/>
              <w:t xml:space="preserve">Project Progress Reports, </w:t>
            </w:r>
            <w:r w:rsidRPr="005E2DB5">
              <w:rPr>
                <w:sz w:val="22"/>
                <w:szCs w:val="21"/>
                <w:lang w:val="en-US"/>
              </w:rPr>
              <w:t xml:space="preserve">UNDP Georgia Team, EU representatives, European Training </w:t>
            </w:r>
            <w:r w:rsidRPr="005E2DB5">
              <w:rPr>
                <w:sz w:val="22"/>
                <w:szCs w:val="21"/>
                <w:lang w:val="en-US"/>
              </w:rPr>
              <w:lastRenderedPageBreak/>
              <w:t>Foundation, ADB, GIZ, international consultants collaborating with the project</w:t>
            </w:r>
            <w:r>
              <w:rPr>
                <w:sz w:val="22"/>
                <w:szCs w:val="21"/>
                <w:lang w:val="en-US"/>
              </w:rPr>
              <w:t xml:space="preserve">, </w:t>
            </w:r>
            <w:r w:rsidRPr="005E2DB5">
              <w:rPr>
                <w:sz w:val="22"/>
                <w:szCs w:val="21"/>
                <w:lang w:val="en-US"/>
              </w:rPr>
              <w:t>MoES, Skills Agency, VET collages, secondary schools, local and regional authorities</w:t>
            </w:r>
            <w:r>
              <w:rPr>
                <w:sz w:val="22"/>
                <w:szCs w:val="21"/>
                <w:lang w:val="en-US"/>
              </w:rPr>
              <w:t xml:space="preserve">, </w:t>
            </w:r>
            <w:r w:rsidRPr="005E2DB5">
              <w:rPr>
                <w:sz w:val="22"/>
                <w:szCs w:val="21"/>
                <w:lang w:val="en-US"/>
              </w:rPr>
              <w:t>Sunny House, youth clubs, Social Research and Consultation Centre, ACT</w:t>
            </w:r>
            <w:r>
              <w:rPr>
                <w:sz w:val="22"/>
                <w:szCs w:val="21"/>
                <w:lang w:val="en-US"/>
              </w:rPr>
              <w:t xml:space="preserve"> etc.</w:t>
            </w:r>
          </w:p>
          <w:p w14:paraId="4F4AC2DC" w14:textId="77777777" w:rsidR="00A4310A" w:rsidRPr="007C3EC5" w:rsidRDefault="00A4310A" w:rsidP="002D232A">
            <w:pPr>
              <w:cnfStyle w:val="000000000000" w:firstRow="0" w:lastRow="0" w:firstColumn="0" w:lastColumn="0" w:oddVBand="0" w:evenVBand="0" w:oddHBand="0" w:evenHBand="0" w:firstRowFirstColumn="0" w:firstRowLastColumn="0" w:lastRowFirstColumn="0" w:lastRowLastColumn="0"/>
              <w:rPr>
                <w:sz w:val="22"/>
                <w:szCs w:val="21"/>
                <w:lang w:val="en-US"/>
              </w:rPr>
            </w:pPr>
          </w:p>
        </w:tc>
        <w:tc>
          <w:tcPr>
            <w:tcW w:w="2169" w:type="dxa"/>
          </w:tcPr>
          <w:p w14:paraId="02226192" w14:textId="77777777" w:rsidR="00A4310A" w:rsidRPr="005E2DB5" w:rsidRDefault="00A4310A" w:rsidP="002D232A">
            <w:pPr>
              <w:cnfStyle w:val="000000000000" w:firstRow="0" w:lastRow="0" w:firstColumn="0" w:lastColumn="0" w:oddVBand="0" w:evenVBand="0" w:oddHBand="0" w:evenHBand="0" w:firstRowFirstColumn="0" w:firstRowLastColumn="0" w:lastRowFirstColumn="0" w:lastRowLastColumn="0"/>
              <w:rPr>
                <w:sz w:val="22"/>
                <w:szCs w:val="21"/>
                <w:lang w:val="en-US"/>
              </w:rPr>
            </w:pPr>
            <w:r w:rsidRPr="005E2DB5">
              <w:rPr>
                <w:sz w:val="22"/>
                <w:szCs w:val="21"/>
                <w:lang w:val="en-US"/>
              </w:rPr>
              <w:lastRenderedPageBreak/>
              <w:t xml:space="preserve">Document review &amp; in-depth interviews  </w:t>
            </w:r>
          </w:p>
          <w:p w14:paraId="7C05C3E0" w14:textId="77777777" w:rsidR="00A4310A" w:rsidRPr="007C3EC5" w:rsidRDefault="00A4310A" w:rsidP="002D232A">
            <w:pPr>
              <w:cnfStyle w:val="000000000000" w:firstRow="0" w:lastRow="0" w:firstColumn="0" w:lastColumn="0" w:oddVBand="0" w:evenVBand="0" w:oddHBand="0" w:evenHBand="0" w:firstRowFirstColumn="0" w:firstRowLastColumn="0" w:lastRowFirstColumn="0" w:lastRowLastColumn="0"/>
              <w:rPr>
                <w:sz w:val="22"/>
                <w:szCs w:val="21"/>
                <w:lang w:val="en-US"/>
              </w:rPr>
            </w:pPr>
          </w:p>
        </w:tc>
      </w:tr>
      <w:tr w:rsidR="00A4310A" w:rsidRPr="007C3EC5" w14:paraId="57B6F99D" w14:textId="77777777" w:rsidTr="002D232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818" w:type="dxa"/>
            <w:vMerge w:val="restart"/>
          </w:tcPr>
          <w:p w14:paraId="0181507F" w14:textId="77777777" w:rsidR="00A4310A" w:rsidRPr="007C3EC5" w:rsidRDefault="00A4310A" w:rsidP="002D232A">
            <w:pPr>
              <w:rPr>
                <w:sz w:val="22"/>
                <w:szCs w:val="21"/>
                <w:lang w:val="en-US"/>
              </w:rPr>
            </w:pPr>
            <w:r w:rsidRPr="007C3EC5">
              <w:rPr>
                <w:sz w:val="22"/>
                <w:szCs w:val="21"/>
                <w:lang w:val="en-US"/>
              </w:rPr>
              <w:t>Efficiency</w:t>
            </w:r>
          </w:p>
        </w:tc>
        <w:tc>
          <w:tcPr>
            <w:tcW w:w="4273" w:type="dxa"/>
            <w:vMerge w:val="restart"/>
          </w:tcPr>
          <w:p w14:paraId="58F9C671" w14:textId="77777777" w:rsidR="00A4310A" w:rsidRPr="00F65527"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r w:rsidRPr="00F65527">
              <w:rPr>
                <w:sz w:val="22"/>
                <w:szCs w:val="21"/>
                <w:lang w:val="en-US"/>
              </w:rPr>
              <w:t>To what extent was the project management structure as outlined in the project document efficient in generating the expected results?</w:t>
            </w:r>
          </w:p>
          <w:p w14:paraId="013EC0A3" w14:textId="77777777" w:rsidR="00A4310A" w:rsidRPr="00F65527"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r w:rsidRPr="00F65527">
              <w:rPr>
                <w:sz w:val="22"/>
                <w:szCs w:val="21"/>
                <w:lang w:val="en-US"/>
              </w:rPr>
              <w:t>To what extent have the CBLLL project implementation strategy and execution been efficient and cost-effective?</w:t>
            </w:r>
          </w:p>
          <w:p w14:paraId="5F70D526" w14:textId="77777777" w:rsidR="00A4310A" w:rsidRPr="00F65527"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r w:rsidRPr="00F65527">
              <w:rPr>
                <w:sz w:val="22"/>
                <w:szCs w:val="21"/>
                <w:lang w:val="en-US"/>
              </w:rPr>
              <w:t>To what extent have resources been used efficiently? Have activities supporting the strategy been cost-effective?</w:t>
            </w:r>
          </w:p>
          <w:p w14:paraId="06AE0BE5" w14:textId="77777777" w:rsidR="00A4310A" w:rsidRPr="00F65527"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r w:rsidRPr="00F65527">
              <w:rPr>
                <w:sz w:val="22"/>
                <w:szCs w:val="21"/>
                <w:lang w:val="en-US"/>
              </w:rPr>
              <w:t>To what extent have project funds and activities been delivered in a timely manner?</w:t>
            </w:r>
          </w:p>
          <w:p w14:paraId="5E0AFD26" w14:textId="77777777" w:rsidR="00A4310A" w:rsidRPr="00F65527"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r w:rsidRPr="00F65527">
              <w:rPr>
                <w:sz w:val="22"/>
                <w:szCs w:val="21"/>
                <w:lang w:val="en-US"/>
              </w:rPr>
              <w:lastRenderedPageBreak/>
              <w:t>To what extent do the M&amp;E systems utilized by UNDP Georgia ensure effective and efficient project management?</w:t>
            </w:r>
          </w:p>
          <w:p w14:paraId="669E740B" w14:textId="77777777" w:rsidR="00A4310A" w:rsidRPr="007C3EC5" w:rsidRDefault="00A4310A" w:rsidP="002D232A">
            <w:pPr>
              <w:cnfStyle w:val="000000100000" w:firstRow="0" w:lastRow="0" w:firstColumn="0" w:lastColumn="0" w:oddVBand="0" w:evenVBand="0" w:oddHBand="1" w:evenHBand="0" w:firstRowFirstColumn="0" w:firstRowLastColumn="0" w:lastRowFirstColumn="0" w:lastRowLastColumn="0"/>
              <w:rPr>
                <w:b/>
                <w:sz w:val="22"/>
                <w:szCs w:val="21"/>
                <w:lang w:val="en-US"/>
              </w:rPr>
            </w:pPr>
          </w:p>
        </w:tc>
        <w:tc>
          <w:tcPr>
            <w:tcW w:w="3118" w:type="dxa"/>
            <w:gridSpan w:val="2"/>
            <w:vMerge w:val="restart"/>
          </w:tcPr>
          <w:p w14:paraId="67D6B0A5" w14:textId="77777777" w:rsidR="00A4310A"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r w:rsidRPr="008C15E7">
              <w:rPr>
                <w:sz w:val="22"/>
                <w:szCs w:val="21"/>
                <w:lang w:val="en-US"/>
              </w:rPr>
              <w:lastRenderedPageBreak/>
              <w:t>Identifi</w:t>
            </w:r>
            <w:r>
              <w:rPr>
                <w:sz w:val="22"/>
                <w:szCs w:val="21"/>
                <w:lang w:val="en-US"/>
              </w:rPr>
              <w:t xml:space="preserve">ed </w:t>
            </w:r>
            <w:r w:rsidRPr="008C15E7">
              <w:rPr>
                <w:sz w:val="22"/>
                <w:szCs w:val="21"/>
                <w:lang w:val="en-US"/>
              </w:rPr>
              <w:t xml:space="preserve">hindrances/blockages to </w:t>
            </w:r>
            <w:r>
              <w:rPr>
                <w:sz w:val="22"/>
                <w:szCs w:val="21"/>
                <w:lang w:val="en-US"/>
              </w:rPr>
              <w:t xml:space="preserve">project </w:t>
            </w:r>
            <w:r w:rsidRPr="008C15E7">
              <w:rPr>
                <w:sz w:val="22"/>
                <w:szCs w:val="21"/>
                <w:lang w:val="en-US"/>
              </w:rPr>
              <w:t>success</w:t>
            </w:r>
            <w:r>
              <w:rPr>
                <w:sz w:val="22"/>
                <w:szCs w:val="21"/>
                <w:lang w:val="en-US"/>
              </w:rPr>
              <w:t xml:space="preserve"> not related to/related to CBLLL management structure or implementation strategy</w:t>
            </w:r>
          </w:p>
          <w:p w14:paraId="3243A44D" w14:textId="77777777" w:rsidR="00A4310A"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p>
          <w:p w14:paraId="6802E933" w14:textId="77777777" w:rsidR="00A4310A"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r>
              <w:rPr>
                <w:sz w:val="22"/>
                <w:szCs w:val="21"/>
                <w:lang w:val="en-US"/>
              </w:rPr>
              <w:t>Delays in delivery of funds and activities resulting in modification of work plans</w:t>
            </w:r>
          </w:p>
          <w:p w14:paraId="52B93174" w14:textId="77777777" w:rsidR="00A4310A"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p>
          <w:p w14:paraId="25AB0682" w14:textId="77777777" w:rsidR="00A4310A" w:rsidRPr="007C3EC5"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r>
              <w:rPr>
                <w:sz w:val="22"/>
                <w:szCs w:val="21"/>
                <w:lang w:val="en-US"/>
              </w:rPr>
              <w:t>All tools of the M&amp;E system have been used effectively</w:t>
            </w:r>
          </w:p>
        </w:tc>
        <w:tc>
          <w:tcPr>
            <w:tcW w:w="2410" w:type="dxa"/>
            <w:vMerge w:val="restart"/>
          </w:tcPr>
          <w:p w14:paraId="2D257B20" w14:textId="77777777" w:rsidR="00A4310A" w:rsidRPr="002D7AEC"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r>
              <w:rPr>
                <w:sz w:val="22"/>
                <w:szCs w:val="21"/>
                <w:lang w:val="en-US"/>
              </w:rPr>
              <w:t>Monitoring data, risk logs, p</w:t>
            </w:r>
            <w:r w:rsidRPr="002D7AEC">
              <w:rPr>
                <w:sz w:val="22"/>
                <w:szCs w:val="21"/>
                <w:lang w:val="en-US"/>
              </w:rPr>
              <w:t xml:space="preserve">roject </w:t>
            </w:r>
            <w:r>
              <w:rPr>
                <w:sz w:val="22"/>
                <w:szCs w:val="21"/>
                <w:lang w:val="en-US"/>
              </w:rPr>
              <w:t>p</w:t>
            </w:r>
            <w:r w:rsidRPr="002D7AEC">
              <w:rPr>
                <w:sz w:val="22"/>
                <w:szCs w:val="21"/>
                <w:lang w:val="en-US"/>
              </w:rPr>
              <w:t xml:space="preserve">rogress </w:t>
            </w:r>
            <w:r>
              <w:rPr>
                <w:sz w:val="22"/>
                <w:szCs w:val="21"/>
                <w:lang w:val="en-US"/>
              </w:rPr>
              <w:t>r</w:t>
            </w:r>
            <w:r w:rsidRPr="002D7AEC">
              <w:rPr>
                <w:sz w:val="22"/>
                <w:szCs w:val="21"/>
                <w:lang w:val="en-US"/>
              </w:rPr>
              <w:t xml:space="preserve">eports, UNDP Georgia Team, EU representatives, European Training Foundation, ADB, GIZ, international consultants collaborating with the project, MoES, Skills Agency, VET collages, secondary schools, local </w:t>
            </w:r>
            <w:r w:rsidRPr="002D7AEC">
              <w:rPr>
                <w:sz w:val="22"/>
                <w:szCs w:val="21"/>
                <w:lang w:val="en-US"/>
              </w:rPr>
              <w:lastRenderedPageBreak/>
              <w:t>and regional authorities, Sunny House, youth clubs, Social Research and Consultation Centre, ACT etc.</w:t>
            </w:r>
          </w:p>
          <w:p w14:paraId="11F1428F" w14:textId="77777777" w:rsidR="00A4310A" w:rsidRPr="007C3EC5"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p>
        </w:tc>
        <w:tc>
          <w:tcPr>
            <w:tcW w:w="2169" w:type="dxa"/>
            <w:vMerge w:val="restart"/>
          </w:tcPr>
          <w:p w14:paraId="6F9329CF" w14:textId="77777777" w:rsidR="00A4310A" w:rsidRPr="005E2DB5"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r w:rsidRPr="005E2DB5">
              <w:rPr>
                <w:sz w:val="22"/>
                <w:szCs w:val="21"/>
                <w:lang w:val="en-US"/>
              </w:rPr>
              <w:lastRenderedPageBreak/>
              <w:t xml:space="preserve">Document review &amp; in-depth interviews  </w:t>
            </w:r>
          </w:p>
          <w:p w14:paraId="7BB7DD70" w14:textId="77777777" w:rsidR="00A4310A" w:rsidRPr="007C3EC5"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p>
        </w:tc>
      </w:tr>
      <w:tr w:rsidR="00A4310A" w:rsidRPr="007C3EC5" w14:paraId="78D4185F" w14:textId="77777777" w:rsidTr="002D232A">
        <w:trPr>
          <w:trHeight w:val="278"/>
        </w:trPr>
        <w:tc>
          <w:tcPr>
            <w:cnfStyle w:val="001000000000" w:firstRow="0" w:lastRow="0" w:firstColumn="1" w:lastColumn="0" w:oddVBand="0" w:evenVBand="0" w:oddHBand="0" w:evenHBand="0" w:firstRowFirstColumn="0" w:firstRowLastColumn="0" w:lastRowFirstColumn="0" w:lastRowLastColumn="0"/>
            <w:tcW w:w="1818" w:type="dxa"/>
            <w:vMerge/>
          </w:tcPr>
          <w:p w14:paraId="2192D37B" w14:textId="77777777" w:rsidR="00A4310A" w:rsidRPr="007C3EC5" w:rsidRDefault="00A4310A" w:rsidP="002D232A">
            <w:pPr>
              <w:rPr>
                <w:sz w:val="22"/>
                <w:szCs w:val="21"/>
                <w:lang w:val="en-US"/>
              </w:rPr>
            </w:pPr>
          </w:p>
        </w:tc>
        <w:tc>
          <w:tcPr>
            <w:tcW w:w="4273" w:type="dxa"/>
            <w:vMerge/>
          </w:tcPr>
          <w:p w14:paraId="18C7C830" w14:textId="77777777" w:rsidR="00A4310A" w:rsidRPr="007C3EC5" w:rsidRDefault="00A4310A" w:rsidP="002D232A">
            <w:pPr>
              <w:cnfStyle w:val="000000000000" w:firstRow="0" w:lastRow="0" w:firstColumn="0" w:lastColumn="0" w:oddVBand="0" w:evenVBand="0" w:oddHBand="0" w:evenHBand="0" w:firstRowFirstColumn="0" w:firstRowLastColumn="0" w:lastRowFirstColumn="0" w:lastRowLastColumn="0"/>
              <w:rPr>
                <w:sz w:val="22"/>
                <w:szCs w:val="21"/>
                <w:lang w:val="en-US"/>
              </w:rPr>
            </w:pPr>
          </w:p>
        </w:tc>
        <w:tc>
          <w:tcPr>
            <w:tcW w:w="3118" w:type="dxa"/>
            <w:gridSpan w:val="2"/>
            <w:vMerge/>
          </w:tcPr>
          <w:p w14:paraId="43579D3F" w14:textId="77777777" w:rsidR="00A4310A" w:rsidRPr="007C3EC5" w:rsidRDefault="00A4310A" w:rsidP="002D232A">
            <w:pPr>
              <w:cnfStyle w:val="000000000000" w:firstRow="0" w:lastRow="0" w:firstColumn="0" w:lastColumn="0" w:oddVBand="0" w:evenVBand="0" w:oddHBand="0" w:evenHBand="0" w:firstRowFirstColumn="0" w:firstRowLastColumn="0" w:lastRowFirstColumn="0" w:lastRowLastColumn="0"/>
              <w:rPr>
                <w:sz w:val="22"/>
                <w:szCs w:val="21"/>
                <w:lang w:val="en-US"/>
              </w:rPr>
            </w:pPr>
          </w:p>
        </w:tc>
        <w:tc>
          <w:tcPr>
            <w:tcW w:w="2410" w:type="dxa"/>
            <w:vMerge/>
          </w:tcPr>
          <w:p w14:paraId="1338627D" w14:textId="77777777" w:rsidR="00A4310A" w:rsidRPr="007C3EC5" w:rsidRDefault="00A4310A" w:rsidP="002D232A">
            <w:pPr>
              <w:cnfStyle w:val="000000000000" w:firstRow="0" w:lastRow="0" w:firstColumn="0" w:lastColumn="0" w:oddVBand="0" w:evenVBand="0" w:oddHBand="0" w:evenHBand="0" w:firstRowFirstColumn="0" w:firstRowLastColumn="0" w:lastRowFirstColumn="0" w:lastRowLastColumn="0"/>
              <w:rPr>
                <w:sz w:val="22"/>
                <w:szCs w:val="21"/>
                <w:lang w:val="en-US"/>
              </w:rPr>
            </w:pPr>
          </w:p>
        </w:tc>
        <w:tc>
          <w:tcPr>
            <w:tcW w:w="2169" w:type="dxa"/>
            <w:vMerge/>
          </w:tcPr>
          <w:p w14:paraId="75271EC3" w14:textId="77777777" w:rsidR="00A4310A" w:rsidRPr="007C3EC5" w:rsidRDefault="00A4310A" w:rsidP="002D232A">
            <w:pPr>
              <w:cnfStyle w:val="000000000000" w:firstRow="0" w:lastRow="0" w:firstColumn="0" w:lastColumn="0" w:oddVBand="0" w:evenVBand="0" w:oddHBand="0" w:evenHBand="0" w:firstRowFirstColumn="0" w:firstRowLastColumn="0" w:lastRowFirstColumn="0" w:lastRowLastColumn="0"/>
              <w:rPr>
                <w:sz w:val="22"/>
                <w:szCs w:val="21"/>
                <w:lang w:val="en-US"/>
              </w:rPr>
            </w:pPr>
          </w:p>
        </w:tc>
      </w:tr>
      <w:tr w:rsidR="00A4310A" w:rsidRPr="007C3EC5" w14:paraId="5F5F259F" w14:textId="77777777" w:rsidTr="002D232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818" w:type="dxa"/>
          </w:tcPr>
          <w:p w14:paraId="7BB7E653" w14:textId="77777777" w:rsidR="00A4310A" w:rsidRPr="007C3EC5" w:rsidRDefault="00A4310A" w:rsidP="002D232A">
            <w:pPr>
              <w:rPr>
                <w:sz w:val="22"/>
                <w:szCs w:val="21"/>
                <w:lang w:val="en-US"/>
              </w:rPr>
            </w:pPr>
            <w:r>
              <w:rPr>
                <w:sz w:val="22"/>
                <w:szCs w:val="21"/>
                <w:lang w:val="en-US"/>
              </w:rPr>
              <w:t>Sustainability</w:t>
            </w:r>
          </w:p>
        </w:tc>
        <w:tc>
          <w:tcPr>
            <w:tcW w:w="4273" w:type="dxa"/>
          </w:tcPr>
          <w:p w14:paraId="590BFB0E" w14:textId="77777777" w:rsidR="00A4310A" w:rsidRPr="00F83F9F"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r w:rsidRPr="00F83F9F">
              <w:rPr>
                <w:sz w:val="22"/>
                <w:szCs w:val="21"/>
                <w:lang w:val="en-US"/>
              </w:rPr>
              <w:t xml:space="preserve">To what extent the project output/outcomes/impact fulfill the institutional, policy level and financial sustainability as detailed in the project document? </w:t>
            </w:r>
          </w:p>
          <w:p w14:paraId="3BAB407F" w14:textId="77777777" w:rsidR="00A4310A" w:rsidRPr="00F83F9F"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r w:rsidRPr="00F83F9F">
              <w:rPr>
                <w:sz w:val="22"/>
                <w:szCs w:val="21"/>
                <w:lang w:val="en-US"/>
              </w:rPr>
              <w:t>Are there any financial risks that may jeopardize the sustainability of project outputs/outcome/impact affecting women, men, and vulnerable groups?</w:t>
            </w:r>
          </w:p>
          <w:p w14:paraId="33D61E01" w14:textId="77777777" w:rsidR="00A4310A" w:rsidRPr="00F83F9F"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r w:rsidRPr="00F83F9F">
              <w:rPr>
                <w:sz w:val="22"/>
                <w:szCs w:val="21"/>
                <w:lang w:val="en-US"/>
              </w:rPr>
              <w:t>To what extent will targeted men, women and vulnerable people benefit from the project   interventions in the long term?</w:t>
            </w:r>
          </w:p>
          <w:p w14:paraId="3849EC59" w14:textId="77777777" w:rsidR="00A4310A" w:rsidRPr="00F83F9F"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r w:rsidRPr="00F83F9F">
              <w:rPr>
                <w:sz w:val="22"/>
                <w:szCs w:val="21"/>
                <w:lang w:val="en-US"/>
              </w:rPr>
              <w:t>To what extent will financial and economic resources be available to sustain the benefits achieved by the project?</w:t>
            </w:r>
          </w:p>
          <w:p w14:paraId="06FCDFF6" w14:textId="77777777" w:rsidR="00A4310A" w:rsidRPr="00F83F9F"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r w:rsidRPr="00F83F9F">
              <w:rPr>
                <w:sz w:val="22"/>
                <w:szCs w:val="21"/>
                <w:lang w:val="en-US"/>
              </w:rPr>
              <w:t>Are there any social or political risks that may jeopardize the sustainability of project outputs and the project contributions to country program outputs and outcomes?</w:t>
            </w:r>
          </w:p>
          <w:p w14:paraId="2E289ABD" w14:textId="77777777" w:rsidR="00A4310A" w:rsidRPr="00F83F9F"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r w:rsidRPr="00F83F9F">
              <w:rPr>
                <w:sz w:val="22"/>
                <w:szCs w:val="21"/>
                <w:lang w:val="en-US"/>
              </w:rPr>
              <w:t>Do the legal frameworks, policies, governance structures, and processes within which the    project operates pose risks that may jeopardize the sustainability of project benefits?</w:t>
            </w:r>
          </w:p>
          <w:p w14:paraId="66C50B3E" w14:textId="77777777" w:rsidR="00A4310A" w:rsidRPr="00F83F9F"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r w:rsidRPr="00F83F9F">
              <w:rPr>
                <w:sz w:val="22"/>
                <w:szCs w:val="21"/>
                <w:lang w:val="en-US"/>
              </w:rPr>
              <w:t>To what extent do stakeholders (men, women, vulnerable groups) support the project’s long-term objectives?</w:t>
            </w:r>
          </w:p>
          <w:p w14:paraId="304D2769" w14:textId="77777777" w:rsidR="00A4310A" w:rsidRPr="007C3EC5"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p>
        </w:tc>
        <w:tc>
          <w:tcPr>
            <w:tcW w:w="3118" w:type="dxa"/>
            <w:gridSpan w:val="2"/>
          </w:tcPr>
          <w:p w14:paraId="1AEDB17A" w14:textId="77777777" w:rsidR="00A4310A"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r>
              <w:rPr>
                <w:sz w:val="22"/>
                <w:szCs w:val="21"/>
                <w:lang w:val="en-US"/>
              </w:rPr>
              <w:lastRenderedPageBreak/>
              <w:t>Assessed level of true institutional State commitment to the overall objective of the CBLLL project (including local authorities and secondary schools)</w:t>
            </w:r>
          </w:p>
          <w:p w14:paraId="2BBE4FFE" w14:textId="77777777" w:rsidR="00A4310A"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r>
              <w:rPr>
                <w:sz w:val="22"/>
                <w:szCs w:val="21"/>
                <w:lang w:val="en-US"/>
              </w:rPr>
              <w:t>Political and financial stability of the MoES and the Skills Agency</w:t>
            </w:r>
          </w:p>
          <w:p w14:paraId="3F0F7F5E" w14:textId="77777777" w:rsidR="00A4310A"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p>
          <w:p w14:paraId="5096068C" w14:textId="77777777" w:rsidR="00A4310A"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r>
              <w:rPr>
                <w:sz w:val="22"/>
                <w:szCs w:val="21"/>
                <w:lang w:val="en-US"/>
              </w:rPr>
              <w:t xml:space="preserve">Interest and commitments from the Georgian business community to be part of VET governance and delivery </w:t>
            </w:r>
          </w:p>
          <w:p w14:paraId="26861B0D" w14:textId="77777777" w:rsidR="00A4310A"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p>
          <w:p w14:paraId="01C894AC" w14:textId="77777777" w:rsidR="00A4310A"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r>
              <w:rPr>
                <w:sz w:val="22"/>
                <w:szCs w:val="21"/>
                <w:lang w:val="en-US"/>
              </w:rPr>
              <w:t>International community (UN, EU, WB, bilateral donors etc) commitment to address poverty in Georgia through VET</w:t>
            </w:r>
          </w:p>
          <w:p w14:paraId="06FC40E3" w14:textId="77777777" w:rsidR="00A4310A"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p>
          <w:p w14:paraId="1651F300" w14:textId="77777777" w:rsidR="00A4310A" w:rsidRPr="007C3EC5"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p>
        </w:tc>
        <w:tc>
          <w:tcPr>
            <w:tcW w:w="2410" w:type="dxa"/>
          </w:tcPr>
          <w:p w14:paraId="60E409C0" w14:textId="77777777" w:rsidR="00A4310A" w:rsidRPr="004E155A"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r w:rsidRPr="004E155A">
              <w:rPr>
                <w:sz w:val="22"/>
                <w:szCs w:val="21"/>
                <w:lang w:val="en-US"/>
              </w:rPr>
              <w:t>Project Progress Reports, UNDP Georgia Team, EU representatives, European Training Foundation, ADB, GIZ, international consultants collaborating with the project, MoES, Skills Agency, VET collages, secondary schools, local and regional authorities, Sunny House, youth clubs, Social Research and Consultation Centre, ACT</w:t>
            </w:r>
            <w:r>
              <w:rPr>
                <w:sz w:val="22"/>
                <w:szCs w:val="21"/>
                <w:lang w:val="en-US"/>
              </w:rPr>
              <w:t>, Georgian business community</w:t>
            </w:r>
            <w:r w:rsidRPr="004E155A">
              <w:rPr>
                <w:sz w:val="22"/>
                <w:szCs w:val="21"/>
                <w:lang w:val="en-US"/>
              </w:rPr>
              <w:t xml:space="preserve"> etc.</w:t>
            </w:r>
          </w:p>
          <w:p w14:paraId="2756F5A3" w14:textId="77777777" w:rsidR="00A4310A" w:rsidRPr="007C3EC5"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p>
        </w:tc>
        <w:tc>
          <w:tcPr>
            <w:tcW w:w="2169" w:type="dxa"/>
          </w:tcPr>
          <w:p w14:paraId="4E1A3925" w14:textId="77777777" w:rsidR="00A4310A" w:rsidRPr="004E155A"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r w:rsidRPr="004E155A">
              <w:rPr>
                <w:sz w:val="22"/>
                <w:szCs w:val="21"/>
                <w:lang w:val="en-US"/>
              </w:rPr>
              <w:t xml:space="preserve">Document review &amp; in-depth interviews  </w:t>
            </w:r>
          </w:p>
          <w:p w14:paraId="5F0F0C7E" w14:textId="77777777" w:rsidR="00A4310A" w:rsidRPr="007C3EC5"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p>
        </w:tc>
      </w:tr>
      <w:tr w:rsidR="00A4310A" w:rsidRPr="007C3EC5" w14:paraId="159F713E" w14:textId="77777777" w:rsidTr="002D232A">
        <w:trPr>
          <w:trHeight w:val="70"/>
        </w:trPr>
        <w:tc>
          <w:tcPr>
            <w:cnfStyle w:val="001000000000" w:firstRow="0" w:lastRow="0" w:firstColumn="1" w:lastColumn="0" w:oddVBand="0" w:evenVBand="0" w:oddHBand="0" w:evenHBand="0" w:firstRowFirstColumn="0" w:firstRowLastColumn="0" w:lastRowFirstColumn="0" w:lastRowLastColumn="0"/>
            <w:tcW w:w="1818" w:type="dxa"/>
          </w:tcPr>
          <w:p w14:paraId="60333B85" w14:textId="77777777" w:rsidR="00A4310A" w:rsidRPr="007C3EC5" w:rsidRDefault="00A4310A" w:rsidP="002D232A">
            <w:pPr>
              <w:rPr>
                <w:sz w:val="22"/>
                <w:szCs w:val="21"/>
                <w:lang w:val="en-US"/>
              </w:rPr>
            </w:pPr>
            <w:r>
              <w:rPr>
                <w:sz w:val="22"/>
                <w:szCs w:val="21"/>
                <w:lang w:val="en-US"/>
              </w:rPr>
              <w:t>Human rights</w:t>
            </w:r>
          </w:p>
        </w:tc>
        <w:tc>
          <w:tcPr>
            <w:tcW w:w="4273" w:type="dxa"/>
          </w:tcPr>
          <w:p w14:paraId="287F59B3" w14:textId="77777777" w:rsidR="00A4310A" w:rsidRPr="007D49A0" w:rsidRDefault="00A4310A" w:rsidP="002D232A">
            <w:pPr>
              <w:cnfStyle w:val="000000000000" w:firstRow="0" w:lastRow="0" w:firstColumn="0" w:lastColumn="0" w:oddVBand="0" w:evenVBand="0" w:oddHBand="0" w:evenHBand="0" w:firstRowFirstColumn="0" w:firstRowLastColumn="0" w:lastRowFirstColumn="0" w:lastRowLastColumn="0"/>
              <w:rPr>
                <w:sz w:val="22"/>
                <w:szCs w:val="21"/>
                <w:lang w:val="en-US"/>
              </w:rPr>
            </w:pPr>
            <w:r w:rsidRPr="007D49A0">
              <w:rPr>
                <w:sz w:val="22"/>
                <w:szCs w:val="21"/>
                <w:lang w:val="en-US"/>
              </w:rPr>
              <w:t>To what extent have poor, indigenous, and physically challenged, women, men, and other disadvantaged and marginalized groups, including NEETs benefited from the work of CBLLL/UNDP in the country?</w:t>
            </w:r>
          </w:p>
          <w:p w14:paraId="38A0EF96" w14:textId="77777777" w:rsidR="00A4310A" w:rsidRPr="007C3EC5" w:rsidRDefault="00A4310A" w:rsidP="002D232A">
            <w:pPr>
              <w:cnfStyle w:val="000000000000" w:firstRow="0" w:lastRow="0" w:firstColumn="0" w:lastColumn="0" w:oddVBand="0" w:evenVBand="0" w:oddHBand="0" w:evenHBand="0" w:firstRowFirstColumn="0" w:firstRowLastColumn="0" w:lastRowFirstColumn="0" w:lastRowLastColumn="0"/>
              <w:rPr>
                <w:sz w:val="22"/>
                <w:szCs w:val="21"/>
                <w:lang w:val="en-US"/>
              </w:rPr>
            </w:pPr>
          </w:p>
        </w:tc>
        <w:tc>
          <w:tcPr>
            <w:tcW w:w="3118" w:type="dxa"/>
            <w:gridSpan w:val="2"/>
          </w:tcPr>
          <w:p w14:paraId="111412E1" w14:textId="77777777" w:rsidR="00A4310A" w:rsidRPr="007C3EC5" w:rsidRDefault="00A4310A" w:rsidP="002D232A">
            <w:pPr>
              <w:cnfStyle w:val="000000000000" w:firstRow="0" w:lastRow="0" w:firstColumn="0" w:lastColumn="0" w:oddVBand="0" w:evenVBand="0" w:oddHBand="0" w:evenHBand="0" w:firstRowFirstColumn="0" w:firstRowLastColumn="0" w:lastRowFirstColumn="0" w:lastRowLastColumn="0"/>
              <w:rPr>
                <w:sz w:val="22"/>
                <w:szCs w:val="21"/>
                <w:lang w:val="en-US"/>
              </w:rPr>
            </w:pPr>
            <w:r>
              <w:rPr>
                <w:sz w:val="22"/>
                <w:szCs w:val="21"/>
                <w:lang w:val="en-US"/>
              </w:rPr>
              <w:t>% of individual project beneficiaries who fall in the category: “</w:t>
            </w:r>
            <w:r w:rsidRPr="007D49A0">
              <w:rPr>
                <w:sz w:val="22"/>
                <w:szCs w:val="21"/>
                <w:lang w:val="en-US"/>
              </w:rPr>
              <w:t>poor, indigenous, and physically challenged, women, men, and other disadvantaged and marginalized groups</w:t>
            </w:r>
            <w:r>
              <w:rPr>
                <w:sz w:val="22"/>
                <w:szCs w:val="21"/>
                <w:lang w:val="en-US"/>
              </w:rPr>
              <w:t>”</w:t>
            </w:r>
          </w:p>
        </w:tc>
        <w:tc>
          <w:tcPr>
            <w:tcW w:w="2410" w:type="dxa"/>
          </w:tcPr>
          <w:p w14:paraId="4A24FCDB" w14:textId="77777777" w:rsidR="00A4310A" w:rsidRPr="00784F4C" w:rsidRDefault="00A4310A" w:rsidP="002D232A">
            <w:pPr>
              <w:cnfStyle w:val="000000000000" w:firstRow="0" w:lastRow="0" w:firstColumn="0" w:lastColumn="0" w:oddVBand="0" w:evenVBand="0" w:oddHBand="0" w:evenHBand="0" w:firstRowFirstColumn="0" w:firstRowLastColumn="0" w:lastRowFirstColumn="0" w:lastRowLastColumn="0"/>
              <w:rPr>
                <w:sz w:val="22"/>
                <w:szCs w:val="21"/>
                <w:lang w:val="en-US"/>
              </w:rPr>
            </w:pPr>
            <w:r>
              <w:rPr>
                <w:sz w:val="22"/>
                <w:szCs w:val="21"/>
                <w:lang w:val="en-US"/>
              </w:rPr>
              <w:t>UNDP m</w:t>
            </w:r>
            <w:r w:rsidRPr="00784F4C">
              <w:rPr>
                <w:sz w:val="22"/>
                <w:szCs w:val="21"/>
                <w:lang w:val="en-US"/>
              </w:rPr>
              <w:t>onitoring data, project progress reports, UNDP Georgia Team, EU representatives, European Training Foundation, ADB, GIZ, international consultants collaborating with the project, MoES, Skills Agency, VET collages, secondary schools, local and regional authorities, Sunny House, youth clubs, Social Research and Consultation Centre, ACT etc.</w:t>
            </w:r>
          </w:p>
          <w:p w14:paraId="08054377" w14:textId="77777777" w:rsidR="00A4310A" w:rsidRPr="007C3EC5" w:rsidRDefault="00A4310A" w:rsidP="002D232A">
            <w:pPr>
              <w:cnfStyle w:val="000000000000" w:firstRow="0" w:lastRow="0" w:firstColumn="0" w:lastColumn="0" w:oddVBand="0" w:evenVBand="0" w:oddHBand="0" w:evenHBand="0" w:firstRowFirstColumn="0" w:firstRowLastColumn="0" w:lastRowFirstColumn="0" w:lastRowLastColumn="0"/>
              <w:rPr>
                <w:sz w:val="22"/>
                <w:szCs w:val="21"/>
                <w:lang w:val="en-US"/>
              </w:rPr>
            </w:pPr>
          </w:p>
        </w:tc>
        <w:tc>
          <w:tcPr>
            <w:tcW w:w="2169" w:type="dxa"/>
          </w:tcPr>
          <w:p w14:paraId="4CF9E0E8" w14:textId="77777777" w:rsidR="00A4310A" w:rsidRPr="00784F4C" w:rsidRDefault="00A4310A" w:rsidP="002D232A">
            <w:pPr>
              <w:cnfStyle w:val="000000000000" w:firstRow="0" w:lastRow="0" w:firstColumn="0" w:lastColumn="0" w:oddVBand="0" w:evenVBand="0" w:oddHBand="0" w:evenHBand="0" w:firstRowFirstColumn="0" w:firstRowLastColumn="0" w:lastRowFirstColumn="0" w:lastRowLastColumn="0"/>
              <w:rPr>
                <w:sz w:val="22"/>
                <w:szCs w:val="21"/>
                <w:lang w:val="en-US"/>
              </w:rPr>
            </w:pPr>
            <w:r w:rsidRPr="00784F4C">
              <w:rPr>
                <w:sz w:val="22"/>
                <w:szCs w:val="21"/>
                <w:lang w:val="en-US"/>
              </w:rPr>
              <w:t xml:space="preserve">Document review &amp; in-depth interviews  </w:t>
            </w:r>
          </w:p>
          <w:p w14:paraId="2935F25C" w14:textId="77777777" w:rsidR="00A4310A" w:rsidRPr="007C3EC5" w:rsidRDefault="00A4310A" w:rsidP="002D232A">
            <w:pPr>
              <w:cnfStyle w:val="000000000000" w:firstRow="0" w:lastRow="0" w:firstColumn="0" w:lastColumn="0" w:oddVBand="0" w:evenVBand="0" w:oddHBand="0" w:evenHBand="0" w:firstRowFirstColumn="0" w:firstRowLastColumn="0" w:lastRowFirstColumn="0" w:lastRowLastColumn="0"/>
              <w:rPr>
                <w:sz w:val="22"/>
                <w:szCs w:val="21"/>
                <w:lang w:val="en-US"/>
              </w:rPr>
            </w:pPr>
          </w:p>
        </w:tc>
      </w:tr>
      <w:tr w:rsidR="00A4310A" w:rsidRPr="007C3EC5" w14:paraId="059BD78F" w14:textId="77777777" w:rsidTr="002D232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818" w:type="dxa"/>
          </w:tcPr>
          <w:p w14:paraId="20C80562" w14:textId="77777777" w:rsidR="00A4310A" w:rsidRPr="007C3EC5" w:rsidRDefault="00A4310A" w:rsidP="002D232A">
            <w:pPr>
              <w:rPr>
                <w:sz w:val="22"/>
                <w:szCs w:val="21"/>
                <w:lang w:val="en-US"/>
              </w:rPr>
            </w:pPr>
            <w:r w:rsidRPr="007C3EC5">
              <w:rPr>
                <w:sz w:val="22"/>
                <w:szCs w:val="21"/>
                <w:lang w:val="en-US"/>
              </w:rPr>
              <w:t xml:space="preserve">Gender </w:t>
            </w:r>
            <w:r>
              <w:rPr>
                <w:sz w:val="22"/>
                <w:szCs w:val="21"/>
                <w:lang w:val="en-US"/>
              </w:rPr>
              <w:t>equality</w:t>
            </w:r>
          </w:p>
        </w:tc>
        <w:tc>
          <w:tcPr>
            <w:tcW w:w="4273" w:type="dxa"/>
          </w:tcPr>
          <w:p w14:paraId="34833A5F" w14:textId="77777777" w:rsidR="00A4310A" w:rsidRPr="007D49A0" w:rsidRDefault="00A4310A" w:rsidP="002D232A">
            <w:pPr>
              <w:cnfStyle w:val="000000100000" w:firstRow="0" w:lastRow="0" w:firstColumn="0" w:lastColumn="0" w:oddVBand="0" w:evenVBand="0" w:oddHBand="1" w:evenHBand="0" w:firstRowFirstColumn="0" w:firstRowLastColumn="0" w:lastRowFirstColumn="0" w:lastRowLastColumn="0"/>
              <w:rPr>
                <w:sz w:val="22"/>
                <w:szCs w:val="21"/>
              </w:rPr>
            </w:pPr>
            <w:r w:rsidRPr="007D49A0">
              <w:rPr>
                <w:sz w:val="22"/>
                <w:szCs w:val="21"/>
              </w:rPr>
              <w:t>To what extent have gender equality and the empowerment of women been addressed in the design, implementation, and monitoring of the project?</w:t>
            </w:r>
          </w:p>
          <w:p w14:paraId="29632A13" w14:textId="77777777" w:rsidR="00A4310A" w:rsidRPr="007C3EC5"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p>
        </w:tc>
        <w:tc>
          <w:tcPr>
            <w:tcW w:w="3118" w:type="dxa"/>
            <w:gridSpan w:val="2"/>
          </w:tcPr>
          <w:p w14:paraId="5C51F364" w14:textId="77777777" w:rsidR="00A4310A"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r>
              <w:rPr>
                <w:sz w:val="22"/>
                <w:szCs w:val="21"/>
                <w:lang w:val="en-US"/>
              </w:rPr>
              <w:t># of CBLLL project design features aimed at achieving gender equality in terms of access to the benefits from the project</w:t>
            </w:r>
          </w:p>
          <w:p w14:paraId="4EF33106" w14:textId="77777777" w:rsidR="00A4310A"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p>
          <w:p w14:paraId="62AC8A05" w14:textId="77777777" w:rsidR="00A4310A" w:rsidRPr="007C3EC5"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r>
              <w:rPr>
                <w:sz w:val="22"/>
                <w:szCs w:val="21"/>
                <w:lang w:val="en-US"/>
              </w:rPr>
              <w:t>Gender parity achieved among the individual beneficiaries of the project (teachers, VET staff, participants in Sunny House activities, NEETs in general etc)</w:t>
            </w:r>
          </w:p>
        </w:tc>
        <w:tc>
          <w:tcPr>
            <w:tcW w:w="2410" w:type="dxa"/>
          </w:tcPr>
          <w:p w14:paraId="1037CFAA" w14:textId="77777777" w:rsidR="00A4310A" w:rsidRPr="0005663A"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r w:rsidRPr="0005663A">
              <w:rPr>
                <w:sz w:val="22"/>
                <w:szCs w:val="21"/>
                <w:lang w:val="en-US"/>
              </w:rPr>
              <w:t xml:space="preserve">UNDP monitoring data, project progress reports, UNDP Georgia Team, EU representatives, European Training Foundation, ADB, GIZ, international consultants collaborating with the project, MoES, Skills Agency, VET collages, secondary schools, local and regional authorities, Sunny House, youth </w:t>
            </w:r>
            <w:r w:rsidRPr="0005663A">
              <w:rPr>
                <w:sz w:val="22"/>
                <w:szCs w:val="21"/>
                <w:lang w:val="en-US"/>
              </w:rPr>
              <w:lastRenderedPageBreak/>
              <w:t>clubs, Social Research and Consultation Centre, ACT etc.</w:t>
            </w:r>
          </w:p>
          <w:p w14:paraId="48266B2C" w14:textId="77777777" w:rsidR="00A4310A" w:rsidRPr="007C3EC5"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p>
        </w:tc>
        <w:tc>
          <w:tcPr>
            <w:tcW w:w="2169" w:type="dxa"/>
          </w:tcPr>
          <w:p w14:paraId="04EA5C97" w14:textId="77777777" w:rsidR="00A4310A" w:rsidRPr="0005663A"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r w:rsidRPr="0005663A">
              <w:rPr>
                <w:sz w:val="22"/>
                <w:szCs w:val="21"/>
                <w:lang w:val="en-US"/>
              </w:rPr>
              <w:lastRenderedPageBreak/>
              <w:t xml:space="preserve">Document review &amp; in-depth interviews  </w:t>
            </w:r>
          </w:p>
          <w:p w14:paraId="2DEECC05" w14:textId="77777777" w:rsidR="00A4310A" w:rsidRPr="007C3EC5"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p>
          <w:p w14:paraId="3D15BA60" w14:textId="77777777" w:rsidR="00A4310A" w:rsidRPr="007C3EC5" w:rsidRDefault="00A4310A" w:rsidP="002D232A">
            <w:pPr>
              <w:cnfStyle w:val="000000100000" w:firstRow="0" w:lastRow="0" w:firstColumn="0" w:lastColumn="0" w:oddVBand="0" w:evenVBand="0" w:oddHBand="1" w:evenHBand="0" w:firstRowFirstColumn="0" w:firstRowLastColumn="0" w:lastRowFirstColumn="0" w:lastRowLastColumn="0"/>
              <w:rPr>
                <w:sz w:val="22"/>
                <w:szCs w:val="21"/>
                <w:lang w:val="en-US"/>
              </w:rPr>
            </w:pPr>
          </w:p>
        </w:tc>
      </w:tr>
      <w:tr w:rsidR="00A4310A" w:rsidRPr="007C3EC5" w14:paraId="283C5058" w14:textId="77777777" w:rsidTr="002D232A">
        <w:trPr>
          <w:trHeight w:val="70"/>
        </w:trPr>
        <w:tc>
          <w:tcPr>
            <w:cnfStyle w:val="001000000000" w:firstRow="0" w:lastRow="0" w:firstColumn="1" w:lastColumn="0" w:oddVBand="0" w:evenVBand="0" w:oddHBand="0" w:evenHBand="0" w:firstRowFirstColumn="0" w:firstRowLastColumn="0" w:lastRowFirstColumn="0" w:lastRowLastColumn="0"/>
            <w:tcW w:w="1818" w:type="dxa"/>
          </w:tcPr>
          <w:p w14:paraId="46A944E4" w14:textId="77777777" w:rsidR="00A4310A" w:rsidRPr="007C3EC5" w:rsidRDefault="00A4310A" w:rsidP="002D232A">
            <w:pPr>
              <w:rPr>
                <w:sz w:val="22"/>
                <w:szCs w:val="21"/>
                <w:lang w:val="en-US"/>
              </w:rPr>
            </w:pPr>
            <w:r>
              <w:rPr>
                <w:sz w:val="22"/>
                <w:szCs w:val="21"/>
                <w:lang w:val="en-US"/>
              </w:rPr>
              <w:t>Disability</w:t>
            </w:r>
          </w:p>
        </w:tc>
        <w:tc>
          <w:tcPr>
            <w:tcW w:w="4273" w:type="dxa"/>
          </w:tcPr>
          <w:p w14:paraId="66C4C4A7" w14:textId="77777777" w:rsidR="00A4310A" w:rsidRPr="007D49A0" w:rsidRDefault="00A4310A" w:rsidP="002D232A">
            <w:pPr>
              <w:cnfStyle w:val="000000000000" w:firstRow="0" w:lastRow="0" w:firstColumn="0" w:lastColumn="0" w:oddVBand="0" w:evenVBand="0" w:oddHBand="0" w:evenHBand="0" w:firstRowFirstColumn="0" w:firstRowLastColumn="0" w:lastRowFirstColumn="0" w:lastRowLastColumn="0"/>
              <w:rPr>
                <w:sz w:val="22"/>
                <w:szCs w:val="21"/>
              </w:rPr>
            </w:pPr>
            <w:r w:rsidRPr="007D49A0">
              <w:rPr>
                <w:sz w:val="22"/>
                <w:szCs w:val="21"/>
              </w:rPr>
              <w:t>Were persons with disabilities consulted and meaningfully involved in program planning and implementation?</w:t>
            </w:r>
          </w:p>
          <w:p w14:paraId="25B9351A" w14:textId="77777777" w:rsidR="00A4310A" w:rsidRPr="007C3EC5" w:rsidRDefault="00A4310A" w:rsidP="002D232A">
            <w:pPr>
              <w:cnfStyle w:val="000000000000" w:firstRow="0" w:lastRow="0" w:firstColumn="0" w:lastColumn="0" w:oddVBand="0" w:evenVBand="0" w:oddHBand="0" w:evenHBand="0" w:firstRowFirstColumn="0" w:firstRowLastColumn="0" w:lastRowFirstColumn="0" w:lastRowLastColumn="0"/>
              <w:rPr>
                <w:sz w:val="22"/>
                <w:szCs w:val="21"/>
                <w:lang w:val="en-US"/>
              </w:rPr>
            </w:pPr>
          </w:p>
        </w:tc>
        <w:tc>
          <w:tcPr>
            <w:tcW w:w="3118" w:type="dxa"/>
            <w:gridSpan w:val="2"/>
          </w:tcPr>
          <w:p w14:paraId="4D36F8A4" w14:textId="77777777" w:rsidR="00A4310A" w:rsidRPr="007C3EC5" w:rsidRDefault="00A4310A" w:rsidP="002D232A">
            <w:pPr>
              <w:cnfStyle w:val="000000000000" w:firstRow="0" w:lastRow="0" w:firstColumn="0" w:lastColumn="0" w:oddVBand="0" w:evenVBand="0" w:oddHBand="0" w:evenHBand="0" w:firstRowFirstColumn="0" w:firstRowLastColumn="0" w:lastRowFirstColumn="0" w:lastRowLastColumn="0"/>
              <w:rPr>
                <w:sz w:val="22"/>
                <w:szCs w:val="21"/>
                <w:lang w:val="en-US"/>
              </w:rPr>
            </w:pPr>
            <w:r>
              <w:rPr>
                <w:sz w:val="22"/>
                <w:szCs w:val="21"/>
                <w:lang w:val="en-US"/>
              </w:rPr>
              <w:t>Affirmative confirmation from CBLLL project team and representative Georgian disability organisation</w:t>
            </w:r>
          </w:p>
        </w:tc>
        <w:tc>
          <w:tcPr>
            <w:tcW w:w="2410" w:type="dxa"/>
          </w:tcPr>
          <w:p w14:paraId="50ED8F62" w14:textId="77777777" w:rsidR="00A4310A" w:rsidRPr="007C3EC5" w:rsidRDefault="00A4310A" w:rsidP="002D232A">
            <w:pPr>
              <w:cnfStyle w:val="000000000000" w:firstRow="0" w:lastRow="0" w:firstColumn="0" w:lastColumn="0" w:oddVBand="0" w:evenVBand="0" w:oddHBand="0" w:evenHBand="0" w:firstRowFirstColumn="0" w:firstRowLastColumn="0" w:lastRowFirstColumn="0" w:lastRowLastColumn="0"/>
              <w:rPr>
                <w:sz w:val="22"/>
                <w:szCs w:val="21"/>
                <w:lang w:val="en-US"/>
              </w:rPr>
            </w:pPr>
            <w:r>
              <w:rPr>
                <w:sz w:val="22"/>
                <w:szCs w:val="21"/>
                <w:lang w:val="en-US"/>
              </w:rPr>
              <w:t>CBLL project team, Georgian disability organisation</w:t>
            </w:r>
          </w:p>
        </w:tc>
        <w:tc>
          <w:tcPr>
            <w:tcW w:w="2169" w:type="dxa"/>
          </w:tcPr>
          <w:p w14:paraId="44A27A58" w14:textId="77777777" w:rsidR="00A4310A" w:rsidRPr="007C3EC5" w:rsidRDefault="00A4310A" w:rsidP="002D232A">
            <w:pPr>
              <w:cnfStyle w:val="000000000000" w:firstRow="0" w:lastRow="0" w:firstColumn="0" w:lastColumn="0" w:oddVBand="0" w:evenVBand="0" w:oddHBand="0" w:evenHBand="0" w:firstRowFirstColumn="0" w:firstRowLastColumn="0" w:lastRowFirstColumn="0" w:lastRowLastColumn="0"/>
              <w:rPr>
                <w:sz w:val="22"/>
                <w:szCs w:val="21"/>
                <w:lang w:val="en-US"/>
              </w:rPr>
            </w:pPr>
            <w:r>
              <w:rPr>
                <w:sz w:val="22"/>
                <w:szCs w:val="21"/>
                <w:lang w:val="en-US"/>
              </w:rPr>
              <w:t>Interviews</w:t>
            </w:r>
          </w:p>
        </w:tc>
      </w:tr>
    </w:tbl>
    <w:p w14:paraId="5F52C608" w14:textId="77777777" w:rsidR="008E2D6C" w:rsidRDefault="008E2D6C" w:rsidP="00A4310A">
      <w:pPr>
        <w:pStyle w:val="Heading2"/>
      </w:pPr>
    </w:p>
    <w:p w14:paraId="371CB62F" w14:textId="77777777" w:rsidR="008E2D6C" w:rsidRDefault="008E2D6C">
      <w:pPr>
        <w:jc w:val="left"/>
        <w:rPr>
          <w:rFonts w:eastAsiaTheme="majorEastAsia" w:cstheme="majorBidi"/>
          <w:b/>
          <w:bCs/>
          <w:color w:val="5B9BD5" w:themeColor="accent1"/>
          <w:szCs w:val="26"/>
          <w:lang w:val="en-US" w:eastAsia="en-GB"/>
        </w:rPr>
      </w:pPr>
      <w:r>
        <w:br w:type="page"/>
      </w:r>
    </w:p>
    <w:p w14:paraId="371AD26A" w14:textId="058414C0" w:rsidR="00A4310A" w:rsidRPr="00AB4549" w:rsidRDefault="00A4310A" w:rsidP="00AB4549">
      <w:pPr>
        <w:pStyle w:val="Heading2"/>
      </w:pPr>
      <w:bookmarkStart w:id="72" w:name="_Toc155599402"/>
      <w:r w:rsidRPr="00AB4549">
        <w:lastRenderedPageBreak/>
        <w:t>Annex 2</w:t>
      </w:r>
      <w:bookmarkEnd w:id="72"/>
    </w:p>
    <w:p w14:paraId="54A52EF9" w14:textId="77777777" w:rsidR="00A4310A" w:rsidRDefault="00A4310A" w:rsidP="00A4310A">
      <w:pPr>
        <w:rPr>
          <w:lang w:val="en-US" w:eastAsia="en-GB"/>
        </w:rPr>
      </w:pPr>
    </w:p>
    <w:p w14:paraId="79A806F6" w14:textId="058DA0E9" w:rsidR="00A4310A" w:rsidRPr="008E2D6C" w:rsidRDefault="008E2D6C" w:rsidP="008E2D6C">
      <w:pPr>
        <w:jc w:val="center"/>
        <w:rPr>
          <w:b/>
          <w:bCs/>
          <w:lang w:val="en-US"/>
        </w:rPr>
      </w:pPr>
      <w:bookmarkStart w:id="73" w:name="_Hlk153011302"/>
      <w:r>
        <w:rPr>
          <w:b/>
          <w:bCs/>
          <w:lang w:val="en-US"/>
        </w:rPr>
        <w:t xml:space="preserve">CBLLL EVALUATION </w:t>
      </w:r>
      <w:r w:rsidR="00A4310A" w:rsidRPr="008E2D6C">
        <w:rPr>
          <w:b/>
          <w:bCs/>
          <w:lang w:val="en-US"/>
        </w:rPr>
        <w:t>ACTION PLAN</w:t>
      </w:r>
    </w:p>
    <w:bookmarkEnd w:id="73"/>
    <w:p w14:paraId="7017DE62" w14:textId="114AE962" w:rsidR="00A4310A" w:rsidRDefault="00A4310A" w:rsidP="00A4310A">
      <w:pPr>
        <w:rPr>
          <w:lang w:val="en-US"/>
        </w:rPr>
      </w:pPr>
    </w:p>
    <w:tbl>
      <w:tblPr>
        <w:tblW w:w="10351" w:type="dxa"/>
        <w:jc w:val="center"/>
        <w:tblCellSpacing w:w="4" w:type="dxa"/>
        <w:tblLayout w:type="fixed"/>
        <w:tblCellMar>
          <w:left w:w="0" w:type="dxa"/>
          <w:right w:w="0" w:type="dxa"/>
        </w:tblCellMar>
        <w:tblLook w:val="01E0" w:firstRow="1" w:lastRow="1" w:firstColumn="1" w:lastColumn="1" w:noHBand="0" w:noVBand="0"/>
      </w:tblPr>
      <w:tblGrid>
        <w:gridCol w:w="3600"/>
        <w:gridCol w:w="1120"/>
        <w:gridCol w:w="1850"/>
        <w:gridCol w:w="1448"/>
        <w:gridCol w:w="2333"/>
      </w:tblGrid>
      <w:tr w:rsidR="00A4310A" w:rsidRPr="00C341F8" w14:paraId="4F358DD7" w14:textId="77777777" w:rsidTr="002D232A">
        <w:trPr>
          <w:trHeight w:val="478"/>
          <w:tblCellSpacing w:w="4" w:type="dxa"/>
          <w:jc w:val="center"/>
        </w:trPr>
        <w:tc>
          <w:tcPr>
            <w:tcW w:w="3588" w:type="dxa"/>
            <w:tcBorders>
              <w:top w:val="nil"/>
              <w:left w:val="nil"/>
            </w:tcBorders>
            <w:shd w:val="clear" w:color="auto" w:fill="1E687B"/>
            <w:vAlign w:val="center"/>
          </w:tcPr>
          <w:p w14:paraId="5EBB57FA" w14:textId="77777777" w:rsidR="00A4310A" w:rsidRPr="00C341F8" w:rsidRDefault="00A4310A" w:rsidP="002D232A">
            <w:pPr>
              <w:pStyle w:val="TableParagraph"/>
              <w:spacing w:line="264" w:lineRule="auto"/>
              <w:ind w:right="90"/>
              <w:jc w:val="center"/>
              <w:rPr>
                <w:rFonts w:asciiTheme="minorHAnsi" w:hAnsiTheme="minorHAnsi" w:cstheme="minorHAnsi"/>
                <w:b/>
                <w:sz w:val="20"/>
                <w:szCs w:val="20"/>
              </w:rPr>
            </w:pPr>
            <w:r w:rsidRPr="00C341F8">
              <w:rPr>
                <w:rFonts w:asciiTheme="minorHAnsi" w:hAnsiTheme="minorHAnsi" w:cstheme="minorHAnsi"/>
                <w:b/>
                <w:color w:val="FFFFFF"/>
                <w:sz w:val="20"/>
                <w:szCs w:val="20"/>
              </w:rPr>
              <w:t>ACTIVITY</w:t>
            </w:r>
          </w:p>
        </w:tc>
        <w:tc>
          <w:tcPr>
            <w:tcW w:w="1112" w:type="dxa"/>
            <w:tcBorders>
              <w:top w:val="nil"/>
            </w:tcBorders>
            <w:shd w:val="clear" w:color="auto" w:fill="1E687B"/>
            <w:vAlign w:val="center"/>
          </w:tcPr>
          <w:p w14:paraId="542AEDC2" w14:textId="77777777" w:rsidR="00A4310A" w:rsidRPr="00C341F8" w:rsidRDefault="00A4310A" w:rsidP="002D232A">
            <w:pPr>
              <w:pStyle w:val="TableParagraph"/>
              <w:spacing w:line="264" w:lineRule="auto"/>
              <w:ind w:left="142"/>
              <w:jc w:val="center"/>
              <w:rPr>
                <w:rFonts w:asciiTheme="minorHAnsi" w:hAnsiTheme="minorHAnsi" w:cstheme="minorHAnsi"/>
                <w:b/>
                <w:sz w:val="20"/>
                <w:szCs w:val="20"/>
              </w:rPr>
            </w:pPr>
            <w:r w:rsidRPr="00C341F8">
              <w:rPr>
                <w:rFonts w:asciiTheme="minorHAnsi" w:hAnsiTheme="minorHAnsi" w:cstheme="minorHAnsi"/>
                <w:b/>
                <w:color w:val="FFFFFF"/>
                <w:sz w:val="20"/>
                <w:szCs w:val="20"/>
              </w:rPr>
              <w:t>ESTIMATED</w:t>
            </w:r>
          </w:p>
          <w:p w14:paraId="0DF00073" w14:textId="77777777" w:rsidR="00A4310A" w:rsidRPr="00C341F8" w:rsidRDefault="00A4310A" w:rsidP="002D232A">
            <w:pPr>
              <w:pStyle w:val="TableParagraph"/>
              <w:spacing w:line="264" w:lineRule="auto"/>
              <w:ind w:left="192"/>
              <w:jc w:val="center"/>
              <w:rPr>
                <w:rFonts w:asciiTheme="minorHAnsi" w:hAnsiTheme="minorHAnsi" w:cstheme="minorHAnsi"/>
                <w:b/>
                <w:sz w:val="20"/>
                <w:szCs w:val="20"/>
              </w:rPr>
            </w:pPr>
            <w:r w:rsidRPr="00C341F8">
              <w:rPr>
                <w:rFonts w:asciiTheme="minorHAnsi" w:hAnsiTheme="minorHAnsi" w:cstheme="minorHAnsi"/>
                <w:b/>
                <w:color w:val="FFFFFF"/>
                <w:sz w:val="20"/>
                <w:szCs w:val="20"/>
              </w:rPr>
              <w:t>#</w:t>
            </w:r>
            <w:r w:rsidRPr="00C341F8">
              <w:rPr>
                <w:rFonts w:asciiTheme="minorHAnsi" w:hAnsiTheme="minorHAnsi" w:cstheme="minorHAnsi"/>
                <w:b/>
                <w:color w:val="FFFFFF"/>
                <w:spacing w:val="-1"/>
                <w:sz w:val="20"/>
                <w:szCs w:val="20"/>
              </w:rPr>
              <w:t xml:space="preserve"> </w:t>
            </w:r>
            <w:r w:rsidRPr="00C341F8">
              <w:rPr>
                <w:rFonts w:asciiTheme="minorHAnsi" w:hAnsiTheme="minorHAnsi" w:cstheme="minorHAnsi"/>
                <w:b/>
                <w:color w:val="FFFFFF"/>
                <w:sz w:val="20"/>
                <w:szCs w:val="20"/>
              </w:rPr>
              <w:t>OF</w:t>
            </w:r>
            <w:r w:rsidRPr="00C341F8">
              <w:rPr>
                <w:rFonts w:asciiTheme="minorHAnsi" w:hAnsiTheme="minorHAnsi" w:cstheme="minorHAnsi"/>
                <w:b/>
                <w:color w:val="FFFFFF"/>
                <w:spacing w:val="-1"/>
                <w:sz w:val="20"/>
                <w:szCs w:val="20"/>
              </w:rPr>
              <w:t xml:space="preserve"> </w:t>
            </w:r>
            <w:r w:rsidRPr="00C341F8">
              <w:rPr>
                <w:rFonts w:asciiTheme="minorHAnsi" w:hAnsiTheme="minorHAnsi" w:cstheme="minorHAnsi"/>
                <w:b/>
                <w:color w:val="FFFFFF"/>
                <w:sz w:val="20"/>
                <w:szCs w:val="20"/>
              </w:rPr>
              <w:t>DAYS</w:t>
            </w:r>
          </w:p>
        </w:tc>
        <w:tc>
          <w:tcPr>
            <w:tcW w:w="1842" w:type="dxa"/>
            <w:tcBorders>
              <w:top w:val="nil"/>
            </w:tcBorders>
            <w:shd w:val="clear" w:color="auto" w:fill="1E687B"/>
            <w:vAlign w:val="center"/>
          </w:tcPr>
          <w:p w14:paraId="4B4DEE81" w14:textId="77777777" w:rsidR="00A4310A" w:rsidRPr="00C341F8" w:rsidRDefault="00A4310A" w:rsidP="002D232A">
            <w:pPr>
              <w:pStyle w:val="TableParagraph"/>
              <w:spacing w:line="264" w:lineRule="auto"/>
              <w:jc w:val="center"/>
              <w:rPr>
                <w:rFonts w:asciiTheme="minorHAnsi" w:hAnsiTheme="minorHAnsi" w:cstheme="minorHAnsi"/>
                <w:b/>
                <w:sz w:val="20"/>
                <w:szCs w:val="20"/>
              </w:rPr>
            </w:pPr>
            <w:r w:rsidRPr="00C341F8">
              <w:rPr>
                <w:rFonts w:asciiTheme="minorHAnsi" w:hAnsiTheme="minorHAnsi" w:cstheme="minorHAnsi"/>
                <w:b/>
                <w:color w:val="FFFFFF"/>
                <w:sz w:val="20"/>
                <w:szCs w:val="20"/>
              </w:rPr>
              <w:t>DATE</w:t>
            </w:r>
            <w:r w:rsidRPr="00C341F8">
              <w:rPr>
                <w:rFonts w:asciiTheme="minorHAnsi" w:hAnsiTheme="minorHAnsi" w:cstheme="minorHAnsi"/>
                <w:b/>
                <w:color w:val="FFFFFF"/>
                <w:spacing w:val="-4"/>
                <w:sz w:val="20"/>
                <w:szCs w:val="20"/>
              </w:rPr>
              <w:t xml:space="preserve"> </w:t>
            </w:r>
            <w:r w:rsidRPr="00C341F8">
              <w:rPr>
                <w:rFonts w:asciiTheme="minorHAnsi" w:hAnsiTheme="minorHAnsi" w:cstheme="minorHAnsi"/>
                <w:b/>
                <w:color w:val="FFFFFF"/>
                <w:sz w:val="20"/>
                <w:szCs w:val="20"/>
              </w:rPr>
              <w:t>OF</w:t>
            </w:r>
            <w:r w:rsidRPr="00C341F8">
              <w:rPr>
                <w:rFonts w:asciiTheme="minorHAnsi" w:hAnsiTheme="minorHAnsi" w:cstheme="minorHAnsi"/>
                <w:b/>
                <w:color w:val="FFFFFF"/>
                <w:spacing w:val="-3"/>
                <w:sz w:val="20"/>
                <w:szCs w:val="20"/>
              </w:rPr>
              <w:t xml:space="preserve"> </w:t>
            </w:r>
            <w:r w:rsidRPr="00C341F8">
              <w:rPr>
                <w:rFonts w:asciiTheme="minorHAnsi" w:hAnsiTheme="minorHAnsi" w:cstheme="minorHAnsi"/>
                <w:b/>
                <w:color w:val="FFFFFF"/>
                <w:sz w:val="20"/>
                <w:szCs w:val="20"/>
              </w:rPr>
              <w:t>COMPLETION</w:t>
            </w:r>
          </w:p>
        </w:tc>
        <w:tc>
          <w:tcPr>
            <w:tcW w:w="1440" w:type="dxa"/>
            <w:tcBorders>
              <w:top w:val="nil"/>
            </w:tcBorders>
            <w:shd w:val="clear" w:color="auto" w:fill="1E687B"/>
            <w:vAlign w:val="center"/>
          </w:tcPr>
          <w:p w14:paraId="07C3A395" w14:textId="77777777" w:rsidR="00A4310A" w:rsidRPr="00C341F8" w:rsidRDefault="00A4310A" w:rsidP="002D232A">
            <w:pPr>
              <w:pStyle w:val="TableParagraph"/>
              <w:spacing w:line="264" w:lineRule="auto"/>
              <w:ind w:left="89"/>
              <w:jc w:val="center"/>
              <w:rPr>
                <w:rFonts w:asciiTheme="minorHAnsi" w:hAnsiTheme="minorHAnsi" w:cstheme="minorHAnsi"/>
                <w:b/>
                <w:sz w:val="20"/>
                <w:szCs w:val="20"/>
              </w:rPr>
            </w:pPr>
            <w:r w:rsidRPr="00C341F8">
              <w:rPr>
                <w:rFonts w:asciiTheme="minorHAnsi" w:hAnsiTheme="minorHAnsi" w:cstheme="minorHAnsi"/>
                <w:b/>
                <w:color w:val="FFFFFF"/>
                <w:sz w:val="20"/>
                <w:szCs w:val="20"/>
              </w:rPr>
              <w:t>PLACE</w:t>
            </w:r>
          </w:p>
        </w:tc>
        <w:tc>
          <w:tcPr>
            <w:tcW w:w="2321" w:type="dxa"/>
            <w:tcBorders>
              <w:top w:val="nil"/>
              <w:right w:val="nil"/>
            </w:tcBorders>
            <w:shd w:val="clear" w:color="auto" w:fill="1E687B"/>
            <w:vAlign w:val="center"/>
          </w:tcPr>
          <w:p w14:paraId="77674100" w14:textId="77777777" w:rsidR="00A4310A" w:rsidRPr="00C341F8" w:rsidRDefault="00A4310A" w:rsidP="002D232A">
            <w:pPr>
              <w:pStyle w:val="TableParagraph"/>
              <w:spacing w:line="264" w:lineRule="auto"/>
              <w:ind w:left="80"/>
              <w:jc w:val="center"/>
              <w:rPr>
                <w:rFonts w:asciiTheme="minorHAnsi" w:hAnsiTheme="minorHAnsi" w:cstheme="minorHAnsi"/>
                <w:b/>
                <w:sz w:val="20"/>
                <w:szCs w:val="20"/>
              </w:rPr>
            </w:pPr>
            <w:r w:rsidRPr="00C341F8">
              <w:rPr>
                <w:rFonts w:asciiTheme="minorHAnsi" w:hAnsiTheme="minorHAnsi" w:cstheme="minorHAnsi"/>
                <w:b/>
                <w:color w:val="FFFFFF"/>
                <w:sz w:val="20"/>
                <w:szCs w:val="20"/>
              </w:rPr>
              <w:t>RESPONSIBLE</w:t>
            </w:r>
            <w:r w:rsidRPr="00C341F8">
              <w:rPr>
                <w:rFonts w:asciiTheme="minorHAnsi" w:hAnsiTheme="minorHAnsi" w:cstheme="minorHAnsi"/>
                <w:b/>
                <w:color w:val="FFFFFF"/>
                <w:spacing w:val="-3"/>
                <w:sz w:val="20"/>
                <w:szCs w:val="20"/>
              </w:rPr>
              <w:t xml:space="preserve"> </w:t>
            </w:r>
            <w:r w:rsidRPr="00C341F8">
              <w:rPr>
                <w:rFonts w:asciiTheme="minorHAnsi" w:hAnsiTheme="minorHAnsi" w:cstheme="minorHAnsi"/>
                <w:b/>
                <w:color w:val="FFFFFF"/>
                <w:sz w:val="20"/>
                <w:szCs w:val="20"/>
              </w:rPr>
              <w:t>PARTY</w:t>
            </w:r>
          </w:p>
        </w:tc>
      </w:tr>
      <w:tr w:rsidR="00A4310A" w:rsidRPr="00C341F8" w14:paraId="1B6B52DC" w14:textId="77777777" w:rsidTr="002D232A">
        <w:trPr>
          <w:trHeight w:val="234"/>
          <w:tblCellSpacing w:w="4" w:type="dxa"/>
          <w:jc w:val="center"/>
        </w:trPr>
        <w:tc>
          <w:tcPr>
            <w:tcW w:w="10335" w:type="dxa"/>
            <w:gridSpan w:val="5"/>
            <w:tcBorders>
              <w:left w:val="nil"/>
              <w:right w:val="nil"/>
            </w:tcBorders>
            <w:shd w:val="clear" w:color="auto" w:fill="1BACBA"/>
            <w:vAlign w:val="center"/>
          </w:tcPr>
          <w:p w14:paraId="548F6039" w14:textId="77777777" w:rsidR="00A4310A" w:rsidRPr="00C341F8" w:rsidRDefault="00A4310A" w:rsidP="002D232A">
            <w:pPr>
              <w:pStyle w:val="TableParagraph"/>
              <w:spacing w:line="264" w:lineRule="auto"/>
              <w:rPr>
                <w:rFonts w:asciiTheme="minorHAnsi" w:hAnsiTheme="minorHAnsi" w:cstheme="minorHAnsi"/>
                <w:b/>
                <w:sz w:val="20"/>
                <w:szCs w:val="20"/>
              </w:rPr>
            </w:pPr>
            <w:r w:rsidRPr="00C341F8">
              <w:rPr>
                <w:rFonts w:asciiTheme="minorHAnsi" w:hAnsiTheme="minorHAnsi" w:cstheme="minorHAnsi"/>
                <w:b/>
                <w:color w:val="FFFFFF"/>
                <w:sz w:val="20"/>
                <w:szCs w:val="20"/>
              </w:rPr>
              <w:t>Phase</w:t>
            </w:r>
            <w:r w:rsidRPr="00C341F8">
              <w:rPr>
                <w:rFonts w:asciiTheme="minorHAnsi" w:hAnsiTheme="minorHAnsi" w:cstheme="minorHAnsi"/>
                <w:b/>
                <w:color w:val="FFFFFF"/>
                <w:spacing w:val="-4"/>
                <w:sz w:val="20"/>
                <w:szCs w:val="20"/>
              </w:rPr>
              <w:t xml:space="preserve"> </w:t>
            </w:r>
            <w:r w:rsidRPr="00C341F8">
              <w:rPr>
                <w:rFonts w:asciiTheme="minorHAnsi" w:hAnsiTheme="minorHAnsi" w:cstheme="minorHAnsi"/>
                <w:b/>
                <w:color w:val="FFFFFF"/>
                <w:sz w:val="20"/>
                <w:szCs w:val="20"/>
              </w:rPr>
              <w:t>One:</w:t>
            </w:r>
            <w:r w:rsidRPr="00C341F8">
              <w:rPr>
                <w:rFonts w:asciiTheme="minorHAnsi" w:hAnsiTheme="minorHAnsi" w:cstheme="minorHAnsi"/>
                <w:b/>
                <w:color w:val="FFFFFF"/>
                <w:spacing w:val="-3"/>
                <w:sz w:val="20"/>
                <w:szCs w:val="20"/>
              </w:rPr>
              <w:t xml:space="preserve"> </w:t>
            </w:r>
            <w:r w:rsidRPr="00C341F8">
              <w:rPr>
                <w:rFonts w:asciiTheme="minorHAnsi" w:hAnsiTheme="minorHAnsi" w:cstheme="minorHAnsi"/>
                <w:b/>
                <w:color w:val="FFFFFF"/>
                <w:sz w:val="20"/>
                <w:szCs w:val="20"/>
              </w:rPr>
              <w:t>Desk</w:t>
            </w:r>
            <w:r w:rsidRPr="00C341F8">
              <w:rPr>
                <w:rFonts w:asciiTheme="minorHAnsi" w:hAnsiTheme="minorHAnsi" w:cstheme="minorHAnsi"/>
                <w:b/>
                <w:color w:val="FFFFFF"/>
                <w:spacing w:val="-3"/>
                <w:sz w:val="20"/>
                <w:szCs w:val="20"/>
              </w:rPr>
              <w:t xml:space="preserve"> </w:t>
            </w:r>
            <w:r w:rsidRPr="00C341F8">
              <w:rPr>
                <w:rFonts w:asciiTheme="minorHAnsi" w:hAnsiTheme="minorHAnsi" w:cstheme="minorHAnsi"/>
                <w:b/>
                <w:color w:val="FFFFFF"/>
                <w:sz w:val="20"/>
                <w:szCs w:val="20"/>
              </w:rPr>
              <w:t>review</w:t>
            </w:r>
            <w:r w:rsidRPr="00C341F8">
              <w:rPr>
                <w:rFonts w:asciiTheme="minorHAnsi" w:hAnsiTheme="minorHAnsi" w:cstheme="minorHAnsi"/>
                <w:b/>
                <w:color w:val="FFFFFF"/>
                <w:spacing w:val="-3"/>
                <w:sz w:val="20"/>
                <w:szCs w:val="20"/>
              </w:rPr>
              <w:t xml:space="preserve"> </w:t>
            </w:r>
            <w:r w:rsidRPr="00C341F8">
              <w:rPr>
                <w:rFonts w:asciiTheme="minorHAnsi" w:hAnsiTheme="minorHAnsi" w:cstheme="minorHAnsi"/>
                <w:b/>
                <w:color w:val="FFFFFF"/>
                <w:sz w:val="20"/>
                <w:szCs w:val="20"/>
              </w:rPr>
              <w:t>and</w:t>
            </w:r>
            <w:r w:rsidRPr="00C341F8">
              <w:rPr>
                <w:rFonts w:asciiTheme="minorHAnsi" w:hAnsiTheme="minorHAnsi" w:cstheme="minorHAnsi"/>
                <w:b/>
                <w:color w:val="FFFFFF"/>
                <w:spacing w:val="-3"/>
                <w:sz w:val="20"/>
                <w:szCs w:val="20"/>
              </w:rPr>
              <w:t xml:space="preserve"> </w:t>
            </w:r>
            <w:r w:rsidRPr="00C341F8">
              <w:rPr>
                <w:rFonts w:asciiTheme="minorHAnsi" w:hAnsiTheme="minorHAnsi" w:cstheme="minorHAnsi"/>
                <w:b/>
                <w:color w:val="FFFFFF"/>
                <w:sz w:val="20"/>
                <w:szCs w:val="20"/>
              </w:rPr>
              <w:t>inception</w:t>
            </w:r>
            <w:r w:rsidRPr="00C341F8">
              <w:rPr>
                <w:rFonts w:asciiTheme="minorHAnsi" w:hAnsiTheme="minorHAnsi" w:cstheme="minorHAnsi"/>
                <w:b/>
                <w:color w:val="FFFFFF"/>
                <w:spacing w:val="-3"/>
                <w:sz w:val="20"/>
                <w:szCs w:val="20"/>
              </w:rPr>
              <w:t xml:space="preserve"> </w:t>
            </w:r>
            <w:r w:rsidRPr="00C341F8">
              <w:rPr>
                <w:rFonts w:asciiTheme="minorHAnsi" w:hAnsiTheme="minorHAnsi" w:cstheme="minorHAnsi"/>
                <w:b/>
                <w:color w:val="FFFFFF"/>
                <w:sz w:val="20"/>
                <w:szCs w:val="20"/>
              </w:rPr>
              <w:t>report</w:t>
            </w:r>
            <w:r>
              <w:rPr>
                <w:rFonts w:asciiTheme="minorHAnsi" w:hAnsiTheme="minorHAnsi" w:cstheme="minorHAnsi"/>
                <w:b/>
                <w:color w:val="FFFFFF"/>
                <w:sz w:val="20"/>
                <w:szCs w:val="20"/>
              </w:rPr>
              <w:t xml:space="preserve"> (4-11 December)</w:t>
            </w:r>
          </w:p>
        </w:tc>
      </w:tr>
      <w:tr w:rsidR="00A4310A" w:rsidRPr="00C341F8" w14:paraId="77952CBA" w14:textId="77777777" w:rsidTr="002D232A">
        <w:trPr>
          <w:trHeight w:val="600"/>
          <w:tblCellSpacing w:w="4" w:type="dxa"/>
          <w:jc w:val="center"/>
        </w:trPr>
        <w:tc>
          <w:tcPr>
            <w:tcW w:w="3588" w:type="dxa"/>
            <w:tcBorders>
              <w:left w:val="nil"/>
            </w:tcBorders>
            <w:shd w:val="clear" w:color="auto" w:fill="EAF6F3"/>
            <w:vAlign w:val="center"/>
          </w:tcPr>
          <w:p w14:paraId="7F5687D4" w14:textId="77777777" w:rsidR="00A4310A" w:rsidRPr="00C341F8" w:rsidRDefault="00A4310A" w:rsidP="002D232A">
            <w:pPr>
              <w:pStyle w:val="TableParagraph"/>
              <w:spacing w:line="264" w:lineRule="auto"/>
              <w:ind w:right="282"/>
              <w:rPr>
                <w:rFonts w:asciiTheme="minorHAnsi" w:hAnsiTheme="minorHAnsi" w:cstheme="minorHAnsi"/>
                <w:sz w:val="20"/>
                <w:szCs w:val="20"/>
              </w:rPr>
            </w:pPr>
            <w:r w:rsidRPr="00C341F8">
              <w:rPr>
                <w:rFonts w:asciiTheme="minorHAnsi" w:hAnsiTheme="minorHAnsi" w:cstheme="minorHAnsi"/>
                <w:sz w:val="20"/>
                <w:szCs w:val="20"/>
              </w:rPr>
              <w:t>Meeting briefing with UNDP (Team Leader/national program manager and project staff)</w:t>
            </w:r>
          </w:p>
        </w:tc>
        <w:tc>
          <w:tcPr>
            <w:tcW w:w="1112" w:type="dxa"/>
            <w:shd w:val="clear" w:color="auto" w:fill="EAF6F3"/>
            <w:vAlign w:val="center"/>
          </w:tcPr>
          <w:p w14:paraId="35A5BBEA" w14:textId="77777777" w:rsidR="00A4310A" w:rsidRPr="00C341F8" w:rsidRDefault="00A4310A" w:rsidP="002D232A">
            <w:pPr>
              <w:pStyle w:val="TableParagraph"/>
              <w:spacing w:line="264" w:lineRule="auto"/>
              <w:ind w:left="102"/>
              <w:rPr>
                <w:rFonts w:asciiTheme="minorHAnsi" w:hAnsiTheme="minorHAnsi" w:cstheme="minorHAnsi"/>
                <w:sz w:val="20"/>
                <w:szCs w:val="20"/>
              </w:rPr>
            </w:pPr>
          </w:p>
        </w:tc>
        <w:tc>
          <w:tcPr>
            <w:tcW w:w="1842" w:type="dxa"/>
            <w:vMerge w:val="restart"/>
            <w:shd w:val="clear" w:color="auto" w:fill="EAF6F3"/>
            <w:vAlign w:val="center"/>
          </w:tcPr>
          <w:p w14:paraId="3226C910" w14:textId="77777777" w:rsidR="00A4310A" w:rsidRPr="00C341F8" w:rsidRDefault="00A4310A" w:rsidP="002D232A">
            <w:pPr>
              <w:pStyle w:val="TableParagraph"/>
              <w:spacing w:line="264" w:lineRule="auto"/>
              <w:ind w:right="48"/>
              <w:rPr>
                <w:rFonts w:asciiTheme="minorHAnsi" w:hAnsiTheme="minorHAnsi" w:cstheme="minorHAnsi"/>
                <w:sz w:val="20"/>
                <w:szCs w:val="20"/>
              </w:rPr>
            </w:pPr>
          </w:p>
          <w:p w14:paraId="14FC487A" w14:textId="77777777" w:rsidR="00A4310A" w:rsidRPr="00C341F8" w:rsidRDefault="00A4310A" w:rsidP="002D232A">
            <w:pPr>
              <w:pStyle w:val="TableParagraph"/>
              <w:spacing w:line="264" w:lineRule="auto"/>
              <w:ind w:left="102"/>
              <w:rPr>
                <w:rFonts w:asciiTheme="minorHAnsi" w:hAnsiTheme="minorHAnsi" w:cstheme="minorHAnsi"/>
                <w:sz w:val="20"/>
                <w:szCs w:val="20"/>
              </w:rPr>
            </w:pPr>
          </w:p>
          <w:p w14:paraId="2D7525BF" w14:textId="77777777" w:rsidR="00A4310A" w:rsidRPr="00C341F8" w:rsidRDefault="00A4310A" w:rsidP="002D232A">
            <w:pPr>
              <w:pStyle w:val="TableParagraph"/>
              <w:spacing w:line="264" w:lineRule="auto"/>
              <w:ind w:left="102"/>
              <w:rPr>
                <w:rFonts w:asciiTheme="minorHAnsi" w:hAnsiTheme="minorHAnsi" w:cstheme="minorHAnsi"/>
                <w:sz w:val="20"/>
                <w:szCs w:val="20"/>
              </w:rPr>
            </w:pPr>
          </w:p>
          <w:p w14:paraId="0235D76C" w14:textId="77777777" w:rsidR="00A4310A" w:rsidRPr="006345C0" w:rsidRDefault="00A4310A" w:rsidP="002D232A">
            <w:pPr>
              <w:pStyle w:val="TableParagraph"/>
              <w:spacing w:line="264" w:lineRule="auto"/>
              <w:ind w:left="102"/>
              <w:rPr>
                <w:rFonts w:asciiTheme="minorHAnsi" w:hAnsiTheme="minorHAnsi" w:cstheme="minorHAnsi"/>
                <w:sz w:val="20"/>
                <w:szCs w:val="20"/>
                <w:highlight w:val="yellow"/>
              </w:rPr>
            </w:pPr>
          </w:p>
          <w:p w14:paraId="66960533" w14:textId="77777777" w:rsidR="00A4310A" w:rsidRPr="00C341F8" w:rsidRDefault="00A4310A" w:rsidP="002D232A">
            <w:pPr>
              <w:pStyle w:val="TableParagraph"/>
              <w:spacing w:line="264" w:lineRule="auto"/>
              <w:ind w:left="102"/>
              <w:rPr>
                <w:rFonts w:asciiTheme="minorHAnsi" w:hAnsiTheme="minorHAnsi" w:cstheme="minorHAnsi"/>
                <w:sz w:val="20"/>
                <w:szCs w:val="20"/>
              </w:rPr>
            </w:pPr>
          </w:p>
        </w:tc>
        <w:tc>
          <w:tcPr>
            <w:tcW w:w="1440" w:type="dxa"/>
            <w:shd w:val="clear" w:color="auto" w:fill="EAF6F3"/>
            <w:vAlign w:val="center"/>
          </w:tcPr>
          <w:p w14:paraId="245273DC" w14:textId="77777777" w:rsidR="00A4310A" w:rsidRPr="00C341F8" w:rsidRDefault="00A4310A" w:rsidP="002D232A">
            <w:pPr>
              <w:pStyle w:val="TableParagraph"/>
              <w:spacing w:line="264" w:lineRule="auto"/>
              <w:ind w:left="0" w:right="613"/>
              <w:rPr>
                <w:rFonts w:asciiTheme="minorHAnsi" w:hAnsiTheme="minorHAnsi" w:cstheme="minorHAnsi"/>
                <w:sz w:val="20"/>
                <w:szCs w:val="20"/>
              </w:rPr>
            </w:pPr>
            <w:r w:rsidRPr="00C341F8">
              <w:rPr>
                <w:rFonts w:asciiTheme="minorHAnsi" w:hAnsiTheme="minorHAnsi" w:cstheme="minorHAnsi"/>
                <w:sz w:val="20"/>
                <w:szCs w:val="20"/>
              </w:rPr>
              <w:t>Remote</w:t>
            </w:r>
          </w:p>
        </w:tc>
        <w:tc>
          <w:tcPr>
            <w:tcW w:w="2321" w:type="dxa"/>
            <w:tcBorders>
              <w:right w:val="nil"/>
            </w:tcBorders>
            <w:shd w:val="clear" w:color="auto" w:fill="EAF6F3"/>
            <w:vAlign w:val="center"/>
          </w:tcPr>
          <w:p w14:paraId="0A3392D8" w14:textId="77777777" w:rsidR="00A4310A" w:rsidRPr="00C341F8" w:rsidRDefault="00A4310A" w:rsidP="002D232A">
            <w:pPr>
              <w:pStyle w:val="TableParagraph"/>
              <w:spacing w:line="264" w:lineRule="auto"/>
              <w:ind w:right="241"/>
              <w:rPr>
                <w:rFonts w:asciiTheme="minorHAnsi" w:hAnsiTheme="minorHAnsi" w:cstheme="minorHAnsi"/>
                <w:sz w:val="20"/>
                <w:szCs w:val="20"/>
              </w:rPr>
            </w:pPr>
            <w:r>
              <w:rPr>
                <w:rFonts w:asciiTheme="minorHAnsi" w:hAnsiTheme="minorHAnsi" w:cstheme="minorHAnsi"/>
                <w:sz w:val="20"/>
                <w:szCs w:val="20"/>
              </w:rPr>
              <w:t>UNDP Commissioning Unit</w:t>
            </w:r>
            <w:r w:rsidRPr="00C341F8">
              <w:rPr>
                <w:rFonts w:asciiTheme="minorHAnsi" w:hAnsiTheme="minorHAnsi" w:cstheme="minorHAnsi"/>
                <w:sz w:val="20"/>
                <w:szCs w:val="20"/>
              </w:rPr>
              <w:t xml:space="preserve"> and Technical Support Staff</w:t>
            </w:r>
          </w:p>
        </w:tc>
      </w:tr>
      <w:tr w:rsidR="00A4310A" w:rsidRPr="00C341F8" w14:paraId="1C3E1417" w14:textId="77777777" w:rsidTr="002D232A">
        <w:trPr>
          <w:trHeight w:val="476"/>
          <w:tblCellSpacing w:w="4" w:type="dxa"/>
          <w:jc w:val="center"/>
        </w:trPr>
        <w:tc>
          <w:tcPr>
            <w:tcW w:w="3588" w:type="dxa"/>
            <w:tcBorders>
              <w:left w:val="nil"/>
              <w:bottom w:val="nil"/>
            </w:tcBorders>
            <w:shd w:val="clear" w:color="auto" w:fill="EAF6F3"/>
            <w:vAlign w:val="center"/>
          </w:tcPr>
          <w:p w14:paraId="30E1C79E" w14:textId="77777777" w:rsidR="00A4310A" w:rsidRPr="00C341F8" w:rsidRDefault="00A4310A" w:rsidP="002D232A">
            <w:pPr>
              <w:pStyle w:val="TableParagraph"/>
              <w:spacing w:line="264" w:lineRule="auto"/>
              <w:rPr>
                <w:rFonts w:asciiTheme="minorHAnsi" w:hAnsiTheme="minorHAnsi" w:cstheme="minorHAnsi"/>
                <w:sz w:val="20"/>
                <w:szCs w:val="20"/>
              </w:rPr>
            </w:pPr>
            <w:r w:rsidRPr="00C341F8">
              <w:rPr>
                <w:rFonts w:asciiTheme="minorHAnsi" w:hAnsiTheme="minorHAnsi" w:cstheme="minorHAnsi"/>
                <w:sz w:val="20"/>
                <w:szCs w:val="20"/>
              </w:rPr>
              <w:t>Sharing</w:t>
            </w:r>
            <w:r w:rsidRPr="00C341F8">
              <w:rPr>
                <w:rFonts w:asciiTheme="minorHAnsi" w:hAnsiTheme="minorHAnsi" w:cstheme="minorHAnsi"/>
                <w:spacing w:val="-1"/>
                <w:sz w:val="20"/>
                <w:szCs w:val="20"/>
              </w:rPr>
              <w:t xml:space="preserve"> </w:t>
            </w:r>
            <w:r w:rsidRPr="00C341F8">
              <w:rPr>
                <w:rFonts w:asciiTheme="minorHAnsi" w:hAnsiTheme="minorHAnsi" w:cstheme="minorHAnsi"/>
                <w:sz w:val="20"/>
                <w:szCs w:val="20"/>
              </w:rPr>
              <w:t>of</w:t>
            </w:r>
            <w:r w:rsidRPr="00C341F8">
              <w:rPr>
                <w:rFonts w:asciiTheme="minorHAnsi" w:hAnsiTheme="minorHAnsi" w:cstheme="minorHAnsi"/>
                <w:spacing w:val="-3"/>
                <w:sz w:val="20"/>
                <w:szCs w:val="20"/>
              </w:rPr>
              <w:t xml:space="preserve"> </w:t>
            </w:r>
            <w:r w:rsidRPr="00C341F8">
              <w:rPr>
                <w:rFonts w:asciiTheme="minorHAnsi" w:hAnsiTheme="minorHAnsi" w:cstheme="minorHAnsi"/>
                <w:sz w:val="20"/>
                <w:szCs w:val="20"/>
              </w:rPr>
              <w:t>the</w:t>
            </w:r>
            <w:r w:rsidRPr="00C341F8">
              <w:rPr>
                <w:rFonts w:asciiTheme="minorHAnsi" w:hAnsiTheme="minorHAnsi" w:cstheme="minorHAnsi"/>
                <w:spacing w:val="-4"/>
                <w:sz w:val="20"/>
                <w:szCs w:val="20"/>
              </w:rPr>
              <w:t xml:space="preserve"> </w:t>
            </w:r>
            <w:r w:rsidRPr="00C341F8">
              <w:rPr>
                <w:rFonts w:asciiTheme="minorHAnsi" w:hAnsiTheme="minorHAnsi" w:cstheme="minorHAnsi"/>
                <w:sz w:val="20"/>
                <w:szCs w:val="20"/>
              </w:rPr>
              <w:t>relevant</w:t>
            </w:r>
            <w:r w:rsidRPr="00C341F8">
              <w:rPr>
                <w:rFonts w:asciiTheme="minorHAnsi" w:hAnsiTheme="minorHAnsi" w:cstheme="minorHAnsi"/>
                <w:spacing w:val="-1"/>
                <w:sz w:val="20"/>
                <w:szCs w:val="20"/>
              </w:rPr>
              <w:t xml:space="preserve"> </w:t>
            </w:r>
            <w:r w:rsidRPr="00C341F8">
              <w:rPr>
                <w:rFonts w:asciiTheme="minorHAnsi" w:hAnsiTheme="minorHAnsi" w:cstheme="minorHAnsi"/>
                <w:sz w:val="20"/>
                <w:szCs w:val="20"/>
              </w:rPr>
              <w:t>documentation</w:t>
            </w:r>
            <w:r w:rsidRPr="00C341F8">
              <w:rPr>
                <w:rFonts w:asciiTheme="minorHAnsi" w:hAnsiTheme="minorHAnsi" w:cstheme="minorHAnsi"/>
                <w:spacing w:val="-2"/>
                <w:sz w:val="20"/>
                <w:szCs w:val="20"/>
              </w:rPr>
              <w:t xml:space="preserve"> </w:t>
            </w:r>
            <w:r w:rsidRPr="00C341F8">
              <w:rPr>
                <w:rFonts w:asciiTheme="minorHAnsi" w:hAnsiTheme="minorHAnsi" w:cstheme="minorHAnsi"/>
                <w:sz w:val="20"/>
                <w:szCs w:val="20"/>
              </w:rPr>
              <w:t>with</w:t>
            </w:r>
            <w:r w:rsidRPr="00C341F8">
              <w:rPr>
                <w:rFonts w:asciiTheme="minorHAnsi" w:hAnsiTheme="minorHAnsi" w:cstheme="minorHAnsi"/>
                <w:spacing w:val="-1"/>
                <w:sz w:val="20"/>
                <w:szCs w:val="20"/>
              </w:rPr>
              <w:t xml:space="preserve"> </w:t>
            </w:r>
            <w:r w:rsidRPr="00C341F8">
              <w:rPr>
                <w:rFonts w:asciiTheme="minorHAnsi" w:hAnsiTheme="minorHAnsi" w:cstheme="minorHAnsi"/>
                <w:sz w:val="20"/>
                <w:szCs w:val="20"/>
              </w:rPr>
              <w:t>the</w:t>
            </w:r>
            <w:r w:rsidRPr="00C341F8">
              <w:rPr>
                <w:rFonts w:asciiTheme="minorHAnsi" w:hAnsiTheme="minorHAnsi" w:cstheme="minorHAnsi"/>
                <w:spacing w:val="-2"/>
                <w:sz w:val="20"/>
                <w:szCs w:val="20"/>
              </w:rPr>
              <w:t xml:space="preserve"> </w:t>
            </w:r>
            <w:r w:rsidRPr="00C341F8">
              <w:rPr>
                <w:rFonts w:asciiTheme="minorHAnsi" w:hAnsiTheme="minorHAnsi" w:cstheme="minorHAnsi"/>
                <w:sz w:val="20"/>
                <w:szCs w:val="20"/>
              </w:rPr>
              <w:t>evaluation team</w:t>
            </w:r>
          </w:p>
        </w:tc>
        <w:tc>
          <w:tcPr>
            <w:tcW w:w="1112" w:type="dxa"/>
            <w:tcBorders>
              <w:bottom w:val="nil"/>
            </w:tcBorders>
            <w:shd w:val="clear" w:color="auto" w:fill="EAF6F3"/>
            <w:vAlign w:val="center"/>
          </w:tcPr>
          <w:p w14:paraId="60B3CF8A" w14:textId="77777777" w:rsidR="00A4310A" w:rsidRPr="00C341F8" w:rsidRDefault="00A4310A" w:rsidP="002D232A">
            <w:pPr>
              <w:pStyle w:val="TableParagraph"/>
              <w:spacing w:line="264" w:lineRule="auto"/>
              <w:ind w:left="102"/>
              <w:rPr>
                <w:rFonts w:asciiTheme="minorHAnsi" w:hAnsiTheme="minorHAnsi" w:cstheme="minorHAnsi"/>
                <w:sz w:val="20"/>
                <w:szCs w:val="20"/>
              </w:rPr>
            </w:pPr>
            <w:r w:rsidRPr="00C341F8">
              <w:rPr>
                <w:rFonts w:asciiTheme="minorHAnsi" w:hAnsiTheme="minorHAnsi" w:cstheme="minorHAnsi"/>
                <w:sz w:val="20"/>
                <w:szCs w:val="20"/>
              </w:rPr>
              <w:t>-</w:t>
            </w:r>
          </w:p>
        </w:tc>
        <w:tc>
          <w:tcPr>
            <w:tcW w:w="1842" w:type="dxa"/>
            <w:vMerge/>
            <w:shd w:val="clear" w:color="auto" w:fill="EAF6F3"/>
            <w:vAlign w:val="center"/>
          </w:tcPr>
          <w:p w14:paraId="6D2DC47C" w14:textId="77777777" w:rsidR="00A4310A" w:rsidRPr="00C341F8" w:rsidRDefault="00A4310A" w:rsidP="002D232A">
            <w:pPr>
              <w:pStyle w:val="TableParagraph"/>
              <w:spacing w:line="264" w:lineRule="auto"/>
              <w:ind w:left="102"/>
              <w:rPr>
                <w:rFonts w:asciiTheme="minorHAnsi" w:hAnsiTheme="minorHAnsi" w:cstheme="minorHAnsi"/>
                <w:sz w:val="20"/>
                <w:szCs w:val="20"/>
              </w:rPr>
            </w:pPr>
          </w:p>
        </w:tc>
        <w:tc>
          <w:tcPr>
            <w:tcW w:w="1440" w:type="dxa"/>
            <w:tcBorders>
              <w:bottom w:val="nil"/>
            </w:tcBorders>
            <w:shd w:val="clear" w:color="auto" w:fill="EAF6F3"/>
            <w:vAlign w:val="center"/>
          </w:tcPr>
          <w:p w14:paraId="0FD7C3B5" w14:textId="77777777" w:rsidR="00A4310A" w:rsidRPr="00C341F8" w:rsidRDefault="00A4310A" w:rsidP="002D232A">
            <w:pPr>
              <w:pStyle w:val="TableParagraph"/>
              <w:spacing w:line="264" w:lineRule="auto"/>
              <w:ind w:left="0"/>
              <w:rPr>
                <w:rFonts w:asciiTheme="minorHAnsi" w:hAnsiTheme="minorHAnsi" w:cstheme="minorHAnsi"/>
                <w:sz w:val="20"/>
                <w:szCs w:val="20"/>
              </w:rPr>
            </w:pPr>
            <w:r w:rsidRPr="00C341F8">
              <w:rPr>
                <w:rFonts w:asciiTheme="minorHAnsi" w:hAnsiTheme="minorHAnsi" w:cstheme="minorHAnsi"/>
                <w:sz w:val="20"/>
                <w:szCs w:val="20"/>
              </w:rPr>
              <w:t>Via</w:t>
            </w:r>
            <w:r w:rsidRPr="00C341F8">
              <w:rPr>
                <w:rFonts w:asciiTheme="minorHAnsi" w:hAnsiTheme="minorHAnsi" w:cstheme="minorHAnsi"/>
                <w:spacing w:val="-2"/>
                <w:sz w:val="20"/>
                <w:szCs w:val="20"/>
              </w:rPr>
              <w:t xml:space="preserve"> </w:t>
            </w:r>
            <w:r w:rsidRPr="00C341F8">
              <w:rPr>
                <w:rFonts w:asciiTheme="minorHAnsi" w:hAnsiTheme="minorHAnsi" w:cstheme="minorHAnsi"/>
                <w:sz w:val="20"/>
                <w:szCs w:val="20"/>
              </w:rPr>
              <w:t>email</w:t>
            </w:r>
          </w:p>
        </w:tc>
        <w:tc>
          <w:tcPr>
            <w:tcW w:w="2321" w:type="dxa"/>
            <w:tcBorders>
              <w:bottom w:val="nil"/>
              <w:right w:val="nil"/>
            </w:tcBorders>
            <w:shd w:val="clear" w:color="auto" w:fill="EAF6F3"/>
            <w:vAlign w:val="center"/>
          </w:tcPr>
          <w:p w14:paraId="637BB791" w14:textId="77777777" w:rsidR="00A4310A" w:rsidRPr="00C341F8" w:rsidRDefault="00A4310A" w:rsidP="002D232A">
            <w:pPr>
              <w:pStyle w:val="TableParagraph"/>
              <w:spacing w:line="264" w:lineRule="auto"/>
              <w:rPr>
                <w:rFonts w:asciiTheme="minorHAnsi" w:hAnsiTheme="minorHAnsi" w:cstheme="minorHAnsi"/>
                <w:sz w:val="20"/>
                <w:szCs w:val="20"/>
              </w:rPr>
            </w:pPr>
            <w:r>
              <w:rPr>
                <w:rFonts w:asciiTheme="minorHAnsi" w:hAnsiTheme="minorHAnsi" w:cstheme="minorHAnsi"/>
                <w:sz w:val="20"/>
                <w:szCs w:val="20"/>
              </w:rPr>
              <w:t>UNDP</w:t>
            </w:r>
            <w:r w:rsidRPr="00C341F8">
              <w:rPr>
                <w:rFonts w:asciiTheme="minorHAnsi" w:hAnsiTheme="minorHAnsi" w:cstheme="minorHAnsi"/>
                <w:sz w:val="20"/>
                <w:szCs w:val="20"/>
              </w:rPr>
              <w:t xml:space="preserve"> </w:t>
            </w:r>
            <w:r>
              <w:rPr>
                <w:rFonts w:asciiTheme="minorHAnsi" w:hAnsiTheme="minorHAnsi" w:cstheme="minorHAnsi"/>
                <w:sz w:val="20"/>
                <w:szCs w:val="20"/>
              </w:rPr>
              <w:t>Commissioning Unit</w:t>
            </w:r>
            <w:r w:rsidRPr="00C341F8">
              <w:rPr>
                <w:rFonts w:asciiTheme="minorHAnsi" w:hAnsiTheme="minorHAnsi" w:cstheme="minorHAnsi"/>
                <w:sz w:val="20"/>
                <w:szCs w:val="20"/>
              </w:rPr>
              <w:t xml:space="preserve"> and Technical Support Staff</w:t>
            </w:r>
          </w:p>
        </w:tc>
      </w:tr>
      <w:tr w:rsidR="00A4310A" w:rsidRPr="00C341F8" w14:paraId="1A8D638C" w14:textId="77777777" w:rsidTr="002D232A">
        <w:trPr>
          <w:trHeight w:val="476"/>
          <w:tblCellSpacing w:w="4" w:type="dxa"/>
          <w:jc w:val="center"/>
        </w:trPr>
        <w:tc>
          <w:tcPr>
            <w:tcW w:w="3588" w:type="dxa"/>
            <w:tcBorders>
              <w:top w:val="nil"/>
              <w:left w:val="nil"/>
            </w:tcBorders>
            <w:shd w:val="clear" w:color="auto" w:fill="EAF6F3"/>
            <w:vAlign w:val="center"/>
          </w:tcPr>
          <w:p w14:paraId="149564BD" w14:textId="77777777" w:rsidR="00A4310A" w:rsidRPr="00C341F8" w:rsidRDefault="00A4310A" w:rsidP="002D232A">
            <w:pPr>
              <w:pStyle w:val="TableParagraph"/>
              <w:spacing w:line="264" w:lineRule="auto"/>
              <w:rPr>
                <w:rFonts w:asciiTheme="minorHAnsi" w:hAnsiTheme="minorHAnsi" w:cstheme="minorHAnsi"/>
                <w:sz w:val="20"/>
                <w:szCs w:val="20"/>
              </w:rPr>
            </w:pPr>
            <w:r w:rsidRPr="00C341F8">
              <w:rPr>
                <w:rFonts w:asciiTheme="minorHAnsi" w:hAnsiTheme="minorHAnsi" w:cstheme="minorHAnsi"/>
                <w:sz w:val="20"/>
                <w:szCs w:val="20"/>
              </w:rPr>
              <w:t>Desk</w:t>
            </w:r>
            <w:r w:rsidRPr="00C341F8">
              <w:rPr>
                <w:rFonts w:asciiTheme="minorHAnsi" w:hAnsiTheme="minorHAnsi" w:cstheme="minorHAnsi"/>
                <w:spacing w:val="-4"/>
                <w:sz w:val="20"/>
                <w:szCs w:val="20"/>
              </w:rPr>
              <w:t xml:space="preserve"> </w:t>
            </w:r>
            <w:r w:rsidRPr="00C341F8">
              <w:rPr>
                <w:rFonts w:asciiTheme="minorHAnsi" w:hAnsiTheme="minorHAnsi" w:cstheme="minorHAnsi"/>
                <w:sz w:val="20"/>
                <w:szCs w:val="20"/>
              </w:rPr>
              <w:t>review,</w:t>
            </w:r>
            <w:r w:rsidRPr="00C341F8">
              <w:rPr>
                <w:rFonts w:asciiTheme="minorHAnsi" w:hAnsiTheme="minorHAnsi" w:cstheme="minorHAnsi"/>
                <w:spacing w:val="-4"/>
                <w:sz w:val="20"/>
                <w:szCs w:val="20"/>
              </w:rPr>
              <w:t xml:space="preserve"> </w:t>
            </w:r>
            <w:r w:rsidRPr="00C341F8">
              <w:rPr>
                <w:rFonts w:asciiTheme="minorHAnsi" w:hAnsiTheme="minorHAnsi" w:cstheme="minorHAnsi"/>
                <w:sz w:val="20"/>
                <w:szCs w:val="20"/>
              </w:rPr>
              <w:t>Evaluation</w:t>
            </w:r>
            <w:r w:rsidRPr="00C341F8">
              <w:rPr>
                <w:rFonts w:asciiTheme="minorHAnsi" w:hAnsiTheme="minorHAnsi" w:cstheme="minorHAnsi"/>
                <w:spacing w:val="-3"/>
                <w:sz w:val="20"/>
                <w:szCs w:val="20"/>
              </w:rPr>
              <w:t xml:space="preserve"> </w:t>
            </w:r>
            <w:r w:rsidRPr="00C341F8">
              <w:rPr>
                <w:rFonts w:asciiTheme="minorHAnsi" w:hAnsiTheme="minorHAnsi" w:cstheme="minorHAnsi"/>
                <w:sz w:val="20"/>
                <w:szCs w:val="20"/>
              </w:rPr>
              <w:t>design,</w:t>
            </w:r>
            <w:r w:rsidRPr="00C341F8">
              <w:rPr>
                <w:rFonts w:asciiTheme="minorHAnsi" w:hAnsiTheme="minorHAnsi" w:cstheme="minorHAnsi"/>
                <w:spacing w:val="-2"/>
                <w:sz w:val="20"/>
                <w:szCs w:val="20"/>
              </w:rPr>
              <w:t xml:space="preserve"> </w:t>
            </w:r>
            <w:r w:rsidRPr="00C341F8">
              <w:rPr>
                <w:rFonts w:asciiTheme="minorHAnsi" w:hAnsiTheme="minorHAnsi" w:cstheme="minorHAnsi"/>
                <w:sz w:val="20"/>
                <w:szCs w:val="20"/>
              </w:rPr>
              <w:t>methodology</w:t>
            </w:r>
            <w:r>
              <w:rPr>
                <w:rFonts w:asciiTheme="minorHAnsi" w:hAnsiTheme="minorHAnsi" w:cstheme="minorHAnsi"/>
                <w:sz w:val="20"/>
                <w:szCs w:val="20"/>
              </w:rPr>
              <w:t>,</w:t>
            </w:r>
            <w:r w:rsidRPr="00C341F8">
              <w:rPr>
                <w:rFonts w:asciiTheme="minorHAnsi" w:hAnsiTheme="minorHAnsi" w:cstheme="minorHAnsi"/>
                <w:spacing w:val="-2"/>
                <w:sz w:val="20"/>
                <w:szCs w:val="20"/>
              </w:rPr>
              <w:t xml:space="preserve"> </w:t>
            </w:r>
            <w:r w:rsidRPr="00C341F8">
              <w:rPr>
                <w:rFonts w:asciiTheme="minorHAnsi" w:hAnsiTheme="minorHAnsi" w:cstheme="minorHAnsi"/>
                <w:sz w:val="20"/>
                <w:szCs w:val="20"/>
              </w:rPr>
              <w:t>and</w:t>
            </w:r>
            <w:r w:rsidRPr="00C341F8">
              <w:rPr>
                <w:rFonts w:asciiTheme="minorHAnsi" w:hAnsiTheme="minorHAnsi" w:cstheme="minorHAnsi"/>
                <w:spacing w:val="-4"/>
                <w:sz w:val="20"/>
                <w:szCs w:val="20"/>
              </w:rPr>
              <w:t xml:space="preserve"> </w:t>
            </w:r>
            <w:r w:rsidRPr="00C341F8">
              <w:rPr>
                <w:rFonts w:asciiTheme="minorHAnsi" w:hAnsiTheme="minorHAnsi" w:cstheme="minorHAnsi"/>
                <w:sz w:val="20"/>
                <w:szCs w:val="20"/>
              </w:rPr>
              <w:t>updated</w:t>
            </w:r>
            <w:r w:rsidRPr="00C341F8">
              <w:rPr>
                <w:rFonts w:asciiTheme="minorHAnsi" w:hAnsiTheme="minorHAnsi" w:cstheme="minorHAnsi"/>
                <w:spacing w:val="-5"/>
                <w:sz w:val="20"/>
                <w:szCs w:val="20"/>
              </w:rPr>
              <w:t xml:space="preserve"> </w:t>
            </w:r>
            <w:r w:rsidRPr="00C341F8">
              <w:rPr>
                <w:rFonts w:asciiTheme="minorHAnsi" w:hAnsiTheme="minorHAnsi" w:cstheme="minorHAnsi"/>
                <w:sz w:val="20"/>
                <w:szCs w:val="20"/>
              </w:rPr>
              <w:t>workplan</w:t>
            </w:r>
          </w:p>
          <w:p w14:paraId="42466AD8" w14:textId="77777777" w:rsidR="00A4310A" w:rsidRPr="00C341F8" w:rsidRDefault="00A4310A" w:rsidP="002D232A">
            <w:pPr>
              <w:pStyle w:val="TableParagraph"/>
              <w:spacing w:line="264" w:lineRule="auto"/>
              <w:rPr>
                <w:rFonts w:asciiTheme="minorHAnsi" w:hAnsiTheme="minorHAnsi" w:cstheme="minorHAnsi"/>
                <w:sz w:val="20"/>
                <w:szCs w:val="20"/>
              </w:rPr>
            </w:pPr>
            <w:r w:rsidRPr="00C341F8">
              <w:rPr>
                <w:rFonts w:asciiTheme="minorHAnsi" w:hAnsiTheme="minorHAnsi" w:cstheme="minorHAnsi"/>
                <w:sz w:val="20"/>
                <w:szCs w:val="20"/>
              </w:rPr>
              <w:t>including</w:t>
            </w:r>
            <w:r w:rsidRPr="00C341F8">
              <w:rPr>
                <w:rFonts w:asciiTheme="minorHAnsi" w:hAnsiTheme="minorHAnsi" w:cstheme="minorHAnsi"/>
                <w:spacing w:val="-3"/>
                <w:sz w:val="20"/>
                <w:szCs w:val="20"/>
              </w:rPr>
              <w:t xml:space="preserve"> </w:t>
            </w:r>
            <w:r w:rsidRPr="00C341F8">
              <w:rPr>
                <w:rFonts w:asciiTheme="minorHAnsi" w:hAnsiTheme="minorHAnsi" w:cstheme="minorHAnsi"/>
                <w:sz w:val="20"/>
                <w:szCs w:val="20"/>
              </w:rPr>
              <w:t>the</w:t>
            </w:r>
            <w:r w:rsidRPr="00C341F8">
              <w:rPr>
                <w:rFonts w:asciiTheme="minorHAnsi" w:hAnsiTheme="minorHAnsi" w:cstheme="minorHAnsi"/>
                <w:spacing w:val="-2"/>
                <w:sz w:val="20"/>
                <w:szCs w:val="20"/>
              </w:rPr>
              <w:t xml:space="preserve"> </w:t>
            </w:r>
            <w:r w:rsidRPr="00C341F8">
              <w:rPr>
                <w:rFonts w:asciiTheme="minorHAnsi" w:hAnsiTheme="minorHAnsi" w:cstheme="minorHAnsi"/>
                <w:sz w:val="20"/>
                <w:szCs w:val="20"/>
              </w:rPr>
              <w:t>list</w:t>
            </w:r>
            <w:r w:rsidRPr="00C341F8">
              <w:rPr>
                <w:rFonts w:asciiTheme="minorHAnsi" w:hAnsiTheme="minorHAnsi" w:cstheme="minorHAnsi"/>
                <w:spacing w:val="-2"/>
                <w:sz w:val="20"/>
                <w:szCs w:val="20"/>
              </w:rPr>
              <w:t xml:space="preserve"> </w:t>
            </w:r>
            <w:r w:rsidRPr="00C341F8">
              <w:rPr>
                <w:rFonts w:asciiTheme="minorHAnsi" w:hAnsiTheme="minorHAnsi" w:cstheme="minorHAnsi"/>
                <w:sz w:val="20"/>
                <w:szCs w:val="20"/>
              </w:rPr>
              <w:t>of</w:t>
            </w:r>
            <w:r w:rsidRPr="00C341F8">
              <w:rPr>
                <w:rFonts w:asciiTheme="minorHAnsi" w:hAnsiTheme="minorHAnsi" w:cstheme="minorHAnsi"/>
                <w:spacing w:val="-3"/>
                <w:sz w:val="20"/>
                <w:szCs w:val="20"/>
              </w:rPr>
              <w:t xml:space="preserve"> </w:t>
            </w:r>
            <w:r w:rsidRPr="00C341F8">
              <w:rPr>
                <w:rFonts w:asciiTheme="minorHAnsi" w:hAnsiTheme="minorHAnsi" w:cstheme="minorHAnsi"/>
                <w:sz w:val="20"/>
                <w:szCs w:val="20"/>
              </w:rPr>
              <w:t>stakeholders</w:t>
            </w:r>
            <w:r w:rsidRPr="00C341F8">
              <w:rPr>
                <w:rFonts w:asciiTheme="minorHAnsi" w:hAnsiTheme="minorHAnsi" w:cstheme="minorHAnsi"/>
                <w:spacing w:val="-3"/>
                <w:sz w:val="20"/>
                <w:szCs w:val="20"/>
              </w:rPr>
              <w:t xml:space="preserve"> </w:t>
            </w:r>
            <w:r w:rsidRPr="00C341F8">
              <w:rPr>
                <w:rFonts w:asciiTheme="minorHAnsi" w:hAnsiTheme="minorHAnsi" w:cstheme="minorHAnsi"/>
                <w:sz w:val="20"/>
                <w:szCs w:val="20"/>
              </w:rPr>
              <w:t>to</w:t>
            </w:r>
            <w:r w:rsidRPr="00C341F8">
              <w:rPr>
                <w:rFonts w:asciiTheme="minorHAnsi" w:hAnsiTheme="minorHAnsi" w:cstheme="minorHAnsi"/>
                <w:spacing w:val="-1"/>
                <w:sz w:val="20"/>
                <w:szCs w:val="20"/>
              </w:rPr>
              <w:t xml:space="preserve"> </w:t>
            </w:r>
            <w:r w:rsidRPr="00C341F8">
              <w:rPr>
                <w:rFonts w:asciiTheme="minorHAnsi" w:hAnsiTheme="minorHAnsi" w:cstheme="minorHAnsi"/>
                <w:sz w:val="20"/>
                <w:szCs w:val="20"/>
              </w:rPr>
              <w:t>be</w:t>
            </w:r>
            <w:r w:rsidRPr="00C341F8">
              <w:rPr>
                <w:rFonts w:asciiTheme="minorHAnsi" w:hAnsiTheme="minorHAnsi" w:cstheme="minorHAnsi"/>
                <w:spacing w:val="-3"/>
                <w:sz w:val="20"/>
                <w:szCs w:val="20"/>
              </w:rPr>
              <w:t xml:space="preserve"> </w:t>
            </w:r>
            <w:r w:rsidRPr="00C341F8">
              <w:rPr>
                <w:rFonts w:asciiTheme="minorHAnsi" w:hAnsiTheme="minorHAnsi" w:cstheme="minorHAnsi"/>
                <w:sz w:val="20"/>
                <w:szCs w:val="20"/>
              </w:rPr>
              <w:t>interviewed</w:t>
            </w:r>
          </w:p>
        </w:tc>
        <w:tc>
          <w:tcPr>
            <w:tcW w:w="1112" w:type="dxa"/>
            <w:tcBorders>
              <w:top w:val="nil"/>
            </w:tcBorders>
            <w:shd w:val="clear" w:color="auto" w:fill="EAF6F3"/>
            <w:vAlign w:val="center"/>
          </w:tcPr>
          <w:p w14:paraId="227DC58D" w14:textId="77777777" w:rsidR="00A4310A" w:rsidRPr="00C341F8" w:rsidRDefault="00A4310A" w:rsidP="002D232A">
            <w:pPr>
              <w:pStyle w:val="TableParagraph"/>
              <w:spacing w:line="264" w:lineRule="auto"/>
              <w:ind w:left="102"/>
              <w:rPr>
                <w:rFonts w:asciiTheme="minorHAnsi" w:hAnsiTheme="minorHAnsi" w:cstheme="minorHAnsi"/>
                <w:sz w:val="20"/>
                <w:szCs w:val="20"/>
              </w:rPr>
            </w:pPr>
            <w:r>
              <w:rPr>
                <w:rFonts w:asciiTheme="minorHAnsi" w:hAnsiTheme="minorHAnsi" w:cstheme="minorHAnsi"/>
                <w:sz w:val="20"/>
                <w:szCs w:val="20"/>
              </w:rPr>
              <w:t>6</w:t>
            </w:r>
            <w:r w:rsidRPr="00C341F8">
              <w:rPr>
                <w:rFonts w:asciiTheme="minorHAnsi" w:hAnsiTheme="minorHAnsi" w:cstheme="minorHAnsi"/>
                <w:sz w:val="20"/>
                <w:szCs w:val="20"/>
              </w:rPr>
              <w:t xml:space="preserve"> days</w:t>
            </w:r>
          </w:p>
        </w:tc>
        <w:tc>
          <w:tcPr>
            <w:tcW w:w="1842" w:type="dxa"/>
            <w:vMerge/>
            <w:shd w:val="clear" w:color="auto" w:fill="EAF6F3"/>
            <w:vAlign w:val="center"/>
          </w:tcPr>
          <w:p w14:paraId="4E1066F9" w14:textId="77777777" w:rsidR="00A4310A" w:rsidRPr="00C341F8" w:rsidRDefault="00A4310A" w:rsidP="002D232A">
            <w:pPr>
              <w:pStyle w:val="TableParagraph"/>
              <w:spacing w:line="264" w:lineRule="auto"/>
              <w:ind w:left="102"/>
              <w:rPr>
                <w:rFonts w:asciiTheme="minorHAnsi" w:hAnsiTheme="minorHAnsi" w:cstheme="minorHAnsi"/>
                <w:sz w:val="20"/>
                <w:szCs w:val="20"/>
              </w:rPr>
            </w:pPr>
          </w:p>
        </w:tc>
        <w:tc>
          <w:tcPr>
            <w:tcW w:w="1440" w:type="dxa"/>
            <w:tcBorders>
              <w:top w:val="nil"/>
            </w:tcBorders>
            <w:shd w:val="clear" w:color="auto" w:fill="EAF6F3"/>
            <w:vAlign w:val="center"/>
          </w:tcPr>
          <w:p w14:paraId="664B3380" w14:textId="77777777" w:rsidR="00A4310A" w:rsidRPr="00C341F8" w:rsidRDefault="00A4310A" w:rsidP="002D232A">
            <w:pPr>
              <w:pStyle w:val="TableParagraph"/>
              <w:spacing w:line="264" w:lineRule="auto"/>
              <w:ind w:left="0"/>
              <w:rPr>
                <w:rFonts w:asciiTheme="minorHAnsi" w:hAnsiTheme="minorHAnsi" w:cstheme="minorHAnsi"/>
                <w:sz w:val="20"/>
                <w:szCs w:val="20"/>
              </w:rPr>
            </w:pPr>
            <w:r w:rsidRPr="00C341F8">
              <w:rPr>
                <w:rFonts w:asciiTheme="minorHAnsi" w:hAnsiTheme="minorHAnsi" w:cstheme="minorHAnsi"/>
                <w:sz w:val="20"/>
                <w:szCs w:val="20"/>
              </w:rPr>
              <w:t>Home-based</w:t>
            </w:r>
          </w:p>
        </w:tc>
        <w:tc>
          <w:tcPr>
            <w:tcW w:w="2321" w:type="dxa"/>
            <w:tcBorders>
              <w:top w:val="nil"/>
              <w:right w:val="nil"/>
            </w:tcBorders>
            <w:shd w:val="clear" w:color="auto" w:fill="EAF6F3"/>
            <w:vAlign w:val="center"/>
          </w:tcPr>
          <w:p w14:paraId="6E03958E" w14:textId="77777777" w:rsidR="00A4310A" w:rsidRPr="00C341F8" w:rsidRDefault="00A4310A" w:rsidP="002D232A">
            <w:pPr>
              <w:pStyle w:val="TableParagraph"/>
              <w:spacing w:line="264" w:lineRule="auto"/>
              <w:rPr>
                <w:rFonts w:asciiTheme="minorHAnsi" w:hAnsiTheme="minorHAnsi" w:cstheme="minorHAnsi"/>
                <w:sz w:val="20"/>
                <w:szCs w:val="20"/>
              </w:rPr>
            </w:pPr>
            <w:r>
              <w:rPr>
                <w:rFonts w:asciiTheme="minorHAnsi" w:hAnsiTheme="minorHAnsi" w:cstheme="minorHAnsi"/>
                <w:sz w:val="20"/>
                <w:szCs w:val="20"/>
              </w:rPr>
              <w:t>Int. Evaluator</w:t>
            </w:r>
          </w:p>
        </w:tc>
      </w:tr>
      <w:tr w:rsidR="00A4310A" w:rsidRPr="00C341F8" w14:paraId="5EAB9383" w14:textId="77777777" w:rsidTr="002D232A">
        <w:trPr>
          <w:trHeight w:val="477"/>
          <w:tblCellSpacing w:w="4" w:type="dxa"/>
          <w:jc w:val="center"/>
        </w:trPr>
        <w:tc>
          <w:tcPr>
            <w:tcW w:w="3588" w:type="dxa"/>
            <w:tcBorders>
              <w:left w:val="nil"/>
            </w:tcBorders>
            <w:shd w:val="clear" w:color="auto" w:fill="EAF6F3"/>
            <w:vAlign w:val="center"/>
          </w:tcPr>
          <w:p w14:paraId="3D30A82F" w14:textId="77777777" w:rsidR="00A4310A" w:rsidRPr="00C341F8" w:rsidRDefault="00A4310A" w:rsidP="002D232A">
            <w:pPr>
              <w:pStyle w:val="TableParagraph"/>
              <w:spacing w:line="264" w:lineRule="auto"/>
              <w:rPr>
                <w:rFonts w:asciiTheme="minorHAnsi" w:hAnsiTheme="minorHAnsi" w:cstheme="minorHAnsi"/>
                <w:sz w:val="20"/>
                <w:szCs w:val="20"/>
              </w:rPr>
            </w:pPr>
            <w:r w:rsidRPr="00C341F8">
              <w:rPr>
                <w:rFonts w:asciiTheme="minorHAnsi" w:hAnsiTheme="minorHAnsi" w:cstheme="minorHAnsi"/>
                <w:sz w:val="20"/>
                <w:szCs w:val="20"/>
              </w:rPr>
              <w:t>Submission</w:t>
            </w:r>
            <w:r w:rsidRPr="00C341F8">
              <w:rPr>
                <w:rFonts w:asciiTheme="minorHAnsi" w:hAnsiTheme="minorHAnsi" w:cstheme="minorHAnsi"/>
                <w:spacing w:val="-2"/>
                <w:sz w:val="20"/>
                <w:szCs w:val="20"/>
              </w:rPr>
              <w:t xml:space="preserve"> </w:t>
            </w:r>
            <w:r w:rsidRPr="00C341F8">
              <w:rPr>
                <w:rFonts w:asciiTheme="minorHAnsi" w:hAnsiTheme="minorHAnsi" w:cstheme="minorHAnsi"/>
                <w:sz w:val="20"/>
                <w:szCs w:val="20"/>
              </w:rPr>
              <w:t>of</w:t>
            </w:r>
            <w:r w:rsidRPr="00C341F8">
              <w:rPr>
                <w:rFonts w:asciiTheme="minorHAnsi" w:hAnsiTheme="minorHAnsi" w:cstheme="minorHAnsi"/>
                <w:spacing w:val="-3"/>
                <w:sz w:val="20"/>
                <w:szCs w:val="20"/>
              </w:rPr>
              <w:t xml:space="preserve"> </w:t>
            </w:r>
            <w:r w:rsidRPr="00C341F8">
              <w:rPr>
                <w:rFonts w:asciiTheme="minorHAnsi" w:hAnsiTheme="minorHAnsi" w:cstheme="minorHAnsi"/>
                <w:sz w:val="20"/>
                <w:szCs w:val="20"/>
              </w:rPr>
              <w:t>the</w:t>
            </w:r>
            <w:r w:rsidRPr="00C341F8">
              <w:rPr>
                <w:rFonts w:asciiTheme="minorHAnsi" w:hAnsiTheme="minorHAnsi" w:cstheme="minorHAnsi"/>
                <w:spacing w:val="-1"/>
                <w:sz w:val="20"/>
                <w:szCs w:val="20"/>
              </w:rPr>
              <w:t xml:space="preserve"> </w:t>
            </w:r>
            <w:r w:rsidRPr="00C341F8">
              <w:rPr>
                <w:rFonts w:asciiTheme="minorHAnsi" w:hAnsiTheme="minorHAnsi" w:cstheme="minorHAnsi"/>
                <w:sz w:val="20"/>
                <w:szCs w:val="20"/>
              </w:rPr>
              <w:t>inception</w:t>
            </w:r>
            <w:r w:rsidRPr="00C341F8">
              <w:rPr>
                <w:rFonts w:asciiTheme="minorHAnsi" w:hAnsiTheme="minorHAnsi" w:cstheme="minorHAnsi"/>
                <w:spacing w:val="-1"/>
                <w:sz w:val="20"/>
                <w:szCs w:val="20"/>
              </w:rPr>
              <w:t xml:space="preserve"> </w:t>
            </w:r>
            <w:r w:rsidRPr="00C341F8">
              <w:rPr>
                <w:rFonts w:asciiTheme="minorHAnsi" w:hAnsiTheme="minorHAnsi" w:cstheme="minorHAnsi"/>
                <w:sz w:val="20"/>
                <w:szCs w:val="20"/>
              </w:rPr>
              <w:t>report</w:t>
            </w:r>
          </w:p>
          <w:p w14:paraId="0EB0E101" w14:textId="77777777" w:rsidR="00A4310A" w:rsidRPr="00C341F8" w:rsidRDefault="00A4310A" w:rsidP="002D232A">
            <w:pPr>
              <w:pStyle w:val="TableParagraph"/>
              <w:spacing w:line="264" w:lineRule="auto"/>
              <w:rPr>
                <w:rFonts w:asciiTheme="minorHAnsi" w:hAnsiTheme="minorHAnsi" w:cstheme="minorHAnsi"/>
                <w:sz w:val="20"/>
                <w:szCs w:val="20"/>
              </w:rPr>
            </w:pPr>
            <w:r w:rsidRPr="00C341F8">
              <w:rPr>
                <w:rFonts w:asciiTheme="minorHAnsi" w:hAnsiTheme="minorHAnsi" w:cstheme="minorHAnsi"/>
                <w:sz w:val="20"/>
                <w:szCs w:val="20"/>
              </w:rPr>
              <w:t>(15</w:t>
            </w:r>
            <w:r w:rsidRPr="00C341F8">
              <w:rPr>
                <w:rFonts w:asciiTheme="minorHAnsi" w:hAnsiTheme="minorHAnsi" w:cstheme="minorHAnsi"/>
                <w:spacing w:val="-3"/>
                <w:sz w:val="20"/>
                <w:szCs w:val="20"/>
              </w:rPr>
              <w:t xml:space="preserve"> </w:t>
            </w:r>
            <w:r w:rsidRPr="00C341F8">
              <w:rPr>
                <w:rFonts w:asciiTheme="minorHAnsi" w:hAnsiTheme="minorHAnsi" w:cstheme="minorHAnsi"/>
                <w:sz w:val="20"/>
                <w:szCs w:val="20"/>
              </w:rPr>
              <w:t>pages</w:t>
            </w:r>
            <w:r w:rsidRPr="00C341F8">
              <w:rPr>
                <w:rFonts w:asciiTheme="minorHAnsi" w:hAnsiTheme="minorHAnsi" w:cstheme="minorHAnsi"/>
                <w:spacing w:val="-1"/>
                <w:sz w:val="20"/>
                <w:szCs w:val="20"/>
              </w:rPr>
              <w:t xml:space="preserve"> </w:t>
            </w:r>
            <w:r w:rsidRPr="00C341F8">
              <w:rPr>
                <w:rFonts w:asciiTheme="minorHAnsi" w:hAnsiTheme="minorHAnsi" w:cstheme="minorHAnsi"/>
                <w:sz w:val="20"/>
                <w:szCs w:val="20"/>
              </w:rPr>
              <w:t>maximum)</w:t>
            </w:r>
          </w:p>
        </w:tc>
        <w:tc>
          <w:tcPr>
            <w:tcW w:w="1112" w:type="dxa"/>
            <w:shd w:val="clear" w:color="auto" w:fill="EAF6F3"/>
            <w:vAlign w:val="center"/>
          </w:tcPr>
          <w:p w14:paraId="32B4933E" w14:textId="77777777" w:rsidR="00A4310A" w:rsidRPr="00C341F8" w:rsidRDefault="00A4310A" w:rsidP="002D232A">
            <w:pPr>
              <w:pStyle w:val="TableParagraph"/>
              <w:spacing w:line="264" w:lineRule="auto"/>
              <w:ind w:left="102"/>
              <w:rPr>
                <w:rFonts w:asciiTheme="minorHAnsi" w:hAnsiTheme="minorHAnsi" w:cstheme="minorHAnsi"/>
                <w:sz w:val="20"/>
                <w:szCs w:val="20"/>
              </w:rPr>
            </w:pPr>
            <w:r w:rsidRPr="00C341F8">
              <w:rPr>
                <w:rFonts w:asciiTheme="minorHAnsi" w:hAnsiTheme="minorHAnsi" w:cstheme="minorHAnsi"/>
                <w:sz w:val="20"/>
                <w:szCs w:val="20"/>
              </w:rPr>
              <w:t>-</w:t>
            </w:r>
          </w:p>
        </w:tc>
        <w:tc>
          <w:tcPr>
            <w:tcW w:w="1842" w:type="dxa"/>
            <w:vMerge/>
            <w:shd w:val="clear" w:color="auto" w:fill="EAF6F3"/>
            <w:vAlign w:val="center"/>
          </w:tcPr>
          <w:p w14:paraId="54818DFC" w14:textId="77777777" w:rsidR="00A4310A" w:rsidRPr="006345C0" w:rsidRDefault="00A4310A" w:rsidP="002D232A">
            <w:pPr>
              <w:pStyle w:val="TableParagraph"/>
              <w:spacing w:line="264" w:lineRule="auto"/>
              <w:ind w:left="102"/>
              <w:rPr>
                <w:rFonts w:asciiTheme="minorHAnsi" w:hAnsiTheme="minorHAnsi" w:cstheme="minorHAnsi"/>
                <w:sz w:val="20"/>
                <w:szCs w:val="20"/>
                <w:highlight w:val="yellow"/>
              </w:rPr>
            </w:pPr>
          </w:p>
        </w:tc>
        <w:tc>
          <w:tcPr>
            <w:tcW w:w="1440" w:type="dxa"/>
            <w:shd w:val="clear" w:color="auto" w:fill="EAF6F3"/>
            <w:vAlign w:val="center"/>
          </w:tcPr>
          <w:p w14:paraId="0930DBEF" w14:textId="77777777" w:rsidR="00A4310A" w:rsidRPr="00C341F8" w:rsidRDefault="00A4310A" w:rsidP="002D232A">
            <w:pPr>
              <w:pStyle w:val="TableParagraph"/>
              <w:spacing w:line="264" w:lineRule="auto"/>
              <w:ind w:left="0"/>
              <w:rPr>
                <w:rFonts w:asciiTheme="minorHAnsi" w:hAnsiTheme="minorHAnsi" w:cstheme="minorHAnsi"/>
                <w:sz w:val="20"/>
                <w:szCs w:val="20"/>
              </w:rPr>
            </w:pPr>
            <w:r w:rsidRPr="00C341F8">
              <w:rPr>
                <w:rFonts w:asciiTheme="minorHAnsi" w:hAnsiTheme="minorHAnsi" w:cstheme="minorHAnsi"/>
                <w:sz w:val="20"/>
                <w:szCs w:val="20"/>
              </w:rPr>
              <w:t>Via</w:t>
            </w:r>
            <w:r w:rsidRPr="00C341F8">
              <w:rPr>
                <w:rFonts w:asciiTheme="minorHAnsi" w:hAnsiTheme="minorHAnsi" w:cstheme="minorHAnsi"/>
                <w:spacing w:val="-2"/>
                <w:sz w:val="20"/>
                <w:szCs w:val="20"/>
              </w:rPr>
              <w:t xml:space="preserve"> </w:t>
            </w:r>
            <w:r w:rsidRPr="00C341F8">
              <w:rPr>
                <w:rFonts w:asciiTheme="minorHAnsi" w:hAnsiTheme="minorHAnsi" w:cstheme="minorHAnsi"/>
                <w:sz w:val="20"/>
                <w:szCs w:val="20"/>
              </w:rPr>
              <w:t>email</w:t>
            </w:r>
          </w:p>
        </w:tc>
        <w:tc>
          <w:tcPr>
            <w:tcW w:w="2321" w:type="dxa"/>
            <w:tcBorders>
              <w:right w:val="nil"/>
            </w:tcBorders>
            <w:shd w:val="clear" w:color="auto" w:fill="EAF6F3"/>
            <w:vAlign w:val="center"/>
          </w:tcPr>
          <w:p w14:paraId="32721C11" w14:textId="77777777" w:rsidR="00A4310A" w:rsidRPr="00C341F8" w:rsidRDefault="00A4310A" w:rsidP="002D232A">
            <w:pPr>
              <w:pStyle w:val="TableParagraph"/>
              <w:spacing w:line="264" w:lineRule="auto"/>
              <w:rPr>
                <w:rFonts w:asciiTheme="minorHAnsi" w:hAnsiTheme="minorHAnsi" w:cstheme="minorHAnsi"/>
                <w:sz w:val="20"/>
                <w:szCs w:val="20"/>
              </w:rPr>
            </w:pPr>
            <w:r>
              <w:rPr>
                <w:rFonts w:asciiTheme="minorHAnsi" w:hAnsiTheme="minorHAnsi" w:cstheme="minorHAnsi"/>
                <w:sz w:val="20"/>
                <w:szCs w:val="20"/>
              </w:rPr>
              <w:t>Int. Evaluator</w:t>
            </w:r>
          </w:p>
        </w:tc>
      </w:tr>
      <w:tr w:rsidR="00A4310A" w:rsidRPr="00C341F8" w14:paraId="6C7D47D1" w14:textId="77777777" w:rsidTr="002D232A">
        <w:trPr>
          <w:trHeight w:val="722"/>
          <w:tblCellSpacing w:w="4" w:type="dxa"/>
          <w:jc w:val="center"/>
        </w:trPr>
        <w:tc>
          <w:tcPr>
            <w:tcW w:w="3588" w:type="dxa"/>
            <w:tcBorders>
              <w:left w:val="nil"/>
            </w:tcBorders>
            <w:shd w:val="clear" w:color="auto" w:fill="EAF6F3"/>
            <w:vAlign w:val="center"/>
          </w:tcPr>
          <w:p w14:paraId="7746F289" w14:textId="77777777" w:rsidR="00A4310A" w:rsidRPr="00C341F8" w:rsidRDefault="00A4310A" w:rsidP="002D232A">
            <w:pPr>
              <w:pStyle w:val="TableParagraph"/>
              <w:spacing w:line="264" w:lineRule="auto"/>
              <w:rPr>
                <w:rFonts w:asciiTheme="minorHAnsi" w:hAnsiTheme="minorHAnsi" w:cstheme="minorHAnsi"/>
                <w:sz w:val="20"/>
                <w:szCs w:val="20"/>
              </w:rPr>
            </w:pPr>
            <w:r w:rsidRPr="00C341F8">
              <w:rPr>
                <w:rFonts w:asciiTheme="minorHAnsi" w:hAnsiTheme="minorHAnsi" w:cstheme="minorHAnsi"/>
                <w:sz w:val="20"/>
                <w:szCs w:val="20"/>
              </w:rPr>
              <w:t>Comments</w:t>
            </w:r>
            <w:r w:rsidRPr="00C341F8">
              <w:rPr>
                <w:rFonts w:asciiTheme="minorHAnsi" w:hAnsiTheme="minorHAnsi" w:cstheme="minorHAnsi"/>
                <w:spacing w:val="-3"/>
                <w:sz w:val="20"/>
                <w:szCs w:val="20"/>
              </w:rPr>
              <w:t xml:space="preserve"> </w:t>
            </w:r>
            <w:r w:rsidRPr="00C341F8">
              <w:rPr>
                <w:rFonts w:asciiTheme="minorHAnsi" w:hAnsiTheme="minorHAnsi" w:cstheme="minorHAnsi"/>
                <w:sz w:val="20"/>
                <w:szCs w:val="20"/>
              </w:rPr>
              <w:t>and</w:t>
            </w:r>
            <w:r w:rsidRPr="00C341F8">
              <w:rPr>
                <w:rFonts w:asciiTheme="minorHAnsi" w:hAnsiTheme="minorHAnsi" w:cstheme="minorHAnsi"/>
                <w:spacing w:val="-2"/>
                <w:sz w:val="20"/>
                <w:szCs w:val="20"/>
              </w:rPr>
              <w:t xml:space="preserve"> </w:t>
            </w:r>
            <w:r w:rsidRPr="00C341F8">
              <w:rPr>
                <w:rFonts w:asciiTheme="minorHAnsi" w:hAnsiTheme="minorHAnsi" w:cstheme="minorHAnsi"/>
                <w:sz w:val="20"/>
                <w:szCs w:val="20"/>
              </w:rPr>
              <w:t>approval</w:t>
            </w:r>
            <w:r w:rsidRPr="00C341F8">
              <w:rPr>
                <w:rFonts w:asciiTheme="minorHAnsi" w:hAnsiTheme="minorHAnsi" w:cstheme="minorHAnsi"/>
                <w:spacing w:val="-4"/>
                <w:sz w:val="20"/>
                <w:szCs w:val="20"/>
              </w:rPr>
              <w:t xml:space="preserve"> </w:t>
            </w:r>
            <w:r w:rsidRPr="00C341F8">
              <w:rPr>
                <w:rFonts w:asciiTheme="minorHAnsi" w:hAnsiTheme="minorHAnsi" w:cstheme="minorHAnsi"/>
                <w:sz w:val="20"/>
                <w:szCs w:val="20"/>
              </w:rPr>
              <w:t>of</w:t>
            </w:r>
            <w:r w:rsidRPr="00C341F8">
              <w:rPr>
                <w:rFonts w:asciiTheme="minorHAnsi" w:hAnsiTheme="minorHAnsi" w:cstheme="minorHAnsi"/>
                <w:spacing w:val="-2"/>
                <w:sz w:val="20"/>
                <w:szCs w:val="20"/>
              </w:rPr>
              <w:t xml:space="preserve"> </w:t>
            </w:r>
            <w:r w:rsidRPr="00C341F8">
              <w:rPr>
                <w:rFonts w:asciiTheme="minorHAnsi" w:hAnsiTheme="minorHAnsi" w:cstheme="minorHAnsi"/>
                <w:sz w:val="20"/>
                <w:szCs w:val="20"/>
              </w:rPr>
              <w:t>inception</w:t>
            </w:r>
            <w:r w:rsidRPr="00C341F8">
              <w:rPr>
                <w:rFonts w:asciiTheme="minorHAnsi" w:hAnsiTheme="minorHAnsi" w:cstheme="minorHAnsi"/>
                <w:spacing w:val="-2"/>
                <w:sz w:val="20"/>
                <w:szCs w:val="20"/>
              </w:rPr>
              <w:t xml:space="preserve"> </w:t>
            </w:r>
            <w:r w:rsidRPr="00C341F8">
              <w:rPr>
                <w:rFonts w:asciiTheme="minorHAnsi" w:hAnsiTheme="minorHAnsi" w:cstheme="minorHAnsi"/>
                <w:sz w:val="20"/>
                <w:szCs w:val="20"/>
              </w:rPr>
              <w:t>report</w:t>
            </w:r>
          </w:p>
        </w:tc>
        <w:tc>
          <w:tcPr>
            <w:tcW w:w="1112" w:type="dxa"/>
            <w:shd w:val="clear" w:color="auto" w:fill="EAF6F3"/>
            <w:vAlign w:val="center"/>
          </w:tcPr>
          <w:p w14:paraId="77D36BD3" w14:textId="77777777" w:rsidR="00A4310A" w:rsidRPr="00C341F8" w:rsidRDefault="00A4310A" w:rsidP="002D232A">
            <w:pPr>
              <w:pStyle w:val="TableParagraph"/>
              <w:spacing w:line="264" w:lineRule="auto"/>
              <w:ind w:left="102"/>
              <w:rPr>
                <w:rFonts w:asciiTheme="minorHAnsi" w:hAnsiTheme="minorHAnsi" w:cstheme="minorHAnsi"/>
                <w:sz w:val="20"/>
                <w:szCs w:val="20"/>
              </w:rPr>
            </w:pPr>
            <w:r w:rsidRPr="00C341F8">
              <w:rPr>
                <w:rFonts w:asciiTheme="minorHAnsi" w:hAnsiTheme="minorHAnsi" w:cstheme="minorHAnsi"/>
                <w:sz w:val="20"/>
                <w:szCs w:val="20"/>
              </w:rPr>
              <w:t>-</w:t>
            </w:r>
          </w:p>
        </w:tc>
        <w:tc>
          <w:tcPr>
            <w:tcW w:w="1842" w:type="dxa"/>
            <w:vMerge/>
            <w:shd w:val="clear" w:color="auto" w:fill="EAF6F3"/>
            <w:vAlign w:val="center"/>
          </w:tcPr>
          <w:p w14:paraId="04DC79D0" w14:textId="77777777" w:rsidR="00A4310A" w:rsidRPr="006345C0" w:rsidRDefault="00A4310A" w:rsidP="002D232A">
            <w:pPr>
              <w:pStyle w:val="TableParagraph"/>
              <w:spacing w:line="264" w:lineRule="auto"/>
              <w:ind w:left="102"/>
              <w:rPr>
                <w:rFonts w:asciiTheme="minorHAnsi" w:hAnsiTheme="minorHAnsi" w:cstheme="minorHAnsi"/>
                <w:sz w:val="20"/>
                <w:szCs w:val="20"/>
                <w:highlight w:val="yellow"/>
              </w:rPr>
            </w:pPr>
          </w:p>
        </w:tc>
        <w:tc>
          <w:tcPr>
            <w:tcW w:w="1440" w:type="dxa"/>
            <w:shd w:val="clear" w:color="auto" w:fill="EAF6F3"/>
            <w:vAlign w:val="center"/>
          </w:tcPr>
          <w:p w14:paraId="1939D34B" w14:textId="77777777" w:rsidR="00A4310A" w:rsidRPr="00C341F8" w:rsidRDefault="00A4310A" w:rsidP="002D232A">
            <w:pPr>
              <w:pStyle w:val="TableParagraph"/>
              <w:spacing w:line="264" w:lineRule="auto"/>
              <w:ind w:left="0"/>
              <w:rPr>
                <w:rFonts w:asciiTheme="minorHAnsi" w:hAnsiTheme="minorHAnsi" w:cstheme="minorHAnsi"/>
                <w:sz w:val="20"/>
                <w:szCs w:val="20"/>
              </w:rPr>
            </w:pPr>
            <w:r w:rsidRPr="00C341F8">
              <w:rPr>
                <w:rFonts w:asciiTheme="minorHAnsi" w:hAnsiTheme="minorHAnsi" w:cstheme="minorHAnsi"/>
                <w:sz w:val="20"/>
                <w:szCs w:val="20"/>
              </w:rPr>
              <w:t>UNDP</w:t>
            </w:r>
          </w:p>
        </w:tc>
        <w:tc>
          <w:tcPr>
            <w:tcW w:w="2321" w:type="dxa"/>
            <w:tcBorders>
              <w:right w:val="nil"/>
            </w:tcBorders>
            <w:shd w:val="clear" w:color="auto" w:fill="EAF6F3"/>
            <w:vAlign w:val="center"/>
          </w:tcPr>
          <w:p w14:paraId="5A6B9699" w14:textId="1AE65184" w:rsidR="00A4310A" w:rsidRPr="00C341F8" w:rsidRDefault="00A4310A" w:rsidP="002D232A">
            <w:pPr>
              <w:pStyle w:val="TableParagraph"/>
              <w:spacing w:line="264" w:lineRule="auto"/>
              <w:rPr>
                <w:rFonts w:asciiTheme="minorHAnsi" w:hAnsiTheme="minorHAnsi" w:cstheme="minorHAnsi"/>
                <w:sz w:val="20"/>
                <w:szCs w:val="20"/>
              </w:rPr>
            </w:pPr>
            <w:r>
              <w:rPr>
                <w:rFonts w:asciiTheme="minorHAnsi" w:hAnsiTheme="minorHAnsi" w:cstheme="minorHAnsi"/>
                <w:sz w:val="20"/>
                <w:szCs w:val="20"/>
              </w:rPr>
              <w:t>UNDP</w:t>
            </w:r>
            <w:r w:rsidRPr="00C341F8">
              <w:rPr>
                <w:rFonts w:asciiTheme="minorHAnsi" w:hAnsiTheme="minorHAnsi" w:cstheme="minorHAnsi"/>
                <w:sz w:val="20"/>
                <w:szCs w:val="20"/>
              </w:rPr>
              <w:t xml:space="preserve"> </w:t>
            </w:r>
            <w:r>
              <w:rPr>
                <w:rFonts w:asciiTheme="minorHAnsi" w:hAnsiTheme="minorHAnsi" w:cstheme="minorHAnsi"/>
                <w:sz w:val="20"/>
                <w:szCs w:val="20"/>
              </w:rPr>
              <w:t xml:space="preserve">Commissioning </w:t>
            </w:r>
            <w:r w:rsidR="005C753C">
              <w:rPr>
                <w:rFonts w:asciiTheme="minorHAnsi" w:hAnsiTheme="minorHAnsi" w:cstheme="minorHAnsi"/>
                <w:sz w:val="20"/>
                <w:szCs w:val="20"/>
              </w:rPr>
              <w:t>Unit</w:t>
            </w:r>
            <w:r w:rsidR="005C753C" w:rsidRPr="00C341F8">
              <w:rPr>
                <w:rFonts w:asciiTheme="minorHAnsi" w:hAnsiTheme="minorHAnsi" w:cstheme="minorHAnsi"/>
                <w:sz w:val="20"/>
                <w:szCs w:val="20"/>
              </w:rPr>
              <w:t>,</w:t>
            </w:r>
            <w:r w:rsidRPr="00C341F8">
              <w:rPr>
                <w:rFonts w:asciiTheme="minorHAnsi" w:hAnsiTheme="minorHAnsi" w:cstheme="minorHAnsi"/>
                <w:sz w:val="20"/>
                <w:szCs w:val="20"/>
              </w:rPr>
              <w:t xml:space="preserve"> and Technical Support Staff</w:t>
            </w:r>
          </w:p>
        </w:tc>
      </w:tr>
      <w:tr w:rsidR="00A4310A" w:rsidRPr="00C341F8" w14:paraId="30D20753" w14:textId="77777777" w:rsidTr="002D232A">
        <w:trPr>
          <w:trHeight w:val="231"/>
          <w:tblCellSpacing w:w="4" w:type="dxa"/>
          <w:jc w:val="center"/>
        </w:trPr>
        <w:tc>
          <w:tcPr>
            <w:tcW w:w="10335" w:type="dxa"/>
            <w:gridSpan w:val="5"/>
            <w:tcBorders>
              <w:left w:val="nil"/>
              <w:bottom w:val="nil"/>
              <w:right w:val="nil"/>
            </w:tcBorders>
            <w:shd w:val="clear" w:color="auto" w:fill="1BACBA"/>
            <w:vAlign w:val="center"/>
          </w:tcPr>
          <w:p w14:paraId="1D390DC5" w14:textId="20653908" w:rsidR="00A4310A" w:rsidRPr="00464EDA" w:rsidRDefault="00A4310A" w:rsidP="002D232A">
            <w:pPr>
              <w:pStyle w:val="TableParagraph"/>
              <w:spacing w:line="264" w:lineRule="auto"/>
              <w:rPr>
                <w:rFonts w:asciiTheme="minorHAnsi" w:hAnsiTheme="minorHAnsi" w:cstheme="minorHAnsi"/>
                <w:b/>
                <w:sz w:val="20"/>
                <w:szCs w:val="20"/>
              </w:rPr>
            </w:pPr>
            <w:r w:rsidRPr="00464EDA">
              <w:rPr>
                <w:rFonts w:asciiTheme="minorHAnsi" w:hAnsiTheme="minorHAnsi" w:cstheme="minorHAnsi"/>
                <w:b/>
                <w:color w:val="FFFFFF"/>
                <w:sz w:val="20"/>
                <w:szCs w:val="20"/>
              </w:rPr>
              <w:t>Phase</w:t>
            </w:r>
            <w:r w:rsidRPr="00464EDA">
              <w:rPr>
                <w:rFonts w:asciiTheme="minorHAnsi" w:hAnsiTheme="minorHAnsi" w:cstheme="minorHAnsi"/>
                <w:b/>
                <w:color w:val="FFFFFF"/>
                <w:spacing w:val="-6"/>
                <w:sz w:val="20"/>
                <w:szCs w:val="20"/>
              </w:rPr>
              <w:t xml:space="preserve"> </w:t>
            </w:r>
            <w:r w:rsidRPr="00464EDA">
              <w:rPr>
                <w:rFonts w:asciiTheme="minorHAnsi" w:hAnsiTheme="minorHAnsi" w:cstheme="minorHAnsi"/>
                <w:b/>
                <w:color w:val="FFFFFF"/>
                <w:sz w:val="20"/>
                <w:szCs w:val="20"/>
              </w:rPr>
              <w:t>Two:</w:t>
            </w:r>
            <w:r w:rsidRPr="00464EDA">
              <w:rPr>
                <w:rFonts w:asciiTheme="minorHAnsi" w:hAnsiTheme="minorHAnsi" w:cstheme="minorHAnsi"/>
                <w:b/>
                <w:color w:val="FFFFFF"/>
                <w:spacing w:val="-7"/>
                <w:sz w:val="20"/>
                <w:szCs w:val="20"/>
              </w:rPr>
              <w:t xml:space="preserve"> </w:t>
            </w:r>
            <w:r w:rsidRPr="00464EDA">
              <w:rPr>
                <w:rFonts w:asciiTheme="minorHAnsi" w:hAnsiTheme="minorHAnsi" w:cstheme="minorHAnsi"/>
                <w:b/>
                <w:color w:val="FFFFFF"/>
                <w:sz w:val="20"/>
                <w:szCs w:val="20"/>
              </w:rPr>
              <w:t>Data</w:t>
            </w:r>
            <w:r>
              <w:rPr>
                <w:rFonts w:asciiTheme="minorHAnsi" w:hAnsiTheme="minorHAnsi" w:cstheme="minorHAnsi"/>
                <w:b/>
                <w:color w:val="FFFFFF"/>
                <w:sz w:val="20"/>
                <w:szCs w:val="20"/>
              </w:rPr>
              <w:t xml:space="preserve"> </w:t>
            </w:r>
            <w:r w:rsidR="005C753C" w:rsidRPr="00464EDA">
              <w:rPr>
                <w:rFonts w:asciiTheme="minorHAnsi" w:hAnsiTheme="minorHAnsi" w:cstheme="minorHAnsi"/>
                <w:b/>
                <w:color w:val="FFFFFF"/>
                <w:sz w:val="20"/>
                <w:szCs w:val="20"/>
              </w:rPr>
              <w:t>collection</w:t>
            </w:r>
            <w:r w:rsidR="005C753C" w:rsidRPr="00464EDA">
              <w:rPr>
                <w:rFonts w:asciiTheme="minorHAnsi" w:hAnsiTheme="minorHAnsi" w:cstheme="minorHAnsi"/>
                <w:b/>
                <w:color w:val="FFFFFF"/>
                <w:spacing w:val="-6"/>
                <w:sz w:val="20"/>
                <w:szCs w:val="20"/>
              </w:rPr>
              <w:t xml:space="preserve"> </w:t>
            </w:r>
            <w:r w:rsidR="005C753C">
              <w:rPr>
                <w:rFonts w:asciiTheme="minorHAnsi" w:hAnsiTheme="minorHAnsi" w:cstheme="minorHAnsi"/>
                <w:b/>
                <w:color w:val="FFFFFF"/>
                <w:sz w:val="20"/>
                <w:szCs w:val="20"/>
              </w:rPr>
              <w:t>(</w:t>
            </w:r>
            <w:r>
              <w:rPr>
                <w:rFonts w:asciiTheme="minorHAnsi" w:hAnsiTheme="minorHAnsi" w:cstheme="minorHAnsi"/>
                <w:b/>
                <w:color w:val="FFFFFF"/>
                <w:sz w:val="20"/>
                <w:szCs w:val="20"/>
              </w:rPr>
              <w:t>12-18 December)</w:t>
            </w:r>
          </w:p>
        </w:tc>
      </w:tr>
      <w:tr w:rsidR="00A4310A" w:rsidRPr="00C341F8" w14:paraId="18FC0C25" w14:textId="77777777" w:rsidTr="002D232A">
        <w:trPr>
          <w:trHeight w:val="961"/>
          <w:tblCellSpacing w:w="4" w:type="dxa"/>
          <w:jc w:val="center"/>
        </w:trPr>
        <w:tc>
          <w:tcPr>
            <w:tcW w:w="3588" w:type="dxa"/>
            <w:tcBorders>
              <w:top w:val="nil"/>
              <w:left w:val="nil"/>
              <w:bottom w:val="nil"/>
            </w:tcBorders>
            <w:shd w:val="clear" w:color="auto" w:fill="EAF6F3"/>
            <w:vAlign w:val="center"/>
          </w:tcPr>
          <w:p w14:paraId="046FBCF1" w14:textId="77777777" w:rsidR="00A4310A" w:rsidRPr="00C341F8" w:rsidRDefault="00A4310A" w:rsidP="002D232A">
            <w:pPr>
              <w:pStyle w:val="TableParagraph"/>
              <w:spacing w:line="264" w:lineRule="auto"/>
              <w:rPr>
                <w:rFonts w:asciiTheme="minorHAnsi" w:hAnsiTheme="minorHAnsi" w:cstheme="minorHAnsi"/>
                <w:sz w:val="20"/>
                <w:szCs w:val="20"/>
              </w:rPr>
            </w:pPr>
            <w:r w:rsidRPr="00C341F8">
              <w:rPr>
                <w:rFonts w:asciiTheme="minorHAnsi" w:hAnsiTheme="minorHAnsi" w:cstheme="minorHAnsi"/>
                <w:sz w:val="20"/>
                <w:szCs w:val="20"/>
              </w:rPr>
              <w:t>Consultations</w:t>
            </w:r>
            <w:r w:rsidRPr="00C341F8">
              <w:rPr>
                <w:rFonts w:asciiTheme="minorHAnsi" w:hAnsiTheme="minorHAnsi" w:cstheme="minorHAnsi"/>
                <w:spacing w:val="-5"/>
                <w:sz w:val="20"/>
                <w:szCs w:val="20"/>
              </w:rPr>
              <w:t xml:space="preserve"> </w:t>
            </w:r>
            <w:r w:rsidRPr="00C341F8">
              <w:rPr>
                <w:rFonts w:asciiTheme="minorHAnsi" w:hAnsiTheme="minorHAnsi" w:cstheme="minorHAnsi"/>
                <w:sz w:val="20"/>
                <w:szCs w:val="20"/>
              </w:rPr>
              <w:t>and</w:t>
            </w:r>
            <w:r w:rsidRPr="00C341F8">
              <w:rPr>
                <w:rFonts w:asciiTheme="minorHAnsi" w:hAnsiTheme="minorHAnsi" w:cstheme="minorHAnsi"/>
                <w:spacing w:val="-4"/>
                <w:sz w:val="20"/>
                <w:szCs w:val="20"/>
              </w:rPr>
              <w:t xml:space="preserve"> </w:t>
            </w:r>
            <w:r>
              <w:rPr>
                <w:rFonts w:asciiTheme="minorHAnsi" w:hAnsiTheme="minorHAnsi" w:cstheme="minorHAnsi"/>
                <w:sz w:val="20"/>
                <w:szCs w:val="20"/>
              </w:rPr>
              <w:t>on-line meetings</w:t>
            </w:r>
            <w:r w:rsidRPr="00C341F8">
              <w:rPr>
                <w:rFonts w:asciiTheme="minorHAnsi" w:hAnsiTheme="minorHAnsi" w:cstheme="minorHAnsi"/>
                <w:sz w:val="20"/>
                <w:szCs w:val="20"/>
              </w:rPr>
              <w:t>,</w:t>
            </w:r>
            <w:r w:rsidRPr="00C341F8">
              <w:rPr>
                <w:rFonts w:asciiTheme="minorHAnsi" w:hAnsiTheme="minorHAnsi" w:cstheme="minorHAnsi"/>
                <w:spacing w:val="-3"/>
                <w:sz w:val="20"/>
                <w:szCs w:val="20"/>
              </w:rPr>
              <w:t xml:space="preserve"> </w:t>
            </w:r>
            <w:r w:rsidRPr="00C341F8">
              <w:rPr>
                <w:rFonts w:asciiTheme="minorHAnsi" w:hAnsiTheme="minorHAnsi" w:cstheme="minorHAnsi"/>
                <w:sz w:val="20"/>
                <w:szCs w:val="20"/>
              </w:rPr>
              <w:t>in-depth</w:t>
            </w:r>
            <w:r w:rsidRPr="00C341F8">
              <w:rPr>
                <w:rFonts w:asciiTheme="minorHAnsi" w:hAnsiTheme="minorHAnsi" w:cstheme="minorHAnsi"/>
                <w:spacing w:val="-3"/>
                <w:sz w:val="20"/>
                <w:szCs w:val="20"/>
              </w:rPr>
              <w:t xml:space="preserve"> </w:t>
            </w:r>
            <w:r w:rsidRPr="00C341F8">
              <w:rPr>
                <w:rFonts w:asciiTheme="minorHAnsi" w:hAnsiTheme="minorHAnsi" w:cstheme="minorHAnsi"/>
                <w:sz w:val="20"/>
                <w:szCs w:val="20"/>
              </w:rPr>
              <w:t>interviews,</w:t>
            </w:r>
            <w:r w:rsidRPr="00C341F8">
              <w:rPr>
                <w:rFonts w:asciiTheme="minorHAnsi" w:hAnsiTheme="minorHAnsi" w:cstheme="minorHAnsi"/>
                <w:spacing w:val="-3"/>
                <w:sz w:val="20"/>
                <w:szCs w:val="20"/>
              </w:rPr>
              <w:t xml:space="preserve"> </w:t>
            </w:r>
            <w:r>
              <w:rPr>
                <w:rFonts w:asciiTheme="minorHAnsi" w:hAnsiTheme="minorHAnsi" w:cstheme="minorHAnsi"/>
                <w:sz w:val="20"/>
                <w:szCs w:val="20"/>
              </w:rPr>
              <w:t>on-line by international evaluator and face-to-face + on-line by local consultant</w:t>
            </w:r>
          </w:p>
        </w:tc>
        <w:tc>
          <w:tcPr>
            <w:tcW w:w="1112" w:type="dxa"/>
            <w:tcBorders>
              <w:top w:val="nil"/>
              <w:bottom w:val="nil"/>
            </w:tcBorders>
            <w:shd w:val="clear" w:color="auto" w:fill="EAF6F3"/>
            <w:vAlign w:val="center"/>
          </w:tcPr>
          <w:p w14:paraId="4DB02F75" w14:textId="77777777" w:rsidR="00A4310A" w:rsidRDefault="00A4310A" w:rsidP="002D232A">
            <w:pPr>
              <w:pStyle w:val="TableParagraph"/>
              <w:spacing w:line="264" w:lineRule="auto"/>
              <w:ind w:left="102"/>
              <w:rPr>
                <w:rFonts w:asciiTheme="minorHAnsi" w:hAnsiTheme="minorHAnsi" w:cstheme="minorHAnsi"/>
                <w:sz w:val="20"/>
                <w:szCs w:val="20"/>
              </w:rPr>
            </w:pPr>
          </w:p>
          <w:p w14:paraId="7B198766" w14:textId="77777777" w:rsidR="00A4310A" w:rsidRDefault="00A4310A" w:rsidP="002D232A">
            <w:pPr>
              <w:pStyle w:val="TableParagraph"/>
              <w:spacing w:line="264" w:lineRule="auto"/>
              <w:ind w:left="0"/>
              <w:rPr>
                <w:rFonts w:asciiTheme="minorHAnsi" w:hAnsiTheme="minorHAnsi" w:cstheme="minorHAnsi"/>
                <w:sz w:val="20"/>
                <w:szCs w:val="20"/>
              </w:rPr>
            </w:pPr>
            <w:r>
              <w:rPr>
                <w:rFonts w:asciiTheme="minorHAnsi" w:hAnsiTheme="minorHAnsi" w:cstheme="minorHAnsi"/>
                <w:sz w:val="20"/>
                <w:szCs w:val="20"/>
              </w:rPr>
              <w:t xml:space="preserve">  5</w:t>
            </w:r>
            <w:r w:rsidRPr="00464EDA">
              <w:rPr>
                <w:rFonts w:asciiTheme="minorHAnsi" w:hAnsiTheme="minorHAnsi" w:cstheme="minorHAnsi"/>
                <w:spacing w:val="-2"/>
                <w:sz w:val="20"/>
                <w:szCs w:val="20"/>
              </w:rPr>
              <w:t xml:space="preserve"> </w:t>
            </w:r>
            <w:r w:rsidRPr="00464EDA">
              <w:rPr>
                <w:rFonts w:asciiTheme="minorHAnsi" w:hAnsiTheme="minorHAnsi" w:cstheme="minorHAnsi"/>
                <w:sz w:val="20"/>
                <w:szCs w:val="20"/>
              </w:rPr>
              <w:t>days</w:t>
            </w:r>
          </w:p>
          <w:p w14:paraId="1D6C437A" w14:textId="77777777" w:rsidR="00A4310A" w:rsidRPr="00464EDA" w:rsidRDefault="00A4310A" w:rsidP="002D232A">
            <w:pPr>
              <w:pStyle w:val="TableParagraph"/>
              <w:spacing w:line="264" w:lineRule="auto"/>
              <w:ind w:left="102"/>
              <w:rPr>
                <w:rFonts w:asciiTheme="minorHAnsi" w:hAnsiTheme="minorHAnsi" w:cstheme="minorHAnsi"/>
                <w:sz w:val="20"/>
                <w:szCs w:val="20"/>
              </w:rPr>
            </w:pPr>
            <w:r>
              <w:rPr>
                <w:rFonts w:asciiTheme="minorHAnsi" w:hAnsiTheme="minorHAnsi" w:cstheme="minorHAnsi"/>
                <w:sz w:val="20"/>
                <w:szCs w:val="20"/>
              </w:rPr>
              <w:t>(+ 5-10 days for local consultant)</w:t>
            </w:r>
          </w:p>
        </w:tc>
        <w:tc>
          <w:tcPr>
            <w:tcW w:w="1842" w:type="dxa"/>
            <w:tcBorders>
              <w:top w:val="nil"/>
              <w:bottom w:val="nil"/>
            </w:tcBorders>
            <w:shd w:val="clear" w:color="auto" w:fill="EAF6F3"/>
            <w:vAlign w:val="center"/>
          </w:tcPr>
          <w:p w14:paraId="5D6556B1" w14:textId="77777777" w:rsidR="00A4310A" w:rsidRPr="00464EDA" w:rsidRDefault="00A4310A" w:rsidP="002D232A">
            <w:pPr>
              <w:pStyle w:val="TableParagraph"/>
              <w:spacing w:line="264" w:lineRule="auto"/>
              <w:ind w:left="102" w:right="32"/>
              <w:rPr>
                <w:rFonts w:asciiTheme="minorHAnsi" w:hAnsiTheme="minorHAnsi" w:cstheme="minorHAnsi"/>
                <w:sz w:val="20"/>
                <w:szCs w:val="20"/>
              </w:rPr>
            </w:pPr>
          </w:p>
        </w:tc>
        <w:tc>
          <w:tcPr>
            <w:tcW w:w="1440" w:type="dxa"/>
            <w:tcBorders>
              <w:top w:val="nil"/>
              <w:bottom w:val="nil"/>
            </w:tcBorders>
            <w:shd w:val="clear" w:color="auto" w:fill="EAF6F3"/>
            <w:vAlign w:val="center"/>
          </w:tcPr>
          <w:p w14:paraId="13BBA70F" w14:textId="77777777" w:rsidR="00A4310A" w:rsidRPr="00C341F8" w:rsidRDefault="00A4310A" w:rsidP="002D232A">
            <w:pPr>
              <w:pStyle w:val="TableParagraph"/>
              <w:spacing w:line="264" w:lineRule="auto"/>
              <w:ind w:left="102"/>
              <w:rPr>
                <w:rFonts w:asciiTheme="minorHAnsi" w:hAnsiTheme="minorHAnsi" w:cstheme="minorHAnsi"/>
                <w:sz w:val="20"/>
                <w:szCs w:val="20"/>
              </w:rPr>
            </w:pPr>
            <w:r>
              <w:rPr>
                <w:rFonts w:asciiTheme="minorHAnsi" w:hAnsiTheme="minorHAnsi" w:cstheme="minorHAnsi"/>
                <w:sz w:val="20"/>
                <w:szCs w:val="20"/>
              </w:rPr>
              <w:t>Home based</w:t>
            </w:r>
          </w:p>
          <w:p w14:paraId="2104AD5D" w14:textId="77777777" w:rsidR="00A4310A" w:rsidRPr="00C341F8" w:rsidRDefault="00A4310A" w:rsidP="002D232A">
            <w:pPr>
              <w:pStyle w:val="TableParagraph"/>
              <w:spacing w:line="264" w:lineRule="auto"/>
              <w:ind w:left="0"/>
              <w:rPr>
                <w:rFonts w:asciiTheme="minorHAnsi" w:hAnsiTheme="minorHAnsi" w:cstheme="minorHAnsi"/>
                <w:b/>
                <w:sz w:val="20"/>
                <w:szCs w:val="20"/>
              </w:rPr>
            </w:pPr>
          </w:p>
          <w:p w14:paraId="4B7B8421" w14:textId="77777777" w:rsidR="00A4310A" w:rsidRPr="00C341F8" w:rsidRDefault="00A4310A" w:rsidP="002D232A">
            <w:pPr>
              <w:pStyle w:val="TableParagraph"/>
              <w:spacing w:line="264" w:lineRule="auto"/>
              <w:ind w:left="102" w:right="519"/>
              <w:rPr>
                <w:rFonts w:asciiTheme="minorHAnsi" w:hAnsiTheme="minorHAnsi" w:cstheme="minorHAnsi"/>
                <w:sz w:val="20"/>
                <w:szCs w:val="20"/>
              </w:rPr>
            </w:pPr>
            <w:r>
              <w:rPr>
                <w:rFonts w:asciiTheme="minorHAnsi" w:hAnsiTheme="minorHAnsi" w:cstheme="minorHAnsi"/>
                <w:sz w:val="20"/>
                <w:szCs w:val="20"/>
              </w:rPr>
              <w:t>Remotely home based</w:t>
            </w:r>
          </w:p>
        </w:tc>
        <w:tc>
          <w:tcPr>
            <w:tcW w:w="2321" w:type="dxa"/>
            <w:tcBorders>
              <w:top w:val="nil"/>
              <w:bottom w:val="nil"/>
              <w:right w:val="nil"/>
            </w:tcBorders>
            <w:shd w:val="clear" w:color="auto" w:fill="EAF6F3"/>
            <w:vAlign w:val="center"/>
          </w:tcPr>
          <w:p w14:paraId="5C88BA6E" w14:textId="77777777" w:rsidR="00A4310A" w:rsidRPr="00C341F8" w:rsidRDefault="00A4310A" w:rsidP="002D232A">
            <w:pPr>
              <w:pStyle w:val="TableParagraph"/>
              <w:spacing w:line="264" w:lineRule="auto"/>
              <w:ind w:right="376"/>
              <w:jc w:val="both"/>
              <w:rPr>
                <w:rFonts w:asciiTheme="minorHAnsi" w:hAnsiTheme="minorHAnsi" w:cstheme="minorHAnsi"/>
                <w:sz w:val="20"/>
                <w:szCs w:val="20"/>
              </w:rPr>
            </w:pPr>
            <w:r w:rsidRPr="00C341F8">
              <w:rPr>
                <w:rFonts w:asciiTheme="minorHAnsi" w:hAnsiTheme="minorHAnsi" w:cstheme="minorHAnsi"/>
                <w:sz w:val="20"/>
                <w:szCs w:val="20"/>
              </w:rPr>
              <w:t>UNDP to organize with</w:t>
            </w:r>
            <w:r w:rsidRPr="00C341F8">
              <w:rPr>
                <w:rFonts w:asciiTheme="minorHAnsi" w:hAnsiTheme="minorHAnsi" w:cstheme="minorHAnsi"/>
                <w:spacing w:val="-43"/>
                <w:sz w:val="20"/>
                <w:szCs w:val="20"/>
              </w:rPr>
              <w:t xml:space="preserve"> </w:t>
            </w:r>
            <w:r w:rsidRPr="00C341F8">
              <w:rPr>
                <w:rFonts w:asciiTheme="minorHAnsi" w:hAnsiTheme="minorHAnsi" w:cstheme="minorHAnsi"/>
                <w:sz w:val="20"/>
                <w:szCs w:val="20"/>
              </w:rPr>
              <w:t>local project partners,</w:t>
            </w:r>
            <w:r w:rsidRPr="00C341F8">
              <w:rPr>
                <w:rFonts w:asciiTheme="minorHAnsi" w:hAnsiTheme="minorHAnsi" w:cstheme="minorHAnsi"/>
                <w:spacing w:val="1"/>
                <w:sz w:val="20"/>
                <w:szCs w:val="20"/>
              </w:rPr>
              <w:t xml:space="preserve"> </w:t>
            </w:r>
            <w:r w:rsidRPr="00C341F8">
              <w:rPr>
                <w:rFonts w:asciiTheme="minorHAnsi" w:hAnsiTheme="minorHAnsi" w:cstheme="minorHAnsi"/>
                <w:sz w:val="20"/>
                <w:szCs w:val="20"/>
              </w:rPr>
              <w:t>project</w:t>
            </w:r>
            <w:r w:rsidRPr="00C341F8">
              <w:rPr>
                <w:rFonts w:asciiTheme="minorHAnsi" w:hAnsiTheme="minorHAnsi" w:cstheme="minorHAnsi"/>
                <w:spacing w:val="-3"/>
                <w:sz w:val="20"/>
                <w:szCs w:val="20"/>
              </w:rPr>
              <w:t xml:space="preserve"> </w:t>
            </w:r>
            <w:r w:rsidRPr="00C341F8">
              <w:rPr>
                <w:rFonts w:asciiTheme="minorHAnsi" w:hAnsiTheme="minorHAnsi" w:cstheme="minorHAnsi"/>
                <w:sz w:val="20"/>
                <w:szCs w:val="20"/>
              </w:rPr>
              <w:t>staff,</w:t>
            </w:r>
            <w:r w:rsidRPr="00C341F8">
              <w:rPr>
                <w:rFonts w:asciiTheme="minorHAnsi" w:hAnsiTheme="minorHAnsi" w:cstheme="minorHAnsi"/>
                <w:spacing w:val="-1"/>
                <w:sz w:val="20"/>
                <w:szCs w:val="20"/>
              </w:rPr>
              <w:t xml:space="preserve"> </w:t>
            </w:r>
            <w:r w:rsidRPr="00C341F8">
              <w:rPr>
                <w:rFonts w:asciiTheme="minorHAnsi" w:hAnsiTheme="minorHAnsi" w:cstheme="minorHAnsi"/>
                <w:sz w:val="20"/>
                <w:szCs w:val="20"/>
              </w:rPr>
              <w:t>local</w:t>
            </w:r>
          </w:p>
          <w:p w14:paraId="04650301" w14:textId="77777777" w:rsidR="00A4310A" w:rsidRDefault="00A4310A" w:rsidP="002D232A">
            <w:pPr>
              <w:pStyle w:val="TableParagraph"/>
              <w:spacing w:line="264" w:lineRule="auto"/>
              <w:jc w:val="both"/>
              <w:rPr>
                <w:rFonts w:asciiTheme="minorHAnsi" w:hAnsiTheme="minorHAnsi" w:cstheme="minorHAnsi"/>
                <w:sz w:val="20"/>
                <w:szCs w:val="20"/>
              </w:rPr>
            </w:pPr>
            <w:r w:rsidRPr="00C341F8">
              <w:rPr>
                <w:rFonts w:asciiTheme="minorHAnsi" w:hAnsiTheme="minorHAnsi" w:cstheme="minorHAnsi"/>
                <w:sz w:val="20"/>
                <w:szCs w:val="20"/>
              </w:rPr>
              <w:t>authorities,</w:t>
            </w:r>
            <w:r w:rsidRPr="00C341F8">
              <w:rPr>
                <w:rFonts w:asciiTheme="minorHAnsi" w:hAnsiTheme="minorHAnsi" w:cstheme="minorHAnsi"/>
                <w:spacing w:val="-3"/>
                <w:sz w:val="20"/>
                <w:szCs w:val="20"/>
              </w:rPr>
              <w:t xml:space="preserve"> </w:t>
            </w:r>
            <w:r w:rsidRPr="00C341F8">
              <w:rPr>
                <w:rFonts w:asciiTheme="minorHAnsi" w:hAnsiTheme="minorHAnsi" w:cstheme="minorHAnsi"/>
                <w:sz w:val="20"/>
                <w:szCs w:val="20"/>
              </w:rPr>
              <w:t>NGOs,</w:t>
            </w:r>
            <w:r w:rsidRPr="00C341F8">
              <w:rPr>
                <w:rFonts w:asciiTheme="minorHAnsi" w:hAnsiTheme="minorHAnsi" w:cstheme="minorHAnsi"/>
                <w:spacing w:val="-1"/>
                <w:sz w:val="20"/>
                <w:szCs w:val="20"/>
              </w:rPr>
              <w:t xml:space="preserve"> </w:t>
            </w:r>
            <w:r w:rsidRPr="00C341F8">
              <w:rPr>
                <w:rFonts w:asciiTheme="minorHAnsi" w:hAnsiTheme="minorHAnsi" w:cstheme="minorHAnsi"/>
                <w:sz w:val="20"/>
                <w:szCs w:val="20"/>
              </w:rPr>
              <w:t>etc.</w:t>
            </w:r>
          </w:p>
          <w:p w14:paraId="3230E633" w14:textId="77777777" w:rsidR="00A4310A" w:rsidRPr="00C341F8" w:rsidRDefault="00A4310A" w:rsidP="002D232A">
            <w:pPr>
              <w:pStyle w:val="TableParagraph"/>
              <w:spacing w:line="264" w:lineRule="auto"/>
              <w:jc w:val="both"/>
              <w:rPr>
                <w:rFonts w:asciiTheme="minorHAnsi" w:hAnsiTheme="minorHAnsi" w:cstheme="minorHAnsi"/>
                <w:sz w:val="20"/>
                <w:szCs w:val="20"/>
              </w:rPr>
            </w:pPr>
            <w:r>
              <w:rPr>
                <w:rFonts w:asciiTheme="minorHAnsi" w:hAnsiTheme="minorHAnsi" w:cstheme="minorHAnsi"/>
                <w:sz w:val="20"/>
                <w:szCs w:val="20"/>
              </w:rPr>
              <w:t>International Evaluator and Local Consultant</w:t>
            </w:r>
          </w:p>
        </w:tc>
      </w:tr>
      <w:tr w:rsidR="00A4310A" w:rsidRPr="00C341F8" w14:paraId="4A145CF6" w14:textId="77777777" w:rsidTr="002D232A">
        <w:trPr>
          <w:trHeight w:val="229"/>
          <w:tblCellSpacing w:w="4" w:type="dxa"/>
          <w:jc w:val="center"/>
        </w:trPr>
        <w:tc>
          <w:tcPr>
            <w:tcW w:w="3588" w:type="dxa"/>
            <w:tcBorders>
              <w:top w:val="nil"/>
              <w:left w:val="nil"/>
              <w:bottom w:val="nil"/>
            </w:tcBorders>
            <w:shd w:val="clear" w:color="auto" w:fill="EAF6F3"/>
            <w:vAlign w:val="center"/>
          </w:tcPr>
          <w:p w14:paraId="186AA436" w14:textId="77777777" w:rsidR="00A4310A" w:rsidRPr="00C341F8" w:rsidRDefault="00A4310A" w:rsidP="002D232A">
            <w:pPr>
              <w:pStyle w:val="TableParagraph"/>
              <w:spacing w:line="264" w:lineRule="auto"/>
              <w:rPr>
                <w:rFonts w:asciiTheme="minorHAnsi" w:hAnsiTheme="minorHAnsi" w:cstheme="minorHAnsi"/>
                <w:sz w:val="20"/>
                <w:szCs w:val="20"/>
              </w:rPr>
            </w:pPr>
          </w:p>
        </w:tc>
        <w:tc>
          <w:tcPr>
            <w:tcW w:w="1112" w:type="dxa"/>
            <w:tcBorders>
              <w:top w:val="nil"/>
              <w:bottom w:val="nil"/>
            </w:tcBorders>
            <w:shd w:val="clear" w:color="auto" w:fill="EAF6F3"/>
            <w:vAlign w:val="center"/>
          </w:tcPr>
          <w:p w14:paraId="4E2A6B02" w14:textId="77777777" w:rsidR="00A4310A" w:rsidRPr="00464EDA" w:rsidRDefault="00A4310A" w:rsidP="002D232A">
            <w:pPr>
              <w:pStyle w:val="TableParagraph"/>
              <w:spacing w:line="264" w:lineRule="auto"/>
              <w:ind w:left="102"/>
              <w:rPr>
                <w:rFonts w:asciiTheme="minorHAnsi" w:hAnsiTheme="minorHAnsi" w:cstheme="minorHAnsi"/>
                <w:sz w:val="20"/>
                <w:szCs w:val="20"/>
              </w:rPr>
            </w:pPr>
          </w:p>
        </w:tc>
        <w:tc>
          <w:tcPr>
            <w:tcW w:w="1842" w:type="dxa"/>
            <w:tcBorders>
              <w:top w:val="nil"/>
              <w:bottom w:val="nil"/>
            </w:tcBorders>
            <w:shd w:val="clear" w:color="auto" w:fill="EAF6F3"/>
            <w:vAlign w:val="center"/>
          </w:tcPr>
          <w:p w14:paraId="4C57F8D4" w14:textId="77777777" w:rsidR="00A4310A" w:rsidRPr="00464EDA" w:rsidRDefault="00A4310A" w:rsidP="002D232A">
            <w:pPr>
              <w:pStyle w:val="TableParagraph"/>
              <w:spacing w:line="264" w:lineRule="auto"/>
              <w:ind w:left="102"/>
              <w:rPr>
                <w:rFonts w:asciiTheme="minorHAnsi" w:hAnsiTheme="minorHAnsi" w:cstheme="minorHAnsi"/>
                <w:sz w:val="20"/>
                <w:szCs w:val="20"/>
              </w:rPr>
            </w:pPr>
          </w:p>
        </w:tc>
        <w:tc>
          <w:tcPr>
            <w:tcW w:w="1440" w:type="dxa"/>
            <w:tcBorders>
              <w:top w:val="nil"/>
              <w:bottom w:val="nil"/>
            </w:tcBorders>
            <w:shd w:val="clear" w:color="auto" w:fill="EAF6F3"/>
            <w:vAlign w:val="center"/>
          </w:tcPr>
          <w:p w14:paraId="65F1B355" w14:textId="77777777" w:rsidR="00A4310A" w:rsidRPr="00C341F8" w:rsidRDefault="00A4310A" w:rsidP="002D232A">
            <w:pPr>
              <w:pStyle w:val="TableParagraph"/>
              <w:spacing w:line="264" w:lineRule="auto"/>
              <w:ind w:left="102"/>
              <w:rPr>
                <w:rFonts w:asciiTheme="minorHAnsi" w:hAnsiTheme="minorHAnsi" w:cstheme="minorHAnsi"/>
                <w:sz w:val="20"/>
                <w:szCs w:val="20"/>
              </w:rPr>
            </w:pPr>
          </w:p>
        </w:tc>
        <w:tc>
          <w:tcPr>
            <w:tcW w:w="2321" w:type="dxa"/>
            <w:tcBorders>
              <w:top w:val="nil"/>
              <w:bottom w:val="nil"/>
              <w:right w:val="nil"/>
            </w:tcBorders>
            <w:shd w:val="clear" w:color="auto" w:fill="EAF6F3"/>
            <w:vAlign w:val="center"/>
          </w:tcPr>
          <w:p w14:paraId="0479A750" w14:textId="77777777" w:rsidR="00A4310A" w:rsidRPr="00C341F8" w:rsidRDefault="00A4310A" w:rsidP="002D232A">
            <w:pPr>
              <w:pStyle w:val="TableParagraph"/>
              <w:spacing w:line="264" w:lineRule="auto"/>
              <w:rPr>
                <w:rFonts w:asciiTheme="minorHAnsi" w:hAnsiTheme="minorHAnsi" w:cstheme="minorHAnsi"/>
                <w:sz w:val="20"/>
                <w:szCs w:val="20"/>
              </w:rPr>
            </w:pPr>
          </w:p>
        </w:tc>
      </w:tr>
      <w:tr w:rsidR="00A4310A" w:rsidRPr="00C341F8" w14:paraId="34952A26" w14:textId="77777777" w:rsidTr="002D232A">
        <w:trPr>
          <w:trHeight w:val="231"/>
          <w:tblCellSpacing w:w="4" w:type="dxa"/>
          <w:jc w:val="center"/>
        </w:trPr>
        <w:tc>
          <w:tcPr>
            <w:tcW w:w="10335" w:type="dxa"/>
            <w:gridSpan w:val="5"/>
            <w:tcBorders>
              <w:top w:val="nil"/>
              <w:left w:val="nil"/>
              <w:right w:val="nil"/>
            </w:tcBorders>
            <w:shd w:val="clear" w:color="auto" w:fill="1BACBA"/>
            <w:vAlign w:val="center"/>
          </w:tcPr>
          <w:p w14:paraId="0A3F2C5A" w14:textId="77777777" w:rsidR="00A4310A" w:rsidRPr="00464EDA" w:rsidRDefault="00A4310A" w:rsidP="002D232A">
            <w:pPr>
              <w:pStyle w:val="TableParagraph"/>
              <w:spacing w:line="264" w:lineRule="auto"/>
              <w:rPr>
                <w:rFonts w:asciiTheme="minorHAnsi" w:hAnsiTheme="minorHAnsi" w:cstheme="minorHAnsi"/>
                <w:b/>
                <w:sz w:val="20"/>
                <w:szCs w:val="20"/>
              </w:rPr>
            </w:pPr>
            <w:r w:rsidRPr="00464EDA">
              <w:rPr>
                <w:rFonts w:asciiTheme="minorHAnsi" w:hAnsiTheme="minorHAnsi" w:cstheme="minorHAnsi"/>
                <w:b/>
                <w:color w:val="FFFFFF"/>
                <w:sz w:val="20"/>
                <w:szCs w:val="20"/>
              </w:rPr>
              <w:t>Phase</w:t>
            </w:r>
            <w:r w:rsidRPr="00464EDA">
              <w:rPr>
                <w:rFonts w:asciiTheme="minorHAnsi" w:hAnsiTheme="minorHAnsi" w:cstheme="minorHAnsi"/>
                <w:b/>
                <w:color w:val="FFFFFF"/>
                <w:spacing w:val="-4"/>
                <w:sz w:val="20"/>
                <w:szCs w:val="20"/>
              </w:rPr>
              <w:t xml:space="preserve"> </w:t>
            </w:r>
            <w:r w:rsidRPr="00464EDA">
              <w:rPr>
                <w:rFonts w:asciiTheme="minorHAnsi" w:hAnsiTheme="minorHAnsi" w:cstheme="minorHAnsi"/>
                <w:b/>
                <w:color w:val="FFFFFF"/>
                <w:sz w:val="20"/>
                <w:szCs w:val="20"/>
              </w:rPr>
              <w:t>Three:</w:t>
            </w:r>
            <w:r w:rsidRPr="00464EDA">
              <w:rPr>
                <w:rFonts w:asciiTheme="minorHAnsi" w:hAnsiTheme="minorHAnsi" w:cstheme="minorHAnsi"/>
                <w:b/>
                <w:color w:val="FFFFFF"/>
                <w:spacing w:val="-4"/>
                <w:sz w:val="20"/>
                <w:szCs w:val="20"/>
              </w:rPr>
              <w:t xml:space="preserve"> </w:t>
            </w:r>
            <w:r w:rsidRPr="00464EDA">
              <w:rPr>
                <w:rFonts w:asciiTheme="minorHAnsi" w:hAnsiTheme="minorHAnsi" w:cstheme="minorHAnsi"/>
                <w:b/>
                <w:color w:val="FFFFFF"/>
                <w:sz w:val="20"/>
                <w:szCs w:val="20"/>
              </w:rPr>
              <w:t>Evaluation</w:t>
            </w:r>
            <w:r w:rsidRPr="00464EDA">
              <w:rPr>
                <w:rFonts w:asciiTheme="minorHAnsi" w:hAnsiTheme="minorHAnsi" w:cstheme="minorHAnsi"/>
                <w:b/>
                <w:color w:val="FFFFFF"/>
                <w:spacing w:val="-3"/>
                <w:sz w:val="20"/>
                <w:szCs w:val="20"/>
              </w:rPr>
              <w:t xml:space="preserve"> </w:t>
            </w:r>
            <w:r w:rsidRPr="00464EDA">
              <w:rPr>
                <w:rFonts w:asciiTheme="minorHAnsi" w:hAnsiTheme="minorHAnsi" w:cstheme="minorHAnsi"/>
                <w:b/>
                <w:color w:val="FFFFFF"/>
                <w:sz w:val="20"/>
                <w:szCs w:val="20"/>
              </w:rPr>
              <w:t>report</w:t>
            </w:r>
            <w:r w:rsidRPr="00464EDA">
              <w:rPr>
                <w:rFonts w:asciiTheme="minorHAnsi" w:hAnsiTheme="minorHAnsi" w:cstheme="minorHAnsi"/>
                <w:b/>
                <w:color w:val="FFFFFF"/>
                <w:spacing w:val="-3"/>
                <w:sz w:val="20"/>
                <w:szCs w:val="20"/>
              </w:rPr>
              <w:t xml:space="preserve"> </w:t>
            </w:r>
            <w:r w:rsidRPr="00464EDA">
              <w:rPr>
                <w:rFonts w:asciiTheme="minorHAnsi" w:hAnsiTheme="minorHAnsi" w:cstheme="minorHAnsi"/>
                <w:b/>
                <w:color w:val="FFFFFF"/>
                <w:sz w:val="20"/>
                <w:szCs w:val="20"/>
              </w:rPr>
              <w:t>writing</w:t>
            </w:r>
            <w:r>
              <w:rPr>
                <w:rFonts w:asciiTheme="minorHAnsi" w:hAnsiTheme="minorHAnsi" w:cstheme="minorHAnsi"/>
                <w:b/>
                <w:color w:val="FFFFFF"/>
                <w:sz w:val="20"/>
                <w:szCs w:val="20"/>
              </w:rPr>
              <w:t xml:space="preserve"> (20-22 December, 28 December-12 January)</w:t>
            </w:r>
          </w:p>
        </w:tc>
      </w:tr>
      <w:tr w:rsidR="00A4310A" w:rsidRPr="00C341F8" w14:paraId="783A3E42" w14:textId="77777777" w:rsidTr="002D232A">
        <w:trPr>
          <w:trHeight w:val="722"/>
          <w:tblCellSpacing w:w="4" w:type="dxa"/>
          <w:jc w:val="center"/>
        </w:trPr>
        <w:tc>
          <w:tcPr>
            <w:tcW w:w="3588" w:type="dxa"/>
            <w:tcBorders>
              <w:left w:val="nil"/>
            </w:tcBorders>
            <w:shd w:val="clear" w:color="auto" w:fill="EAF6F3"/>
            <w:vAlign w:val="center"/>
          </w:tcPr>
          <w:p w14:paraId="597EC926" w14:textId="77777777" w:rsidR="00A4310A" w:rsidRPr="00C341F8" w:rsidRDefault="00A4310A" w:rsidP="002D232A">
            <w:pPr>
              <w:pStyle w:val="TableParagraph"/>
              <w:spacing w:line="264" w:lineRule="auto"/>
              <w:ind w:right="500"/>
              <w:rPr>
                <w:rFonts w:asciiTheme="minorHAnsi" w:hAnsiTheme="minorHAnsi" w:cstheme="minorHAnsi"/>
                <w:sz w:val="20"/>
                <w:szCs w:val="20"/>
              </w:rPr>
            </w:pPr>
            <w:r w:rsidRPr="00C341F8">
              <w:rPr>
                <w:rFonts w:asciiTheme="minorHAnsi" w:hAnsiTheme="minorHAnsi" w:cstheme="minorHAnsi"/>
                <w:sz w:val="20"/>
                <w:szCs w:val="20"/>
              </w:rPr>
              <w:t>Preparation of draft evaluation report (50 pages maximum excluding</w:t>
            </w:r>
            <w:r w:rsidRPr="00C341F8">
              <w:rPr>
                <w:rFonts w:asciiTheme="minorHAnsi" w:hAnsiTheme="minorHAnsi" w:cstheme="minorHAnsi"/>
                <w:spacing w:val="-43"/>
                <w:sz w:val="20"/>
                <w:szCs w:val="20"/>
              </w:rPr>
              <w:t xml:space="preserve"> </w:t>
            </w:r>
            <w:r w:rsidRPr="00C341F8">
              <w:rPr>
                <w:rFonts w:asciiTheme="minorHAnsi" w:hAnsiTheme="minorHAnsi" w:cstheme="minorHAnsi"/>
                <w:sz w:val="20"/>
                <w:szCs w:val="20"/>
              </w:rPr>
              <w:t>annexes),</w:t>
            </w:r>
            <w:r w:rsidRPr="00C341F8">
              <w:rPr>
                <w:rFonts w:asciiTheme="minorHAnsi" w:hAnsiTheme="minorHAnsi" w:cstheme="minorHAnsi"/>
                <w:spacing w:val="-1"/>
                <w:sz w:val="20"/>
                <w:szCs w:val="20"/>
              </w:rPr>
              <w:t xml:space="preserve"> </w:t>
            </w:r>
            <w:r w:rsidRPr="00C341F8">
              <w:rPr>
                <w:rFonts w:asciiTheme="minorHAnsi" w:hAnsiTheme="minorHAnsi" w:cstheme="minorHAnsi"/>
                <w:sz w:val="20"/>
                <w:szCs w:val="20"/>
              </w:rPr>
              <w:t xml:space="preserve">executive </w:t>
            </w:r>
            <w:r w:rsidRPr="00C341F8">
              <w:rPr>
                <w:rFonts w:asciiTheme="minorHAnsi" w:hAnsiTheme="minorHAnsi" w:cstheme="minorHAnsi"/>
                <w:sz w:val="20"/>
                <w:szCs w:val="20"/>
              </w:rPr>
              <w:lastRenderedPageBreak/>
              <w:t>summary</w:t>
            </w:r>
            <w:r w:rsidRPr="00C341F8">
              <w:rPr>
                <w:rFonts w:asciiTheme="minorHAnsi" w:hAnsiTheme="minorHAnsi" w:cstheme="minorHAnsi"/>
                <w:spacing w:val="-2"/>
                <w:sz w:val="20"/>
                <w:szCs w:val="20"/>
              </w:rPr>
              <w:t xml:space="preserve"> </w:t>
            </w:r>
            <w:r w:rsidRPr="00C341F8">
              <w:rPr>
                <w:rFonts w:asciiTheme="minorHAnsi" w:hAnsiTheme="minorHAnsi" w:cstheme="minorHAnsi"/>
                <w:sz w:val="20"/>
                <w:szCs w:val="20"/>
              </w:rPr>
              <w:t>(4-5</w:t>
            </w:r>
            <w:r w:rsidRPr="00C341F8">
              <w:rPr>
                <w:rFonts w:asciiTheme="minorHAnsi" w:hAnsiTheme="minorHAnsi" w:cstheme="minorHAnsi"/>
                <w:spacing w:val="-1"/>
                <w:sz w:val="20"/>
                <w:szCs w:val="20"/>
              </w:rPr>
              <w:t xml:space="preserve"> </w:t>
            </w:r>
            <w:r w:rsidRPr="00C341F8">
              <w:rPr>
                <w:rFonts w:asciiTheme="minorHAnsi" w:hAnsiTheme="minorHAnsi" w:cstheme="minorHAnsi"/>
                <w:sz w:val="20"/>
                <w:szCs w:val="20"/>
              </w:rPr>
              <w:t>pages)</w:t>
            </w:r>
          </w:p>
        </w:tc>
        <w:tc>
          <w:tcPr>
            <w:tcW w:w="1112" w:type="dxa"/>
            <w:shd w:val="clear" w:color="auto" w:fill="EAF6F3"/>
            <w:vAlign w:val="center"/>
          </w:tcPr>
          <w:p w14:paraId="6FF78C5F" w14:textId="77777777" w:rsidR="00A4310A" w:rsidRPr="00464EDA" w:rsidRDefault="00A4310A" w:rsidP="002D232A">
            <w:pPr>
              <w:pStyle w:val="TableParagraph"/>
              <w:spacing w:line="264" w:lineRule="auto"/>
              <w:ind w:left="102"/>
              <w:rPr>
                <w:rFonts w:asciiTheme="minorHAnsi" w:hAnsiTheme="minorHAnsi" w:cstheme="minorHAnsi"/>
                <w:sz w:val="20"/>
                <w:szCs w:val="20"/>
              </w:rPr>
            </w:pPr>
            <w:r>
              <w:rPr>
                <w:rFonts w:asciiTheme="minorHAnsi" w:hAnsiTheme="minorHAnsi" w:cstheme="minorHAnsi"/>
                <w:sz w:val="20"/>
                <w:szCs w:val="20"/>
              </w:rPr>
              <w:lastRenderedPageBreak/>
              <w:t>5</w:t>
            </w:r>
            <w:r w:rsidRPr="00464EDA">
              <w:rPr>
                <w:rFonts w:asciiTheme="minorHAnsi" w:hAnsiTheme="minorHAnsi" w:cstheme="minorHAnsi"/>
                <w:spacing w:val="-1"/>
                <w:sz w:val="20"/>
                <w:szCs w:val="20"/>
              </w:rPr>
              <w:t xml:space="preserve"> </w:t>
            </w:r>
            <w:r w:rsidRPr="00464EDA">
              <w:rPr>
                <w:rFonts w:asciiTheme="minorHAnsi" w:hAnsiTheme="minorHAnsi" w:cstheme="minorHAnsi"/>
                <w:sz w:val="20"/>
                <w:szCs w:val="20"/>
              </w:rPr>
              <w:t>days</w:t>
            </w:r>
          </w:p>
        </w:tc>
        <w:tc>
          <w:tcPr>
            <w:tcW w:w="1842" w:type="dxa"/>
            <w:shd w:val="clear" w:color="auto" w:fill="EAF6F3"/>
            <w:vAlign w:val="center"/>
          </w:tcPr>
          <w:p w14:paraId="06D102FD" w14:textId="77777777" w:rsidR="00A4310A" w:rsidRPr="00DC709A" w:rsidRDefault="00A4310A" w:rsidP="002D232A">
            <w:pPr>
              <w:pStyle w:val="TableParagraph"/>
              <w:spacing w:line="264" w:lineRule="auto"/>
              <w:ind w:left="0" w:right="180"/>
              <w:rPr>
                <w:rFonts w:asciiTheme="minorHAnsi" w:hAnsiTheme="minorHAnsi" w:cstheme="minorHAnsi"/>
                <w:sz w:val="20"/>
                <w:szCs w:val="20"/>
              </w:rPr>
            </w:pPr>
            <w:r w:rsidRPr="00DC709A">
              <w:rPr>
                <w:rFonts w:asciiTheme="minorHAnsi" w:hAnsiTheme="minorHAnsi" w:cstheme="minorHAnsi"/>
                <w:sz w:val="20"/>
                <w:szCs w:val="20"/>
              </w:rPr>
              <w:t>20-22 Dec, 28 Dec-5 Jan)</w:t>
            </w:r>
          </w:p>
        </w:tc>
        <w:tc>
          <w:tcPr>
            <w:tcW w:w="1440" w:type="dxa"/>
            <w:shd w:val="clear" w:color="auto" w:fill="EAF6F3"/>
            <w:vAlign w:val="center"/>
          </w:tcPr>
          <w:p w14:paraId="1B6C5BBC" w14:textId="77777777" w:rsidR="00A4310A" w:rsidRPr="00C341F8" w:rsidRDefault="00A4310A" w:rsidP="002D232A">
            <w:pPr>
              <w:pStyle w:val="TableParagraph"/>
              <w:spacing w:line="264" w:lineRule="auto"/>
              <w:ind w:left="0"/>
              <w:rPr>
                <w:rFonts w:asciiTheme="minorHAnsi" w:hAnsiTheme="minorHAnsi" w:cstheme="minorHAnsi"/>
                <w:sz w:val="20"/>
                <w:szCs w:val="20"/>
              </w:rPr>
            </w:pPr>
            <w:r w:rsidRPr="00C341F8">
              <w:rPr>
                <w:rFonts w:asciiTheme="minorHAnsi" w:hAnsiTheme="minorHAnsi" w:cstheme="minorHAnsi"/>
                <w:sz w:val="20"/>
                <w:szCs w:val="20"/>
              </w:rPr>
              <w:t>Home-based</w:t>
            </w:r>
          </w:p>
        </w:tc>
        <w:tc>
          <w:tcPr>
            <w:tcW w:w="2321" w:type="dxa"/>
            <w:tcBorders>
              <w:right w:val="nil"/>
            </w:tcBorders>
            <w:shd w:val="clear" w:color="auto" w:fill="EAF6F3"/>
            <w:vAlign w:val="center"/>
          </w:tcPr>
          <w:p w14:paraId="2707FB23" w14:textId="77777777" w:rsidR="00A4310A" w:rsidRPr="00C341F8" w:rsidRDefault="00A4310A" w:rsidP="002D232A">
            <w:pPr>
              <w:pStyle w:val="TableParagraph"/>
              <w:spacing w:line="264" w:lineRule="auto"/>
              <w:rPr>
                <w:rFonts w:asciiTheme="minorHAnsi" w:hAnsiTheme="minorHAnsi" w:cstheme="minorHAnsi"/>
                <w:sz w:val="20"/>
                <w:szCs w:val="20"/>
              </w:rPr>
            </w:pPr>
            <w:r>
              <w:rPr>
                <w:rFonts w:asciiTheme="minorHAnsi" w:hAnsiTheme="minorHAnsi" w:cstheme="minorHAnsi"/>
                <w:sz w:val="20"/>
                <w:szCs w:val="20"/>
              </w:rPr>
              <w:t>Int. Evaluator</w:t>
            </w:r>
          </w:p>
        </w:tc>
      </w:tr>
      <w:tr w:rsidR="00A4310A" w:rsidRPr="00C341F8" w14:paraId="0CA61D1E" w14:textId="77777777" w:rsidTr="002D232A">
        <w:trPr>
          <w:trHeight w:val="231"/>
          <w:tblCellSpacing w:w="4" w:type="dxa"/>
          <w:jc w:val="center"/>
        </w:trPr>
        <w:tc>
          <w:tcPr>
            <w:tcW w:w="3588" w:type="dxa"/>
            <w:tcBorders>
              <w:left w:val="nil"/>
              <w:bottom w:val="nil"/>
            </w:tcBorders>
            <w:shd w:val="clear" w:color="auto" w:fill="EAF6F3"/>
            <w:vAlign w:val="center"/>
          </w:tcPr>
          <w:p w14:paraId="6D73744B" w14:textId="77777777" w:rsidR="00A4310A" w:rsidRPr="00C341F8" w:rsidRDefault="00A4310A" w:rsidP="002D232A">
            <w:pPr>
              <w:pStyle w:val="TableParagraph"/>
              <w:spacing w:line="264" w:lineRule="auto"/>
              <w:rPr>
                <w:rFonts w:asciiTheme="minorHAnsi" w:hAnsiTheme="minorHAnsi" w:cstheme="minorHAnsi"/>
                <w:sz w:val="20"/>
                <w:szCs w:val="20"/>
              </w:rPr>
            </w:pPr>
            <w:r w:rsidRPr="00C341F8">
              <w:rPr>
                <w:rFonts w:asciiTheme="minorHAnsi" w:hAnsiTheme="minorHAnsi" w:cstheme="minorHAnsi"/>
                <w:sz w:val="20"/>
                <w:szCs w:val="20"/>
              </w:rPr>
              <w:t>Draft</w:t>
            </w:r>
            <w:r w:rsidRPr="00C341F8">
              <w:rPr>
                <w:rFonts w:asciiTheme="minorHAnsi" w:hAnsiTheme="minorHAnsi" w:cstheme="minorHAnsi"/>
                <w:spacing w:val="-4"/>
                <w:sz w:val="20"/>
                <w:szCs w:val="20"/>
              </w:rPr>
              <w:t xml:space="preserve"> </w:t>
            </w:r>
            <w:r w:rsidRPr="00C341F8">
              <w:rPr>
                <w:rFonts w:asciiTheme="minorHAnsi" w:hAnsiTheme="minorHAnsi" w:cstheme="minorHAnsi"/>
                <w:sz w:val="20"/>
                <w:szCs w:val="20"/>
              </w:rPr>
              <w:t>report</w:t>
            </w:r>
            <w:r w:rsidRPr="00C341F8">
              <w:rPr>
                <w:rFonts w:asciiTheme="minorHAnsi" w:hAnsiTheme="minorHAnsi" w:cstheme="minorHAnsi"/>
                <w:spacing w:val="-4"/>
                <w:sz w:val="20"/>
                <w:szCs w:val="20"/>
              </w:rPr>
              <w:t xml:space="preserve"> </w:t>
            </w:r>
            <w:r w:rsidRPr="00C341F8">
              <w:rPr>
                <w:rFonts w:asciiTheme="minorHAnsi" w:hAnsiTheme="minorHAnsi" w:cstheme="minorHAnsi"/>
                <w:sz w:val="20"/>
                <w:szCs w:val="20"/>
              </w:rPr>
              <w:t>submission</w:t>
            </w:r>
          </w:p>
        </w:tc>
        <w:tc>
          <w:tcPr>
            <w:tcW w:w="1112" w:type="dxa"/>
            <w:tcBorders>
              <w:bottom w:val="nil"/>
            </w:tcBorders>
            <w:shd w:val="clear" w:color="auto" w:fill="EAF6F3"/>
            <w:vAlign w:val="center"/>
          </w:tcPr>
          <w:p w14:paraId="01414714" w14:textId="77777777" w:rsidR="00A4310A" w:rsidRPr="00464EDA" w:rsidRDefault="00A4310A" w:rsidP="002D232A">
            <w:pPr>
              <w:pStyle w:val="TableParagraph"/>
              <w:spacing w:line="264" w:lineRule="auto"/>
              <w:ind w:left="102"/>
              <w:rPr>
                <w:rFonts w:asciiTheme="minorHAnsi" w:hAnsiTheme="minorHAnsi" w:cstheme="minorHAnsi"/>
                <w:sz w:val="20"/>
                <w:szCs w:val="20"/>
              </w:rPr>
            </w:pPr>
            <w:r w:rsidRPr="00464EDA">
              <w:rPr>
                <w:rFonts w:asciiTheme="minorHAnsi" w:hAnsiTheme="minorHAnsi" w:cstheme="minorHAnsi"/>
                <w:sz w:val="20"/>
                <w:szCs w:val="20"/>
              </w:rPr>
              <w:t>-</w:t>
            </w:r>
          </w:p>
        </w:tc>
        <w:tc>
          <w:tcPr>
            <w:tcW w:w="1842" w:type="dxa"/>
            <w:tcBorders>
              <w:bottom w:val="nil"/>
            </w:tcBorders>
            <w:shd w:val="clear" w:color="auto" w:fill="EAF6F3"/>
            <w:vAlign w:val="center"/>
          </w:tcPr>
          <w:p w14:paraId="4050780C" w14:textId="77777777" w:rsidR="00A4310A" w:rsidRPr="00FD595D" w:rsidRDefault="00A4310A" w:rsidP="002D232A">
            <w:pPr>
              <w:pStyle w:val="TableParagraph"/>
              <w:spacing w:line="264" w:lineRule="auto"/>
              <w:ind w:left="0"/>
              <w:rPr>
                <w:rFonts w:asciiTheme="minorHAnsi" w:hAnsiTheme="minorHAnsi" w:cstheme="minorHAnsi"/>
                <w:sz w:val="20"/>
                <w:szCs w:val="20"/>
                <w:highlight w:val="yellow"/>
              </w:rPr>
            </w:pPr>
            <w:r w:rsidRPr="00DC709A">
              <w:rPr>
                <w:rFonts w:asciiTheme="minorHAnsi" w:hAnsiTheme="minorHAnsi" w:cstheme="minorHAnsi"/>
                <w:sz w:val="20"/>
                <w:szCs w:val="20"/>
              </w:rPr>
              <w:t>5 January</w:t>
            </w:r>
          </w:p>
        </w:tc>
        <w:tc>
          <w:tcPr>
            <w:tcW w:w="1440" w:type="dxa"/>
            <w:tcBorders>
              <w:bottom w:val="nil"/>
            </w:tcBorders>
            <w:shd w:val="clear" w:color="auto" w:fill="EAF6F3"/>
            <w:vAlign w:val="center"/>
          </w:tcPr>
          <w:p w14:paraId="6A1A3D86" w14:textId="77777777" w:rsidR="00A4310A" w:rsidRPr="00C341F8" w:rsidRDefault="00A4310A" w:rsidP="002D232A">
            <w:pPr>
              <w:pStyle w:val="TableParagraph"/>
              <w:spacing w:line="264" w:lineRule="auto"/>
              <w:ind w:left="0"/>
              <w:rPr>
                <w:rFonts w:asciiTheme="minorHAnsi" w:hAnsiTheme="minorHAnsi" w:cstheme="minorHAnsi"/>
                <w:sz w:val="20"/>
                <w:szCs w:val="20"/>
              </w:rPr>
            </w:pPr>
            <w:r w:rsidRPr="00C341F8">
              <w:rPr>
                <w:rFonts w:asciiTheme="minorHAnsi" w:hAnsiTheme="minorHAnsi" w:cstheme="minorHAnsi"/>
                <w:sz w:val="20"/>
                <w:szCs w:val="20"/>
              </w:rPr>
              <w:t>Home-based</w:t>
            </w:r>
          </w:p>
        </w:tc>
        <w:tc>
          <w:tcPr>
            <w:tcW w:w="2321" w:type="dxa"/>
            <w:tcBorders>
              <w:bottom w:val="nil"/>
              <w:right w:val="nil"/>
            </w:tcBorders>
            <w:shd w:val="clear" w:color="auto" w:fill="EAF6F3"/>
            <w:vAlign w:val="center"/>
          </w:tcPr>
          <w:p w14:paraId="0BB728D5" w14:textId="77777777" w:rsidR="00A4310A" w:rsidRPr="00C341F8" w:rsidRDefault="00A4310A" w:rsidP="002D232A">
            <w:pPr>
              <w:pStyle w:val="TableParagraph"/>
              <w:spacing w:line="264" w:lineRule="auto"/>
              <w:rPr>
                <w:rFonts w:asciiTheme="minorHAnsi" w:hAnsiTheme="minorHAnsi" w:cstheme="minorHAnsi"/>
                <w:sz w:val="20"/>
                <w:szCs w:val="20"/>
              </w:rPr>
            </w:pPr>
            <w:r>
              <w:rPr>
                <w:rFonts w:asciiTheme="minorHAnsi" w:hAnsiTheme="minorHAnsi" w:cstheme="minorHAnsi"/>
                <w:sz w:val="20"/>
                <w:szCs w:val="20"/>
              </w:rPr>
              <w:t>UNDP Commissioning Unit</w:t>
            </w:r>
          </w:p>
        </w:tc>
      </w:tr>
      <w:tr w:rsidR="00A4310A" w:rsidRPr="00C341F8" w14:paraId="1ADC3B05" w14:textId="77777777" w:rsidTr="002D232A">
        <w:trPr>
          <w:trHeight w:val="718"/>
          <w:tblCellSpacing w:w="4" w:type="dxa"/>
          <w:jc w:val="center"/>
        </w:trPr>
        <w:tc>
          <w:tcPr>
            <w:tcW w:w="3588" w:type="dxa"/>
            <w:tcBorders>
              <w:top w:val="nil"/>
              <w:left w:val="nil"/>
              <w:bottom w:val="nil"/>
            </w:tcBorders>
            <w:shd w:val="clear" w:color="auto" w:fill="EAF6F3"/>
            <w:vAlign w:val="center"/>
          </w:tcPr>
          <w:p w14:paraId="5BB7C20B" w14:textId="77777777" w:rsidR="00A4310A" w:rsidRPr="00C341F8" w:rsidRDefault="00A4310A" w:rsidP="002D232A">
            <w:pPr>
              <w:pStyle w:val="TableParagraph"/>
              <w:spacing w:line="264" w:lineRule="auto"/>
              <w:rPr>
                <w:rFonts w:asciiTheme="minorHAnsi" w:hAnsiTheme="minorHAnsi" w:cstheme="minorHAnsi"/>
                <w:sz w:val="20"/>
                <w:szCs w:val="20"/>
              </w:rPr>
            </w:pPr>
            <w:r w:rsidRPr="00C341F8">
              <w:rPr>
                <w:rFonts w:asciiTheme="minorHAnsi" w:hAnsiTheme="minorHAnsi" w:cstheme="minorHAnsi"/>
                <w:sz w:val="20"/>
                <w:szCs w:val="20"/>
              </w:rPr>
              <w:t>Consolidated</w:t>
            </w:r>
            <w:r w:rsidRPr="00C341F8">
              <w:rPr>
                <w:rFonts w:asciiTheme="minorHAnsi" w:hAnsiTheme="minorHAnsi" w:cstheme="minorHAnsi"/>
                <w:spacing w:val="-4"/>
                <w:sz w:val="20"/>
                <w:szCs w:val="20"/>
              </w:rPr>
              <w:t xml:space="preserve"> </w:t>
            </w:r>
            <w:r w:rsidRPr="00C341F8">
              <w:rPr>
                <w:rFonts w:asciiTheme="minorHAnsi" w:hAnsiTheme="minorHAnsi" w:cstheme="minorHAnsi"/>
                <w:sz w:val="20"/>
                <w:szCs w:val="20"/>
              </w:rPr>
              <w:t>UNDP</w:t>
            </w:r>
            <w:r w:rsidRPr="00C341F8">
              <w:rPr>
                <w:rFonts w:asciiTheme="minorHAnsi" w:hAnsiTheme="minorHAnsi" w:cstheme="minorHAnsi"/>
                <w:spacing w:val="-1"/>
                <w:sz w:val="20"/>
                <w:szCs w:val="20"/>
              </w:rPr>
              <w:t xml:space="preserve"> </w:t>
            </w:r>
            <w:r w:rsidRPr="00C341F8">
              <w:rPr>
                <w:rFonts w:asciiTheme="minorHAnsi" w:hAnsiTheme="minorHAnsi" w:cstheme="minorHAnsi"/>
                <w:sz w:val="20"/>
                <w:szCs w:val="20"/>
              </w:rPr>
              <w:t>and</w:t>
            </w:r>
            <w:r w:rsidRPr="00C341F8">
              <w:rPr>
                <w:rFonts w:asciiTheme="minorHAnsi" w:hAnsiTheme="minorHAnsi" w:cstheme="minorHAnsi"/>
                <w:spacing w:val="-1"/>
                <w:sz w:val="20"/>
                <w:szCs w:val="20"/>
              </w:rPr>
              <w:t xml:space="preserve"> </w:t>
            </w:r>
            <w:r w:rsidRPr="00C341F8">
              <w:rPr>
                <w:rFonts w:asciiTheme="minorHAnsi" w:hAnsiTheme="minorHAnsi" w:cstheme="minorHAnsi"/>
                <w:sz w:val="20"/>
                <w:szCs w:val="20"/>
              </w:rPr>
              <w:t>stakeholder</w:t>
            </w:r>
            <w:r w:rsidRPr="00C341F8">
              <w:rPr>
                <w:rFonts w:asciiTheme="minorHAnsi" w:hAnsiTheme="minorHAnsi" w:cstheme="minorHAnsi"/>
                <w:spacing w:val="-4"/>
                <w:sz w:val="20"/>
                <w:szCs w:val="20"/>
              </w:rPr>
              <w:t xml:space="preserve"> </w:t>
            </w:r>
            <w:r w:rsidRPr="00C341F8">
              <w:rPr>
                <w:rFonts w:asciiTheme="minorHAnsi" w:hAnsiTheme="minorHAnsi" w:cstheme="minorHAnsi"/>
                <w:sz w:val="20"/>
                <w:szCs w:val="20"/>
              </w:rPr>
              <w:t>comments</w:t>
            </w:r>
            <w:r w:rsidRPr="00C341F8">
              <w:rPr>
                <w:rFonts w:asciiTheme="minorHAnsi" w:hAnsiTheme="minorHAnsi" w:cstheme="minorHAnsi"/>
                <w:spacing w:val="-1"/>
                <w:sz w:val="20"/>
                <w:szCs w:val="20"/>
              </w:rPr>
              <w:t xml:space="preserve"> </w:t>
            </w:r>
            <w:r w:rsidRPr="00C341F8">
              <w:rPr>
                <w:rFonts w:asciiTheme="minorHAnsi" w:hAnsiTheme="minorHAnsi" w:cstheme="minorHAnsi"/>
                <w:sz w:val="20"/>
                <w:szCs w:val="20"/>
              </w:rPr>
              <w:t>to</w:t>
            </w:r>
            <w:r w:rsidRPr="00C341F8">
              <w:rPr>
                <w:rFonts w:asciiTheme="minorHAnsi" w:hAnsiTheme="minorHAnsi" w:cstheme="minorHAnsi"/>
                <w:spacing w:val="-2"/>
                <w:sz w:val="20"/>
                <w:szCs w:val="20"/>
              </w:rPr>
              <w:t xml:space="preserve"> </w:t>
            </w:r>
            <w:r w:rsidRPr="00C341F8">
              <w:rPr>
                <w:rFonts w:asciiTheme="minorHAnsi" w:hAnsiTheme="minorHAnsi" w:cstheme="minorHAnsi"/>
                <w:sz w:val="20"/>
                <w:szCs w:val="20"/>
              </w:rPr>
              <w:t>the</w:t>
            </w:r>
            <w:r w:rsidRPr="00C341F8">
              <w:rPr>
                <w:rFonts w:asciiTheme="minorHAnsi" w:hAnsiTheme="minorHAnsi" w:cstheme="minorHAnsi"/>
                <w:spacing w:val="-4"/>
                <w:sz w:val="20"/>
                <w:szCs w:val="20"/>
              </w:rPr>
              <w:t xml:space="preserve"> </w:t>
            </w:r>
            <w:r w:rsidRPr="00C341F8">
              <w:rPr>
                <w:rFonts w:asciiTheme="minorHAnsi" w:hAnsiTheme="minorHAnsi" w:cstheme="minorHAnsi"/>
                <w:sz w:val="20"/>
                <w:szCs w:val="20"/>
              </w:rPr>
              <w:t>draft</w:t>
            </w:r>
            <w:r w:rsidRPr="00C341F8">
              <w:rPr>
                <w:rFonts w:asciiTheme="minorHAnsi" w:hAnsiTheme="minorHAnsi" w:cstheme="minorHAnsi"/>
                <w:spacing w:val="-2"/>
                <w:sz w:val="20"/>
                <w:szCs w:val="20"/>
              </w:rPr>
              <w:t xml:space="preserve"> </w:t>
            </w:r>
            <w:r w:rsidRPr="00C341F8">
              <w:rPr>
                <w:rFonts w:asciiTheme="minorHAnsi" w:hAnsiTheme="minorHAnsi" w:cstheme="minorHAnsi"/>
                <w:sz w:val="20"/>
                <w:szCs w:val="20"/>
              </w:rPr>
              <w:t>report</w:t>
            </w:r>
          </w:p>
        </w:tc>
        <w:tc>
          <w:tcPr>
            <w:tcW w:w="1112" w:type="dxa"/>
            <w:tcBorders>
              <w:top w:val="nil"/>
              <w:bottom w:val="nil"/>
            </w:tcBorders>
            <w:shd w:val="clear" w:color="auto" w:fill="EAF6F3"/>
            <w:vAlign w:val="center"/>
          </w:tcPr>
          <w:p w14:paraId="339BF80A" w14:textId="77777777" w:rsidR="00A4310A" w:rsidRPr="00464EDA" w:rsidRDefault="00A4310A" w:rsidP="002D232A">
            <w:pPr>
              <w:pStyle w:val="TableParagraph"/>
              <w:spacing w:line="264" w:lineRule="auto"/>
              <w:ind w:left="102"/>
              <w:rPr>
                <w:rFonts w:asciiTheme="minorHAnsi" w:hAnsiTheme="minorHAnsi" w:cstheme="minorHAnsi"/>
                <w:sz w:val="20"/>
                <w:szCs w:val="20"/>
              </w:rPr>
            </w:pPr>
            <w:r w:rsidRPr="00464EDA">
              <w:rPr>
                <w:rFonts w:asciiTheme="minorHAnsi" w:hAnsiTheme="minorHAnsi" w:cstheme="minorHAnsi"/>
                <w:sz w:val="20"/>
                <w:szCs w:val="20"/>
              </w:rPr>
              <w:t>-</w:t>
            </w:r>
          </w:p>
        </w:tc>
        <w:tc>
          <w:tcPr>
            <w:tcW w:w="1842" w:type="dxa"/>
            <w:tcBorders>
              <w:top w:val="nil"/>
              <w:bottom w:val="nil"/>
            </w:tcBorders>
            <w:shd w:val="clear" w:color="auto" w:fill="EAF6F3"/>
            <w:vAlign w:val="center"/>
          </w:tcPr>
          <w:p w14:paraId="01875B86" w14:textId="77777777" w:rsidR="00A4310A" w:rsidRPr="00FD595D" w:rsidRDefault="00A4310A" w:rsidP="002D232A">
            <w:pPr>
              <w:pStyle w:val="TableParagraph"/>
              <w:spacing w:line="264" w:lineRule="auto"/>
              <w:ind w:left="0"/>
              <w:rPr>
                <w:rFonts w:asciiTheme="minorHAnsi" w:hAnsiTheme="minorHAnsi" w:cstheme="minorHAnsi"/>
                <w:sz w:val="20"/>
                <w:szCs w:val="20"/>
                <w:highlight w:val="yellow"/>
              </w:rPr>
            </w:pPr>
            <w:r w:rsidRPr="00DC709A">
              <w:rPr>
                <w:rFonts w:asciiTheme="minorHAnsi" w:hAnsiTheme="minorHAnsi" w:cstheme="minorHAnsi"/>
                <w:spacing w:val="-1"/>
                <w:sz w:val="20"/>
                <w:szCs w:val="20"/>
              </w:rPr>
              <w:t>11 January</w:t>
            </w:r>
          </w:p>
        </w:tc>
        <w:tc>
          <w:tcPr>
            <w:tcW w:w="1440" w:type="dxa"/>
            <w:tcBorders>
              <w:top w:val="nil"/>
              <w:bottom w:val="nil"/>
            </w:tcBorders>
            <w:shd w:val="clear" w:color="auto" w:fill="EAF6F3"/>
            <w:vAlign w:val="center"/>
          </w:tcPr>
          <w:p w14:paraId="40CEC686" w14:textId="77777777" w:rsidR="00A4310A" w:rsidRPr="00C341F8" w:rsidRDefault="00A4310A" w:rsidP="002D232A">
            <w:pPr>
              <w:pStyle w:val="TableParagraph"/>
              <w:spacing w:line="264" w:lineRule="auto"/>
              <w:ind w:left="0"/>
              <w:rPr>
                <w:rFonts w:asciiTheme="minorHAnsi" w:hAnsiTheme="minorHAnsi" w:cstheme="minorHAnsi"/>
                <w:sz w:val="20"/>
                <w:szCs w:val="20"/>
              </w:rPr>
            </w:pPr>
            <w:r w:rsidRPr="00C341F8">
              <w:rPr>
                <w:rFonts w:asciiTheme="minorHAnsi" w:hAnsiTheme="minorHAnsi" w:cstheme="minorHAnsi"/>
                <w:sz w:val="20"/>
                <w:szCs w:val="20"/>
              </w:rPr>
              <w:t>UNDP</w:t>
            </w:r>
          </w:p>
        </w:tc>
        <w:tc>
          <w:tcPr>
            <w:tcW w:w="2321" w:type="dxa"/>
            <w:tcBorders>
              <w:top w:val="nil"/>
              <w:bottom w:val="nil"/>
              <w:right w:val="nil"/>
            </w:tcBorders>
            <w:shd w:val="clear" w:color="auto" w:fill="EAF6F3"/>
            <w:vAlign w:val="center"/>
          </w:tcPr>
          <w:p w14:paraId="57A2C7EA" w14:textId="77777777" w:rsidR="00A4310A" w:rsidRPr="00C341F8" w:rsidRDefault="00A4310A" w:rsidP="002D232A">
            <w:pPr>
              <w:pStyle w:val="TableParagraph"/>
              <w:spacing w:line="264" w:lineRule="auto"/>
              <w:ind w:right="89"/>
              <w:rPr>
                <w:rFonts w:asciiTheme="minorHAnsi" w:hAnsiTheme="minorHAnsi" w:cstheme="minorHAnsi"/>
                <w:sz w:val="20"/>
                <w:szCs w:val="20"/>
              </w:rPr>
            </w:pPr>
            <w:r>
              <w:rPr>
                <w:rFonts w:asciiTheme="minorHAnsi" w:hAnsiTheme="minorHAnsi" w:cstheme="minorHAnsi"/>
                <w:sz w:val="20"/>
                <w:szCs w:val="20"/>
              </w:rPr>
              <w:t>UNDP Commissioning Unit</w:t>
            </w:r>
          </w:p>
        </w:tc>
      </w:tr>
      <w:tr w:rsidR="00A4310A" w:rsidRPr="00C341F8" w14:paraId="6B5B0AC5" w14:textId="77777777" w:rsidTr="002D232A">
        <w:trPr>
          <w:trHeight w:val="961"/>
          <w:tblCellSpacing w:w="4" w:type="dxa"/>
          <w:jc w:val="center"/>
        </w:trPr>
        <w:tc>
          <w:tcPr>
            <w:tcW w:w="3588" w:type="dxa"/>
            <w:tcBorders>
              <w:top w:val="nil"/>
              <w:left w:val="nil"/>
              <w:bottom w:val="nil"/>
            </w:tcBorders>
            <w:shd w:val="clear" w:color="auto" w:fill="EAF6F3"/>
            <w:vAlign w:val="center"/>
          </w:tcPr>
          <w:p w14:paraId="0DD0EE95" w14:textId="77777777" w:rsidR="00A4310A" w:rsidRPr="00C341F8" w:rsidRDefault="00A4310A" w:rsidP="002D232A">
            <w:pPr>
              <w:pStyle w:val="TableParagraph"/>
              <w:spacing w:line="264" w:lineRule="auto"/>
              <w:rPr>
                <w:rFonts w:asciiTheme="minorHAnsi" w:hAnsiTheme="minorHAnsi" w:cstheme="minorHAnsi"/>
                <w:sz w:val="20"/>
                <w:szCs w:val="20"/>
              </w:rPr>
            </w:pPr>
            <w:r w:rsidRPr="00C341F8">
              <w:rPr>
                <w:rFonts w:asciiTheme="minorHAnsi" w:hAnsiTheme="minorHAnsi" w:cstheme="minorHAnsi"/>
                <w:sz w:val="20"/>
                <w:szCs w:val="20"/>
              </w:rPr>
              <w:t>Debriefing</w:t>
            </w:r>
            <w:r w:rsidRPr="00C341F8">
              <w:rPr>
                <w:rFonts w:asciiTheme="minorHAnsi" w:hAnsiTheme="minorHAnsi" w:cstheme="minorHAnsi"/>
                <w:spacing w:val="-4"/>
                <w:sz w:val="20"/>
                <w:szCs w:val="20"/>
              </w:rPr>
              <w:t xml:space="preserve"> </w:t>
            </w:r>
            <w:r w:rsidRPr="00C341F8">
              <w:rPr>
                <w:rFonts w:asciiTheme="minorHAnsi" w:hAnsiTheme="minorHAnsi" w:cstheme="minorHAnsi"/>
                <w:sz w:val="20"/>
                <w:szCs w:val="20"/>
              </w:rPr>
              <w:t>with</w:t>
            </w:r>
            <w:r w:rsidRPr="00C341F8">
              <w:rPr>
                <w:rFonts w:asciiTheme="minorHAnsi" w:hAnsiTheme="minorHAnsi" w:cstheme="minorHAnsi"/>
                <w:spacing w:val="-4"/>
                <w:sz w:val="20"/>
                <w:szCs w:val="20"/>
              </w:rPr>
              <w:t xml:space="preserve"> </w:t>
            </w:r>
            <w:r w:rsidRPr="00C341F8">
              <w:rPr>
                <w:rFonts w:asciiTheme="minorHAnsi" w:hAnsiTheme="minorHAnsi" w:cstheme="minorHAnsi"/>
                <w:sz w:val="20"/>
                <w:szCs w:val="20"/>
              </w:rPr>
              <w:t>UNDP</w:t>
            </w:r>
            <w:r>
              <w:rPr>
                <w:rFonts w:asciiTheme="minorHAnsi" w:hAnsiTheme="minorHAnsi" w:cstheme="minorHAnsi"/>
                <w:sz w:val="20"/>
                <w:szCs w:val="20"/>
              </w:rPr>
              <w:t xml:space="preserve"> and stakeholders</w:t>
            </w:r>
          </w:p>
        </w:tc>
        <w:tc>
          <w:tcPr>
            <w:tcW w:w="1112" w:type="dxa"/>
            <w:tcBorders>
              <w:top w:val="nil"/>
              <w:bottom w:val="nil"/>
            </w:tcBorders>
            <w:shd w:val="clear" w:color="auto" w:fill="EAF6F3"/>
            <w:vAlign w:val="center"/>
          </w:tcPr>
          <w:p w14:paraId="235D93B6" w14:textId="77777777" w:rsidR="00A4310A" w:rsidRPr="00464EDA" w:rsidRDefault="00A4310A" w:rsidP="002D232A">
            <w:pPr>
              <w:pStyle w:val="TableParagraph"/>
              <w:spacing w:line="264" w:lineRule="auto"/>
              <w:ind w:left="102"/>
              <w:rPr>
                <w:rFonts w:asciiTheme="minorHAnsi" w:hAnsiTheme="minorHAnsi" w:cstheme="minorHAnsi"/>
                <w:sz w:val="20"/>
                <w:szCs w:val="20"/>
              </w:rPr>
            </w:pPr>
            <w:r w:rsidRPr="00464EDA">
              <w:rPr>
                <w:rFonts w:asciiTheme="minorHAnsi" w:hAnsiTheme="minorHAnsi" w:cstheme="minorHAnsi"/>
                <w:sz w:val="20"/>
                <w:szCs w:val="20"/>
              </w:rPr>
              <w:t>0.5</w:t>
            </w:r>
            <w:r w:rsidRPr="00464EDA">
              <w:rPr>
                <w:rFonts w:asciiTheme="minorHAnsi" w:hAnsiTheme="minorHAnsi" w:cstheme="minorHAnsi"/>
                <w:spacing w:val="-1"/>
                <w:sz w:val="20"/>
                <w:szCs w:val="20"/>
              </w:rPr>
              <w:t xml:space="preserve"> </w:t>
            </w:r>
            <w:r w:rsidRPr="00464EDA">
              <w:rPr>
                <w:rFonts w:asciiTheme="minorHAnsi" w:hAnsiTheme="minorHAnsi" w:cstheme="minorHAnsi"/>
                <w:sz w:val="20"/>
                <w:szCs w:val="20"/>
              </w:rPr>
              <w:t>day</w:t>
            </w:r>
          </w:p>
        </w:tc>
        <w:tc>
          <w:tcPr>
            <w:tcW w:w="1842" w:type="dxa"/>
            <w:tcBorders>
              <w:top w:val="nil"/>
              <w:bottom w:val="nil"/>
            </w:tcBorders>
            <w:shd w:val="clear" w:color="auto" w:fill="EAF6F3"/>
            <w:vAlign w:val="center"/>
          </w:tcPr>
          <w:p w14:paraId="57F86ED4" w14:textId="77777777" w:rsidR="00A4310A" w:rsidRPr="00464EDA" w:rsidRDefault="00A4310A" w:rsidP="002D232A">
            <w:pPr>
              <w:pStyle w:val="TableParagraph"/>
              <w:spacing w:line="264" w:lineRule="auto"/>
              <w:ind w:left="0" w:right="32"/>
              <w:rPr>
                <w:rFonts w:asciiTheme="minorHAnsi" w:hAnsiTheme="minorHAnsi" w:cstheme="minorHAnsi"/>
                <w:sz w:val="20"/>
                <w:szCs w:val="20"/>
              </w:rPr>
            </w:pPr>
          </w:p>
        </w:tc>
        <w:tc>
          <w:tcPr>
            <w:tcW w:w="1440" w:type="dxa"/>
            <w:tcBorders>
              <w:top w:val="nil"/>
              <w:bottom w:val="nil"/>
            </w:tcBorders>
            <w:shd w:val="clear" w:color="auto" w:fill="EAF6F3"/>
            <w:vAlign w:val="center"/>
          </w:tcPr>
          <w:p w14:paraId="70C0A051" w14:textId="77777777" w:rsidR="00A4310A" w:rsidRPr="00C341F8" w:rsidRDefault="00A4310A" w:rsidP="002D232A">
            <w:pPr>
              <w:pStyle w:val="TableParagraph"/>
              <w:spacing w:line="264" w:lineRule="auto"/>
              <w:ind w:left="0" w:right="541"/>
              <w:rPr>
                <w:rFonts w:asciiTheme="minorHAnsi" w:hAnsiTheme="minorHAnsi" w:cstheme="minorHAnsi"/>
                <w:sz w:val="20"/>
                <w:szCs w:val="20"/>
              </w:rPr>
            </w:pPr>
            <w:r w:rsidRPr="00C341F8">
              <w:rPr>
                <w:rFonts w:asciiTheme="minorHAnsi" w:hAnsiTheme="minorHAnsi" w:cstheme="minorHAnsi"/>
                <w:sz w:val="20"/>
                <w:szCs w:val="20"/>
              </w:rPr>
              <w:t>Remotely</w:t>
            </w:r>
            <w:r w:rsidRPr="00C341F8">
              <w:rPr>
                <w:rFonts w:asciiTheme="minorHAnsi" w:hAnsiTheme="minorHAnsi" w:cstheme="minorHAnsi"/>
                <w:spacing w:val="-43"/>
                <w:sz w:val="20"/>
                <w:szCs w:val="20"/>
              </w:rPr>
              <w:t xml:space="preserve"> </w:t>
            </w:r>
            <w:r w:rsidRPr="00C341F8">
              <w:rPr>
                <w:rFonts w:asciiTheme="minorHAnsi" w:hAnsiTheme="minorHAnsi" w:cstheme="minorHAnsi"/>
                <w:sz w:val="20"/>
                <w:szCs w:val="20"/>
              </w:rPr>
              <w:t>UNDP</w:t>
            </w:r>
          </w:p>
        </w:tc>
        <w:tc>
          <w:tcPr>
            <w:tcW w:w="2321" w:type="dxa"/>
            <w:tcBorders>
              <w:top w:val="nil"/>
              <w:bottom w:val="nil"/>
              <w:right w:val="nil"/>
            </w:tcBorders>
            <w:shd w:val="clear" w:color="auto" w:fill="EAF6F3"/>
            <w:vAlign w:val="center"/>
          </w:tcPr>
          <w:p w14:paraId="28D33372" w14:textId="77777777" w:rsidR="00A4310A" w:rsidRPr="00C341F8" w:rsidRDefault="00A4310A" w:rsidP="002D232A">
            <w:pPr>
              <w:pStyle w:val="TableParagraph"/>
              <w:spacing w:line="264" w:lineRule="auto"/>
              <w:ind w:right="89"/>
              <w:rPr>
                <w:rFonts w:asciiTheme="minorHAnsi" w:hAnsiTheme="minorHAnsi" w:cstheme="minorHAnsi"/>
                <w:sz w:val="20"/>
                <w:szCs w:val="20"/>
              </w:rPr>
            </w:pPr>
            <w:r w:rsidRPr="00C341F8">
              <w:rPr>
                <w:rFonts w:asciiTheme="minorHAnsi" w:hAnsiTheme="minorHAnsi" w:cstheme="minorHAnsi"/>
                <w:spacing w:val="-1"/>
                <w:sz w:val="20"/>
                <w:szCs w:val="20"/>
              </w:rPr>
              <w:t xml:space="preserve">UNDP, </w:t>
            </w:r>
            <w:r w:rsidRPr="00C341F8">
              <w:rPr>
                <w:rFonts w:asciiTheme="minorHAnsi" w:hAnsiTheme="minorHAnsi" w:cstheme="minorHAnsi"/>
                <w:sz w:val="20"/>
                <w:szCs w:val="20"/>
              </w:rPr>
              <w:t>evaluation</w:t>
            </w:r>
            <w:r w:rsidRPr="00C341F8">
              <w:rPr>
                <w:rFonts w:asciiTheme="minorHAnsi" w:hAnsiTheme="minorHAnsi" w:cstheme="minorHAnsi"/>
                <w:spacing w:val="-43"/>
                <w:sz w:val="20"/>
                <w:szCs w:val="20"/>
              </w:rPr>
              <w:t xml:space="preserve"> </w:t>
            </w:r>
            <w:r w:rsidRPr="00C341F8">
              <w:rPr>
                <w:rFonts w:asciiTheme="minorHAnsi" w:hAnsiTheme="minorHAnsi" w:cstheme="minorHAnsi"/>
                <w:sz w:val="20"/>
                <w:szCs w:val="20"/>
              </w:rPr>
              <w:t>reference group,</w:t>
            </w:r>
            <w:r w:rsidRPr="00C341F8">
              <w:rPr>
                <w:rFonts w:asciiTheme="minorHAnsi" w:hAnsiTheme="minorHAnsi" w:cstheme="minorHAnsi"/>
                <w:spacing w:val="1"/>
                <w:sz w:val="20"/>
                <w:szCs w:val="20"/>
              </w:rPr>
              <w:t xml:space="preserve"> </w:t>
            </w:r>
            <w:r w:rsidRPr="00C341F8">
              <w:rPr>
                <w:rFonts w:asciiTheme="minorHAnsi" w:hAnsiTheme="minorHAnsi" w:cstheme="minorHAnsi"/>
                <w:sz w:val="20"/>
                <w:szCs w:val="20"/>
              </w:rPr>
              <w:t>stakeholder</w:t>
            </w:r>
            <w:r>
              <w:rPr>
                <w:rFonts w:asciiTheme="minorHAnsi" w:hAnsiTheme="minorHAnsi" w:cstheme="minorHAnsi"/>
                <w:sz w:val="20"/>
                <w:szCs w:val="20"/>
              </w:rPr>
              <w:t>s</w:t>
            </w:r>
            <w:r w:rsidRPr="00C341F8">
              <w:rPr>
                <w:rFonts w:asciiTheme="minorHAnsi" w:hAnsiTheme="minorHAnsi" w:cstheme="minorHAnsi"/>
                <w:sz w:val="20"/>
                <w:szCs w:val="20"/>
              </w:rPr>
              <w:t>,</w:t>
            </w:r>
            <w:r w:rsidRPr="00C341F8">
              <w:rPr>
                <w:rFonts w:asciiTheme="minorHAnsi" w:hAnsiTheme="minorHAnsi" w:cstheme="minorHAnsi"/>
                <w:spacing w:val="-5"/>
                <w:sz w:val="20"/>
                <w:szCs w:val="20"/>
              </w:rPr>
              <w:t xml:space="preserve"> </w:t>
            </w:r>
            <w:r w:rsidRPr="00C341F8">
              <w:rPr>
                <w:rFonts w:asciiTheme="minorHAnsi" w:hAnsiTheme="minorHAnsi" w:cstheme="minorHAnsi"/>
                <w:sz w:val="20"/>
                <w:szCs w:val="20"/>
              </w:rPr>
              <w:t>and</w:t>
            </w:r>
          </w:p>
          <w:p w14:paraId="4969652B" w14:textId="77777777" w:rsidR="00A4310A" w:rsidRPr="00C341F8" w:rsidRDefault="00A4310A" w:rsidP="002D232A">
            <w:pPr>
              <w:pStyle w:val="TableParagraph"/>
              <w:spacing w:line="264" w:lineRule="auto"/>
              <w:ind w:right="89"/>
              <w:rPr>
                <w:rFonts w:asciiTheme="minorHAnsi" w:hAnsiTheme="minorHAnsi" w:cstheme="minorHAnsi"/>
                <w:sz w:val="20"/>
                <w:szCs w:val="20"/>
              </w:rPr>
            </w:pPr>
            <w:r w:rsidRPr="00C341F8">
              <w:rPr>
                <w:rFonts w:asciiTheme="minorHAnsi" w:hAnsiTheme="minorHAnsi" w:cstheme="minorHAnsi"/>
                <w:sz w:val="20"/>
                <w:szCs w:val="20"/>
              </w:rPr>
              <w:t>evaluation</w:t>
            </w:r>
            <w:r w:rsidRPr="00C341F8">
              <w:rPr>
                <w:rFonts w:asciiTheme="minorHAnsi" w:hAnsiTheme="minorHAnsi" w:cstheme="minorHAnsi"/>
                <w:spacing w:val="-3"/>
                <w:sz w:val="20"/>
                <w:szCs w:val="20"/>
              </w:rPr>
              <w:t xml:space="preserve"> </w:t>
            </w:r>
            <w:r w:rsidRPr="00C341F8">
              <w:rPr>
                <w:rFonts w:asciiTheme="minorHAnsi" w:hAnsiTheme="minorHAnsi" w:cstheme="minorHAnsi"/>
                <w:sz w:val="20"/>
                <w:szCs w:val="20"/>
              </w:rPr>
              <w:t>team</w:t>
            </w:r>
          </w:p>
        </w:tc>
      </w:tr>
      <w:tr w:rsidR="00A4310A" w:rsidRPr="00C341F8" w14:paraId="2667944E" w14:textId="77777777" w:rsidTr="002D232A">
        <w:trPr>
          <w:trHeight w:val="476"/>
          <w:tblCellSpacing w:w="4" w:type="dxa"/>
          <w:jc w:val="center"/>
        </w:trPr>
        <w:tc>
          <w:tcPr>
            <w:tcW w:w="3588" w:type="dxa"/>
            <w:tcBorders>
              <w:top w:val="nil"/>
              <w:left w:val="nil"/>
            </w:tcBorders>
            <w:shd w:val="clear" w:color="auto" w:fill="EAF6F3"/>
            <w:vAlign w:val="center"/>
          </w:tcPr>
          <w:p w14:paraId="1EB913D7" w14:textId="77777777" w:rsidR="00A4310A" w:rsidRPr="00C341F8" w:rsidRDefault="00A4310A" w:rsidP="002D232A">
            <w:pPr>
              <w:pStyle w:val="TableParagraph"/>
              <w:spacing w:line="264" w:lineRule="auto"/>
              <w:rPr>
                <w:rFonts w:asciiTheme="minorHAnsi" w:hAnsiTheme="minorHAnsi" w:cstheme="minorHAnsi"/>
                <w:sz w:val="20"/>
                <w:szCs w:val="20"/>
              </w:rPr>
            </w:pPr>
            <w:r w:rsidRPr="00C341F8">
              <w:rPr>
                <w:rFonts w:asciiTheme="minorHAnsi" w:hAnsiTheme="minorHAnsi" w:cstheme="minorHAnsi"/>
                <w:sz w:val="20"/>
                <w:szCs w:val="20"/>
              </w:rPr>
              <w:t>Finalization</w:t>
            </w:r>
            <w:r w:rsidRPr="00C341F8">
              <w:rPr>
                <w:rFonts w:asciiTheme="minorHAnsi" w:hAnsiTheme="minorHAnsi" w:cstheme="minorHAnsi"/>
                <w:spacing w:val="-3"/>
                <w:sz w:val="20"/>
                <w:szCs w:val="20"/>
              </w:rPr>
              <w:t xml:space="preserve"> </w:t>
            </w:r>
            <w:r w:rsidRPr="00C341F8">
              <w:rPr>
                <w:rFonts w:asciiTheme="minorHAnsi" w:hAnsiTheme="minorHAnsi" w:cstheme="minorHAnsi"/>
                <w:sz w:val="20"/>
                <w:szCs w:val="20"/>
              </w:rPr>
              <w:t>of</w:t>
            </w:r>
            <w:r w:rsidRPr="00C341F8">
              <w:rPr>
                <w:rFonts w:asciiTheme="minorHAnsi" w:hAnsiTheme="minorHAnsi" w:cstheme="minorHAnsi"/>
                <w:spacing w:val="-2"/>
                <w:sz w:val="20"/>
                <w:szCs w:val="20"/>
              </w:rPr>
              <w:t xml:space="preserve"> </w:t>
            </w:r>
            <w:r w:rsidRPr="00C341F8">
              <w:rPr>
                <w:rFonts w:asciiTheme="minorHAnsi" w:hAnsiTheme="minorHAnsi" w:cstheme="minorHAnsi"/>
                <w:sz w:val="20"/>
                <w:szCs w:val="20"/>
              </w:rPr>
              <w:t>the</w:t>
            </w:r>
            <w:r w:rsidRPr="00C341F8">
              <w:rPr>
                <w:rFonts w:asciiTheme="minorHAnsi" w:hAnsiTheme="minorHAnsi" w:cstheme="minorHAnsi"/>
                <w:spacing w:val="-1"/>
                <w:sz w:val="20"/>
                <w:szCs w:val="20"/>
              </w:rPr>
              <w:t xml:space="preserve"> </w:t>
            </w:r>
            <w:r w:rsidRPr="00C341F8">
              <w:rPr>
                <w:rFonts w:asciiTheme="minorHAnsi" w:hAnsiTheme="minorHAnsi" w:cstheme="minorHAnsi"/>
                <w:sz w:val="20"/>
                <w:szCs w:val="20"/>
              </w:rPr>
              <w:t>evaluation</w:t>
            </w:r>
            <w:r w:rsidRPr="00C341F8">
              <w:rPr>
                <w:rFonts w:asciiTheme="minorHAnsi" w:hAnsiTheme="minorHAnsi" w:cstheme="minorHAnsi"/>
                <w:spacing w:val="-3"/>
                <w:sz w:val="20"/>
                <w:szCs w:val="20"/>
              </w:rPr>
              <w:t xml:space="preserve"> </w:t>
            </w:r>
            <w:r w:rsidRPr="00C341F8">
              <w:rPr>
                <w:rFonts w:asciiTheme="minorHAnsi" w:hAnsiTheme="minorHAnsi" w:cstheme="minorHAnsi"/>
                <w:sz w:val="20"/>
                <w:szCs w:val="20"/>
              </w:rPr>
              <w:t>report</w:t>
            </w:r>
            <w:r w:rsidRPr="00C341F8">
              <w:rPr>
                <w:rFonts w:asciiTheme="minorHAnsi" w:hAnsiTheme="minorHAnsi" w:cstheme="minorHAnsi"/>
                <w:spacing w:val="-1"/>
                <w:sz w:val="20"/>
                <w:szCs w:val="20"/>
              </w:rPr>
              <w:t xml:space="preserve"> </w:t>
            </w:r>
            <w:r w:rsidRPr="00C341F8">
              <w:rPr>
                <w:rFonts w:asciiTheme="minorHAnsi" w:hAnsiTheme="minorHAnsi" w:cstheme="minorHAnsi"/>
                <w:sz w:val="20"/>
                <w:szCs w:val="20"/>
              </w:rPr>
              <w:t>incorporating</w:t>
            </w:r>
            <w:r w:rsidRPr="00C341F8">
              <w:rPr>
                <w:rFonts w:asciiTheme="minorHAnsi" w:hAnsiTheme="minorHAnsi" w:cstheme="minorHAnsi"/>
                <w:spacing w:val="-1"/>
                <w:sz w:val="20"/>
                <w:szCs w:val="20"/>
              </w:rPr>
              <w:t xml:space="preserve"> </w:t>
            </w:r>
            <w:r w:rsidRPr="00C341F8">
              <w:rPr>
                <w:rFonts w:asciiTheme="minorHAnsi" w:hAnsiTheme="minorHAnsi" w:cstheme="minorHAnsi"/>
                <w:sz w:val="20"/>
                <w:szCs w:val="20"/>
              </w:rPr>
              <w:t>additions</w:t>
            </w:r>
            <w:r w:rsidRPr="00C341F8">
              <w:rPr>
                <w:rFonts w:asciiTheme="minorHAnsi" w:hAnsiTheme="minorHAnsi" w:cstheme="minorHAnsi"/>
                <w:spacing w:val="-2"/>
                <w:sz w:val="20"/>
                <w:szCs w:val="20"/>
              </w:rPr>
              <w:t xml:space="preserve"> </w:t>
            </w:r>
            <w:r w:rsidRPr="00C341F8">
              <w:rPr>
                <w:rFonts w:asciiTheme="minorHAnsi" w:hAnsiTheme="minorHAnsi" w:cstheme="minorHAnsi"/>
                <w:sz w:val="20"/>
                <w:szCs w:val="20"/>
              </w:rPr>
              <w:t>and</w:t>
            </w:r>
          </w:p>
          <w:p w14:paraId="3D3AE4B7" w14:textId="77777777" w:rsidR="00A4310A" w:rsidRPr="00C341F8" w:rsidRDefault="00A4310A" w:rsidP="002D232A">
            <w:pPr>
              <w:pStyle w:val="TableParagraph"/>
              <w:spacing w:line="264" w:lineRule="auto"/>
              <w:rPr>
                <w:rFonts w:asciiTheme="minorHAnsi" w:hAnsiTheme="minorHAnsi" w:cstheme="minorHAnsi"/>
                <w:sz w:val="20"/>
                <w:szCs w:val="20"/>
              </w:rPr>
            </w:pPr>
            <w:r w:rsidRPr="00C341F8">
              <w:rPr>
                <w:rFonts w:asciiTheme="minorHAnsi" w:hAnsiTheme="minorHAnsi" w:cstheme="minorHAnsi"/>
                <w:sz w:val="20"/>
                <w:szCs w:val="20"/>
              </w:rPr>
              <w:t>comments</w:t>
            </w:r>
            <w:r w:rsidRPr="00C341F8">
              <w:rPr>
                <w:rFonts w:asciiTheme="minorHAnsi" w:hAnsiTheme="minorHAnsi" w:cstheme="minorHAnsi"/>
                <w:spacing w:val="-4"/>
                <w:sz w:val="20"/>
                <w:szCs w:val="20"/>
              </w:rPr>
              <w:t xml:space="preserve"> </w:t>
            </w:r>
            <w:r w:rsidRPr="00C341F8">
              <w:rPr>
                <w:rFonts w:asciiTheme="minorHAnsi" w:hAnsiTheme="minorHAnsi" w:cstheme="minorHAnsi"/>
                <w:sz w:val="20"/>
                <w:szCs w:val="20"/>
              </w:rPr>
              <w:t>provided</w:t>
            </w:r>
            <w:r w:rsidRPr="00C341F8">
              <w:rPr>
                <w:rFonts w:asciiTheme="minorHAnsi" w:hAnsiTheme="minorHAnsi" w:cstheme="minorHAnsi"/>
                <w:spacing w:val="-3"/>
                <w:sz w:val="20"/>
                <w:szCs w:val="20"/>
              </w:rPr>
              <w:t xml:space="preserve"> </w:t>
            </w:r>
            <w:r w:rsidRPr="00C341F8">
              <w:rPr>
                <w:rFonts w:asciiTheme="minorHAnsi" w:hAnsiTheme="minorHAnsi" w:cstheme="minorHAnsi"/>
                <w:sz w:val="20"/>
                <w:szCs w:val="20"/>
              </w:rPr>
              <w:t>by</w:t>
            </w:r>
            <w:r w:rsidRPr="00C341F8">
              <w:rPr>
                <w:rFonts w:asciiTheme="minorHAnsi" w:hAnsiTheme="minorHAnsi" w:cstheme="minorHAnsi"/>
                <w:spacing w:val="-2"/>
                <w:sz w:val="20"/>
                <w:szCs w:val="20"/>
              </w:rPr>
              <w:t xml:space="preserve"> </w:t>
            </w:r>
            <w:r w:rsidRPr="00C341F8">
              <w:rPr>
                <w:rFonts w:asciiTheme="minorHAnsi" w:hAnsiTheme="minorHAnsi" w:cstheme="minorHAnsi"/>
                <w:sz w:val="20"/>
                <w:szCs w:val="20"/>
              </w:rPr>
              <w:t>project</w:t>
            </w:r>
            <w:r w:rsidRPr="00C341F8">
              <w:rPr>
                <w:rFonts w:asciiTheme="minorHAnsi" w:hAnsiTheme="minorHAnsi" w:cstheme="minorHAnsi"/>
                <w:spacing w:val="-3"/>
                <w:sz w:val="20"/>
                <w:szCs w:val="20"/>
              </w:rPr>
              <w:t xml:space="preserve"> </w:t>
            </w:r>
            <w:r w:rsidRPr="00C341F8">
              <w:rPr>
                <w:rFonts w:asciiTheme="minorHAnsi" w:hAnsiTheme="minorHAnsi" w:cstheme="minorHAnsi"/>
                <w:sz w:val="20"/>
                <w:szCs w:val="20"/>
              </w:rPr>
              <w:t>staff</w:t>
            </w:r>
            <w:r w:rsidRPr="00C341F8">
              <w:rPr>
                <w:rFonts w:asciiTheme="minorHAnsi" w:hAnsiTheme="minorHAnsi" w:cstheme="minorHAnsi"/>
                <w:spacing w:val="-4"/>
                <w:sz w:val="20"/>
                <w:szCs w:val="20"/>
              </w:rPr>
              <w:t xml:space="preserve"> </w:t>
            </w:r>
            <w:r w:rsidRPr="00C341F8">
              <w:rPr>
                <w:rFonts w:asciiTheme="minorHAnsi" w:hAnsiTheme="minorHAnsi" w:cstheme="minorHAnsi"/>
                <w:sz w:val="20"/>
                <w:szCs w:val="20"/>
              </w:rPr>
              <w:t>and</w:t>
            </w:r>
            <w:r w:rsidRPr="00C341F8">
              <w:rPr>
                <w:rFonts w:asciiTheme="minorHAnsi" w:hAnsiTheme="minorHAnsi" w:cstheme="minorHAnsi"/>
                <w:spacing w:val="-3"/>
                <w:sz w:val="20"/>
                <w:szCs w:val="20"/>
              </w:rPr>
              <w:t xml:space="preserve"> </w:t>
            </w:r>
            <w:r w:rsidRPr="00C341F8">
              <w:rPr>
                <w:rFonts w:asciiTheme="minorHAnsi" w:hAnsiTheme="minorHAnsi" w:cstheme="minorHAnsi"/>
                <w:sz w:val="20"/>
                <w:szCs w:val="20"/>
              </w:rPr>
              <w:t>UNDP</w:t>
            </w:r>
            <w:r w:rsidRPr="00C341F8">
              <w:rPr>
                <w:rFonts w:asciiTheme="minorHAnsi" w:hAnsiTheme="minorHAnsi" w:cstheme="minorHAnsi"/>
                <w:spacing w:val="-2"/>
                <w:sz w:val="20"/>
                <w:szCs w:val="20"/>
              </w:rPr>
              <w:t xml:space="preserve"> </w:t>
            </w:r>
            <w:r w:rsidRPr="00C341F8">
              <w:rPr>
                <w:rFonts w:asciiTheme="minorHAnsi" w:hAnsiTheme="minorHAnsi" w:cstheme="minorHAnsi"/>
                <w:sz w:val="20"/>
                <w:szCs w:val="20"/>
              </w:rPr>
              <w:t>country</w:t>
            </w:r>
            <w:r w:rsidRPr="00C341F8">
              <w:rPr>
                <w:rFonts w:asciiTheme="minorHAnsi" w:hAnsiTheme="minorHAnsi" w:cstheme="minorHAnsi"/>
                <w:spacing w:val="-2"/>
                <w:sz w:val="20"/>
                <w:szCs w:val="20"/>
              </w:rPr>
              <w:t xml:space="preserve"> </w:t>
            </w:r>
            <w:r w:rsidRPr="00C341F8">
              <w:rPr>
                <w:rFonts w:asciiTheme="minorHAnsi" w:hAnsiTheme="minorHAnsi" w:cstheme="minorHAnsi"/>
                <w:sz w:val="20"/>
                <w:szCs w:val="20"/>
              </w:rPr>
              <w:t>office and Submission</w:t>
            </w:r>
            <w:r w:rsidRPr="00C341F8">
              <w:rPr>
                <w:rFonts w:asciiTheme="minorHAnsi" w:hAnsiTheme="minorHAnsi" w:cstheme="minorHAnsi"/>
                <w:spacing w:val="-2"/>
                <w:sz w:val="20"/>
                <w:szCs w:val="20"/>
              </w:rPr>
              <w:t xml:space="preserve"> </w:t>
            </w:r>
            <w:r w:rsidRPr="00C341F8">
              <w:rPr>
                <w:rFonts w:asciiTheme="minorHAnsi" w:hAnsiTheme="minorHAnsi" w:cstheme="minorHAnsi"/>
                <w:sz w:val="20"/>
                <w:szCs w:val="20"/>
              </w:rPr>
              <w:t>of</w:t>
            </w:r>
            <w:r w:rsidRPr="00C341F8">
              <w:rPr>
                <w:rFonts w:asciiTheme="minorHAnsi" w:hAnsiTheme="minorHAnsi" w:cstheme="minorHAnsi"/>
                <w:spacing w:val="-3"/>
                <w:sz w:val="20"/>
                <w:szCs w:val="20"/>
              </w:rPr>
              <w:t xml:space="preserve"> </w:t>
            </w:r>
            <w:r w:rsidRPr="00C341F8">
              <w:rPr>
                <w:rFonts w:asciiTheme="minorHAnsi" w:hAnsiTheme="minorHAnsi" w:cstheme="minorHAnsi"/>
                <w:sz w:val="20"/>
                <w:szCs w:val="20"/>
              </w:rPr>
              <w:t>the</w:t>
            </w:r>
            <w:r w:rsidRPr="00C341F8">
              <w:rPr>
                <w:rFonts w:asciiTheme="minorHAnsi" w:hAnsiTheme="minorHAnsi" w:cstheme="minorHAnsi"/>
                <w:spacing w:val="-2"/>
                <w:sz w:val="20"/>
                <w:szCs w:val="20"/>
              </w:rPr>
              <w:t xml:space="preserve"> </w:t>
            </w:r>
            <w:r w:rsidRPr="00C341F8">
              <w:rPr>
                <w:rFonts w:asciiTheme="minorHAnsi" w:hAnsiTheme="minorHAnsi" w:cstheme="minorHAnsi"/>
                <w:sz w:val="20"/>
                <w:szCs w:val="20"/>
              </w:rPr>
              <w:t>final</w:t>
            </w:r>
            <w:r w:rsidRPr="00C341F8">
              <w:rPr>
                <w:rFonts w:asciiTheme="minorHAnsi" w:hAnsiTheme="minorHAnsi" w:cstheme="minorHAnsi"/>
                <w:spacing w:val="-1"/>
                <w:sz w:val="20"/>
                <w:szCs w:val="20"/>
              </w:rPr>
              <w:t xml:space="preserve"> </w:t>
            </w:r>
            <w:r w:rsidRPr="00C341F8">
              <w:rPr>
                <w:rFonts w:asciiTheme="minorHAnsi" w:hAnsiTheme="minorHAnsi" w:cstheme="minorHAnsi"/>
                <w:sz w:val="20"/>
                <w:szCs w:val="20"/>
              </w:rPr>
              <w:t>evaluation</w:t>
            </w:r>
            <w:r w:rsidRPr="00C341F8">
              <w:rPr>
                <w:rFonts w:asciiTheme="minorHAnsi" w:hAnsiTheme="minorHAnsi" w:cstheme="minorHAnsi"/>
                <w:spacing w:val="-1"/>
                <w:sz w:val="20"/>
                <w:szCs w:val="20"/>
              </w:rPr>
              <w:t xml:space="preserve"> </w:t>
            </w:r>
            <w:r w:rsidRPr="00C341F8">
              <w:rPr>
                <w:rFonts w:asciiTheme="minorHAnsi" w:hAnsiTheme="minorHAnsi" w:cstheme="minorHAnsi"/>
                <w:sz w:val="20"/>
                <w:szCs w:val="20"/>
              </w:rPr>
              <w:t>report</w:t>
            </w:r>
            <w:r w:rsidRPr="00C341F8">
              <w:rPr>
                <w:rFonts w:asciiTheme="minorHAnsi" w:hAnsiTheme="minorHAnsi" w:cstheme="minorHAnsi"/>
                <w:spacing w:val="-2"/>
                <w:sz w:val="20"/>
                <w:szCs w:val="20"/>
              </w:rPr>
              <w:t xml:space="preserve"> </w:t>
            </w:r>
            <w:r w:rsidRPr="00C341F8">
              <w:rPr>
                <w:rFonts w:asciiTheme="minorHAnsi" w:hAnsiTheme="minorHAnsi" w:cstheme="minorHAnsi"/>
                <w:sz w:val="20"/>
                <w:szCs w:val="20"/>
              </w:rPr>
              <w:t>to</w:t>
            </w:r>
            <w:r w:rsidRPr="00C341F8">
              <w:rPr>
                <w:rFonts w:asciiTheme="minorHAnsi" w:hAnsiTheme="minorHAnsi" w:cstheme="minorHAnsi"/>
                <w:spacing w:val="-2"/>
                <w:sz w:val="20"/>
                <w:szCs w:val="20"/>
              </w:rPr>
              <w:t xml:space="preserve"> </w:t>
            </w:r>
            <w:r w:rsidRPr="00C341F8">
              <w:rPr>
                <w:rFonts w:asciiTheme="minorHAnsi" w:hAnsiTheme="minorHAnsi" w:cstheme="minorHAnsi"/>
                <w:sz w:val="20"/>
                <w:szCs w:val="20"/>
              </w:rPr>
              <w:t>UNDP</w:t>
            </w:r>
            <w:r w:rsidRPr="00C341F8">
              <w:rPr>
                <w:rFonts w:asciiTheme="minorHAnsi" w:hAnsiTheme="minorHAnsi" w:cstheme="minorHAnsi"/>
                <w:spacing w:val="-3"/>
                <w:sz w:val="20"/>
                <w:szCs w:val="20"/>
              </w:rPr>
              <w:t xml:space="preserve"> </w:t>
            </w:r>
            <w:r w:rsidRPr="00C341F8">
              <w:rPr>
                <w:rFonts w:asciiTheme="minorHAnsi" w:hAnsiTheme="minorHAnsi" w:cstheme="minorHAnsi"/>
                <w:sz w:val="20"/>
                <w:szCs w:val="20"/>
              </w:rPr>
              <w:t>country</w:t>
            </w:r>
            <w:r w:rsidRPr="00C341F8">
              <w:rPr>
                <w:rFonts w:asciiTheme="minorHAnsi" w:hAnsiTheme="minorHAnsi" w:cstheme="minorHAnsi"/>
                <w:spacing w:val="-2"/>
                <w:sz w:val="20"/>
                <w:szCs w:val="20"/>
              </w:rPr>
              <w:t xml:space="preserve"> </w:t>
            </w:r>
            <w:r w:rsidRPr="00C341F8">
              <w:rPr>
                <w:rFonts w:asciiTheme="minorHAnsi" w:hAnsiTheme="minorHAnsi" w:cstheme="minorHAnsi"/>
                <w:sz w:val="20"/>
                <w:szCs w:val="20"/>
              </w:rPr>
              <w:t>office</w:t>
            </w:r>
            <w:r w:rsidRPr="00C341F8">
              <w:rPr>
                <w:rFonts w:asciiTheme="minorHAnsi" w:hAnsiTheme="minorHAnsi" w:cstheme="minorHAnsi"/>
                <w:spacing w:val="-2"/>
                <w:sz w:val="20"/>
                <w:szCs w:val="20"/>
              </w:rPr>
              <w:t xml:space="preserve"> </w:t>
            </w:r>
            <w:r w:rsidRPr="00C341F8">
              <w:rPr>
                <w:rFonts w:asciiTheme="minorHAnsi" w:hAnsiTheme="minorHAnsi" w:cstheme="minorHAnsi"/>
                <w:sz w:val="20"/>
                <w:szCs w:val="20"/>
              </w:rPr>
              <w:t>(50 pages</w:t>
            </w:r>
            <w:r w:rsidRPr="00C341F8">
              <w:rPr>
                <w:rFonts w:asciiTheme="minorHAnsi" w:hAnsiTheme="minorHAnsi" w:cstheme="minorHAnsi"/>
                <w:spacing w:val="-3"/>
                <w:sz w:val="20"/>
                <w:szCs w:val="20"/>
              </w:rPr>
              <w:t xml:space="preserve"> </w:t>
            </w:r>
            <w:r w:rsidRPr="00C341F8">
              <w:rPr>
                <w:rFonts w:asciiTheme="minorHAnsi" w:hAnsiTheme="minorHAnsi" w:cstheme="minorHAnsi"/>
                <w:sz w:val="20"/>
                <w:szCs w:val="20"/>
              </w:rPr>
              <w:t>maximum</w:t>
            </w:r>
            <w:r w:rsidRPr="00C341F8">
              <w:rPr>
                <w:rFonts w:asciiTheme="minorHAnsi" w:hAnsiTheme="minorHAnsi" w:cstheme="minorHAnsi"/>
                <w:spacing w:val="-3"/>
                <w:sz w:val="20"/>
                <w:szCs w:val="20"/>
              </w:rPr>
              <w:t xml:space="preserve"> </w:t>
            </w:r>
            <w:r w:rsidRPr="00C341F8">
              <w:rPr>
                <w:rFonts w:asciiTheme="minorHAnsi" w:hAnsiTheme="minorHAnsi" w:cstheme="minorHAnsi"/>
                <w:sz w:val="20"/>
                <w:szCs w:val="20"/>
              </w:rPr>
              <w:t>excluding</w:t>
            </w:r>
            <w:r w:rsidRPr="00C341F8">
              <w:rPr>
                <w:rFonts w:asciiTheme="minorHAnsi" w:hAnsiTheme="minorHAnsi" w:cstheme="minorHAnsi"/>
                <w:spacing w:val="-2"/>
                <w:sz w:val="20"/>
                <w:szCs w:val="20"/>
              </w:rPr>
              <w:t xml:space="preserve"> </w:t>
            </w:r>
            <w:r w:rsidRPr="00C341F8">
              <w:rPr>
                <w:rFonts w:asciiTheme="minorHAnsi" w:hAnsiTheme="minorHAnsi" w:cstheme="minorHAnsi"/>
                <w:sz w:val="20"/>
                <w:szCs w:val="20"/>
              </w:rPr>
              <w:t>executive</w:t>
            </w:r>
            <w:r w:rsidRPr="00C341F8">
              <w:rPr>
                <w:rFonts w:asciiTheme="minorHAnsi" w:hAnsiTheme="minorHAnsi" w:cstheme="minorHAnsi"/>
                <w:spacing w:val="-2"/>
                <w:sz w:val="20"/>
                <w:szCs w:val="20"/>
              </w:rPr>
              <w:t xml:space="preserve"> </w:t>
            </w:r>
            <w:r w:rsidRPr="00C341F8">
              <w:rPr>
                <w:rFonts w:asciiTheme="minorHAnsi" w:hAnsiTheme="minorHAnsi" w:cstheme="minorHAnsi"/>
                <w:sz w:val="20"/>
                <w:szCs w:val="20"/>
              </w:rPr>
              <w:t>summary</w:t>
            </w:r>
            <w:r w:rsidRPr="00C341F8">
              <w:rPr>
                <w:rFonts w:asciiTheme="minorHAnsi" w:hAnsiTheme="minorHAnsi" w:cstheme="minorHAnsi"/>
                <w:spacing w:val="-2"/>
                <w:sz w:val="20"/>
                <w:szCs w:val="20"/>
              </w:rPr>
              <w:t xml:space="preserve"> </w:t>
            </w:r>
            <w:r w:rsidRPr="00C341F8">
              <w:rPr>
                <w:rFonts w:asciiTheme="minorHAnsi" w:hAnsiTheme="minorHAnsi" w:cstheme="minorHAnsi"/>
                <w:sz w:val="20"/>
                <w:szCs w:val="20"/>
              </w:rPr>
              <w:t>and</w:t>
            </w:r>
            <w:r w:rsidRPr="00C341F8">
              <w:rPr>
                <w:rFonts w:asciiTheme="minorHAnsi" w:hAnsiTheme="minorHAnsi" w:cstheme="minorHAnsi"/>
                <w:spacing w:val="-1"/>
                <w:sz w:val="20"/>
                <w:szCs w:val="20"/>
              </w:rPr>
              <w:t xml:space="preserve"> </w:t>
            </w:r>
            <w:r w:rsidRPr="00C341F8">
              <w:rPr>
                <w:rFonts w:asciiTheme="minorHAnsi" w:hAnsiTheme="minorHAnsi" w:cstheme="minorHAnsi"/>
                <w:sz w:val="20"/>
                <w:szCs w:val="20"/>
              </w:rPr>
              <w:t>annexes)</w:t>
            </w:r>
          </w:p>
        </w:tc>
        <w:tc>
          <w:tcPr>
            <w:tcW w:w="1112" w:type="dxa"/>
            <w:tcBorders>
              <w:top w:val="nil"/>
            </w:tcBorders>
            <w:shd w:val="clear" w:color="auto" w:fill="EAF6F3"/>
            <w:vAlign w:val="center"/>
          </w:tcPr>
          <w:p w14:paraId="17651082" w14:textId="77777777" w:rsidR="00A4310A" w:rsidRPr="00464EDA" w:rsidRDefault="00A4310A" w:rsidP="002D232A">
            <w:pPr>
              <w:pStyle w:val="TableParagraph"/>
              <w:spacing w:line="264" w:lineRule="auto"/>
              <w:ind w:left="102"/>
              <w:rPr>
                <w:rFonts w:asciiTheme="minorHAnsi" w:hAnsiTheme="minorHAnsi" w:cstheme="minorHAnsi"/>
                <w:sz w:val="20"/>
                <w:szCs w:val="20"/>
              </w:rPr>
            </w:pPr>
            <w:r w:rsidRPr="00464EDA">
              <w:rPr>
                <w:rFonts w:asciiTheme="minorHAnsi" w:hAnsiTheme="minorHAnsi" w:cstheme="minorHAnsi"/>
                <w:sz w:val="20"/>
                <w:szCs w:val="20"/>
              </w:rPr>
              <w:t>1.5</w:t>
            </w:r>
            <w:r w:rsidRPr="00464EDA">
              <w:rPr>
                <w:rFonts w:asciiTheme="minorHAnsi" w:hAnsiTheme="minorHAnsi" w:cstheme="minorHAnsi"/>
                <w:spacing w:val="-1"/>
                <w:sz w:val="20"/>
                <w:szCs w:val="20"/>
              </w:rPr>
              <w:t xml:space="preserve"> </w:t>
            </w:r>
            <w:r w:rsidRPr="00464EDA">
              <w:rPr>
                <w:rFonts w:asciiTheme="minorHAnsi" w:hAnsiTheme="minorHAnsi" w:cstheme="minorHAnsi"/>
                <w:sz w:val="20"/>
                <w:szCs w:val="20"/>
              </w:rPr>
              <w:t>days</w:t>
            </w:r>
          </w:p>
        </w:tc>
        <w:tc>
          <w:tcPr>
            <w:tcW w:w="1842" w:type="dxa"/>
            <w:tcBorders>
              <w:top w:val="nil"/>
            </w:tcBorders>
            <w:shd w:val="clear" w:color="auto" w:fill="EAF6F3"/>
            <w:vAlign w:val="center"/>
          </w:tcPr>
          <w:p w14:paraId="1B36FE68" w14:textId="77777777" w:rsidR="00A4310A" w:rsidRPr="00464EDA" w:rsidRDefault="00A4310A" w:rsidP="002D232A">
            <w:pPr>
              <w:pStyle w:val="TableParagraph"/>
              <w:spacing w:line="264" w:lineRule="auto"/>
              <w:ind w:left="0" w:right="32"/>
              <w:rPr>
                <w:rFonts w:asciiTheme="minorHAnsi" w:hAnsiTheme="minorHAnsi" w:cstheme="minorHAnsi"/>
                <w:sz w:val="20"/>
                <w:szCs w:val="20"/>
              </w:rPr>
            </w:pPr>
            <w:r w:rsidRPr="00DC709A">
              <w:rPr>
                <w:rFonts w:asciiTheme="minorHAnsi" w:hAnsiTheme="minorHAnsi" w:cstheme="minorHAnsi"/>
                <w:sz w:val="20"/>
                <w:szCs w:val="20"/>
              </w:rPr>
              <w:t>12 January</w:t>
            </w:r>
          </w:p>
        </w:tc>
        <w:tc>
          <w:tcPr>
            <w:tcW w:w="1440" w:type="dxa"/>
            <w:tcBorders>
              <w:top w:val="nil"/>
            </w:tcBorders>
            <w:shd w:val="clear" w:color="auto" w:fill="EAF6F3"/>
            <w:vAlign w:val="center"/>
          </w:tcPr>
          <w:p w14:paraId="27CA9195" w14:textId="77777777" w:rsidR="00A4310A" w:rsidRPr="00C341F8" w:rsidRDefault="00A4310A" w:rsidP="002D232A">
            <w:pPr>
              <w:pStyle w:val="TableParagraph"/>
              <w:spacing w:line="264" w:lineRule="auto"/>
              <w:ind w:left="0"/>
              <w:rPr>
                <w:rFonts w:asciiTheme="minorHAnsi" w:hAnsiTheme="minorHAnsi" w:cstheme="minorHAnsi"/>
                <w:sz w:val="20"/>
                <w:szCs w:val="20"/>
              </w:rPr>
            </w:pPr>
            <w:r w:rsidRPr="00C341F8">
              <w:rPr>
                <w:rFonts w:asciiTheme="minorHAnsi" w:hAnsiTheme="minorHAnsi" w:cstheme="minorHAnsi"/>
                <w:sz w:val="20"/>
                <w:szCs w:val="20"/>
              </w:rPr>
              <w:t>Home-based</w:t>
            </w:r>
          </w:p>
        </w:tc>
        <w:tc>
          <w:tcPr>
            <w:tcW w:w="2321" w:type="dxa"/>
            <w:tcBorders>
              <w:top w:val="nil"/>
              <w:right w:val="nil"/>
            </w:tcBorders>
            <w:shd w:val="clear" w:color="auto" w:fill="EAF6F3"/>
            <w:vAlign w:val="center"/>
          </w:tcPr>
          <w:p w14:paraId="213FC4A4" w14:textId="77777777" w:rsidR="00A4310A" w:rsidRPr="00C341F8" w:rsidRDefault="00A4310A" w:rsidP="002D232A">
            <w:pPr>
              <w:pStyle w:val="TableParagraph"/>
              <w:spacing w:line="264" w:lineRule="auto"/>
              <w:rPr>
                <w:rFonts w:asciiTheme="minorHAnsi" w:hAnsiTheme="minorHAnsi" w:cstheme="minorHAnsi"/>
                <w:sz w:val="20"/>
                <w:szCs w:val="20"/>
              </w:rPr>
            </w:pPr>
            <w:r>
              <w:rPr>
                <w:rFonts w:asciiTheme="minorHAnsi" w:hAnsiTheme="minorHAnsi" w:cstheme="minorHAnsi"/>
                <w:sz w:val="20"/>
                <w:szCs w:val="20"/>
              </w:rPr>
              <w:t>Int. Evaluator</w:t>
            </w:r>
          </w:p>
        </w:tc>
      </w:tr>
      <w:tr w:rsidR="00A4310A" w:rsidRPr="00C341F8" w14:paraId="23190113" w14:textId="77777777" w:rsidTr="002D232A">
        <w:trPr>
          <w:trHeight w:val="234"/>
          <w:tblCellSpacing w:w="4" w:type="dxa"/>
          <w:jc w:val="center"/>
        </w:trPr>
        <w:tc>
          <w:tcPr>
            <w:tcW w:w="3588" w:type="dxa"/>
            <w:tcBorders>
              <w:left w:val="nil"/>
              <w:bottom w:val="nil"/>
            </w:tcBorders>
            <w:shd w:val="clear" w:color="auto" w:fill="175261"/>
            <w:vAlign w:val="center"/>
          </w:tcPr>
          <w:p w14:paraId="6EB14E2C" w14:textId="77777777" w:rsidR="00A4310A" w:rsidRPr="00C341F8" w:rsidRDefault="00A4310A" w:rsidP="002D232A">
            <w:pPr>
              <w:pStyle w:val="TableParagraph"/>
              <w:spacing w:line="264" w:lineRule="auto"/>
              <w:rPr>
                <w:rFonts w:asciiTheme="minorHAnsi" w:hAnsiTheme="minorHAnsi" w:cstheme="minorHAnsi"/>
                <w:b/>
                <w:sz w:val="20"/>
                <w:szCs w:val="20"/>
              </w:rPr>
            </w:pPr>
            <w:r w:rsidRPr="00C341F8">
              <w:rPr>
                <w:rFonts w:asciiTheme="minorHAnsi" w:hAnsiTheme="minorHAnsi" w:cstheme="minorHAnsi"/>
                <w:b/>
                <w:color w:val="FFFFFF"/>
                <w:sz w:val="20"/>
                <w:szCs w:val="20"/>
              </w:rPr>
              <w:t>Estimated</w:t>
            </w:r>
            <w:r w:rsidRPr="00C341F8">
              <w:rPr>
                <w:rFonts w:asciiTheme="minorHAnsi" w:hAnsiTheme="minorHAnsi" w:cstheme="minorHAnsi"/>
                <w:b/>
                <w:color w:val="FFFFFF"/>
                <w:spacing w:val="-1"/>
                <w:sz w:val="20"/>
                <w:szCs w:val="20"/>
              </w:rPr>
              <w:t xml:space="preserve"> </w:t>
            </w:r>
            <w:r w:rsidRPr="00C341F8">
              <w:rPr>
                <w:rFonts w:asciiTheme="minorHAnsi" w:hAnsiTheme="minorHAnsi" w:cstheme="minorHAnsi"/>
                <w:b/>
                <w:color w:val="FFFFFF"/>
                <w:sz w:val="20"/>
                <w:szCs w:val="20"/>
              </w:rPr>
              <w:t>total</w:t>
            </w:r>
            <w:r w:rsidRPr="00C341F8">
              <w:rPr>
                <w:rFonts w:asciiTheme="minorHAnsi" w:hAnsiTheme="minorHAnsi" w:cstheme="minorHAnsi"/>
                <w:b/>
                <w:color w:val="FFFFFF"/>
                <w:spacing w:val="-1"/>
                <w:sz w:val="20"/>
                <w:szCs w:val="20"/>
              </w:rPr>
              <w:t xml:space="preserve"> </w:t>
            </w:r>
            <w:r w:rsidRPr="00C341F8">
              <w:rPr>
                <w:rFonts w:asciiTheme="minorHAnsi" w:hAnsiTheme="minorHAnsi" w:cstheme="minorHAnsi"/>
                <w:b/>
                <w:color w:val="FFFFFF"/>
                <w:sz w:val="20"/>
                <w:szCs w:val="20"/>
              </w:rPr>
              <w:t>days</w:t>
            </w:r>
            <w:r w:rsidRPr="00C341F8">
              <w:rPr>
                <w:rFonts w:asciiTheme="minorHAnsi" w:hAnsiTheme="minorHAnsi" w:cstheme="minorHAnsi"/>
                <w:b/>
                <w:color w:val="FFFFFF"/>
                <w:spacing w:val="-3"/>
                <w:sz w:val="20"/>
                <w:szCs w:val="20"/>
              </w:rPr>
              <w:t xml:space="preserve"> </w:t>
            </w:r>
            <w:r w:rsidRPr="00C341F8">
              <w:rPr>
                <w:rFonts w:asciiTheme="minorHAnsi" w:hAnsiTheme="minorHAnsi" w:cstheme="minorHAnsi"/>
                <w:b/>
                <w:color w:val="FFFFFF"/>
                <w:sz w:val="20"/>
                <w:szCs w:val="20"/>
              </w:rPr>
              <w:t>for</w:t>
            </w:r>
            <w:r w:rsidRPr="00C341F8">
              <w:rPr>
                <w:rFonts w:asciiTheme="minorHAnsi" w:hAnsiTheme="minorHAnsi" w:cstheme="minorHAnsi"/>
                <w:b/>
                <w:color w:val="FFFFFF"/>
                <w:spacing w:val="-3"/>
                <w:sz w:val="20"/>
                <w:szCs w:val="20"/>
              </w:rPr>
              <w:t xml:space="preserve"> </w:t>
            </w:r>
            <w:r w:rsidRPr="00C341F8">
              <w:rPr>
                <w:rFonts w:asciiTheme="minorHAnsi" w:hAnsiTheme="minorHAnsi" w:cstheme="minorHAnsi"/>
                <w:b/>
                <w:color w:val="FFFFFF"/>
                <w:sz w:val="20"/>
                <w:szCs w:val="20"/>
              </w:rPr>
              <w:t>the</w:t>
            </w:r>
            <w:r w:rsidRPr="00C341F8">
              <w:rPr>
                <w:rFonts w:asciiTheme="minorHAnsi" w:hAnsiTheme="minorHAnsi" w:cstheme="minorHAnsi"/>
                <w:b/>
                <w:color w:val="FFFFFF"/>
                <w:spacing w:val="-3"/>
                <w:sz w:val="20"/>
                <w:szCs w:val="20"/>
              </w:rPr>
              <w:t xml:space="preserve"> </w:t>
            </w:r>
            <w:r w:rsidRPr="00C341F8">
              <w:rPr>
                <w:rFonts w:asciiTheme="minorHAnsi" w:hAnsiTheme="minorHAnsi" w:cstheme="minorHAnsi"/>
                <w:b/>
                <w:color w:val="FFFFFF"/>
                <w:sz w:val="20"/>
                <w:szCs w:val="20"/>
              </w:rPr>
              <w:t>evaluation</w:t>
            </w:r>
          </w:p>
        </w:tc>
        <w:tc>
          <w:tcPr>
            <w:tcW w:w="1112" w:type="dxa"/>
            <w:tcBorders>
              <w:bottom w:val="nil"/>
            </w:tcBorders>
            <w:shd w:val="clear" w:color="auto" w:fill="175261"/>
            <w:vAlign w:val="center"/>
          </w:tcPr>
          <w:p w14:paraId="2310E606" w14:textId="77777777" w:rsidR="00A4310A" w:rsidRPr="00C341F8" w:rsidRDefault="00A4310A" w:rsidP="002D232A">
            <w:pPr>
              <w:pStyle w:val="TableParagraph"/>
              <w:spacing w:line="264" w:lineRule="auto"/>
              <w:ind w:left="102"/>
              <w:jc w:val="center"/>
              <w:rPr>
                <w:rFonts w:asciiTheme="minorHAnsi" w:hAnsiTheme="minorHAnsi" w:cstheme="minorHAnsi"/>
                <w:b/>
                <w:sz w:val="20"/>
                <w:szCs w:val="20"/>
              </w:rPr>
            </w:pPr>
            <w:r>
              <w:rPr>
                <w:rFonts w:asciiTheme="minorHAnsi" w:hAnsiTheme="minorHAnsi" w:cstheme="minorHAnsi"/>
                <w:b/>
                <w:color w:val="FFFFFF"/>
                <w:sz w:val="20"/>
                <w:szCs w:val="20"/>
              </w:rPr>
              <w:t>18</w:t>
            </w:r>
          </w:p>
        </w:tc>
        <w:tc>
          <w:tcPr>
            <w:tcW w:w="1842" w:type="dxa"/>
            <w:tcBorders>
              <w:bottom w:val="nil"/>
            </w:tcBorders>
            <w:shd w:val="clear" w:color="auto" w:fill="175261"/>
            <w:vAlign w:val="center"/>
          </w:tcPr>
          <w:p w14:paraId="5A55275B" w14:textId="77777777" w:rsidR="00A4310A" w:rsidRPr="00C341F8" w:rsidRDefault="00A4310A" w:rsidP="002D232A">
            <w:pPr>
              <w:pStyle w:val="TableParagraph"/>
              <w:spacing w:line="264" w:lineRule="auto"/>
              <w:ind w:left="0"/>
              <w:rPr>
                <w:rFonts w:asciiTheme="minorHAnsi" w:hAnsiTheme="minorHAnsi" w:cstheme="minorHAnsi"/>
                <w:sz w:val="20"/>
                <w:szCs w:val="20"/>
              </w:rPr>
            </w:pPr>
          </w:p>
        </w:tc>
        <w:tc>
          <w:tcPr>
            <w:tcW w:w="1440" w:type="dxa"/>
            <w:tcBorders>
              <w:bottom w:val="nil"/>
            </w:tcBorders>
            <w:shd w:val="clear" w:color="auto" w:fill="175261"/>
            <w:vAlign w:val="center"/>
          </w:tcPr>
          <w:p w14:paraId="0FD3AA39" w14:textId="77777777" w:rsidR="00A4310A" w:rsidRPr="00C341F8" w:rsidRDefault="00A4310A" w:rsidP="002D232A">
            <w:pPr>
              <w:pStyle w:val="TableParagraph"/>
              <w:spacing w:line="264" w:lineRule="auto"/>
              <w:ind w:left="0"/>
              <w:rPr>
                <w:rFonts w:asciiTheme="minorHAnsi" w:hAnsiTheme="minorHAnsi" w:cstheme="minorHAnsi"/>
                <w:sz w:val="20"/>
                <w:szCs w:val="20"/>
              </w:rPr>
            </w:pPr>
          </w:p>
        </w:tc>
        <w:tc>
          <w:tcPr>
            <w:tcW w:w="2321" w:type="dxa"/>
            <w:tcBorders>
              <w:bottom w:val="nil"/>
              <w:right w:val="nil"/>
            </w:tcBorders>
            <w:shd w:val="clear" w:color="auto" w:fill="175261"/>
            <w:vAlign w:val="center"/>
          </w:tcPr>
          <w:p w14:paraId="46361038" w14:textId="77777777" w:rsidR="00A4310A" w:rsidRPr="00C341F8" w:rsidRDefault="00A4310A" w:rsidP="002D232A">
            <w:pPr>
              <w:pStyle w:val="TableParagraph"/>
              <w:spacing w:line="264" w:lineRule="auto"/>
              <w:ind w:left="0"/>
              <w:rPr>
                <w:rFonts w:asciiTheme="minorHAnsi" w:hAnsiTheme="minorHAnsi" w:cstheme="minorHAnsi"/>
                <w:sz w:val="20"/>
                <w:szCs w:val="20"/>
              </w:rPr>
            </w:pPr>
          </w:p>
        </w:tc>
      </w:tr>
    </w:tbl>
    <w:p w14:paraId="2CE319A9" w14:textId="7EC104D9" w:rsidR="009137D6" w:rsidRDefault="009137D6" w:rsidP="00A4310A">
      <w:pPr>
        <w:rPr>
          <w:lang w:val="en-US" w:eastAsia="en-GB"/>
        </w:rPr>
      </w:pPr>
      <w:r>
        <w:rPr>
          <w:lang w:val="en-US" w:eastAsia="en-GB"/>
        </w:rPr>
        <w:br/>
      </w:r>
      <w:r>
        <w:rPr>
          <w:lang w:val="en-US" w:eastAsia="en-GB"/>
        </w:rPr>
        <w:br/>
      </w:r>
    </w:p>
    <w:p w14:paraId="4DE400AD" w14:textId="77777777" w:rsidR="009137D6" w:rsidRDefault="009137D6">
      <w:pPr>
        <w:jc w:val="left"/>
        <w:rPr>
          <w:lang w:val="en-US" w:eastAsia="en-GB"/>
        </w:rPr>
      </w:pPr>
      <w:r>
        <w:rPr>
          <w:lang w:val="en-US" w:eastAsia="en-GB"/>
        </w:rPr>
        <w:br w:type="page"/>
      </w:r>
    </w:p>
    <w:p w14:paraId="52208C93" w14:textId="11CF31FD" w:rsidR="009137D6" w:rsidRPr="009137D6" w:rsidRDefault="009137D6" w:rsidP="009137D6">
      <w:pPr>
        <w:pStyle w:val="Heading2"/>
        <w:rPr>
          <w:szCs w:val="22"/>
        </w:rPr>
      </w:pPr>
      <w:bookmarkStart w:id="74" w:name="_Toc155599403"/>
      <w:r>
        <w:lastRenderedPageBreak/>
        <w:t>Annex 3</w:t>
      </w:r>
      <w:bookmarkEnd w:id="74"/>
    </w:p>
    <w:p w14:paraId="45BDB8E5" w14:textId="77777777" w:rsidR="009137D6" w:rsidRDefault="009137D6" w:rsidP="009137D6">
      <w:pPr>
        <w:jc w:val="center"/>
        <w:rPr>
          <w:b/>
          <w:bCs/>
          <w:sz w:val="28"/>
          <w:szCs w:val="28"/>
        </w:rPr>
      </w:pPr>
      <w:r w:rsidRPr="00E83C2A">
        <w:rPr>
          <w:b/>
          <w:bCs/>
          <w:sz w:val="28"/>
          <w:szCs w:val="28"/>
        </w:rPr>
        <w:t>List of individuals interviewed for the CBLLL evaluation</w:t>
      </w:r>
    </w:p>
    <w:p w14:paraId="4E04D454" w14:textId="77777777" w:rsidR="009137D6" w:rsidRPr="00E83C2A" w:rsidRDefault="009137D6" w:rsidP="009137D6">
      <w:pPr>
        <w:jc w:val="center"/>
        <w:rPr>
          <w:b/>
          <w:bCs/>
          <w:sz w:val="28"/>
          <w:szCs w:val="28"/>
        </w:rPr>
      </w:pPr>
    </w:p>
    <w:tbl>
      <w:tblPr>
        <w:tblW w:w="9776" w:type="dxa"/>
        <w:tblBorders>
          <w:top w:val="single" w:sz="4" w:space="0" w:color="5B9BD5"/>
          <w:left w:val="single" w:sz="4" w:space="0" w:color="5B9BD5"/>
          <w:bottom w:val="single" w:sz="4" w:space="0" w:color="5B9BD5"/>
          <w:right w:val="single" w:sz="4" w:space="0" w:color="5B9BD5"/>
          <w:insideH w:val="single" w:sz="4" w:space="0" w:color="auto"/>
          <w:insideV w:val="single" w:sz="4" w:space="0" w:color="auto"/>
        </w:tblBorders>
        <w:tblLook w:val="04A0" w:firstRow="1" w:lastRow="0" w:firstColumn="1" w:lastColumn="0" w:noHBand="0" w:noVBand="1"/>
      </w:tblPr>
      <w:tblGrid>
        <w:gridCol w:w="1667"/>
        <w:gridCol w:w="2345"/>
        <w:gridCol w:w="378"/>
        <w:gridCol w:w="5386"/>
      </w:tblGrid>
      <w:tr w:rsidR="009137D6" w:rsidRPr="00362BA7" w14:paraId="7DAEF4E9" w14:textId="77777777" w:rsidTr="009137D6">
        <w:tc>
          <w:tcPr>
            <w:tcW w:w="1667" w:type="dxa"/>
          </w:tcPr>
          <w:p w14:paraId="1A6B0CB3" w14:textId="77777777" w:rsidR="009137D6" w:rsidRPr="00362BA7" w:rsidRDefault="009137D6" w:rsidP="0046482D">
            <w:pPr>
              <w:spacing w:after="160" w:line="259" w:lineRule="auto"/>
              <w:rPr>
                <w:b/>
                <w:bCs/>
                <w:sz w:val="22"/>
              </w:rPr>
            </w:pPr>
          </w:p>
        </w:tc>
        <w:tc>
          <w:tcPr>
            <w:tcW w:w="2723" w:type="dxa"/>
            <w:gridSpan w:val="2"/>
          </w:tcPr>
          <w:p w14:paraId="17D2EAE6" w14:textId="77777777" w:rsidR="009137D6" w:rsidRPr="00362BA7" w:rsidRDefault="009137D6" w:rsidP="0046482D">
            <w:pPr>
              <w:spacing w:after="160" w:line="259" w:lineRule="auto"/>
              <w:rPr>
                <w:b/>
                <w:bCs/>
                <w:sz w:val="22"/>
              </w:rPr>
            </w:pPr>
            <w:r w:rsidRPr="00362BA7">
              <w:rPr>
                <w:b/>
                <w:bCs/>
                <w:sz w:val="22"/>
              </w:rPr>
              <w:t>Name</w:t>
            </w:r>
          </w:p>
        </w:tc>
        <w:tc>
          <w:tcPr>
            <w:tcW w:w="5386" w:type="dxa"/>
          </w:tcPr>
          <w:p w14:paraId="118A320E" w14:textId="77777777" w:rsidR="009137D6" w:rsidRPr="00362BA7" w:rsidRDefault="009137D6" w:rsidP="0046482D">
            <w:pPr>
              <w:spacing w:after="160" w:line="259" w:lineRule="auto"/>
              <w:rPr>
                <w:b/>
                <w:bCs/>
                <w:sz w:val="22"/>
              </w:rPr>
            </w:pPr>
            <w:r w:rsidRPr="00362BA7">
              <w:rPr>
                <w:b/>
                <w:bCs/>
                <w:sz w:val="22"/>
              </w:rPr>
              <w:t>Affiliation</w:t>
            </w:r>
          </w:p>
        </w:tc>
      </w:tr>
      <w:tr w:rsidR="009137D6" w:rsidRPr="00362BA7" w14:paraId="7B9F5A57" w14:textId="77777777" w:rsidTr="009137D6">
        <w:trPr>
          <w:gridAfter w:val="2"/>
          <w:wAfter w:w="5764" w:type="dxa"/>
        </w:trPr>
        <w:tc>
          <w:tcPr>
            <w:tcW w:w="4012" w:type="dxa"/>
            <w:gridSpan w:val="2"/>
          </w:tcPr>
          <w:p w14:paraId="3BF686D5" w14:textId="77777777" w:rsidR="009137D6" w:rsidRPr="00362BA7" w:rsidRDefault="009137D6" w:rsidP="0046482D">
            <w:pPr>
              <w:spacing w:after="160" w:line="259" w:lineRule="auto"/>
              <w:rPr>
                <w:b/>
                <w:bCs/>
                <w:sz w:val="22"/>
              </w:rPr>
            </w:pPr>
            <w:r w:rsidRPr="00362BA7">
              <w:rPr>
                <w:b/>
                <w:bCs/>
                <w:sz w:val="22"/>
              </w:rPr>
              <w:t>Donors</w:t>
            </w:r>
          </w:p>
        </w:tc>
      </w:tr>
      <w:tr w:rsidR="009137D6" w:rsidRPr="00362BA7" w14:paraId="3BD26CB1" w14:textId="77777777" w:rsidTr="009137D6">
        <w:tc>
          <w:tcPr>
            <w:tcW w:w="1667" w:type="dxa"/>
          </w:tcPr>
          <w:p w14:paraId="2B59A7F4" w14:textId="77777777" w:rsidR="001B6808" w:rsidRPr="00362BA7" w:rsidRDefault="001B6808" w:rsidP="006031BF">
            <w:pPr>
              <w:numPr>
                <w:ilvl w:val="0"/>
                <w:numId w:val="20"/>
              </w:numPr>
              <w:spacing w:after="160" w:line="259" w:lineRule="auto"/>
              <w:jc w:val="left"/>
              <w:rPr>
                <w:b/>
                <w:bCs/>
                <w:sz w:val="22"/>
              </w:rPr>
            </w:pPr>
          </w:p>
        </w:tc>
        <w:tc>
          <w:tcPr>
            <w:tcW w:w="2723" w:type="dxa"/>
            <w:gridSpan w:val="2"/>
          </w:tcPr>
          <w:p w14:paraId="298D084B" w14:textId="77777777" w:rsidR="009137D6" w:rsidRPr="00362BA7" w:rsidRDefault="009137D6" w:rsidP="0046482D">
            <w:pPr>
              <w:spacing w:after="160" w:line="259" w:lineRule="auto"/>
              <w:rPr>
                <w:b/>
                <w:bCs/>
                <w:sz w:val="22"/>
              </w:rPr>
            </w:pPr>
            <w:r w:rsidRPr="00362BA7">
              <w:rPr>
                <w:b/>
                <w:bCs/>
                <w:sz w:val="22"/>
              </w:rPr>
              <w:t xml:space="preserve"> </w:t>
            </w:r>
            <w:r w:rsidRPr="00362BA7">
              <w:rPr>
                <w:b/>
                <w:bCs/>
                <w:sz w:val="22"/>
                <w:lang w:val="ka-GE"/>
              </w:rPr>
              <w:t>Ms N</w:t>
            </w:r>
            <w:r w:rsidRPr="00362BA7">
              <w:rPr>
                <w:b/>
                <w:bCs/>
                <w:sz w:val="22"/>
              </w:rPr>
              <w:t>ika Kochishvili</w:t>
            </w:r>
          </w:p>
        </w:tc>
        <w:tc>
          <w:tcPr>
            <w:tcW w:w="5386" w:type="dxa"/>
          </w:tcPr>
          <w:p w14:paraId="2283F81E" w14:textId="77777777" w:rsidR="009137D6" w:rsidRPr="00362BA7" w:rsidRDefault="009137D6" w:rsidP="0046482D">
            <w:pPr>
              <w:spacing w:after="160" w:line="259" w:lineRule="auto"/>
              <w:rPr>
                <w:b/>
                <w:bCs/>
                <w:sz w:val="22"/>
              </w:rPr>
            </w:pPr>
            <w:r w:rsidRPr="00362BA7">
              <w:rPr>
                <w:b/>
                <w:bCs/>
                <w:sz w:val="22"/>
              </w:rPr>
              <w:t>Programme Manager, EU</w:t>
            </w:r>
          </w:p>
        </w:tc>
      </w:tr>
      <w:tr w:rsidR="009137D6" w:rsidRPr="00362BA7" w14:paraId="6AB0F612" w14:textId="77777777" w:rsidTr="009137D6">
        <w:tc>
          <w:tcPr>
            <w:tcW w:w="1667" w:type="dxa"/>
          </w:tcPr>
          <w:p w14:paraId="12A09B52" w14:textId="77777777" w:rsidR="001B6808" w:rsidRPr="00362BA7" w:rsidRDefault="001B6808" w:rsidP="006031BF">
            <w:pPr>
              <w:numPr>
                <w:ilvl w:val="0"/>
                <w:numId w:val="20"/>
              </w:numPr>
              <w:spacing w:after="160" w:line="259" w:lineRule="auto"/>
              <w:jc w:val="left"/>
              <w:rPr>
                <w:b/>
                <w:bCs/>
                <w:sz w:val="22"/>
              </w:rPr>
            </w:pPr>
          </w:p>
        </w:tc>
        <w:tc>
          <w:tcPr>
            <w:tcW w:w="2723" w:type="dxa"/>
            <w:gridSpan w:val="2"/>
          </w:tcPr>
          <w:p w14:paraId="3673442C" w14:textId="77777777" w:rsidR="009137D6" w:rsidRPr="00362BA7" w:rsidRDefault="009137D6" w:rsidP="0046482D">
            <w:pPr>
              <w:spacing w:after="160" w:line="259" w:lineRule="auto"/>
              <w:rPr>
                <w:b/>
                <w:bCs/>
                <w:sz w:val="22"/>
              </w:rPr>
            </w:pPr>
            <w:r w:rsidRPr="00362BA7">
              <w:rPr>
                <w:b/>
                <w:bCs/>
                <w:sz w:val="22"/>
              </w:rPr>
              <w:t>Marine Mizandari</w:t>
            </w:r>
          </w:p>
        </w:tc>
        <w:tc>
          <w:tcPr>
            <w:tcW w:w="5386" w:type="dxa"/>
          </w:tcPr>
          <w:p w14:paraId="7F0B2C57" w14:textId="77777777" w:rsidR="009137D6" w:rsidRPr="00362BA7" w:rsidRDefault="009137D6" w:rsidP="0046482D">
            <w:pPr>
              <w:spacing w:after="160" w:line="259" w:lineRule="auto"/>
              <w:rPr>
                <w:b/>
                <w:bCs/>
                <w:sz w:val="22"/>
              </w:rPr>
            </w:pPr>
            <w:r w:rsidRPr="00362BA7">
              <w:rPr>
                <w:b/>
                <w:bCs/>
                <w:sz w:val="22"/>
              </w:rPr>
              <w:t>Grants Scheme Expert, EU</w:t>
            </w:r>
          </w:p>
        </w:tc>
      </w:tr>
      <w:tr w:rsidR="009137D6" w:rsidRPr="00362BA7" w14:paraId="36CCF23C" w14:textId="77777777" w:rsidTr="009137D6">
        <w:trPr>
          <w:gridAfter w:val="2"/>
          <w:wAfter w:w="5764" w:type="dxa"/>
        </w:trPr>
        <w:tc>
          <w:tcPr>
            <w:tcW w:w="4012" w:type="dxa"/>
            <w:gridSpan w:val="2"/>
          </w:tcPr>
          <w:p w14:paraId="21DD031B" w14:textId="77777777" w:rsidR="001B6808" w:rsidRPr="00362BA7" w:rsidRDefault="00000000" w:rsidP="0046482D">
            <w:pPr>
              <w:spacing w:after="160" w:line="259" w:lineRule="auto"/>
              <w:rPr>
                <w:b/>
                <w:bCs/>
                <w:sz w:val="22"/>
              </w:rPr>
            </w:pPr>
            <w:r w:rsidRPr="00362BA7">
              <w:rPr>
                <w:b/>
                <w:bCs/>
                <w:sz w:val="22"/>
              </w:rPr>
              <w:t>Local and national authorities</w:t>
            </w:r>
          </w:p>
        </w:tc>
      </w:tr>
      <w:tr w:rsidR="009137D6" w:rsidRPr="00362BA7" w14:paraId="35C62BAC" w14:textId="77777777" w:rsidTr="009137D6">
        <w:tc>
          <w:tcPr>
            <w:tcW w:w="1667" w:type="dxa"/>
          </w:tcPr>
          <w:p w14:paraId="6F75AFF3" w14:textId="77777777" w:rsidR="001B6808" w:rsidRPr="00362BA7" w:rsidRDefault="001B6808" w:rsidP="006031BF">
            <w:pPr>
              <w:numPr>
                <w:ilvl w:val="0"/>
                <w:numId w:val="20"/>
              </w:numPr>
              <w:spacing w:after="160" w:line="259" w:lineRule="auto"/>
              <w:jc w:val="left"/>
              <w:rPr>
                <w:b/>
                <w:bCs/>
                <w:sz w:val="22"/>
              </w:rPr>
            </w:pPr>
          </w:p>
        </w:tc>
        <w:tc>
          <w:tcPr>
            <w:tcW w:w="2723" w:type="dxa"/>
            <w:gridSpan w:val="2"/>
          </w:tcPr>
          <w:p w14:paraId="10EBFA69" w14:textId="77777777" w:rsidR="009137D6" w:rsidRPr="00362BA7" w:rsidRDefault="009137D6" w:rsidP="0046482D">
            <w:pPr>
              <w:spacing w:after="160" w:line="259" w:lineRule="auto"/>
              <w:rPr>
                <w:b/>
                <w:bCs/>
                <w:sz w:val="22"/>
              </w:rPr>
            </w:pPr>
            <w:r w:rsidRPr="00362BA7">
              <w:rPr>
                <w:b/>
                <w:bCs/>
                <w:sz w:val="22"/>
              </w:rPr>
              <w:t>Ms Tamar Kvinikadze</w:t>
            </w:r>
          </w:p>
        </w:tc>
        <w:tc>
          <w:tcPr>
            <w:tcW w:w="5386" w:type="dxa"/>
          </w:tcPr>
          <w:p w14:paraId="47F24ECF" w14:textId="77777777" w:rsidR="009137D6" w:rsidRPr="00362BA7" w:rsidRDefault="009137D6" w:rsidP="0046482D">
            <w:pPr>
              <w:spacing w:after="160" w:line="259" w:lineRule="auto"/>
              <w:rPr>
                <w:b/>
                <w:bCs/>
                <w:sz w:val="22"/>
              </w:rPr>
            </w:pPr>
            <w:r w:rsidRPr="00362BA7">
              <w:rPr>
                <w:b/>
                <w:bCs/>
                <w:sz w:val="22"/>
              </w:rPr>
              <w:t>Ministry of Education and science, Head of Department of Vocational Education</w:t>
            </w:r>
          </w:p>
        </w:tc>
      </w:tr>
      <w:tr w:rsidR="009137D6" w:rsidRPr="00362BA7" w14:paraId="203378BD" w14:textId="77777777" w:rsidTr="009137D6">
        <w:tc>
          <w:tcPr>
            <w:tcW w:w="1667" w:type="dxa"/>
          </w:tcPr>
          <w:p w14:paraId="0E864279" w14:textId="77777777" w:rsidR="001B6808" w:rsidRPr="00362BA7" w:rsidRDefault="001B6808" w:rsidP="006031BF">
            <w:pPr>
              <w:numPr>
                <w:ilvl w:val="0"/>
                <w:numId w:val="20"/>
              </w:numPr>
              <w:spacing w:after="160" w:line="259" w:lineRule="auto"/>
              <w:jc w:val="left"/>
              <w:rPr>
                <w:b/>
                <w:bCs/>
                <w:sz w:val="22"/>
              </w:rPr>
            </w:pPr>
          </w:p>
        </w:tc>
        <w:tc>
          <w:tcPr>
            <w:tcW w:w="2723" w:type="dxa"/>
            <w:gridSpan w:val="2"/>
          </w:tcPr>
          <w:p w14:paraId="4FB0DF64" w14:textId="77777777" w:rsidR="009137D6" w:rsidRPr="00362BA7" w:rsidRDefault="009137D6" w:rsidP="0046482D">
            <w:pPr>
              <w:spacing w:after="160" w:line="259" w:lineRule="auto"/>
              <w:rPr>
                <w:b/>
                <w:bCs/>
                <w:sz w:val="22"/>
              </w:rPr>
            </w:pPr>
            <w:r w:rsidRPr="00362BA7">
              <w:rPr>
                <w:b/>
                <w:bCs/>
                <w:sz w:val="22"/>
              </w:rPr>
              <w:t>Ms Tamar Kitiashvili</w:t>
            </w:r>
          </w:p>
        </w:tc>
        <w:tc>
          <w:tcPr>
            <w:tcW w:w="5386" w:type="dxa"/>
          </w:tcPr>
          <w:p w14:paraId="4F76EB73" w14:textId="77777777" w:rsidR="009137D6" w:rsidRPr="00362BA7" w:rsidRDefault="009137D6" w:rsidP="0046482D">
            <w:pPr>
              <w:spacing w:after="160" w:line="259" w:lineRule="auto"/>
              <w:rPr>
                <w:b/>
                <w:bCs/>
                <w:sz w:val="22"/>
              </w:rPr>
            </w:pPr>
            <w:r w:rsidRPr="00362BA7">
              <w:rPr>
                <w:b/>
                <w:bCs/>
                <w:sz w:val="22"/>
              </w:rPr>
              <w:t>Skills Agency, Executive Director</w:t>
            </w:r>
          </w:p>
        </w:tc>
      </w:tr>
      <w:tr w:rsidR="009137D6" w:rsidRPr="00362BA7" w14:paraId="3D905AFC" w14:textId="77777777" w:rsidTr="009137D6">
        <w:tc>
          <w:tcPr>
            <w:tcW w:w="1667" w:type="dxa"/>
          </w:tcPr>
          <w:p w14:paraId="71ABBBF4" w14:textId="77777777" w:rsidR="001B6808" w:rsidRPr="00362BA7" w:rsidRDefault="001B6808" w:rsidP="006031BF">
            <w:pPr>
              <w:numPr>
                <w:ilvl w:val="0"/>
                <w:numId w:val="20"/>
              </w:numPr>
              <w:spacing w:after="160" w:line="259" w:lineRule="auto"/>
              <w:jc w:val="left"/>
              <w:rPr>
                <w:b/>
                <w:bCs/>
                <w:sz w:val="22"/>
              </w:rPr>
            </w:pPr>
          </w:p>
        </w:tc>
        <w:tc>
          <w:tcPr>
            <w:tcW w:w="2723" w:type="dxa"/>
            <w:gridSpan w:val="2"/>
          </w:tcPr>
          <w:p w14:paraId="645682EA" w14:textId="77777777" w:rsidR="009137D6" w:rsidRPr="00362BA7" w:rsidRDefault="009137D6" w:rsidP="0046482D">
            <w:pPr>
              <w:spacing w:after="160" w:line="259" w:lineRule="auto"/>
              <w:rPr>
                <w:b/>
                <w:bCs/>
                <w:sz w:val="22"/>
              </w:rPr>
            </w:pPr>
            <w:r w:rsidRPr="00362BA7">
              <w:rPr>
                <w:b/>
                <w:bCs/>
                <w:sz w:val="22"/>
              </w:rPr>
              <w:t>Mikheil Daghundaridze</w:t>
            </w:r>
          </w:p>
        </w:tc>
        <w:tc>
          <w:tcPr>
            <w:tcW w:w="5386" w:type="dxa"/>
          </w:tcPr>
          <w:p w14:paraId="65E92DD6" w14:textId="77777777" w:rsidR="009137D6" w:rsidRPr="00362BA7" w:rsidRDefault="009137D6" w:rsidP="0046482D">
            <w:pPr>
              <w:spacing w:after="160" w:line="259" w:lineRule="auto"/>
              <w:rPr>
                <w:b/>
                <w:bCs/>
                <w:sz w:val="22"/>
              </w:rPr>
            </w:pPr>
            <w:r w:rsidRPr="00362BA7">
              <w:rPr>
                <w:b/>
                <w:bCs/>
                <w:sz w:val="22"/>
              </w:rPr>
              <w:t xml:space="preserve">Telavi, Deputy Head of Municipal Council </w:t>
            </w:r>
          </w:p>
        </w:tc>
      </w:tr>
      <w:tr w:rsidR="009137D6" w:rsidRPr="00362BA7" w14:paraId="01AFCAAD" w14:textId="77777777" w:rsidTr="009137D6">
        <w:tc>
          <w:tcPr>
            <w:tcW w:w="1667" w:type="dxa"/>
          </w:tcPr>
          <w:p w14:paraId="65FF5321" w14:textId="77777777" w:rsidR="001B6808" w:rsidRPr="00362BA7" w:rsidRDefault="001B6808" w:rsidP="006031BF">
            <w:pPr>
              <w:numPr>
                <w:ilvl w:val="0"/>
                <w:numId w:val="20"/>
              </w:numPr>
              <w:spacing w:after="160" w:line="259" w:lineRule="auto"/>
              <w:jc w:val="left"/>
              <w:rPr>
                <w:b/>
                <w:bCs/>
                <w:sz w:val="22"/>
              </w:rPr>
            </w:pPr>
          </w:p>
        </w:tc>
        <w:tc>
          <w:tcPr>
            <w:tcW w:w="2723" w:type="dxa"/>
            <w:gridSpan w:val="2"/>
          </w:tcPr>
          <w:p w14:paraId="0F25142C" w14:textId="77777777" w:rsidR="009137D6" w:rsidRPr="00362BA7" w:rsidRDefault="009137D6" w:rsidP="0046482D">
            <w:pPr>
              <w:spacing w:after="160" w:line="259" w:lineRule="auto"/>
              <w:rPr>
                <w:b/>
                <w:bCs/>
                <w:sz w:val="22"/>
              </w:rPr>
            </w:pPr>
            <w:r w:rsidRPr="00362BA7">
              <w:rPr>
                <w:b/>
                <w:bCs/>
                <w:sz w:val="22"/>
                <w:lang w:val="hr-HR"/>
              </w:rPr>
              <w:t xml:space="preserve">Paata Gurgenidze </w:t>
            </w:r>
          </w:p>
        </w:tc>
        <w:tc>
          <w:tcPr>
            <w:tcW w:w="5386" w:type="dxa"/>
          </w:tcPr>
          <w:p w14:paraId="1C83A724" w14:textId="77777777" w:rsidR="009137D6" w:rsidRPr="00362BA7" w:rsidRDefault="009137D6" w:rsidP="0046482D">
            <w:pPr>
              <w:spacing w:after="160" w:line="259" w:lineRule="auto"/>
              <w:rPr>
                <w:b/>
                <w:bCs/>
                <w:sz w:val="22"/>
              </w:rPr>
            </w:pPr>
            <w:r w:rsidRPr="00362BA7">
              <w:rPr>
                <w:b/>
                <w:bCs/>
                <w:sz w:val="22"/>
              </w:rPr>
              <w:t>Youth Agency</w:t>
            </w:r>
          </w:p>
        </w:tc>
      </w:tr>
      <w:tr w:rsidR="009137D6" w:rsidRPr="00362BA7" w14:paraId="054838FC" w14:textId="77777777" w:rsidTr="009137D6">
        <w:trPr>
          <w:gridAfter w:val="2"/>
          <w:wAfter w:w="5764" w:type="dxa"/>
        </w:trPr>
        <w:tc>
          <w:tcPr>
            <w:tcW w:w="4012" w:type="dxa"/>
            <w:gridSpan w:val="2"/>
          </w:tcPr>
          <w:p w14:paraId="4FFF03F9" w14:textId="77777777" w:rsidR="001B6808" w:rsidRPr="00362BA7" w:rsidRDefault="00000000" w:rsidP="0046482D">
            <w:pPr>
              <w:spacing w:after="160" w:line="259" w:lineRule="auto"/>
              <w:rPr>
                <w:b/>
                <w:bCs/>
                <w:sz w:val="22"/>
              </w:rPr>
            </w:pPr>
            <w:r w:rsidRPr="00362BA7">
              <w:rPr>
                <w:b/>
                <w:bCs/>
                <w:sz w:val="22"/>
              </w:rPr>
              <w:t>U</w:t>
            </w:r>
            <w:r w:rsidRPr="00362BA7">
              <w:rPr>
                <w:b/>
                <w:bCs/>
                <w:sz w:val="22"/>
                <w:lang w:val="en-US"/>
              </w:rPr>
              <w:t>NDP Georgia Project Team</w:t>
            </w:r>
          </w:p>
        </w:tc>
      </w:tr>
      <w:tr w:rsidR="009137D6" w:rsidRPr="00362BA7" w14:paraId="06DDFE0A" w14:textId="77777777" w:rsidTr="009137D6">
        <w:tc>
          <w:tcPr>
            <w:tcW w:w="1667" w:type="dxa"/>
          </w:tcPr>
          <w:p w14:paraId="3EBED7A4" w14:textId="77777777" w:rsidR="001B6808" w:rsidRPr="00362BA7" w:rsidRDefault="001B6808" w:rsidP="006031BF">
            <w:pPr>
              <w:numPr>
                <w:ilvl w:val="0"/>
                <w:numId w:val="20"/>
              </w:numPr>
              <w:spacing w:after="160" w:line="259" w:lineRule="auto"/>
              <w:jc w:val="left"/>
              <w:rPr>
                <w:b/>
                <w:bCs/>
                <w:sz w:val="22"/>
              </w:rPr>
            </w:pPr>
          </w:p>
        </w:tc>
        <w:tc>
          <w:tcPr>
            <w:tcW w:w="2723" w:type="dxa"/>
            <w:gridSpan w:val="2"/>
          </w:tcPr>
          <w:p w14:paraId="3A637BFB" w14:textId="77777777" w:rsidR="009137D6" w:rsidRPr="00362BA7" w:rsidRDefault="009137D6" w:rsidP="0046482D">
            <w:pPr>
              <w:spacing w:after="160" w:line="259" w:lineRule="auto"/>
              <w:rPr>
                <w:b/>
                <w:bCs/>
                <w:sz w:val="22"/>
              </w:rPr>
            </w:pPr>
            <w:r w:rsidRPr="00362BA7">
              <w:rPr>
                <w:b/>
                <w:bCs/>
                <w:sz w:val="22"/>
              </w:rPr>
              <w:t>George Nanobashvili</w:t>
            </w:r>
          </w:p>
        </w:tc>
        <w:tc>
          <w:tcPr>
            <w:tcW w:w="5386" w:type="dxa"/>
          </w:tcPr>
          <w:p w14:paraId="15981804" w14:textId="77777777" w:rsidR="009137D6" w:rsidRPr="00362BA7" w:rsidRDefault="009137D6" w:rsidP="0046482D">
            <w:pPr>
              <w:spacing w:after="160" w:line="259" w:lineRule="auto"/>
              <w:rPr>
                <w:b/>
                <w:bCs/>
                <w:sz w:val="22"/>
              </w:rPr>
            </w:pPr>
            <w:r w:rsidRPr="00362BA7">
              <w:rPr>
                <w:b/>
                <w:bCs/>
                <w:sz w:val="22"/>
              </w:rPr>
              <w:t>Economic Development Team Leader, UNDP</w:t>
            </w:r>
          </w:p>
        </w:tc>
      </w:tr>
      <w:tr w:rsidR="009137D6" w:rsidRPr="00362BA7" w14:paraId="1284B10F" w14:textId="77777777" w:rsidTr="009137D6">
        <w:tc>
          <w:tcPr>
            <w:tcW w:w="1667" w:type="dxa"/>
          </w:tcPr>
          <w:p w14:paraId="0D677C09" w14:textId="77777777" w:rsidR="001B6808" w:rsidRPr="00362BA7" w:rsidRDefault="001B6808" w:rsidP="006031BF">
            <w:pPr>
              <w:numPr>
                <w:ilvl w:val="0"/>
                <w:numId w:val="20"/>
              </w:numPr>
              <w:spacing w:after="160" w:line="259" w:lineRule="auto"/>
              <w:jc w:val="left"/>
              <w:rPr>
                <w:b/>
                <w:bCs/>
                <w:sz w:val="22"/>
              </w:rPr>
            </w:pPr>
          </w:p>
        </w:tc>
        <w:tc>
          <w:tcPr>
            <w:tcW w:w="2723" w:type="dxa"/>
            <w:gridSpan w:val="2"/>
          </w:tcPr>
          <w:p w14:paraId="560E13CD" w14:textId="77777777" w:rsidR="009137D6" w:rsidRPr="00362BA7" w:rsidRDefault="009137D6" w:rsidP="0046482D">
            <w:pPr>
              <w:spacing w:after="160" w:line="259" w:lineRule="auto"/>
              <w:rPr>
                <w:b/>
                <w:bCs/>
                <w:sz w:val="22"/>
              </w:rPr>
            </w:pPr>
            <w:r w:rsidRPr="00362BA7">
              <w:rPr>
                <w:b/>
                <w:bCs/>
                <w:sz w:val="22"/>
              </w:rPr>
              <w:t>Natia Mzhavanadze</w:t>
            </w:r>
          </w:p>
        </w:tc>
        <w:tc>
          <w:tcPr>
            <w:tcW w:w="5386" w:type="dxa"/>
          </w:tcPr>
          <w:p w14:paraId="751A7197" w14:textId="77777777" w:rsidR="009137D6" w:rsidRPr="00362BA7" w:rsidRDefault="009137D6" w:rsidP="0046482D">
            <w:pPr>
              <w:spacing w:after="160" w:line="259" w:lineRule="auto"/>
              <w:rPr>
                <w:b/>
                <w:bCs/>
                <w:sz w:val="22"/>
              </w:rPr>
            </w:pPr>
            <w:r w:rsidRPr="00362BA7">
              <w:rPr>
                <w:b/>
                <w:bCs/>
                <w:sz w:val="22"/>
              </w:rPr>
              <w:t>Project Manager, UNDP</w:t>
            </w:r>
          </w:p>
        </w:tc>
      </w:tr>
      <w:tr w:rsidR="009137D6" w:rsidRPr="00362BA7" w14:paraId="5E7C68E8" w14:textId="77777777" w:rsidTr="009137D6">
        <w:tc>
          <w:tcPr>
            <w:tcW w:w="1667" w:type="dxa"/>
          </w:tcPr>
          <w:p w14:paraId="07894207" w14:textId="77777777" w:rsidR="001B6808" w:rsidRPr="00362BA7" w:rsidRDefault="001B6808" w:rsidP="006031BF">
            <w:pPr>
              <w:numPr>
                <w:ilvl w:val="0"/>
                <w:numId w:val="20"/>
              </w:numPr>
              <w:spacing w:after="160" w:line="259" w:lineRule="auto"/>
              <w:jc w:val="left"/>
              <w:rPr>
                <w:b/>
                <w:bCs/>
                <w:sz w:val="22"/>
              </w:rPr>
            </w:pPr>
          </w:p>
        </w:tc>
        <w:tc>
          <w:tcPr>
            <w:tcW w:w="2723" w:type="dxa"/>
            <w:gridSpan w:val="2"/>
          </w:tcPr>
          <w:p w14:paraId="37B6B526" w14:textId="77777777" w:rsidR="009137D6" w:rsidRPr="00362BA7" w:rsidRDefault="009137D6" w:rsidP="0046482D">
            <w:pPr>
              <w:spacing w:after="160" w:line="259" w:lineRule="auto"/>
              <w:rPr>
                <w:b/>
                <w:bCs/>
                <w:sz w:val="22"/>
              </w:rPr>
            </w:pPr>
            <w:r w:rsidRPr="00362BA7">
              <w:rPr>
                <w:b/>
                <w:bCs/>
                <w:sz w:val="22"/>
              </w:rPr>
              <w:t>Ms Khatuna Chanukvadze</w:t>
            </w:r>
          </w:p>
        </w:tc>
        <w:tc>
          <w:tcPr>
            <w:tcW w:w="5386" w:type="dxa"/>
          </w:tcPr>
          <w:p w14:paraId="77504BE4" w14:textId="77777777" w:rsidR="009137D6" w:rsidRPr="00362BA7" w:rsidRDefault="009137D6" w:rsidP="0046482D">
            <w:pPr>
              <w:spacing w:after="160" w:line="259" w:lineRule="auto"/>
              <w:rPr>
                <w:b/>
                <w:bCs/>
                <w:sz w:val="22"/>
              </w:rPr>
            </w:pPr>
            <w:r w:rsidRPr="00362BA7">
              <w:rPr>
                <w:b/>
                <w:bCs/>
                <w:sz w:val="22"/>
              </w:rPr>
              <w:t>M&amp;E Specialist, UNDP</w:t>
            </w:r>
          </w:p>
        </w:tc>
      </w:tr>
      <w:tr w:rsidR="009137D6" w:rsidRPr="00362BA7" w14:paraId="742378B1" w14:textId="77777777" w:rsidTr="009137D6">
        <w:tc>
          <w:tcPr>
            <w:tcW w:w="1667" w:type="dxa"/>
          </w:tcPr>
          <w:p w14:paraId="65D16884" w14:textId="77777777" w:rsidR="001B6808" w:rsidRPr="00362BA7" w:rsidRDefault="001B6808" w:rsidP="006031BF">
            <w:pPr>
              <w:numPr>
                <w:ilvl w:val="0"/>
                <w:numId w:val="20"/>
              </w:numPr>
              <w:spacing w:after="160" w:line="259" w:lineRule="auto"/>
              <w:jc w:val="left"/>
              <w:rPr>
                <w:b/>
                <w:bCs/>
                <w:sz w:val="22"/>
              </w:rPr>
            </w:pPr>
          </w:p>
        </w:tc>
        <w:tc>
          <w:tcPr>
            <w:tcW w:w="2723" w:type="dxa"/>
            <w:gridSpan w:val="2"/>
          </w:tcPr>
          <w:p w14:paraId="2DA380CC" w14:textId="77777777" w:rsidR="009137D6" w:rsidRPr="00362BA7" w:rsidRDefault="009137D6" w:rsidP="0046482D">
            <w:pPr>
              <w:spacing w:after="160" w:line="259" w:lineRule="auto"/>
              <w:rPr>
                <w:b/>
                <w:bCs/>
                <w:sz w:val="22"/>
              </w:rPr>
            </w:pPr>
            <w:r w:rsidRPr="00362BA7">
              <w:rPr>
                <w:b/>
                <w:bCs/>
                <w:sz w:val="22"/>
              </w:rPr>
              <w:t>Revaz Sakvarelidze</w:t>
            </w:r>
          </w:p>
        </w:tc>
        <w:tc>
          <w:tcPr>
            <w:tcW w:w="5386" w:type="dxa"/>
          </w:tcPr>
          <w:p w14:paraId="7490DAB6" w14:textId="77777777" w:rsidR="009137D6" w:rsidRPr="00362BA7" w:rsidRDefault="009137D6" w:rsidP="0046482D">
            <w:pPr>
              <w:spacing w:after="160" w:line="259" w:lineRule="auto"/>
              <w:rPr>
                <w:b/>
                <w:bCs/>
                <w:sz w:val="22"/>
              </w:rPr>
            </w:pPr>
            <w:r w:rsidRPr="00362BA7">
              <w:rPr>
                <w:b/>
                <w:bCs/>
                <w:sz w:val="22"/>
              </w:rPr>
              <w:t>VET consultant on the initial stage of the project</w:t>
            </w:r>
          </w:p>
        </w:tc>
      </w:tr>
      <w:tr w:rsidR="009137D6" w:rsidRPr="00362BA7" w14:paraId="295D2661" w14:textId="77777777" w:rsidTr="009137D6">
        <w:tc>
          <w:tcPr>
            <w:tcW w:w="1667" w:type="dxa"/>
          </w:tcPr>
          <w:p w14:paraId="0FDA12D1" w14:textId="77777777" w:rsidR="001B6808" w:rsidRPr="00362BA7" w:rsidRDefault="00000000" w:rsidP="0046482D">
            <w:pPr>
              <w:spacing w:after="160" w:line="259" w:lineRule="auto"/>
              <w:rPr>
                <w:b/>
                <w:bCs/>
                <w:sz w:val="22"/>
              </w:rPr>
            </w:pPr>
            <w:r w:rsidRPr="00362BA7">
              <w:rPr>
                <w:b/>
                <w:bCs/>
                <w:sz w:val="22"/>
              </w:rPr>
              <w:t>I</w:t>
            </w:r>
            <w:r w:rsidRPr="00362BA7">
              <w:rPr>
                <w:b/>
                <w:bCs/>
                <w:sz w:val="22"/>
                <w:lang w:val="en-US"/>
              </w:rPr>
              <w:t>mplementing partners</w:t>
            </w:r>
          </w:p>
        </w:tc>
        <w:tc>
          <w:tcPr>
            <w:tcW w:w="2723" w:type="dxa"/>
            <w:gridSpan w:val="2"/>
          </w:tcPr>
          <w:p w14:paraId="3C10A0C9" w14:textId="77777777" w:rsidR="009137D6" w:rsidRPr="00362BA7" w:rsidRDefault="009137D6" w:rsidP="0046482D">
            <w:pPr>
              <w:spacing w:after="160" w:line="259" w:lineRule="auto"/>
              <w:rPr>
                <w:b/>
                <w:bCs/>
                <w:sz w:val="22"/>
              </w:rPr>
            </w:pPr>
          </w:p>
        </w:tc>
        <w:tc>
          <w:tcPr>
            <w:tcW w:w="5386" w:type="dxa"/>
          </w:tcPr>
          <w:p w14:paraId="64F51616" w14:textId="77777777" w:rsidR="009137D6" w:rsidRPr="00362BA7" w:rsidRDefault="009137D6" w:rsidP="0046482D">
            <w:pPr>
              <w:spacing w:after="160" w:line="259" w:lineRule="auto"/>
              <w:rPr>
                <w:b/>
                <w:bCs/>
                <w:sz w:val="22"/>
              </w:rPr>
            </w:pPr>
          </w:p>
        </w:tc>
      </w:tr>
      <w:tr w:rsidR="009137D6" w:rsidRPr="00362BA7" w14:paraId="1D48BD03" w14:textId="77777777" w:rsidTr="009137D6">
        <w:tc>
          <w:tcPr>
            <w:tcW w:w="1667" w:type="dxa"/>
          </w:tcPr>
          <w:p w14:paraId="75962FA7" w14:textId="77777777" w:rsidR="001B6808" w:rsidRPr="00362BA7" w:rsidRDefault="001B6808" w:rsidP="006031BF">
            <w:pPr>
              <w:numPr>
                <w:ilvl w:val="0"/>
                <w:numId w:val="20"/>
              </w:numPr>
              <w:spacing w:after="160" w:line="259" w:lineRule="auto"/>
              <w:jc w:val="left"/>
              <w:rPr>
                <w:b/>
                <w:bCs/>
                <w:sz w:val="22"/>
              </w:rPr>
            </w:pPr>
          </w:p>
        </w:tc>
        <w:tc>
          <w:tcPr>
            <w:tcW w:w="2723" w:type="dxa"/>
            <w:gridSpan w:val="2"/>
          </w:tcPr>
          <w:p w14:paraId="1DAF0066" w14:textId="77777777" w:rsidR="009137D6" w:rsidRPr="00362BA7" w:rsidRDefault="009137D6" w:rsidP="0046482D">
            <w:pPr>
              <w:spacing w:after="160" w:line="259" w:lineRule="auto"/>
              <w:rPr>
                <w:b/>
                <w:bCs/>
                <w:sz w:val="22"/>
              </w:rPr>
            </w:pPr>
            <w:r w:rsidRPr="00362BA7">
              <w:rPr>
                <w:b/>
                <w:bCs/>
                <w:sz w:val="22"/>
              </w:rPr>
              <w:t>Ms Tamar Kitiashvili</w:t>
            </w:r>
          </w:p>
        </w:tc>
        <w:tc>
          <w:tcPr>
            <w:tcW w:w="5386" w:type="dxa"/>
          </w:tcPr>
          <w:p w14:paraId="5DAEFDBA" w14:textId="77777777" w:rsidR="009137D6" w:rsidRPr="00362BA7" w:rsidRDefault="009137D6" w:rsidP="0046482D">
            <w:pPr>
              <w:spacing w:after="160" w:line="259" w:lineRule="auto"/>
              <w:rPr>
                <w:b/>
                <w:bCs/>
                <w:sz w:val="22"/>
              </w:rPr>
            </w:pPr>
            <w:r w:rsidRPr="00362BA7">
              <w:rPr>
                <w:b/>
                <w:bCs/>
                <w:sz w:val="22"/>
              </w:rPr>
              <w:t>Skills Agency, Executive Director</w:t>
            </w:r>
          </w:p>
        </w:tc>
      </w:tr>
      <w:tr w:rsidR="009137D6" w:rsidRPr="00362BA7" w14:paraId="4CA3CD6A" w14:textId="77777777" w:rsidTr="009137D6">
        <w:tc>
          <w:tcPr>
            <w:tcW w:w="1667" w:type="dxa"/>
          </w:tcPr>
          <w:p w14:paraId="0A87D9E9" w14:textId="77777777" w:rsidR="001B6808" w:rsidRPr="00362BA7" w:rsidRDefault="001B6808" w:rsidP="006031BF">
            <w:pPr>
              <w:numPr>
                <w:ilvl w:val="0"/>
                <w:numId w:val="20"/>
              </w:numPr>
              <w:spacing w:after="160" w:line="259" w:lineRule="auto"/>
              <w:jc w:val="left"/>
              <w:rPr>
                <w:b/>
                <w:bCs/>
                <w:sz w:val="22"/>
              </w:rPr>
            </w:pPr>
          </w:p>
        </w:tc>
        <w:tc>
          <w:tcPr>
            <w:tcW w:w="2723" w:type="dxa"/>
            <w:gridSpan w:val="2"/>
          </w:tcPr>
          <w:p w14:paraId="18BF6D81" w14:textId="77777777" w:rsidR="009137D6" w:rsidRPr="00362BA7" w:rsidRDefault="009137D6" w:rsidP="0046482D">
            <w:pPr>
              <w:spacing w:after="160" w:line="259" w:lineRule="auto"/>
              <w:rPr>
                <w:b/>
                <w:bCs/>
                <w:sz w:val="22"/>
              </w:rPr>
            </w:pPr>
            <w:r w:rsidRPr="00362BA7">
              <w:rPr>
                <w:b/>
                <w:bCs/>
                <w:sz w:val="22"/>
              </w:rPr>
              <w:t>Gela Lomiashvili</w:t>
            </w:r>
          </w:p>
        </w:tc>
        <w:tc>
          <w:tcPr>
            <w:tcW w:w="5386" w:type="dxa"/>
          </w:tcPr>
          <w:p w14:paraId="02D8A7A3" w14:textId="77777777" w:rsidR="009137D6" w:rsidRPr="00362BA7" w:rsidRDefault="009137D6" w:rsidP="0046482D">
            <w:pPr>
              <w:spacing w:after="160" w:line="259" w:lineRule="auto"/>
              <w:rPr>
                <w:b/>
                <w:bCs/>
                <w:sz w:val="22"/>
              </w:rPr>
            </w:pPr>
            <w:r w:rsidRPr="00362BA7">
              <w:rPr>
                <w:b/>
                <w:bCs/>
                <w:sz w:val="22"/>
              </w:rPr>
              <w:t>Project Coordinator, Skills Agency</w:t>
            </w:r>
          </w:p>
        </w:tc>
      </w:tr>
      <w:tr w:rsidR="009137D6" w:rsidRPr="00362BA7" w14:paraId="5686271F" w14:textId="77777777" w:rsidTr="009137D6">
        <w:tc>
          <w:tcPr>
            <w:tcW w:w="1667" w:type="dxa"/>
          </w:tcPr>
          <w:p w14:paraId="430C3400" w14:textId="77777777" w:rsidR="001B6808" w:rsidRPr="00362BA7" w:rsidRDefault="001B6808" w:rsidP="006031BF">
            <w:pPr>
              <w:numPr>
                <w:ilvl w:val="0"/>
                <w:numId w:val="20"/>
              </w:numPr>
              <w:spacing w:after="160" w:line="259" w:lineRule="auto"/>
              <w:jc w:val="left"/>
              <w:rPr>
                <w:b/>
                <w:bCs/>
                <w:sz w:val="22"/>
              </w:rPr>
            </w:pPr>
          </w:p>
        </w:tc>
        <w:tc>
          <w:tcPr>
            <w:tcW w:w="2723" w:type="dxa"/>
            <w:gridSpan w:val="2"/>
          </w:tcPr>
          <w:p w14:paraId="4633C256" w14:textId="77777777" w:rsidR="009137D6" w:rsidRPr="00362BA7" w:rsidRDefault="009137D6" w:rsidP="0046482D">
            <w:pPr>
              <w:spacing w:after="160" w:line="259" w:lineRule="auto"/>
              <w:rPr>
                <w:b/>
                <w:bCs/>
                <w:sz w:val="22"/>
              </w:rPr>
            </w:pPr>
            <w:r w:rsidRPr="00362BA7">
              <w:rPr>
                <w:b/>
                <w:bCs/>
                <w:sz w:val="22"/>
              </w:rPr>
              <w:t>Nodar Maminaishvili</w:t>
            </w:r>
          </w:p>
        </w:tc>
        <w:tc>
          <w:tcPr>
            <w:tcW w:w="5386" w:type="dxa"/>
          </w:tcPr>
          <w:p w14:paraId="4AB32B04" w14:textId="77777777" w:rsidR="009137D6" w:rsidRPr="00362BA7" w:rsidRDefault="009137D6" w:rsidP="0046482D">
            <w:pPr>
              <w:spacing w:after="160" w:line="259" w:lineRule="auto"/>
              <w:rPr>
                <w:b/>
                <w:bCs/>
                <w:sz w:val="22"/>
              </w:rPr>
            </w:pPr>
            <w:r w:rsidRPr="00362BA7">
              <w:rPr>
                <w:b/>
                <w:bCs/>
                <w:sz w:val="22"/>
              </w:rPr>
              <w:t>Responsible Party, Head of Sunny House</w:t>
            </w:r>
          </w:p>
        </w:tc>
      </w:tr>
      <w:tr w:rsidR="009137D6" w:rsidRPr="00362BA7" w14:paraId="1E06465E" w14:textId="77777777" w:rsidTr="009137D6">
        <w:trPr>
          <w:gridAfter w:val="2"/>
          <w:wAfter w:w="5764" w:type="dxa"/>
        </w:trPr>
        <w:tc>
          <w:tcPr>
            <w:tcW w:w="4012" w:type="dxa"/>
            <w:gridSpan w:val="2"/>
          </w:tcPr>
          <w:p w14:paraId="7397B4F6" w14:textId="77777777" w:rsidR="001B6808" w:rsidRPr="00362BA7" w:rsidRDefault="00000000" w:rsidP="0046482D">
            <w:pPr>
              <w:spacing w:after="160" w:line="259" w:lineRule="auto"/>
              <w:rPr>
                <w:b/>
                <w:bCs/>
                <w:sz w:val="22"/>
              </w:rPr>
            </w:pPr>
            <w:r w:rsidRPr="00362BA7">
              <w:rPr>
                <w:b/>
                <w:bCs/>
                <w:sz w:val="22"/>
                <w:lang w:val="en-US"/>
              </w:rPr>
              <w:t>National and international consultants</w:t>
            </w:r>
          </w:p>
        </w:tc>
      </w:tr>
      <w:tr w:rsidR="009137D6" w:rsidRPr="00362BA7" w14:paraId="7E997C73" w14:textId="77777777" w:rsidTr="009137D6">
        <w:tc>
          <w:tcPr>
            <w:tcW w:w="1667" w:type="dxa"/>
          </w:tcPr>
          <w:p w14:paraId="71C64782" w14:textId="77777777" w:rsidR="001B6808" w:rsidRPr="00362BA7" w:rsidRDefault="001B6808" w:rsidP="006031BF">
            <w:pPr>
              <w:numPr>
                <w:ilvl w:val="0"/>
                <w:numId w:val="20"/>
              </w:numPr>
              <w:spacing w:after="160" w:line="259" w:lineRule="auto"/>
              <w:jc w:val="left"/>
              <w:rPr>
                <w:b/>
                <w:bCs/>
                <w:sz w:val="22"/>
              </w:rPr>
            </w:pPr>
          </w:p>
        </w:tc>
        <w:tc>
          <w:tcPr>
            <w:tcW w:w="2723" w:type="dxa"/>
            <w:gridSpan w:val="2"/>
          </w:tcPr>
          <w:p w14:paraId="5EB22B61" w14:textId="77777777" w:rsidR="009137D6" w:rsidRPr="00362BA7" w:rsidRDefault="009137D6" w:rsidP="0046482D">
            <w:pPr>
              <w:spacing w:after="160" w:line="259" w:lineRule="auto"/>
              <w:rPr>
                <w:b/>
                <w:bCs/>
                <w:sz w:val="22"/>
              </w:rPr>
            </w:pPr>
            <w:r w:rsidRPr="00362BA7">
              <w:rPr>
                <w:b/>
                <w:bCs/>
                <w:sz w:val="22"/>
              </w:rPr>
              <w:t>Martina Ljubiova</w:t>
            </w:r>
          </w:p>
        </w:tc>
        <w:tc>
          <w:tcPr>
            <w:tcW w:w="5386" w:type="dxa"/>
          </w:tcPr>
          <w:p w14:paraId="74370A77" w14:textId="77777777" w:rsidR="009137D6" w:rsidRPr="00362BA7" w:rsidRDefault="009137D6" w:rsidP="0046482D">
            <w:pPr>
              <w:spacing w:after="160" w:line="259" w:lineRule="auto"/>
              <w:rPr>
                <w:b/>
                <w:bCs/>
                <w:sz w:val="22"/>
              </w:rPr>
            </w:pPr>
            <w:r w:rsidRPr="00362BA7">
              <w:rPr>
                <w:b/>
                <w:bCs/>
                <w:sz w:val="22"/>
              </w:rPr>
              <w:t>Consultant on Developing NEETs review</w:t>
            </w:r>
          </w:p>
        </w:tc>
      </w:tr>
      <w:tr w:rsidR="009137D6" w:rsidRPr="00362BA7" w14:paraId="7903E156" w14:textId="77777777" w:rsidTr="009137D6">
        <w:tc>
          <w:tcPr>
            <w:tcW w:w="1667" w:type="dxa"/>
          </w:tcPr>
          <w:p w14:paraId="6148467B" w14:textId="77777777" w:rsidR="001B6808" w:rsidRPr="00362BA7" w:rsidRDefault="001B6808" w:rsidP="006031BF">
            <w:pPr>
              <w:numPr>
                <w:ilvl w:val="0"/>
                <w:numId w:val="20"/>
              </w:numPr>
              <w:spacing w:after="160" w:line="259" w:lineRule="auto"/>
              <w:jc w:val="left"/>
              <w:rPr>
                <w:b/>
                <w:bCs/>
                <w:sz w:val="22"/>
              </w:rPr>
            </w:pPr>
          </w:p>
        </w:tc>
        <w:tc>
          <w:tcPr>
            <w:tcW w:w="2723" w:type="dxa"/>
            <w:gridSpan w:val="2"/>
          </w:tcPr>
          <w:p w14:paraId="2CC4BC85" w14:textId="77777777" w:rsidR="009137D6" w:rsidRPr="00362BA7" w:rsidRDefault="009137D6" w:rsidP="0046482D">
            <w:pPr>
              <w:spacing w:after="160" w:line="259" w:lineRule="auto"/>
              <w:rPr>
                <w:b/>
                <w:bCs/>
                <w:sz w:val="22"/>
              </w:rPr>
            </w:pPr>
            <w:r w:rsidRPr="00362BA7">
              <w:rPr>
                <w:b/>
                <w:bCs/>
                <w:sz w:val="22"/>
              </w:rPr>
              <w:t>Ms Tamar Dvali</w:t>
            </w:r>
            <w:r w:rsidRPr="00362BA7">
              <w:rPr>
                <w:b/>
                <w:bCs/>
                <w:sz w:val="22"/>
              </w:rPr>
              <w:tab/>
            </w:r>
          </w:p>
        </w:tc>
        <w:tc>
          <w:tcPr>
            <w:tcW w:w="5386" w:type="dxa"/>
          </w:tcPr>
          <w:p w14:paraId="1280FA02" w14:textId="77777777" w:rsidR="009137D6" w:rsidRPr="00362BA7" w:rsidRDefault="009137D6" w:rsidP="0046482D">
            <w:pPr>
              <w:spacing w:after="160" w:line="259" w:lineRule="auto"/>
              <w:rPr>
                <w:b/>
                <w:bCs/>
                <w:sz w:val="22"/>
              </w:rPr>
            </w:pPr>
            <w:r w:rsidRPr="00362BA7">
              <w:rPr>
                <w:b/>
                <w:bCs/>
                <w:sz w:val="22"/>
              </w:rPr>
              <w:t>Asian Development Bank</w:t>
            </w:r>
          </w:p>
        </w:tc>
      </w:tr>
      <w:tr w:rsidR="009137D6" w:rsidRPr="00362BA7" w14:paraId="716FC7AF" w14:textId="77777777" w:rsidTr="009137D6">
        <w:tc>
          <w:tcPr>
            <w:tcW w:w="1667" w:type="dxa"/>
          </w:tcPr>
          <w:p w14:paraId="24E88C71" w14:textId="77777777" w:rsidR="001B6808" w:rsidRPr="00362BA7" w:rsidRDefault="001B6808" w:rsidP="006031BF">
            <w:pPr>
              <w:numPr>
                <w:ilvl w:val="0"/>
                <w:numId w:val="20"/>
              </w:numPr>
              <w:spacing w:after="160" w:line="259" w:lineRule="auto"/>
              <w:jc w:val="left"/>
              <w:rPr>
                <w:b/>
                <w:bCs/>
                <w:sz w:val="22"/>
              </w:rPr>
            </w:pPr>
          </w:p>
        </w:tc>
        <w:tc>
          <w:tcPr>
            <w:tcW w:w="2723" w:type="dxa"/>
            <w:gridSpan w:val="2"/>
          </w:tcPr>
          <w:p w14:paraId="0860899F" w14:textId="77777777" w:rsidR="009137D6" w:rsidRPr="00362BA7" w:rsidRDefault="009137D6" w:rsidP="0046482D">
            <w:pPr>
              <w:spacing w:after="160" w:line="259" w:lineRule="auto"/>
              <w:rPr>
                <w:b/>
                <w:bCs/>
                <w:sz w:val="22"/>
              </w:rPr>
            </w:pPr>
            <w:r w:rsidRPr="00362BA7">
              <w:rPr>
                <w:b/>
                <w:bCs/>
                <w:sz w:val="22"/>
              </w:rPr>
              <w:t>David Handley</w:t>
            </w:r>
          </w:p>
        </w:tc>
        <w:tc>
          <w:tcPr>
            <w:tcW w:w="5386" w:type="dxa"/>
          </w:tcPr>
          <w:p w14:paraId="7A8C3F92" w14:textId="77777777" w:rsidR="009137D6" w:rsidRPr="00362BA7" w:rsidRDefault="009137D6" w:rsidP="0046482D">
            <w:pPr>
              <w:spacing w:after="160" w:line="259" w:lineRule="auto"/>
              <w:rPr>
                <w:b/>
                <w:bCs/>
                <w:sz w:val="22"/>
              </w:rPr>
            </w:pPr>
            <w:r w:rsidRPr="00362BA7">
              <w:rPr>
                <w:b/>
                <w:bCs/>
                <w:sz w:val="22"/>
                <w:lang w:val="en-US"/>
              </w:rPr>
              <w:t>GOPA Worldwide Consultants GmbH </w:t>
            </w:r>
          </w:p>
        </w:tc>
      </w:tr>
      <w:tr w:rsidR="009137D6" w:rsidRPr="00362BA7" w14:paraId="4DC1E462" w14:textId="77777777" w:rsidTr="009137D6">
        <w:tc>
          <w:tcPr>
            <w:tcW w:w="1667" w:type="dxa"/>
          </w:tcPr>
          <w:p w14:paraId="684C8A52" w14:textId="77777777" w:rsidR="001B6808" w:rsidRPr="00362BA7" w:rsidRDefault="00000000" w:rsidP="006031BF">
            <w:pPr>
              <w:numPr>
                <w:ilvl w:val="0"/>
                <w:numId w:val="20"/>
              </w:numPr>
              <w:spacing w:after="160" w:line="259" w:lineRule="auto"/>
              <w:jc w:val="left"/>
              <w:rPr>
                <w:b/>
                <w:bCs/>
                <w:sz w:val="22"/>
              </w:rPr>
            </w:pPr>
            <w:r w:rsidRPr="00362BA7">
              <w:rPr>
                <w:b/>
                <w:bCs/>
                <w:sz w:val="22"/>
              </w:rPr>
              <w:br/>
            </w:r>
          </w:p>
        </w:tc>
        <w:tc>
          <w:tcPr>
            <w:tcW w:w="2723" w:type="dxa"/>
            <w:gridSpan w:val="2"/>
          </w:tcPr>
          <w:p w14:paraId="5B634E78" w14:textId="77777777" w:rsidR="009137D6" w:rsidRPr="00362BA7" w:rsidRDefault="009137D6" w:rsidP="0046482D">
            <w:pPr>
              <w:spacing w:after="160" w:line="259" w:lineRule="auto"/>
              <w:rPr>
                <w:b/>
                <w:bCs/>
                <w:sz w:val="22"/>
              </w:rPr>
            </w:pPr>
            <w:r w:rsidRPr="00362BA7">
              <w:rPr>
                <w:b/>
                <w:bCs/>
                <w:sz w:val="22"/>
              </w:rPr>
              <w:t>Maka Eradze</w:t>
            </w:r>
          </w:p>
        </w:tc>
        <w:tc>
          <w:tcPr>
            <w:tcW w:w="5386" w:type="dxa"/>
          </w:tcPr>
          <w:p w14:paraId="0BC633E7" w14:textId="77777777" w:rsidR="009137D6" w:rsidRPr="00362BA7" w:rsidRDefault="009137D6" w:rsidP="0046482D">
            <w:pPr>
              <w:spacing w:after="160" w:line="259" w:lineRule="auto"/>
              <w:rPr>
                <w:b/>
                <w:bCs/>
                <w:sz w:val="22"/>
              </w:rPr>
            </w:pPr>
            <w:r w:rsidRPr="00362BA7">
              <w:rPr>
                <w:b/>
                <w:bCs/>
                <w:sz w:val="22"/>
              </w:rPr>
              <w:t>Consultant on Concept of Digital and Blended Learning</w:t>
            </w:r>
          </w:p>
        </w:tc>
      </w:tr>
      <w:tr w:rsidR="009137D6" w:rsidRPr="00362BA7" w14:paraId="754D3731" w14:textId="77777777" w:rsidTr="009137D6">
        <w:tc>
          <w:tcPr>
            <w:tcW w:w="1667" w:type="dxa"/>
          </w:tcPr>
          <w:p w14:paraId="226357AC" w14:textId="77777777" w:rsidR="001B6808" w:rsidRPr="00362BA7" w:rsidRDefault="001B6808" w:rsidP="006031BF">
            <w:pPr>
              <w:numPr>
                <w:ilvl w:val="0"/>
                <w:numId w:val="20"/>
              </w:numPr>
              <w:spacing w:after="160" w:line="259" w:lineRule="auto"/>
              <w:jc w:val="left"/>
              <w:rPr>
                <w:b/>
                <w:bCs/>
                <w:sz w:val="22"/>
              </w:rPr>
            </w:pPr>
          </w:p>
        </w:tc>
        <w:tc>
          <w:tcPr>
            <w:tcW w:w="2723" w:type="dxa"/>
            <w:gridSpan w:val="2"/>
          </w:tcPr>
          <w:p w14:paraId="582733AE" w14:textId="77777777" w:rsidR="009137D6" w:rsidRPr="00362BA7" w:rsidRDefault="009137D6" w:rsidP="0046482D">
            <w:pPr>
              <w:spacing w:after="160" w:line="259" w:lineRule="auto"/>
              <w:rPr>
                <w:b/>
                <w:bCs/>
                <w:sz w:val="22"/>
              </w:rPr>
            </w:pPr>
            <w:r w:rsidRPr="00362BA7">
              <w:rPr>
                <w:b/>
                <w:bCs/>
                <w:sz w:val="22"/>
              </w:rPr>
              <w:t>MS Ani Diakonidze</w:t>
            </w:r>
            <w:r w:rsidRPr="00362BA7">
              <w:rPr>
                <w:b/>
                <w:bCs/>
                <w:sz w:val="22"/>
              </w:rPr>
              <w:tab/>
            </w:r>
          </w:p>
        </w:tc>
        <w:tc>
          <w:tcPr>
            <w:tcW w:w="5386" w:type="dxa"/>
          </w:tcPr>
          <w:p w14:paraId="72F67E03" w14:textId="77777777" w:rsidR="009137D6" w:rsidRPr="00362BA7" w:rsidRDefault="009137D6" w:rsidP="0046482D">
            <w:pPr>
              <w:spacing w:after="160" w:line="259" w:lineRule="auto"/>
              <w:rPr>
                <w:b/>
                <w:bCs/>
                <w:sz w:val="22"/>
              </w:rPr>
            </w:pPr>
            <w:r w:rsidRPr="00362BA7">
              <w:rPr>
                <w:b/>
                <w:bCs/>
                <w:sz w:val="22"/>
              </w:rPr>
              <w:t>GOPA</w:t>
            </w:r>
          </w:p>
        </w:tc>
      </w:tr>
      <w:tr w:rsidR="009137D6" w:rsidRPr="00362BA7" w14:paraId="05486DB2" w14:textId="77777777" w:rsidTr="009137D6">
        <w:tc>
          <w:tcPr>
            <w:tcW w:w="1667" w:type="dxa"/>
          </w:tcPr>
          <w:p w14:paraId="2E4B479E" w14:textId="77777777" w:rsidR="001B6808" w:rsidRPr="00362BA7" w:rsidRDefault="001B6808" w:rsidP="006031BF">
            <w:pPr>
              <w:numPr>
                <w:ilvl w:val="0"/>
                <w:numId w:val="20"/>
              </w:numPr>
              <w:spacing w:after="160" w:line="259" w:lineRule="auto"/>
              <w:jc w:val="left"/>
              <w:rPr>
                <w:b/>
                <w:bCs/>
                <w:sz w:val="22"/>
              </w:rPr>
            </w:pPr>
          </w:p>
        </w:tc>
        <w:tc>
          <w:tcPr>
            <w:tcW w:w="2723" w:type="dxa"/>
            <w:gridSpan w:val="2"/>
          </w:tcPr>
          <w:p w14:paraId="190732C5" w14:textId="77777777" w:rsidR="009137D6" w:rsidRPr="00362BA7" w:rsidRDefault="009137D6" w:rsidP="0046482D">
            <w:pPr>
              <w:spacing w:after="160" w:line="259" w:lineRule="auto"/>
              <w:rPr>
                <w:b/>
                <w:bCs/>
                <w:sz w:val="22"/>
              </w:rPr>
            </w:pPr>
            <w:r w:rsidRPr="00362BA7">
              <w:rPr>
                <w:b/>
                <w:bCs/>
                <w:sz w:val="22"/>
              </w:rPr>
              <w:t>Ms Ani Kitiashvili</w:t>
            </w:r>
          </w:p>
        </w:tc>
        <w:tc>
          <w:tcPr>
            <w:tcW w:w="5386" w:type="dxa"/>
          </w:tcPr>
          <w:p w14:paraId="44337626" w14:textId="77777777" w:rsidR="009137D6" w:rsidRPr="00362BA7" w:rsidRDefault="009137D6" w:rsidP="0046482D">
            <w:pPr>
              <w:spacing w:after="160" w:line="259" w:lineRule="auto"/>
              <w:rPr>
                <w:b/>
                <w:bCs/>
                <w:sz w:val="22"/>
              </w:rPr>
            </w:pPr>
            <w:r w:rsidRPr="00362BA7">
              <w:rPr>
                <w:b/>
                <w:bCs/>
                <w:sz w:val="22"/>
              </w:rPr>
              <w:t>EU</w:t>
            </w:r>
          </w:p>
        </w:tc>
      </w:tr>
      <w:tr w:rsidR="009137D6" w:rsidRPr="00362BA7" w14:paraId="78015F54" w14:textId="77777777" w:rsidTr="009137D6">
        <w:tc>
          <w:tcPr>
            <w:tcW w:w="1667" w:type="dxa"/>
          </w:tcPr>
          <w:p w14:paraId="46A4E9A1" w14:textId="77777777" w:rsidR="001B6808" w:rsidRPr="00362BA7" w:rsidRDefault="001B6808" w:rsidP="006031BF">
            <w:pPr>
              <w:numPr>
                <w:ilvl w:val="0"/>
                <w:numId w:val="20"/>
              </w:numPr>
              <w:spacing w:after="160" w:line="259" w:lineRule="auto"/>
              <w:jc w:val="left"/>
              <w:rPr>
                <w:b/>
                <w:bCs/>
                <w:sz w:val="22"/>
              </w:rPr>
            </w:pPr>
          </w:p>
        </w:tc>
        <w:tc>
          <w:tcPr>
            <w:tcW w:w="2723" w:type="dxa"/>
            <w:gridSpan w:val="2"/>
          </w:tcPr>
          <w:p w14:paraId="3FA3A685" w14:textId="77777777" w:rsidR="009137D6" w:rsidRPr="00362BA7" w:rsidRDefault="009137D6" w:rsidP="0046482D">
            <w:pPr>
              <w:spacing w:after="160" w:line="259" w:lineRule="auto"/>
              <w:rPr>
                <w:b/>
                <w:bCs/>
                <w:sz w:val="22"/>
              </w:rPr>
            </w:pPr>
            <w:r w:rsidRPr="00362BA7">
              <w:rPr>
                <w:b/>
                <w:bCs/>
                <w:sz w:val="22"/>
                <w:lang w:val="hr-HR"/>
              </w:rPr>
              <w:t>Natia Andghuladze</w:t>
            </w:r>
          </w:p>
        </w:tc>
        <w:tc>
          <w:tcPr>
            <w:tcW w:w="5386" w:type="dxa"/>
          </w:tcPr>
          <w:p w14:paraId="04381EC7" w14:textId="77777777" w:rsidR="009137D6" w:rsidRPr="00362BA7" w:rsidRDefault="009137D6" w:rsidP="0046482D">
            <w:pPr>
              <w:spacing w:after="160" w:line="259" w:lineRule="auto"/>
              <w:rPr>
                <w:b/>
                <w:bCs/>
                <w:sz w:val="22"/>
              </w:rPr>
            </w:pPr>
            <w:r w:rsidRPr="00362BA7">
              <w:rPr>
                <w:b/>
                <w:bCs/>
                <w:sz w:val="22"/>
              </w:rPr>
              <w:t>Consultant</w:t>
            </w:r>
          </w:p>
        </w:tc>
      </w:tr>
      <w:tr w:rsidR="009137D6" w:rsidRPr="00362BA7" w14:paraId="546803EA" w14:textId="77777777" w:rsidTr="009137D6">
        <w:tc>
          <w:tcPr>
            <w:tcW w:w="1667" w:type="dxa"/>
          </w:tcPr>
          <w:p w14:paraId="67B30BB4" w14:textId="77777777" w:rsidR="001B6808" w:rsidRPr="00362BA7" w:rsidRDefault="001B6808" w:rsidP="006031BF">
            <w:pPr>
              <w:numPr>
                <w:ilvl w:val="0"/>
                <w:numId w:val="20"/>
              </w:numPr>
              <w:spacing w:after="160" w:line="259" w:lineRule="auto"/>
              <w:jc w:val="left"/>
              <w:rPr>
                <w:b/>
                <w:bCs/>
                <w:sz w:val="22"/>
              </w:rPr>
            </w:pPr>
          </w:p>
        </w:tc>
        <w:tc>
          <w:tcPr>
            <w:tcW w:w="2723" w:type="dxa"/>
            <w:gridSpan w:val="2"/>
          </w:tcPr>
          <w:p w14:paraId="5AD4F1B3" w14:textId="77777777" w:rsidR="009137D6" w:rsidRPr="00362BA7" w:rsidRDefault="009137D6" w:rsidP="0046482D">
            <w:pPr>
              <w:spacing w:after="160" w:line="259" w:lineRule="auto"/>
              <w:rPr>
                <w:b/>
                <w:bCs/>
                <w:sz w:val="22"/>
                <w:lang w:val="hr-HR"/>
              </w:rPr>
            </w:pPr>
            <w:r w:rsidRPr="00362BA7">
              <w:rPr>
                <w:b/>
                <w:bCs/>
                <w:sz w:val="22"/>
                <w:lang w:val="hr-HR"/>
              </w:rPr>
              <w:t xml:space="preserve">Maia Bagrationi </w:t>
            </w:r>
          </w:p>
          <w:p w14:paraId="36493CCA" w14:textId="77777777" w:rsidR="009137D6" w:rsidRPr="00362BA7" w:rsidRDefault="009137D6" w:rsidP="0046482D">
            <w:pPr>
              <w:spacing w:after="160" w:line="259" w:lineRule="auto"/>
              <w:rPr>
                <w:b/>
                <w:bCs/>
                <w:sz w:val="22"/>
                <w:lang w:val="hr-HR"/>
              </w:rPr>
            </w:pPr>
          </w:p>
        </w:tc>
        <w:tc>
          <w:tcPr>
            <w:tcW w:w="5386" w:type="dxa"/>
          </w:tcPr>
          <w:p w14:paraId="32ADE647" w14:textId="77777777" w:rsidR="009137D6" w:rsidRPr="00362BA7" w:rsidRDefault="009137D6" w:rsidP="0046482D">
            <w:pPr>
              <w:spacing w:after="160" w:line="259" w:lineRule="auto"/>
              <w:rPr>
                <w:b/>
                <w:bCs/>
                <w:sz w:val="22"/>
              </w:rPr>
            </w:pPr>
            <w:r w:rsidRPr="00362BA7">
              <w:rPr>
                <w:b/>
                <w:bCs/>
                <w:sz w:val="22"/>
              </w:rPr>
              <w:t>Consultant on disability</w:t>
            </w:r>
          </w:p>
        </w:tc>
      </w:tr>
      <w:tr w:rsidR="009137D6" w:rsidRPr="00362BA7" w14:paraId="307D54F3" w14:textId="77777777" w:rsidTr="009137D6">
        <w:tc>
          <w:tcPr>
            <w:tcW w:w="1667" w:type="dxa"/>
          </w:tcPr>
          <w:p w14:paraId="356B04D8" w14:textId="77777777" w:rsidR="001B6808" w:rsidRPr="00362BA7" w:rsidRDefault="001B6808" w:rsidP="0046482D">
            <w:pPr>
              <w:spacing w:after="160" w:line="259" w:lineRule="auto"/>
              <w:rPr>
                <w:b/>
                <w:bCs/>
                <w:sz w:val="22"/>
              </w:rPr>
            </w:pPr>
          </w:p>
        </w:tc>
        <w:tc>
          <w:tcPr>
            <w:tcW w:w="8109" w:type="dxa"/>
            <w:gridSpan w:val="3"/>
          </w:tcPr>
          <w:p w14:paraId="65A5AE54" w14:textId="77777777" w:rsidR="009137D6" w:rsidRPr="00362BA7" w:rsidRDefault="009137D6" w:rsidP="0046482D">
            <w:pPr>
              <w:spacing w:after="160" w:line="259" w:lineRule="auto"/>
              <w:rPr>
                <w:b/>
                <w:bCs/>
                <w:sz w:val="22"/>
              </w:rPr>
            </w:pPr>
          </w:p>
          <w:p w14:paraId="201DC0E2" w14:textId="77777777" w:rsidR="009137D6" w:rsidRPr="00362BA7" w:rsidRDefault="009137D6" w:rsidP="0046482D">
            <w:pPr>
              <w:spacing w:after="160" w:line="259" w:lineRule="auto"/>
              <w:rPr>
                <w:b/>
                <w:bCs/>
                <w:sz w:val="22"/>
              </w:rPr>
            </w:pPr>
            <w:r w:rsidRPr="00362BA7">
              <w:rPr>
                <w:b/>
                <w:bCs/>
                <w:sz w:val="22"/>
              </w:rPr>
              <w:t>Beneficiaries – Colleges and Schools</w:t>
            </w:r>
          </w:p>
        </w:tc>
      </w:tr>
      <w:tr w:rsidR="009137D6" w:rsidRPr="00362BA7" w14:paraId="293C5022" w14:textId="77777777" w:rsidTr="009137D6">
        <w:tc>
          <w:tcPr>
            <w:tcW w:w="1667" w:type="dxa"/>
          </w:tcPr>
          <w:p w14:paraId="5330C69E" w14:textId="77777777" w:rsidR="001B6808" w:rsidRPr="00362BA7" w:rsidRDefault="001B6808" w:rsidP="006031BF">
            <w:pPr>
              <w:numPr>
                <w:ilvl w:val="0"/>
                <w:numId w:val="20"/>
              </w:numPr>
              <w:spacing w:after="160" w:line="259" w:lineRule="auto"/>
              <w:jc w:val="left"/>
              <w:rPr>
                <w:b/>
                <w:bCs/>
                <w:sz w:val="22"/>
              </w:rPr>
            </w:pPr>
          </w:p>
        </w:tc>
        <w:tc>
          <w:tcPr>
            <w:tcW w:w="2723" w:type="dxa"/>
            <w:gridSpan w:val="2"/>
            <w:shd w:val="clear" w:color="auto" w:fill="auto"/>
          </w:tcPr>
          <w:p w14:paraId="11407B29" w14:textId="77777777" w:rsidR="009137D6" w:rsidRPr="00362BA7" w:rsidRDefault="009137D6" w:rsidP="0046482D">
            <w:pPr>
              <w:spacing w:after="160" w:line="259" w:lineRule="auto"/>
              <w:rPr>
                <w:b/>
                <w:bCs/>
                <w:sz w:val="22"/>
              </w:rPr>
            </w:pPr>
            <w:r w:rsidRPr="00362BA7">
              <w:rPr>
                <w:b/>
                <w:bCs/>
                <w:sz w:val="22"/>
              </w:rPr>
              <w:t xml:space="preserve">Malkhaz Aslamazashvili  </w:t>
            </w:r>
          </w:p>
        </w:tc>
        <w:tc>
          <w:tcPr>
            <w:tcW w:w="5386" w:type="dxa"/>
          </w:tcPr>
          <w:p w14:paraId="71C18C9D" w14:textId="77777777" w:rsidR="009137D6" w:rsidRPr="00362BA7" w:rsidRDefault="009137D6" w:rsidP="0046482D">
            <w:pPr>
              <w:spacing w:after="160" w:line="259" w:lineRule="auto"/>
              <w:rPr>
                <w:b/>
                <w:bCs/>
                <w:sz w:val="22"/>
              </w:rPr>
            </w:pPr>
            <w:r w:rsidRPr="00362BA7">
              <w:rPr>
                <w:b/>
                <w:bCs/>
                <w:sz w:val="22"/>
              </w:rPr>
              <w:t>College Aisi, Gurjaani, Kakheti</w:t>
            </w:r>
          </w:p>
        </w:tc>
      </w:tr>
      <w:tr w:rsidR="009137D6" w:rsidRPr="00362BA7" w14:paraId="3A785768" w14:textId="77777777" w:rsidTr="009137D6">
        <w:tc>
          <w:tcPr>
            <w:tcW w:w="1667" w:type="dxa"/>
          </w:tcPr>
          <w:p w14:paraId="09DAEDD0" w14:textId="77777777" w:rsidR="001B6808" w:rsidRPr="00362BA7" w:rsidRDefault="001B6808" w:rsidP="006031BF">
            <w:pPr>
              <w:numPr>
                <w:ilvl w:val="0"/>
                <w:numId w:val="20"/>
              </w:numPr>
              <w:spacing w:after="160" w:line="259" w:lineRule="auto"/>
              <w:jc w:val="left"/>
              <w:rPr>
                <w:b/>
                <w:bCs/>
                <w:sz w:val="22"/>
              </w:rPr>
            </w:pPr>
          </w:p>
        </w:tc>
        <w:tc>
          <w:tcPr>
            <w:tcW w:w="2723" w:type="dxa"/>
            <w:gridSpan w:val="2"/>
          </w:tcPr>
          <w:p w14:paraId="2EE206A7" w14:textId="77777777" w:rsidR="009137D6" w:rsidRPr="00362BA7" w:rsidRDefault="009137D6" w:rsidP="0046482D">
            <w:pPr>
              <w:spacing w:after="160" w:line="259" w:lineRule="auto"/>
              <w:rPr>
                <w:b/>
                <w:bCs/>
                <w:sz w:val="22"/>
              </w:rPr>
            </w:pPr>
            <w:r w:rsidRPr="00362BA7">
              <w:rPr>
                <w:b/>
                <w:bCs/>
                <w:sz w:val="22"/>
              </w:rPr>
              <w:t>Konstantine Dolidze</w:t>
            </w:r>
          </w:p>
        </w:tc>
        <w:tc>
          <w:tcPr>
            <w:tcW w:w="5386" w:type="dxa"/>
          </w:tcPr>
          <w:p w14:paraId="3025F016" w14:textId="77777777" w:rsidR="009137D6" w:rsidRPr="00362BA7" w:rsidRDefault="009137D6" w:rsidP="0046482D">
            <w:pPr>
              <w:spacing w:after="160" w:line="259" w:lineRule="auto"/>
              <w:rPr>
                <w:b/>
                <w:bCs/>
                <w:sz w:val="22"/>
              </w:rPr>
            </w:pPr>
            <w:r w:rsidRPr="00362BA7">
              <w:rPr>
                <w:b/>
                <w:bCs/>
                <w:sz w:val="22"/>
              </w:rPr>
              <w:t>College Prestizhi, Telavi, Kakheti</w:t>
            </w:r>
          </w:p>
        </w:tc>
      </w:tr>
      <w:tr w:rsidR="009137D6" w:rsidRPr="00362BA7" w14:paraId="6F6CBF57" w14:textId="77777777" w:rsidTr="009137D6">
        <w:tc>
          <w:tcPr>
            <w:tcW w:w="1667" w:type="dxa"/>
          </w:tcPr>
          <w:p w14:paraId="35BDFB56" w14:textId="77777777" w:rsidR="001B6808" w:rsidRPr="00362BA7" w:rsidRDefault="001B6808" w:rsidP="006031BF">
            <w:pPr>
              <w:numPr>
                <w:ilvl w:val="0"/>
                <w:numId w:val="20"/>
              </w:numPr>
              <w:spacing w:after="160" w:line="259" w:lineRule="auto"/>
              <w:jc w:val="left"/>
              <w:rPr>
                <w:b/>
                <w:bCs/>
                <w:sz w:val="22"/>
              </w:rPr>
            </w:pPr>
          </w:p>
        </w:tc>
        <w:tc>
          <w:tcPr>
            <w:tcW w:w="2723" w:type="dxa"/>
            <w:gridSpan w:val="2"/>
          </w:tcPr>
          <w:p w14:paraId="545FE1D1" w14:textId="77777777" w:rsidR="009137D6" w:rsidRPr="00362BA7" w:rsidRDefault="009137D6" w:rsidP="0046482D">
            <w:pPr>
              <w:spacing w:after="160" w:line="259" w:lineRule="auto"/>
              <w:rPr>
                <w:b/>
                <w:bCs/>
                <w:sz w:val="22"/>
              </w:rPr>
            </w:pPr>
            <w:r w:rsidRPr="00362BA7">
              <w:rPr>
                <w:b/>
                <w:bCs/>
                <w:sz w:val="22"/>
              </w:rPr>
              <w:t>Irakli Avaliani</w:t>
            </w:r>
            <w:r w:rsidRPr="00362BA7">
              <w:rPr>
                <w:b/>
                <w:bCs/>
                <w:sz w:val="22"/>
              </w:rPr>
              <w:tab/>
            </w:r>
          </w:p>
        </w:tc>
        <w:tc>
          <w:tcPr>
            <w:tcW w:w="5386" w:type="dxa"/>
          </w:tcPr>
          <w:p w14:paraId="7D66E504" w14:textId="77777777" w:rsidR="009137D6" w:rsidRPr="00362BA7" w:rsidRDefault="009137D6" w:rsidP="0046482D">
            <w:pPr>
              <w:spacing w:after="160" w:line="259" w:lineRule="auto"/>
              <w:rPr>
                <w:b/>
                <w:bCs/>
                <w:sz w:val="22"/>
              </w:rPr>
            </w:pPr>
            <w:r w:rsidRPr="00362BA7">
              <w:rPr>
                <w:b/>
                <w:bCs/>
                <w:sz w:val="22"/>
              </w:rPr>
              <w:t>College Iberia, Kutaisi, Imereti</w:t>
            </w:r>
          </w:p>
        </w:tc>
      </w:tr>
      <w:tr w:rsidR="009137D6" w:rsidRPr="00362BA7" w14:paraId="4C16BB07" w14:textId="77777777" w:rsidTr="009137D6">
        <w:tc>
          <w:tcPr>
            <w:tcW w:w="1667" w:type="dxa"/>
          </w:tcPr>
          <w:p w14:paraId="39F5543B" w14:textId="77777777" w:rsidR="001B6808" w:rsidRPr="00362BA7" w:rsidRDefault="001B6808" w:rsidP="006031BF">
            <w:pPr>
              <w:numPr>
                <w:ilvl w:val="0"/>
                <w:numId w:val="20"/>
              </w:numPr>
              <w:spacing w:after="160" w:line="259" w:lineRule="auto"/>
              <w:jc w:val="left"/>
              <w:rPr>
                <w:b/>
                <w:bCs/>
                <w:sz w:val="22"/>
              </w:rPr>
            </w:pPr>
          </w:p>
        </w:tc>
        <w:tc>
          <w:tcPr>
            <w:tcW w:w="2723" w:type="dxa"/>
            <w:gridSpan w:val="2"/>
          </w:tcPr>
          <w:p w14:paraId="13AD3D5E" w14:textId="77777777" w:rsidR="009137D6" w:rsidRPr="00362BA7" w:rsidRDefault="009137D6" w:rsidP="0046482D">
            <w:pPr>
              <w:spacing w:after="160" w:line="259" w:lineRule="auto"/>
              <w:rPr>
                <w:b/>
                <w:bCs/>
                <w:sz w:val="22"/>
              </w:rPr>
            </w:pPr>
            <w:r w:rsidRPr="00362BA7">
              <w:rPr>
                <w:b/>
                <w:bCs/>
                <w:sz w:val="22"/>
              </w:rPr>
              <w:t>Fridon Buadze</w:t>
            </w:r>
          </w:p>
        </w:tc>
        <w:tc>
          <w:tcPr>
            <w:tcW w:w="5386" w:type="dxa"/>
          </w:tcPr>
          <w:p w14:paraId="78180222" w14:textId="77777777" w:rsidR="009137D6" w:rsidRPr="00362BA7" w:rsidRDefault="009137D6" w:rsidP="0046482D">
            <w:pPr>
              <w:spacing w:after="160" w:line="259" w:lineRule="auto"/>
              <w:rPr>
                <w:b/>
                <w:bCs/>
                <w:sz w:val="22"/>
              </w:rPr>
            </w:pPr>
            <w:r w:rsidRPr="00362BA7">
              <w:rPr>
                <w:b/>
                <w:bCs/>
                <w:sz w:val="22"/>
              </w:rPr>
              <w:t>College Erqvani, Ambrolauri, Racha</w:t>
            </w:r>
          </w:p>
        </w:tc>
      </w:tr>
      <w:tr w:rsidR="009137D6" w:rsidRPr="00362BA7" w14:paraId="38717CF7" w14:textId="77777777" w:rsidTr="009137D6">
        <w:tc>
          <w:tcPr>
            <w:tcW w:w="1667" w:type="dxa"/>
          </w:tcPr>
          <w:p w14:paraId="1F11CBF2" w14:textId="77777777" w:rsidR="001B6808" w:rsidRPr="00362BA7" w:rsidRDefault="001B6808" w:rsidP="006031BF">
            <w:pPr>
              <w:numPr>
                <w:ilvl w:val="0"/>
                <w:numId w:val="20"/>
              </w:numPr>
              <w:spacing w:after="160" w:line="259" w:lineRule="auto"/>
              <w:jc w:val="left"/>
              <w:rPr>
                <w:b/>
                <w:bCs/>
                <w:sz w:val="22"/>
              </w:rPr>
            </w:pPr>
          </w:p>
        </w:tc>
        <w:tc>
          <w:tcPr>
            <w:tcW w:w="2723" w:type="dxa"/>
            <w:gridSpan w:val="2"/>
          </w:tcPr>
          <w:p w14:paraId="08C9B292" w14:textId="77777777" w:rsidR="009137D6" w:rsidRPr="00362BA7" w:rsidRDefault="009137D6" w:rsidP="0046482D">
            <w:pPr>
              <w:spacing w:after="160" w:line="259" w:lineRule="auto"/>
              <w:rPr>
                <w:b/>
                <w:bCs/>
                <w:sz w:val="22"/>
              </w:rPr>
            </w:pPr>
            <w:r w:rsidRPr="00362BA7">
              <w:rPr>
                <w:b/>
                <w:bCs/>
                <w:sz w:val="22"/>
              </w:rPr>
              <w:t>Irma Megrelidze</w:t>
            </w:r>
          </w:p>
        </w:tc>
        <w:tc>
          <w:tcPr>
            <w:tcW w:w="5386" w:type="dxa"/>
          </w:tcPr>
          <w:p w14:paraId="3CD45299" w14:textId="77777777" w:rsidR="009137D6" w:rsidRPr="00362BA7" w:rsidRDefault="009137D6" w:rsidP="0046482D">
            <w:pPr>
              <w:spacing w:after="160" w:line="259" w:lineRule="auto"/>
              <w:rPr>
                <w:b/>
                <w:bCs/>
                <w:sz w:val="22"/>
              </w:rPr>
            </w:pPr>
            <w:r w:rsidRPr="00362BA7">
              <w:rPr>
                <w:b/>
                <w:bCs/>
                <w:sz w:val="22"/>
              </w:rPr>
              <w:t>College New Ware, Kobuleti, Adjara</w:t>
            </w:r>
          </w:p>
        </w:tc>
      </w:tr>
      <w:tr w:rsidR="009137D6" w:rsidRPr="00362BA7" w14:paraId="5888D023" w14:textId="77777777" w:rsidTr="009137D6">
        <w:tc>
          <w:tcPr>
            <w:tcW w:w="1667" w:type="dxa"/>
          </w:tcPr>
          <w:p w14:paraId="74D3F136" w14:textId="77777777" w:rsidR="001B6808" w:rsidRPr="00362BA7" w:rsidRDefault="001B6808" w:rsidP="006031BF">
            <w:pPr>
              <w:numPr>
                <w:ilvl w:val="0"/>
                <w:numId w:val="20"/>
              </w:numPr>
              <w:spacing w:after="160" w:line="259" w:lineRule="auto"/>
              <w:jc w:val="left"/>
              <w:rPr>
                <w:b/>
                <w:bCs/>
                <w:sz w:val="22"/>
              </w:rPr>
            </w:pPr>
          </w:p>
        </w:tc>
        <w:tc>
          <w:tcPr>
            <w:tcW w:w="2723" w:type="dxa"/>
            <w:gridSpan w:val="2"/>
          </w:tcPr>
          <w:p w14:paraId="01D98A86" w14:textId="77777777" w:rsidR="009137D6" w:rsidRPr="00362BA7" w:rsidRDefault="009137D6" w:rsidP="0046482D">
            <w:pPr>
              <w:spacing w:after="160" w:line="259" w:lineRule="auto"/>
              <w:rPr>
                <w:b/>
                <w:bCs/>
                <w:sz w:val="22"/>
              </w:rPr>
            </w:pPr>
            <w:r w:rsidRPr="00362BA7">
              <w:rPr>
                <w:b/>
                <w:bCs/>
                <w:sz w:val="22"/>
              </w:rPr>
              <w:t>George Gogitidze</w:t>
            </w:r>
          </w:p>
        </w:tc>
        <w:tc>
          <w:tcPr>
            <w:tcW w:w="5386" w:type="dxa"/>
          </w:tcPr>
          <w:p w14:paraId="11A3EB5C" w14:textId="77777777" w:rsidR="009137D6" w:rsidRPr="00362BA7" w:rsidRDefault="009137D6" w:rsidP="0046482D">
            <w:pPr>
              <w:spacing w:after="160" w:line="259" w:lineRule="auto"/>
              <w:rPr>
                <w:b/>
                <w:bCs/>
                <w:sz w:val="22"/>
              </w:rPr>
            </w:pPr>
            <w:r w:rsidRPr="00362BA7">
              <w:rPr>
                <w:b/>
                <w:bCs/>
                <w:sz w:val="22"/>
              </w:rPr>
              <w:t>College BlackSea, Batumi, Adjara</w:t>
            </w:r>
          </w:p>
        </w:tc>
      </w:tr>
      <w:tr w:rsidR="009137D6" w:rsidRPr="00362BA7" w14:paraId="5C2978C9" w14:textId="77777777" w:rsidTr="009137D6">
        <w:tc>
          <w:tcPr>
            <w:tcW w:w="1667" w:type="dxa"/>
          </w:tcPr>
          <w:p w14:paraId="13A5A389" w14:textId="77777777" w:rsidR="001B6808" w:rsidRPr="00362BA7" w:rsidRDefault="001B6808" w:rsidP="006031BF">
            <w:pPr>
              <w:numPr>
                <w:ilvl w:val="0"/>
                <w:numId w:val="20"/>
              </w:numPr>
              <w:spacing w:after="160" w:line="259" w:lineRule="auto"/>
              <w:jc w:val="left"/>
              <w:rPr>
                <w:b/>
                <w:bCs/>
                <w:sz w:val="22"/>
              </w:rPr>
            </w:pPr>
          </w:p>
        </w:tc>
        <w:tc>
          <w:tcPr>
            <w:tcW w:w="2723" w:type="dxa"/>
            <w:gridSpan w:val="2"/>
          </w:tcPr>
          <w:p w14:paraId="547F89EC" w14:textId="77777777" w:rsidR="009137D6" w:rsidRPr="00362BA7" w:rsidRDefault="009137D6" w:rsidP="0046482D">
            <w:pPr>
              <w:spacing w:after="160" w:line="259" w:lineRule="auto"/>
              <w:rPr>
                <w:b/>
                <w:bCs/>
                <w:sz w:val="22"/>
              </w:rPr>
            </w:pPr>
            <w:r w:rsidRPr="00362BA7">
              <w:rPr>
                <w:b/>
                <w:bCs/>
                <w:sz w:val="22"/>
              </w:rPr>
              <w:t>Nana Jolia</w:t>
            </w:r>
          </w:p>
        </w:tc>
        <w:tc>
          <w:tcPr>
            <w:tcW w:w="5386" w:type="dxa"/>
          </w:tcPr>
          <w:p w14:paraId="3BDB03B1" w14:textId="77777777" w:rsidR="009137D6" w:rsidRPr="00362BA7" w:rsidRDefault="009137D6" w:rsidP="0046482D">
            <w:pPr>
              <w:spacing w:after="160" w:line="259" w:lineRule="auto"/>
              <w:rPr>
                <w:b/>
                <w:bCs/>
                <w:sz w:val="22"/>
              </w:rPr>
            </w:pPr>
            <w:r w:rsidRPr="00362BA7">
              <w:rPr>
                <w:b/>
                <w:bCs/>
                <w:sz w:val="22"/>
              </w:rPr>
              <w:t>College Horizonti, Ozurgeti, Guria</w:t>
            </w:r>
          </w:p>
        </w:tc>
      </w:tr>
      <w:tr w:rsidR="009137D6" w:rsidRPr="00362BA7" w14:paraId="75709134" w14:textId="77777777" w:rsidTr="009137D6">
        <w:tc>
          <w:tcPr>
            <w:tcW w:w="1667" w:type="dxa"/>
          </w:tcPr>
          <w:p w14:paraId="3E0BAEE8" w14:textId="77777777" w:rsidR="001B6808" w:rsidRPr="00362BA7" w:rsidRDefault="001B6808" w:rsidP="006031BF">
            <w:pPr>
              <w:numPr>
                <w:ilvl w:val="0"/>
                <w:numId w:val="20"/>
              </w:numPr>
              <w:spacing w:after="160" w:line="259" w:lineRule="auto"/>
              <w:jc w:val="left"/>
              <w:rPr>
                <w:b/>
                <w:bCs/>
                <w:sz w:val="22"/>
              </w:rPr>
            </w:pPr>
          </w:p>
        </w:tc>
        <w:tc>
          <w:tcPr>
            <w:tcW w:w="2723" w:type="dxa"/>
            <w:gridSpan w:val="2"/>
          </w:tcPr>
          <w:p w14:paraId="6141C5BB" w14:textId="77777777" w:rsidR="009137D6" w:rsidRPr="00362BA7" w:rsidRDefault="009137D6" w:rsidP="0046482D">
            <w:pPr>
              <w:spacing w:after="160" w:line="259" w:lineRule="auto"/>
              <w:rPr>
                <w:b/>
                <w:bCs/>
                <w:sz w:val="22"/>
              </w:rPr>
            </w:pPr>
            <w:r w:rsidRPr="00362BA7">
              <w:rPr>
                <w:b/>
                <w:bCs/>
                <w:sz w:val="22"/>
              </w:rPr>
              <w:t>Gela Macharashvili</w:t>
            </w:r>
          </w:p>
        </w:tc>
        <w:tc>
          <w:tcPr>
            <w:tcW w:w="5386" w:type="dxa"/>
          </w:tcPr>
          <w:p w14:paraId="334B93C4" w14:textId="77777777" w:rsidR="009137D6" w:rsidRPr="00362BA7" w:rsidRDefault="009137D6" w:rsidP="0046482D">
            <w:pPr>
              <w:spacing w:after="160" w:line="259" w:lineRule="auto"/>
              <w:rPr>
                <w:b/>
                <w:bCs/>
                <w:sz w:val="22"/>
              </w:rPr>
            </w:pPr>
            <w:r w:rsidRPr="00362BA7">
              <w:rPr>
                <w:b/>
                <w:bCs/>
                <w:sz w:val="22"/>
              </w:rPr>
              <w:t>Korbouli Public School #2 , Imereti</w:t>
            </w:r>
          </w:p>
        </w:tc>
      </w:tr>
      <w:tr w:rsidR="009137D6" w:rsidRPr="00362BA7" w14:paraId="4027B17D" w14:textId="77777777" w:rsidTr="009137D6">
        <w:tc>
          <w:tcPr>
            <w:tcW w:w="1667" w:type="dxa"/>
          </w:tcPr>
          <w:p w14:paraId="7A7F7145" w14:textId="77777777" w:rsidR="001B6808" w:rsidRPr="00362BA7" w:rsidRDefault="001B6808" w:rsidP="006031BF">
            <w:pPr>
              <w:numPr>
                <w:ilvl w:val="0"/>
                <w:numId w:val="20"/>
              </w:numPr>
              <w:spacing w:after="160" w:line="259" w:lineRule="auto"/>
              <w:jc w:val="left"/>
              <w:rPr>
                <w:b/>
                <w:bCs/>
                <w:sz w:val="22"/>
              </w:rPr>
            </w:pPr>
          </w:p>
        </w:tc>
        <w:tc>
          <w:tcPr>
            <w:tcW w:w="2723" w:type="dxa"/>
            <w:gridSpan w:val="2"/>
          </w:tcPr>
          <w:p w14:paraId="06296E2A" w14:textId="77777777" w:rsidR="009137D6" w:rsidRPr="00362BA7" w:rsidRDefault="009137D6" w:rsidP="0046482D">
            <w:pPr>
              <w:spacing w:after="160" w:line="259" w:lineRule="auto"/>
              <w:rPr>
                <w:b/>
                <w:bCs/>
                <w:sz w:val="22"/>
              </w:rPr>
            </w:pPr>
            <w:r w:rsidRPr="00362BA7">
              <w:rPr>
                <w:b/>
                <w:bCs/>
                <w:sz w:val="22"/>
              </w:rPr>
              <w:t>Nato Jankhoteli</w:t>
            </w:r>
          </w:p>
        </w:tc>
        <w:tc>
          <w:tcPr>
            <w:tcW w:w="5386" w:type="dxa"/>
          </w:tcPr>
          <w:p w14:paraId="7E73EBBD" w14:textId="77777777" w:rsidR="009137D6" w:rsidRPr="00362BA7" w:rsidRDefault="009137D6" w:rsidP="0046482D">
            <w:pPr>
              <w:spacing w:after="160" w:line="259" w:lineRule="auto"/>
              <w:rPr>
                <w:b/>
                <w:bCs/>
                <w:sz w:val="22"/>
              </w:rPr>
            </w:pPr>
            <w:r w:rsidRPr="00362BA7">
              <w:rPr>
                <w:b/>
                <w:bCs/>
                <w:sz w:val="22"/>
              </w:rPr>
              <w:t>SchoolsLentekhi #1 Public School Racha-Leckhumi, Qvemo Svaneti</w:t>
            </w:r>
          </w:p>
        </w:tc>
      </w:tr>
      <w:tr w:rsidR="009137D6" w:rsidRPr="00362BA7" w14:paraId="60D80AAE" w14:textId="77777777" w:rsidTr="009137D6">
        <w:trPr>
          <w:gridAfter w:val="2"/>
          <w:wAfter w:w="5764" w:type="dxa"/>
        </w:trPr>
        <w:tc>
          <w:tcPr>
            <w:tcW w:w="4012" w:type="dxa"/>
            <w:gridSpan w:val="2"/>
          </w:tcPr>
          <w:p w14:paraId="4DD0DDC1" w14:textId="77777777" w:rsidR="009137D6" w:rsidRPr="00362BA7" w:rsidRDefault="009137D6" w:rsidP="0046482D">
            <w:pPr>
              <w:spacing w:after="160" w:line="259" w:lineRule="auto"/>
              <w:rPr>
                <w:b/>
                <w:bCs/>
                <w:sz w:val="22"/>
              </w:rPr>
            </w:pPr>
            <w:r w:rsidRPr="00362BA7">
              <w:rPr>
                <w:b/>
                <w:bCs/>
                <w:sz w:val="22"/>
              </w:rPr>
              <w:t>Civil society representatives</w:t>
            </w:r>
          </w:p>
        </w:tc>
      </w:tr>
      <w:tr w:rsidR="009137D6" w:rsidRPr="00362BA7" w14:paraId="5D6CBBDE" w14:textId="77777777" w:rsidTr="009137D6">
        <w:tc>
          <w:tcPr>
            <w:tcW w:w="1667" w:type="dxa"/>
          </w:tcPr>
          <w:p w14:paraId="5B1E9FAF" w14:textId="77777777" w:rsidR="001B6808" w:rsidRPr="00362BA7" w:rsidRDefault="001B6808" w:rsidP="006031BF">
            <w:pPr>
              <w:numPr>
                <w:ilvl w:val="0"/>
                <w:numId w:val="20"/>
              </w:numPr>
              <w:spacing w:after="160" w:line="259" w:lineRule="auto"/>
              <w:jc w:val="left"/>
              <w:rPr>
                <w:b/>
                <w:bCs/>
                <w:sz w:val="22"/>
              </w:rPr>
            </w:pPr>
          </w:p>
        </w:tc>
        <w:tc>
          <w:tcPr>
            <w:tcW w:w="2723" w:type="dxa"/>
            <w:gridSpan w:val="2"/>
          </w:tcPr>
          <w:p w14:paraId="40E0DAAF" w14:textId="77777777" w:rsidR="009137D6" w:rsidRPr="00362BA7" w:rsidRDefault="009137D6" w:rsidP="0046482D">
            <w:pPr>
              <w:spacing w:after="160" w:line="259" w:lineRule="auto"/>
              <w:rPr>
                <w:b/>
                <w:bCs/>
                <w:sz w:val="22"/>
              </w:rPr>
            </w:pPr>
            <w:r w:rsidRPr="00362BA7">
              <w:rPr>
                <w:b/>
                <w:bCs/>
                <w:sz w:val="22"/>
              </w:rPr>
              <w:t>Gubaz Koberidze</w:t>
            </w:r>
          </w:p>
        </w:tc>
        <w:tc>
          <w:tcPr>
            <w:tcW w:w="5386" w:type="dxa"/>
          </w:tcPr>
          <w:p w14:paraId="0D324AD0" w14:textId="77777777" w:rsidR="009137D6" w:rsidRPr="00362BA7" w:rsidRDefault="009137D6" w:rsidP="0046482D">
            <w:pPr>
              <w:spacing w:after="160" w:line="259" w:lineRule="auto"/>
              <w:rPr>
                <w:b/>
                <w:bCs/>
                <w:sz w:val="22"/>
              </w:rPr>
            </w:pPr>
            <w:r w:rsidRPr="00362BA7">
              <w:rPr>
                <w:b/>
                <w:bCs/>
                <w:sz w:val="22"/>
              </w:rPr>
              <w:t>Georgian Youth Workers Association</w:t>
            </w:r>
          </w:p>
        </w:tc>
      </w:tr>
      <w:tr w:rsidR="009137D6" w:rsidRPr="00362BA7" w14:paraId="74AEE179" w14:textId="77777777" w:rsidTr="009137D6">
        <w:tc>
          <w:tcPr>
            <w:tcW w:w="1667" w:type="dxa"/>
          </w:tcPr>
          <w:p w14:paraId="2F70173B" w14:textId="77777777" w:rsidR="001B6808" w:rsidRPr="00362BA7" w:rsidRDefault="001B6808" w:rsidP="006031BF">
            <w:pPr>
              <w:numPr>
                <w:ilvl w:val="0"/>
                <w:numId w:val="20"/>
              </w:numPr>
              <w:spacing w:after="160" w:line="259" w:lineRule="auto"/>
              <w:jc w:val="left"/>
              <w:rPr>
                <w:b/>
                <w:bCs/>
                <w:sz w:val="22"/>
              </w:rPr>
            </w:pPr>
          </w:p>
        </w:tc>
        <w:tc>
          <w:tcPr>
            <w:tcW w:w="2723" w:type="dxa"/>
            <w:gridSpan w:val="2"/>
          </w:tcPr>
          <w:p w14:paraId="7A37F544" w14:textId="77777777" w:rsidR="009137D6" w:rsidRPr="00362BA7" w:rsidRDefault="009137D6" w:rsidP="0046482D">
            <w:pPr>
              <w:spacing w:after="160" w:line="259" w:lineRule="auto"/>
              <w:rPr>
                <w:b/>
                <w:bCs/>
                <w:sz w:val="22"/>
              </w:rPr>
            </w:pPr>
            <w:r w:rsidRPr="00362BA7">
              <w:rPr>
                <w:b/>
                <w:bCs/>
                <w:sz w:val="22"/>
              </w:rPr>
              <w:t>Ms Khatuna Ioseliani</w:t>
            </w:r>
          </w:p>
        </w:tc>
        <w:tc>
          <w:tcPr>
            <w:tcW w:w="5386" w:type="dxa"/>
          </w:tcPr>
          <w:p w14:paraId="4FC932CE" w14:textId="77777777" w:rsidR="009137D6" w:rsidRPr="00362BA7" w:rsidRDefault="009137D6" w:rsidP="0046482D">
            <w:pPr>
              <w:spacing w:after="160" w:line="259" w:lineRule="auto"/>
              <w:rPr>
                <w:b/>
                <w:bCs/>
                <w:sz w:val="22"/>
              </w:rPr>
            </w:pPr>
            <w:r w:rsidRPr="00362BA7">
              <w:rPr>
                <w:b/>
                <w:bCs/>
                <w:sz w:val="22"/>
              </w:rPr>
              <w:t>Open Society Georgia Foundation OSGF</w:t>
            </w:r>
          </w:p>
        </w:tc>
      </w:tr>
      <w:tr w:rsidR="009137D6" w:rsidRPr="00362BA7" w14:paraId="16F136B0" w14:textId="77777777" w:rsidTr="009137D6">
        <w:tc>
          <w:tcPr>
            <w:tcW w:w="1667" w:type="dxa"/>
          </w:tcPr>
          <w:p w14:paraId="740CDA96" w14:textId="77777777" w:rsidR="001B6808" w:rsidRPr="00362BA7" w:rsidRDefault="001B6808" w:rsidP="006031BF">
            <w:pPr>
              <w:numPr>
                <w:ilvl w:val="0"/>
                <w:numId w:val="20"/>
              </w:numPr>
              <w:spacing w:after="160" w:line="259" w:lineRule="auto"/>
              <w:jc w:val="left"/>
              <w:rPr>
                <w:b/>
                <w:bCs/>
                <w:sz w:val="22"/>
              </w:rPr>
            </w:pPr>
          </w:p>
        </w:tc>
        <w:tc>
          <w:tcPr>
            <w:tcW w:w="2723" w:type="dxa"/>
            <w:gridSpan w:val="2"/>
          </w:tcPr>
          <w:p w14:paraId="2C2AA19B" w14:textId="77777777" w:rsidR="009137D6" w:rsidRPr="00362BA7" w:rsidRDefault="009137D6" w:rsidP="0046482D">
            <w:pPr>
              <w:spacing w:after="160" w:line="259" w:lineRule="auto"/>
              <w:rPr>
                <w:b/>
                <w:bCs/>
                <w:sz w:val="22"/>
              </w:rPr>
            </w:pPr>
            <w:r w:rsidRPr="00362BA7">
              <w:rPr>
                <w:b/>
                <w:bCs/>
                <w:sz w:val="22"/>
              </w:rPr>
              <w:t>Ms Tamta Utiashvili</w:t>
            </w:r>
          </w:p>
        </w:tc>
        <w:tc>
          <w:tcPr>
            <w:tcW w:w="5386" w:type="dxa"/>
          </w:tcPr>
          <w:p w14:paraId="7A868D8C" w14:textId="77777777" w:rsidR="009137D6" w:rsidRPr="00362BA7" w:rsidRDefault="009137D6" w:rsidP="0046482D">
            <w:pPr>
              <w:spacing w:after="160" w:line="259" w:lineRule="auto"/>
              <w:rPr>
                <w:b/>
                <w:bCs/>
                <w:sz w:val="22"/>
              </w:rPr>
            </w:pPr>
            <w:r w:rsidRPr="00362BA7">
              <w:rPr>
                <w:b/>
                <w:bCs/>
                <w:sz w:val="22"/>
              </w:rPr>
              <w:t>Save the Children</w:t>
            </w:r>
          </w:p>
        </w:tc>
      </w:tr>
    </w:tbl>
    <w:p w14:paraId="3ECBB71C" w14:textId="77777777" w:rsidR="009137D6" w:rsidRPr="00362BA7" w:rsidRDefault="009137D6" w:rsidP="009137D6">
      <w:pPr>
        <w:spacing w:after="160" w:line="259" w:lineRule="auto"/>
        <w:jc w:val="left"/>
        <w:rPr>
          <w:b/>
          <w:bCs/>
          <w:sz w:val="22"/>
        </w:rPr>
      </w:pPr>
    </w:p>
    <w:p w14:paraId="283C775A" w14:textId="77777777" w:rsidR="009137D6" w:rsidRPr="00362BA7" w:rsidRDefault="009137D6" w:rsidP="009137D6">
      <w:pPr>
        <w:spacing w:after="160" w:line="259" w:lineRule="auto"/>
        <w:jc w:val="left"/>
        <w:rPr>
          <w:b/>
          <w:bCs/>
          <w:sz w:val="22"/>
        </w:rPr>
      </w:pPr>
    </w:p>
    <w:p w14:paraId="32BB8ACB" w14:textId="77777777" w:rsidR="009137D6" w:rsidRPr="00362BA7" w:rsidRDefault="009137D6" w:rsidP="009137D6">
      <w:pPr>
        <w:spacing w:after="160" w:line="259" w:lineRule="auto"/>
        <w:jc w:val="left"/>
        <w:rPr>
          <w:b/>
          <w:bCs/>
          <w:sz w:val="22"/>
        </w:rPr>
      </w:pPr>
    </w:p>
    <w:p w14:paraId="3776CAA9" w14:textId="77777777" w:rsidR="00A4310A" w:rsidRPr="00A4310A" w:rsidRDefault="00A4310A" w:rsidP="009137D6">
      <w:pPr>
        <w:rPr>
          <w:lang w:val="en-US" w:eastAsia="en-GB"/>
        </w:rPr>
        <w:sectPr w:rsidR="00A4310A" w:rsidRPr="00A4310A" w:rsidSect="00F72DC0">
          <w:pgSz w:w="15840" w:h="12240" w:orient="landscape"/>
          <w:pgMar w:top="1440" w:right="1440" w:bottom="1440" w:left="1440" w:header="720" w:footer="720" w:gutter="0"/>
          <w:cols w:space="720"/>
          <w:docGrid w:linePitch="360"/>
        </w:sectPr>
      </w:pPr>
    </w:p>
    <w:p w14:paraId="1AF4B110" w14:textId="3C46C9BC" w:rsidR="00AB4549" w:rsidRDefault="00AB4549" w:rsidP="00AB4549">
      <w:pPr>
        <w:pStyle w:val="Heading2"/>
      </w:pPr>
      <w:bookmarkStart w:id="75" w:name="_Toc155599404"/>
      <w:r>
        <w:lastRenderedPageBreak/>
        <w:t>Annex 4</w:t>
      </w:r>
      <w:bookmarkEnd w:id="75"/>
    </w:p>
    <w:p w14:paraId="0E43C8FB" w14:textId="77777777" w:rsidR="00AB4549" w:rsidRDefault="00AB4549" w:rsidP="00B4176A">
      <w:pPr>
        <w:spacing w:line="264" w:lineRule="auto"/>
        <w:jc w:val="center"/>
        <w:rPr>
          <w:rFonts w:cstheme="minorHAnsi"/>
          <w:b/>
        </w:rPr>
      </w:pPr>
    </w:p>
    <w:p w14:paraId="38224384" w14:textId="2569BF6B" w:rsidR="00AB4549" w:rsidRDefault="00AB4549" w:rsidP="00AB4549">
      <w:pPr>
        <w:spacing w:line="264" w:lineRule="auto"/>
        <w:jc w:val="left"/>
        <w:rPr>
          <w:rFonts w:cstheme="minorHAnsi"/>
          <w:b/>
        </w:rPr>
      </w:pPr>
      <w:r>
        <w:rPr>
          <w:rFonts w:cstheme="minorHAnsi"/>
          <w:b/>
        </w:rPr>
        <w:t>List of categories of documents reviewed</w:t>
      </w:r>
    </w:p>
    <w:p w14:paraId="1FF18FC1" w14:textId="77777777" w:rsidR="008A656E" w:rsidRDefault="008A656E" w:rsidP="00AB4549">
      <w:pPr>
        <w:spacing w:line="264" w:lineRule="auto"/>
        <w:jc w:val="left"/>
        <w:rPr>
          <w:rFonts w:cstheme="minorHAnsi"/>
          <w:b/>
        </w:rPr>
      </w:pPr>
    </w:p>
    <w:p w14:paraId="0FB0A6A5" w14:textId="77777777" w:rsidR="008A656E" w:rsidRPr="008A656E" w:rsidRDefault="008A656E" w:rsidP="006031BF">
      <w:pPr>
        <w:pStyle w:val="ListParagraph"/>
        <w:numPr>
          <w:ilvl w:val="0"/>
          <w:numId w:val="19"/>
        </w:numPr>
        <w:rPr>
          <w:szCs w:val="24"/>
        </w:rPr>
      </w:pPr>
      <w:r w:rsidRPr="008A656E">
        <w:rPr>
          <w:szCs w:val="24"/>
        </w:rPr>
        <w:t>CBLLL Project Document and Annexes</w:t>
      </w:r>
    </w:p>
    <w:p w14:paraId="06F5C6F6" w14:textId="77777777" w:rsidR="008A656E" w:rsidRPr="008A656E" w:rsidRDefault="008A656E" w:rsidP="006031BF">
      <w:pPr>
        <w:pStyle w:val="ListParagraph"/>
        <w:numPr>
          <w:ilvl w:val="0"/>
          <w:numId w:val="19"/>
        </w:numPr>
        <w:rPr>
          <w:szCs w:val="24"/>
        </w:rPr>
      </w:pPr>
      <w:r w:rsidRPr="008A656E">
        <w:rPr>
          <w:szCs w:val="24"/>
        </w:rPr>
        <w:t>Responsible Party Agreements and amendments</w:t>
      </w:r>
    </w:p>
    <w:p w14:paraId="1DDE75A1" w14:textId="77777777" w:rsidR="008A656E" w:rsidRPr="008A656E" w:rsidRDefault="008A656E" w:rsidP="006031BF">
      <w:pPr>
        <w:pStyle w:val="ListParagraph"/>
        <w:numPr>
          <w:ilvl w:val="0"/>
          <w:numId w:val="19"/>
        </w:numPr>
        <w:rPr>
          <w:szCs w:val="24"/>
        </w:rPr>
      </w:pPr>
      <w:r w:rsidRPr="008A656E">
        <w:rPr>
          <w:szCs w:val="24"/>
        </w:rPr>
        <w:t>Project Work Plans</w:t>
      </w:r>
    </w:p>
    <w:p w14:paraId="7A53660B" w14:textId="77777777" w:rsidR="008A656E" w:rsidRPr="008A656E" w:rsidRDefault="008A656E" w:rsidP="006031BF">
      <w:pPr>
        <w:pStyle w:val="ListParagraph"/>
        <w:numPr>
          <w:ilvl w:val="0"/>
          <w:numId w:val="19"/>
        </w:numPr>
        <w:rPr>
          <w:szCs w:val="24"/>
        </w:rPr>
      </w:pPr>
      <w:r w:rsidRPr="008A656E">
        <w:rPr>
          <w:szCs w:val="24"/>
        </w:rPr>
        <w:t>Budgets</w:t>
      </w:r>
    </w:p>
    <w:p w14:paraId="6C7EBBEA" w14:textId="77777777" w:rsidR="008A656E" w:rsidRPr="008A656E" w:rsidRDefault="008A656E" w:rsidP="006031BF">
      <w:pPr>
        <w:pStyle w:val="ListParagraph"/>
        <w:numPr>
          <w:ilvl w:val="0"/>
          <w:numId w:val="19"/>
        </w:numPr>
        <w:rPr>
          <w:szCs w:val="24"/>
        </w:rPr>
      </w:pPr>
      <w:r w:rsidRPr="008A656E">
        <w:rPr>
          <w:szCs w:val="24"/>
        </w:rPr>
        <w:t>CBLLL periodic Progress Reports</w:t>
      </w:r>
    </w:p>
    <w:p w14:paraId="54FBED07" w14:textId="77777777" w:rsidR="008A656E" w:rsidRPr="008A656E" w:rsidRDefault="008A656E" w:rsidP="006031BF">
      <w:pPr>
        <w:pStyle w:val="ListParagraph"/>
        <w:numPr>
          <w:ilvl w:val="0"/>
          <w:numId w:val="19"/>
        </w:numPr>
        <w:rPr>
          <w:szCs w:val="24"/>
        </w:rPr>
      </w:pPr>
      <w:r w:rsidRPr="008A656E">
        <w:rPr>
          <w:szCs w:val="24"/>
        </w:rPr>
        <w:t>Notes from Project Board Meetings</w:t>
      </w:r>
    </w:p>
    <w:p w14:paraId="5FC10A78" w14:textId="77777777" w:rsidR="008A656E" w:rsidRPr="008A656E" w:rsidRDefault="008A656E" w:rsidP="006031BF">
      <w:pPr>
        <w:pStyle w:val="ListParagraph"/>
        <w:numPr>
          <w:ilvl w:val="0"/>
          <w:numId w:val="19"/>
        </w:numPr>
        <w:rPr>
          <w:szCs w:val="24"/>
        </w:rPr>
      </w:pPr>
      <w:r w:rsidRPr="008A656E">
        <w:rPr>
          <w:szCs w:val="24"/>
        </w:rPr>
        <w:t>Modules, guidelines, frameworks and strategies delivered by the CBLLL Project</w:t>
      </w:r>
    </w:p>
    <w:p w14:paraId="0BBB9123" w14:textId="77777777" w:rsidR="008A656E" w:rsidRPr="008A656E" w:rsidRDefault="008A656E" w:rsidP="006031BF">
      <w:pPr>
        <w:pStyle w:val="ListParagraph"/>
        <w:numPr>
          <w:ilvl w:val="0"/>
          <w:numId w:val="19"/>
        </w:numPr>
        <w:rPr>
          <w:szCs w:val="24"/>
        </w:rPr>
      </w:pPr>
      <w:r w:rsidRPr="008A656E">
        <w:rPr>
          <w:szCs w:val="24"/>
        </w:rPr>
        <w:t>Other documents produced by the CBLLL project</w:t>
      </w:r>
    </w:p>
    <w:p w14:paraId="35BBA2A3" w14:textId="77777777" w:rsidR="008A656E" w:rsidRPr="008A656E" w:rsidRDefault="008A656E" w:rsidP="006031BF">
      <w:pPr>
        <w:pStyle w:val="ListParagraph"/>
        <w:numPr>
          <w:ilvl w:val="0"/>
          <w:numId w:val="19"/>
        </w:numPr>
        <w:rPr>
          <w:szCs w:val="24"/>
        </w:rPr>
      </w:pPr>
      <w:r w:rsidRPr="008A656E">
        <w:rPr>
          <w:szCs w:val="24"/>
        </w:rPr>
        <w:t>Labour market studies</w:t>
      </w:r>
    </w:p>
    <w:p w14:paraId="7A5B2685" w14:textId="77777777" w:rsidR="008A656E" w:rsidRPr="008A656E" w:rsidRDefault="008A656E" w:rsidP="006031BF">
      <w:pPr>
        <w:pStyle w:val="ListParagraph"/>
        <w:numPr>
          <w:ilvl w:val="0"/>
          <w:numId w:val="19"/>
        </w:numPr>
        <w:rPr>
          <w:szCs w:val="24"/>
        </w:rPr>
      </w:pPr>
      <w:r w:rsidRPr="008A656E">
        <w:rPr>
          <w:szCs w:val="24"/>
        </w:rPr>
        <w:t>GoG VET regulations</w:t>
      </w:r>
    </w:p>
    <w:p w14:paraId="15E1BE52" w14:textId="77777777" w:rsidR="008A656E" w:rsidRPr="008A656E" w:rsidRDefault="008A656E" w:rsidP="006031BF">
      <w:pPr>
        <w:pStyle w:val="ListParagraph"/>
        <w:numPr>
          <w:ilvl w:val="0"/>
          <w:numId w:val="19"/>
        </w:numPr>
        <w:rPr>
          <w:szCs w:val="24"/>
        </w:rPr>
      </w:pPr>
      <w:r w:rsidRPr="008A656E">
        <w:rPr>
          <w:szCs w:val="24"/>
        </w:rPr>
        <w:t>VET legislation, policy documents and strategies</w:t>
      </w:r>
    </w:p>
    <w:p w14:paraId="104F08F6" w14:textId="77777777" w:rsidR="008A656E" w:rsidRPr="008A656E" w:rsidRDefault="008A656E" w:rsidP="006031BF">
      <w:pPr>
        <w:pStyle w:val="ListParagraph"/>
        <w:numPr>
          <w:ilvl w:val="0"/>
          <w:numId w:val="19"/>
        </w:numPr>
        <w:rPr>
          <w:szCs w:val="24"/>
        </w:rPr>
      </w:pPr>
      <w:r w:rsidRPr="008A656E">
        <w:rPr>
          <w:szCs w:val="24"/>
        </w:rPr>
        <w:t>GoG development plans</w:t>
      </w:r>
    </w:p>
    <w:p w14:paraId="4770EA7A" w14:textId="77777777" w:rsidR="008A656E" w:rsidRDefault="008A656E" w:rsidP="00AB4549">
      <w:pPr>
        <w:spacing w:line="264" w:lineRule="auto"/>
        <w:jc w:val="left"/>
        <w:rPr>
          <w:rFonts w:cstheme="minorHAnsi"/>
          <w:b/>
        </w:rPr>
      </w:pPr>
    </w:p>
    <w:sectPr w:rsidR="008A656E" w:rsidSect="00F72DC0">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FF7F2" w14:textId="77777777" w:rsidR="00F72DC0" w:rsidRDefault="00F72DC0" w:rsidP="00DD0528">
      <w:r>
        <w:separator/>
      </w:r>
    </w:p>
  </w:endnote>
  <w:endnote w:type="continuationSeparator" w:id="0">
    <w:p w14:paraId="7980050B" w14:textId="77777777" w:rsidR="00F72DC0" w:rsidRDefault="00F72DC0" w:rsidP="00DD0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isCTT">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7432F" w14:textId="77777777" w:rsidR="00F72DC0" w:rsidRDefault="00F72DC0" w:rsidP="00DD0528">
      <w:r>
        <w:separator/>
      </w:r>
    </w:p>
  </w:footnote>
  <w:footnote w:type="continuationSeparator" w:id="0">
    <w:p w14:paraId="64A1A598" w14:textId="77777777" w:rsidR="00F72DC0" w:rsidRDefault="00F72DC0" w:rsidP="00DD0528">
      <w:r>
        <w:continuationSeparator/>
      </w:r>
    </w:p>
  </w:footnote>
  <w:footnote w:id="1">
    <w:p w14:paraId="27960498" w14:textId="69F58252" w:rsidR="006A1C92" w:rsidRDefault="006A1C92">
      <w:pPr>
        <w:pStyle w:val="FootnoteText"/>
      </w:pPr>
      <w:r>
        <w:rPr>
          <w:rStyle w:val="FootnoteReference"/>
        </w:rPr>
        <w:footnoteRef/>
      </w:r>
      <w:r>
        <w:t xml:space="preserve"> </w:t>
      </w:r>
      <w:r w:rsidRPr="006A1C92">
        <w:t>Social-</w:t>
      </w:r>
      <w:r w:rsidR="00370E8E">
        <w:t>E</w:t>
      </w:r>
      <w:r w:rsidRPr="006A1C92">
        <w:t>conomic Development Strategy of Georgia – Georgia 202</w:t>
      </w:r>
      <w:r>
        <w:t>0, p.43</w:t>
      </w:r>
      <w:r w:rsidR="00341E09">
        <w:t xml:space="preserve">, </w:t>
      </w:r>
      <w:r w:rsidR="00341E09" w:rsidRPr="00341E09">
        <w:t>chrome-extension://efaidnbmnnnibpcajpcglclefindmkaj/https://faolex.fao.org/docs/pdf/geo171436.pdf</w:t>
      </w:r>
    </w:p>
  </w:footnote>
  <w:footnote w:id="2">
    <w:p w14:paraId="3DB5D1CA" w14:textId="77777777" w:rsidR="006A1C92" w:rsidRDefault="006A1C92" w:rsidP="006A1C92">
      <w:pPr>
        <w:pStyle w:val="FootnoteText"/>
      </w:pPr>
      <w:r>
        <w:rPr>
          <w:rStyle w:val="FootnoteReference"/>
        </w:rPr>
        <w:footnoteRef/>
      </w:r>
      <w:r>
        <w:t xml:space="preserve"> </w:t>
      </w:r>
      <w:r w:rsidRPr="00381796">
        <w:rPr>
          <w:lang w:val="hr-HR"/>
        </w:rPr>
        <w:t>ENDING POVERTY IN GEORGIA: NEW ECONOMIC MODELING, Givi Adeishvili Bazluh Khonder</w:t>
      </w:r>
      <w:r>
        <w:rPr>
          <w:lang w:val="hr-HR"/>
        </w:rPr>
        <w:t>, the World Bank 2021</w:t>
      </w:r>
    </w:p>
  </w:footnote>
  <w:footnote w:id="3">
    <w:p w14:paraId="0B2858DB" w14:textId="0FFEEBCA" w:rsidR="00E53F8E" w:rsidRDefault="00E53F8E">
      <w:pPr>
        <w:pStyle w:val="FootnoteText"/>
      </w:pPr>
      <w:r>
        <w:rPr>
          <w:rStyle w:val="FootnoteReference"/>
        </w:rPr>
        <w:footnoteRef/>
      </w:r>
      <w:r>
        <w:t xml:space="preserve"> Interview with international donor</w:t>
      </w:r>
      <w:r w:rsidR="00061DEA">
        <w:t xml:space="preserve">, </w:t>
      </w:r>
      <w:r>
        <w:t>December 2023.</w:t>
      </w:r>
    </w:p>
  </w:footnote>
  <w:footnote w:id="4">
    <w:p w14:paraId="1D031EFB" w14:textId="77777777" w:rsidR="00B306B5" w:rsidRDefault="00B306B5" w:rsidP="00B306B5">
      <w:pPr>
        <w:pStyle w:val="FootnoteText"/>
      </w:pPr>
      <w:r>
        <w:rPr>
          <w:rStyle w:val="FootnoteReference"/>
        </w:rPr>
        <w:footnoteRef/>
      </w:r>
      <w:r>
        <w:t xml:space="preserve"> See for example Feasibility Study on the New VET System Coordination Set Up, Analysis and Consulting Team and Tbilinomics Policy Advisors, September 2019.</w:t>
      </w:r>
    </w:p>
  </w:footnote>
  <w:footnote w:id="5">
    <w:p w14:paraId="3F58A693" w14:textId="22E5DEBA" w:rsidR="001225C9" w:rsidRDefault="001225C9">
      <w:pPr>
        <w:pStyle w:val="FootnoteText"/>
      </w:pPr>
      <w:r>
        <w:rPr>
          <w:rStyle w:val="FootnoteReference"/>
        </w:rPr>
        <w:footnoteRef/>
      </w:r>
      <w:r>
        <w:t xml:space="preserve"> </w:t>
      </w:r>
      <w:r>
        <w:rPr>
          <w:lang w:val="en-US"/>
        </w:rPr>
        <w:t>See for example</w:t>
      </w:r>
      <w:r w:rsidRPr="001225C9">
        <w:rPr>
          <w:lang w:val="en-US"/>
        </w:rPr>
        <w:t xml:space="preserve"> the MoES report:   </w:t>
      </w:r>
      <w:r w:rsidRPr="001225C9">
        <w:rPr>
          <w:i/>
          <w:iCs/>
        </w:rPr>
        <w:t>Vocational Education 2022 Report on the Action Plan of the Unified National Strategy for Education and Science of Georgia (2023).</w:t>
      </w:r>
      <w:r w:rsidRPr="001225C9">
        <w:rPr>
          <w:lang w:val="en-US"/>
        </w:rPr>
        <w:t xml:space="preserve">  </w:t>
      </w:r>
    </w:p>
  </w:footnote>
  <w:footnote w:id="6">
    <w:p w14:paraId="47ED44BA" w14:textId="1D2EE933" w:rsidR="00C131C3" w:rsidRDefault="00C131C3">
      <w:pPr>
        <w:pStyle w:val="FootnoteText"/>
      </w:pPr>
      <w:r>
        <w:rPr>
          <w:rStyle w:val="FootnoteReference"/>
        </w:rPr>
        <w:footnoteRef/>
      </w:r>
      <w:r>
        <w:t xml:space="preserve"> Interview with</w:t>
      </w:r>
      <w:r w:rsidRPr="00C131C3">
        <w:rPr>
          <w:sz w:val="24"/>
          <w:szCs w:val="22"/>
        </w:rPr>
        <w:t xml:space="preserve"> </w:t>
      </w:r>
      <w:r w:rsidRPr="00C131C3">
        <w:t>VET collage representative</w:t>
      </w:r>
      <w:r>
        <w:t xml:space="preserve">: </w:t>
      </w:r>
      <w:r w:rsidRPr="00C131C3">
        <w:t>“</w:t>
      </w:r>
      <w:r>
        <w:t>I</w:t>
      </w:r>
      <w:r w:rsidRPr="00C131C3">
        <w:rPr>
          <w:lang w:val="ka-GE"/>
        </w:rPr>
        <w:t>t's challenging for formal education providers to embrace the integration of non-formal education. Initially, there was a lack of understanding, but with the assistance of trainers, examples, and my guidance, they became convinced that better results emerge through the integration of formal and informal education.</w:t>
      </w:r>
      <w:r w:rsidRPr="00C131C3">
        <w:t>”</w:t>
      </w:r>
    </w:p>
  </w:footnote>
  <w:footnote w:id="7">
    <w:p w14:paraId="1D727794" w14:textId="51CFDADF" w:rsidR="00144623" w:rsidRPr="00144623" w:rsidRDefault="00144623" w:rsidP="00144623">
      <w:pPr>
        <w:pStyle w:val="FootnoteText"/>
      </w:pPr>
      <w:r>
        <w:rPr>
          <w:rStyle w:val="FootnoteReference"/>
        </w:rPr>
        <w:footnoteRef/>
      </w:r>
      <w:r>
        <w:t xml:space="preserve"> Head of one participating VET collage interviewed by the evaluation: </w:t>
      </w:r>
      <w:r w:rsidRPr="00144623">
        <w:rPr>
          <w:lang w:val="en-US"/>
        </w:rPr>
        <w:t>“</w:t>
      </w:r>
      <w:r w:rsidRPr="00144623">
        <w:rPr>
          <w:lang w:val="ka-GE"/>
        </w:rPr>
        <w:t xml:space="preserve">It happened that the project did not include the training of our entire staff. I </w:t>
      </w:r>
      <w:r>
        <w:t xml:space="preserve">therefore </w:t>
      </w:r>
      <w:r w:rsidRPr="00144623">
        <w:rPr>
          <w:lang w:val="ka-GE"/>
        </w:rPr>
        <w:t>financed</w:t>
      </w:r>
      <w:r>
        <w:t xml:space="preserve"> a second round of training</w:t>
      </w:r>
      <w:r w:rsidRPr="00144623">
        <w:rPr>
          <w:lang w:val="ka-GE"/>
        </w:rPr>
        <w:t xml:space="preserve"> with my own funds and involved a significant portion of my management team in the training with the</w:t>
      </w:r>
      <w:r w:rsidRPr="00144623">
        <w:rPr>
          <w:lang w:val="en-US"/>
        </w:rPr>
        <w:t xml:space="preserve"> same</w:t>
      </w:r>
      <w:r w:rsidRPr="00144623">
        <w:rPr>
          <w:lang w:val="ka-GE"/>
        </w:rPr>
        <w:t xml:space="preserve"> </w:t>
      </w:r>
      <w:r>
        <w:t xml:space="preserve">[CBLLL project] </w:t>
      </w:r>
      <w:r w:rsidRPr="00144623">
        <w:rPr>
          <w:lang w:val="ka-GE"/>
        </w:rPr>
        <w:t>instructors.</w:t>
      </w:r>
      <w:r w:rsidRPr="00144623">
        <w:t>”</w:t>
      </w:r>
    </w:p>
    <w:p w14:paraId="219CED5B" w14:textId="4B6226E1" w:rsidR="00144623" w:rsidRDefault="00144623">
      <w:pPr>
        <w:pStyle w:val="FootnoteText"/>
      </w:pPr>
    </w:p>
  </w:footnote>
  <w:footnote w:id="8">
    <w:p w14:paraId="27AFC481" w14:textId="6A566EAE" w:rsidR="003239AE" w:rsidRDefault="003239AE">
      <w:pPr>
        <w:pStyle w:val="FootnoteText"/>
      </w:pPr>
      <w:r>
        <w:rPr>
          <w:rStyle w:val="FootnoteReference"/>
        </w:rPr>
        <w:footnoteRef/>
      </w:r>
      <w:r>
        <w:t xml:space="preserve"> </w:t>
      </w:r>
      <w:r w:rsidR="003D6445">
        <w:t>T</w:t>
      </w:r>
      <w:r>
        <w:t xml:space="preserve">he </w:t>
      </w:r>
      <w:r w:rsidRPr="003239AE">
        <w:t xml:space="preserve">Letter of Agreement with UNDP/CBLLL was not signed until 11 May 2023. </w:t>
      </w:r>
    </w:p>
  </w:footnote>
  <w:footnote w:id="9">
    <w:p w14:paraId="16B0E938" w14:textId="4755C5C8" w:rsidR="003D6445" w:rsidRDefault="003D6445">
      <w:pPr>
        <w:pStyle w:val="FootnoteText"/>
      </w:pPr>
      <w:r>
        <w:rPr>
          <w:rStyle w:val="FootnoteReference"/>
        </w:rPr>
        <w:footnoteRef/>
      </w:r>
      <w:r>
        <w:t xml:space="preserve"> Interviews with representatives of the Skills Agency, December 2023.</w:t>
      </w:r>
    </w:p>
  </w:footnote>
  <w:footnote w:id="10">
    <w:p w14:paraId="77CA887D" w14:textId="2657460F" w:rsidR="009A7AD7" w:rsidRDefault="009A7AD7">
      <w:pPr>
        <w:pStyle w:val="FootnoteText"/>
      </w:pPr>
      <w:r>
        <w:rPr>
          <w:rStyle w:val="FootnoteReference"/>
        </w:rPr>
        <w:footnoteRef/>
      </w:r>
      <w:r>
        <w:t xml:space="preserve"> Interview with implementing partner</w:t>
      </w:r>
      <w:r w:rsidR="003D6445">
        <w:t>, D</w:t>
      </w:r>
      <w:r>
        <w:t>ecember 2023.</w:t>
      </w:r>
    </w:p>
  </w:footnote>
  <w:footnote w:id="11">
    <w:p w14:paraId="7D2BD773" w14:textId="77A838BF" w:rsidR="004D3632" w:rsidRDefault="004D3632">
      <w:pPr>
        <w:pStyle w:val="FootnoteText"/>
      </w:pPr>
      <w:r>
        <w:rPr>
          <w:rStyle w:val="FootnoteReference"/>
        </w:rPr>
        <w:footnoteRef/>
      </w:r>
      <w:r>
        <w:t xml:space="preserve"> Interview with implementing partner, December 2023.</w:t>
      </w:r>
    </w:p>
  </w:footnote>
  <w:footnote w:id="12">
    <w:p w14:paraId="21B30A66" w14:textId="77777777" w:rsidR="00165725" w:rsidRPr="00165725" w:rsidRDefault="00165725" w:rsidP="00165725">
      <w:pPr>
        <w:pStyle w:val="FootnoteText"/>
        <w:rPr>
          <w:lang w:val="en-US"/>
        </w:rPr>
      </w:pPr>
      <w:r>
        <w:rPr>
          <w:rStyle w:val="FootnoteReference"/>
        </w:rPr>
        <w:footnoteRef/>
      </w:r>
      <w:r>
        <w:t xml:space="preserve"> Comments from interviewees include the following: </w:t>
      </w:r>
      <w:r w:rsidRPr="00165725">
        <w:rPr>
          <w:lang w:val="en-US"/>
        </w:rPr>
        <w:t>“We received tremendous support from UNDP throughout our involvement in the project”</w:t>
      </w:r>
    </w:p>
    <w:p w14:paraId="1599DF07" w14:textId="6CA2AD10" w:rsidR="00165725" w:rsidRDefault="00165725">
      <w:pPr>
        <w:pStyle w:val="FootnoteText"/>
      </w:pPr>
    </w:p>
  </w:footnote>
  <w:footnote w:id="13">
    <w:p w14:paraId="2A220492" w14:textId="4BDE3863" w:rsidR="00E97AD5" w:rsidRDefault="00E97AD5">
      <w:pPr>
        <w:pStyle w:val="FootnoteText"/>
      </w:pPr>
      <w:r>
        <w:rPr>
          <w:rStyle w:val="FootnoteReference"/>
        </w:rPr>
        <w:footnoteRef/>
      </w:r>
      <w:r>
        <w:t xml:space="preserve"> </w:t>
      </w:r>
      <w:bookmarkStart w:id="48" w:name="_Hlk155515415"/>
      <w:r>
        <w:t>Interviews with project stakeholders, December 2023.</w:t>
      </w:r>
      <w:bookmarkEnd w:id="48"/>
    </w:p>
  </w:footnote>
  <w:footnote w:id="14">
    <w:p w14:paraId="160CE4A5" w14:textId="2A687A14" w:rsidR="006A71BD" w:rsidRPr="006A71BD" w:rsidRDefault="006A71BD" w:rsidP="006A71BD">
      <w:pPr>
        <w:pStyle w:val="FootnoteText"/>
      </w:pPr>
      <w:r>
        <w:rPr>
          <w:rStyle w:val="FootnoteReference"/>
        </w:rPr>
        <w:footnoteRef/>
      </w:r>
      <w:r>
        <w:t xml:space="preserve"> For example, a</w:t>
      </w:r>
      <w:r w:rsidRPr="006A71BD">
        <w:t xml:space="preserve"> practical manual o</w:t>
      </w:r>
      <w:r>
        <w:t>n</w:t>
      </w:r>
      <w:r w:rsidRPr="006A71BD">
        <w:t xml:space="preserve"> extracurricular activities was developed and printed by Sunny House</w:t>
      </w:r>
      <w:r>
        <w:t>, which will remain a long-lasting resource</w:t>
      </w:r>
      <w:r w:rsidRPr="006A71BD">
        <w:t xml:space="preserve"> for individuals, teachers and VET providers </w:t>
      </w:r>
      <w:r>
        <w:t>when</w:t>
      </w:r>
      <w:r w:rsidRPr="006A71BD">
        <w:t xml:space="preserve"> delivering extracurricular services to students.</w:t>
      </w:r>
    </w:p>
    <w:p w14:paraId="36C767F1" w14:textId="07AC3F9F" w:rsidR="006A71BD" w:rsidRDefault="006A71BD">
      <w:pPr>
        <w:pStyle w:val="FootnoteText"/>
      </w:pPr>
    </w:p>
  </w:footnote>
  <w:footnote w:id="15">
    <w:p w14:paraId="3D5BB05E" w14:textId="0FBFE8D7" w:rsidR="00B7402A" w:rsidRDefault="00B7402A">
      <w:pPr>
        <w:pStyle w:val="FootnoteText"/>
      </w:pPr>
      <w:r>
        <w:rPr>
          <w:rStyle w:val="FootnoteReference"/>
        </w:rPr>
        <w:footnoteRef/>
      </w:r>
      <w:r>
        <w:t xml:space="preserve"> </w:t>
      </w:r>
      <w:r w:rsidRPr="00B7402A">
        <w:t>Interviews with project stakeholders, December 2023.</w:t>
      </w:r>
    </w:p>
  </w:footnote>
  <w:footnote w:id="16">
    <w:p w14:paraId="077EA601" w14:textId="52C68C19" w:rsidR="004A11BD" w:rsidRPr="004A11BD" w:rsidRDefault="004A11BD" w:rsidP="004A11BD">
      <w:pPr>
        <w:pStyle w:val="FootnoteText"/>
        <w:rPr>
          <w:lang w:val="en-US"/>
        </w:rPr>
      </w:pPr>
      <w:r>
        <w:rPr>
          <w:rStyle w:val="FootnoteReference"/>
        </w:rPr>
        <w:footnoteRef/>
      </w:r>
      <w:r>
        <w:t xml:space="preserve"> UNDP Georgia public message on 3 December 2021: </w:t>
      </w:r>
      <w:r w:rsidR="00640E20">
        <w:t>“</w:t>
      </w:r>
      <w:r w:rsidRPr="004A11BD">
        <w:t xml:space="preserve">UNDP urges the authorities and public agencies to include persons with disabilities and organisations of people with disabilities </w:t>
      </w:r>
      <w:bookmarkStart w:id="61" w:name="_Hlk155348803"/>
      <w:r w:rsidRPr="004A11BD">
        <w:t xml:space="preserve">in all decisions that may affect the implementation of their rights </w:t>
      </w:r>
      <w:bookmarkEnd w:id="61"/>
      <w:r w:rsidRPr="004A11BD">
        <w:t>and freedoms in full compliance with the Convention on the Rights of Persons with Disabilities (CRPD) and the spirit of its main message – “nothing about us without us.”</w:t>
      </w:r>
    </w:p>
    <w:p w14:paraId="61586188" w14:textId="20B32CC9" w:rsidR="004A11BD" w:rsidRDefault="004A11B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402860"/>
      <w:docPartObj>
        <w:docPartGallery w:val="Page Numbers (Margins)"/>
        <w:docPartUnique/>
      </w:docPartObj>
    </w:sdtPr>
    <w:sdtContent>
      <w:p w14:paraId="279A1E95" w14:textId="77777777" w:rsidR="00316D68" w:rsidRDefault="00316D68" w:rsidP="00DD0528">
        <w:pPr>
          <w:pStyle w:val="Header"/>
        </w:pPr>
        <w:r>
          <w:rPr>
            <w:noProof/>
            <w:lang w:eastAsia="en-GB"/>
          </w:rPr>
          <mc:AlternateContent>
            <mc:Choice Requires="wps">
              <w:drawing>
                <wp:anchor distT="0" distB="0" distL="114300" distR="114300" simplePos="0" relativeHeight="251659264" behindDoc="0" locked="0" layoutInCell="0" allowOverlap="1" wp14:anchorId="6D5485FE" wp14:editId="5EA55496">
                  <wp:simplePos x="0" y="0"/>
                  <wp:positionH relativeFrom="rightMargin">
                    <wp:align>center</wp:align>
                  </wp:positionH>
                  <wp:positionV relativeFrom="margin">
                    <wp:align>bottom</wp:align>
                  </wp:positionV>
                  <wp:extent cx="532765"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841F9" w14:textId="0E9CF4AA" w:rsidR="00316D68" w:rsidRDefault="00316D68" w:rsidP="00DD052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AA37E1" w:rsidRPr="00AA37E1">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D5485FE" id="Rectangle 3" o:spid="_x0000_s1026" style="position:absolute;left:0;text-align:left;margin-left:0;margin-top:0;width:41.9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" o:allowincell="f" filled="f" stroked="f">
                  <v:textbox style="layout-flow:vertical;mso-layout-flow-alt:bottom-to-top;mso-fit-shape-to-text:t">
                    <w:txbxContent>
                      <w:p w14:paraId="542841F9" w14:textId="0E9CF4AA" w:rsidR="00316D68" w:rsidRDefault="00316D68" w:rsidP="00DD052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AA37E1" w:rsidRPr="00AA37E1">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5A3"/>
    <w:multiLevelType w:val="hybridMultilevel"/>
    <w:tmpl w:val="AA564666"/>
    <w:lvl w:ilvl="0" w:tplc="04370001">
      <w:start w:val="1"/>
      <w:numFmt w:val="bullet"/>
      <w:lvlText w:val=""/>
      <w:lvlJc w:val="left"/>
      <w:pPr>
        <w:ind w:left="360" w:hanging="360"/>
      </w:pPr>
      <w:rPr>
        <w:rFonts w:ascii="Symbol" w:hAnsi="Symbol" w:hint="default"/>
      </w:rPr>
    </w:lvl>
    <w:lvl w:ilvl="1" w:tplc="04370003" w:tentative="1">
      <w:start w:val="1"/>
      <w:numFmt w:val="bullet"/>
      <w:lvlText w:val="o"/>
      <w:lvlJc w:val="left"/>
      <w:pPr>
        <w:ind w:left="1080" w:hanging="360"/>
      </w:pPr>
      <w:rPr>
        <w:rFonts w:ascii="Courier New" w:hAnsi="Courier New" w:cs="Courier New" w:hint="default"/>
      </w:rPr>
    </w:lvl>
    <w:lvl w:ilvl="2" w:tplc="04370005" w:tentative="1">
      <w:start w:val="1"/>
      <w:numFmt w:val="bullet"/>
      <w:lvlText w:val=""/>
      <w:lvlJc w:val="left"/>
      <w:pPr>
        <w:ind w:left="1800" w:hanging="360"/>
      </w:pPr>
      <w:rPr>
        <w:rFonts w:ascii="Wingdings" w:hAnsi="Wingdings" w:hint="default"/>
      </w:rPr>
    </w:lvl>
    <w:lvl w:ilvl="3" w:tplc="04370001" w:tentative="1">
      <w:start w:val="1"/>
      <w:numFmt w:val="bullet"/>
      <w:lvlText w:val=""/>
      <w:lvlJc w:val="left"/>
      <w:pPr>
        <w:ind w:left="2520" w:hanging="360"/>
      </w:pPr>
      <w:rPr>
        <w:rFonts w:ascii="Symbol" w:hAnsi="Symbol" w:hint="default"/>
      </w:rPr>
    </w:lvl>
    <w:lvl w:ilvl="4" w:tplc="04370003" w:tentative="1">
      <w:start w:val="1"/>
      <w:numFmt w:val="bullet"/>
      <w:lvlText w:val="o"/>
      <w:lvlJc w:val="left"/>
      <w:pPr>
        <w:ind w:left="3240" w:hanging="360"/>
      </w:pPr>
      <w:rPr>
        <w:rFonts w:ascii="Courier New" w:hAnsi="Courier New" w:cs="Courier New" w:hint="default"/>
      </w:rPr>
    </w:lvl>
    <w:lvl w:ilvl="5" w:tplc="04370005" w:tentative="1">
      <w:start w:val="1"/>
      <w:numFmt w:val="bullet"/>
      <w:lvlText w:val=""/>
      <w:lvlJc w:val="left"/>
      <w:pPr>
        <w:ind w:left="3960" w:hanging="360"/>
      </w:pPr>
      <w:rPr>
        <w:rFonts w:ascii="Wingdings" w:hAnsi="Wingdings" w:hint="default"/>
      </w:rPr>
    </w:lvl>
    <w:lvl w:ilvl="6" w:tplc="04370001" w:tentative="1">
      <w:start w:val="1"/>
      <w:numFmt w:val="bullet"/>
      <w:lvlText w:val=""/>
      <w:lvlJc w:val="left"/>
      <w:pPr>
        <w:ind w:left="4680" w:hanging="360"/>
      </w:pPr>
      <w:rPr>
        <w:rFonts w:ascii="Symbol" w:hAnsi="Symbol" w:hint="default"/>
      </w:rPr>
    </w:lvl>
    <w:lvl w:ilvl="7" w:tplc="04370003" w:tentative="1">
      <w:start w:val="1"/>
      <w:numFmt w:val="bullet"/>
      <w:lvlText w:val="o"/>
      <w:lvlJc w:val="left"/>
      <w:pPr>
        <w:ind w:left="5400" w:hanging="360"/>
      </w:pPr>
      <w:rPr>
        <w:rFonts w:ascii="Courier New" w:hAnsi="Courier New" w:cs="Courier New" w:hint="default"/>
      </w:rPr>
    </w:lvl>
    <w:lvl w:ilvl="8" w:tplc="04370005" w:tentative="1">
      <w:start w:val="1"/>
      <w:numFmt w:val="bullet"/>
      <w:lvlText w:val=""/>
      <w:lvlJc w:val="left"/>
      <w:pPr>
        <w:ind w:left="6120" w:hanging="360"/>
      </w:pPr>
      <w:rPr>
        <w:rFonts w:ascii="Wingdings" w:hAnsi="Wingdings" w:hint="default"/>
      </w:rPr>
    </w:lvl>
  </w:abstractNum>
  <w:abstractNum w:abstractNumId="1" w15:restartNumberingAfterBreak="0">
    <w:nsid w:val="01E55877"/>
    <w:multiLevelType w:val="hybridMultilevel"/>
    <w:tmpl w:val="E0723380"/>
    <w:lvl w:ilvl="0" w:tplc="0809000D">
      <w:start w:val="1"/>
      <w:numFmt w:val="bullet"/>
      <w:lvlText w:val=""/>
      <w:lvlJc w:val="left"/>
      <w:pPr>
        <w:ind w:left="551" w:hanging="360"/>
      </w:pPr>
      <w:rPr>
        <w:rFonts w:ascii="Wingdings" w:hAnsi="Wingdings" w:hint="default"/>
      </w:rPr>
    </w:lvl>
    <w:lvl w:ilvl="1" w:tplc="FFFFFFFF">
      <w:start w:val="1"/>
      <w:numFmt w:val="bullet"/>
      <w:lvlText w:val="o"/>
      <w:lvlJc w:val="left"/>
      <w:pPr>
        <w:ind w:left="1271" w:hanging="360"/>
      </w:pPr>
      <w:rPr>
        <w:rFonts w:ascii="Courier New" w:hAnsi="Courier New" w:cs="Courier New" w:hint="default"/>
      </w:rPr>
    </w:lvl>
    <w:lvl w:ilvl="2" w:tplc="FFFFFFFF">
      <w:start w:val="1"/>
      <w:numFmt w:val="bullet"/>
      <w:lvlText w:val=""/>
      <w:lvlJc w:val="left"/>
      <w:pPr>
        <w:ind w:left="1991" w:hanging="360"/>
      </w:pPr>
      <w:rPr>
        <w:rFonts w:ascii="Wingdings" w:hAnsi="Wingdings" w:hint="default"/>
      </w:rPr>
    </w:lvl>
    <w:lvl w:ilvl="3" w:tplc="FFFFFFFF">
      <w:start w:val="1"/>
      <w:numFmt w:val="bullet"/>
      <w:lvlText w:val=""/>
      <w:lvlJc w:val="left"/>
      <w:pPr>
        <w:ind w:left="2711" w:hanging="360"/>
      </w:pPr>
      <w:rPr>
        <w:rFonts w:ascii="Symbol" w:hAnsi="Symbol" w:hint="default"/>
      </w:rPr>
    </w:lvl>
    <w:lvl w:ilvl="4" w:tplc="FFFFFFFF">
      <w:start w:val="1"/>
      <w:numFmt w:val="bullet"/>
      <w:lvlText w:val="o"/>
      <w:lvlJc w:val="left"/>
      <w:pPr>
        <w:ind w:left="3431" w:hanging="360"/>
      </w:pPr>
      <w:rPr>
        <w:rFonts w:ascii="Courier New" w:hAnsi="Courier New" w:cs="Courier New" w:hint="default"/>
      </w:rPr>
    </w:lvl>
    <w:lvl w:ilvl="5" w:tplc="FFFFFFFF" w:tentative="1">
      <w:start w:val="1"/>
      <w:numFmt w:val="bullet"/>
      <w:lvlText w:val=""/>
      <w:lvlJc w:val="left"/>
      <w:pPr>
        <w:ind w:left="4151" w:hanging="360"/>
      </w:pPr>
      <w:rPr>
        <w:rFonts w:ascii="Wingdings" w:hAnsi="Wingdings" w:hint="default"/>
      </w:rPr>
    </w:lvl>
    <w:lvl w:ilvl="6" w:tplc="FFFFFFFF" w:tentative="1">
      <w:start w:val="1"/>
      <w:numFmt w:val="bullet"/>
      <w:lvlText w:val=""/>
      <w:lvlJc w:val="left"/>
      <w:pPr>
        <w:ind w:left="4871" w:hanging="360"/>
      </w:pPr>
      <w:rPr>
        <w:rFonts w:ascii="Symbol" w:hAnsi="Symbol" w:hint="default"/>
      </w:rPr>
    </w:lvl>
    <w:lvl w:ilvl="7" w:tplc="FFFFFFFF" w:tentative="1">
      <w:start w:val="1"/>
      <w:numFmt w:val="bullet"/>
      <w:lvlText w:val="o"/>
      <w:lvlJc w:val="left"/>
      <w:pPr>
        <w:ind w:left="5591" w:hanging="360"/>
      </w:pPr>
      <w:rPr>
        <w:rFonts w:ascii="Courier New" w:hAnsi="Courier New" w:cs="Courier New" w:hint="default"/>
      </w:rPr>
    </w:lvl>
    <w:lvl w:ilvl="8" w:tplc="FFFFFFFF" w:tentative="1">
      <w:start w:val="1"/>
      <w:numFmt w:val="bullet"/>
      <w:lvlText w:val=""/>
      <w:lvlJc w:val="left"/>
      <w:pPr>
        <w:ind w:left="6311" w:hanging="360"/>
      </w:pPr>
      <w:rPr>
        <w:rFonts w:ascii="Wingdings" w:hAnsi="Wingdings" w:hint="default"/>
      </w:rPr>
    </w:lvl>
  </w:abstractNum>
  <w:abstractNum w:abstractNumId="2" w15:restartNumberingAfterBreak="0">
    <w:nsid w:val="0C61157C"/>
    <w:multiLevelType w:val="hybridMultilevel"/>
    <w:tmpl w:val="F47276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F76000"/>
    <w:multiLevelType w:val="hybridMultilevel"/>
    <w:tmpl w:val="0BE22F5A"/>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B3346B"/>
    <w:multiLevelType w:val="hybridMultilevel"/>
    <w:tmpl w:val="09EA91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3C67E2"/>
    <w:multiLevelType w:val="hybridMultilevel"/>
    <w:tmpl w:val="1B84E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E560CC"/>
    <w:multiLevelType w:val="hybridMultilevel"/>
    <w:tmpl w:val="9EDAB7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092E00"/>
    <w:multiLevelType w:val="hybridMultilevel"/>
    <w:tmpl w:val="087CE76E"/>
    <w:lvl w:ilvl="0" w:tplc="04370001">
      <w:start w:val="1"/>
      <w:numFmt w:val="bullet"/>
      <w:lvlText w:val=""/>
      <w:lvlJc w:val="left"/>
      <w:pPr>
        <w:ind w:left="360" w:hanging="360"/>
      </w:pPr>
      <w:rPr>
        <w:rFonts w:ascii="Symbol" w:hAnsi="Symbol" w:hint="default"/>
      </w:rPr>
    </w:lvl>
    <w:lvl w:ilvl="1" w:tplc="04370003" w:tentative="1">
      <w:start w:val="1"/>
      <w:numFmt w:val="bullet"/>
      <w:lvlText w:val="o"/>
      <w:lvlJc w:val="left"/>
      <w:pPr>
        <w:ind w:left="1080" w:hanging="360"/>
      </w:pPr>
      <w:rPr>
        <w:rFonts w:ascii="Courier New" w:hAnsi="Courier New" w:cs="Courier New" w:hint="default"/>
      </w:rPr>
    </w:lvl>
    <w:lvl w:ilvl="2" w:tplc="04370005" w:tentative="1">
      <w:start w:val="1"/>
      <w:numFmt w:val="bullet"/>
      <w:lvlText w:val=""/>
      <w:lvlJc w:val="left"/>
      <w:pPr>
        <w:ind w:left="1800" w:hanging="360"/>
      </w:pPr>
      <w:rPr>
        <w:rFonts w:ascii="Wingdings" w:hAnsi="Wingdings" w:hint="default"/>
      </w:rPr>
    </w:lvl>
    <w:lvl w:ilvl="3" w:tplc="04370001" w:tentative="1">
      <w:start w:val="1"/>
      <w:numFmt w:val="bullet"/>
      <w:lvlText w:val=""/>
      <w:lvlJc w:val="left"/>
      <w:pPr>
        <w:ind w:left="2520" w:hanging="360"/>
      </w:pPr>
      <w:rPr>
        <w:rFonts w:ascii="Symbol" w:hAnsi="Symbol" w:hint="default"/>
      </w:rPr>
    </w:lvl>
    <w:lvl w:ilvl="4" w:tplc="04370003" w:tentative="1">
      <w:start w:val="1"/>
      <w:numFmt w:val="bullet"/>
      <w:lvlText w:val="o"/>
      <w:lvlJc w:val="left"/>
      <w:pPr>
        <w:ind w:left="3240" w:hanging="360"/>
      </w:pPr>
      <w:rPr>
        <w:rFonts w:ascii="Courier New" w:hAnsi="Courier New" w:cs="Courier New" w:hint="default"/>
      </w:rPr>
    </w:lvl>
    <w:lvl w:ilvl="5" w:tplc="04370005" w:tentative="1">
      <w:start w:val="1"/>
      <w:numFmt w:val="bullet"/>
      <w:lvlText w:val=""/>
      <w:lvlJc w:val="left"/>
      <w:pPr>
        <w:ind w:left="3960" w:hanging="360"/>
      </w:pPr>
      <w:rPr>
        <w:rFonts w:ascii="Wingdings" w:hAnsi="Wingdings" w:hint="default"/>
      </w:rPr>
    </w:lvl>
    <w:lvl w:ilvl="6" w:tplc="04370001" w:tentative="1">
      <w:start w:val="1"/>
      <w:numFmt w:val="bullet"/>
      <w:lvlText w:val=""/>
      <w:lvlJc w:val="left"/>
      <w:pPr>
        <w:ind w:left="4680" w:hanging="360"/>
      </w:pPr>
      <w:rPr>
        <w:rFonts w:ascii="Symbol" w:hAnsi="Symbol" w:hint="default"/>
      </w:rPr>
    </w:lvl>
    <w:lvl w:ilvl="7" w:tplc="04370003" w:tentative="1">
      <w:start w:val="1"/>
      <w:numFmt w:val="bullet"/>
      <w:lvlText w:val="o"/>
      <w:lvlJc w:val="left"/>
      <w:pPr>
        <w:ind w:left="5400" w:hanging="360"/>
      </w:pPr>
      <w:rPr>
        <w:rFonts w:ascii="Courier New" w:hAnsi="Courier New" w:cs="Courier New" w:hint="default"/>
      </w:rPr>
    </w:lvl>
    <w:lvl w:ilvl="8" w:tplc="04370005" w:tentative="1">
      <w:start w:val="1"/>
      <w:numFmt w:val="bullet"/>
      <w:lvlText w:val=""/>
      <w:lvlJc w:val="left"/>
      <w:pPr>
        <w:ind w:left="6120" w:hanging="360"/>
      </w:pPr>
      <w:rPr>
        <w:rFonts w:ascii="Wingdings" w:hAnsi="Wingdings" w:hint="default"/>
      </w:rPr>
    </w:lvl>
  </w:abstractNum>
  <w:abstractNum w:abstractNumId="8" w15:restartNumberingAfterBreak="0">
    <w:nsid w:val="2C1E41B9"/>
    <w:multiLevelType w:val="hybridMultilevel"/>
    <w:tmpl w:val="2DD6CA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642DA8"/>
    <w:multiLevelType w:val="hybridMultilevel"/>
    <w:tmpl w:val="8DA80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293CB3"/>
    <w:multiLevelType w:val="hybridMultilevel"/>
    <w:tmpl w:val="C3481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C05FF4"/>
    <w:multiLevelType w:val="hybridMultilevel"/>
    <w:tmpl w:val="CA70CB80"/>
    <w:lvl w:ilvl="0" w:tplc="04370001">
      <w:start w:val="1"/>
      <w:numFmt w:val="bullet"/>
      <w:lvlText w:val=""/>
      <w:lvlJc w:val="left"/>
      <w:pPr>
        <w:ind w:left="360" w:hanging="360"/>
      </w:pPr>
      <w:rPr>
        <w:rFonts w:ascii="Symbol" w:hAnsi="Symbol" w:hint="default"/>
      </w:rPr>
    </w:lvl>
    <w:lvl w:ilvl="1" w:tplc="04370003" w:tentative="1">
      <w:start w:val="1"/>
      <w:numFmt w:val="bullet"/>
      <w:lvlText w:val="o"/>
      <w:lvlJc w:val="left"/>
      <w:pPr>
        <w:ind w:left="1080" w:hanging="360"/>
      </w:pPr>
      <w:rPr>
        <w:rFonts w:ascii="Courier New" w:hAnsi="Courier New" w:cs="Courier New" w:hint="default"/>
      </w:rPr>
    </w:lvl>
    <w:lvl w:ilvl="2" w:tplc="04370005" w:tentative="1">
      <w:start w:val="1"/>
      <w:numFmt w:val="bullet"/>
      <w:lvlText w:val=""/>
      <w:lvlJc w:val="left"/>
      <w:pPr>
        <w:ind w:left="1800" w:hanging="360"/>
      </w:pPr>
      <w:rPr>
        <w:rFonts w:ascii="Wingdings" w:hAnsi="Wingdings" w:hint="default"/>
      </w:rPr>
    </w:lvl>
    <w:lvl w:ilvl="3" w:tplc="04370001" w:tentative="1">
      <w:start w:val="1"/>
      <w:numFmt w:val="bullet"/>
      <w:lvlText w:val=""/>
      <w:lvlJc w:val="left"/>
      <w:pPr>
        <w:ind w:left="2520" w:hanging="360"/>
      </w:pPr>
      <w:rPr>
        <w:rFonts w:ascii="Symbol" w:hAnsi="Symbol" w:hint="default"/>
      </w:rPr>
    </w:lvl>
    <w:lvl w:ilvl="4" w:tplc="04370003" w:tentative="1">
      <w:start w:val="1"/>
      <w:numFmt w:val="bullet"/>
      <w:lvlText w:val="o"/>
      <w:lvlJc w:val="left"/>
      <w:pPr>
        <w:ind w:left="3240" w:hanging="360"/>
      </w:pPr>
      <w:rPr>
        <w:rFonts w:ascii="Courier New" w:hAnsi="Courier New" w:cs="Courier New" w:hint="default"/>
      </w:rPr>
    </w:lvl>
    <w:lvl w:ilvl="5" w:tplc="04370005" w:tentative="1">
      <w:start w:val="1"/>
      <w:numFmt w:val="bullet"/>
      <w:lvlText w:val=""/>
      <w:lvlJc w:val="left"/>
      <w:pPr>
        <w:ind w:left="3960" w:hanging="360"/>
      </w:pPr>
      <w:rPr>
        <w:rFonts w:ascii="Wingdings" w:hAnsi="Wingdings" w:hint="default"/>
      </w:rPr>
    </w:lvl>
    <w:lvl w:ilvl="6" w:tplc="04370001" w:tentative="1">
      <w:start w:val="1"/>
      <w:numFmt w:val="bullet"/>
      <w:lvlText w:val=""/>
      <w:lvlJc w:val="left"/>
      <w:pPr>
        <w:ind w:left="4680" w:hanging="360"/>
      </w:pPr>
      <w:rPr>
        <w:rFonts w:ascii="Symbol" w:hAnsi="Symbol" w:hint="default"/>
      </w:rPr>
    </w:lvl>
    <w:lvl w:ilvl="7" w:tplc="04370003" w:tentative="1">
      <w:start w:val="1"/>
      <w:numFmt w:val="bullet"/>
      <w:lvlText w:val="o"/>
      <w:lvlJc w:val="left"/>
      <w:pPr>
        <w:ind w:left="5400" w:hanging="360"/>
      </w:pPr>
      <w:rPr>
        <w:rFonts w:ascii="Courier New" w:hAnsi="Courier New" w:cs="Courier New" w:hint="default"/>
      </w:rPr>
    </w:lvl>
    <w:lvl w:ilvl="8" w:tplc="04370005" w:tentative="1">
      <w:start w:val="1"/>
      <w:numFmt w:val="bullet"/>
      <w:lvlText w:val=""/>
      <w:lvlJc w:val="left"/>
      <w:pPr>
        <w:ind w:left="6120" w:hanging="360"/>
      </w:pPr>
      <w:rPr>
        <w:rFonts w:ascii="Wingdings" w:hAnsi="Wingdings" w:hint="default"/>
      </w:rPr>
    </w:lvl>
  </w:abstractNum>
  <w:abstractNum w:abstractNumId="12" w15:restartNumberingAfterBreak="0">
    <w:nsid w:val="36AE7FAF"/>
    <w:multiLevelType w:val="hybridMultilevel"/>
    <w:tmpl w:val="5D46D3A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E010056"/>
    <w:multiLevelType w:val="hybridMultilevel"/>
    <w:tmpl w:val="DCA2F5E0"/>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2F2CD0"/>
    <w:multiLevelType w:val="hybridMultilevel"/>
    <w:tmpl w:val="D5666524"/>
    <w:lvl w:ilvl="0" w:tplc="04370001">
      <w:start w:val="1"/>
      <w:numFmt w:val="bullet"/>
      <w:lvlText w:val=""/>
      <w:lvlJc w:val="left"/>
      <w:pPr>
        <w:ind w:left="360" w:hanging="360"/>
      </w:pPr>
      <w:rPr>
        <w:rFonts w:ascii="Symbol" w:hAnsi="Symbol" w:hint="default"/>
      </w:rPr>
    </w:lvl>
    <w:lvl w:ilvl="1" w:tplc="04370003" w:tentative="1">
      <w:start w:val="1"/>
      <w:numFmt w:val="bullet"/>
      <w:lvlText w:val="o"/>
      <w:lvlJc w:val="left"/>
      <w:pPr>
        <w:ind w:left="1080" w:hanging="360"/>
      </w:pPr>
      <w:rPr>
        <w:rFonts w:ascii="Courier New" w:hAnsi="Courier New" w:cs="Courier New" w:hint="default"/>
      </w:rPr>
    </w:lvl>
    <w:lvl w:ilvl="2" w:tplc="04370005" w:tentative="1">
      <w:start w:val="1"/>
      <w:numFmt w:val="bullet"/>
      <w:lvlText w:val=""/>
      <w:lvlJc w:val="left"/>
      <w:pPr>
        <w:ind w:left="1800" w:hanging="360"/>
      </w:pPr>
      <w:rPr>
        <w:rFonts w:ascii="Wingdings" w:hAnsi="Wingdings" w:hint="default"/>
      </w:rPr>
    </w:lvl>
    <w:lvl w:ilvl="3" w:tplc="04370001" w:tentative="1">
      <w:start w:val="1"/>
      <w:numFmt w:val="bullet"/>
      <w:lvlText w:val=""/>
      <w:lvlJc w:val="left"/>
      <w:pPr>
        <w:ind w:left="2520" w:hanging="360"/>
      </w:pPr>
      <w:rPr>
        <w:rFonts w:ascii="Symbol" w:hAnsi="Symbol" w:hint="default"/>
      </w:rPr>
    </w:lvl>
    <w:lvl w:ilvl="4" w:tplc="04370003" w:tentative="1">
      <w:start w:val="1"/>
      <w:numFmt w:val="bullet"/>
      <w:lvlText w:val="o"/>
      <w:lvlJc w:val="left"/>
      <w:pPr>
        <w:ind w:left="3240" w:hanging="360"/>
      </w:pPr>
      <w:rPr>
        <w:rFonts w:ascii="Courier New" w:hAnsi="Courier New" w:cs="Courier New" w:hint="default"/>
      </w:rPr>
    </w:lvl>
    <w:lvl w:ilvl="5" w:tplc="04370005" w:tentative="1">
      <w:start w:val="1"/>
      <w:numFmt w:val="bullet"/>
      <w:lvlText w:val=""/>
      <w:lvlJc w:val="left"/>
      <w:pPr>
        <w:ind w:left="3960" w:hanging="360"/>
      </w:pPr>
      <w:rPr>
        <w:rFonts w:ascii="Wingdings" w:hAnsi="Wingdings" w:hint="default"/>
      </w:rPr>
    </w:lvl>
    <w:lvl w:ilvl="6" w:tplc="04370001" w:tentative="1">
      <w:start w:val="1"/>
      <w:numFmt w:val="bullet"/>
      <w:lvlText w:val=""/>
      <w:lvlJc w:val="left"/>
      <w:pPr>
        <w:ind w:left="4680" w:hanging="360"/>
      </w:pPr>
      <w:rPr>
        <w:rFonts w:ascii="Symbol" w:hAnsi="Symbol" w:hint="default"/>
      </w:rPr>
    </w:lvl>
    <w:lvl w:ilvl="7" w:tplc="04370003" w:tentative="1">
      <w:start w:val="1"/>
      <w:numFmt w:val="bullet"/>
      <w:lvlText w:val="o"/>
      <w:lvlJc w:val="left"/>
      <w:pPr>
        <w:ind w:left="5400" w:hanging="360"/>
      </w:pPr>
      <w:rPr>
        <w:rFonts w:ascii="Courier New" w:hAnsi="Courier New" w:cs="Courier New" w:hint="default"/>
      </w:rPr>
    </w:lvl>
    <w:lvl w:ilvl="8" w:tplc="04370005" w:tentative="1">
      <w:start w:val="1"/>
      <w:numFmt w:val="bullet"/>
      <w:lvlText w:val=""/>
      <w:lvlJc w:val="left"/>
      <w:pPr>
        <w:ind w:left="6120" w:hanging="360"/>
      </w:pPr>
      <w:rPr>
        <w:rFonts w:ascii="Wingdings" w:hAnsi="Wingdings" w:hint="default"/>
      </w:rPr>
    </w:lvl>
  </w:abstractNum>
  <w:abstractNum w:abstractNumId="15" w15:restartNumberingAfterBreak="0">
    <w:nsid w:val="43665DF1"/>
    <w:multiLevelType w:val="hybridMultilevel"/>
    <w:tmpl w:val="29BA4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E71EAC"/>
    <w:multiLevelType w:val="hybridMultilevel"/>
    <w:tmpl w:val="E98E864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055F97"/>
    <w:multiLevelType w:val="hybridMultilevel"/>
    <w:tmpl w:val="3A368FB4"/>
    <w:lvl w:ilvl="0" w:tplc="04370001">
      <w:start w:val="1"/>
      <w:numFmt w:val="bullet"/>
      <w:lvlText w:val=""/>
      <w:lvlJc w:val="left"/>
      <w:pPr>
        <w:ind w:left="360" w:hanging="360"/>
      </w:pPr>
      <w:rPr>
        <w:rFonts w:ascii="Symbol" w:hAnsi="Symbol" w:hint="default"/>
      </w:rPr>
    </w:lvl>
    <w:lvl w:ilvl="1" w:tplc="04370003" w:tentative="1">
      <w:start w:val="1"/>
      <w:numFmt w:val="bullet"/>
      <w:lvlText w:val="o"/>
      <w:lvlJc w:val="left"/>
      <w:pPr>
        <w:ind w:left="1080" w:hanging="360"/>
      </w:pPr>
      <w:rPr>
        <w:rFonts w:ascii="Courier New" w:hAnsi="Courier New" w:cs="Courier New" w:hint="default"/>
      </w:rPr>
    </w:lvl>
    <w:lvl w:ilvl="2" w:tplc="04370005" w:tentative="1">
      <w:start w:val="1"/>
      <w:numFmt w:val="bullet"/>
      <w:lvlText w:val=""/>
      <w:lvlJc w:val="left"/>
      <w:pPr>
        <w:ind w:left="1800" w:hanging="360"/>
      </w:pPr>
      <w:rPr>
        <w:rFonts w:ascii="Wingdings" w:hAnsi="Wingdings" w:hint="default"/>
      </w:rPr>
    </w:lvl>
    <w:lvl w:ilvl="3" w:tplc="04370001" w:tentative="1">
      <w:start w:val="1"/>
      <w:numFmt w:val="bullet"/>
      <w:lvlText w:val=""/>
      <w:lvlJc w:val="left"/>
      <w:pPr>
        <w:ind w:left="2520" w:hanging="360"/>
      </w:pPr>
      <w:rPr>
        <w:rFonts w:ascii="Symbol" w:hAnsi="Symbol" w:hint="default"/>
      </w:rPr>
    </w:lvl>
    <w:lvl w:ilvl="4" w:tplc="04370003" w:tentative="1">
      <w:start w:val="1"/>
      <w:numFmt w:val="bullet"/>
      <w:lvlText w:val="o"/>
      <w:lvlJc w:val="left"/>
      <w:pPr>
        <w:ind w:left="3240" w:hanging="360"/>
      </w:pPr>
      <w:rPr>
        <w:rFonts w:ascii="Courier New" w:hAnsi="Courier New" w:cs="Courier New" w:hint="default"/>
      </w:rPr>
    </w:lvl>
    <w:lvl w:ilvl="5" w:tplc="04370005" w:tentative="1">
      <w:start w:val="1"/>
      <w:numFmt w:val="bullet"/>
      <w:lvlText w:val=""/>
      <w:lvlJc w:val="left"/>
      <w:pPr>
        <w:ind w:left="3960" w:hanging="360"/>
      </w:pPr>
      <w:rPr>
        <w:rFonts w:ascii="Wingdings" w:hAnsi="Wingdings" w:hint="default"/>
      </w:rPr>
    </w:lvl>
    <w:lvl w:ilvl="6" w:tplc="04370001" w:tentative="1">
      <w:start w:val="1"/>
      <w:numFmt w:val="bullet"/>
      <w:lvlText w:val=""/>
      <w:lvlJc w:val="left"/>
      <w:pPr>
        <w:ind w:left="4680" w:hanging="360"/>
      </w:pPr>
      <w:rPr>
        <w:rFonts w:ascii="Symbol" w:hAnsi="Symbol" w:hint="default"/>
      </w:rPr>
    </w:lvl>
    <w:lvl w:ilvl="7" w:tplc="04370003" w:tentative="1">
      <w:start w:val="1"/>
      <w:numFmt w:val="bullet"/>
      <w:lvlText w:val="o"/>
      <w:lvlJc w:val="left"/>
      <w:pPr>
        <w:ind w:left="5400" w:hanging="360"/>
      </w:pPr>
      <w:rPr>
        <w:rFonts w:ascii="Courier New" w:hAnsi="Courier New" w:cs="Courier New" w:hint="default"/>
      </w:rPr>
    </w:lvl>
    <w:lvl w:ilvl="8" w:tplc="04370005" w:tentative="1">
      <w:start w:val="1"/>
      <w:numFmt w:val="bullet"/>
      <w:lvlText w:val=""/>
      <w:lvlJc w:val="left"/>
      <w:pPr>
        <w:ind w:left="6120" w:hanging="360"/>
      </w:pPr>
      <w:rPr>
        <w:rFonts w:ascii="Wingdings" w:hAnsi="Wingdings" w:hint="default"/>
      </w:rPr>
    </w:lvl>
  </w:abstractNum>
  <w:abstractNum w:abstractNumId="18" w15:restartNumberingAfterBreak="0">
    <w:nsid w:val="60AB4266"/>
    <w:multiLevelType w:val="hybridMultilevel"/>
    <w:tmpl w:val="EB1C4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E25229"/>
    <w:multiLevelType w:val="hybridMultilevel"/>
    <w:tmpl w:val="2A4CFEB2"/>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E96455A"/>
    <w:multiLevelType w:val="hybridMultilevel"/>
    <w:tmpl w:val="E904F7F0"/>
    <w:lvl w:ilvl="0" w:tplc="3B1E6BDA">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E04097"/>
    <w:multiLevelType w:val="multilevel"/>
    <w:tmpl w:val="7E343522"/>
    <w:lvl w:ilvl="0">
      <w:start w:val="1"/>
      <w:numFmt w:val="decimal"/>
      <w:lvlText w:val="%1"/>
      <w:lvlJc w:val="left"/>
      <w:pPr>
        <w:ind w:left="864" w:hanging="432"/>
      </w:pPr>
      <w:rPr>
        <w:rFonts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ind w:left="859"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152" w:hanging="720"/>
      </w:pPr>
      <w:rPr>
        <w:rFonts w:hint="default"/>
      </w:rPr>
    </w:lvl>
    <w:lvl w:ilvl="3">
      <w:start w:val="1"/>
      <w:numFmt w:val="decimal"/>
      <w:pStyle w:val="Heading4"/>
      <w:lvlText w:val="%1.%2.%3.%4"/>
      <w:lvlJc w:val="left"/>
      <w:pPr>
        <w:ind w:left="1296" w:hanging="864"/>
      </w:pPr>
      <w:rPr>
        <w:rFonts w:hint="default"/>
      </w:rPr>
    </w:lvl>
    <w:lvl w:ilvl="4">
      <w:start w:val="1"/>
      <w:numFmt w:val="decimal"/>
      <w:pStyle w:val="Heading5"/>
      <w:lvlText w:val="%1.%2.%3.%4.%5"/>
      <w:lvlJc w:val="left"/>
      <w:pPr>
        <w:ind w:left="1440" w:hanging="1008"/>
      </w:pPr>
      <w:rPr>
        <w:rFonts w:hint="default"/>
      </w:rPr>
    </w:lvl>
    <w:lvl w:ilvl="5">
      <w:start w:val="1"/>
      <w:numFmt w:val="decimal"/>
      <w:pStyle w:val="Heading6"/>
      <w:lvlText w:val="%1.%2.%3.%4.%5.%6"/>
      <w:lvlJc w:val="left"/>
      <w:pPr>
        <w:ind w:left="1584" w:hanging="1152"/>
      </w:pPr>
      <w:rPr>
        <w:rFonts w:hint="default"/>
      </w:rPr>
    </w:lvl>
    <w:lvl w:ilvl="6">
      <w:start w:val="1"/>
      <w:numFmt w:val="decimal"/>
      <w:pStyle w:val="Heading7"/>
      <w:lvlText w:val="%1.%2.%3.%4.%5.%6.%7"/>
      <w:lvlJc w:val="left"/>
      <w:pPr>
        <w:ind w:left="1728" w:hanging="1296"/>
      </w:pPr>
      <w:rPr>
        <w:rFonts w:hint="default"/>
      </w:rPr>
    </w:lvl>
    <w:lvl w:ilvl="7">
      <w:start w:val="1"/>
      <w:numFmt w:val="decimal"/>
      <w:pStyle w:val="Heading8"/>
      <w:lvlText w:val="%1.%2.%3.%4.%5.%6.%7.%8"/>
      <w:lvlJc w:val="left"/>
      <w:pPr>
        <w:ind w:left="1872" w:hanging="1440"/>
      </w:pPr>
      <w:rPr>
        <w:rFonts w:hint="default"/>
      </w:rPr>
    </w:lvl>
    <w:lvl w:ilvl="8">
      <w:start w:val="1"/>
      <w:numFmt w:val="decimal"/>
      <w:pStyle w:val="Heading9"/>
      <w:lvlText w:val="%1.%2.%3.%4.%5.%6.%7.%8.%9"/>
      <w:lvlJc w:val="left"/>
      <w:pPr>
        <w:ind w:left="2016" w:hanging="1584"/>
      </w:pPr>
      <w:rPr>
        <w:rFonts w:hint="default"/>
      </w:rPr>
    </w:lvl>
  </w:abstractNum>
  <w:num w:numId="1" w16cid:durableId="472136965">
    <w:abstractNumId w:val="9"/>
  </w:num>
  <w:num w:numId="2" w16cid:durableId="533004451">
    <w:abstractNumId w:val="21"/>
  </w:num>
  <w:num w:numId="3" w16cid:durableId="206837063">
    <w:abstractNumId w:val="18"/>
  </w:num>
  <w:num w:numId="4" w16cid:durableId="105269445">
    <w:abstractNumId w:val="1"/>
  </w:num>
  <w:num w:numId="5" w16cid:durableId="985355487">
    <w:abstractNumId w:val="16"/>
  </w:num>
  <w:num w:numId="6" w16cid:durableId="572014032">
    <w:abstractNumId w:val="7"/>
  </w:num>
  <w:num w:numId="7" w16cid:durableId="1743988765">
    <w:abstractNumId w:val="11"/>
  </w:num>
  <w:num w:numId="8" w16cid:durableId="1502427471">
    <w:abstractNumId w:val="17"/>
  </w:num>
  <w:num w:numId="9" w16cid:durableId="1330718538">
    <w:abstractNumId w:val="0"/>
  </w:num>
  <w:num w:numId="10" w16cid:durableId="2109426595">
    <w:abstractNumId w:val="14"/>
  </w:num>
  <w:num w:numId="11" w16cid:durableId="1545215799">
    <w:abstractNumId w:val="12"/>
  </w:num>
  <w:num w:numId="12" w16cid:durableId="910772916">
    <w:abstractNumId w:val="6"/>
  </w:num>
  <w:num w:numId="13" w16cid:durableId="1554465566">
    <w:abstractNumId w:val="5"/>
  </w:num>
  <w:num w:numId="14" w16cid:durableId="419985693">
    <w:abstractNumId w:val="10"/>
  </w:num>
  <w:num w:numId="15" w16cid:durableId="1709640791">
    <w:abstractNumId w:val="2"/>
  </w:num>
  <w:num w:numId="16" w16cid:durableId="605423388">
    <w:abstractNumId w:val="20"/>
  </w:num>
  <w:num w:numId="17" w16cid:durableId="2122527970">
    <w:abstractNumId w:val="4"/>
  </w:num>
  <w:num w:numId="18" w16cid:durableId="1011034344">
    <w:abstractNumId w:val="19"/>
  </w:num>
  <w:num w:numId="19" w16cid:durableId="726223784">
    <w:abstractNumId w:val="8"/>
  </w:num>
  <w:num w:numId="20" w16cid:durableId="1281764239">
    <w:abstractNumId w:val="15"/>
  </w:num>
  <w:num w:numId="21" w16cid:durableId="17585188">
    <w:abstractNumId w:val="13"/>
  </w:num>
  <w:num w:numId="22" w16cid:durableId="634070291">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es-ES" w:vendorID="64" w:dllVersion="6" w:nlCheck="1" w:checkStyle="0"/>
  <w:activeWritingStyle w:appName="MSWord" w:lang="es-CO" w:vendorID="64" w:dllVersion="6" w:nlCheck="1" w:checkStyle="1"/>
  <w:activeWritingStyle w:appName="MSWord" w:lang="es-MX"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4B"/>
    <w:rsid w:val="00001A61"/>
    <w:rsid w:val="0000661D"/>
    <w:rsid w:val="000069AF"/>
    <w:rsid w:val="0001184C"/>
    <w:rsid w:val="00011C19"/>
    <w:rsid w:val="0001268C"/>
    <w:rsid w:val="000143FE"/>
    <w:rsid w:val="00015D5E"/>
    <w:rsid w:val="000176F3"/>
    <w:rsid w:val="000226C2"/>
    <w:rsid w:val="00024512"/>
    <w:rsid w:val="00025060"/>
    <w:rsid w:val="000258A4"/>
    <w:rsid w:val="00031486"/>
    <w:rsid w:val="000327C1"/>
    <w:rsid w:val="00034E28"/>
    <w:rsid w:val="000353BF"/>
    <w:rsid w:val="00035AA6"/>
    <w:rsid w:val="0004543F"/>
    <w:rsid w:val="000473BE"/>
    <w:rsid w:val="0005663A"/>
    <w:rsid w:val="00057B25"/>
    <w:rsid w:val="00061DEA"/>
    <w:rsid w:val="0006253B"/>
    <w:rsid w:val="00066D6A"/>
    <w:rsid w:val="00073779"/>
    <w:rsid w:val="00074A8B"/>
    <w:rsid w:val="00075195"/>
    <w:rsid w:val="00076C48"/>
    <w:rsid w:val="00080D03"/>
    <w:rsid w:val="000815BD"/>
    <w:rsid w:val="0008491B"/>
    <w:rsid w:val="000852E3"/>
    <w:rsid w:val="000A0143"/>
    <w:rsid w:val="000A1AB3"/>
    <w:rsid w:val="000A4BE7"/>
    <w:rsid w:val="000B0363"/>
    <w:rsid w:val="000B5A1E"/>
    <w:rsid w:val="000B64CB"/>
    <w:rsid w:val="000B6DAD"/>
    <w:rsid w:val="000B7998"/>
    <w:rsid w:val="000C1C68"/>
    <w:rsid w:val="000C2563"/>
    <w:rsid w:val="000C2747"/>
    <w:rsid w:val="000C696F"/>
    <w:rsid w:val="000D0BFA"/>
    <w:rsid w:val="000D0CA8"/>
    <w:rsid w:val="000D23EE"/>
    <w:rsid w:val="000D485F"/>
    <w:rsid w:val="000E245E"/>
    <w:rsid w:val="000E6F33"/>
    <w:rsid w:val="000F019F"/>
    <w:rsid w:val="000F270A"/>
    <w:rsid w:val="000F4C7C"/>
    <w:rsid w:val="000F5CFE"/>
    <w:rsid w:val="0010147B"/>
    <w:rsid w:val="00101F95"/>
    <w:rsid w:val="0010305C"/>
    <w:rsid w:val="0010406D"/>
    <w:rsid w:val="0010452B"/>
    <w:rsid w:val="001064E2"/>
    <w:rsid w:val="001116E2"/>
    <w:rsid w:val="00111AE0"/>
    <w:rsid w:val="00115994"/>
    <w:rsid w:val="001164B3"/>
    <w:rsid w:val="00116FCD"/>
    <w:rsid w:val="001225C9"/>
    <w:rsid w:val="001248F7"/>
    <w:rsid w:val="001320FC"/>
    <w:rsid w:val="00135E4E"/>
    <w:rsid w:val="001369CB"/>
    <w:rsid w:val="001405CA"/>
    <w:rsid w:val="00144623"/>
    <w:rsid w:val="00145E5A"/>
    <w:rsid w:val="00146AFA"/>
    <w:rsid w:val="001504D3"/>
    <w:rsid w:val="00152E7F"/>
    <w:rsid w:val="00156FF2"/>
    <w:rsid w:val="00157115"/>
    <w:rsid w:val="00157A8C"/>
    <w:rsid w:val="001631CB"/>
    <w:rsid w:val="00163986"/>
    <w:rsid w:val="0016449F"/>
    <w:rsid w:val="00165725"/>
    <w:rsid w:val="0017134D"/>
    <w:rsid w:val="0017140E"/>
    <w:rsid w:val="00172E39"/>
    <w:rsid w:val="00174529"/>
    <w:rsid w:val="001802E2"/>
    <w:rsid w:val="0018139D"/>
    <w:rsid w:val="001829A9"/>
    <w:rsid w:val="00193F49"/>
    <w:rsid w:val="00194C6A"/>
    <w:rsid w:val="001972B2"/>
    <w:rsid w:val="00197738"/>
    <w:rsid w:val="00197AF9"/>
    <w:rsid w:val="001A033E"/>
    <w:rsid w:val="001A3078"/>
    <w:rsid w:val="001A3A60"/>
    <w:rsid w:val="001A4954"/>
    <w:rsid w:val="001A778B"/>
    <w:rsid w:val="001B2573"/>
    <w:rsid w:val="001B6808"/>
    <w:rsid w:val="001B6F03"/>
    <w:rsid w:val="001C5012"/>
    <w:rsid w:val="001C7729"/>
    <w:rsid w:val="001D0C63"/>
    <w:rsid w:val="001D348E"/>
    <w:rsid w:val="001D5AC1"/>
    <w:rsid w:val="001E08A6"/>
    <w:rsid w:val="001E09A3"/>
    <w:rsid w:val="001E1F24"/>
    <w:rsid w:val="001E523B"/>
    <w:rsid w:val="001F28F2"/>
    <w:rsid w:val="001F2BD5"/>
    <w:rsid w:val="001F312C"/>
    <w:rsid w:val="001F3DC2"/>
    <w:rsid w:val="001F5E49"/>
    <w:rsid w:val="001F7CD6"/>
    <w:rsid w:val="0020281B"/>
    <w:rsid w:val="00203B6B"/>
    <w:rsid w:val="002056E3"/>
    <w:rsid w:val="00206B37"/>
    <w:rsid w:val="00206DBF"/>
    <w:rsid w:val="0021445D"/>
    <w:rsid w:val="002147E8"/>
    <w:rsid w:val="00217BBD"/>
    <w:rsid w:val="0022220E"/>
    <w:rsid w:val="00225D3F"/>
    <w:rsid w:val="002314C6"/>
    <w:rsid w:val="00232111"/>
    <w:rsid w:val="00232140"/>
    <w:rsid w:val="0023270C"/>
    <w:rsid w:val="00232AE4"/>
    <w:rsid w:val="00234A62"/>
    <w:rsid w:val="002408DF"/>
    <w:rsid w:val="002418BB"/>
    <w:rsid w:val="002467C3"/>
    <w:rsid w:val="002470A9"/>
    <w:rsid w:val="00253823"/>
    <w:rsid w:val="002562A8"/>
    <w:rsid w:val="00263ECE"/>
    <w:rsid w:val="00281495"/>
    <w:rsid w:val="00284A98"/>
    <w:rsid w:val="00285DC0"/>
    <w:rsid w:val="00285E16"/>
    <w:rsid w:val="00292470"/>
    <w:rsid w:val="0029351C"/>
    <w:rsid w:val="0029590D"/>
    <w:rsid w:val="0029732C"/>
    <w:rsid w:val="002A15FA"/>
    <w:rsid w:val="002A3094"/>
    <w:rsid w:val="002B1D6F"/>
    <w:rsid w:val="002B3D6B"/>
    <w:rsid w:val="002B41D4"/>
    <w:rsid w:val="002B4253"/>
    <w:rsid w:val="002B477C"/>
    <w:rsid w:val="002C5172"/>
    <w:rsid w:val="002C678E"/>
    <w:rsid w:val="002D1A49"/>
    <w:rsid w:val="002D7AEC"/>
    <w:rsid w:val="002E0BC3"/>
    <w:rsid w:val="002E230F"/>
    <w:rsid w:val="002E2B5A"/>
    <w:rsid w:val="002E5132"/>
    <w:rsid w:val="002E6553"/>
    <w:rsid w:val="002E7E76"/>
    <w:rsid w:val="002F1424"/>
    <w:rsid w:val="002F15DE"/>
    <w:rsid w:val="002F4F61"/>
    <w:rsid w:val="002F72C2"/>
    <w:rsid w:val="0030155A"/>
    <w:rsid w:val="0030188D"/>
    <w:rsid w:val="003031B3"/>
    <w:rsid w:val="00304912"/>
    <w:rsid w:val="00313E1F"/>
    <w:rsid w:val="00313F62"/>
    <w:rsid w:val="00316D68"/>
    <w:rsid w:val="0031799F"/>
    <w:rsid w:val="0032000D"/>
    <w:rsid w:val="00321AB1"/>
    <w:rsid w:val="003239AE"/>
    <w:rsid w:val="00330F09"/>
    <w:rsid w:val="00333432"/>
    <w:rsid w:val="00333BCC"/>
    <w:rsid w:val="0033437B"/>
    <w:rsid w:val="003357C4"/>
    <w:rsid w:val="003363C4"/>
    <w:rsid w:val="00341E09"/>
    <w:rsid w:val="00342412"/>
    <w:rsid w:val="00345269"/>
    <w:rsid w:val="00345444"/>
    <w:rsid w:val="00350658"/>
    <w:rsid w:val="00356E66"/>
    <w:rsid w:val="00357C0D"/>
    <w:rsid w:val="0036468F"/>
    <w:rsid w:val="00367AA0"/>
    <w:rsid w:val="00370E8E"/>
    <w:rsid w:val="0037191B"/>
    <w:rsid w:val="003734FE"/>
    <w:rsid w:val="00374496"/>
    <w:rsid w:val="00381796"/>
    <w:rsid w:val="00383068"/>
    <w:rsid w:val="00384650"/>
    <w:rsid w:val="00386200"/>
    <w:rsid w:val="003921D1"/>
    <w:rsid w:val="00392EF9"/>
    <w:rsid w:val="00393CEA"/>
    <w:rsid w:val="00397138"/>
    <w:rsid w:val="003A08FE"/>
    <w:rsid w:val="003A1FD3"/>
    <w:rsid w:val="003A2055"/>
    <w:rsid w:val="003A5F62"/>
    <w:rsid w:val="003A6703"/>
    <w:rsid w:val="003B1531"/>
    <w:rsid w:val="003B41E1"/>
    <w:rsid w:val="003B6294"/>
    <w:rsid w:val="003C0675"/>
    <w:rsid w:val="003C541A"/>
    <w:rsid w:val="003D1338"/>
    <w:rsid w:val="003D2991"/>
    <w:rsid w:val="003D499D"/>
    <w:rsid w:val="003D500D"/>
    <w:rsid w:val="003D6445"/>
    <w:rsid w:val="003D6729"/>
    <w:rsid w:val="003D6A6B"/>
    <w:rsid w:val="003D715C"/>
    <w:rsid w:val="003D7E72"/>
    <w:rsid w:val="003E0194"/>
    <w:rsid w:val="003E25A3"/>
    <w:rsid w:val="003E319D"/>
    <w:rsid w:val="003E401B"/>
    <w:rsid w:val="003E5604"/>
    <w:rsid w:val="003E63E5"/>
    <w:rsid w:val="003E74AD"/>
    <w:rsid w:val="003F3939"/>
    <w:rsid w:val="003F52D6"/>
    <w:rsid w:val="003F701D"/>
    <w:rsid w:val="003F749E"/>
    <w:rsid w:val="003F782C"/>
    <w:rsid w:val="00401949"/>
    <w:rsid w:val="00403E92"/>
    <w:rsid w:val="00405656"/>
    <w:rsid w:val="00405CF1"/>
    <w:rsid w:val="00411D1B"/>
    <w:rsid w:val="004173F0"/>
    <w:rsid w:val="00417CB9"/>
    <w:rsid w:val="00423A77"/>
    <w:rsid w:val="0042556A"/>
    <w:rsid w:val="0043098A"/>
    <w:rsid w:val="00432139"/>
    <w:rsid w:val="00433014"/>
    <w:rsid w:val="00435A60"/>
    <w:rsid w:val="0043606C"/>
    <w:rsid w:val="00443E24"/>
    <w:rsid w:val="00446917"/>
    <w:rsid w:val="00446EDC"/>
    <w:rsid w:val="0044704A"/>
    <w:rsid w:val="004503C9"/>
    <w:rsid w:val="00452049"/>
    <w:rsid w:val="00454B29"/>
    <w:rsid w:val="00454C00"/>
    <w:rsid w:val="00455A61"/>
    <w:rsid w:val="00457E6D"/>
    <w:rsid w:val="00457ED7"/>
    <w:rsid w:val="00461432"/>
    <w:rsid w:val="004619BD"/>
    <w:rsid w:val="00462A2D"/>
    <w:rsid w:val="00467147"/>
    <w:rsid w:val="0047356A"/>
    <w:rsid w:val="0047383A"/>
    <w:rsid w:val="00474481"/>
    <w:rsid w:val="004757C0"/>
    <w:rsid w:val="00477015"/>
    <w:rsid w:val="00481B5E"/>
    <w:rsid w:val="0048399A"/>
    <w:rsid w:val="00484634"/>
    <w:rsid w:val="004874F1"/>
    <w:rsid w:val="00487BB9"/>
    <w:rsid w:val="004935F1"/>
    <w:rsid w:val="00493A05"/>
    <w:rsid w:val="0049698C"/>
    <w:rsid w:val="004A0507"/>
    <w:rsid w:val="004A11BD"/>
    <w:rsid w:val="004A3F27"/>
    <w:rsid w:val="004A726F"/>
    <w:rsid w:val="004A7513"/>
    <w:rsid w:val="004B33CF"/>
    <w:rsid w:val="004B4960"/>
    <w:rsid w:val="004B6D59"/>
    <w:rsid w:val="004C0090"/>
    <w:rsid w:val="004C269C"/>
    <w:rsid w:val="004C5EF2"/>
    <w:rsid w:val="004C686E"/>
    <w:rsid w:val="004C6FE9"/>
    <w:rsid w:val="004D1F04"/>
    <w:rsid w:val="004D3632"/>
    <w:rsid w:val="004D42A9"/>
    <w:rsid w:val="004D5F71"/>
    <w:rsid w:val="004D6414"/>
    <w:rsid w:val="004D734B"/>
    <w:rsid w:val="004D7FC6"/>
    <w:rsid w:val="004E155A"/>
    <w:rsid w:val="004E294D"/>
    <w:rsid w:val="004E50B7"/>
    <w:rsid w:val="004E5E24"/>
    <w:rsid w:val="004F12ED"/>
    <w:rsid w:val="004F52CD"/>
    <w:rsid w:val="004F7CC8"/>
    <w:rsid w:val="00500A79"/>
    <w:rsid w:val="00502A10"/>
    <w:rsid w:val="00505391"/>
    <w:rsid w:val="00510A84"/>
    <w:rsid w:val="00512F26"/>
    <w:rsid w:val="005151F5"/>
    <w:rsid w:val="00523856"/>
    <w:rsid w:val="00525F03"/>
    <w:rsid w:val="005323EA"/>
    <w:rsid w:val="00546A32"/>
    <w:rsid w:val="00546BA2"/>
    <w:rsid w:val="005474EF"/>
    <w:rsid w:val="00547BB1"/>
    <w:rsid w:val="00547C92"/>
    <w:rsid w:val="005521CD"/>
    <w:rsid w:val="00552B30"/>
    <w:rsid w:val="00552C38"/>
    <w:rsid w:val="00552D21"/>
    <w:rsid w:val="00556530"/>
    <w:rsid w:val="00556643"/>
    <w:rsid w:val="005611AA"/>
    <w:rsid w:val="0056145D"/>
    <w:rsid w:val="00562C9B"/>
    <w:rsid w:val="0056558B"/>
    <w:rsid w:val="0057012E"/>
    <w:rsid w:val="00570E9C"/>
    <w:rsid w:val="00572C49"/>
    <w:rsid w:val="00573D86"/>
    <w:rsid w:val="0057710C"/>
    <w:rsid w:val="00583A9A"/>
    <w:rsid w:val="00584CEC"/>
    <w:rsid w:val="005862A2"/>
    <w:rsid w:val="00587494"/>
    <w:rsid w:val="00595D47"/>
    <w:rsid w:val="005A1043"/>
    <w:rsid w:val="005A2D1D"/>
    <w:rsid w:val="005B18D0"/>
    <w:rsid w:val="005B362B"/>
    <w:rsid w:val="005B5E35"/>
    <w:rsid w:val="005B7944"/>
    <w:rsid w:val="005C01AF"/>
    <w:rsid w:val="005C025B"/>
    <w:rsid w:val="005C375D"/>
    <w:rsid w:val="005C4EC4"/>
    <w:rsid w:val="005C753C"/>
    <w:rsid w:val="005D0DA3"/>
    <w:rsid w:val="005D3541"/>
    <w:rsid w:val="005D35E2"/>
    <w:rsid w:val="005D7A86"/>
    <w:rsid w:val="005E2DB5"/>
    <w:rsid w:val="005E564A"/>
    <w:rsid w:val="005E6AD3"/>
    <w:rsid w:val="005F2370"/>
    <w:rsid w:val="005F38F8"/>
    <w:rsid w:val="005F74EF"/>
    <w:rsid w:val="00601B1A"/>
    <w:rsid w:val="006031BF"/>
    <w:rsid w:val="006052D4"/>
    <w:rsid w:val="00605AD5"/>
    <w:rsid w:val="00605C28"/>
    <w:rsid w:val="00613E5D"/>
    <w:rsid w:val="006141BD"/>
    <w:rsid w:val="00615FAD"/>
    <w:rsid w:val="00620E9D"/>
    <w:rsid w:val="00621608"/>
    <w:rsid w:val="00622FD3"/>
    <w:rsid w:val="00625CA3"/>
    <w:rsid w:val="00627819"/>
    <w:rsid w:val="006322B7"/>
    <w:rsid w:val="00633E5A"/>
    <w:rsid w:val="00634C4B"/>
    <w:rsid w:val="0064062D"/>
    <w:rsid w:val="00640E20"/>
    <w:rsid w:val="0064361C"/>
    <w:rsid w:val="00645652"/>
    <w:rsid w:val="00645977"/>
    <w:rsid w:val="00653D52"/>
    <w:rsid w:val="0065514A"/>
    <w:rsid w:val="00657363"/>
    <w:rsid w:val="00663711"/>
    <w:rsid w:val="0066752F"/>
    <w:rsid w:val="00670452"/>
    <w:rsid w:val="00672489"/>
    <w:rsid w:val="00680FE3"/>
    <w:rsid w:val="00684D33"/>
    <w:rsid w:val="00690A10"/>
    <w:rsid w:val="0069112B"/>
    <w:rsid w:val="00691ADA"/>
    <w:rsid w:val="0069253A"/>
    <w:rsid w:val="00694326"/>
    <w:rsid w:val="00697254"/>
    <w:rsid w:val="006A1436"/>
    <w:rsid w:val="006A1C92"/>
    <w:rsid w:val="006A229B"/>
    <w:rsid w:val="006A3AF0"/>
    <w:rsid w:val="006A49FD"/>
    <w:rsid w:val="006A71BD"/>
    <w:rsid w:val="006A72C3"/>
    <w:rsid w:val="006A7E80"/>
    <w:rsid w:val="006B0234"/>
    <w:rsid w:val="006B03AD"/>
    <w:rsid w:val="006B440C"/>
    <w:rsid w:val="006C0D55"/>
    <w:rsid w:val="006C1083"/>
    <w:rsid w:val="006C2841"/>
    <w:rsid w:val="006C63C1"/>
    <w:rsid w:val="006D1294"/>
    <w:rsid w:val="006D29DF"/>
    <w:rsid w:val="006D40B0"/>
    <w:rsid w:val="006D766C"/>
    <w:rsid w:val="006E094A"/>
    <w:rsid w:val="006E48DC"/>
    <w:rsid w:val="006E6529"/>
    <w:rsid w:val="006E72A8"/>
    <w:rsid w:val="006F41DE"/>
    <w:rsid w:val="006F5C26"/>
    <w:rsid w:val="0070439C"/>
    <w:rsid w:val="00704E89"/>
    <w:rsid w:val="007072D7"/>
    <w:rsid w:val="007075EC"/>
    <w:rsid w:val="00707B1E"/>
    <w:rsid w:val="00710FAE"/>
    <w:rsid w:val="0071332D"/>
    <w:rsid w:val="00713F91"/>
    <w:rsid w:val="0071497A"/>
    <w:rsid w:val="0072025F"/>
    <w:rsid w:val="007218BE"/>
    <w:rsid w:val="0072351D"/>
    <w:rsid w:val="007241AC"/>
    <w:rsid w:val="007253C9"/>
    <w:rsid w:val="0072588E"/>
    <w:rsid w:val="00727CF6"/>
    <w:rsid w:val="007308A9"/>
    <w:rsid w:val="007323B4"/>
    <w:rsid w:val="00732437"/>
    <w:rsid w:val="00733F47"/>
    <w:rsid w:val="007373EB"/>
    <w:rsid w:val="00741E38"/>
    <w:rsid w:val="00742742"/>
    <w:rsid w:val="0074458A"/>
    <w:rsid w:val="007465AE"/>
    <w:rsid w:val="00755016"/>
    <w:rsid w:val="00757486"/>
    <w:rsid w:val="007631D1"/>
    <w:rsid w:val="0076634F"/>
    <w:rsid w:val="00766C08"/>
    <w:rsid w:val="0078320C"/>
    <w:rsid w:val="0078380A"/>
    <w:rsid w:val="00784F4C"/>
    <w:rsid w:val="00785251"/>
    <w:rsid w:val="007872B9"/>
    <w:rsid w:val="007926E0"/>
    <w:rsid w:val="007927EF"/>
    <w:rsid w:val="0079290D"/>
    <w:rsid w:val="007A0F73"/>
    <w:rsid w:val="007A4B7C"/>
    <w:rsid w:val="007A572E"/>
    <w:rsid w:val="007A5A8F"/>
    <w:rsid w:val="007A6DAC"/>
    <w:rsid w:val="007B043F"/>
    <w:rsid w:val="007B308E"/>
    <w:rsid w:val="007B3C44"/>
    <w:rsid w:val="007B45E1"/>
    <w:rsid w:val="007B6660"/>
    <w:rsid w:val="007C02AB"/>
    <w:rsid w:val="007C1300"/>
    <w:rsid w:val="007C3961"/>
    <w:rsid w:val="007C3E88"/>
    <w:rsid w:val="007C3EC5"/>
    <w:rsid w:val="007C4D34"/>
    <w:rsid w:val="007C592E"/>
    <w:rsid w:val="007C7231"/>
    <w:rsid w:val="007D0886"/>
    <w:rsid w:val="007D1D47"/>
    <w:rsid w:val="007D49A0"/>
    <w:rsid w:val="007D722D"/>
    <w:rsid w:val="007D7B19"/>
    <w:rsid w:val="007E08A1"/>
    <w:rsid w:val="007E488F"/>
    <w:rsid w:val="007E57DE"/>
    <w:rsid w:val="007F4A34"/>
    <w:rsid w:val="007F7E9E"/>
    <w:rsid w:val="008009CF"/>
    <w:rsid w:val="00801421"/>
    <w:rsid w:val="008036FE"/>
    <w:rsid w:val="0080474A"/>
    <w:rsid w:val="00804AEB"/>
    <w:rsid w:val="00810432"/>
    <w:rsid w:val="008116D2"/>
    <w:rsid w:val="00812E9E"/>
    <w:rsid w:val="00816D78"/>
    <w:rsid w:val="008214AC"/>
    <w:rsid w:val="00821D46"/>
    <w:rsid w:val="0082404B"/>
    <w:rsid w:val="00824BAD"/>
    <w:rsid w:val="00843FA1"/>
    <w:rsid w:val="00844268"/>
    <w:rsid w:val="00847509"/>
    <w:rsid w:val="00850DAA"/>
    <w:rsid w:val="008573BB"/>
    <w:rsid w:val="0085770E"/>
    <w:rsid w:val="00864C5C"/>
    <w:rsid w:val="00870306"/>
    <w:rsid w:val="00872039"/>
    <w:rsid w:val="008743D4"/>
    <w:rsid w:val="008744D7"/>
    <w:rsid w:val="00877F0C"/>
    <w:rsid w:val="00884F76"/>
    <w:rsid w:val="008855E6"/>
    <w:rsid w:val="00887AB2"/>
    <w:rsid w:val="00892A42"/>
    <w:rsid w:val="00892CB0"/>
    <w:rsid w:val="00896139"/>
    <w:rsid w:val="008A1AB9"/>
    <w:rsid w:val="008A25A7"/>
    <w:rsid w:val="008A3505"/>
    <w:rsid w:val="008A5C55"/>
    <w:rsid w:val="008A656E"/>
    <w:rsid w:val="008B0BF0"/>
    <w:rsid w:val="008B333D"/>
    <w:rsid w:val="008B362F"/>
    <w:rsid w:val="008B4F44"/>
    <w:rsid w:val="008B6679"/>
    <w:rsid w:val="008B76B5"/>
    <w:rsid w:val="008C1166"/>
    <w:rsid w:val="008C15E7"/>
    <w:rsid w:val="008C4CD1"/>
    <w:rsid w:val="008D577F"/>
    <w:rsid w:val="008D772E"/>
    <w:rsid w:val="008E1642"/>
    <w:rsid w:val="008E16A2"/>
    <w:rsid w:val="008E23E1"/>
    <w:rsid w:val="008E2D6C"/>
    <w:rsid w:val="008E3132"/>
    <w:rsid w:val="008E33E5"/>
    <w:rsid w:val="008E3777"/>
    <w:rsid w:val="008E73E5"/>
    <w:rsid w:val="008E7EEC"/>
    <w:rsid w:val="008E7FE0"/>
    <w:rsid w:val="0090073D"/>
    <w:rsid w:val="00900F9F"/>
    <w:rsid w:val="0090116E"/>
    <w:rsid w:val="00902AD9"/>
    <w:rsid w:val="00902CB6"/>
    <w:rsid w:val="009137D6"/>
    <w:rsid w:val="009161AA"/>
    <w:rsid w:val="00921CA8"/>
    <w:rsid w:val="00922BE1"/>
    <w:rsid w:val="009272CE"/>
    <w:rsid w:val="009305C5"/>
    <w:rsid w:val="009355D5"/>
    <w:rsid w:val="00936A2B"/>
    <w:rsid w:val="00936D22"/>
    <w:rsid w:val="00937E9C"/>
    <w:rsid w:val="00945F46"/>
    <w:rsid w:val="00946318"/>
    <w:rsid w:val="0095587E"/>
    <w:rsid w:val="00956A72"/>
    <w:rsid w:val="009609CC"/>
    <w:rsid w:val="00963B5A"/>
    <w:rsid w:val="00963CED"/>
    <w:rsid w:val="009646E7"/>
    <w:rsid w:val="009678AF"/>
    <w:rsid w:val="00972EEE"/>
    <w:rsid w:val="009732EA"/>
    <w:rsid w:val="009777EB"/>
    <w:rsid w:val="00977D61"/>
    <w:rsid w:val="00981083"/>
    <w:rsid w:val="0098261F"/>
    <w:rsid w:val="00986A17"/>
    <w:rsid w:val="0098794B"/>
    <w:rsid w:val="009901C1"/>
    <w:rsid w:val="00992C8F"/>
    <w:rsid w:val="00994BCE"/>
    <w:rsid w:val="009955AD"/>
    <w:rsid w:val="0099634F"/>
    <w:rsid w:val="00997DB5"/>
    <w:rsid w:val="009A010D"/>
    <w:rsid w:val="009A032E"/>
    <w:rsid w:val="009A3DD2"/>
    <w:rsid w:val="009A5675"/>
    <w:rsid w:val="009A73E7"/>
    <w:rsid w:val="009A7AD7"/>
    <w:rsid w:val="009B2B4F"/>
    <w:rsid w:val="009B4A84"/>
    <w:rsid w:val="009B58F5"/>
    <w:rsid w:val="009B6511"/>
    <w:rsid w:val="009C164A"/>
    <w:rsid w:val="009C5364"/>
    <w:rsid w:val="009C6208"/>
    <w:rsid w:val="009C6CDA"/>
    <w:rsid w:val="009C70C2"/>
    <w:rsid w:val="009D07FD"/>
    <w:rsid w:val="009D43A1"/>
    <w:rsid w:val="009D7DE8"/>
    <w:rsid w:val="009E18E5"/>
    <w:rsid w:val="009E1E92"/>
    <w:rsid w:val="009E2952"/>
    <w:rsid w:val="009E3C51"/>
    <w:rsid w:val="009F2468"/>
    <w:rsid w:val="00A01349"/>
    <w:rsid w:val="00A14F22"/>
    <w:rsid w:val="00A1505F"/>
    <w:rsid w:val="00A15663"/>
    <w:rsid w:val="00A172EB"/>
    <w:rsid w:val="00A21ABC"/>
    <w:rsid w:val="00A2251E"/>
    <w:rsid w:val="00A33F3E"/>
    <w:rsid w:val="00A3627D"/>
    <w:rsid w:val="00A36382"/>
    <w:rsid w:val="00A36A28"/>
    <w:rsid w:val="00A418FB"/>
    <w:rsid w:val="00A4310A"/>
    <w:rsid w:val="00A43802"/>
    <w:rsid w:val="00A47821"/>
    <w:rsid w:val="00A51CBA"/>
    <w:rsid w:val="00A524B3"/>
    <w:rsid w:val="00A52754"/>
    <w:rsid w:val="00A54B56"/>
    <w:rsid w:val="00A56A24"/>
    <w:rsid w:val="00A575A2"/>
    <w:rsid w:val="00A57EC3"/>
    <w:rsid w:val="00A60DD6"/>
    <w:rsid w:val="00A6280D"/>
    <w:rsid w:val="00A62DAA"/>
    <w:rsid w:val="00A63763"/>
    <w:rsid w:val="00A647E1"/>
    <w:rsid w:val="00A7220C"/>
    <w:rsid w:val="00A725F9"/>
    <w:rsid w:val="00A735B1"/>
    <w:rsid w:val="00A75BA8"/>
    <w:rsid w:val="00A765ED"/>
    <w:rsid w:val="00A76AE2"/>
    <w:rsid w:val="00A82CD0"/>
    <w:rsid w:val="00A8476F"/>
    <w:rsid w:val="00A84FCC"/>
    <w:rsid w:val="00A85571"/>
    <w:rsid w:val="00A86B25"/>
    <w:rsid w:val="00A907D0"/>
    <w:rsid w:val="00A90814"/>
    <w:rsid w:val="00A9783B"/>
    <w:rsid w:val="00AA0B69"/>
    <w:rsid w:val="00AA37E1"/>
    <w:rsid w:val="00AA5E71"/>
    <w:rsid w:val="00AA78D8"/>
    <w:rsid w:val="00AB4549"/>
    <w:rsid w:val="00AB7F7C"/>
    <w:rsid w:val="00AC4467"/>
    <w:rsid w:val="00AD5D97"/>
    <w:rsid w:val="00AE0794"/>
    <w:rsid w:val="00AE5AFF"/>
    <w:rsid w:val="00AE5D5E"/>
    <w:rsid w:val="00AE6196"/>
    <w:rsid w:val="00AF2FFD"/>
    <w:rsid w:val="00AF4444"/>
    <w:rsid w:val="00AF6BDE"/>
    <w:rsid w:val="00AF7FD2"/>
    <w:rsid w:val="00B0109A"/>
    <w:rsid w:val="00B0596E"/>
    <w:rsid w:val="00B0653F"/>
    <w:rsid w:val="00B106CF"/>
    <w:rsid w:val="00B1191B"/>
    <w:rsid w:val="00B13D62"/>
    <w:rsid w:val="00B14332"/>
    <w:rsid w:val="00B1493A"/>
    <w:rsid w:val="00B16B8C"/>
    <w:rsid w:val="00B22262"/>
    <w:rsid w:val="00B227D4"/>
    <w:rsid w:val="00B24C2C"/>
    <w:rsid w:val="00B24DA1"/>
    <w:rsid w:val="00B306B5"/>
    <w:rsid w:val="00B31C71"/>
    <w:rsid w:val="00B34426"/>
    <w:rsid w:val="00B4176A"/>
    <w:rsid w:val="00B423FB"/>
    <w:rsid w:val="00B42402"/>
    <w:rsid w:val="00B43051"/>
    <w:rsid w:val="00B44BD2"/>
    <w:rsid w:val="00B45EAE"/>
    <w:rsid w:val="00B50EE8"/>
    <w:rsid w:val="00B51308"/>
    <w:rsid w:val="00B52381"/>
    <w:rsid w:val="00B5734E"/>
    <w:rsid w:val="00B61F39"/>
    <w:rsid w:val="00B622B9"/>
    <w:rsid w:val="00B6294A"/>
    <w:rsid w:val="00B647BE"/>
    <w:rsid w:val="00B66599"/>
    <w:rsid w:val="00B6740C"/>
    <w:rsid w:val="00B72C91"/>
    <w:rsid w:val="00B7402A"/>
    <w:rsid w:val="00B81DC5"/>
    <w:rsid w:val="00B82CA8"/>
    <w:rsid w:val="00B845D2"/>
    <w:rsid w:val="00B85799"/>
    <w:rsid w:val="00B86F32"/>
    <w:rsid w:val="00BA06D1"/>
    <w:rsid w:val="00BA2C17"/>
    <w:rsid w:val="00BA4822"/>
    <w:rsid w:val="00BA5727"/>
    <w:rsid w:val="00BA6360"/>
    <w:rsid w:val="00BA6669"/>
    <w:rsid w:val="00BB0793"/>
    <w:rsid w:val="00BB36AE"/>
    <w:rsid w:val="00BB384B"/>
    <w:rsid w:val="00BB3B09"/>
    <w:rsid w:val="00BB3D99"/>
    <w:rsid w:val="00BB4253"/>
    <w:rsid w:val="00BB4E31"/>
    <w:rsid w:val="00BB5EF3"/>
    <w:rsid w:val="00BB6347"/>
    <w:rsid w:val="00BC11C4"/>
    <w:rsid w:val="00BC3B49"/>
    <w:rsid w:val="00BC553A"/>
    <w:rsid w:val="00BC7141"/>
    <w:rsid w:val="00BD4219"/>
    <w:rsid w:val="00BD467A"/>
    <w:rsid w:val="00BD4FF0"/>
    <w:rsid w:val="00BD754D"/>
    <w:rsid w:val="00BE044B"/>
    <w:rsid w:val="00BE23C9"/>
    <w:rsid w:val="00BE5DD2"/>
    <w:rsid w:val="00BE6D88"/>
    <w:rsid w:val="00BE70FE"/>
    <w:rsid w:val="00BE7E22"/>
    <w:rsid w:val="00BF449E"/>
    <w:rsid w:val="00BF55A3"/>
    <w:rsid w:val="00BF5A7E"/>
    <w:rsid w:val="00BF658B"/>
    <w:rsid w:val="00C00E7C"/>
    <w:rsid w:val="00C07622"/>
    <w:rsid w:val="00C101CA"/>
    <w:rsid w:val="00C10B2A"/>
    <w:rsid w:val="00C11322"/>
    <w:rsid w:val="00C131C3"/>
    <w:rsid w:val="00C142AD"/>
    <w:rsid w:val="00C14ED3"/>
    <w:rsid w:val="00C226D1"/>
    <w:rsid w:val="00C2402F"/>
    <w:rsid w:val="00C2482B"/>
    <w:rsid w:val="00C25E0C"/>
    <w:rsid w:val="00C25E2E"/>
    <w:rsid w:val="00C27E30"/>
    <w:rsid w:val="00C31076"/>
    <w:rsid w:val="00C335FE"/>
    <w:rsid w:val="00C33ED3"/>
    <w:rsid w:val="00C35713"/>
    <w:rsid w:val="00C35794"/>
    <w:rsid w:val="00C36CCE"/>
    <w:rsid w:val="00C40391"/>
    <w:rsid w:val="00C424FB"/>
    <w:rsid w:val="00C45152"/>
    <w:rsid w:val="00C45FF3"/>
    <w:rsid w:val="00C4758E"/>
    <w:rsid w:val="00C55C35"/>
    <w:rsid w:val="00C571F5"/>
    <w:rsid w:val="00C63455"/>
    <w:rsid w:val="00C64BE1"/>
    <w:rsid w:val="00C73AAC"/>
    <w:rsid w:val="00C73CC6"/>
    <w:rsid w:val="00C7651D"/>
    <w:rsid w:val="00C80184"/>
    <w:rsid w:val="00C83E66"/>
    <w:rsid w:val="00C84313"/>
    <w:rsid w:val="00C85087"/>
    <w:rsid w:val="00C876D9"/>
    <w:rsid w:val="00C91735"/>
    <w:rsid w:val="00CB1E78"/>
    <w:rsid w:val="00CB2A5E"/>
    <w:rsid w:val="00CB445F"/>
    <w:rsid w:val="00CB5BC2"/>
    <w:rsid w:val="00CC03BD"/>
    <w:rsid w:val="00CC518E"/>
    <w:rsid w:val="00CD168F"/>
    <w:rsid w:val="00CD3C81"/>
    <w:rsid w:val="00CD724B"/>
    <w:rsid w:val="00CE38D7"/>
    <w:rsid w:val="00CE5363"/>
    <w:rsid w:val="00CE6148"/>
    <w:rsid w:val="00CE7FE0"/>
    <w:rsid w:val="00CF1459"/>
    <w:rsid w:val="00CF1A5E"/>
    <w:rsid w:val="00CF334A"/>
    <w:rsid w:val="00CF3C2B"/>
    <w:rsid w:val="00CF742F"/>
    <w:rsid w:val="00CF79D6"/>
    <w:rsid w:val="00D001D2"/>
    <w:rsid w:val="00D0173B"/>
    <w:rsid w:val="00D01C3F"/>
    <w:rsid w:val="00D02135"/>
    <w:rsid w:val="00D031CC"/>
    <w:rsid w:val="00D0327E"/>
    <w:rsid w:val="00D10F64"/>
    <w:rsid w:val="00D10F65"/>
    <w:rsid w:val="00D11F98"/>
    <w:rsid w:val="00D203DE"/>
    <w:rsid w:val="00D20E7E"/>
    <w:rsid w:val="00D22B17"/>
    <w:rsid w:val="00D26B2E"/>
    <w:rsid w:val="00D32773"/>
    <w:rsid w:val="00D375D9"/>
    <w:rsid w:val="00D451C0"/>
    <w:rsid w:val="00D51D46"/>
    <w:rsid w:val="00D53644"/>
    <w:rsid w:val="00D5632E"/>
    <w:rsid w:val="00D56874"/>
    <w:rsid w:val="00D62B4A"/>
    <w:rsid w:val="00D64782"/>
    <w:rsid w:val="00D64C34"/>
    <w:rsid w:val="00D72EDC"/>
    <w:rsid w:val="00D7396E"/>
    <w:rsid w:val="00D77C55"/>
    <w:rsid w:val="00D80A0A"/>
    <w:rsid w:val="00D819BA"/>
    <w:rsid w:val="00D82F86"/>
    <w:rsid w:val="00D83CC5"/>
    <w:rsid w:val="00D83EEB"/>
    <w:rsid w:val="00D84248"/>
    <w:rsid w:val="00D86F99"/>
    <w:rsid w:val="00D87016"/>
    <w:rsid w:val="00D93C38"/>
    <w:rsid w:val="00D952B8"/>
    <w:rsid w:val="00D9711F"/>
    <w:rsid w:val="00D978DF"/>
    <w:rsid w:val="00DA2272"/>
    <w:rsid w:val="00DA47C3"/>
    <w:rsid w:val="00DA5407"/>
    <w:rsid w:val="00DB00CA"/>
    <w:rsid w:val="00DB49D1"/>
    <w:rsid w:val="00DB7504"/>
    <w:rsid w:val="00DC0338"/>
    <w:rsid w:val="00DC1F28"/>
    <w:rsid w:val="00DC237D"/>
    <w:rsid w:val="00DC4D07"/>
    <w:rsid w:val="00DC7CB8"/>
    <w:rsid w:val="00DD0528"/>
    <w:rsid w:val="00DD29D8"/>
    <w:rsid w:val="00DD3994"/>
    <w:rsid w:val="00DD39E9"/>
    <w:rsid w:val="00DD5DF6"/>
    <w:rsid w:val="00DD6416"/>
    <w:rsid w:val="00DD6C09"/>
    <w:rsid w:val="00DE2564"/>
    <w:rsid w:val="00DE3659"/>
    <w:rsid w:val="00DE770F"/>
    <w:rsid w:val="00DE7A48"/>
    <w:rsid w:val="00DF0FD6"/>
    <w:rsid w:val="00DF54BD"/>
    <w:rsid w:val="00E12B49"/>
    <w:rsid w:val="00E13A1F"/>
    <w:rsid w:val="00E15597"/>
    <w:rsid w:val="00E15E67"/>
    <w:rsid w:val="00E22DC6"/>
    <w:rsid w:val="00E25460"/>
    <w:rsid w:val="00E27D8A"/>
    <w:rsid w:val="00E30D4B"/>
    <w:rsid w:val="00E368DC"/>
    <w:rsid w:val="00E372BE"/>
    <w:rsid w:val="00E37DDD"/>
    <w:rsid w:val="00E42EBB"/>
    <w:rsid w:val="00E45862"/>
    <w:rsid w:val="00E538E5"/>
    <w:rsid w:val="00E53F8E"/>
    <w:rsid w:val="00E65474"/>
    <w:rsid w:val="00E67ED9"/>
    <w:rsid w:val="00E74578"/>
    <w:rsid w:val="00E80358"/>
    <w:rsid w:val="00E91BD6"/>
    <w:rsid w:val="00E945A2"/>
    <w:rsid w:val="00E97AD5"/>
    <w:rsid w:val="00EA137E"/>
    <w:rsid w:val="00EA4CD9"/>
    <w:rsid w:val="00EA671F"/>
    <w:rsid w:val="00EB0982"/>
    <w:rsid w:val="00EB72E0"/>
    <w:rsid w:val="00EB7AD1"/>
    <w:rsid w:val="00EC11C2"/>
    <w:rsid w:val="00EC286C"/>
    <w:rsid w:val="00EC355A"/>
    <w:rsid w:val="00EC35AB"/>
    <w:rsid w:val="00EC69BC"/>
    <w:rsid w:val="00ED0FA7"/>
    <w:rsid w:val="00ED55AF"/>
    <w:rsid w:val="00ED6903"/>
    <w:rsid w:val="00EE1551"/>
    <w:rsid w:val="00EE766D"/>
    <w:rsid w:val="00EF330B"/>
    <w:rsid w:val="00EF3AA2"/>
    <w:rsid w:val="00F00E64"/>
    <w:rsid w:val="00F00E83"/>
    <w:rsid w:val="00F13594"/>
    <w:rsid w:val="00F13884"/>
    <w:rsid w:val="00F14F5A"/>
    <w:rsid w:val="00F20C1D"/>
    <w:rsid w:val="00F22075"/>
    <w:rsid w:val="00F22ED0"/>
    <w:rsid w:val="00F23CEE"/>
    <w:rsid w:val="00F24211"/>
    <w:rsid w:val="00F3022B"/>
    <w:rsid w:val="00F33669"/>
    <w:rsid w:val="00F35A2D"/>
    <w:rsid w:val="00F3645F"/>
    <w:rsid w:val="00F43608"/>
    <w:rsid w:val="00F43615"/>
    <w:rsid w:val="00F47BBE"/>
    <w:rsid w:val="00F47CF0"/>
    <w:rsid w:val="00F50C46"/>
    <w:rsid w:val="00F522A5"/>
    <w:rsid w:val="00F575BC"/>
    <w:rsid w:val="00F64BBC"/>
    <w:rsid w:val="00F65527"/>
    <w:rsid w:val="00F66FE2"/>
    <w:rsid w:val="00F6735E"/>
    <w:rsid w:val="00F67518"/>
    <w:rsid w:val="00F7007E"/>
    <w:rsid w:val="00F7173F"/>
    <w:rsid w:val="00F71D6D"/>
    <w:rsid w:val="00F72360"/>
    <w:rsid w:val="00F72DC0"/>
    <w:rsid w:val="00F743BC"/>
    <w:rsid w:val="00F752EC"/>
    <w:rsid w:val="00F77186"/>
    <w:rsid w:val="00F81428"/>
    <w:rsid w:val="00F83022"/>
    <w:rsid w:val="00F83F9F"/>
    <w:rsid w:val="00F86FAE"/>
    <w:rsid w:val="00F96418"/>
    <w:rsid w:val="00F96AEB"/>
    <w:rsid w:val="00F96EC5"/>
    <w:rsid w:val="00F97046"/>
    <w:rsid w:val="00FA090D"/>
    <w:rsid w:val="00FA63E5"/>
    <w:rsid w:val="00FA66D9"/>
    <w:rsid w:val="00FA76A5"/>
    <w:rsid w:val="00FB1544"/>
    <w:rsid w:val="00FB284A"/>
    <w:rsid w:val="00FB66C3"/>
    <w:rsid w:val="00FC0158"/>
    <w:rsid w:val="00FC1A18"/>
    <w:rsid w:val="00FC23AE"/>
    <w:rsid w:val="00FC23F2"/>
    <w:rsid w:val="00FC26A2"/>
    <w:rsid w:val="00FC434F"/>
    <w:rsid w:val="00FC4D28"/>
    <w:rsid w:val="00FC7C3E"/>
    <w:rsid w:val="00FE0A75"/>
    <w:rsid w:val="00FE6401"/>
    <w:rsid w:val="00FE68DF"/>
    <w:rsid w:val="00FE7006"/>
    <w:rsid w:val="00FF1FFC"/>
    <w:rsid w:val="00FF3393"/>
    <w:rsid w:val="00FF3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60778"/>
  <w15:docId w15:val="{6C0EB337-C921-43E1-B150-4AE7B070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528"/>
    <w:pPr>
      <w:jc w:val="both"/>
    </w:pPr>
    <w:rPr>
      <w:rFonts w:ascii="Gill Sans MT" w:hAnsi="Gill Sans MT" w:cs="Times New Roman"/>
      <w:sz w:val="24"/>
      <w:lang w:val="en-GB"/>
    </w:rPr>
  </w:style>
  <w:style w:type="paragraph" w:styleId="Heading1">
    <w:name w:val="heading 1"/>
    <w:basedOn w:val="Normal"/>
    <w:next w:val="Normal"/>
    <w:link w:val="Heading1Char"/>
    <w:autoRedefine/>
    <w:uiPriority w:val="9"/>
    <w:qFormat/>
    <w:rsid w:val="00F3645F"/>
    <w:pPr>
      <w:keepNext/>
      <w:keepLines/>
      <w:numPr>
        <w:numId w:val="16"/>
      </w:numPr>
      <w:spacing w:before="480"/>
      <w:outlineLvl w:val="0"/>
    </w:pPr>
    <w:rPr>
      <w:rFonts w:eastAsiaTheme="majorEastAsia" w:cs="Times New Roman (Headings CS)"/>
      <w:b/>
      <w:bCs/>
      <w:color w:val="2E74B5" w:themeColor="accent1" w:themeShade="BF"/>
      <w:sz w:val="28"/>
      <w:szCs w:val="28"/>
      <w:lang w:val="en-US"/>
    </w:rPr>
  </w:style>
  <w:style w:type="paragraph" w:styleId="Heading2">
    <w:name w:val="heading 2"/>
    <w:basedOn w:val="Normal"/>
    <w:next w:val="Normal"/>
    <w:link w:val="Heading2Char"/>
    <w:autoRedefine/>
    <w:uiPriority w:val="9"/>
    <w:unhideWhenUsed/>
    <w:qFormat/>
    <w:rsid w:val="00AB4549"/>
    <w:pPr>
      <w:keepNext/>
      <w:keepLines/>
      <w:spacing w:before="200"/>
      <w:outlineLvl w:val="1"/>
    </w:pPr>
    <w:rPr>
      <w:rFonts w:eastAsiaTheme="majorEastAsia" w:cstheme="majorBidi"/>
      <w:b/>
      <w:bCs/>
      <w:color w:val="5B9BD5" w:themeColor="accent1"/>
      <w:szCs w:val="26"/>
      <w:lang w:val="en-US" w:eastAsia="en-GB"/>
    </w:rPr>
  </w:style>
  <w:style w:type="paragraph" w:styleId="Heading3">
    <w:name w:val="heading 3"/>
    <w:basedOn w:val="Normal"/>
    <w:next w:val="Normal"/>
    <w:link w:val="Heading3Char"/>
    <w:uiPriority w:val="9"/>
    <w:unhideWhenUsed/>
    <w:qFormat/>
    <w:rsid w:val="00DD0528"/>
    <w:pPr>
      <w:keepNext/>
      <w:keepLines/>
      <w:numPr>
        <w:ilvl w:val="2"/>
        <w:numId w:val="2"/>
      </w:numPr>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DD0528"/>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D0528"/>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D0528"/>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D0528"/>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D0528"/>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D0528"/>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Geneva 9 Char,Font: Geneva 9 Char,Boston 10 Char,f Char,Footnote Text Char Char Char Char Char Char Char,Footnote Text Char Char Char Char1 Char,Footnote Text Char Char Char Char Char1 Char,ft,Footnote Text Char Char,Char Char Char"/>
    <w:basedOn w:val="Normal"/>
    <w:link w:val="FootnoteTextChar"/>
    <w:unhideWhenUsed/>
    <w:qFormat/>
    <w:rsid w:val="00E30D4B"/>
    <w:rPr>
      <w:sz w:val="20"/>
      <w:szCs w:val="20"/>
    </w:rPr>
  </w:style>
  <w:style w:type="character" w:customStyle="1" w:styleId="FootnoteTextChar">
    <w:name w:val="Footnote Text Char"/>
    <w:aliases w:val="Geneva 9 Char Char1,Font: Geneva 9 Char Char1,Boston 10 Char Char1,f Char Char1,Footnote Text Char Char Char Char Char Char Char Char1,Footnote Text Char Char Char Char1 Char Char1,Footnote Text Char Char Char Char Char1 Char Char1"/>
    <w:basedOn w:val="DefaultParagraphFont"/>
    <w:link w:val="FootnoteText"/>
    <w:rsid w:val="00E30D4B"/>
    <w:rPr>
      <w:sz w:val="20"/>
      <w:szCs w:val="20"/>
    </w:rPr>
  </w:style>
  <w:style w:type="character" w:styleId="FootnoteReference">
    <w:name w:val="footnote reference"/>
    <w:aliases w:val="ftref,16 Point,Superscript 6 Point, BVI fnr Char Char,ftref Char Char, BVI fnr Char Char Char Zchn Char Char Char Zchn Char Zchn Char Char Char,ftref Char Char Char Zchn Char Char Char Zchn Char Zchn Char Char Char Char Char,BVI fnr"/>
    <w:basedOn w:val="DefaultParagraphFont"/>
    <w:link w:val="BVIfnrChar"/>
    <w:unhideWhenUsed/>
    <w:qFormat/>
    <w:rsid w:val="00E30D4B"/>
    <w:rPr>
      <w:vertAlign w:val="superscript"/>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3"/>
    <w:basedOn w:val="Normal"/>
    <w:link w:val="ListParagraphChar"/>
    <w:uiPriority w:val="34"/>
    <w:qFormat/>
    <w:rsid w:val="00285DC0"/>
    <w:pPr>
      <w:ind w:left="720"/>
      <w:contextualSpacing/>
    </w:pPr>
  </w:style>
  <w:style w:type="paragraph" w:styleId="BalloonText">
    <w:name w:val="Balloon Text"/>
    <w:basedOn w:val="Normal"/>
    <w:link w:val="BalloonTextChar"/>
    <w:uiPriority w:val="99"/>
    <w:semiHidden/>
    <w:unhideWhenUsed/>
    <w:rsid w:val="00C25E0C"/>
    <w:rPr>
      <w:rFonts w:ascii="Tahoma" w:hAnsi="Tahoma" w:cs="Tahoma"/>
      <w:sz w:val="16"/>
      <w:szCs w:val="16"/>
    </w:rPr>
  </w:style>
  <w:style w:type="character" w:customStyle="1" w:styleId="BalloonTextChar">
    <w:name w:val="Balloon Text Char"/>
    <w:basedOn w:val="DefaultParagraphFont"/>
    <w:link w:val="BalloonText"/>
    <w:uiPriority w:val="99"/>
    <w:semiHidden/>
    <w:rsid w:val="00C25E0C"/>
    <w:rPr>
      <w:rFonts w:ascii="Tahoma" w:hAnsi="Tahoma" w:cs="Tahoma"/>
      <w:sz w:val="16"/>
      <w:szCs w:val="16"/>
    </w:rPr>
  </w:style>
  <w:style w:type="character" w:customStyle="1" w:styleId="Heading1Char">
    <w:name w:val="Heading 1 Char"/>
    <w:basedOn w:val="DefaultParagraphFont"/>
    <w:link w:val="Heading1"/>
    <w:uiPriority w:val="9"/>
    <w:rsid w:val="00F3645F"/>
    <w:rPr>
      <w:rFonts w:ascii="Gill Sans MT" w:eastAsiaTheme="majorEastAsia" w:hAnsi="Gill Sans MT" w:cs="Times New Roman (Headings CS)"/>
      <w:b/>
      <w:bCs/>
      <w:color w:val="2E74B5" w:themeColor="accent1" w:themeShade="BF"/>
      <w:sz w:val="28"/>
      <w:szCs w:val="28"/>
    </w:rPr>
  </w:style>
  <w:style w:type="character" w:customStyle="1" w:styleId="Heading2Char">
    <w:name w:val="Heading 2 Char"/>
    <w:basedOn w:val="DefaultParagraphFont"/>
    <w:link w:val="Heading2"/>
    <w:uiPriority w:val="9"/>
    <w:rsid w:val="00AB4549"/>
    <w:rPr>
      <w:rFonts w:ascii="Gill Sans MT" w:eastAsiaTheme="majorEastAsia" w:hAnsi="Gill Sans MT" w:cstheme="majorBidi"/>
      <w:b/>
      <w:bCs/>
      <w:color w:val="5B9BD5" w:themeColor="accent1"/>
      <w:sz w:val="24"/>
      <w:szCs w:val="26"/>
      <w:lang w:eastAsia="en-GB"/>
    </w:rPr>
  </w:style>
  <w:style w:type="paragraph" w:styleId="TOCHeading">
    <w:name w:val="TOC Heading"/>
    <w:basedOn w:val="Heading1"/>
    <w:next w:val="Normal"/>
    <w:uiPriority w:val="39"/>
    <w:unhideWhenUsed/>
    <w:qFormat/>
    <w:rsid w:val="002E6553"/>
    <w:pPr>
      <w:spacing w:line="276" w:lineRule="auto"/>
      <w:outlineLvl w:val="9"/>
    </w:pPr>
    <w:rPr>
      <w:lang w:eastAsia="ja-JP"/>
    </w:rPr>
  </w:style>
  <w:style w:type="paragraph" w:styleId="TOC1">
    <w:name w:val="toc 1"/>
    <w:basedOn w:val="Normal"/>
    <w:next w:val="Normal"/>
    <w:autoRedefine/>
    <w:uiPriority w:val="39"/>
    <w:unhideWhenUsed/>
    <w:rsid w:val="002E6553"/>
    <w:pPr>
      <w:spacing w:after="100"/>
    </w:pPr>
  </w:style>
  <w:style w:type="paragraph" w:styleId="TOC2">
    <w:name w:val="toc 2"/>
    <w:basedOn w:val="Normal"/>
    <w:next w:val="Normal"/>
    <w:autoRedefine/>
    <w:uiPriority w:val="39"/>
    <w:unhideWhenUsed/>
    <w:rsid w:val="002E6553"/>
    <w:pPr>
      <w:spacing w:after="100"/>
      <w:ind w:left="220"/>
    </w:pPr>
  </w:style>
  <w:style w:type="character" w:styleId="Hyperlink">
    <w:name w:val="Hyperlink"/>
    <w:basedOn w:val="DefaultParagraphFont"/>
    <w:uiPriority w:val="99"/>
    <w:unhideWhenUsed/>
    <w:rsid w:val="002E6553"/>
    <w:rPr>
      <w:color w:val="0563C1" w:themeColor="hyperlink"/>
      <w:u w:val="single"/>
    </w:rPr>
  </w:style>
  <w:style w:type="paragraph" w:styleId="Header">
    <w:name w:val="header"/>
    <w:basedOn w:val="Normal"/>
    <w:link w:val="HeaderChar"/>
    <w:uiPriority w:val="99"/>
    <w:unhideWhenUsed/>
    <w:rsid w:val="006D1294"/>
    <w:pPr>
      <w:tabs>
        <w:tab w:val="center" w:pos="4986"/>
        <w:tab w:val="right" w:pos="9973"/>
      </w:tabs>
    </w:pPr>
  </w:style>
  <w:style w:type="character" w:customStyle="1" w:styleId="HeaderChar">
    <w:name w:val="Header Char"/>
    <w:basedOn w:val="DefaultParagraphFont"/>
    <w:link w:val="Header"/>
    <w:uiPriority w:val="99"/>
    <w:rsid w:val="006D1294"/>
  </w:style>
  <w:style w:type="paragraph" w:styleId="Footer">
    <w:name w:val="footer"/>
    <w:basedOn w:val="Normal"/>
    <w:link w:val="FooterChar"/>
    <w:uiPriority w:val="99"/>
    <w:unhideWhenUsed/>
    <w:rsid w:val="006D1294"/>
    <w:pPr>
      <w:tabs>
        <w:tab w:val="center" w:pos="4986"/>
        <w:tab w:val="right" w:pos="9973"/>
      </w:tabs>
    </w:pPr>
  </w:style>
  <w:style w:type="character" w:customStyle="1" w:styleId="FooterChar">
    <w:name w:val="Footer Char"/>
    <w:basedOn w:val="DefaultParagraphFont"/>
    <w:link w:val="Footer"/>
    <w:uiPriority w:val="99"/>
    <w:rsid w:val="006D1294"/>
  </w:style>
  <w:style w:type="paragraph" w:styleId="NormalWeb">
    <w:name w:val="Normal (Web)"/>
    <w:basedOn w:val="Normal"/>
    <w:uiPriority w:val="99"/>
    <w:unhideWhenUsed/>
    <w:rsid w:val="0074458A"/>
    <w:pPr>
      <w:spacing w:before="100" w:beforeAutospacing="1" w:after="100" w:afterAutospacing="1"/>
    </w:pPr>
    <w:rPr>
      <w:rFonts w:ascii="Times New Roman" w:eastAsia="Times New Roman" w:hAnsi="Times New Roman"/>
      <w:szCs w:val="24"/>
      <w:lang w:val="ru-RU" w:eastAsia="ru-RU"/>
    </w:rPr>
  </w:style>
  <w:style w:type="paragraph" w:customStyle="1" w:styleId="Default">
    <w:name w:val="Default"/>
    <w:rsid w:val="0074458A"/>
    <w:pPr>
      <w:autoSpaceDE w:val="0"/>
      <w:autoSpaceDN w:val="0"/>
      <w:adjustRightInd w:val="0"/>
    </w:pPr>
    <w:rPr>
      <w:rFonts w:ascii="Times New Roman" w:hAnsi="Times New Roman" w:cs="Times New Roman"/>
      <w:color w:val="000000"/>
      <w:sz w:val="24"/>
      <w:szCs w:val="24"/>
      <w:lang w:val="ru-RU"/>
    </w:rPr>
  </w:style>
  <w:style w:type="paragraph" w:styleId="NoSpacing">
    <w:name w:val="No Spacing"/>
    <w:uiPriority w:val="1"/>
    <w:qFormat/>
    <w:rsid w:val="0074458A"/>
    <w:rPr>
      <w:lang w:val="ru-RU"/>
    </w:rPr>
  </w:style>
  <w:style w:type="paragraph" w:customStyle="1" w:styleId="Pa3">
    <w:name w:val="Pa3"/>
    <w:basedOn w:val="Default"/>
    <w:next w:val="Default"/>
    <w:uiPriority w:val="99"/>
    <w:rsid w:val="0074458A"/>
    <w:pPr>
      <w:spacing w:line="401" w:lineRule="atLeast"/>
    </w:pPr>
    <w:rPr>
      <w:rFonts w:ascii="FuturisCTT" w:hAnsi="FuturisCTT" w:cstheme="minorBidi"/>
      <w:color w:val="auto"/>
    </w:rPr>
  </w:style>
  <w:style w:type="paragraph" w:styleId="CommentText">
    <w:name w:val="annotation text"/>
    <w:basedOn w:val="Normal"/>
    <w:link w:val="CommentTextChar"/>
    <w:rsid w:val="0074458A"/>
    <w:pPr>
      <w:suppressAutoHyphens/>
    </w:pPr>
    <w:rPr>
      <w:rFonts w:ascii="Tahoma" w:eastAsia="Times New Roman" w:hAnsi="Tahoma"/>
      <w:sz w:val="20"/>
      <w:szCs w:val="20"/>
      <w:lang w:eastAsia="ar-SA"/>
    </w:rPr>
  </w:style>
  <w:style w:type="character" w:customStyle="1" w:styleId="CommentTextChar">
    <w:name w:val="Comment Text Char"/>
    <w:basedOn w:val="DefaultParagraphFont"/>
    <w:link w:val="CommentText"/>
    <w:rsid w:val="0074458A"/>
    <w:rPr>
      <w:rFonts w:ascii="Tahoma" w:eastAsia="Times New Roman" w:hAnsi="Tahoma" w:cs="Times New Roman"/>
      <w:sz w:val="20"/>
      <w:szCs w:val="20"/>
      <w:lang w:val="en-GB" w:eastAsia="ar-SA"/>
    </w:rPr>
  </w:style>
  <w:style w:type="paragraph" w:styleId="PlainText">
    <w:name w:val="Plain Text"/>
    <w:basedOn w:val="Normal"/>
    <w:link w:val="PlainTextChar"/>
    <w:uiPriority w:val="99"/>
    <w:unhideWhenUsed/>
    <w:rsid w:val="0074458A"/>
    <w:rPr>
      <w:rFonts w:ascii="Consolas" w:eastAsia="Calibri" w:hAnsi="Consolas"/>
      <w:sz w:val="21"/>
      <w:szCs w:val="21"/>
      <w:lang w:val="x-none"/>
    </w:rPr>
  </w:style>
  <w:style w:type="character" w:customStyle="1" w:styleId="PlainTextChar">
    <w:name w:val="Plain Text Char"/>
    <w:basedOn w:val="DefaultParagraphFont"/>
    <w:link w:val="PlainText"/>
    <w:uiPriority w:val="99"/>
    <w:rsid w:val="0074458A"/>
    <w:rPr>
      <w:rFonts w:ascii="Consolas" w:eastAsia="Calibri" w:hAnsi="Consolas" w:cs="Times New Roman"/>
      <w:sz w:val="21"/>
      <w:szCs w:val="21"/>
      <w:lang w:val="x-none"/>
    </w:rPr>
  </w:style>
  <w:style w:type="table" w:styleId="TableGrid">
    <w:name w:val="Table Grid"/>
    <w:basedOn w:val="TableNormal"/>
    <w:uiPriority w:val="39"/>
    <w:rsid w:val="00FF1FF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2402"/>
    <w:rPr>
      <w:sz w:val="16"/>
      <w:szCs w:val="16"/>
    </w:rPr>
  </w:style>
  <w:style w:type="paragraph" w:styleId="CommentSubject">
    <w:name w:val="annotation subject"/>
    <w:basedOn w:val="CommentText"/>
    <w:next w:val="CommentText"/>
    <w:link w:val="CommentSubjectChar"/>
    <w:uiPriority w:val="99"/>
    <w:semiHidden/>
    <w:unhideWhenUsed/>
    <w:rsid w:val="00B42402"/>
    <w:pPr>
      <w:suppressAutoHyphens w:val="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B42402"/>
    <w:rPr>
      <w:rFonts w:ascii="Tahoma" w:eastAsia="Times New Roman" w:hAnsi="Tahoma" w:cs="Times New Roman"/>
      <w:b/>
      <w:bCs/>
      <w:sz w:val="20"/>
      <w:szCs w:val="20"/>
      <w:lang w:val="en-GB" w:eastAsia="ar-SA"/>
    </w:rPr>
  </w:style>
  <w:style w:type="character" w:customStyle="1" w:styleId="Heading3Char">
    <w:name w:val="Heading 3 Char"/>
    <w:basedOn w:val="DefaultParagraphFont"/>
    <w:link w:val="Heading3"/>
    <w:uiPriority w:val="9"/>
    <w:rsid w:val="00B622B9"/>
    <w:rPr>
      <w:rFonts w:asciiTheme="majorHAnsi" w:eastAsiaTheme="majorEastAsia" w:hAnsiTheme="majorHAnsi" w:cstheme="majorBidi"/>
      <w:b/>
      <w:bCs/>
      <w:color w:val="5B9BD5" w:themeColor="accent1"/>
      <w:sz w:val="24"/>
      <w:lang w:val="en-GB"/>
    </w:rPr>
  </w:style>
  <w:style w:type="paragraph" w:styleId="TOC3">
    <w:name w:val="toc 3"/>
    <w:basedOn w:val="Normal"/>
    <w:next w:val="Normal"/>
    <w:autoRedefine/>
    <w:uiPriority w:val="39"/>
    <w:unhideWhenUsed/>
    <w:rsid w:val="008C1166"/>
    <w:pPr>
      <w:spacing w:after="100"/>
      <w:ind w:left="440"/>
    </w:pPr>
  </w:style>
  <w:style w:type="character" w:customStyle="1" w:styleId="apple-converted-space">
    <w:name w:val="apple-converted-space"/>
    <w:basedOn w:val="DefaultParagraphFont"/>
    <w:rsid w:val="00484634"/>
  </w:style>
  <w:style w:type="character" w:customStyle="1" w:styleId="apple-tab-span">
    <w:name w:val="apple-tab-span"/>
    <w:basedOn w:val="DefaultParagraphFont"/>
    <w:rsid w:val="00484634"/>
  </w:style>
  <w:style w:type="paragraph" w:styleId="Revision">
    <w:name w:val="Revision"/>
    <w:hidden/>
    <w:uiPriority w:val="99"/>
    <w:semiHidden/>
    <w:rsid w:val="00EC35AB"/>
  </w:style>
  <w:style w:type="table" w:customStyle="1" w:styleId="ListTable3-Accent11">
    <w:name w:val="List Table 3 - Accent 11"/>
    <w:basedOn w:val="TableNormal"/>
    <w:uiPriority w:val="48"/>
    <w:rsid w:val="00CB2A5E"/>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Heading4Char">
    <w:name w:val="Heading 4 Char"/>
    <w:basedOn w:val="DefaultParagraphFont"/>
    <w:link w:val="Heading4"/>
    <w:uiPriority w:val="9"/>
    <w:rsid w:val="00B22262"/>
    <w:rPr>
      <w:rFonts w:asciiTheme="majorHAnsi" w:eastAsiaTheme="majorEastAsia" w:hAnsiTheme="majorHAnsi" w:cstheme="majorBidi"/>
      <w:i/>
      <w:iCs/>
      <w:color w:val="2E74B5" w:themeColor="accent1" w:themeShade="BF"/>
      <w:sz w:val="24"/>
      <w:lang w:val="en-GB"/>
    </w:rPr>
  </w:style>
  <w:style w:type="character" w:customStyle="1" w:styleId="Heading5Char">
    <w:name w:val="Heading 5 Char"/>
    <w:basedOn w:val="DefaultParagraphFont"/>
    <w:link w:val="Heading5"/>
    <w:uiPriority w:val="9"/>
    <w:semiHidden/>
    <w:rsid w:val="00B22262"/>
    <w:rPr>
      <w:rFonts w:asciiTheme="majorHAnsi" w:eastAsiaTheme="majorEastAsia" w:hAnsiTheme="majorHAnsi" w:cstheme="majorBidi"/>
      <w:color w:val="2E74B5" w:themeColor="accent1" w:themeShade="BF"/>
      <w:sz w:val="24"/>
      <w:lang w:val="en-GB"/>
    </w:rPr>
  </w:style>
  <w:style w:type="character" w:customStyle="1" w:styleId="Heading6Char">
    <w:name w:val="Heading 6 Char"/>
    <w:basedOn w:val="DefaultParagraphFont"/>
    <w:link w:val="Heading6"/>
    <w:uiPriority w:val="9"/>
    <w:semiHidden/>
    <w:rsid w:val="00B22262"/>
    <w:rPr>
      <w:rFonts w:asciiTheme="majorHAnsi" w:eastAsiaTheme="majorEastAsia" w:hAnsiTheme="majorHAnsi" w:cstheme="majorBidi"/>
      <w:color w:val="1F4D78" w:themeColor="accent1" w:themeShade="7F"/>
      <w:sz w:val="24"/>
      <w:lang w:val="en-GB"/>
    </w:rPr>
  </w:style>
  <w:style w:type="character" w:customStyle="1" w:styleId="Heading7Char">
    <w:name w:val="Heading 7 Char"/>
    <w:basedOn w:val="DefaultParagraphFont"/>
    <w:link w:val="Heading7"/>
    <w:uiPriority w:val="9"/>
    <w:semiHidden/>
    <w:rsid w:val="00B22262"/>
    <w:rPr>
      <w:rFonts w:asciiTheme="majorHAnsi" w:eastAsiaTheme="majorEastAsia" w:hAnsiTheme="majorHAnsi" w:cstheme="majorBidi"/>
      <w:i/>
      <w:iCs/>
      <w:color w:val="1F4D78" w:themeColor="accent1" w:themeShade="7F"/>
      <w:sz w:val="24"/>
      <w:lang w:val="en-GB"/>
    </w:rPr>
  </w:style>
  <w:style w:type="character" w:customStyle="1" w:styleId="Heading8Char">
    <w:name w:val="Heading 8 Char"/>
    <w:basedOn w:val="DefaultParagraphFont"/>
    <w:link w:val="Heading8"/>
    <w:uiPriority w:val="9"/>
    <w:semiHidden/>
    <w:rsid w:val="00B22262"/>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B22262"/>
    <w:rPr>
      <w:rFonts w:asciiTheme="majorHAnsi" w:eastAsiaTheme="majorEastAsia" w:hAnsiTheme="majorHAnsi" w:cstheme="majorBidi"/>
      <w:i/>
      <w:iCs/>
      <w:color w:val="272727" w:themeColor="text1" w:themeTint="D8"/>
      <w:sz w:val="21"/>
      <w:szCs w:val="21"/>
      <w:lang w:val="en-GB"/>
    </w:rPr>
  </w:style>
  <w:style w:type="table" w:styleId="LightGrid-Accent1">
    <w:name w:val="Light Grid Accent 1"/>
    <w:basedOn w:val="TableNormal"/>
    <w:uiPriority w:val="62"/>
    <w:rsid w:val="00EB72E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A172EB"/>
    <w:rPr>
      <w:rFonts w:ascii="Gill Sans MT" w:hAnsi="Gill Sans MT" w:cs="Times New Roman"/>
      <w:sz w:val="24"/>
      <w:lang w:val="en-GB"/>
    </w:rPr>
  </w:style>
  <w:style w:type="paragraph" w:customStyle="1" w:styleId="TableParagraph">
    <w:name w:val="Table Paragraph"/>
    <w:basedOn w:val="Normal"/>
    <w:uiPriority w:val="1"/>
    <w:qFormat/>
    <w:rsid w:val="00B4176A"/>
    <w:pPr>
      <w:widowControl w:val="0"/>
      <w:autoSpaceDE w:val="0"/>
      <w:autoSpaceDN w:val="0"/>
      <w:ind w:left="103"/>
      <w:jc w:val="left"/>
    </w:pPr>
    <w:rPr>
      <w:rFonts w:ascii="Calibri" w:eastAsia="Calibri" w:hAnsi="Calibri" w:cs="Calibri"/>
      <w:sz w:val="22"/>
      <w:lang w:val="en-US"/>
    </w:rPr>
  </w:style>
  <w:style w:type="character" w:customStyle="1" w:styleId="FootnoteTextChar1">
    <w:name w:val="Footnote Text Char1"/>
    <w:aliases w:val="Geneva 9 Char Char,Font: Geneva 9 Char Char,Boston 10 Char Char,f Char Char,Footnote Text Char Char Char Char Char Char Char Char,Footnote Text Char Char Char Char1 Char Char,Footnote Text Char Char Char Char Char1 Char Char,ft Char"/>
    <w:rsid w:val="00B4176A"/>
    <w:rPr>
      <w:rFonts w:ascii="Calibri" w:eastAsia="MS Mincho" w:hAnsi="Calibri" w:cs="Times New Roman"/>
      <w:sz w:val="18"/>
      <w:szCs w:val="20"/>
      <w:lang w:val="en-GB"/>
    </w:rPr>
  </w:style>
  <w:style w:type="paragraph" w:customStyle="1" w:styleId="BVIfnrChar">
    <w:name w:val="BVI fnr Char"/>
    <w:aliases w:val="ftref Char, BVI fnr Char Char Char Zchn Char Char Char Zchn Char Zchn Char Char,ftref Char Char Char Zchn Char Char Char Zchn Char Zchn Char Char Char"/>
    <w:basedOn w:val="Normal"/>
    <w:link w:val="FootnoteReference"/>
    <w:rsid w:val="00B4176A"/>
    <w:pPr>
      <w:spacing w:after="160" w:line="240" w:lineRule="exact"/>
      <w:jc w:val="left"/>
    </w:pPr>
    <w:rPr>
      <w:rFonts w:asciiTheme="minorHAnsi" w:hAnsiTheme="minorHAnsi" w:cstheme="minorBidi"/>
      <w:sz w:val="22"/>
      <w:vertAlign w:val="superscript"/>
      <w:lang w:val="en-US"/>
    </w:rPr>
  </w:style>
  <w:style w:type="paragraph" w:customStyle="1" w:styleId="Style">
    <w:name w:val="Style"/>
    <w:rsid w:val="00B4176A"/>
    <w:pPr>
      <w:widowControl w:val="0"/>
      <w:autoSpaceDE w:val="0"/>
      <w:autoSpaceDN w:val="0"/>
      <w:adjustRightInd w:val="0"/>
    </w:pPr>
    <w:rPr>
      <w:rFonts w:ascii="Times New Roman" w:eastAsia="Calibri" w:hAnsi="Times New Roman" w:cs="Times New Roman"/>
      <w:sz w:val="24"/>
      <w:szCs w:val="24"/>
    </w:rPr>
  </w:style>
  <w:style w:type="character" w:styleId="UnresolvedMention">
    <w:name w:val="Unresolved Mention"/>
    <w:basedOn w:val="DefaultParagraphFont"/>
    <w:uiPriority w:val="99"/>
    <w:semiHidden/>
    <w:unhideWhenUsed/>
    <w:rsid w:val="00BC11C4"/>
    <w:rPr>
      <w:color w:val="605E5C"/>
      <w:shd w:val="clear" w:color="auto" w:fill="E1DFDD"/>
    </w:rPr>
  </w:style>
  <w:style w:type="table" w:customStyle="1" w:styleId="ListTable3-Accent51">
    <w:name w:val="List Table 3 - Accent 51"/>
    <w:basedOn w:val="TableNormal"/>
    <w:next w:val="ListTable3-Accent5"/>
    <w:uiPriority w:val="48"/>
    <w:rsid w:val="008E2D6C"/>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5">
    <w:name w:val="List Table 3 Accent 5"/>
    <w:basedOn w:val="TableNormal"/>
    <w:uiPriority w:val="48"/>
    <w:rsid w:val="008E2D6C"/>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6768">
      <w:bodyDiv w:val="1"/>
      <w:marLeft w:val="0"/>
      <w:marRight w:val="0"/>
      <w:marTop w:val="0"/>
      <w:marBottom w:val="0"/>
      <w:divBdr>
        <w:top w:val="none" w:sz="0" w:space="0" w:color="auto"/>
        <w:left w:val="none" w:sz="0" w:space="0" w:color="auto"/>
        <w:bottom w:val="none" w:sz="0" w:space="0" w:color="auto"/>
        <w:right w:val="none" w:sz="0" w:space="0" w:color="auto"/>
      </w:divBdr>
    </w:div>
    <w:div w:id="153223570">
      <w:bodyDiv w:val="1"/>
      <w:marLeft w:val="0"/>
      <w:marRight w:val="0"/>
      <w:marTop w:val="0"/>
      <w:marBottom w:val="0"/>
      <w:divBdr>
        <w:top w:val="none" w:sz="0" w:space="0" w:color="auto"/>
        <w:left w:val="none" w:sz="0" w:space="0" w:color="auto"/>
        <w:bottom w:val="none" w:sz="0" w:space="0" w:color="auto"/>
        <w:right w:val="none" w:sz="0" w:space="0" w:color="auto"/>
      </w:divBdr>
    </w:div>
    <w:div w:id="477499500">
      <w:bodyDiv w:val="1"/>
      <w:marLeft w:val="0"/>
      <w:marRight w:val="0"/>
      <w:marTop w:val="0"/>
      <w:marBottom w:val="0"/>
      <w:divBdr>
        <w:top w:val="none" w:sz="0" w:space="0" w:color="auto"/>
        <w:left w:val="none" w:sz="0" w:space="0" w:color="auto"/>
        <w:bottom w:val="none" w:sz="0" w:space="0" w:color="auto"/>
        <w:right w:val="none" w:sz="0" w:space="0" w:color="auto"/>
      </w:divBdr>
    </w:div>
    <w:div w:id="1136416390">
      <w:bodyDiv w:val="1"/>
      <w:marLeft w:val="0"/>
      <w:marRight w:val="0"/>
      <w:marTop w:val="0"/>
      <w:marBottom w:val="0"/>
      <w:divBdr>
        <w:top w:val="none" w:sz="0" w:space="0" w:color="auto"/>
        <w:left w:val="none" w:sz="0" w:space="0" w:color="auto"/>
        <w:bottom w:val="none" w:sz="0" w:space="0" w:color="auto"/>
        <w:right w:val="none" w:sz="0" w:space="0" w:color="auto"/>
      </w:divBdr>
    </w:div>
    <w:div w:id="1201242018">
      <w:bodyDiv w:val="1"/>
      <w:marLeft w:val="0"/>
      <w:marRight w:val="0"/>
      <w:marTop w:val="0"/>
      <w:marBottom w:val="0"/>
      <w:divBdr>
        <w:top w:val="none" w:sz="0" w:space="0" w:color="auto"/>
        <w:left w:val="none" w:sz="0" w:space="0" w:color="auto"/>
        <w:bottom w:val="none" w:sz="0" w:space="0" w:color="auto"/>
        <w:right w:val="none" w:sz="0" w:space="0" w:color="auto"/>
      </w:divBdr>
    </w:div>
    <w:div w:id="1229194365">
      <w:bodyDiv w:val="1"/>
      <w:marLeft w:val="0"/>
      <w:marRight w:val="0"/>
      <w:marTop w:val="0"/>
      <w:marBottom w:val="0"/>
      <w:divBdr>
        <w:top w:val="none" w:sz="0" w:space="0" w:color="auto"/>
        <w:left w:val="none" w:sz="0" w:space="0" w:color="auto"/>
        <w:bottom w:val="none" w:sz="0" w:space="0" w:color="auto"/>
        <w:right w:val="none" w:sz="0" w:space="0" w:color="auto"/>
      </w:divBdr>
    </w:div>
    <w:div w:id="1235697699">
      <w:bodyDiv w:val="1"/>
      <w:marLeft w:val="0"/>
      <w:marRight w:val="0"/>
      <w:marTop w:val="0"/>
      <w:marBottom w:val="0"/>
      <w:divBdr>
        <w:top w:val="none" w:sz="0" w:space="0" w:color="auto"/>
        <w:left w:val="none" w:sz="0" w:space="0" w:color="auto"/>
        <w:bottom w:val="none" w:sz="0" w:space="0" w:color="auto"/>
        <w:right w:val="none" w:sz="0" w:space="0" w:color="auto"/>
      </w:divBdr>
    </w:div>
    <w:div w:id="1346398527">
      <w:bodyDiv w:val="1"/>
      <w:marLeft w:val="0"/>
      <w:marRight w:val="0"/>
      <w:marTop w:val="0"/>
      <w:marBottom w:val="0"/>
      <w:divBdr>
        <w:top w:val="none" w:sz="0" w:space="0" w:color="auto"/>
        <w:left w:val="none" w:sz="0" w:space="0" w:color="auto"/>
        <w:bottom w:val="none" w:sz="0" w:space="0" w:color="auto"/>
        <w:right w:val="none" w:sz="0" w:space="0" w:color="auto"/>
      </w:divBdr>
    </w:div>
    <w:div w:id="1357930507">
      <w:bodyDiv w:val="1"/>
      <w:marLeft w:val="0"/>
      <w:marRight w:val="0"/>
      <w:marTop w:val="0"/>
      <w:marBottom w:val="0"/>
      <w:divBdr>
        <w:top w:val="none" w:sz="0" w:space="0" w:color="auto"/>
        <w:left w:val="none" w:sz="0" w:space="0" w:color="auto"/>
        <w:bottom w:val="none" w:sz="0" w:space="0" w:color="auto"/>
        <w:right w:val="none" w:sz="0" w:space="0" w:color="auto"/>
      </w:divBdr>
    </w:div>
    <w:div w:id="137758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B09EA-AE19-4D4A-88D6-A9D3B52B4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38</Pages>
  <Words>11102</Words>
  <Characters>63282</Characters>
  <Application>Microsoft Office Word</Application>
  <DocSecurity>0</DocSecurity>
  <Lines>527</Lines>
  <Paragraphs>148</Paragraphs>
  <ScaleCrop>false</ScaleCrop>
  <HeadingPairs>
    <vt:vector size="6" baseType="variant">
      <vt:variant>
        <vt:lpstr>Title</vt:lpstr>
      </vt:variant>
      <vt:variant>
        <vt:i4>1</vt:i4>
      </vt:variant>
      <vt:variant>
        <vt:lpstr>Título</vt:lpstr>
      </vt:variant>
      <vt:variant>
        <vt:i4>1</vt:i4>
      </vt:variant>
      <vt:variant>
        <vt:lpstr>Название</vt:lpstr>
      </vt:variant>
      <vt:variant>
        <vt:i4>1</vt:i4>
      </vt:variant>
    </vt:vector>
  </HeadingPairs>
  <TitlesOfParts>
    <vt:vector size="3" baseType="lpstr">
      <vt:lpstr/>
      <vt:lpstr/>
      <vt:lpstr/>
    </vt:vector>
  </TitlesOfParts>
  <Company>Microsoft</Company>
  <LinksUpToDate>false</LinksUpToDate>
  <CharactersWithSpaces>74236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conor foley</dc:creator>
  <cp:lastModifiedBy>Beau Site</cp:lastModifiedBy>
  <cp:revision>5</cp:revision>
  <dcterms:created xsi:type="dcterms:W3CDTF">2024-01-18T09:22:00Z</dcterms:created>
  <dcterms:modified xsi:type="dcterms:W3CDTF">2024-01-18T09:44:00Z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7f982b9ff84b83e69e73873bc861db107ec1258e92b8664c0a754121a52bdafb</vt:lpwstr>
  </property>
</Properties>
</file>