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70BA3" w14:textId="77777777" w:rsidR="002B060A" w:rsidRDefault="002B060A" w:rsidP="00C07A0A">
      <w:pPr>
        <w:rPr>
          <w:rFonts w:ascii="Calibri" w:hAnsi="Calibri" w:cs="Calibri"/>
        </w:rPr>
      </w:pPr>
    </w:p>
    <w:p w14:paraId="75070BA4" w14:textId="77777777" w:rsidR="002B060A" w:rsidRDefault="002B060A" w:rsidP="00C07A0A">
      <w:pPr>
        <w:pStyle w:val="Heading1"/>
        <w:rPr>
          <w:rStyle w:val="normaltextrun"/>
          <w:rFonts w:ascii="Calibri" w:hAnsi="Calibri" w:cs="Calibri"/>
          <w:color w:val="094183"/>
        </w:rPr>
      </w:pPr>
    </w:p>
    <w:p w14:paraId="75070BA5" w14:textId="77777777" w:rsidR="002B060A" w:rsidRDefault="002B060A" w:rsidP="00C07A0A">
      <w:pPr>
        <w:jc w:val="center"/>
        <w:rPr>
          <w:rStyle w:val="normaltextrun"/>
          <w:rFonts w:ascii="Calibri" w:hAnsi="Calibri" w:cs="Calibri"/>
          <w:b/>
          <w:color w:val="094183"/>
          <w:sz w:val="44"/>
          <w:szCs w:val="44"/>
        </w:rPr>
      </w:pPr>
    </w:p>
    <w:p w14:paraId="75070BA6" w14:textId="77777777" w:rsidR="002B060A" w:rsidRDefault="002B060A" w:rsidP="00C07A0A">
      <w:pPr>
        <w:jc w:val="center"/>
        <w:rPr>
          <w:rStyle w:val="normaltextrun"/>
          <w:rFonts w:ascii="Calibri" w:hAnsi="Calibri" w:cs="Calibri"/>
          <w:b/>
          <w:color w:val="094183"/>
          <w:sz w:val="44"/>
          <w:szCs w:val="44"/>
        </w:rPr>
      </w:pPr>
    </w:p>
    <w:p w14:paraId="75070BA7" w14:textId="77777777" w:rsidR="002B060A" w:rsidRDefault="002B060A" w:rsidP="00C07A0A">
      <w:pPr>
        <w:jc w:val="center"/>
        <w:rPr>
          <w:rStyle w:val="normaltextrun"/>
          <w:rFonts w:ascii="Calibri" w:hAnsi="Calibri" w:cs="Calibri"/>
          <w:b/>
          <w:color w:val="094183"/>
          <w:sz w:val="44"/>
          <w:szCs w:val="44"/>
        </w:rPr>
      </w:pPr>
    </w:p>
    <w:p w14:paraId="75070BA8" w14:textId="77777777" w:rsidR="002B060A" w:rsidRDefault="002B060A" w:rsidP="00C07A0A">
      <w:pPr>
        <w:jc w:val="center"/>
        <w:rPr>
          <w:rStyle w:val="normaltextrun"/>
          <w:rFonts w:ascii="Calibri" w:hAnsi="Calibri" w:cs="Calibri"/>
          <w:b/>
          <w:color w:val="094183"/>
          <w:sz w:val="44"/>
          <w:szCs w:val="44"/>
        </w:rPr>
      </w:pPr>
    </w:p>
    <w:p w14:paraId="75070BA9" w14:textId="295EC743" w:rsidR="002B060A" w:rsidRDefault="006040A7" w:rsidP="00C07A0A">
      <w:pPr>
        <w:jc w:val="center"/>
        <w:rPr>
          <w:rFonts w:ascii="Calibri" w:hAnsi="Calibri" w:cs="Calibri"/>
          <w:b/>
          <w:sz w:val="44"/>
          <w:szCs w:val="44"/>
        </w:rPr>
      </w:pPr>
      <w:r>
        <w:rPr>
          <w:rStyle w:val="normaltextrun"/>
          <w:rFonts w:ascii="Calibri" w:hAnsi="Calibri" w:cs="Calibri"/>
          <w:b/>
          <w:color w:val="094183"/>
          <w:sz w:val="44"/>
          <w:szCs w:val="44"/>
        </w:rPr>
        <w:t>Terminal Evaluation</w:t>
      </w:r>
    </w:p>
    <w:p w14:paraId="75070BAA" w14:textId="77777777" w:rsidR="002B060A" w:rsidRDefault="002B060A" w:rsidP="00C07A0A">
      <w:pPr>
        <w:jc w:val="center"/>
        <w:rPr>
          <w:rFonts w:ascii="Calibri" w:hAnsi="Calibri" w:cs="Calibri"/>
          <w:sz w:val="18"/>
          <w:szCs w:val="18"/>
        </w:rPr>
      </w:pPr>
    </w:p>
    <w:p w14:paraId="75070BAB" w14:textId="77777777" w:rsidR="002B060A" w:rsidRDefault="002B060A" w:rsidP="00C07A0A">
      <w:pPr>
        <w:jc w:val="center"/>
        <w:rPr>
          <w:rStyle w:val="normaltextrun"/>
          <w:rFonts w:ascii="Calibri" w:eastAsiaTheme="majorEastAsia" w:hAnsi="Calibri" w:cs="Calibri"/>
          <w:sz w:val="32"/>
          <w:szCs w:val="32"/>
        </w:rPr>
      </w:pPr>
    </w:p>
    <w:p w14:paraId="75070BAC" w14:textId="77777777" w:rsidR="002B060A" w:rsidRDefault="002B060A" w:rsidP="00C07A0A">
      <w:pPr>
        <w:jc w:val="center"/>
        <w:rPr>
          <w:rStyle w:val="normaltextrun"/>
          <w:rFonts w:ascii="Calibri" w:eastAsiaTheme="majorEastAsia" w:hAnsi="Calibri" w:cs="Calibri"/>
          <w:sz w:val="32"/>
          <w:szCs w:val="32"/>
        </w:rPr>
      </w:pPr>
    </w:p>
    <w:p w14:paraId="75070BAD" w14:textId="77777777" w:rsidR="002B060A" w:rsidRDefault="006040A7" w:rsidP="00C07A0A">
      <w:pPr>
        <w:jc w:val="center"/>
        <w:rPr>
          <w:rFonts w:ascii="Calibri" w:hAnsi="Calibri" w:cs="Calibri"/>
          <w:sz w:val="20"/>
          <w:szCs w:val="20"/>
        </w:rPr>
      </w:pPr>
      <w:r>
        <w:rPr>
          <w:rStyle w:val="normaltextrun"/>
          <w:rFonts w:ascii="Calibri" w:hAnsi="Calibri" w:cs="Calibri"/>
          <w:sz w:val="36"/>
          <w:szCs w:val="36"/>
        </w:rPr>
        <w:t>Building resilience of health systems in Asian LDCs to climate change</w:t>
      </w:r>
    </w:p>
    <w:p w14:paraId="75070BAE" w14:textId="77777777" w:rsidR="002B060A" w:rsidRDefault="002B060A" w:rsidP="00C07A0A">
      <w:pPr>
        <w:jc w:val="center"/>
        <w:rPr>
          <w:rFonts w:ascii="Calibri" w:hAnsi="Calibri" w:cs="Calibri"/>
          <w:sz w:val="20"/>
          <w:szCs w:val="20"/>
        </w:rPr>
      </w:pPr>
    </w:p>
    <w:p w14:paraId="75070BAF" w14:textId="77777777" w:rsidR="002B060A" w:rsidRDefault="002B060A" w:rsidP="00C07A0A">
      <w:pPr>
        <w:jc w:val="center"/>
        <w:rPr>
          <w:rStyle w:val="normaltextrun"/>
          <w:rFonts w:ascii="Calibri" w:eastAsiaTheme="majorEastAsia" w:hAnsi="Calibri" w:cs="Calibri"/>
          <w:sz w:val="28"/>
          <w:szCs w:val="28"/>
        </w:rPr>
      </w:pPr>
    </w:p>
    <w:p w14:paraId="75070BB0" w14:textId="77777777" w:rsidR="002B060A" w:rsidRDefault="002B060A" w:rsidP="00C07A0A">
      <w:pPr>
        <w:jc w:val="center"/>
        <w:rPr>
          <w:rStyle w:val="normaltextrun"/>
          <w:rFonts w:ascii="Calibri" w:eastAsiaTheme="majorEastAsia" w:hAnsi="Calibri" w:cs="Calibri"/>
          <w:sz w:val="28"/>
          <w:szCs w:val="28"/>
        </w:rPr>
      </w:pPr>
    </w:p>
    <w:p w14:paraId="75070BB1" w14:textId="77777777" w:rsidR="002B060A" w:rsidRDefault="002B060A" w:rsidP="00C07A0A">
      <w:pPr>
        <w:jc w:val="center"/>
        <w:rPr>
          <w:rStyle w:val="normaltextrun"/>
          <w:rFonts w:ascii="Calibri" w:eastAsiaTheme="majorEastAsia" w:hAnsi="Calibri" w:cs="Calibri"/>
          <w:sz w:val="28"/>
          <w:szCs w:val="28"/>
        </w:rPr>
      </w:pPr>
    </w:p>
    <w:p w14:paraId="75070BB2" w14:textId="77777777" w:rsidR="002B060A" w:rsidRDefault="006040A7" w:rsidP="00C07A0A">
      <w:pPr>
        <w:jc w:val="center"/>
        <w:rPr>
          <w:rFonts w:ascii="Calibri" w:hAnsi="Calibri" w:cs="Calibri"/>
          <w:b/>
          <w:sz w:val="20"/>
          <w:szCs w:val="20"/>
        </w:rPr>
      </w:pPr>
      <w:r>
        <w:rPr>
          <w:rStyle w:val="normaltextrun"/>
          <w:rFonts w:ascii="Calibri" w:hAnsi="Calibri" w:cs="Calibri"/>
          <w:b/>
          <w:sz w:val="32"/>
          <w:szCs w:val="32"/>
        </w:rPr>
        <w:t>Final Report</w:t>
      </w:r>
    </w:p>
    <w:p w14:paraId="75070BB3" w14:textId="77777777" w:rsidR="002B060A" w:rsidRDefault="002B060A" w:rsidP="00C07A0A">
      <w:pPr>
        <w:jc w:val="center"/>
        <w:rPr>
          <w:rFonts w:ascii="Calibri" w:hAnsi="Calibri" w:cs="Calibri"/>
          <w:b/>
          <w:sz w:val="20"/>
          <w:szCs w:val="20"/>
        </w:rPr>
      </w:pPr>
    </w:p>
    <w:p w14:paraId="75070BB4" w14:textId="39A92C6B" w:rsidR="002B060A" w:rsidRDefault="00F57B33" w:rsidP="00C07A0A">
      <w:pPr>
        <w:jc w:val="center"/>
        <w:rPr>
          <w:rStyle w:val="normaltextrun"/>
          <w:rFonts w:ascii="Calibri" w:eastAsiaTheme="majorEastAsia" w:hAnsi="Calibri" w:cs="Calibri"/>
          <w:b/>
          <w:color w:val="094183"/>
          <w:sz w:val="32"/>
          <w:szCs w:val="32"/>
        </w:rPr>
      </w:pPr>
      <w:r>
        <w:rPr>
          <w:rStyle w:val="normaltextrun"/>
          <w:rFonts w:ascii="Calibri" w:eastAsiaTheme="majorEastAsia" w:hAnsi="Calibri" w:cs="Calibri"/>
          <w:b/>
          <w:sz w:val="32"/>
          <w:szCs w:val="32"/>
        </w:rPr>
        <w:t>August</w:t>
      </w:r>
      <w:r w:rsidR="006040A7">
        <w:rPr>
          <w:rStyle w:val="normaltextrun"/>
          <w:rFonts w:ascii="Calibri" w:eastAsiaTheme="majorEastAsia" w:hAnsi="Calibri" w:cs="Calibri"/>
          <w:b/>
          <w:sz w:val="32"/>
          <w:szCs w:val="32"/>
        </w:rPr>
        <w:t xml:space="preserve"> 2024</w:t>
      </w:r>
    </w:p>
    <w:p w14:paraId="75070BB5" w14:textId="77777777" w:rsidR="002B060A" w:rsidRDefault="002B060A" w:rsidP="00C07A0A">
      <w:pPr>
        <w:pStyle w:val="paragraph"/>
        <w:suppressAutoHyphens/>
        <w:spacing w:before="0" w:beforeAutospacing="0" w:after="0" w:afterAutospacing="0"/>
        <w:jc w:val="center"/>
        <w:textAlignment w:val="baseline"/>
        <w:rPr>
          <w:rStyle w:val="normaltextrun"/>
          <w:rFonts w:ascii="Calibri" w:eastAsiaTheme="majorEastAsia" w:hAnsi="Calibri" w:cs="Calibri"/>
          <w:color w:val="094183"/>
          <w:sz w:val="28"/>
          <w:szCs w:val="28"/>
        </w:rPr>
      </w:pPr>
    </w:p>
    <w:p w14:paraId="75070BB6" w14:textId="77777777" w:rsidR="002B060A" w:rsidRDefault="002B060A" w:rsidP="00C07A0A">
      <w:pPr>
        <w:pStyle w:val="paragraph"/>
        <w:suppressAutoHyphens/>
        <w:spacing w:before="0" w:beforeAutospacing="0" w:after="0" w:afterAutospacing="0"/>
        <w:textAlignment w:val="baseline"/>
        <w:rPr>
          <w:rStyle w:val="normaltextrun"/>
          <w:rFonts w:ascii="Calibri" w:eastAsiaTheme="majorEastAsia" w:hAnsi="Calibri" w:cs="Calibri"/>
          <w:color w:val="094183"/>
          <w:sz w:val="28"/>
          <w:szCs w:val="28"/>
        </w:rPr>
      </w:pPr>
    </w:p>
    <w:p w14:paraId="75070BB7" w14:textId="77777777" w:rsidR="002B060A" w:rsidRDefault="002B060A" w:rsidP="00C07A0A">
      <w:pPr>
        <w:pStyle w:val="paragraph"/>
        <w:suppressAutoHyphens/>
        <w:spacing w:before="0" w:beforeAutospacing="0" w:after="0" w:afterAutospacing="0"/>
        <w:textAlignment w:val="baseline"/>
        <w:rPr>
          <w:rStyle w:val="normaltextrun"/>
          <w:rFonts w:ascii="Calibri" w:eastAsiaTheme="majorEastAsia" w:hAnsi="Calibri" w:cs="Calibri"/>
          <w:color w:val="094183"/>
          <w:sz w:val="28"/>
          <w:szCs w:val="28"/>
        </w:rPr>
      </w:pPr>
    </w:p>
    <w:p w14:paraId="75070BB8" w14:textId="753BB3C5" w:rsidR="00F152BB" w:rsidRDefault="00F152BB" w:rsidP="00C07A0A">
      <w:pPr>
        <w:rPr>
          <w:rStyle w:val="normaltextrun"/>
          <w:rFonts w:ascii="Calibri" w:eastAsiaTheme="majorEastAsia" w:hAnsi="Calibri" w:cs="Calibri"/>
          <w:color w:val="094183"/>
        </w:rPr>
      </w:pPr>
      <w:r>
        <w:rPr>
          <w:rStyle w:val="normaltextrun"/>
          <w:rFonts w:ascii="Calibri" w:eastAsiaTheme="majorEastAsia" w:hAnsi="Calibri" w:cs="Calibri"/>
          <w:color w:val="094183"/>
        </w:rPr>
        <w:br w:type="page"/>
      </w:r>
    </w:p>
    <w:sdt>
      <w:sdtPr>
        <w:rPr>
          <w:rFonts w:ascii="Calibri" w:eastAsia="Times New Roman" w:hAnsi="Calibri" w:cs="Calibri"/>
          <w:b/>
          <w:bCs/>
          <w:noProof/>
          <w:color w:val="auto"/>
          <w:sz w:val="24"/>
          <w:szCs w:val="24"/>
          <w:lang w:val="en-AU" w:eastAsia="en-GB"/>
        </w:rPr>
        <w:id w:val="-877387804"/>
        <w:docPartObj>
          <w:docPartGallery w:val="Table of Contents"/>
          <w:docPartUnique/>
        </w:docPartObj>
      </w:sdtPr>
      <w:sdtEndPr/>
      <w:sdtContent>
        <w:p w14:paraId="75070BBC" w14:textId="7D5FBCD1" w:rsidR="002B060A" w:rsidRDefault="00CB4396" w:rsidP="00C07A0A">
          <w:pPr>
            <w:pStyle w:val="TOCHeading"/>
            <w:rPr>
              <w:rFonts w:cs="Calibri"/>
              <w:b/>
            </w:rPr>
          </w:pPr>
          <w:r>
            <w:rPr>
              <w:rFonts w:cs="Calibri"/>
              <w:b/>
            </w:rPr>
            <w:t>Ta</w:t>
          </w:r>
          <w:r w:rsidR="006040A7">
            <w:rPr>
              <w:rFonts w:cs="Calibri"/>
              <w:b/>
            </w:rPr>
            <w:t>ble of Contents</w:t>
          </w:r>
        </w:p>
        <w:p w14:paraId="75070BBD" w14:textId="77777777" w:rsidR="002B060A" w:rsidRDefault="002B060A" w:rsidP="00C07A0A">
          <w:pPr>
            <w:rPr>
              <w:rFonts w:ascii="Calibri" w:eastAsia="Calibri" w:hAnsi="Calibri" w:cs="Calibri"/>
              <w:sz w:val="20"/>
              <w:szCs w:val="20"/>
              <w:lang w:val="en-US" w:eastAsia="en-US"/>
            </w:rPr>
          </w:pPr>
        </w:p>
        <w:p w14:paraId="137C63F9" w14:textId="47AC0A79" w:rsidR="00191F00" w:rsidRDefault="003953AE" w:rsidP="00C07A0A">
          <w:pPr>
            <w:pStyle w:val="TOC2"/>
            <w:suppressAutoHyphens/>
            <w:rPr>
              <w:rFonts w:asciiTheme="minorHAnsi" w:eastAsiaTheme="minorEastAsia" w:hAnsiTheme="minorHAnsi" w:cstheme="minorBidi"/>
              <w:b w:val="0"/>
              <w:bCs w:val="0"/>
              <w:kern w:val="2"/>
              <w:lang w:eastAsia="en-AU"/>
              <w14:ligatures w14:val="standardContextual"/>
            </w:rPr>
          </w:pPr>
          <w:r w:rsidRPr="003445E8">
            <w:fldChar w:fldCharType="begin"/>
          </w:r>
          <w:r w:rsidR="00DE1CFC" w:rsidRPr="003445E8">
            <w:instrText>TOC \o "1-3" \z \u \h</w:instrText>
          </w:r>
          <w:r w:rsidRPr="003445E8">
            <w:fldChar w:fldCharType="separate"/>
          </w:r>
          <w:hyperlink w:anchor="_Toc173429954" w:history="1">
            <w:r w:rsidR="00191F00" w:rsidRPr="000E2CB9">
              <w:rPr>
                <w:rStyle w:val="Hyperlink"/>
                <w:rFonts w:eastAsiaTheme="majorEastAsia"/>
              </w:rPr>
              <w:t>Acronyms and Abbreviations</w:t>
            </w:r>
            <w:r w:rsidR="00191F00">
              <w:rPr>
                <w:webHidden/>
              </w:rPr>
              <w:tab/>
            </w:r>
            <w:r w:rsidR="00191F00">
              <w:rPr>
                <w:webHidden/>
              </w:rPr>
              <w:fldChar w:fldCharType="begin"/>
            </w:r>
            <w:r w:rsidR="00191F00">
              <w:rPr>
                <w:webHidden/>
              </w:rPr>
              <w:instrText xml:space="preserve"> PAGEREF _Toc173429954 \h </w:instrText>
            </w:r>
            <w:r w:rsidR="00191F00">
              <w:rPr>
                <w:webHidden/>
              </w:rPr>
            </w:r>
            <w:r w:rsidR="00191F00">
              <w:rPr>
                <w:webHidden/>
              </w:rPr>
              <w:fldChar w:fldCharType="separate"/>
            </w:r>
            <w:r w:rsidR="00F21D72">
              <w:rPr>
                <w:webHidden/>
              </w:rPr>
              <w:t>4</w:t>
            </w:r>
            <w:r w:rsidR="00191F00">
              <w:rPr>
                <w:webHidden/>
              </w:rPr>
              <w:fldChar w:fldCharType="end"/>
            </w:r>
          </w:hyperlink>
        </w:p>
        <w:p w14:paraId="26140E91" w14:textId="6EE12479" w:rsid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55" w:history="1">
            <w:r w:rsidR="00191F00" w:rsidRPr="000E2CB9">
              <w:rPr>
                <w:rStyle w:val="Hyperlink"/>
                <w:rFonts w:eastAsiaTheme="majorEastAsia"/>
              </w:rPr>
              <w:t>Authors</w:t>
            </w:r>
            <w:r w:rsidR="00191F00">
              <w:rPr>
                <w:webHidden/>
              </w:rPr>
              <w:tab/>
            </w:r>
            <w:r w:rsidR="00191F00">
              <w:rPr>
                <w:webHidden/>
              </w:rPr>
              <w:fldChar w:fldCharType="begin"/>
            </w:r>
            <w:r w:rsidR="00191F00">
              <w:rPr>
                <w:webHidden/>
              </w:rPr>
              <w:instrText xml:space="preserve"> PAGEREF _Toc173429955 \h </w:instrText>
            </w:r>
            <w:r w:rsidR="00191F00">
              <w:rPr>
                <w:webHidden/>
              </w:rPr>
            </w:r>
            <w:r w:rsidR="00191F00">
              <w:rPr>
                <w:webHidden/>
              </w:rPr>
              <w:fldChar w:fldCharType="separate"/>
            </w:r>
            <w:r w:rsidR="00F21D72">
              <w:rPr>
                <w:webHidden/>
              </w:rPr>
              <w:t>6</w:t>
            </w:r>
            <w:r w:rsidR="00191F00">
              <w:rPr>
                <w:webHidden/>
              </w:rPr>
              <w:fldChar w:fldCharType="end"/>
            </w:r>
          </w:hyperlink>
        </w:p>
        <w:p w14:paraId="6A7F929C" w14:textId="50A7A287" w:rsid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56" w:history="1">
            <w:r w:rsidR="00191F00" w:rsidRPr="000E2CB9">
              <w:rPr>
                <w:rStyle w:val="Hyperlink"/>
                <w:rFonts w:eastAsiaTheme="majorEastAsia"/>
              </w:rPr>
              <w:t>Acknowledgements</w:t>
            </w:r>
            <w:r w:rsidR="00191F00">
              <w:rPr>
                <w:webHidden/>
              </w:rPr>
              <w:tab/>
            </w:r>
            <w:r w:rsidR="00191F00">
              <w:rPr>
                <w:webHidden/>
              </w:rPr>
              <w:fldChar w:fldCharType="begin"/>
            </w:r>
            <w:r w:rsidR="00191F00">
              <w:rPr>
                <w:webHidden/>
              </w:rPr>
              <w:instrText xml:space="preserve"> PAGEREF _Toc173429956 \h </w:instrText>
            </w:r>
            <w:r w:rsidR="00191F00">
              <w:rPr>
                <w:webHidden/>
              </w:rPr>
            </w:r>
            <w:r w:rsidR="00191F00">
              <w:rPr>
                <w:webHidden/>
              </w:rPr>
              <w:fldChar w:fldCharType="separate"/>
            </w:r>
            <w:r w:rsidR="00F21D72">
              <w:rPr>
                <w:webHidden/>
              </w:rPr>
              <w:t>6</w:t>
            </w:r>
            <w:r w:rsidR="00191F00">
              <w:rPr>
                <w:webHidden/>
              </w:rPr>
              <w:fldChar w:fldCharType="end"/>
            </w:r>
          </w:hyperlink>
        </w:p>
        <w:p w14:paraId="3B2864E1" w14:textId="3182CF32" w:rsid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57" w:history="1">
            <w:r w:rsidR="00191F00" w:rsidRPr="000E2CB9">
              <w:rPr>
                <w:rStyle w:val="Hyperlink"/>
                <w:rFonts w:eastAsiaTheme="majorEastAsia"/>
              </w:rPr>
              <w:t>1. Executive Summary</w:t>
            </w:r>
            <w:r w:rsidR="00191F00">
              <w:rPr>
                <w:webHidden/>
              </w:rPr>
              <w:tab/>
            </w:r>
            <w:r w:rsidR="00191F00">
              <w:rPr>
                <w:webHidden/>
              </w:rPr>
              <w:fldChar w:fldCharType="begin"/>
            </w:r>
            <w:r w:rsidR="00191F00">
              <w:rPr>
                <w:webHidden/>
              </w:rPr>
              <w:instrText xml:space="preserve"> PAGEREF _Toc173429957 \h </w:instrText>
            </w:r>
            <w:r w:rsidR="00191F00">
              <w:rPr>
                <w:webHidden/>
              </w:rPr>
            </w:r>
            <w:r w:rsidR="00191F00">
              <w:rPr>
                <w:webHidden/>
              </w:rPr>
              <w:fldChar w:fldCharType="separate"/>
            </w:r>
            <w:r w:rsidR="00F21D72">
              <w:rPr>
                <w:webHidden/>
              </w:rPr>
              <w:t>7</w:t>
            </w:r>
            <w:r w:rsidR="00191F00">
              <w:rPr>
                <w:webHidden/>
              </w:rPr>
              <w:fldChar w:fldCharType="end"/>
            </w:r>
          </w:hyperlink>
        </w:p>
        <w:p w14:paraId="17B2EF65" w14:textId="177A1744"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58" w:history="1">
            <w:r w:rsidR="00191F00" w:rsidRPr="00191F00">
              <w:rPr>
                <w:rStyle w:val="Hyperlink"/>
                <w:b w:val="0"/>
                <w:bCs w:val="0"/>
              </w:rPr>
              <w:t>1.1.</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Project Overview</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_Toc173429958 \h </w:instrText>
            </w:r>
            <w:r w:rsidR="00191F00" w:rsidRPr="00191F00">
              <w:rPr>
                <w:b w:val="0"/>
                <w:bCs w:val="0"/>
                <w:webHidden/>
              </w:rPr>
            </w:r>
            <w:r w:rsidR="00191F00" w:rsidRPr="00191F00">
              <w:rPr>
                <w:b w:val="0"/>
                <w:bCs w:val="0"/>
                <w:webHidden/>
              </w:rPr>
              <w:fldChar w:fldCharType="separate"/>
            </w:r>
            <w:r w:rsidR="00F21D72">
              <w:rPr>
                <w:b w:val="0"/>
                <w:bCs w:val="0"/>
                <w:webHidden/>
              </w:rPr>
              <w:t>7</w:t>
            </w:r>
            <w:r w:rsidR="00191F00" w:rsidRPr="00191F00">
              <w:rPr>
                <w:b w:val="0"/>
                <w:bCs w:val="0"/>
                <w:webHidden/>
              </w:rPr>
              <w:fldChar w:fldCharType="end"/>
            </w:r>
          </w:hyperlink>
        </w:p>
        <w:p w14:paraId="4696BF7F" w14:textId="511C59C4"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59" w:history="1">
            <w:r w:rsidR="00191F00" w:rsidRPr="00191F00">
              <w:rPr>
                <w:rStyle w:val="Hyperlink"/>
                <w:b w:val="0"/>
                <w:bCs w:val="0"/>
              </w:rPr>
              <w:t>1.2.</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Project Description</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_Toc173429959 \h </w:instrText>
            </w:r>
            <w:r w:rsidR="00191F00" w:rsidRPr="00191F00">
              <w:rPr>
                <w:b w:val="0"/>
                <w:bCs w:val="0"/>
                <w:webHidden/>
              </w:rPr>
            </w:r>
            <w:r w:rsidR="00191F00" w:rsidRPr="00191F00">
              <w:rPr>
                <w:b w:val="0"/>
                <w:bCs w:val="0"/>
                <w:webHidden/>
              </w:rPr>
              <w:fldChar w:fldCharType="separate"/>
            </w:r>
            <w:r w:rsidR="00F21D72">
              <w:rPr>
                <w:b w:val="0"/>
                <w:bCs w:val="0"/>
                <w:webHidden/>
              </w:rPr>
              <w:t>8</w:t>
            </w:r>
            <w:r w:rsidR="00191F00" w:rsidRPr="00191F00">
              <w:rPr>
                <w:b w:val="0"/>
                <w:bCs w:val="0"/>
                <w:webHidden/>
              </w:rPr>
              <w:fldChar w:fldCharType="end"/>
            </w:r>
          </w:hyperlink>
        </w:p>
        <w:p w14:paraId="203D41C2" w14:textId="6BC4B62E"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60" w:history="1">
            <w:r w:rsidR="00191F00" w:rsidRPr="00191F00">
              <w:rPr>
                <w:rStyle w:val="Hyperlink"/>
                <w:b w:val="0"/>
                <w:bCs w:val="0"/>
              </w:rPr>
              <w:t>1.3.</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Evaluation Ratings Table</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_Toc173429960 \h </w:instrText>
            </w:r>
            <w:r w:rsidR="00191F00" w:rsidRPr="00191F00">
              <w:rPr>
                <w:b w:val="0"/>
                <w:bCs w:val="0"/>
                <w:webHidden/>
              </w:rPr>
            </w:r>
            <w:r w:rsidR="00191F00" w:rsidRPr="00191F00">
              <w:rPr>
                <w:b w:val="0"/>
                <w:bCs w:val="0"/>
                <w:webHidden/>
              </w:rPr>
              <w:fldChar w:fldCharType="separate"/>
            </w:r>
            <w:r w:rsidR="00F21D72">
              <w:rPr>
                <w:b w:val="0"/>
                <w:bCs w:val="0"/>
                <w:webHidden/>
              </w:rPr>
              <w:t>9</w:t>
            </w:r>
            <w:r w:rsidR="00191F00" w:rsidRPr="00191F00">
              <w:rPr>
                <w:b w:val="0"/>
                <w:bCs w:val="0"/>
                <w:webHidden/>
              </w:rPr>
              <w:fldChar w:fldCharType="end"/>
            </w:r>
          </w:hyperlink>
        </w:p>
        <w:p w14:paraId="6910620D" w14:textId="17BF0796"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61" w:history="1">
            <w:r w:rsidR="00191F00" w:rsidRPr="00191F00">
              <w:rPr>
                <w:rStyle w:val="Hyperlink"/>
                <w:b w:val="0"/>
                <w:bCs w:val="0"/>
              </w:rPr>
              <w:t>1.4.</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Summary of key findings, conclusions and lessons learned</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_Toc173429961 \h </w:instrText>
            </w:r>
            <w:r w:rsidR="00191F00" w:rsidRPr="00191F00">
              <w:rPr>
                <w:b w:val="0"/>
                <w:bCs w:val="0"/>
                <w:webHidden/>
              </w:rPr>
            </w:r>
            <w:r w:rsidR="00191F00" w:rsidRPr="00191F00">
              <w:rPr>
                <w:b w:val="0"/>
                <w:bCs w:val="0"/>
                <w:webHidden/>
              </w:rPr>
              <w:fldChar w:fldCharType="separate"/>
            </w:r>
            <w:r w:rsidR="00F21D72">
              <w:rPr>
                <w:b w:val="0"/>
                <w:bCs w:val="0"/>
                <w:webHidden/>
              </w:rPr>
              <w:t>11</w:t>
            </w:r>
            <w:r w:rsidR="00191F00" w:rsidRPr="00191F00">
              <w:rPr>
                <w:b w:val="0"/>
                <w:bCs w:val="0"/>
                <w:webHidden/>
              </w:rPr>
              <w:fldChar w:fldCharType="end"/>
            </w:r>
          </w:hyperlink>
        </w:p>
        <w:p w14:paraId="348E7DDE" w14:textId="3611CC47"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62" w:history="1">
            <w:r w:rsidR="00191F00" w:rsidRPr="00191F00">
              <w:rPr>
                <w:rStyle w:val="Hyperlink"/>
                <w:b w:val="0"/>
                <w:bCs w:val="0"/>
              </w:rPr>
              <w:t>1.5.</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Summary of Recommendations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_Toc173429962 \h </w:instrText>
            </w:r>
            <w:r w:rsidR="00191F00" w:rsidRPr="00191F00">
              <w:rPr>
                <w:b w:val="0"/>
                <w:bCs w:val="0"/>
                <w:webHidden/>
              </w:rPr>
            </w:r>
            <w:r w:rsidR="00191F00" w:rsidRPr="00191F00">
              <w:rPr>
                <w:b w:val="0"/>
                <w:bCs w:val="0"/>
                <w:webHidden/>
              </w:rPr>
              <w:fldChar w:fldCharType="separate"/>
            </w:r>
            <w:r w:rsidR="00F21D72">
              <w:rPr>
                <w:b w:val="0"/>
                <w:bCs w:val="0"/>
                <w:webHidden/>
              </w:rPr>
              <w:t>13</w:t>
            </w:r>
            <w:r w:rsidR="00191F00" w:rsidRPr="00191F00">
              <w:rPr>
                <w:b w:val="0"/>
                <w:bCs w:val="0"/>
                <w:webHidden/>
              </w:rPr>
              <w:fldChar w:fldCharType="end"/>
            </w:r>
          </w:hyperlink>
        </w:p>
        <w:p w14:paraId="597F6BC3" w14:textId="17615A5E" w:rsid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63" w:history="1">
            <w:r w:rsidR="00191F00" w:rsidRPr="000E2CB9">
              <w:rPr>
                <w:rStyle w:val="Hyperlink"/>
                <w:rFonts w:eastAsiaTheme="majorEastAsia"/>
              </w:rPr>
              <w:t>2.</w:t>
            </w:r>
            <w:r w:rsidR="00191F00">
              <w:rPr>
                <w:rFonts w:asciiTheme="minorHAnsi" w:eastAsiaTheme="minorEastAsia" w:hAnsiTheme="minorHAnsi" w:cstheme="minorBidi"/>
                <w:b w:val="0"/>
                <w:bCs w:val="0"/>
                <w:kern w:val="2"/>
                <w:lang w:eastAsia="en-AU"/>
                <w14:ligatures w14:val="standardContextual"/>
              </w:rPr>
              <w:tab/>
            </w:r>
            <w:r w:rsidR="00191F00" w:rsidRPr="000E2CB9">
              <w:rPr>
                <w:rStyle w:val="Hyperlink"/>
                <w:rFonts w:eastAsiaTheme="majorEastAsia"/>
              </w:rPr>
              <w:t>Introduction</w:t>
            </w:r>
            <w:r w:rsidR="00191F00">
              <w:rPr>
                <w:webHidden/>
              </w:rPr>
              <w:tab/>
            </w:r>
            <w:r w:rsidR="00191F00">
              <w:rPr>
                <w:webHidden/>
              </w:rPr>
              <w:fldChar w:fldCharType="begin"/>
            </w:r>
            <w:r w:rsidR="00191F00">
              <w:rPr>
                <w:webHidden/>
              </w:rPr>
              <w:instrText xml:space="preserve"> PAGEREF _Toc173429963 \h </w:instrText>
            </w:r>
            <w:r w:rsidR="00191F00">
              <w:rPr>
                <w:webHidden/>
              </w:rPr>
            </w:r>
            <w:r w:rsidR="00191F00">
              <w:rPr>
                <w:webHidden/>
              </w:rPr>
              <w:fldChar w:fldCharType="separate"/>
            </w:r>
            <w:r w:rsidR="00F21D72">
              <w:rPr>
                <w:webHidden/>
              </w:rPr>
              <w:t>16</w:t>
            </w:r>
            <w:r w:rsidR="00191F00">
              <w:rPr>
                <w:webHidden/>
              </w:rPr>
              <w:fldChar w:fldCharType="end"/>
            </w:r>
          </w:hyperlink>
        </w:p>
        <w:p w14:paraId="085607F0" w14:textId="235C6829" w:rsidR="00191F00" w:rsidRPr="00191F00" w:rsidRDefault="00C643DF" w:rsidP="00C07A0A">
          <w:pPr>
            <w:pStyle w:val="TOC3"/>
            <w:suppressAutoHyphens/>
            <w:rPr>
              <w:rFonts w:asciiTheme="minorHAnsi" w:eastAsiaTheme="minorEastAsia" w:hAnsiTheme="minorHAnsi" w:cstheme="minorBidi"/>
              <w:kern w:val="2"/>
              <w:lang w:eastAsia="en-AU"/>
              <w14:ligatures w14:val="standardContextual"/>
            </w:rPr>
          </w:pPr>
          <w:hyperlink w:anchor="_Toc173429964" w:history="1">
            <w:r w:rsidR="00191F00" w:rsidRPr="00191F00">
              <w:rPr>
                <w:rStyle w:val="Hyperlink"/>
                <w:b w:val="0"/>
                <w:bCs w:val="0"/>
              </w:rPr>
              <w:t>2.1.</w:t>
            </w:r>
            <w:r w:rsidR="00191F00" w:rsidRPr="00191F00">
              <w:rPr>
                <w:rFonts w:asciiTheme="minorHAnsi" w:eastAsiaTheme="minorEastAsia" w:hAnsiTheme="minorHAnsi" w:cstheme="minorBidi"/>
                <w:kern w:val="2"/>
                <w:lang w:eastAsia="en-AU"/>
                <w14:ligatures w14:val="standardContextual"/>
              </w:rPr>
              <w:tab/>
            </w:r>
            <w:r w:rsidR="00191F00" w:rsidRPr="00191F00">
              <w:rPr>
                <w:rStyle w:val="Hyperlink"/>
                <w:b w:val="0"/>
                <w:bCs w:val="0"/>
              </w:rPr>
              <w:t>Evaluation Purpose and Objectives</w:t>
            </w:r>
            <w:r w:rsidR="00191F00" w:rsidRPr="00191F00">
              <w:rPr>
                <w:webHidden/>
              </w:rPr>
              <w:tab/>
            </w:r>
            <w:r w:rsidR="00191F00" w:rsidRPr="00191F00">
              <w:rPr>
                <w:webHidden/>
              </w:rPr>
              <w:fldChar w:fldCharType="begin"/>
            </w:r>
            <w:r w:rsidR="00191F00" w:rsidRPr="00191F00">
              <w:rPr>
                <w:webHidden/>
              </w:rPr>
              <w:instrText xml:space="preserve"> PAGEREF _Toc173429964 \h </w:instrText>
            </w:r>
            <w:r w:rsidR="00191F00" w:rsidRPr="00191F00">
              <w:rPr>
                <w:webHidden/>
              </w:rPr>
            </w:r>
            <w:r w:rsidR="00191F00" w:rsidRPr="00191F00">
              <w:rPr>
                <w:webHidden/>
              </w:rPr>
              <w:fldChar w:fldCharType="separate"/>
            </w:r>
            <w:r w:rsidR="00F21D72">
              <w:rPr>
                <w:webHidden/>
              </w:rPr>
              <w:t>16</w:t>
            </w:r>
            <w:r w:rsidR="00191F00" w:rsidRPr="00191F00">
              <w:rPr>
                <w:webHidden/>
              </w:rPr>
              <w:fldChar w:fldCharType="end"/>
            </w:r>
          </w:hyperlink>
        </w:p>
        <w:p w14:paraId="677B2B79" w14:textId="6E40CC9B" w:rsid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65" w:history="1">
            <w:r w:rsidR="00191F00" w:rsidRPr="000E2CB9">
              <w:rPr>
                <w:rStyle w:val="Hyperlink"/>
                <w:rFonts w:eastAsiaTheme="majorEastAsia"/>
              </w:rPr>
              <w:t>3.</w:t>
            </w:r>
            <w:r w:rsidR="00191F00">
              <w:rPr>
                <w:rFonts w:asciiTheme="minorHAnsi" w:eastAsiaTheme="minorEastAsia" w:hAnsiTheme="minorHAnsi" w:cstheme="minorBidi"/>
                <w:b w:val="0"/>
                <w:bCs w:val="0"/>
                <w:kern w:val="2"/>
                <w:lang w:eastAsia="en-AU"/>
                <w14:ligatures w14:val="standardContextual"/>
              </w:rPr>
              <w:tab/>
            </w:r>
            <w:r w:rsidR="00191F00" w:rsidRPr="000E2CB9">
              <w:rPr>
                <w:rStyle w:val="Hyperlink"/>
                <w:rFonts w:eastAsiaTheme="majorEastAsia"/>
              </w:rPr>
              <w:t>Methodology</w:t>
            </w:r>
            <w:r w:rsidR="00191F00">
              <w:rPr>
                <w:webHidden/>
              </w:rPr>
              <w:tab/>
            </w:r>
            <w:r w:rsidR="00191F00">
              <w:rPr>
                <w:webHidden/>
              </w:rPr>
              <w:fldChar w:fldCharType="begin"/>
            </w:r>
            <w:r w:rsidR="00191F00">
              <w:rPr>
                <w:webHidden/>
              </w:rPr>
              <w:instrText xml:space="preserve"> PAGEREF _Toc173429965 \h </w:instrText>
            </w:r>
            <w:r w:rsidR="00191F00">
              <w:rPr>
                <w:webHidden/>
              </w:rPr>
            </w:r>
            <w:r w:rsidR="00191F00">
              <w:rPr>
                <w:webHidden/>
              </w:rPr>
              <w:fldChar w:fldCharType="separate"/>
            </w:r>
            <w:r w:rsidR="00F21D72">
              <w:rPr>
                <w:webHidden/>
              </w:rPr>
              <w:t>17</w:t>
            </w:r>
            <w:r w:rsidR="00191F00">
              <w:rPr>
                <w:webHidden/>
              </w:rPr>
              <w:fldChar w:fldCharType="end"/>
            </w:r>
          </w:hyperlink>
        </w:p>
        <w:p w14:paraId="7B3F9E04" w14:textId="558CCB53"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66" w:history="1">
            <w:r w:rsidR="00191F00" w:rsidRPr="00191F00">
              <w:rPr>
                <w:rStyle w:val="Hyperlink"/>
                <w:b w:val="0"/>
                <w:bCs w:val="0"/>
              </w:rPr>
              <w:t>3.1.</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Conceptual Framework</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_Toc173429966 \h </w:instrText>
            </w:r>
            <w:r w:rsidR="00191F00" w:rsidRPr="00191F00">
              <w:rPr>
                <w:b w:val="0"/>
                <w:bCs w:val="0"/>
                <w:webHidden/>
              </w:rPr>
            </w:r>
            <w:r w:rsidR="00191F00" w:rsidRPr="00191F00">
              <w:rPr>
                <w:b w:val="0"/>
                <w:bCs w:val="0"/>
                <w:webHidden/>
              </w:rPr>
              <w:fldChar w:fldCharType="separate"/>
            </w:r>
            <w:r w:rsidR="00F21D72">
              <w:rPr>
                <w:b w:val="0"/>
                <w:bCs w:val="0"/>
                <w:webHidden/>
              </w:rPr>
              <w:t>17</w:t>
            </w:r>
            <w:r w:rsidR="00191F00" w:rsidRPr="00191F00">
              <w:rPr>
                <w:b w:val="0"/>
                <w:bCs w:val="0"/>
                <w:webHidden/>
              </w:rPr>
              <w:fldChar w:fldCharType="end"/>
            </w:r>
          </w:hyperlink>
        </w:p>
        <w:p w14:paraId="529DF038" w14:textId="0A72437A"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67" w:history="1">
            <w:r w:rsidR="00191F00" w:rsidRPr="00191F00">
              <w:rPr>
                <w:rStyle w:val="Hyperlink"/>
                <w:b w:val="0"/>
                <w:bCs w:val="0"/>
              </w:rPr>
              <w:t>3.2.</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Data Collection Methods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_Toc173429967 \h </w:instrText>
            </w:r>
            <w:r w:rsidR="00191F00" w:rsidRPr="00191F00">
              <w:rPr>
                <w:b w:val="0"/>
                <w:bCs w:val="0"/>
                <w:webHidden/>
              </w:rPr>
            </w:r>
            <w:r w:rsidR="00191F00" w:rsidRPr="00191F00">
              <w:rPr>
                <w:b w:val="0"/>
                <w:bCs w:val="0"/>
                <w:webHidden/>
              </w:rPr>
              <w:fldChar w:fldCharType="separate"/>
            </w:r>
            <w:r w:rsidR="00F21D72">
              <w:rPr>
                <w:b w:val="0"/>
                <w:bCs w:val="0"/>
                <w:webHidden/>
              </w:rPr>
              <w:t>18</w:t>
            </w:r>
            <w:r w:rsidR="00191F00" w:rsidRPr="00191F00">
              <w:rPr>
                <w:b w:val="0"/>
                <w:bCs w:val="0"/>
                <w:webHidden/>
              </w:rPr>
              <w:fldChar w:fldCharType="end"/>
            </w:r>
          </w:hyperlink>
        </w:p>
        <w:p w14:paraId="10157C6C" w14:textId="3B4E0C3D"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68" w:history="1">
            <w:r w:rsidR="00191F00" w:rsidRPr="00191F00">
              <w:rPr>
                <w:rStyle w:val="Hyperlink"/>
                <w:b w:val="0"/>
                <w:bCs w:val="0"/>
              </w:rPr>
              <w:t>3.3.</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Data Extraction</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_Toc173429968 \h </w:instrText>
            </w:r>
            <w:r w:rsidR="00191F00" w:rsidRPr="00191F00">
              <w:rPr>
                <w:b w:val="0"/>
                <w:bCs w:val="0"/>
                <w:webHidden/>
              </w:rPr>
            </w:r>
            <w:r w:rsidR="00191F00" w:rsidRPr="00191F00">
              <w:rPr>
                <w:b w:val="0"/>
                <w:bCs w:val="0"/>
                <w:webHidden/>
              </w:rPr>
              <w:fldChar w:fldCharType="separate"/>
            </w:r>
            <w:r w:rsidR="00F21D72">
              <w:rPr>
                <w:b w:val="0"/>
                <w:bCs w:val="0"/>
                <w:webHidden/>
              </w:rPr>
              <w:t>20</w:t>
            </w:r>
            <w:r w:rsidR="00191F00" w:rsidRPr="00191F00">
              <w:rPr>
                <w:b w:val="0"/>
                <w:bCs w:val="0"/>
                <w:webHidden/>
              </w:rPr>
              <w:fldChar w:fldCharType="end"/>
            </w:r>
          </w:hyperlink>
        </w:p>
        <w:p w14:paraId="2352FA2D" w14:textId="74351110"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69" w:history="1">
            <w:r w:rsidR="00191F00" w:rsidRPr="00191F00">
              <w:rPr>
                <w:rStyle w:val="Hyperlink"/>
                <w:b w:val="0"/>
                <w:bCs w:val="0"/>
              </w:rPr>
              <w:t>3.4.</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Data Analysis and Synthesis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_Toc173429969 \h </w:instrText>
            </w:r>
            <w:r w:rsidR="00191F00" w:rsidRPr="00191F00">
              <w:rPr>
                <w:b w:val="0"/>
                <w:bCs w:val="0"/>
                <w:webHidden/>
              </w:rPr>
            </w:r>
            <w:r w:rsidR="00191F00" w:rsidRPr="00191F00">
              <w:rPr>
                <w:b w:val="0"/>
                <w:bCs w:val="0"/>
                <w:webHidden/>
              </w:rPr>
              <w:fldChar w:fldCharType="separate"/>
            </w:r>
            <w:r w:rsidR="00F21D72">
              <w:rPr>
                <w:b w:val="0"/>
                <w:bCs w:val="0"/>
                <w:webHidden/>
              </w:rPr>
              <w:t>20</w:t>
            </w:r>
            <w:r w:rsidR="00191F00" w:rsidRPr="00191F00">
              <w:rPr>
                <w:b w:val="0"/>
                <w:bCs w:val="0"/>
                <w:webHidden/>
              </w:rPr>
              <w:fldChar w:fldCharType="end"/>
            </w:r>
          </w:hyperlink>
        </w:p>
        <w:p w14:paraId="41545A01" w14:textId="427CD1EA"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70" w:history="1">
            <w:r w:rsidR="00191F00" w:rsidRPr="00191F00">
              <w:rPr>
                <w:rStyle w:val="Hyperlink"/>
                <w:b w:val="0"/>
                <w:bCs w:val="0"/>
              </w:rPr>
              <w:t>3.5.</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Ethics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_Toc173429970 \h </w:instrText>
            </w:r>
            <w:r w:rsidR="00191F00" w:rsidRPr="00191F00">
              <w:rPr>
                <w:b w:val="0"/>
                <w:bCs w:val="0"/>
                <w:webHidden/>
              </w:rPr>
            </w:r>
            <w:r w:rsidR="00191F00" w:rsidRPr="00191F00">
              <w:rPr>
                <w:b w:val="0"/>
                <w:bCs w:val="0"/>
                <w:webHidden/>
              </w:rPr>
              <w:fldChar w:fldCharType="separate"/>
            </w:r>
            <w:r w:rsidR="00F21D72">
              <w:rPr>
                <w:b w:val="0"/>
                <w:bCs w:val="0"/>
                <w:webHidden/>
              </w:rPr>
              <w:t>21</w:t>
            </w:r>
            <w:r w:rsidR="00191F00" w:rsidRPr="00191F00">
              <w:rPr>
                <w:b w:val="0"/>
                <w:bCs w:val="0"/>
                <w:webHidden/>
              </w:rPr>
              <w:fldChar w:fldCharType="end"/>
            </w:r>
          </w:hyperlink>
        </w:p>
        <w:p w14:paraId="5C0DA10B" w14:textId="3ED913F7" w:rsidR="00191F00" w:rsidRDefault="00C643DF" w:rsidP="00C07A0A">
          <w:pPr>
            <w:pStyle w:val="TOC3"/>
            <w:suppressAutoHyphens/>
            <w:rPr>
              <w:rFonts w:asciiTheme="minorHAnsi" w:eastAsiaTheme="minorEastAsia" w:hAnsiTheme="minorHAnsi" w:cstheme="minorBidi"/>
              <w:kern w:val="2"/>
              <w:lang w:eastAsia="en-AU"/>
              <w14:ligatures w14:val="standardContextual"/>
            </w:rPr>
          </w:pPr>
          <w:hyperlink w:anchor="_Toc173429971" w:history="1">
            <w:r w:rsidR="00191F00" w:rsidRPr="00191F00">
              <w:rPr>
                <w:rStyle w:val="Hyperlink"/>
                <w:b w:val="0"/>
                <w:bCs w:val="0"/>
              </w:rPr>
              <w:t>3.6.</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Limitations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_Toc173429971 \h </w:instrText>
            </w:r>
            <w:r w:rsidR="00191F00" w:rsidRPr="00191F00">
              <w:rPr>
                <w:b w:val="0"/>
                <w:bCs w:val="0"/>
                <w:webHidden/>
              </w:rPr>
            </w:r>
            <w:r w:rsidR="00191F00" w:rsidRPr="00191F00">
              <w:rPr>
                <w:b w:val="0"/>
                <w:bCs w:val="0"/>
                <w:webHidden/>
              </w:rPr>
              <w:fldChar w:fldCharType="separate"/>
            </w:r>
            <w:r w:rsidR="00F21D72">
              <w:rPr>
                <w:b w:val="0"/>
                <w:bCs w:val="0"/>
                <w:webHidden/>
              </w:rPr>
              <w:t>22</w:t>
            </w:r>
            <w:r w:rsidR="00191F00" w:rsidRPr="00191F00">
              <w:rPr>
                <w:b w:val="0"/>
                <w:bCs w:val="0"/>
                <w:webHidden/>
              </w:rPr>
              <w:fldChar w:fldCharType="end"/>
            </w:r>
          </w:hyperlink>
        </w:p>
        <w:p w14:paraId="11E8042E" w14:textId="0ABC8EF4" w:rsid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72" w:history="1">
            <w:r w:rsidR="00191F00" w:rsidRPr="000E2CB9">
              <w:rPr>
                <w:rStyle w:val="Hyperlink"/>
                <w:rFonts w:eastAsiaTheme="majorEastAsia"/>
              </w:rPr>
              <w:t>4.</w:t>
            </w:r>
            <w:r w:rsidR="00191F00">
              <w:rPr>
                <w:rFonts w:asciiTheme="minorHAnsi" w:eastAsiaTheme="minorEastAsia" w:hAnsiTheme="minorHAnsi" w:cstheme="minorBidi"/>
                <w:b w:val="0"/>
                <w:bCs w:val="0"/>
                <w:kern w:val="2"/>
                <w:lang w:eastAsia="en-AU"/>
                <w14:ligatures w14:val="standardContextual"/>
              </w:rPr>
              <w:tab/>
            </w:r>
            <w:r w:rsidR="00191F00" w:rsidRPr="000E2CB9">
              <w:rPr>
                <w:rStyle w:val="Hyperlink"/>
                <w:rFonts w:eastAsiaTheme="majorEastAsia"/>
              </w:rPr>
              <w:t>Project Background</w:t>
            </w:r>
            <w:r w:rsidR="00191F00">
              <w:rPr>
                <w:webHidden/>
              </w:rPr>
              <w:tab/>
            </w:r>
            <w:r w:rsidR="00191F00">
              <w:rPr>
                <w:webHidden/>
              </w:rPr>
              <w:fldChar w:fldCharType="begin"/>
            </w:r>
            <w:r w:rsidR="00191F00">
              <w:rPr>
                <w:webHidden/>
              </w:rPr>
              <w:instrText xml:space="preserve"> PAGEREF _Toc173429972 \h </w:instrText>
            </w:r>
            <w:r w:rsidR="00191F00">
              <w:rPr>
                <w:webHidden/>
              </w:rPr>
            </w:r>
            <w:r w:rsidR="00191F00">
              <w:rPr>
                <w:webHidden/>
              </w:rPr>
              <w:fldChar w:fldCharType="separate"/>
            </w:r>
            <w:r w:rsidR="00F21D72">
              <w:rPr>
                <w:webHidden/>
              </w:rPr>
              <w:t>23</w:t>
            </w:r>
            <w:r w:rsidR="00191F00">
              <w:rPr>
                <w:webHidden/>
              </w:rPr>
              <w:fldChar w:fldCharType="end"/>
            </w:r>
          </w:hyperlink>
        </w:p>
        <w:p w14:paraId="0CF522BE" w14:textId="7366C8E9"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73" w:history="1">
            <w:r w:rsidR="00191F00" w:rsidRPr="00191F00">
              <w:rPr>
                <w:rStyle w:val="Hyperlink"/>
                <w:b w:val="0"/>
                <w:bCs w:val="0"/>
              </w:rPr>
              <w:t>4.1.</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Global context</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_Toc173429973 \h </w:instrText>
            </w:r>
            <w:r w:rsidR="00191F00" w:rsidRPr="00191F00">
              <w:rPr>
                <w:b w:val="0"/>
                <w:bCs w:val="0"/>
                <w:webHidden/>
              </w:rPr>
            </w:r>
            <w:r w:rsidR="00191F00" w:rsidRPr="00191F00">
              <w:rPr>
                <w:b w:val="0"/>
                <w:bCs w:val="0"/>
                <w:webHidden/>
              </w:rPr>
              <w:fldChar w:fldCharType="separate"/>
            </w:r>
            <w:r w:rsidR="00F21D72">
              <w:rPr>
                <w:b w:val="0"/>
                <w:bCs w:val="0"/>
                <w:webHidden/>
              </w:rPr>
              <w:t>23</w:t>
            </w:r>
            <w:r w:rsidR="00191F00" w:rsidRPr="00191F00">
              <w:rPr>
                <w:b w:val="0"/>
                <w:bCs w:val="0"/>
                <w:webHidden/>
              </w:rPr>
              <w:fldChar w:fldCharType="end"/>
            </w:r>
          </w:hyperlink>
        </w:p>
        <w:p w14:paraId="3342982F" w14:textId="2B142DC2"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74" w:history="1">
            <w:r w:rsidR="00191F00" w:rsidRPr="00191F00">
              <w:rPr>
                <w:rStyle w:val="Hyperlink"/>
                <w:b w:val="0"/>
                <w:bCs w:val="0"/>
              </w:rPr>
              <w:t>4.2.</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Project Design</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_Toc173429974 \h </w:instrText>
            </w:r>
            <w:r w:rsidR="00191F00" w:rsidRPr="00191F00">
              <w:rPr>
                <w:b w:val="0"/>
                <w:bCs w:val="0"/>
                <w:webHidden/>
              </w:rPr>
            </w:r>
            <w:r w:rsidR="00191F00" w:rsidRPr="00191F00">
              <w:rPr>
                <w:b w:val="0"/>
                <w:bCs w:val="0"/>
                <w:webHidden/>
              </w:rPr>
              <w:fldChar w:fldCharType="separate"/>
            </w:r>
            <w:r w:rsidR="00F21D72">
              <w:rPr>
                <w:b w:val="0"/>
                <w:bCs w:val="0"/>
                <w:webHidden/>
              </w:rPr>
              <w:t>24</w:t>
            </w:r>
            <w:r w:rsidR="00191F00" w:rsidRPr="00191F00">
              <w:rPr>
                <w:b w:val="0"/>
                <w:bCs w:val="0"/>
                <w:webHidden/>
              </w:rPr>
              <w:fldChar w:fldCharType="end"/>
            </w:r>
          </w:hyperlink>
        </w:p>
        <w:p w14:paraId="1CD50FA7" w14:textId="49ECB198" w:rsidR="00191F00" w:rsidRDefault="00C643DF" w:rsidP="00C07A0A">
          <w:pPr>
            <w:pStyle w:val="TOC3"/>
            <w:suppressAutoHyphens/>
            <w:rPr>
              <w:rFonts w:asciiTheme="minorHAnsi" w:eastAsiaTheme="minorEastAsia" w:hAnsiTheme="minorHAnsi" w:cstheme="minorBidi"/>
              <w:kern w:val="2"/>
              <w:lang w:eastAsia="en-AU"/>
              <w14:ligatures w14:val="standardContextual"/>
            </w:rPr>
          </w:pPr>
          <w:hyperlink w:anchor="_Toc173429975" w:history="1">
            <w:r w:rsidR="00191F00" w:rsidRPr="00191F00">
              <w:rPr>
                <w:rStyle w:val="Hyperlink"/>
                <w:b w:val="0"/>
                <w:bCs w:val="0"/>
              </w:rPr>
              <w:t>4.3.</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National contexts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_Toc173429975 \h </w:instrText>
            </w:r>
            <w:r w:rsidR="00191F00" w:rsidRPr="00191F00">
              <w:rPr>
                <w:b w:val="0"/>
                <w:bCs w:val="0"/>
                <w:webHidden/>
              </w:rPr>
            </w:r>
            <w:r w:rsidR="00191F00" w:rsidRPr="00191F00">
              <w:rPr>
                <w:b w:val="0"/>
                <w:bCs w:val="0"/>
                <w:webHidden/>
              </w:rPr>
              <w:fldChar w:fldCharType="separate"/>
            </w:r>
            <w:r w:rsidR="00F21D72">
              <w:rPr>
                <w:b w:val="0"/>
                <w:bCs w:val="0"/>
                <w:webHidden/>
              </w:rPr>
              <w:t>27</w:t>
            </w:r>
            <w:r w:rsidR="00191F00" w:rsidRPr="00191F00">
              <w:rPr>
                <w:b w:val="0"/>
                <w:bCs w:val="0"/>
                <w:webHidden/>
              </w:rPr>
              <w:fldChar w:fldCharType="end"/>
            </w:r>
          </w:hyperlink>
        </w:p>
        <w:p w14:paraId="34C64592" w14:textId="141FEE19" w:rsid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76" w:history="1">
            <w:r w:rsidR="00191F00" w:rsidRPr="000E2CB9">
              <w:rPr>
                <w:rStyle w:val="Hyperlink"/>
                <w:rFonts w:eastAsiaTheme="majorEastAsia"/>
              </w:rPr>
              <w:t>5.</w:t>
            </w:r>
            <w:r w:rsidR="00191F00">
              <w:rPr>
                <w:rFonts w:asciiTheme="minorHAnsi" w:eastAsiaTheme="minorEastAsia" w:hAnsiTheme="minorHAnsi" w:cstheme="minorBidi"/>
                <w:b w:val="0"/>
                <w:bCs w:val="0"/>
                <w:kern w:val="2"/>
                <w:lang w:eastAsia="en-AU"/>
                <w14:ligatures w14:val="standardContextual"/>
              </w:rPr>
              <w:tab/>
            </w:r>
            <w:r w:rsidR="00191F00" w:rsidRPr="000E2CB9">
              <w:rPr>
                <w:rStyle w:val="Hyperlink"/>
                <w:rFonts w:eastAsiaTheme="majorEastAsia"/>
              </w:rPr>
              <w:t>Findings</w:t>
            </w:r>
            <w:r w:rsidR="00191F00">
              <w:rPr>
                <w:webHidden/>
              </w:rPr>
              <w:tab/>
            </w:r>
            <w:r w:rsidR="00191F00">
              <w:rPr>
                <w:webHidden/>
              </w:rPr>
              <w:fldChar w:fldCharType="begin"/>
            </w:r>
            <w:r w:rsidR="00191F00">
              <w:rPr>
                <w:webHidden/>
              </w:rPr>
              <w:instrText xml:space="preserve"> PAGEREF _Toc173429976 \h </w:instrText>
            </w:r>
            <w:r w:rsidR="00191F00">
              <w:rPr>
                <w:webHidden/>
              </w:rPr>
            </w:r>
            <w:r w:rsidR="00191F00">
              <w:rPr>
                <w:webHidden/>
              </w:rPr>
              <w:fldChar w:fldCharType="separate"/>
            </w:r>
            <w:r w:rsidR="00F21D72">
              <w:rPr>
                <w:webHidden/>
              </w:rPr>
              <w:t>31</w:t>
            </w:r>
            <w:r w:rsidR="00191F00">
              <w:rPr>
                <w:webHidden/>
              </w:rPr>
              <w:fldChar w:fldCharType="end"/>
            </w:r>
          </w:hyperlink>
        </w:p>
        <w:p w14:paraId="3567CBF4" w14:textId="68096E3E"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77" w:history="1">
            <w:r w:rsidR="00191F00" w:rsidRPr="00191F00">
              <w:rPr>
                <w:rStyle w:val="Hyperlink"/>
                <w:b w:val="0"/>
                <w:bCs w:val="0"/>
              </w:rPr>
              <w:t>5.1.</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Summary of Key Findings and TE ratings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_Toc173429977 \h </w:instrText>
            </w:r>
            <w:r w:rsidR="00191F00" w:rsidRPr="00191F00">
              <w:rPr>
                <w:b w:val="0"/>
                <w:bCs w:val="0"/>
                <w:webHidden/>
              </w:rPr>
            </w:r>
            <w:r w:rsidR="00191F00" w:rsidRPr="00191F00">
              <w:rPr>
                <w:b w:val="0"/>
                <w:bCs w:val="0"/>
                <w:webHidden/>
              </w:rPr>
              <w:fldChar w:fldCharType="separate"/>
            </w:r>
            <w:r w:rsidR="00F21D72">
              <w:rPr>
                <w:b w:val="0"/>
                <w:bCs w:val="0"/>
                <w:webHidden/>
              </w:rPr>
              <w:t>31</w:t>
            </w:r>
            <w:r w:rsidR="00191F00" w:rsidRPr="00191F00">
              <w:rPr>
                <w:b w:val="0"/>
                <w:bCs w:val="0"/>
                <w:webHidden/>
              </w:rPr>
              <w:fldChar w:fldCharType="end"/>
            </w:r>
          </w:hyperlink>
        </w:p>
        <w:p w14:paraId="6A082847" w14:textId="5D7BCC10"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78" w:history="1">
            <w:r w:rsidR="00191F00" w:rsidRPr="00191F00">
              <w:rPr>
                <w:rStyle w:val="Hyperlink"/>
                <w:b w:val="0"/>
                <w:bCs w:val="0"/>
              </w:rPr>
              <w:t>5.2.</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Overall Project Results and Effectiveness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_Toc173429978 \h </w:instrText>
            </w:r>
            <w:r w:rsidR="00191F00" w:rsidRPr="00191F00">
              <w:rPr>
                <w:b w:val="0"/>
                <w:bCs w:val="0"/>
                <w:webHidden/>
              </w:rPr>
            </w:r>
            <w:r w:rsidR="00191F00" w:rsidRPr="00191F00">
              <w:rPr>
                <w:b w:val="0"/>
                <w:bCs w:val="0"/>
                <w:webHidden/>
              </w:rPr>
              <w:fldChar w:fldCharType="separate"/>
            </w:r>
            <w:r w:rsidR="00F21D72">
              <w:rPr>
                <w:b w:val="0"/>
                <w:bCs w:val="0"/>
                <w:webHidden/>
              </w:rPr>
              <w:t>33</w:t>
            </w:r>
            <w:r w:rsidR="00191F00" w:rsidRPr="00191F00">
              <w:rPr>
                <w:b w:val="0"/>
                <w:bCs w:val="0"/>
                <w:webHidden/>
              </w:rPr>
              <w:fldChar w:fldCharType="end"/>
            </w:r>
          </w:hyperlink>
        </w:p>
        <w:p w14:paraId="55FE276C" w14:textId="113ACB23"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79" w:history="1">
            <w:r w:rsidR="00191F00" w:rsidRPr="00191F00">
              <w:rPr>
                <w:rStyle w:val="Hyperlink"/>
                <w:b w:val="0"/>
                <w:bCs w:val="0"/>
              </w:rPr>
              <w:t>5.3.</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Project Implementation and Execution</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_Toc173429979 \h </w:instrText>
            </w:r>
            <w:r w:rsidR="00191F00" w:rsidRPr="00191F00">
              <w:rPr>
                <w:b w:val="0"/>
                <w:bCs w:val="0"/>
                <w:webHidden/>
              </w:rPr>
            </w:r>
            <w:r w:rsidR="00191F00" w:rsidRPr="00191F00">
              <w:rPr>
                <w:b w:val="0"/>
                <w:bCs w:val="0"/>
                <w:webHidden/>
              </w:rPr>
              <w:fldChar w:fldCharType="separate"/>
            </w:r>
            <w:r w:rsidR="00F21D72">
              <w:rPr>
                <w:b w:val="0"/>
                <w:bCs w:val="0"/>
                <w:webHidden/>
              </w:rPr>
              <w:t>50</w:t>
            </w:r>
            <w:r w:rsidR="00191F00" w:rsidRPr="00191F00">
              <w:rPr>
                <w:b w:val="0"/>
                <w:bCs w:val="0"/>
                <w:webHidden/>
              </w:rPr>
              <w:fldChar w:fldCharType="end"/>
            </w:r>
          </w:hyperlink>
        </w:p>
        <w:p w14:paraId="123B4F33" w14:textId="50976FF0"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80" w:history="1">
            <w:r w:rsidR="00191F00" w:rsidRPr="00191F00">
              <w:rPr>
                <w:rStyle w:val="Hyperlink"/>
                <w:b w:val="0"/>
                <w:bCs w:val="0"/>
              </w:rPr>
              <w:t>5.4.</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Monitoring, Evaluation and Risk Management</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_Toc173429980 \h </w:instrText>
            </w:r>
            <w:r w:rsidR="00191F00" w:rsidRPr="00191F00">
              <w:rPr>
                <w:b w:val="0"/>
                <w:bCs w:val="0"/>
                <w:webHidden/>
              </w:rPr>
            </w:r>
            <w:r w:rsidR="00191F00" w:rsidRPr="00191F00">
              <w:rPr>
                <w:b w:val="0"/>
                <w:bCs w:val="0"/>
                <w:webHidden/>
              </w:rPr>
              <w:fldChar w:fldCharType="separate"/>
            </w:r>
            <w:r w:rsidR="00F21D72">
              <w:rPr>
                <w:b w:val="0"/>
                <w:bCs w:val="0"/>
                <w:webHidden/>
              </w:rPr>
              <w:t>53</w:t>
            </w:r>
            <w:r w:rsidR="00191F00" w:rsidRPr="00191F00">
              <w:rPr>
                <w:b w:val="0"/>
                <w:bCs w:val="0"/>
                <w:webHidden/>
              </w:rPr>
              <w:fldChar w:fldCharType="end"/>
            </w:r>
          </w:hyperlink>
        </w:p>
        <w:p w14:paraId="085A1FC3" w14:textId="5C914A89"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81" w:history="1">
            <w:r w:rsidR="00191F00" w:rsidRPr="00191F00">
              <w:rPr>
                <w:rStyle w:val="Hyperlink"/>
                <w:b w:val="0"/>
                <w:bCs w:val="0"/>
              </w:rPr>
              <w:t>5.5.</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Cross-Cutting criteria and Findings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_Toc173429981 \h </w:instrText>
            </w:r>
            <w:r w:rsidR="00191F00" w:rsidRPr="00191F00">
              <w:rPr>
                <w:b w:val="0"/>
                <w:bCs w:val="0"/>
                <w:webHidden/>
              </w:rPr>
            </w:r>
            <w:r w:rsidR="00191F00" w:rsidRPr="00191F00">
              <w:rPr>
                <w:b w:val="0"/>
                <w:bCs w:val="0"/>
                <w:webHidden/>
              </w:rPr>
              <w:fldChar w:fldCharType="separate"/>
            </w:r>
            <w:r w:rsidR="00F21D72">
              <w:rPr>
                <w:b w:val="0"/>
                <w:bCs w:val="0"/>
                <w:webHidden/>
              </w:rPr>
              <w:t>54</w:t>
            </w:r>
            <w:r w:rsidR="00191F00" w:rsidRPr="00191F00">
              <w:rPr>
                <w:b w:val="0"/>
                <w:bCs w:val="0"/>
                <w:webHidden/>
              </w:rPr>
              <w:fldChar w:fldCharType="end"/>
            </w:r>
          </w:hyperlink>
        </w:p>
        <w:p w14:paraId="04813337" w14:textId="1B06060E"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82" w:history="1">
            <w:r w:rsidR="00191F00" w:rsidRPr="00191F00">
              <w:rPr>
                <w:rStyle w:val="Hyperlink"/>
                <w:b w:val="0"/>
                <w:bCs w:val="0"/>
              </w:rPr>
              <w:t>5.6.</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Sustainability and Impact</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_Toc173429982 \h </w:instrText>
            </w:r>
            <w:r w:rsidR="00191F00" w:rsidRPr="00191F00">
              <w:rPr>
                <w:b w:val="0"/>
                <w:bCs w:val="0"/>
                <w:webHidden/>
              </w:rPr>
            </w:r>
            <w:r w:rsidR="00191F00" w:rsidRPr="00191F00">
              <w:rPr>
                <w:b w:val="0"/>
                <w:bCs w:val="0"/>
                <w:webHidden/>
              </w:rPr>
              <w:fldChar w:fldCharType="separate"/>
            </w:r>
            <w:r w:rsidR="00F21D72">
              <w:rPr>
                <w:b w:val="0"/>
                <w:bCs w:val="0"/>
                <w:webHidden/>
              </w:rPr>
              <w:t>56</w:t>
            </w:r>
            <w:r w:rsidR="00191F00" w:rsidRPr="00191F00">
              <w:rPr>
                <w:b w:val="0"/>
                <w:bCs w:val="0"/>
                <w:webHidden/>
              </w:rPr>
              <w:fldChar w:fldCharType="end"/>
            </w:r>
          </w:hyperlink>
        </w:p>
        <w:p w14:paraId="6B96815F" w14:textId="094E5FAE" w:rsid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83" w:history="1">
            <w:r w:rsidR="00191F00" w:rsidRPr="000E2CB9">
              <w:rPr>
                <w:rStyle w:val="Hyperlink"/>
                <w:rFonts w:eastAsiaTheme="majorEastAsia"/>
              </w:rPr>
              <w:t>6.</w:t>
            </w:r>
            <w:r w:rsidR="00191F00">
              <w:rPr>
                <w:rFonts w:asciiTheme="minorHAnsi" w:eastAsiaTheme="minorEastAsia" w:hAnsiTheme="minorHAnsi" w:cstheme="minorBidi"/>
                <w:b w:val="0"/>
                <w:bCs w:val="0"/>
                <w:kern w:val="2"/>
                <w:lang w:eastAsia="en-AU"/>
                <w14:ligatures w14:val="standardContextual"/>
              </w:rPr>
              <w:tab/>
            </w:r>
            <w:r w:rsidR="00191F00" w:rsidRPr="000E2CB9">
              <w:rPr>
                <w:rStyle w:val="Hyperlink"/>
                <w:rFonts w:eastAsiaTheme="majorEastAsia"/>
              </w:rPr>
              <w:t>Key Findings and Conclusions</w:t>
            </w:r>
            <w:r w:rsidR="00191F00">
              <w:rPr>
                <w:webHidden/>
              </w:rPr>
              <w:tab/>
            </w:r>
            <w:r w:rsidR="00191F00">
              <w:rPr>
                <w:webHidden/>
              </w:rPr>
              <w:fldChar w:fldCharType="begin"/>
            </w:r>
            <w:r w:rsidR="00191F00">
              <w:rPr>
                <w:webHidden/>
              </w:rPr>
              <w:instrText xml:space="preserve"> PAGEREF _Toc173429983 \h </w:instrText>
            </w:r>
            <w:r w:rsidR="00191F00">
              <w:rPr>
                <w:webHidden/>
              </w:rPr>
            </w:r>
            <w:r w:rsidR="00191F00">
              <w:rPr>
                <w:webHidden/>
              </w:rPr>
              <w:fldChar w:fldCharType="separate"/>
            </w:r>
            <w:r w:rsidR="00F21D72">
              <w:rPr>
                <w:webHidden/>
              </w:rPr>
              <w:t>59</w:t>
            </w:r>
            <w:r w:rsidR="00191F00">
              <w:rPr>
                <w:webHidden/>
              </w:rPr>
              <w:fldChar w:fldCharType="end"/>
            </w:r>
          </w:hyperlink>
        </w:p>
        <w:p w14:paraId="07EE02CA" w14:textId="203BEB3B"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84" w:history="1">
            <w:r w:rsidR="00191F00" w:rsidRPr="00191F00">
              <w:rPr>
                <w:rStyle w:val="Hyperlink"/>
                <w:b w:val="0"/>
                <w:bCs w:val="0"/>
              </w:rPr>
              <w:t>6.1.</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Overall progress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_Toc173429984 \h </w:instrText>
            </w:r>
            <w:r w:rsidR="00191F00" w:rsidRPr="00191F00">
              <w:rPr>
                <w:b w:val="0"/>
                <w:bCs w:val="0"/>
                <w:webHidden/>
              </w:rPr>
            </w:r>
            <w:r w:rsidR="00191F00" w:rsidRPr="00191F00">
              <w:rPr>
                <w:b w:val="0"/>
                <w:bCs w:val="0"/>
                <w:webHidden/>
              </w:rPr>
              <w:fldChar w:fldCharType="separate"/>
            </w:r>
            <w:r w:rsidR="00F21D72">
              <w:rPr>
                <w:b w:val="0"/>
                <w:bCs w:val="0"/>
                <w:webHidden/>
              </w:rPr>
              <w:t>59</w:t>
            </w:r>
            <w:r w:rsidR="00191F00" w:rsidRPr="00191F00">
              <w:rPr>
                <w:b w:val="0"/>
                <w:bCs w:val="0"/>
                <w:webHidden/>
              </w:rPr>
              <w:fldChar w:fldCharType="end"/>
            </w:r>
          </w:hyperlink>
        </w:p>
        <w:p w14:paraId="50EDBACD" w14:textId="68A1D526"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85" w:history="1">
            <w:r w:rsidR="00191F00" w:rsidRPr="00191F00">
              <w:rPr>
                <w:rStyle w:val="Hyperlink"/>
                <w:b w:val="0"/>
                <w:bCs w:val="0"/>
              </w:rPr>
              <w:t>6.2.</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Lessons Learned</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_Toc173429985 \h </w:instrText>
            </w:r>
            <w:r w:rsidR="00191F00" w:rsidRPr="00191F00">
              <w:rPr>
                <w:b w:val="0"/>
                <w:bCs w:val="0"/>
                <w:webHidden/>
              </w:rPr>
            </w:r>
            <w:r w:rsidR="00191F00" w:rsidRPr="00191F00">
              <w:rPr>
                <w:b w:val="0"/>
                <w:bCs w:val="0"/>
                <w:webHidden/>
              </w:rPr>
              <w:fldChar w:fldCharType="separate"/>
            </w:r>
            <w:r w:rsidR="00F21D72">
              <w:rPr>
                <w:b w:val="0"/>
                <w:bCs w:val="0"/>
                <w:webHidden/>
              </w:rPr>
              <w:t>60</w:t>
            </w:r>
            <w:r w:rsidR="00191F00" w:rsidRPr="00191F00">
              <w:rPr>
                <w:b w:val="0"/>
                <w:bCs w:val="0"/>
                <w:webHidden/>
              </w:rPr>
              <w:fldChar w:fldCharType="end"/>
            </w:r>
          </w:hyperlink>
        </w:p>
        <w:p w14:paraId="4B2425E3" w14:textId="05094486" w:rsidR="00191F00" w:rsidRPr="00191F00" w:rsidRDefault="00C643DF" w:rsidP="00C07A0A">
          <w:pPr>
            <w:pStyle w:val="TOC3"/>
            <w:suppressAutoHyphens/>
            <w:rPr>
              <w:rFonts w:asciiTheme="minorHAnsi" w:eastAsiaTheme="minorEastAsia" w:hAnsiTheme="minorHAnsi" w:cstheme="minorBidi"/>
              <w:b w:val="0"/>
              <w:bCs w:val="0"/>
              <w:kern w:val="2"/>
              <w:lang w:eastAsia="en-AU"/>
              <w14:ligatures w14:val="standardContextual"/>
            </w:rPr>
          </w:pPr>
          <w:hyperlink w:anchor="_Toc173429986" w:history="1">
            <w:r w:rsidR="00191F00" w:rsidRPr="00191F00">
              <w:rPr>
                <w:rStyle w:val="Hyperlink"/>
                <w:b w:val="0"/>
                <w:bCs w:val="0"/>
              </w:rPr>
              <w:t>6.3.</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b w:val="0"/>
                <w:bCs w:val="0"/>
              </w:rPr>
              <w:t>Recommendations</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_Toc173429986 \h </w:instrText>
            </w:r>
            <w:r w:rsidR="00191F00" w:rsidRPr="00191F00">
              <w:rPr>
                <w:b w:val="0"/>
                <w:bCs w:val="0"/>
                <w:webHidden/>
              </w:rPr>
            </w:r>
            <w:r w:rsidR="00191F00" w:rsidRPr="00191F00">
              <w:rPr>
                <w:b w:val="0"/>
                <w:bCs w:val="0"/>
                <w:webHidden/>
              </w:rPr>
              <w:fldChar w:fldCharType="separate"/>
            </w:r>
            <w:r w:rsidR="00F21D72">
              <w:rPr>
                <w:b w:val="0"/>
                <w:bCs w:val="0"/>
                <w:webHidden/>
              </w:rPr>
              <w:t>63</w:t>
            </w:r>
            <w:r w:rsidR="00191F00" w:rsidRPr="00191F00">
              <w:rPr>
                <w:b w:val="0"/>
                <w:bCs w:val="0"/>
                <w:webHidden/>
              </w:rPr>
              <w:fldChar w:fldCharType="end"/>
            </w:r>
          </w:hyperlink>
        </w:p>
        <w:p w14:paraId="44CE4005" w14:textId="71635D06" w:rsidR="00191F00" w:rsidRDefault="00C643DF" w:rsidP="00C07A0A">
          <w:pPr>
            <w:pStyle w:val="TOC1"/>
            <w:suppressAutoHyphens/>
            <w:rPr>
              <w:rFonts w:asciiTheme="minorHAnsi" w:eastAsiaTheme="minorEastAsia" w:hAnsiTheme="minorHAnsi" w:cstheme="minorBidi"/>
              <w:b w:val="0"/>
              <w:bCs w:val="0"/>
              <w:kern w:val="2"/>
              <w:lang w:eastAsia="en-AU"/>
              <w14:ligatures w14:val="standardContextual"/>
            </w:rPr>
          </w:pPr>
          <w:hyperlink w:anchor="_Toc173429987" w:history="1">
            <w:r w:rsidR="00191F00" w:rsidRPr="000E2CB9">
              <w:rPr>
                <w:rStyle w:val="Hyperlink"/>
                <w:rFonts w:eastAsiaTheme="majorEastAsia"/>
              </w:rPr>
              <w:t>Appendices</w:t>
            </w:r>
            <w:r w:rsidR="00191F00">
              <w:rPr>
                <w:webHidden/>
              </w:rPr>
              <w:tab/>
            </w:r>
            <w:r w:rsidR="00191F00">
              <w:rPr>
                <w:webHidden/>
              </w:rPr>
              <w:fldChar w:fldCharType="begin"/>
            </w:r>
            <w:r w:rsidR="00191F00">
              <w:rPr>
                <w:webHidden/>
              </w:rPr>
              <w:instrText xml:space="preserve"> PAGEREF _Toc173429987 \h </w:instrText>
            </w:r>
            <w:r w:rsidR="00191F00">
              <w:rPr>
                <w:webHidden/>
              </w:rPr>
            </w:r>
            <w:r w:rsidR="00191F00">
              <w:rPr>
                <w:webHidden/>
              </w:rPr>
              <w:fldChar w:fldCharType="separate"/>
            </w:r>
            <w:r w:rsidR="00F21D72">
              <w:rPr>
                <w:webHidden/>
              </w:rPr>
              <w:t>66</w:t>
            </w:r>
            <w:r w:rsidR="00191F00">
              <w:rPr>
                <w:webHidden/>
              </w:rPr>
              <w:fldChar w:fldCharType="end"/>
            </w:r>
          </w:hyperlink>
        </w:p>
        <w:p w14:paraId="377ACF64" w14:textId="50714AE2"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88" w:history="1">
            <w:r w:rsidR="00191F00" w:rsidRPr="00191F00">
              <w:rPr>
                <w:rStyle w:val="Hyperlink"/>
                <w:rFonts w:eastAsiaTheme="majorEastAsia"/>
                <w:b w:val="0"/>
                <w:bCs w:val="0"/>
              </w:rPr>
              <w:t>Appendix 1: Evaluation Criteria Matrix</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_Toc173429988 \h </w:instrText>
            </w:r>
            <w:r w:rsidR="00191F00" w:rsidRPr="00191F00">
              <w:rPr>
                <w:b w:val="0"/>
                <w:bCs w:val="0"/>
                <w:webHidden/>
              </w:rPr>
            </w:r>
            <w:r w:rsidR="00191F00" w:rsidRPr="00191F00">
              <w:rPr>
                <w:b w:val="0"/>
                <w:bCs w:val="0"/>
                <w:webHidden/>
              </w:rPr>
              <w:fldChar w:fldCharType="separate"/>
            </w:r>
            <w:r w:rsidR="00F21D72">
              <w:rPr>
                <w:b w:val="0"/>
                <w:bCs w:val="0"/>
                <w:webHidden/>
              </w:rPr>
              <w:t>66</w:t>
            </w:r>
            <w:r w:rsidR="00191F00" w:rsidRPr="00191F00">
              <w:rPr>
                <w:b w:val="0"/>
                <w:bCs w:val="0"/>
                <w:webHidden/>
              </w:rPr>
              <w:fldChar w:fldCharType="end"/>
            </w:r>
          </w:hyperlink>
        </w:p>
        <w:p w14:paraId="7D73056B" w14:textId="321C33AC"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89" w:history="1">
            <w:r w:rsidR="00191F00" w:rsidRPr="00191F00">
              <w:rPr>
                <w:rStyle w:val="Hyperlink"/>
                <w:rFonts w:eastAsiaTheme="majorEastAsia"/>
                <w:b w:val="0"/>
                <w:bCs w:val="0"/>
              </w:rPr>
              <w:t>Appendix 2: Key Evaluation Questions and Evaluation Matrix</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_Toc173429989 \h </w:instrText>
            </w:r>
            <w:r w:rsidR="00191F00" w:rsidRPr="00191F00">
              <w:rPr>
                <w:b w:val="0"/>
                <w:bCs w:val="0"/>
                <w:webHidden/>
              </w:rPr>
            </w:r>
            <w:r w:rsidR="00191F00" w:rsidRPr="00191F00">
              <w:rPr>
                <w:b w:val="0"/>
                <w:bCs w:val="0"/>
                <w:webHidden/>
              </w:rPr>
              <w:fldChar w:fldCharType="separate"/>
            </w:r>
            <w:r w:rsidR="00F21D72">
              <w:rPr>
                <w:b w:val="0"/>
                <w:bCs w:val="0"/>
                <w:webHidden/>
              </w:rPr>
              <w:t>69</w:t>
            </w:r>
            <w:r w:rsidR="00191F00" w:rsidRPr="00191F00">
              <w:rPr>
                <w:b w:val="0"/>
                <w:bCs w:val="0"/>
                <w:webHidden/>
              </w:rPr>
              <w:fldChar w:fldCharType="end"/>
            </w:r>
          </w:hyperlink>
        </w:p>
        <w:p w14:paraId="40A3CEC2" w14:textId="361C6154"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90" w:history="1">
            <w:r w:rsidR="00191F00" w:rsidRPr="00191F00">
              <w:rPr>
                <w:rStyle w:val="Hyperlink"/>
                <w:rFonts w:eastAsiaTheme="majorEastAsia"/>
                <w:b w:val="0"/>
                <w:bCs w:val="0"/>
              </w:rPr>
              <w:t>Appendix 3: Document Table</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_Toc173429990 \h </w:instrText>
            </w:r>
            <w:r w:rsidR="00191F00" w:rsidRPr="00191F00">
              <w:rPr>
                <w:b w:val="0"/>
                <w:bCs w:val="0"/>
                <w:webHidden/>
              </w:rPr>
            </w:r>
            <w:r w:rsidR="00191F00" w:rsidRPr="00191F00">
              <w:rPr>
                <w:b w:val="0"/>
                <w:bCs w:val="0"/>
                <w:webHidden/>
              </w:rPr>
              <w:fldChar w:fldCharType="separate"/>
            </w:r>
            <w:r w:rsidR="00F21D72">
              <w:rPr>
                <w:b w:val="0"/>
                <w:bCs w:val="0"/>
                <w:webHidden/>
              </w:rPr>
              <w:t>74</w:t>
            </w:r>
            <w:r w:rsidR="00191F00" w:rsidRPr="00191F00">
              <w:rPr>
                <w:b w:val="0"/>
                <w:bCs w:val="0"/>
                <w:webHidden/>
              </w:rPr>
              <w:fldChar w:fldCharType="end"/>
            </w:r>
          </w:hyperlink>
        </w:p>
        <w:p w14:paraId="673FD01A" w14:textId="71E648B2"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91" w:history="1">
            <w:r w:rsidR="00191F00" w:rsidRPr="00191F00">
              <w:rPr>
                <w:rStyle w:val="Hyperlink"/>
                <w:rFonts w:eastAsiaTheme="majorEastAsia"/>
                <w:b w:val="0"/>
                <w:bCs w:val="0"/>
              </w:rPr>
              <w:t>Appendix 4: TE Rating Scale</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_Toc173429991 \h </w:instrText>
            </w:r>
            <w:r w:rsidR="00191F00" w:rsidRPr="00191F00">
              <w:rPr>
                <w:b w:val="0"/>
                <w:bCs w:val="0"/>
                <w:webHidden/>
              </w:rPr>
            </w:r>
            <w:r w:rsidR="00191F00" w:rsidRPr="00191F00">
              <w:rPr>
                <w:b w:val="0"/>
                <w:bCs w:val="0"/>
                <w:webHidden/>
              </w:rPr>
              <w:fldChar w:fldCharType="separate"/>
            </w:r>
            <w:r w:rsidR="00F21D72">
              <w:rPr>
                <w:b w:val="0"/>
                <w:bCs w:val="0"/>
                <w:webHidden/>
              </w:rPr>
              <w:t>81</w:t>
            </w:r>
            <w:r w:rsidR="00191F00" w:rsidRPr="00191F00">
              <w:rPr>
                <w:b w:val="0"/>
                <w:bCs w:val="0"/>
                <w:webHidden/>
              </w:rPr>
              <w:fldChar w:fldCharType="end"/>
            </w:r>
          </w:hyperlink>
        </w:p>
        <w:p w14:paraId="161F574E" w14:textId="313F1BCD"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92" w:history="1">
            <w:r w:rsidR="00191F00" w:rsidRPr="00191F00">
              <w:rPr>
                <w:rStyle w:val="Hyperlink"/>
                <w:rFonts w:eastAsiaTheme="majorEastAsia"/>
                <w:b w:val="0"/>
                <w:bCs w:val="0"/>
              </w:rPr>
              <w:t>Appendix 5: National standards and guidelines for climate-resilient health systems developed</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_Toc173429992 \h </w:instrText>
            </w:r>
            <w:r w:rsidR="00191F00" w:rsidRPr="00191F00">
              <w:rPr>
                <w:b w:val="0"/>
                <w:bCs w:val="0"/>
                <w:webHidden/>
              </w:rPr>
            </w:r>
            <w:r w:rsidR="00191F00" w:rsidRPr="00191F00">
              <w:rPr>
                <w:b w:val="0"/>
                <w:bCs w:val="0"/>
                <w:webHidden/>
              </w:rPr>
              <w:fldChar w:fldCharType="separate"/>
            </w:r>
            <w:r w:rsidR="00F21D72">
              <w:rPr>
                <w:b w:val="0"/>
                <w:bCs w:val="0"/>
                <w:webHidden/>
              </w:rPr>
              <w:t>82</w:t>
            </w:r>
            <w:r w:rsidR="00191F00" w:rsidRPr="00191F00">
              <w:rPr>
                <w:b w:val="0"/>
                <w:bCs w:val="0"/>
                <w:webHidden/>
              </w:rPr>
              <w:fldChar w:fldCharType="end"/>
            </w:r>
          </w:hyperlink>
        </w:p>
        <w:p w14:paraId="4B65075A" w14:textId="55E174BE"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93" w:history="1">
            <w:r w:rsidR="00191F00" w:rsidRPr="00191F00">
              <w:rPr>
                <w:rStyle w:val="Hyperlink"/>
                <w:rFonts w:eastAsiaTheme="majorEastAsia"/>
                <w:b w:val="0"/>
                <w:bCs w:val="0"/>
              </w:rPr>
              <w:t>Appendix 6: Country training data</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_Toc173429993 \h </w:instrText>
            </w:r>
            <w:r w:rsidR="00191F00" w:rsidRPr="00191F00">
              <w:rPr>
                <w:b w:val="0"/>
                <w:bCs w:val="0"/>
                <w:webHidden/>
              </w:rPr>
            </w:r>
            <w:r w:rsidR="00191F00" w:rsidRPr="00191F00">
              <w:rPr>
                <w:b w:val="0"/>
                <w:bCs w:val="0"/>
                <w:webHidden/>
              </w:rPr>
              <w:fldChar w:fldCharType="separate"/>
            </w:r>
            <w:r w:rsidR="00F21D72">
              <w:rPr>
                <w:b w:val="0"/>
                <w:bCs w:val="0"/>
                <w:webHidden/>
              </w:rPr>
              <w:t>85</w:t>
            </w:r>
            <w:r w:rsidR="00191F00" w:rsidRPr="00191F00">
              <w:rPr>
                <w:b w:val="0"/>
                <w:bCs w:val="0"/>
                <w:webHidden/>
              </w:rPr>
              <w:fldChar w:fldCharType="end"/>
            </w:r>
          </w:hyperlink>
        </w:p>
        <w:p w14:paraId="7DD7F47D" w14:textId="6B6A8A31"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94" w:history="1">
            <w:r w:rsidR="00191F00" w:rsidRPr="00191F00">
              <w:rPr>
                <w:rStyle w:val="Hyperlink"/>
                <w:rFonts w:eastAsiaTheme="majorEastAsia"/>
                <w:b w:val="0"/>
                <w:bCs w:val="0"/>
              </w:rPr>
              <w:t>Appendix 7: Updates on training modules/course materials developed</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_Toc173429994 \h </w:instrText>
            </w:r>
            <w:r w:rsidR="00191F00" w:rsidRPr="00191F00">
              <w:rPr>
                <w:b w:val="0"/>
                <w:bCs w:val="0"/>
                <w:webHidden/>
              </w:rPr>
            </w:r>
            <w:r w:rsidR="00191F00" w:rsidRPr="00191F00">
              <w:rPr>
                <w:b w:val="0"/>
                <w:bCs w:val="0"/>
                <w:webHidden/>
              </w:rPr>
              <w:fldChar w:fldCharType="separate"/>
            </w:r>
            <w:r w:rsidR="00F21D72">
              <w:rPr>
                <w:b w:val="0"/>
                <w:bCs w:val="0"/>
                <w:webHidden/>
              </w:rPr>
              <w:t>103</w:t>
            </w:r>
            <w:r w:rsidR="00191F00" w:rsidRPr="00191F00">
              <w:rPr>
                <w:b w:val="0"/>
                <w:bCs w:val="0"/>
                <w:webHidden/>
              </w:rPr>
              <w:fldChar w:fldCharType="end"/>
            </w:r>
          </w:hyperlink>
        </w:p>
        <w:p w14:paraId="60CB55B8" w14:textId="7978F69A" w:rsidR="00191F00" w:rsidRDefault="00C643DF" w:rsidP="00C07A0A">
          <w:pPr>
            <w:pStyle w:val="TOC1"/>
            <w:suppressAutoHyphens/>
            <w:rPr>
              <w:rFonts w:asciiTheme="minorHAnsi" w:eastAsiaTheme="minorEastAsia" w:hAnsiTheme="minorHAnsi" w:cstheme="minorBidi"/>
              <w:b w:val="0"/>
              <w:bCs w:val="0"/>
              <w:kern w:val="2"/>
              <w:lang w:eastAsia="en-AU"/>
              <w14:ligatures w14:val="standardContextual"/>
            </w:rPr>
          </w:pPr>
          <w:hyperlink w:anchor="_Toc173429995" w:history="1">
            <w:r w:rsidR="00191F00" w:rsidRPr="000E2CB9">
              <w:rPr>
                <w:rStyle w:val="Hyperlink"/>
                <w:rFonts w:eastAsiaTheme="majorEastAsia"/>
              </w:rPr>
              <w:t>List of Annexes</w:t>
            </w:r>
            <w:r w:rsidR="00191F00">
              <w:rPr>
                <w:webHidden/>
              </w:rPr>
              <w:tab/>
            </w:r>
            <w:r w:rsidR="00191F00">
              <w:rPr>
                <w:webHidden/>
              </w:rPr>
              <w:fldChar w:fldCharType="begin"/>
            </w:r>
            <w:r w:rsidR="00191F00">
              <w:rPr>
                <w:webHidden/>
              </w:rPr>
              <w:instrText xml:space="preserve"> PAGEREF _Toc173429995 \h </w:instrText>
            </w:r>
            <w:r w:rsidR="00191F00">
              <w:rPr>
                <w:webHidden/>
              </w:rPr>
            </w:r>
            <w:r w:rsidR="00191F00">
              <w:rPr>
                <w:webHidden/>
              </w:rPr>
              <w:fldChar w:fldCharType="separate"/>
            </w:r>
            <w:r w:rsidR="00F21D72">
              <w:rPr>
                <w:webHidden/>
              </w:rPr>
              <w:t>106</w:t>
            </w:r>
            <w:r w:rsidR="00191F00">
              <w:rPr>
                <w:webHidden/>
              </w:rPr>
              <w:fldChar w:fldCharType="end"/>
            </w:r>
          </w:hyperlink>
        </w:p>
        <w:p w14:paraId="73A46CDA" w14:textId="0850C8F9"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96" w:history="1">
            <w:r w:rsidR="00191F00" w:rsidRPr="00191F00">
              <w:rPr>
                <w:rStyle w:val="Hyperlink"/>
                <w:rFonts w:ascii="Symbol" w:eastAsiaTheme="majorEastAsia" w:hAnsi="Symbol"/>
                <w:b w:val="0"/>
                <w:bCs w:val="0"/>
              </w:rPr>
              <w:t></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rFonts w:eastAsiaTheme="majorEastAsia"/>
                <w:b w:val="0"/>
                <w:bCs w:val="0"/>
              </w:rPr>
              <w:t>Annex A: GEF UNDP Project Results Framework</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_Toc173429996 \h </w:instrText>
            </w:r>
            <w:r w:rsidR="00191F00" w:rsidRPr="00191F00">
              <w:rPr>
                <w:b w:val="0"/>
                <w:bCs w:val="0"/>
                <w:webHidden/>
              </w:rPr>
            </w:r>
            <w:r w:rsidR="00191F00" w:rsidRPr="00191F00">
              <w:rPr>
                <w:b w:val="0"/>
                <w:bCs w:val="0"/>
                <w:webHidden/>
              </w:rPr>
              <w:fldChar w:fldCharType="separate"/>
            </w:r>
            <w:r w:rsidR="00F21D72">
              <w:rPr>
                <w:b w:val="0"/>
                <w:bCs w:val="0"/>
                <w:webHidden/>
              </w:rPr>
              <w:t>106</w:t>
            </w:r>
            <w:r w:rsidR="00191F00" w:rsidRPr="00191F00">
              <w:rPr>
                <w:b w:val="0"/>
                <w:bCs w:val="0"/>
                <w:webHidden/>
              </w:rPr>
              <w:fldChar w:fldCharType="end"/>
            </w:r>
          </w:hyperlink>
        </w:p>
        <w:p w14:paraId="05F0CE73" w14:textId="1A4D6D4C"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97" w:history="1">
            <w:r w:rsidR="00191F00" w:rsidRPr="00191F00">
              <w:rPr>
                <w:rStyle w:val="Hyperlink"/>
                <w:rFonts w:ascii="Symbol" w:eastAsiaTheme="majorEastAsia" w:hAnsi="Symbol"/>
                <w:b w:val="0"/>
                <w:bCs w:val="0"/>
              </w:rPr>
              <w:t></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rFonts w:eastAsiaTheme="majorEastAsia"/>
                <w:b w:val="0"/>
                <w:bCs w:val="0"/>
              </w:rPr>
              <w:t>Annex B: UNDP GEF TE Terms of Reference</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_Toc173429997 \h </w:instrText>
            </w:r>
            <w:r w:rsidR="00191F00" w:rsidRPr="00191F00">
              <w:rPr>
                <w:b w:val="0"/>
                <w:bCs w:val="0"/>
                <w:webHidden/>
              </w:rPr>
            </w:r>
            <w:r w:rsidR="00191F00" w:rsidRPr="00191F00">
              <w:rPr>
                <w:b w:val="0"/>
                <w:bCs w:val="0"/>
                <w:webHidden/>
              </w:rPr>
              <w:fldChar w:fldCharType="separate"/>
            </w:r>
            <w:r w:rsidR="00F21D72">
              <w:rPr>
                <w:b w:val="0"/>
                <w:bCs w:val="0"/>
                <w:webHidden/>
              </w:rPr>
              <w:t>106</w:t>
            </w:r>
            <w:r w:rsidR="00191F00" w:rsidRPr="00191F00">
              <w:rPr>
                <w:b w:val="0"/>
                <w:bCs w:val="0"/>
                <w:webHidden/>
              </w:rPr>
              <w:fldChar w:fldCharType="end"/>
            </w:r>
          </w:hyperlink>
        </w:p>
        <w:p w14:paraId="022CD0F2" w14:textId="3D355E8E"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98" w:history="1">
            <w:r w:rsidR="00191F00" w:rsidRPr="00191F00">
              <w:rPr>
                <w:rStyle w:val="Hyperlink"/>
                <w:rFonts w:ascii="Symbol" w:eastAsiaTheme="majorEastAsia" w:hAnsi="Symbol"/>
                <w:b w:val="0"/>
                <w:bCs w:val="0"/>
              </w:rPr>
              <w:t></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rFonts w:eastAsiaTheme="majorEastAsia"/>
                <w:b w:val="0"/>
                <w:bCs w:val="0"/>
              </w:rPr>
              <w:t>Annex C: Inception Report</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_Toc173429998 \h </w:instrText>
            </w:r>
            <w:r w:rsidR="00191F00" w:rsidRPr="00191F00">
              <w:rPr>
                <w:b w:val="0"/>
                <w:bCs w:val="0"/>
                <w:webHidden/>
              </w:rPr>
            </w:r>
            <w:r w:rsidR="00191F00" w:rsidRPr="00191F00">
              <w:rPr>
                <w:b w:val="0"/>
                <w:bCs w:val="0"/>
                <w:webHidden/>
              </w:rPr>
              <w:fldChar w:fldCharType="separate"/>
            </w:r>
            <w:r w:rsidR="00F21D72">
              <w:rPr>
                <w:b w:val="0"/>
                <w:bCs w:val="0"/>
                <w:webHidden/>
              </w:rPr>
              <w:t>106</w:t>
            </w:r>
            <w:r w:rsidR="00191F00" w:rsidRPr="00191F00">
              <w:rPr>
                <w:b w:val="0"/>
                <w:bCs w:val="0"/>
                <w:webHidden/>
              </w:rPr>
              <w:fldChar w:fldCharType="end"/>
            </w:r>
          </w:hyperlink>
        </w:p>
        <w:p w14:paraId="0C588C1D" w14:textId="2C9F54EA"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29999" w:history="1">
            <w:r w:rsidR="00191F00" w:rsidRPr="00191F00">
              <w:rPr>
                <w:rStyle w:val="Hyperlink"/>
                <w:rFonts w:ascii="Symbol" w:eastAsiaTheme="majorEastAsia" w:hAnsi="Symbol"/>
                <w:b w:val="0"/>
                <w:bCs w:val="0"/>
              </w:rPr>
              <w:t></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rFonts w:eastAsiaTheme="majorEastAsia"/>
                <w:b w:val="0"/>
                <w:bCs w:val="0"/>
              </w:rPr>
              <w:t>Annex D: Interview Guide and note taking template</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_Toc173429999 \h </w:instrText>
            </w:r>
            <w:r w:rsidR="00191F00" w:rsidRPr="00191F00">
              <w:rPr>
                <w:b w:val="0"/>
                <w:bCs w:val="0"/>
                <w:webHidden/>
              </w:rPr>
            </w:r>
            <w:r w:rsidR="00191F00" w:rsidRPr="00191F00">
              <w:rPr>
                <w:b w:val="0"/>
                <w:bCs w:val="0"/>
                <w:webHidden/>
              </w:rPr>
              <w:fldChar w:fldCharType="separate"/>
            </w:r>
            <w:r w:rsidR="00F21D72">
              <w:rPr>
                <w:b w:val="0"/>
                <w:bCs w:val="0"/>
                <w:webHidden/>
              </w:rPr>
              <w:t>106</w:t>
            </w:r>
            <w:r w:rsidR="00191F00" w:rsidRPr="00191F00">
              <w:rPr>
                <w:b w:val="0"/>
                <w:bCs w:val="0"/>
                <w:webHidden/>
              </w:rPr>
              <w:fldChar w:fldCharType="end"/>
            </w:r>
          </w:hyperlink>
        </w:p>
        <w:p w14:paraId="3C03F0DB" w14:textId="3CF3709B"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30000" w:history="1">
            <w:r w:rsidR="00191F00" w:rsidRPr="00191F00">
              <w:rPr>
                <w:rStyle w:val="Hyperlink"/>
                <w:rFonts w:ascii="Symbol" w:eastAsiaTheme="majorEastAsia" w:hAnsi="Symbol"/>
                <w:b w:val="0"/>
                <w:bCs w:val="0"/>
              </w:rPr>
              <w:t></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rFonts w:eastAsiaTheme="majorEastAsia"/>
                <w:b w:val="0"/>
                <w:bCs w:val="0"/>
              </w:rPr>
              <w:t>Annex E: Consent Form</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_Toc173430000 \h </w:instrText>
            </w:r>
            <w:r w:rsidR="00191F00" w:rsidRPr="00191F00">
              <w:rPr>
                <w:b w:val="0"/>
                <w:bCs w:val="0"/>
                <w:webHidden/>
              </w:rPr>
            </w:r>
            <w:r w:rsidR="00191F00" w:rsidRPr="00191F00">
              <w:rPr>
                <w:b w:val="0"/>
                <w:bCs w:val="0"/>
                <w:webHidden/>
              </w:rPr>
              <w:fldChar w:fldCharType="separate"/>
            </w:r>
            <w:r w:rsidR="00F21D72">
              <w:rPr>
                <w:b w:val="0"/>
                <w:bCs w:val="0"/>
                <w:webHidden/>
              </w:rPr>
              <w:t>106</w:t>
            </w:r>
            <w:r w:rsidR="00191F00" w:rsidRPr="00191F00">
              <w:rPr>
                <w:b w:val="0"/>
                <w:bCs w:val="0"/>
                <w:webHidden/>
              </w:rPr>
              <w:fldChar w:fldCharType="end"/>
            </w:r>
          </w:hyperlink>
        </w:p>
        <w:p w14:paraId="7E3BD47E" w14:textId="7EF76EA0" w:rsidR="00191F00" w:rsidRPr="00191F00" w:rsidRDefault="00C643DF" w:rsidP="00C07A0A">
          <w:pPr>
            <w:pStyle w:val="TOC2"/>
            <w:suppressAutoHyphens/>
            <w:rPr>
              <w:rFonts w:asciiTheme="minorHAnsi" w:eastAsiaTheme="minorEastAsia" w:hAnsiTheme="minorHAnsi" w:cstheme="minorBidi"/>
              <w:b w:val="0"/>
              <w:bCs w:val="0"/>
              <w:kern w:val="2"/>
              <w:lang w:eastAsia="en-AU"/>
              <w14:ligatures w14:val="standardContextual"/>
            </w:rPr>
          </w:pPr>
          <w:hyperlink w:anchor="_Toc173430001" w:history="1">
            <w:r w:rsidR="00191F00" w:rsidRPr="00191F00">
              <w:rPr>
                <w:rStyle w:val="Hyperlink"/>
                <w:rFonts w:ascii="Symbol" w:eastAsiaTheme="majorEastAsia" w:hAnsi="Symbol"/>
                <w:b w:val="0"/>
                <w:bCs w:val="0"/>
              </w:rPr>
              <w:t></w:t>
            </w:r>
            <w:r w:rsidR="00191F00" w:rsidRPr="00191F00">
              <w:rPr>
                <w:rFonts w:asciiTheme="minorHAnsi" w:eastAsiaTheme="minorEastAsia" w:hAnsiTheme="minorHAnsi" w:cstheme="minorBidi"/>
                <w:b w:val="0"/>
                <w:bCs w:val="0"/>
                <w:kern w:val="2"/>
                <w:lang w:eastAsia="en-AU"/>
                <w14:ligatures w14:val="standardContextual"/>
              </w:rPr>
              <w:tab/>
            </w:r>
            <w:r w:rsidR="00191F00" w:rsidRPr="00191F00">
              <w:rPr>
                <w:rStyle w:val="Hyperlink"/>
                <w:rFonts w:eastAsiaTheme="majorEastAsia"/>
                <w:b w:val="0"/>
                <w:bCs w:val="0"/>
              </w:rPr>
              <w:t>Annex F: Plain Language Statement</w:t>
            </w:r>
            <w:r w:rsidR="00191F00" w:rsidRPr="00191F00">
              <w:rPr>
                <w:b w:val="0"/>
                <w:bCs w:val="0"/>
                <w:webHidden/>
              </w:rPr>
              <w:tab/>
            </w:r>
            <w:r w:rsidR="00191F00" w:rsidRPr="00191F00">
              <w:rPr>
                <w:b w:val="0"/>
                <w:bCs w:val="0"/>
                <w:webHidden/>
              </w:rPr>
              <w:fldChar w:fldCharType="begin"/>
            </w:r>
            <w:r w:rsidR="00191F00" w:rsidRPr="00191F00">
              <w:rPr>
                <w:b w:val="0"/>
                <w:bCs w:val="0"/>
                <w:webHidden/>
              </w:rPr>
              <w:instrText xml:space="preserve"> PAGEREF _Toc173430001 \h </w:instrText>
            </w:r>
            <w:r w:rsidR="00191F00" w:rsidRPr="00191F00">
              <w:rPr>
                <w:b w:val="0"/>
                <w:bCs w:val="0"/>
                <w:webHidden/>
              </w:rPr>
            </w:r>
            <w:r w:rsidR="00191F00" w:rsidRPr="00191F00">
              <w:rPr>
                <w:b w:val="0"/>
                <w:bCs w:val="0"/>
                <w:webHidden/>
              </w:rPr>
              <w:fldChar w:fldCharType="separate"/>
            </w:r>
            <w:r w:rsidR="00F21D72">
              <w:rPr>
                <w:b w:val="0"/>
                <w:bCs w:val="0"/>
                <w:webHidden/>
              </w:rPr>
              <w:t>106</w:t>
            </w:r>
            <w:r w:rsidR="00191F00" w:rsidRPr="00191F00">
              <w:rPr>
                <w:b w:val="0"/>
                <w:bCs w:val="0"/>
                <w:webHidden/>
              </w:rPr>
              <w:fldChar w:fldCharType="end"/>
            </w:r>
          </w:hyperlink>
        </w:p>
        <w:p w14:paraId="08A75650" w14:textId="5853D99D" w:rsidR="0083148A" w:rsidRPr="0083148A" w:rsidRDefault="003953AE" w:rsidP="00C07A0A">
          <w:pPr>
            <w:pStyle w:val="TOC2"/>
            <w:suppressAutoHyphens/>
            <w:rPr>
              <w:rFonts w:asciiTheme="minorHAnsi" w:eastAsiaTheme="minorEastAsia" w:hAnsiTheme="minorHAnsi" w:cstheme="minorBidi"/>
              <w:kern w:val="2"/>
              <w:lang w:eastAsia="en-AU"/>
              <w14:ligatures w14:val="standardContextual"/>
            </w:rPr>
          </w:pPr>
          <w:r w:rsidRPr="003445E8">
            <w:fldChar w:fldCharType="end"/>
          </w:r>
          <w:r w:rsidRPr="003445E8">
            <w:fldChar w:fldCharType="begin"/>
          </w:r>
          <w:r w:rsidR="00DE1CFC" w:rsidRPr="003445E8">
            <w:instrText>TOC \o "1-3" \z \u \h</w:instrText>
          </w:r>
          <w:r w:rsidRPr="003445E8">
            <w:fldChar w:fldCharType="separate"/>
          </w:r>
        </w:p>
        <w:p w14:paraId="0CF978BD" w14:textId="77777777" w:rsidR="002D6471" w:rsidRDefault="003953AE" w:rsidP="00C07A0A">
          <w:pPr>
            <w:pStyle w:val="TOC2"/>
            <w:suppressAutoHyphens/>
            <w:rPr>
              <w:b w:val="0"/>
            </w:rPr>
          </w:pPr>
          <w:r w:rsidRPr="003445E8">
            <w:fldChar w:fldCharType="end"/>
          </w:r>
        </w:p>
        <w:p w14:paraId="75070BEA" w14:textId="74A751CC" w:rsidR="002B060A" w:rsidRPr="00CB0E8D" w:rsidRDefault="00C643DF" w:rsidP="00C07A0A">
          <w:pPr>
            <w:pStyle w:val="TOC2"/>
            <w:tabs>
              <w:tab w:val="clear" w:pos="9016"/>
              <w:tab w:val="right" w:leader="dot" w:pos="9015"/>
            </w:tabs>
            <w:suppressAutoHyphens/>
            <w:ind w:left="0"/>
            <w:rPr>
              <w:rStyle w:val="Hyperlink"/>
              <w:kern w:val="2"/>
              <w14:ligatures w14:val="standardContextual"/>
            </w:rPr>
          </w:pPr>
        </w:p>
      </w:sdtContent>
    </w:sdt>
    <w:p w14:paraId="75070BEB" w14:textId="77777777" w:rsidR="002B060A" w:rsidRDefault="002B060A" w:rsidP="00C07A0A">
      <w:pPr>
        <w:pStyle w:val="TOC2"/>
        <w:suppressAutoHyphens/>
        <w:rPr>
          <w:rStyle w:val="Hyperlink"/>
          <w:b w:val="0"/>
          <w:sz w:val="22"/>
          <w:szCs w:val="22"/>
        </w:rPr>
      </w:pPr>
    </w:p>
    <w:p w14:paraId="75070BEC" w14:textId="77777777" w:rsidR="002B060A" w:rsidRDefault="002B060A" w:rsidP="00C07A0A">
      <w:pPr>
        <w:rPr>
          <w:rFonts w:ascii="Calibri" w:hAnsi="Calibri" w:cs="Calibri"/>
          <w:sz w:val="22"/>
          <w:szCs w:val="22"/>
        </w:rPr>
      </w:pPr>
    </w:p>
    <w:p w14:paraId="75070BED" w14:textId="77777777" w:rsidR="002B060A" w:rsidRDefault="006040A7" w:rsidP="00C07A0A">
      <w:pPr>
        <w:rPr>
          <w:rStyle w:val="eop"/>
          <w:rFonts w:ascii="Calibri" w:eastAsiaTheme="majorEastAsia" w:hAnsi="Calibri" w:cs="Calibri"/>
          <w:color w:val="094183"/>
          <w:kern w:val="2"/>
          <w:sz w:val="22"/>
          <w:szCs w:val="22"/>
          <w:lang w:eastAsia="en-US"/>
          <w14:ligatures w14:val="standardContextual"/>
        </w:rPr>
      </w:pPr>
      <w:r w:rsidRPr="00CB0E8D">
        <w:rPr>
          <w:rStyle w:val="eop"/>
          <w:rFonts w:ascii="Calibri" w:hAnsi="Calibri"/>
          <w:color w:val="094183"/>
          <w:sz w:val="22"/>
        </w:rPr>
        <w:br w:type="page"/>
      </w:r>
    </w:p>
    <w:p w14:paraId="75070BEE" w14:textId="77777777" w:rsidR="002B060A" w:rsidRDefault="006040A7" w:rsidP="00C07A0A">
      <w:pPr>
        <w:pStyle w:val="Heading2"/>
        <w:rPr>
          <w:rStyle w:val="normaltextrun"/>
          <w:rFonts w:ascii="Calibri" w:hAnsi="Calibri" w:cs="Calibri"/>
          <w:b/>
        </w:rPr>
      </w:pPr>
      <w:bookmarkStart w:id="0" w:name="_Toc173429954"/>
      <w:r>
        <w:rPr>
          <w:rStyle w:val="normaltextrun"/>
          <w:rFonts w:ascii="Calibri" w:hAnsi="Calibri" w:cs="Calibri"/>
          <w:b/>
          <w:color w:val="094183"/>
        </w:rPr>
        <w:lastRenderedPageBreak/>
        <w:t>Acronyms and Abbreviations</w:t>
      </w:r>
      <w:bookmarkEnd w:id="0"/>
      <w:r>
        <w:rPr>
          <w:rStyle w:val="normaltextrun"/>
          <w:rFonts w:ascii="Calibri" w:hAnsi="Calibri" w:cs="Calibri"/>
          <w:b/>
          <w:color w:val="094183"/>
        </w:rPr>
        <w:t> </w:t>
      </w:r>
      <w:r>
        <w:rPr>
          <w:rStyle w:val="normaltextrun"/>
          <w:rFonts w:ascii="Calibri" w:hAnsi="Calibri" w:cs="Calibri"/>
          <w:b/>
        </w:rPr>
        <w:t>  </w:t>
      </w:r>
    </w:p>
    <w:p w14:paraId="75070BEF"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ATACH </w:t>
      </w:r>
      <w:r>
        <w:rPr>
          <w:rFonts w:ascii="Calibri" w:eastAsia="Calibri" w:hAnsi="Calibri" w:cs="Calibri"/>
          <w:color w:val="000000" w:themeColor="text1"/>
        </w:rPr>
        <w:tab/>
        <w:t>Alliance for Transformative Action on Climate and Health</w:t>
      </w:r>
    </w:p>
    <w:p w14:paraId="75070BF0"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CO</w:t>
      </w:r>
      <w:r>
        <w:rPr>
          <w:rFonts w:ascii="Calibri" w:eastAsia="Calibri" w:hAnsi="Calibri" w:cs="Calibri"/>
          <w:color w:val="000000" w:themeColor="text1"/>
        </w:rPr>
        <w:tab/>
      </w:r>
      <w:r>
        <w:rPr>
          <w:rFonts w:ascii="Calibri" w:eastAsia="Calibri" w:hAnsi="Calibri" w:cs="Calibri"/>
          <w:color w:val="000000" w:themeColor="text1"/>
        </w:rPr>
        <w:tab/>
        <w:t>Country Office</w:t>
      </w:r>
    </w:p>
    <w:p w14:paraId="75070BF1" w14:textId="77777777" w:rsidR="002B060A" w:rsidRDefault="006040A7" w:rsidP="00C07A0A">
      <w:pPr>
        <w:spacing w:before="159"/>
        <w:textAlignment w:val="baseline"/>
        <w:rPr>
          <w:rFonts w:ascii="Calibri" w:eastAsia="Calibri" w:hAnsi="Calibri" w:cs="Calibri"/>
          <w:color w:val="000000" w:themeColor="text1"/>
        </w:rPr>
      </w:pPr>
      <w:r>
        <w:rPr>
          <w:rFonts w:ascii="Calibri" w:eastAsia="Calibri" w:hAnsi="Calibri" w:cs="Calibri"/>
          <w:color w:val="000000" w:themeColor="text1"/>
        </w:rPr>
        <w:t xml:space="preserve">COP </w:t>
      </w:r>
      <w:r>
        <w:rPr>
          <w:rFonts w:ascii="Calibri" w:eastAsia="Calibri" w:hAnsi="Calibri" w:cs="Calibri"/>
          <w:color w:val="000000" w:themeColor="text1"/>
        </w:rPr>
        <w:tab/>
      </w:r>
      <w:r>
        <w:rPr>
          <w:rFonts w:ascii="Calibri" w:eastAsia="Calibri" w:hAnsi="Calibri" w:cs="Calibri"/>
          <w:color w:val="000000" w:themeColor="text1"/>
        </w:rPr>
        <w:tab/>
        <w:t>Conference of the Parties</w:t>
      </w:r>
    </w:p>
    <w:p w14:paraId="75070BF2" w14:textId="77777777" w:rsidR="002B060A" w:rsidRDefault="006040A7" w:rsidP="00C07A0A">
      <w:pPr>
        <w:spacing w:before="159"/>
        <w:textAlignment w:val="baseline"/>
        <w:rPr>
          <w:rFonts w:ascii="Calibri" w:eastAsia="Calibri" w:hAnsi="Calibri" w:cs="Calibri"/>
          <w:color w:val="000000" w:themeColor="text1"/>
        </w:rPr>
      </w:pPr>
      <w:r>
        <w:rPr>
          <w:rFonts w:ascii="Calibri" w:eastAsia="Calibri" w:hAnsi="Calibri" w:cs="Calibri"/>
          <w:color w:val="000000" w:themeColor="text1"/>
        </w:rPr>
        <w:t>CU</w:t>
      </w:r>
      <w:r>
        <w:rPr>
          <w:rFonts w:ascii="Calibri" w:eastAsia="Calibri" w:hAnsi="Calibri" w:cs="Calibri"/>
          <w:color w:val="000000" w:themeColor="text1"/>
        </w:rPr>
        <w:tab/>
      </w:r>
      <w:r>
        <w:rPr>
          <w:rFonts w:ascii="Calibri" w:eastAsia="Calibri" w:hAnsi="Calibri" w:cs="Calibri"/>
          <w:color w:val="000000" w:themeColor="text1"/>
        </w:rPr>
        <w:tab/>
        <w:t xml:space="preserve">Commissioning Unit </w:t>
      </w:r>
    </w:p>
    <w:p w14:paraId="75070BF3"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CRESH</w:t>
      </w:r>
      <w:r>
        <w:rPr>
          <w:rFonts w:ascii="Calibri" w:eastAsia="Calibri" w:hAnsi="Calibri" w:cs="Calibri"/>
          <w:color w:val="000000" w:themeColor="text1"/>
        </w:rPr>
        <w:tab/>
        <w:t xml:space="preserve"> </w:t>
      </w:r>
      <w:r>
        <w:rPr>
          <w:rFonts w:ascii="Calibri" w:eastAsia="Calibri" w:hAnsi="Calibri" w:cs="Calibri"/>
          <w:color w:val="000000" w:themeColor="text1"/>
        </w:rPr>
        <w:tab/>
        <w:t>Climate Resilient and Environmentally Sustainable Healthcare Facilities</w:t>
      </w:r>
    </w:p>
    <w:p w14:paraId="75070BF4"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DOH </w:t>
      </w:r>
      <w:r>
        <w:rPr>
          <w:rFonts w:ascii="Calibri" w:eastAsia="Calibri" w:hAnsi="Calibri" w:cs="Calibri"/>
          <w:color w:val="000000" w:themeColor="text1"/>
        </w:rPr>
        <w:tab/>
      </w:r>
      <w:r>
        <w:rPr>
          <w:rFonts w:ascii="Calibri" w:eastAsia="Calibri" w:hAnsi="Calibri" w:cs="Calibri"/>
          <w:color w:val="000000" w:themeColor="text1"/>
        </w:rPr>
        <w:tab/>
        <w:t>Department of Health</w:t>
      </w:r>
    </w:p>
    <w:p w14:paraId="75070BF5"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DFID </w:t>
      </w:r>
      <w:r>
        <w:rPr>
          <w:rFonts w:ascii="Calibri" w:eastAsia="Calibri" w:hAnsi="Calibri" w:cs="Calibri"/>
          <w:color w:val="000000" w:themeColor="text1"/>
        </w:rPr>
        <w:tab/>
      </w:r>
      <w:r>
        <w:rPr>
          <w:rFonts w:ascii="Calibri" w:eastAsia="Calibri" w:hAnsi="Calibri" w:cs="Calibri"/>
          <w:color w:val="000000" w:themeColor="text1"/>
        </w:rPr>
        <w:tab/>
        <w:t>Department for International Development (United Kingdon)</w:t>
      </w:r>
    </w:p>
    <w:p w14:paraId="75070BF6"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GCF </w:t>
      </w:r>
      <w:r>
        <w:rPr>
          <w:rFonts w:ascii="Calibri" w:eastAsia="Calibri" w:hAnsi="Calibri" w:cs="Calibri"/>
          <w:color w:val="000000" w:themeColor="text1"/>
        </w:rPr>
        <w:tab/>
      </w:r>
      <w:r>
        <w:rPr>
          <w:rFonts w:ascii="Calibri" w:eastAsia="Calibri" w:hAnsi="Calibri" w:cs="Calibri"/>
          <w:color w:val="000000" w:themeColor="text1"/>
        </w:rPr>
        <w:tab/>
        <w:t>Green Climate Fund</w:t>
      </w:r>
    </w:p>
    <w:p w14:paraId="75070BF7"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GDP </w:t>
      </w:r>
      <w:r>
        <w:rPr>
          <w:rFonts w:ascii="Calibri" w:eastAsia="Calibri" w:hAnsi="Calibri" w:cs="Calibri"/>
          <w:color w:val="000000" w:themeColor="text1"/>
        </w:rPr>
        <w:tab/>
      </w:r>
      <w:r>
        <w:rPr>
          <w:rFonts w:ascii="Calibri" w:eastAsia="Calibri" w:hAnsi="Calibri" w:cs="Calibri"/>
          <w:color w:val="000000" w:themeColor="text1"/>
        </w:rPr>
        <w:tab/>
        <w:t>Gross Domestic Product</w:t>
      </w:r>
    </w:p>
    <w:p w14:paraId="75070BF8"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GEF </w:t>
      </w:r>
      <w:r>
        <w:rPr>
          <w:rFonts w:ascii="Calibri" w:eastAsia="Calibri" w:hAnsi="Calibri" w:cs="Calibri"/>
          <w:color w:val="000000" w:themeColor="text1"/>
        </w:rPr>
        <w:tab/>
      </w:r>
      <w:r>
        <w:rPr>
          <w:rFonts w:ascii="Calibri" w:eastAsia="Calibri" w:hAnsi="Calibri" w:cs="Calibri"/>
          <w:color w:val="000000" w:themeColor="text1"/>
        </w:rPr>
        <w:tab/>
        <w:t>Global Environment Facility</w:t>
      </w:r>
    </w:p>
    <w:p w14:paraId="75070BF9"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GIZ </w:t>
      </w:r>
      <w:r>
        <w:rPr>
          <w:rFonts w:ascii="Calibri" w:eastAsia="Calibri" w:hAnsi="Calibri" w:cs="Calibri"/>
          <w:color w:val="000000" w:themeColor="text1"/>
        </w:rPr>
        <w:tab/>
      </w:r>
      <w:r>
        <w:rPr>
          <w:rFonts w:ascii="Calibri" w:eastAsia="Calibri" w:hAnsi="Calibri" w:cs="Calibri"/>
          <w:color w:val="000000" w:themeColor="text1"/>
        </w:rPr>
        <w:tab/>
        <w:t>Deutsche Gesellschaft fur Internationale Zusammenarbeit</w:t>
      </w:r>
    </w:p>
    <w:p w14:paraId="75070BFA"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HCF </w:t>
      </w:r>
      <w:r>
        <w:rPr>
          <w:rFonts w:ascii="Calibri" w:eastAsia="Calibri" w:hAnsi="Calibri" w:cs="Calibri"/>
          <w:color w:val="000000" w:themeColor="text1"/>
        </w:rPr>
        <w:tab/>
      </w:r>
      <w:r>
        <w:rPr>
          <w:rFonts w:ascii="Calibri" w:eastAsia="Calibri" w:hAnsi="Calibri" w:cs="Calibri"/>
          <w:color w:val="000000" w:themeColor="text1"/>
        </w:rPr>
        <w:tab/>
        <w:t>Healthcare Facilities</w:t>
      </w:r>
    </w:p>
    <w:p w14:paraId="75070BFB"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HQ</w:t>
      </w:r>
      <w:r>
        <w:rPr>
          <w:rFonts w:ascii="Calibri" w:eastAsia="Calibri" w:hAnsi="Calibri" w:cs="Calibri"/>
          <w:color w:val="000000" w:themeColor="text1"/>
        </w:rPr>
        <w:tab/>
      </w:r>
      <w:r>
        <w:rPr>
          <w:rFonts w:ascii="Calibri" w:eastAsia="Calibri" w:hAnsi="Calibri" w:cs="Calibri"/>
          <w:color w:val="000000" w:themeColor="text1"/>
        </w:rPr>
        <w:tab/>
        <w:t>Headquarters</w:t>
      </w:r>
    </w:p>
    <w:p w14:paraId="75070BFC" w14:textId="77777777" w:rsidR="002B060A" w:rsidRDefault="006040A7" w:rsidP="00C07A0A">
      <w:pPr>
        <w:spacing w:before="159" w:after="159"/>
        <w:textAlignment w:val="baseline"/>
        <w:rPr>
          <w:rFonts w:ascii="Calibri" w:hAnsi="Calibri" w:cs="Calibri"/>
        </w:rPr>
      </w:pPr>
      <w:r>
        <w:rPr>
          <w:rFonts w:ascii="Calibri" w:eastAsia="Calibri" w:hAnsi="Calibri" w:cs="Calibri"/>
          <w:color w:val="000000" w:themeColor="text1"/>
        </w:rPr>
        <w:t xml:space="preserve">HNAP </w:t>
      </w:r>
      <w:r>
        <w:rPr>
          <w:rFonts w:ascii="Calibri" w:eastAsia="Calibri" w:hAnsi="Calibri" w:cs="Calibri"/>
          <w:color w:val="000000" w:themeColor="text1"/>
        </w:rPr>
        <w:tab/>
      </w:r>
      <w:r>
        <w:rPr>
          <w:rFonts w:ascii="Calibri" w:eastAsia="Calibri" w:hAnsi="Calibri" w:cs="Calibri"/>
          <w:color w:val="000000" w:themeColor="text1"/>
        </w:rPr>
        <w:tab/>
        <w:t>Health-National Adaptation Pla</w:t>
      </w:r>
      <w:r>
        <w:rPr>
          <w:rFonts w:ascii="Calibri" w:eastAsia="Helvetica" w:hAnsi="Calibri" w:cs="Calibri"/>
          <w:color w:val="000000" w:themeColor="text1"/>
          <w:sz w:val="15"/>
          <w:szCs w:val="15"/>
        </w:rPr>
        <w:t>n</w:t>
      </w:r>
    </w:p>
    <w:p w14:paraId="75070BFD"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LDC </w:t>
      </w:r>
      <w:r>
        <w:rPr>
          <w:rFonts w:ascii="Calibri" w:eastAsia="Calibri" w:hAnsi="Calibri" w:cs="Calibri"/>
          <w:color w:val="000000" w:themeColor="text1"/>
        </w:rPr>
        <w:tab/>
      </w:r>
      <w:r>
        <w:rPr>
          <w:rFonts w:ascii="Calibri" w:eastAsia="Calibri" w:hAnsi="Calibri" w:cs="Calibri"/>
          <w:color w:val="000000" w:themeColor="text1"/>
        </w:rPr>
        <w:tab/>
        <w:t>Least Developed Country</w:t>
      </w:r>
    </w:p>
    <w:p w14:paraId="75070BFE"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LDCF </w:t>
      </w:r>
      <w:r>
        <w:rPr>
          <w:rFonts w:ascii="Calibri" w:eastAsia="Calibri" w:hAnsi="Calibri" w:cs="Calibri"/>
          <w:color w:val="000000" w:themeColor="text1"/>
        </w:rPr>
        <w:tab/>
      </w:r>
      <w:r>
        <w:rPr>
          <w:rFonts w:ascii="Calibri" w:eastAsia="Calibri" w:hAnsi="Calibri" w:cs="Calibri"/>
          <w:color w:val="000000" w:themeColor="text1"/>
        </w:rPr>
        <w:tab/>
        <w:t>Least Developed Countries Fund</w:t>
      </w:r>
    </w:p>
    <w:p w14:paraId="75070BFF"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MoH </w:t>
      </w:r>
      <w:r>
        <w:rPr>
          <w:rFonts w:ascii="Calibri" w:eastAsia="Calibri" w:hAnsi="Calibri" w:cs="Calibri"/>
          <w:color w:val="000000" w:themeColor="text1"/>
        </w:rPr>
        <w:tab/>
      </w:r>
      <w:r>
        <w:rPr>
          <w:rFonts w:ascii="Calibri" w:eastAsia="Calibri" w:hAnsi="Calibri" w:cs="Calibri"/>
          <w:color w:val="000000" w:themeColor="text1"/>
        </w:rPr>
        <w:tab/>
        <w:t>Ministry of Health</w:t>
      </w:r>
    </w:p>
    <w:p w14:paraId="75070C00"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MOU </w:t>
      </w:r>
      <w:r>
        <w:rPr>
          <w:rFonts w:ascii="Calibri" w:eastAsia="Calibri" w:hAnsi="Calibri" w:cs="Calibri"/>
          <w:color w:val="000000" w:themeColor="text1"/>
        </w:rPr>
        <w:tab/>
      </w:r>
      <w:r>
        <w:rPr>
          <w:rFonts w:ascii="Calibri" w:eastAsia="Calibri" w:hAnsi="Calibri" w:cs="Calibri"/>
          <w:color w:val="000000" w:themeColor="text1"/>
        </w:rPr>
        <w:tab/>
        <w:t>Memorandum of Understanding</w:t>
      </w:r>
    </w:p>
    <w:p w14:paraId="75070C01"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MTR </w:t>
      </w:r>
      <w:r>
        <w:rPr>
          <w:rFonts w:ascii="Calibri" w:eastAsia="Calibri" w:hAnsi="Calibri" w:cs="Calibri"/>
          <w:color w:val="000000" w:themeColor="text1"/>
        </w:rPr>
        <w:tab/>
      </w:r>
      <w:r>
        <w:rPr>
          <w:rFonts w:ascii="Calibri" w:eastAsia="Calibri" w:hAnsi="Calibri" w:cs="Calibri"/>
          <w:color w:val="000000" w:themeColor="text1"/>
        </w:rPr>
        <w:tab/>
        <w:t>Mid-Term Review</w:t>
      </w:r>
    </w:p>
    <w:p w14:paraId="75070C02"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NAP </w:t>
      </w:r>
      <w:r>
        <w:rPr>
          <w:rFonts w:ascii="Calibri" w:eastAsia="Calibri" w:hAnsi="Calibri" w:cs="Calibri"/>
          <w:color w:val="000000" w:themeColor="text1"/>
        </w:rPr>
        <w:tab/>
      </w:r>
      <w:r>
        <w:rPr>
          <w:rFonts w:ascii="Calibri" w:eastAsia="Calibri" w:hAnsi="Calibri" w:cs="Calibri"/>
          <w:color w:val="000000" w:themeColor="text1"/>
        </w:rPr>
        <w:tab/>
        <w:t>National Adaptation Plan</w:t>
      </w:r>
    </w:p>
    <w:p w14:paraId="75070C03"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NAPA </w:t>
      </w:r>
      <w:r>
        <w:rPr>
          <w:rFonts w:ascii="Calibri" w:eastAsia="Calibri" w:hAnsi="Calibri" w:cs="Calibri"/>
          <w:color w:val="000000" w:themeColor="text1"/>
        </w:rPr>
        <w:tab/>
      </w:r>
      <w:r>
        <w:rPr>
          <w:rFonts w:ascii="Calibri" w:eastAsia="Calibri" w:hAnsi="Calibri" w:cs="Calibri"/>
          <w:color w:val="000000" w:themeColor="text1"/>
        </w:rPr>
        <w:tab/>
        <w:t>National Adaptation Programme of Action</w:t>
      </w:r>
    </w:p>
    <w:p w14:paraId="75070C04"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NAP-GSP </w:t>
      </w:r>
      <w:r>
        <w:rPr>
          <w:rFonts w:ascii="Calibri" w:eastAsia="Calibri" w:hAnsi="Calibri" w:cs="Calibri"/>
          <w:color w:val="000000" w:themeColor="text1"/>
        </w:rPr>
        <w:tab/>
        <w:t>NAP – Global Support Programme</w:t>
      </w:r>
    </w:p>
    <w:p w14:paraId="75070C05"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PAC </w:t>
      </w:r>
      <w:r>
        <w:rPr>
          <w:rFonts w:ascii="Calibri" w:eastAsia="Calibri" w:hAnsi="Calibri" w:cs="Calibri"/>
          <w:color w:val="000000" w:themeColor="text1"/>
        </w:rPr>
        <w:tab/>
      </w:r>
      <w:r>
        <w:rPr>
          <w:rFonts w:ascii="Calibri" w:eastAsia="Calibri" w:hAnsi="Calibri" w:cs="Calibri"/>
          <w:color w:val="000000" w:themeColor="text1"/>
        </w:rPr>
        <w:tab/>
        <w:t>Project Appraisal Committee</w:t>
      </w:r>
    </w:p>
    <w:p w14:paraId="75070C06"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PIF </w:t>
      </w:r>
      <w:r>
        <w:rPr>
          <w:rFonts w:ascii="Calibri" w:eastAsia="Calibri" w:hAnsi="Calibri" w:cs="Calibri"/>
          <w:color w:val="000000" w:themeColor="text1"/>
        </w:rPr>
        <w:tab/>
      </w:r>
      <w:r>
        <w:rPr>
          <w:rFonts w:ascii="Calibri" w:eastAsia="Calibri" w:hAnsi="Calibri" w:cs="Calibri"/>
          <w:color w:val="000000" w:themeColor="text1"/>
        </w:rPr>
        <w:tab/>
        <w:t>Project Identification Form</w:t>
      </w:r>
    </w:p>
    <w:p w14:paraId="75070C07"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PIR </w:t>
      </w:r>
      <w:r>
        <w:rPr>
          <w:rFonts w:ascii="Calibri" w:eastAsia="Calibri" w:hAnsi="Calibri" w:cs="Calibri"/>
          <w:color w:val="000000" w:themeColor="text1"/>
        </w:rPr>
        <w:tab/>
      </w:r>
      <w:r>
        <w:rPr>
          <w:rFonts w:ascii="Calibri" w:eastAsia="Calibri" w:hAnsi="Calibri" w:cs="Calibri"/>
          <w:color w:val="000000" w:themeColor="text1"/>
        </w:rPr>
        <w:tab/>
        <w:t>Project Implementation Report</w:t>
      </w:r>
    </w:p>
    <w:p w14:paraId="75070C08"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PMC </w:t>
      </w:r>
      <w:r>
        <w:rPr>
          <w:rFonts w:ascii="Calibri" w:eastAsia="Calibri" w:hAnsi="Calibri" w:cs="Calibri"/>
          <w:color w:val="000000" w:themeColor="text1"/>
        </w:rPr>
        <w:tab/>
      </w:r>
      <w:r>
        <w:rPr>
          <w:rFonts w:ascii="Calibri" w:eastAsia="Calibri" w:hAnsi="Calibri" w:cs="Calibri"/>
          <w:color w:val="000000" w:themeColor="text1"/>
        </w:rPr>
        <w:tab/>
        <w:t>Project Management Cost</w:t>
      </w:r>
    </w:p>
    <w:p w14:paraId="75070C09"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PMU</w:t>
      </w:r>
      <w:r>
        <w:rPr>
          <w:rFonts w:ascii="Calibri" w:eastAsia="Calibri" w:hAnsi="Calibri" w:cs="Calibri"/>
          <w:color w:val="000000" w:themeColor="text1"/>
        </w:rPr>
        <w:tab/>
      </w:r>
      <w:r>
        <w:rPr>
          <w:rFonts w:ascii="Calibri" w:eastAsia="Calibri" w:hAnsi="Calibri" w:cs="Calibri"/>
          <w:color w:val="000000" w:themeColor="text1"/>
        </w:rPr>
        <w:tab/>
        <w:t>Project Management Unit</w:t>
      </w:r>
    </w:p>
    <w:p w14:paraId="75070C0A"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PPG </w:t>
      </w:r>
      <w:r>
        <w:rPr>
          <w:rFonts w:ascii="Calibri" w:eastAsia="Calibri" w:hAnsi="Calibri" w:cs="Calibri"/>
          <w:color w:val="000000" w:themeColor="text1"/>
        </w:rPr>
        <w:tab/>
      </w:r>
      <w:r>
        <w:rPr>
          <w:rFonts w:ascii="Calibri" w:eastAsia="Calibri" w:hAnsi="Calibri" w:cs="Calibri"/>
          <w:color w:val="000000" w:themeColor="text1"/>
        </w:rPr>
        <w:tab/>
        <w:t>Project Preparation Grant</w:t>
      </w:r>
    </w:p>
    <w:p w14:paraId="75070C0B"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ProDoc </w:t>
      </w:r>
      <w:r>
        <w:rPr>
          <w:rFonts w:ascii="Calibri" w:eastAsia="Calibri" w:hAnsi="Calibri" w:cs="Calibri"/>
          <w:color w:val="000000" w:themeColor="text1"/>
        </w:rPr>
        <w:tab/>
        <w:t>Proposal Document</w:t>
      </w:r>
    </w:p>
    <w:p w14:paraId="75070C0C"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RO</w:t>
      </w:r>
      <w:r>
        <w:rPr>
          <w:rFonts w:ascii="Calibri" w:eastAsia="Calibri" w:hAnsi="Calibri" w:cs="Calibri"/>
          <w:color w:val="000000" w:themeColor="text1"/>
        </w:rPr>
        <w:tab/>
      </w:r>
      <w:r>
        <w:rPr>
          <w:rFonts w:ascii="Calibri" w:eastAsia="Calibri" w:hAnsi="Calibri" w:cs="Calibri"/>
          <w:color w:val="000000" w:themeColor="text1"/>
        </w:rPr>
        <w:tab/>
        <w:t>Regional Office</w:t>
      </w:r>
    </w:p>
    <w:p w14:paraId="75070C0D"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lastRenderedPageBreak/>
        <w:t xml:space="preserve">SDG </w:t>
      </w:r>
      <w:r>
        <w:rPr>
          <w:rFonts w:ascii="Calibri" w:eastAsia="Calibri" w:hAnsi="Calibri" w:cs="Calibri"/>
          <w:color w:val="000000" w:themeColor="text1"/>
        </w:rPr>
        <w:tab/>
      </w:r>
      <w:r>
        <w:rPr>
          <w:rFonts w:ascii="Calibri" w:eastAsia="Calibri" w:hAnsi="Calibri" w:cs="Calibri"/>
          <w:color w:val="000000" w:themeColor="text1"/>
        </w:rPr>
        <w:tab/>
        <w:t>Sustainable Development Goal</w:t>
      </w:r>
    </w:p>
    <w:p w14:paraId="75070C0E"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SEAR</w:t>
      </w:r>
      <w:r>
        <w:rPr>
          <w:rFonts w:ascii="Calibri" w:eastAsia="Calibri" w:hAnsi="Calibri" w:cs="Calibri"/>
          <w:color w:val="000000" w:themeColor="text1"/>
        </w:rPr>
        <w:tab/>
      </w:r>
      <w:r>
        <w:rPr>
          <w:rFonts w:ascii="Calibri" w:eastAsia="Calibri" w:hAnsi="Calibri" w:cs="Calibri"/>
          <w:color w:val="000000" w:themeColor="text1"/>
        </w:rPr>
        <w:tab/>
        <w:t>South-East Asia Region</w:t>
      </w:r>
    </w:p>
    <w:p w14:paraId="75070C0F"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SOP</w:t>
      </w:r>
      <w:r>
        <w:rPr>
          <w:rFonts w:ascii="Calibri" w:eastAsia="Calibri" w:hAnsi="Calibri" w:cs="Calibri"/>
          <w:color w:val="000000" w:themeColor="text1"/>
        </w:rPr>
        <w:tab/>
      </w:r>
      <w:r>
        <w:rPr>
          <w:rFonts w:ascii="Calibri" w:eastAsia="Calibri" w:hAnsi="Calibri" w:cs="Calibri"/>
          <w:color w:val="000000" w:themeColor="text1"/>
        </w:rPr>
        <w:tab/>
        <w:t>Standard Operating Procedure</w:t>
      </w:r>
    </w:p>
    <w:p w14:paraId="75070C10"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TE </w:t>
      </w:r>
      <w:r>
        <w:rPr>
          <w:rFonts w:ascii="Calibri" w:eastAsia="Calibri" w:hAnsi="Calibri" w:cs="Calibri"/>
          <w:color w:val="000000" w:themeColor="text1"/>
        </w:rPr>
        <w:tab/>
      </w:r>
      <w:r>
        <w:rPr>
          <w:rFonts w:ascii="Calibri" w:eastAsia="Calibri" w:hAnsi="Calibri" w:cs="Calibri"/>
          <w:color w:val="000000" w:themeColor="text1"/>
        </w:rPr>
        <w:tab/>
        <w:t>Terminal Evaluation</w:t>
      </w:r>
    </w:p>
    <w:p w14:paraId="75070C11"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TOR </w:t>
      </w:r>
      <w:r>
        <w:rPr>
          <w:rFonts w:ascii="Calibri" w:eastAsia="Calibri" w:hAnsi="Calibri" w:cs="Calibri"/>
          <w:color w:val="000000" w:themeColor="text1"/>
        </w:rPr>
        <w:tab/>
      </w:r>
      <w:r>
        <w:rPr>
          <w:rFonts w:ascii="Calibri" w:eastAsia="Calibri" w:hAnsi="Calibri" w:cs="Calibri"/>
          <w:color w:val="000000" w:themeColor="text1"/>
        </w:rPr>
        <w:tab/>
        <w:t>Terms of Reference</w:t>
      </w:r>
    </w:p>
    <w:p w14:paraId="75070C12"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TWG </w:t>
      </w:r>
      <w:r>
        <w:rPr>
          <w:rFonts w:ascii="Calibri" w:eastAsia="Calibri" w:hAnsi="Calibri" w:cs="Calibri"/>
          <w:color w:val="000000" w:themeColor="text1"/>
        </w:rPr>
        <w:tab/>
      </w:r>
      <w:r>
        <w:rPr>
          <w:rFonts w:ascii="Calibri" w:eastAsia="Calibri" w:hAnsi="Calibri" w:cs="Calibri"/>
          <w:color w:val="000000" w:themeColor="text1"/>
        </w:rPr>
        <w:tab/>
        <w:t>Technical Working Group</w:t>
      </w:r>
    </w:p>
    <w:p w14:paraId="75070C13"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UNDP </w:t>
      </w:r>
      <w:r>
        <w:rPr>
          <w:rFonts w:ascii="Calibri" w:eastAsia="Calibri" w:hAnsi="Calibri" w:cs="Calibri"/>
          <w:color w:val="000000" w:themeColor="text1"/>
        </w:rPr>
        <w:tab/>
      </w:r>
      <w:r>
        <w:rPr>
          <w:rFonts w:ascii="Calibri" w:eastAsia="Calibri" w:hAnsi="Calibri" w:cs="Calibri"/>
          <w:color w:val="000000" w:themeColor="text1"/>
        </w:rPr>
        <w:tab/>
        <w:t>United Nations Development Programme</w:t>
      </w:r>
    </w:p>
    <w:p w14:paraId="75070C14"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UNFCCC </w:t>
      </w:r>
      <w:r>
        <w:rPr>
          <w:rFonts w:ascii="Calibri" w:eastAsia="Calibri" w:hAnsi="Calibri" w:cs="Calibri"/>
          <w:color w:val="000000" w:themeColor="text1"/>
        </w:rPr>
        <w:tab/>
        <w:t xml:space="preserve">United Nations Framework Convention on Climate Change </w:t>
      </w:r>
    </w:p>
    <w:p w14:paraId="75070C15"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WASH </w:t>
      </w:r>
      <w:r>
        <w:rPr>
          <w:rFonts w:ascii="Calibri" w:eastAsia="Calibri" w:hAnsi="Calibri" w:cs="Calibri"/>
          <w:color w:val="000000" w:themeColor="text1"/>
        </w:rPr>
        <w:tab/>
      </w:r>
      <w:r>
        <w:rPr>
          <w:rFonts w:ascii="Calibri" w:eastAsia="Calibri" w:hAnsi="Calibri" w:cs="Calibri"/>
          <w:color w:val="000000" w:themeColor="text1"/>
        </w:rPr>
        <w:tab/>
        <w:t>Water, Sanitation and Hygiene</w:t>
      </w:r>
    </w:p>
    <w:p w14:paraId="75070C16"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WASHFIT </w:t>
      </w:r>
      <w:r>
        <w:rPr>
          <w:rFonts w:ascii="Calibri" w:eastAsia="Calibri" w:hAnsi="Calibri" w:cs="Calibri"/>
          <w:color w:val="000000" w:themeColor="text1"/>
        </w:rPr>
        <w:tab/>
        <w:t>WASH Facility Improvement Tool</w:t>
      </w:r>
    </w:p>
    <w:p w14:paraId="75070C17"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WPR</w:t>
      </w:r>
      <w:r>
        <w:rPr>
          <w:rFonts w:ascii="Calibri" w:eastAsia="Calibri" w:hAnsi="Calibri" w:cs="Calibri"/>
          <w:color w:val="000000" w:themeColor="text1"/>
        </w:rPr>
        <w:tab/>
      </w:r>
      <w:r>
        <w:rPr>
          <w:rFonts w:ascii="Calibri" w:eastAsia="Calibri" w:hAnsi="Calibri" w:cs="Calibri"/>
          <w:color w:val="000000" w:themeColor="text1"/>
        </w:rPr>
        <w:tab/>
        <w:t>Western Pacific Region</w:t>
      </w:r>
    </w:p>
    <w:p w14:paraId="75070C18"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WSP </w:t>
      </w:r>
      <w:r>
        <w:rPr>
          <w:rFonts w:ascii="Calibri" w:eastAsia="Calibri" w:hAnsi="Calibri" w:cs="Calibri"/>
          <w:color w:val="000000" w:themeColor="text1"/>
        </w:rPr>
        <w:tab/>
      </w:r>
      <w:r>
        <w:rPr>
          <w:rFonts w:ascii="Calibri" w:eastAsia="Calibri" w:hAnsi="Calibri" w:cs="Calibri"/>
          <w:color w:val="000000" w:themeColor="text1"/>
        </w:rPr>
        <w:tab/>
        <w:t>Water Safety Plan</w:t>
      </w:r>
    </w:p>
    <w:p w14:paraId="75070C19" w14:textId="77777777" w:rsidR="002B060A" w:rsidRDefault="006040A7" w:rsidP="00C07A0A">
      <w:pPr>
        <w:spacing w:before="159" w:after="159"/>
        <w:textAlignment w:val="baseline"/>
        <w:rPr>
          <w:rFonts w:ascii="Calibri" w:eastAsia="Calibri" w:hAnsi="Calibri" w:cs="Calibri"/>
          <w:color w:val="000000" w:themeColor="text1"/>
        </w:rPr>
      </w:pPr>
      <w:r>
        <w:rPr>
          <w:rFonts w:ascii="Calibri" w:eastAsia="Calibri" w:hAnsi="Calibri" w:cs="Calibri"/>
          <w:color w:val="000000" w:themeColor="text1"/>
        </w:rPr>
        <w:t xml:space="preserve">WHO </w:t>
      </w:r>
      <w:r>
        <w:rPr>
          <w:rFonts w:ascii="Calibri" w:eastAsia="Calibri" w:hAnsi="Calibri" w:cs="Calibri"/>
          <w:color w:val="000000" w:themeColor="text1"/>
        </w:rPr>
        <w:tab/>
      </w:r>
      <w:r>
        <w:rPr>
          <w:rFonts w:ascii="Calibri" w:eastAsia="Calibri" w:hAnsi="Calibri" w:cs="Calibri"/>
          <w:color w:val="000000" w:themeColor="text1"/>
        </w:rPr>
        <w:tab/>
        <w:t>World Health Organization</w:t>
      </w:r>
    </w:p>
    <w:p w14:paraId="75070C1A" w14:textId="77777777" w:rsidR="002B060A" w:rsidRDefault="006040A7" w:rsidP="00C07A0A">
      <w:pPr>
        <w:pStyle w:val="Heading3"/>
        <w:rPr>
          <w:rStyle w:val="normaltextrun"/>
          <w:rFonts w:ascii="Calibri" w:hAnsi="Calibri" w:cs="Calibri"/>
          <w:sz w:val="18"/>
          <w:szCs w:val="18"/>
        </w:rPr>
      </w:pPr>
      <w:r w:rsidRPr="00CB0E8D">
        <w:rPr>
          <w:rStyle w:val="normaltextrun"/>
          <w:rFonts w:ascii="Calibri" w:hAnsi="Calibri"/>
          <w:color w:val="000000"/>
          <w:sz w:val="20"/>
        </w:rPr>
        <w:br w:type="page"/>
      </w:r>
    </w:p>
    <w:p w14:paraId="75070C1B" w14:textId="77777777" w:rsidR="002B060A" w:rsidRDefault="006040A7" w:rsidP="00C07A0A">
      <w:pPr>
        <w:pStyle w:val="Heading2"/>
        <w:rPr>
          <w:rStyle w:val="normaltextrun"/>
          <w:rFonts w:ascii="Calibri" w:hAnsi="Calibri" w:cs="Calibri"/>
          <w:b/>
          <w:color w:val="094183"/>
        </w:rPr>
      </w:pPr>
      <w:bookmarkStart w:id="1" w:name="_Toc173429955"/>
      <w:r>
        <w:rPr>
          <w:rStyle w:val="normaltextrun"/>
          <w:rFonts w:ascii="Calibri" w:hAnsi="Calibri" w:cs="Calibri"/>
          <w:b/>
          <w:color w:val="094183"/>
        </w:rPr>
        <w:lastRenderedPageBreak/>
        <w:t>Authors</w:t>
      </w:r>
      <w:bookmarkEnd w:id="1"/>
    </w:p>
    <w:p w14:paraId="75070C1C" w14:textId="77777777" w:rsidR="002B060A" w:rsidRDefault="006040A7" w:rsidP="00C07A0A">
      <w:pPr>
        <w:spacing w:after="120" w:line="276" w:lineRule="auto"/>
        <w:jc w:val="both"/>
        <w:rPr>
          <w:rFonts w:ascii="Calibri" w:eastAsiaTheme="minorEastAsia" w:hAnsi="Calibri" w:cs="Calibri"/>
        </w:rPr>
      </w:pPr>
      <w:r>
        <w:rPr>
          <w:rFonts w:ascii="Calibri" w:eastAsiaTheme="minorEastAsia" w:hAnsi="Calibri" w:cs="Calibri"/>
        </w:rPr>
        <w:t xml:space="preserve">The Terminal Evaluation was coordinated and implemented by a multi-disciplinary team of experts with extensive experience across climate change and health programs, and technical expertise in participatory research and evaluation methods, including in diverse cultural, geographic and multi-stakeholder settings. </w:t>
      </w:r>
    </w:p>
    <w:p w14:paraId="75070C1D" w14:textId="77777777" w:rsidR="002B060A" w:rsidRDefault="006040A7" w:rsidP="00C07A0A">
      <w:pPr>
        <w:spacing w:after="120" w:line="276" w:lineRule="auto"/>
        <w:jc w:val="both"/>
        <w:rPr>
          <w:rFonts w:ascii="Calibri" w:eastAsiaTheme="minorEastAsia" w:hAnsi="Calibri" w:cs="Calibri"/>
        </w:rPr>
      </w:pPr>
      <w:r>
        <w:rPr>
          <w:rFonts w:ascii="Calibri" w:eastAsiaTheme="minorEastAsia" w:hAnsi="Calibri" w:cs="Calibri"/>
        </w:rPr>
        <w:t xml:space="preserve">Core team members and responsibilities included: </w:t>
      </w:r>
    </w:p>
    <w:p w14:paraId="75070C1E" w14:textId="77777777" w:rsidR="002B060A" w:rsidRDefault="006040A7" w:rsidP="00C07A0A">
      <w:pPr>
        <w:pStyle w:val="ListParagraph"/>
        <w:numPr>
          <w:ilvl w:val="0"/>
          <w:numId w:val="23"/>
        </w:numPr>
        <w:spacing w:after="120" w:line="276" w:lineRule="auto"/>
        <w:ind w:left="714" w:hanging="357"/>
        <w:rPr>
          <w:rFonts w:ascii="Calibri" w:eastAsiaTheme="minorEastAsia" w:hAnsi="Calibri" w:cs="Calibri"/>
        </w:rPr>
      </w:pPr>
      <w:r>
        <w:rPr>
          <w:rFonts w:ascii="Calibri" w:eastAsiaTheme="minorEastAsia" w:hAnsi="Calibri" w:cs="Calibri"/>
          <w:b/>
          <w:bCs/>
        </w:rPr>
        <w:t>Prof. Kathryn Bowen (KB)</w:t>
      </w:r>
      <w:r>
        <w:rPr>
          <w:rFonts w:ascii="Calibri" w:eastAsiaTheme="minorEastAsia" w:hAnsi="Calibri" w:cs="Calibri"/>
        </w:rPr>
        <w:t>, University of Melbourne: Evaluation lead and technical advisor</w:t>
      </w:r>
    </w:p>
    <w:p w14:paraId="75070C1F" w14:textId="77777777" w:rsidR="002B060A" w:rsidRDefault="006040A7" w:rsidP="00C07A0A">
      <w:pPr>
        <w:pStyle w:val="ListParagraph"/>
        <w:numPr>
          <w:ilvl w:val="0"/>
          <w:numId w:val="23"/>
        </w:numPr>
        <w:spacing w:after="120" w:line="276" w:lineRule="auto"/>
        <w:ind w:left="714" w:hanging="357"/>
        <w:rPr>
          <w:rFonts w:ascii="Calibri" w:eastAsiaTheme="minorEastAsia" w:hAnsi="Calibri" w:cs="Calibri"/>
        </w:rPr>
      </w:pPr>
      <w:r>
        <w:rPr>
          <w:rFonts w:ascii="Calibri" w:eastAsiaTheme="minorEastAsia" w:hAnsi="Calibri" w:cs="Calibri"/>
          <w:b/>
          <w:bCs/>
        </w:rPr>
        <w:t>Prof. Kristie L Ebi (KE)</w:t>
      </w:r>
      <w:r w:rsidRPr="00CB0E8D">
        <w:rPr>
          <w:rStyle w:val="FootnoteReference"/>
          <w:rFonts w:ascii="Calibri" w:hAnsi="Calibri"/>
        </w:rPr>
        <w:footnoteReference w:id="2"/>
      </w:r>
      <w:r>
        <w:rPr>
          <w:rFonts w:ascii="Calibri" w:eastAsiaTheme="minorEastAsia" w:hAnsi="Calibri" w:cs="Calibri"/>
        </w:rPr>
        <w:t>, University of Washington: Technical advisor</w:t>
      </w:r>
    </w:p>
    <w:p w14:paraId="75070C20" w14:textId="77777777" w:rsidR="002B060A" w:rsidRDefault="006040A7" w:rsidP="00C07A0A">
      <w:pPr>
        <w:pStyle w:val="ListParagraph"/>
        <w:numPr>
          <w:ilvl w:val="0"/>
          <w:numId w:val="23"/>
        </w:numPr>
        <w:spacing w:after="120" w:line="276" w:lineRule="auto"/>
        <w:ind w:left="714" w:hanging="357"/>
        <w:rPr>
          <w:rFonts w:ascii="Calibri" w:eastAsiaTheme="minorEastAsia" w:hAnsi="Calibri" w:cs="Calibri"/>
        </w:rPr>
      </w:pPr>
      <w:r>
        <w:rPr>
          <w:rFonts w:ascii="Calibri" w:eastAsiaTheme="minorEastAsia" w:hAnsi="Calibri" w:cs="Calibri"/>
          <w:b/>
          <w:bCs/>
        </w:rPr>
        <w:t>Dr. Kerryn O’Rourke (KO)</w:t>
      </w:r>
      <w:r>
        <w:rPr>
          <w:rFonts w:ascii="Calibri" w:eastAsiaTheme="minorEastAsia" w:hAnsi="Calibri" w:cs="Calibri"/>
        </w:rPr>
        <w:t>, University of Melbourne and Charles Darwin University: Technical advisor</w:t>
      </w:r>
    </w:p>
    <w:p w14:paraId="75070C21" w14:textId="77777777" w:rsidR="002B060A" w:rsidRDefault="006040A7" w:rsidP="00C07A0A">
      <w:pPr>
        <w:pStyle w:val="ListParagraph"/>
        <w:numPr>
          <w:ilvl w:val="0"/>
          <w:numId w:val="23"/>
        </w:numPr>
        <w:spacing w:after="120" w:line="276" w:lineRule="auto"/>
        <w:ind w:left="714" w:hanging="357"/>
        <w:rPr>
          <w:rFonts w:ascii="Calibri" w:eastAsiaTheme="minorEastAsia" w:hAnsi="Calibri" w:cs="Calibri"/>
        </w:rPr>
      </w:pPr>
      <w:r>
        <w:rPr>
          <w:rFonts w:ascii="Calibri" w:eastAsiaTheme="minorEastAsia" w:hAnsi="Calibri" w:cs="Calibri"/>
          <w:b/>
          <w:bCs/>
        </w:rPr>
        <w:t>Elise Moo (EM)</w:t>
      </w:r>
      <w:r>
        <w:rPr>
          <w:rFonts w:ascii="Calibri" w:eastAsiaTheme="minorEastAsia" w:hAnsi="Calibri" w:cs="Calibri"/>
        </w:rPr>
        <w:t>, University of Melbourne: Evaluation coordinator and data collection lead</w:t>
      </w:r>
    </w:p>
    <w:p w14:paraId="75070C22" w14:textId="77777777" w:rsidR="002B060A" w:rsidRDefault="006040A7" w:rsidP="00C07A0A">
      <w:pPr>
        <w:pStyle w:val="ListParagraph"/>
        <w:numPr>
          <w:ilvl w:val="0"/>
          <w:numId w:val="23"/>
        </w:numPr>
        <w:spacing w:after="120" w:line="276" w:lineRule="auto"/>
        <w:ind w:left="714" w:hanging="357"/>
        <w:rPr>
          <w:rFonts w:ascii="Calibri" w:eastAsiaTheme="minorEastAsia" w:hAnsi="Calibri" w:cs="Calibri"/>
        </w:rPr>
      </w:pPr>
      <w:r>
        <w:rPr>
          <w:rFonts w:ascii="Calibri" w:eastAsiaTheme="minorEastAsia" w:hAnsi="Calibri" w:cs="Calibri"/>
          <w:b/>
          <w:bCs/>
        </w:rPr>
        <w:t>Sarah Medcalf (SM)</w:t>
      </w:r>
      <w:r>
        <w:rPr>
          <w:rFonts w:ascii="Calibri" w:eastAsiaTheme="minorEastAsia" w:hAnsi="Calibri" w:cs="Calibri"/>
        </w:rPr>
        <w:t>, University of Melbourne Research assistant and data collection lead</w:t>
      </w:r>
    </w:p>
    <w:p w14:paraId="75070C23" w14:textId="77777777" w:rsidR="002B060A" w:rsidRDefault="006040A7" w:rsidP="00C07A0A">
      <w:pPr>
        <w:pStyle w:val="paragraph"/>
        <w:suppressAutoHyphens/>
        <w:spacing w:before="0" w:beforeAutospacing="0" w:after="0" w:afterAutospacing="0"/>
        <w:textAlignment w:val="baseline"/>
        <w:rPr>
          <w:rStyle w:val="normaltextrun"/>
          <w:rFonts w:ascii="Calibri" w:eastAsiaTheme="majorEastAsia" w:hAnsi="Calibri" w:cs="Calibri"/>
          <w:color w:val="094183"/>
        </w:rPr>
      </w:pPr>
      <w:r>
        <w:rPr>
          <w:rFonts w:ascii="Calibri" w:eastAsiaTheme="minorEastAsia" w:hAnsi="Calibri" w:cs="Calibri"/>
        </w:rPr>
        <w:t>The evaluation was funded under an Agreement for Performance of Work (Ref: 2024/1485817-0) between the World Health Organization and the University of Melbourne, Australia.</w:t>
      </w:r>
    </w:p>
    <w:p w14:paraId="75070C24" w14:textId="77777777" w:rsidR="002B060A" w:rsidRDefault="006040A7" w:rsidP="00C07A0A">
      <w:pPr>
        <w:pStyle w:val="Heading2"/>
        <w:rPr>
          <w:rStyle w:val="normaltextrun"/>
          <w:rFonts w:ascii="Calibri" w:hAnsi="Calibri" w:cs="Calibri"/>
          <w:b/>
          <w:bCs/>
          <w:color w:val="094183"/>
        </w:rPr>
      </w:pPr>
      <w:bookmarkStart w:id="2" w:name="_Toc173429956"/>
      <w:r>
        <w:rPr>
          <w:rStyle w:val="normaltextrun"/>
          <w:rFonts w:ascii="Calibri" w:hAnsi="Calibri" w:cs="Calibri"/>
          <w:b/>
          <w:color w:val="094183"/>
        </w:rPr>
        <w:t>Acknowledgements</w:t>
      </w:r>
      <w:bookmarkEnd w:id="2"/>
      <w:r>
        <w:rPr>
          <w:rStyle w:val="normaltextrun"/>
          <w:rFonts w:ascii="Calibri" w:hAnsi="Calibri" w:cs="Calibri"/>
          <w:b/>
          <w:color w:val="094183"/>
        </w:rPr>
        <w:t>   </w:t>
      </w:r>
    </w:p>
    <w:p w14:paraId="75070C25" w14:textId="77777777" w:rsidR="002B060A" w:rsidRDefault="006040A7" w:rsidP="00C07A0A">
      <w:pPr>
        <w:pStyle w:val="ListParagraph"/>
        <w:spacing w:after="120" w:line="276" w:lineRule="auto"/>
        <w:ind w:left="0"/>
        <w:jc w:val="both"/>
        <w:rPr>
          <w:rFonts w:ascii="Calibri" w:eastAsiaTheme="minorEastAsia" w:hAnsi="Calibri" w:cs="Calibri"/>
        </w:rPr>
      </w:pPr>
      <w:r>
        <w:rPr>
          <w:rFonts w:ascii="Calibri" w:eastAsiaTheme="minorEastAsia" w:hAnsi="Calibri" w:cs="Calibri"/>
        </w:rPr>
        <w:t xml:space="preserve">The authors would like to acknowledge and thank the World Health Organization and the United Nations Development Programme for facilitating access to information necessary to complete the terminal evaluation report. In particular, we would like to thank staff who helped coordinate stakeholder interviews and field visits to project countries, which added valuable implementation insights. </w:t>
      </w:r>
    </w:p>
    <w:p w14:paraId="75070C26" w14:textId="77777777" w:rsidR="002B060A" w:rsidRDefault="006040A7" w:rsidP="00C07A0A">
      <w:pPr>
        <w:pStyle w:val="ListParagraph"/>
        <w:spacing w:after="120" w:line="276" w:lineRule="auto"/>
        <w:ind w:left="0"/>
        <w:jc w:val="both"/>
        <w:rPr>
          <w:rFonts w:ascii="Calibri" w:eastAsiaTheme="minorEastAsia" w:hAnsi="Calibri" w:cs="Calibri"/>
        </w:rPr>
      </w:pPr>
      <w:r>
        <w:rPr>
          <w:rFonts w:ascii="Calibri" w:eastAsiaTheme="minorEastAsia" w:hAnsi="Calibri" w:cs="Calibri"/>
        </w:rPr>
        <w:br/>
        <w:t xml:space="preserve">We also extend our appreciation to all stakeholders who provided their time, expertise and input to the evaluation. </w:t>
      </w:r>
    </w:p>
    <w:p w14:paraId="75070C27" w14:textId="77777777" w:rsidR="002B060A" w:rsidRDefault="006040A7" w:rsidP="00C07A0A">
      <w:pPr>
        <w:rPr>
          <w:rStyle w:val="normaltextrun"/>
          <w:rFonts w:ascii="Calibri" w:eastAsiaTheme="majorEastAsia" w:hAnsi="Calibri" w:cs="Calibri"/>
          <w:b/>
          <w:color w:val="094183"/>
          <w:kern w:val="2"/>
          <w:sz w:val="32"/>
          <w:szCs w:val="32"/>
          <w:highlight w:val="lightGray"/>
          <w:lang w:eastAsia="en-US"/>
          <w14:ligatures w14:val="standardContextual"/>
        </w:rPr>
      </w:pPr>
      <w:r w:rsidRPr="00CB0E8D">
        <w:rPr>
          <w:rStyle w:val="normaltextrun"/>
          <w:rFonts w:ascii="Calibri" w:hAnsi="Calibri"/>
          <w:b/>
          <w:color w:val="094183"/>
          <w:kern w:val="2"/>
          <w:sz w:val="32"/>
          <w:highlight w:val="lightGray"/>
          <w14:ligatures w14:val="standardContextual"/>
        </w:rPr>
        <w:br w:type="page"/>
      </w:r>
    </w:p>
    <w:p w14:paraId="75070C28" w14:textId="77777777" w:rsidR="002B060A" w:rsidRDefault="006040A7" w:rsidP="00C07A0A">
      <w:pPr>
        <w:pStyle w:val="Heading2"/>
        <w:ind w:left="360"/>
        <w:rPr>
          <w:rStyle w:val="normaltextrun"/>
          <w:rFonts w:ascii="Calibri" w:hAnsi="Calibri" w:cs="Calibri"/>
          <w:b/>
          <w:color w:val="094183"/>
        </w:rPr>
      </w:pPr>
      <w:bookmarkStart w:id="3" w:name="_Toc173429957"/>
      <w:r>
        <w:rPr>
          <w:rStyle w:val="normaltextrun"/>
          <w:rFonts w:ascii="Calibri" w:hAnsi="Calibri" w:cs="Calibri"/>
          <w:b/>
          <w:color w:val="094183"/>
        </w:rPr>
        <w:lastRenderedPageBreak/>
        <w:t>1. Executive Summary</w:t>
      </w:r>
      <w:bookmarkEnd w:id="3"/>
      <w:r>
        <w:rPr>
          <w:rStyle w:val="normaltextrun"/>
          <w:rFonts w:ascii="Calibri" w:hAnsi="Calibri" w:cs="Calibri"/>
          <w:b/>
          <w:color w:val="094183"/>
        </w:rPr>
        <w:t xml:space="preserve"> </w:t>
      </w:r>
    </w:p>
    <w:p w14:paraId="75070C29" w14:textId="77777777" w:rsidR="002B060A" w:rsidRDefault="006040A7" w:rsidP="00C07A0A">
      <w:pPr>
        <w:pStyle w:val="Heading3"/>
        <w:numPr>
          <w:ilvl w:val="1"/>
          <w:numId w:val="29"/>
        </w:numPr>
        <w:rPr>
          <w:rFonts w:ascii="Calibri" w:hAnsi="Calibri" w:cs="Calibri"/>
          <w:b/>
        </w:rPr>
      </w:pPr>
      <w:bookmarkStart w:id="4" w:name="_Toc172299376"/>
      <w:bookmarkStart w:id="5" w:name="_Toc173429958"/>
      <w:r>
        <w:rPr>
          <w:rFonts w:ascii="Calibri" w:hAnsi="Calibri" w:cs="Calibri"/>
          <w:b/>
        </w:rPr>
        <w:t>Project Overview</w:t>
      </w:r>
      <w:bookmarkEnd w:id="4"/>
      <w:bookmarkEnd w:id="5"/>
    </w:p>
    <w:tbl>
      <w:tblPr>
        <w:tblStyle w:val="TableGrid"/>
        <w:tblW w:w="9209" w:type="dxa"/>
        <w:tblLayout w:type="fixed"/>
        <w:tblLook w:val="06A0" w:firstRow="1" w:lastRow="0" w:firstColumn="1" w:lastColumn="0" w:noHBand="1" w:noVBand="1"/>
      </w:tblPr>
      <w:tblGrid>
        <w:gridCol w:w="2263"/>
        <w:gridCol w:w="1560"/>
        <w:gridCol w:w="2250"/>
        <w:gridCol w:w="3136"/>
      </w:tblGrid>
      <w:tr w:rsidR="00CF77DE" w:rsidRPr="00FE2410" w14:paraId="17F527D8" w14:textId="77777777" w:rsidTr="009534A0">
        <w:trPr>
          <w:trHeight w:val="288"/>
        </w:trPr>
        <w:tc>
          <w:tcPr>
            <w:tcW w:w="2263" w:type="dxa"/>
            <w:shd w:val="clear" w:color="auto" w:fill="ADADAD" w:themeFill="background2" w:themeFillShade="BF"/>
          </w:tcPr>
          <w:p w14:paraId="61E7D878"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 xml:space="preserve">Project title </w:t>
            </w:r>
          </w:p>
          <w:p w14:paraId="16686FD4" w14:textId="77777777" w:rsidR="00CF77DE" w:rsidRPr="00FE2410" w:rsidRDefault="00CF77DE" w:rsidP="00C07A0A">
            <w:pPr>
              <w:rPr>
                <w:rFonts w:ascii="Calibri" w:eastAsia="Calibri" w:hAnsi="Calibri" w:cs="Calibri"/>
                <w:b/>
                <w:sz w:val="22"/>
                <w:szCs w:val="22"/>
              </w:rPr>
            </w:pPr>
          </w:p>
        </w:tc>
        <w:tc>
          <w:tcPr>
            <w:tcW w:w="6946" w:type="dxa"/>
            <w:gridSpan w:val="3"/>
          </w:tcPr>
          <w:p w14:paraId="3F96D1A3"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Building resilience of health systems in Asian LDCs to climate change </w:t>
            </w:r>
          </w:p>
        </w:tc>
      </w:tr>
      <w:tr w:rsidR="00CF77DE" w:rsidRPr="00FE2410" w14:paraId="73FED437" w14:textId="77777777" w:rsidTr="009534A0">
        <w:trPr>
          <w:trHeight w:val="300"/>
        </w:trPr>
        <w:tc>
          <w:tcPr>
            <w:tcW w:w="2263" w:type="dxa"/>
            <w:shd w:val="clear" w:color="auto" w:fill="E8E8E8" w:themeFill="background2"/>
          </w:tcPr>
          <w:p w14:paraId="330643D7"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UNDP Project ID (PIMS #)</w:t>
            </w:r>
          </w:p>
        </w:tc>
        <w:tc>
          <w:tcPr>
            <w:tcW w:w="1560" w:type="dxa"/>
          </w:tcPr>
          <w:p w14:paraId="126555B1"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5400</w:t>
            </w:r>
          </w:p>
        </w:tc>
        <w:tc>
          <w:tcPr>
            <w:tcW w:w="2250" w:type="dxa"/>
            <w:shd w:val="clear" w:color="auto" w:fill="E8E8E8" w:themeFill="background2"/>
          </w:tcPr>
          <w:p w14:paraId="54951ED2"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 xml:space="preserve">PIF Approval Date </w:t>
            </w:r>
          </w:p>
        </w:tc>
        <w:tc>
          <w:tcPr>
            <w:tcW w:w="3136" w:type="dxa"/>
          </w:tcPr>
          <w:p w14:paraId="77CC4EFA"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2 March 2016</w:t>
            </w:r>
          </w:p>
        </w:tc>
      </w:tr>
      <w:tr w:rsidR="00CF77DE" w:rsidRPr="00FE2410" w14:paraId="608AD113" w14:textId="77777777" w:rsidTr="009534A0">
        <w:trPr>
          <w:trHeight w:val="300"/>
        </w:trPr>
        <w:tc>
          <w:tcPr>
            <w:tcW w:w="2263" w:type="dxa"/>
            <w:vMerge w:val="restart"/>
            <w:shd w:val="clear" w:color="auto" w:fill="E8E8E8" w:themeFill="background2"/>
          </w:tcPr>
          <w:p w14:paraId="12202484"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GEF Project ID (PIMS #):</w:t>
            </w:r>
          </w:p>
          <w:p w14:paraId="76258A08" w14:textId="77777777" w:rsidR="00CF77DE" w:rsidRPr="00FE2410" w:rsidRDefault="00CF77DE" w:rsidP="00C07A0A">
            <w:pPr>
              <w:rPr>
                <w:rFonts w:ascii="Calibri" w:eastAsia="Calibri" w:hAnsi="Calibri" w:cs="Calibri"/>
                <w:b/>
                <w:sz w:val="22"/>
                <w:szCs w:val="22"/>
              </w:rPr>
            </w:pPr>
          </w:p>
          <w:p w14:paraId="192D49F2" w14:textId="507EF013" w:rsidR="00CF77DE" w:rsidRPr="00FE2410" w:rsidRDefault="00CF77DE" w:rsidP="00C07A0A">
            <w:pPr>
              <w:rPr>
                <w:rFonts w:ascii="Calibri" w:eastAsia="Calibri" w:hAnsi="Calibri" w:cs="Calibri"/>
                <w:b/>
                <w:sz w:val="22"/>
                <w:szCs w:val="22"/>
              </w:rPr>
            </w:pPr>
            <w:r w:rsidRPr="00FE2410">
              <w:rPr>
                <w:rFonts w:ascii="Calibri" w:hAnsi="Calibri" w:cs="Calibri"/>
                <w:sz w:val="22"/>
                <w:szCs w:val="22"/>
              </w:rPr>
              <w:t>Quantum ID</w:t>
            </w:r>
            <w:r w:rsidRPr="00FE2410">
              <w:rPr>
                <w:rFonts w:ascii="Calibri" w:eastAsia="Calibri" w:hAnsi="Calibri" w:cs="Calibri"/>
                <w:b/>
                <w:sz w:val="22"/>
                <w:szCs w:val="22"/>
              </w:rPr>
              <w:t>:</w:t>
            </w:r>
          </w:p>
        </w:tc>
        <w:tc>
          <w:tcPr>
            <w:tcW w:w="1560" w:type="dxa"/>
          </w:tcPr>
          <w:p w14:paraId="797A9843"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6984</w:t>
            </w:r>
          </w:p>
        </w:tc>
        <w:tc>
          <w:tcPr>
            <w:tcW w:w="2250" w:type="dxa"/>
            <w:vMerge w:val="restart"/>
            <w:shd w:val="clear" w:color="auto" w:fill="E8E8E8" w:themeFill="background2"/>
          </w:tcPr>
          <w:p w14:paraId="6F3029E3"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CEO Endorsement Date:</w:t>
            </w:r>
          </w:p>
          <w:p w14:paraId="25C3EADE" w14:textId="77777777" w:rsidR="00CF77DE" w:rsidRPr="00FE2410" w:rsidRDefault="00CF77DE" w:rsidP="00C07A0A">
            <w:pPr>
              <w:rPr>
                <w:rFonts w:ascii="Calibri" w:eastAsia="Calibri" w:hAnsi="Calibri" w:cs="Calibri"/>
                <w:b/>
                <w:sz w:val="22"/>
                <w:szCs w:val="22"/>
              </w:rPr>
            </w:pPr>
          </w:p>
          <w:p w14:paraId="681614CC"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 xml:space="preserve">Project Document (ProDoc) Signature Date: </w:t>
            </w:r>
          </w:p>
        </w:tc>
        <w:tc>
          <w:tcPr>
            <w:tcW w:w="3136" w:type="dxa"/>
          </w:tcPr>
          <w:p w14:paraId="3228C142" w14:textId="77777777" w:rsidR="00CF77DE" w:rsidRPr="00FE2410" w:rsidRDefault="00CF77DE" w:rsidP="00C07A0A">
            <w:pPr>
              <w:spacing w:line="259" w:lineRule="auto"/>
              <w:rPr>
                <w:rFonts w:ascii="Calibri" w:eastAsia="Calibri" w:hAnsi="Calibri" w:cs="Calibri"/>
                <w:sz w:val="22"/>
                <w:szCs w:val="22"/>
              </w:rPr>
            </w:pPr>
            <w:r w:rsidRPr="00FE2410">
              <w:rPr>
                <w:rFonts w:ascii="Calibri" w:eastAsia="Calibri" w:hAnsi="Calibri" w:cs="Calibri"/>
                <w:sz w:val="22"/>
                <w:szCs w:val="22"/>
              </w:rPr>
              <w:t>10 January 2018</w:t>
            </w:r>
          </w:p>
        </w:tc>
      </w:tr>
      <w:tr w:rsidR="00CF77DE" w:rsidRPr="00FE2410" w14:paraId="3DBFCA66" w14:textId="77777777" w:rsidTr="008432F3">
        <w:trPr>
          <w:trHeight w:val="300"/>
        </w:trPr>
        <w:tc>
          <w:tcPr>
            <w:tcW w:w="2263" w:type="dxa"/>
            <w:vMerge/>
          </w:tcPr>
          <w:p w14:paraId="4883A669" w14:textId="77777777" w:rsidR="00CF77DE" w:rsidRPr="00FE2410" w:rsidRDefault="00CF77DE" w:rsidP="00C07A0A">
            <w:pPr>
              <w:rPr>
                <w:rFonts w:ascii="Calibri" w:hAnsi="Calibri" w:cs="Calibri"/>
                <w:b/>
              </w:rPr>
            </w:pPr>
          </w:p>
        </w:tc>
        <w:tc>
          <w:tcPr>
            <w:tcW w:w="1560" w:type="dxa"/>
          </w:tcPr>
          <w:p w14:paraId="7D93E22F" w14:textId="6B8DE5F7" w:rsidR="00CF77DE" w:rsidRPr="00FE2410" w:rsidRDefault="00CF77DE" w:rsidP="00C07A0A">
            <w:pPr>
              <w:rPr>
                <w:rFonts w:ascii="Calibri" w:eastAsia="Calibri" w:hAnsi="Calibri" w:cs="Calibri"/>
                <w:sz w:val="22"/>
                <w:szCs w:val="22"/>
              </w:rPr>
            </w:pPr>
            <w:r w:rsidRPr="00FE2410">
              <w:rPr>
                <w:rFonts w:ascii="Calibri" w:hAnsi="Calibri" w:cs="Calibri"/>
                <w:sz w:val="22"/>
                <w:szCs w:val="22"/>
              </w:rPr>
              <w:t>00106651</w:t>
            </w:r>
          </w:p>
        </w:tc>
        <w:tc>
          <w:tcPr>
            <w:tcW w:w="2250" w:type="dxa"/>
            <w:vMerge/>
          </w:tcPr>
          <w:p w14:paraId="2D590F53" w14:textId="77777777" w:rsidR="00CF77DE" w:rsidRPr="00FE2410" w:rsidRDefault="00CF77DE" w:rsidP="00C07A0A">
            <w:pPr>
              <w:rPr>
                <w:rFonts w:ascii="Calibri" w:hAnsi="Calibri" w:cs="Calibri"/>
                <w:b/>
              </w:rPr>
            </w:pPr>
          </w:p>
        </w:tc>
        <w:tc>
          <w:tcPr>
            <w:tcW w:w="3136" w:type="dxa"/>
          </w:tcPr>
          <w:p w14:paraId="4CADAC82"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22 February 2019 </w:t>
            </w:r>
          </w:p>
        </w:tc>
      </w:tr>
      <w:tr w:rsidR="00CF77DE" w:rsidRPr="00FE2410" w14:paraId="27EC335E" w14:textId="77777777" w:rsidTr="008432F3">
        <w:trPr>
          <w:trHeight w:val="300"/>
        </w:trPr>
        <w:tc>
          <w:tcPr>
            <w:tcW w:w="2263" w:type="dxa"/>
            <w:shd w:val="clear" w:color="auto" w:fill="E8E8E8" w:themeFill="background2"/>
          </w:tcPr>
          <w:p w14:paraId="01C4765D"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Country(ies)</w:t>
            </w:r>
          </w:p>
        </w:tc>
        <w:tc>
          <w:tcPr>
            <w:tcW w:w="1560" w:type="dxa"/>
          </w:tcPr>
          <w:p w14:paraId="68FD6FF3"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Bangladesh, Cambodia, Timor Leste, Lao PDR, Myanmar, Nepal</w:t>
            </w:r>
          </w:p>
        </w:tc>
        <w:tc>
          <w:tcPr>
            <w:tcW w:w="2250" w:type="dxa"/>
            <w:shd w:val="clear" w:color="auto" w:fill="E8E8E8" w:themeFill="background2"/>
          </w:tcPr>
          <w:p w14:paraId="5DBCB6E3"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Dat</w:t>
            </w:r>
            <w:r>
              <w:rPr>
                <w:rFonts w:ascii="Calibri" w:eastAsia="Calibri" w:hAnsi="Calibri" w:cs="Calibri"/>
                <w:b/>
                <w:sz w:val="22"/>
                <w:szCs w:val="22"/>
              </w:rPr>
              <w:t>e</w:t>
            </w:r>
            <w:r w:rsidRPr="00FE2410">
              <w:rPr>
                <w:rFonts w:ascii="Calibri" w:eastAsia="Calibri" w:hAnsi="Calibri" w:cs="Calibri"/>
                <w:b/>
                <w:sz w:val="22"/>
                <w:szCs w:val="22"/>
              </w:rPr>
              <w:t xml:space="preserve"> project manager hired</w:t>
            </w:r>
          </w:p>
        </w:tc>
        <w:tc>
          <w:tcPr>
            <w:tcW w:w="3136" w:type="dxa"/>
          </w:tcPr>
          <w:p w14:paraId="2BC10BBE"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February 2019 (HQ). Regional PMs also in place </w:t>
            </w:r>
          </w:p>
        </w:tc>
      </w:tr>
      <w:tr w:rsidR="00CF77DE" w:rsidRPr="00FE2410" w14:paraId="05E3ABAF" w14:textId="77777777" w:rsidTr="008432F3">
        <w:trPr>
          <w:trHeight w:val="300"/>
        </w:trPr>
        <w:tc>
          <w:tcPr>
            <w:tcW w:w="2263" w:type="dxa"/>
            <w:shd w:val="clear" w:color="auto" w:fill="E8E8E8" w:themeFill="background2"/>
          </w:tcPr>
          <w:p w14:paraId="2B7B7198"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Region</w:t>
            </w:r>
          </w:p>
        </w:tc>
        <w:tc>
          <w:tcPr>
            <w:tcW w:w="1560" w:type="dxa"/>
          </w:tcPr>
          <w:p w14:paraId="39C1A2E5"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Asia-Pacific</w:t>
            </w:r>
          </w:p>
        </w:tc>
        <w:tc>
          <w:tcPr>
            <w:tcW w:w="2250" w:type="dxa"/>
            <w:shd w:val="clear" w:color="auto" w:fill="E8E8E8" w:themeFill="background2"/>
          </w:tcPr>
          <w:p w14:paraId="5492FA64"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 xml:space="preserve">Inception Workshop date </w:t>
            </w:r>
          </w:p>
        </w:tc>
        <w:tc>
          <w:tcPr>
            <w:tcW w:w="3136" w:type="dxa"/>
          </w:tcPr>
          <w:p w14:paraId="259CA7F2"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11 – 13 June 2019 </w:t>
            </w:r>
          </w:p>
        </w:tc>
      </w:tr>
      <w:tr w:rsidR="00CF77DE" w:rsidRPr="00FE2410" w14:paraId="5F031708" w14:textId="77777777" w:rsidTr="009534A0">
        <w:trPr>
          <w:trHeight w:val="300"/>
        </w:trPr>
        <w:tc>
          <w:tcPr>
            <w:tcW w:w="2263" w:type="dxa"/>
            <w:vMerge w:val="restart"/>
            <w:shd w:val="clear" w:color="auto" w:fill="E8E8E8" w:themeFill="background2"/>
          </w:tcPr>
          <w:p w14:paraId="0A3E17F8"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Focal Area</w:t>
            </w:r>
          </w:p>
        </w:tc>
        <w:tc>
          <w:tcPr>
            <w:tcW w:w="1560" w:type="dxa"/>
            <w:vMerge w:val="restart"/>
          </w:tcPr>
          <w:p w14:paraId="0B2A2BD6"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Climate Change Adaptation </w:t>
            </w:r>
          </w:p>
        </w:tc>
        <w:tc>
          <w:tcPr>
            <w:tcW w:w="2250" w:type="dxa"/>
            <w:shd w:val="clear" w:color="auto" w:fill="E8E8E8" w:themeFill="background2"/>
          </w:tcPr>
          <w:p w14:paraId="6BE060B2"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 xml:space="preserve">Midterm (MTR) Review completion data: </w:t>
            </w:r>
          </w:p>
        </w:tc>
        <w:tc>
          <w:tcPr>
            <w:tcW w:w="3136" w:type="dxa"/>
          </w:tcPr>
          <w:p w14:paraId="19EA7019"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10 July 2021 (draft)</w:t>
            </w:r>
          </w:p>
          <w:p w14:paraId="51DB240E"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13 August 2021 (final)</w:t>
            </w:r>
          </w:p>
        </w:tc>
      </w:tr>
      <w:tr w:rsidR="00CF77DE" w:rsidRPr="00FE2410" w14:paraId="3C379B4D" w14:textId="77777777" w:rsidTr="008432F3">
        <w:trPr>
          <w:trHeight w:val="300"/>
        </w:trPr>
        <w:tc>
          <w:tcPr>
            <w:tcW w:w="2263" w:type="dxa"/>
            <w:vMerge/>
          </w:tcPr>
          <w:p w14:paraId="149787F8" w14:textId="77777777" w:rsidR="00CF77DE" w:rsidRPr="00FE2410" w:rsidRDefault="00CF77DE" w:rsidP="00C07A0A">
            <w:pPr>
              <w:rPr>
                <w:rFonts w:ascii="Calibri" w:hAnsi="Calibri" w:cs="Calibri"/>
                <w:b/>
              </w:rPr>
            </w:pPr>
          </w:p>
        </w:tc>
        <w:tc>
          <w:tcPr>
            <w:tcW w:w="1560" w:type="dxa"/>
            <w:vMerge/>
          </w:tcPr>
          <w:p w14:paraId="1447E474" w14:textId="77777777" w:rsidR="00CF77DE" w:rsidRPr="00FE2410" w:rsidRDefault="00CF77DE" w:rsidP="00C07A0A">
            <w:pPr>
              <w:rPr>
                <w:rFonts w:ascii="Calibri" w:hAnsi="Calibri" w:cs="Calibri"/>
              </w:rPr>
            </w:pPr>
          </w:p>
        </w:tc>
        <w:tc>
          <w:tcPr>
            <w:tcW w:w="2250" w:type="dxa"/>
            <w:shd w:val="clear" w:color="auto" w:fill="E8E8E8" w:themeFill="background2"/>
          </w:tcPr>
          <w:p w14:paraId="2513E1D3"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 xml:space="preserve">Terminal Evaluation commencement date: </w:t>
            </w:r>
          </w:p>
        </w:tc>
        <w:tc>
          <w:tcPr>
            <w:tcW w:w="3136" w:type="dxa"/>
          </w:tcPr>
          <w:p w14:paraId="06CB3186"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30 May 2024</w:t>
            </w:r>
          </w:p>
        </w:tc>
      </w:tr>
      <w:tr w:rsidR="00CF77DE" w:rsidRPr="00FE2410" w14:paraId="788C2561" w14:textId="77777777" w:rsidTr="008432F3">
        <w:trPr>
          <w:trHeight w:val="300"/>
        </w:trPr>
        <w:tc>
          <w:tcPr>
            <w:tcW w:w="2263" w:type="dxa"/>
            <w:vMerge/>
          </w:tcPr>
          <w:p w14:paraId="3C4DA699" w14:textId="77777777" w:rsidR="00CF77DE" w:rsidRPr="00FE2410" w:rsidRDefault="00CF77DE" w:rsidP="00C07A0A">
            <w:pPr>
              <w:rPr>
                <w:rFonts w:ascii="Calibri" w:hAnsi="Calibri" w:cs="Calibri"/>
                <w:b/>
              </w:rPr>
            </w:pPr>
          </w:p>
        </w:tc>
        <w:tc>
          <w:tcPr>
            <w:tcW w:w="1560" w:type="dxa"/>
            <w:vMerge/>
          </w:tcPr>
          <w:p w14:paraId="09FD1C51" w14:textId="77777777" w:rsidR="00CF77DE" w:rsidRPr="00FE2410" w:rsidRDefault="00CF77DE" w:rsidP="00C07A0A">
            <w:pPr>
              <w:rPr>
                <w:rFonts w:ascii="Calibri" w:hAnsi="Calibri" w:cs="Calibri"/>
              </w:rPr>
            </w:pPr>
          </w:p>
        </w:tc>
        <w:tc>
          <w:tcPr>
            <w:tcW w:w="2250" w:type="dxa"/>
            <w:shd w:val="clear" w:color="auto" w:fill="E8E8E8" w:themeFill="background2"/>
          </w:tcPr>
          <w:p w14:paraId="4E341602"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Terminal Evaluation completion date:</w:t>
            </w:r>
          </w:p>
          <w:p w14:paraId="3F3D289D" w14:textId="77777777" w:rsidR="00CF77DE" w:rsidRPr="00FE2410" w:rsidRDefault="00CF77DE" w:rsidP="00C07A0A">
            <w:pPr>
              <w:rPr>
                <w:rFonts w:ascii="Calibri" w:eastAsia="Calibri" w:hAnsi="Calibri" w:cs="Calibri"/>
                <w:b/>
                <w:sz w:val="22"/>
                <w:szCs w:val="22"/>
              </w:rPr>
            </w:pPr>
          </w:p>
        </w:tc>
        <w:tc>
          <w:tcPr>
            <w:tcW w:w="3136" w:type="dxa"/>
          </w:tcPr>
          <w:p w14:paraId="284BD95E"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19 July 2024 (draft)</w:t>
            </w:r>
          </w:p>
          <w:p w14:paraId="00DEA5D2" w14:textId="77777777" w:rsidR="00CF77DE" w:rsidRPr="00FE2410" w:rsidRDefault="00CF77DE" w:rsidP="00C07A0A">
            <w:pPr>
              <w:rPr>
                <w:rFonts w:ascii="Calibri" w:eastAsia="Calibri" w:hAnsi="Calibri" w:cs="Calibri"/>
                <w:sz w:val="22"/>
                <w:szCs w:val="22"/>
              </w:rPr>
            </w:pPr>
            <w:r>
              <w:rPr>
                <w:rFonts w:ascii="Calibri" w:eastAsia="Calibri" w:hAnsi="Calibri" w:cs="Calibri"/>
                <w:sz w:val="22"/>
                <w:szCs w:val="22"/>
              </w:rPr>
              <w:t>31 July 2024 (final)</w:t>
            </w:r>
          </w:p>
        </w:tc>
      </w:tr>
      <w:tr w:rsidR="00CF77DE" w:rsidRPr="00FE2410" w14:paraId="328F2421" w14:textId="77777777" w:rsidTr="008432F3">
        <w:trPr>
          <w:trHeight w:val="300"/>
        </w:trPr>
        <w:tc>
          <w:tcPr>
            <w:tcW w:w="2263" w:type="dxa"/>
            <w:shd w:val="clear" w:color="auto" w:fill="E8E8E8" w:themeFill="background2"/>
          </w:tcPr>
          <w:p w14:paraId="3382EE01"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GEF Focal Area Strategic Objective:</w:t>
            </w:r>
          </w:p>
        </w:tc>
        <w:tc>
          <w:tcPr>
            <w:tcW w:w="1560" w:type="dxa"/>
          </w:tcPr>
          <w:p w14:paraId="40F173CE"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Accelerate Structural Transformation for Sustainable Development </w:t>
            </w:r>
          </w:p>
        </w:tc>
        <w:tc>
          <w:tcPr>
            <w:tcW w:w="2250" w:type="dxa"/>
            <w:shd w:val="clear" w:color="auto" w:fill="E8E8E8" w:themeFill="background2"/>
          </w:tcPr>
          <w:p w14:paraId="09F47EB4"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 xml:space="preserve">Planned project closing date </w:t>
            </w:r>
          </w:p>
        </w:tc>
        <w:tc>
          <w:tcPr>
            <w:tcW w:w="3136" w:type="dxa"/>
          </w:tcPr>
          <w:p w14:paraId="03AD8334"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21 February 2023 </w:t>
            </w:r>
          </w:p>
        </w:tc>
      </w:tr>
      <w:tr w:rsidR="00CF77DE" w:rsidRPr="00FE2410" w14:paraId="5A194198" w14:textId="77777777" w:rsidTr="009534A0">
        <w:trPr>
          <w:trHeight w:val="510"/>
        </w:trPr>
        <w:tc>
          <w:tcPr>
            <w:tcW w:w="2263" w:type="dxa"/>
            <w:vMerge w:val="restart"/>
            <w:shd w:val="clear" w:color="auto" w:fill="E8E8E8" w:themeFill="background2"/>
          </w:tcPr>
          <w:p w14:paraId="3869CF58"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Trust Fund [indicate GEF, TF, LDCF, SCCF, NPIF]: Executing Agency/Implementing Partner:</w:t>
            </w:r>
          </w:p>
        </w:tc>
        <w:tc>
          <w:tcPr>
            <w:tcW w:w="1560" w:type="dxa"/>
          </w:tcPr>
          <w:p w14:paraId="4E443623"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LDCF</w:t>
            </w:r>
          </w:p>
        </w:tc>
        <w:tc>
          <w:tcPr>
            <w:tcW w:w="2250" w:type="dxa"/>
            <w:shd w:val="clear" w:color="auto" w:fill="E8E8E8" w:themeFill="background2"/>
          </w:tcPr>
          <w:p w14:paraId="29DDCE62"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Revised project closing date:</w:t>
            </w:r>
          </w:p>
        </w:tc>
        <w:tc>
          <w:tcPr>
            <w:tcW w:w="3136" w:type="dxa"/>
          </w:tcPr>
          <w:p w14:paraId="3D434E22"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22 August 2024 </w:t>
            </w:r>
          </w:p>
        </w:tc>
      </w:tr>
      <w:tr w:rsidR="00CF77DE" w:rsidRPr="00FE2410" w14:paraId="03395AB8" w14:textId="77777777" w:rsidTr="008432F3">
        <w:trPr>
          <w:trHeight w:val="300"/>
        </w:trPr>
        <w:tc>
          <w:tcPr>
            <w:tcW w:w="2263" w:type="dxa"/>
            <w:vMerge/>
          </w:tcPr>
          <w:p w14:paraId="15F65CDB" w14:textId="77777777" w:rsidR="00CF77DE" w:rsidRPr="00FE2410" w:rsidRDefault="00CF77DE" w:rsidP="00C07A0A">
            <w:pPr>
              <w:rPr>
                <w:rFonts w:ascii="Calibri" w:hAnsi="Calibri" w:cs="Calibri"/>
                <w:b/>
              </w:rPr>
            </w:pPr>
          </w:p>
        </w:tc>
        <w:tc>
          <w:tcPr>
            <w:tcW w:w="6946" w:type="dxa"/>
            <w:gridSpan w:val="3"/>
          </w:tcPr>
          <w:p w14:paraId="275501F8"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United Nations Development Programme </w:t>
            </w:r>
          </w:p>
        </w:tc>
      </w:tr>
      <w:tr w:rsidR="00CF77DE" w:rsidRPr="00FE2410" w14:paraId="60D4B555" w14:textId="77777777" w:rsidTr="008432F3">
        <w:trPr>
          <w:trHeight w:val="300"/>
        </w:trPr>
        <w:tc>
          <w:tcPr>
            <w:tcW w:w="2263" w:type="dxa"/>
            <w:shd w:val="clear" w:color="auto" w:fill="E8E8E8" w:themeFill="background2"/>
          </w:tcPr>
          <w:p w14:paraId="4A59ED3B" w14:textId="77777777" w:rsidR="00CF77DE" w:rsidRPr="00FE2410" w:rsidRDefault="00CF77DE" w:rsidP="00C07A0A">
            <w:pPr>
              <w:rPr>
                <w:rFonts w:ascii="Calibri" w:eastAsia="Calibri" w:hAnsi="Calibri" w:cs="Calibri"/>
                <w:b/>
                <w:sz w:val="22"/>
                <w:szCs w:val="22"/>
              </w:rPr>
            </w:pPr>
            <w:r w:rsidRPr="00FE2410">
              <w:rPr>
                <w:rFonts w:ascii="Calibri" w:eastAsia="Calibri" w:hAnsi="Calibri" w:cs="Calibri"/>
                <w:b/>
                <w:sz w:val="22"/>
                <w:szCs w:val="22"/>
              </w:rPr>
              <w:t xml:space="preserve">Other execution partners </w:t>
            </w:r>
          </w:p>
        </w:tc>
        <w:tc>
          <w:tcPr>
            <w:tcW w:w="6946" w:type="dxa"/>
            <w:gridSpan w:val="3"/>
          </w:tcPr>
          <w:p w14:paraId="76EEC69A"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World Health Organisation</w:t>
            </w:r>
          </w:p>
          <w:p w14:paraId="4145EE71"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Government of Bangladesh (Ministry of Health)</w:t>
            </w:r>
          </w:p>
          <w:p w14:paraId="32D93F7E"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Government of Cambodia (Ministry of Health)</w:t>
            </w:r>
          </w:p>
          <w:p w14:paraId="53658177"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Government of Lao PDR (Ministry of Health)</w:t>
            </w:r>
          </w:p>
          <w:p w14:paraId="78249103"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Government of Nepal (Ministry of Health and Population)</w:t>
            </w:r>
          </w:p>
          <w:p w14:paraId="2DDC17AD"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Government of Myanmar (Ministry of Health)</w:t>
            </w:r>
          </w:p>
          <w:p w14:paraId="6F851DCA" w14:textId="77777777" w:rsidR="00CF77DE" w:rsidRPr="00FE2410" w:rsidRDefault="00CF77DE" w:rsidP="00C07A0A">
            <w:pPr>
              <w:rPr>
                <w:rFonts w:ascii="Calibri" w:eastAsia="Calibri" w:hAnsi="Calibri" w:cs="Calibri"/>
                <w:sz w:val="22"/>
                <w:szCs w:val="22"/>
              </w:rPr>
            </w:pPr>
            <w:r w:rsidRPr="00FE2410">
              <w:rPr>
                <w:rFonts w:ascii="Calibri" w:eastAsia="Calibri" w:hAnsi="Calibri" w:cs="Calibri"/>
                <w:sz w:val="22"/>
                <w:szCs w:val="22"/>
              </w:rPr>
              <w:t xml:space="preserve">Government of Timor Leste (Ministry of Health </w:t>
            </w:r>
          </w:p>
        </w:tc>
      </w:tr>
    </w:tbl>
    <w:p w14:paraId="75070C74" w14:textId="77777777" w:rsidR="002B060A" w:rsidRDefault="006040A7" w:rsidP="00C07A0A">
      <w:r>
        <w:br w:type="page"/>
      </w:r>
    </w:p>
    <w:tbl>
      <w:tblPr>
        <w:tblStyle w:val="TableGrid"/>
        <w:tblW w:w="9209" w:type="dxa"/>
        <w:tblLayout w:type="fixed"/>
        <w:tblLook w:val="06A0" w:firstRow="1" w:lastRow="0" w:firstColumn="1" w:lastColumn="0" w:noHBand="1" w:noVBand="1"/>
      </w:tblPr>
      <w:tblGrid>
        <w:gridCol w:w="3823"/>
        <w:gridCol w:w="1701"/>
        <w:gridCol w:w="1812"/>
        <w:gridCol w:w="1873"/>
      </w:tblGrid>
      <w:tr w:rsidR="002B060A" w14:paraId="75070C79" w14:textId="77777777" w:rsidTr="00FE2410">
        <w:trPr>
          <w:trHeight w:val="300"/>
        </w:trPr>
        <w:tc>
          <w:tcPr>
            <w:tcW w:w="3823" w:type="dxa"/>
            <w:shd w:val="clear" w:color="auto" w:fill="000000" w:themeFill="text1"/>
          </w:tcPr>
          <w:p w14:paraId="75070C75" w14:textId="77777777" w:rsidR="002B060A" w:rsidRDefault="006040A7" w:rsidP="00C07A0A">
            <w:pPr>
              <w:rPr>
                <w:rFonts w:ascii="Calibri" w:eastAsia="Calibri" w:hAnsi="Calibri" w:cs="Calibri"/>
                <w:color w:val="FFFFFF" w:themeColor="background1"/>
                <w:sz w:val="22"/>
                <w:szCs w:val="22"/>
              </w:rPr>
            </w:pPr>
            <w:r>
              <w:rPr>
                <w:rFonts w:ascii="Calibri" w:eastAsia="Calibri" w:hAnsi="Calibri" w:cs="Calibri"/>
                <w:color w:val="FFFFFF" w:themeColor="background1"/>
                <w:sz w:val="22"/>
                <w:szCs w:val="22"/>
              </w:rPr>
              <w:lastRenderedPageBreak/>
              <w:t xml:space="preserve">Project Financing </w:t>
            </w:r>
          </w:p>
        </w:tc>
        <w:tc>
          <w:tcPr>
            <w:tcW w:w="1701" w:type="dxa"/>
          </w:tcPr>
          <w:p w14:paraId="75070C76" w14:textId="77777777" w:rsidR="002B060A" w:rsidRDefault="006040A7" w:rsidP="00C07A0A">
            <w:pPr>
              <w:rPr>
                <w:rFonts w:ascii="Calibri" w:eastAsia="Calibri" w:hAnsi="Calibri" w:cs="Calibri"/>
                <w:i/>
                <w:sz w:val="22"/>
                <w:szCs w:val="22"/>
              </w:rPr>
            </w:pPr>
            <w:r>
              <w:rPr>
                <w:rFonts w:ascii="Calibri" w:eastAsia="Calibri" w:hAnsi="Calibri" w:cs="Calibri"/>
                <w:i/>
                <w:sz w:val="22"/>
                <w:szCs w:val="22"/>
              </w:rPr>
              <w:t>At CEO endorsement (USD)</w:t>
            </w:r>
          </w:p>
        </w:tc>
        <w:tc>
          <w:tcPr>
            <w:tcW w:w="1812" w:type="dxa"/>
          </w:tcPr>
          <w:p w14:paraId="75070C77" w14:textId="77777777" w:rsidR="002B060A" w:rsidRDefault="006040A7" w:rsidP="00C07A0A">
            <w:pPr>
              <w:rPr>
                <w:rFonts w:ascii="Calibri" w:eastAsia="Calibri" w:hAnsi="Calibri" w:cs="Calibri"/>
                <w:i/>
                <w:sz w:val="22"/>
                <w:szCs w:val="22"/>
              </w:rPr>
            </w:pPr>
            <w:r>
              <w:rPr>
                <w:rFonts w:ascii="Calibri" w:eastAsia="Calibri" w:hAnsi="Calibri" w:cs="Calibri"/>
                <w:i/>
                <w:sz w:val="22"/>
                <w:szCs w:val="22"/>
              </w:rPr>
              <w:t>At Midterm Review (USD - as of 30 June 2021)</w:t>
            </w:r>
          </w:p>
        </w:tc>
        <w:tc>
          <w:tcPr>
            <w:tcW w:w="1873" w:type="dxa"/>
          </w:tcPr>
          <w:p w14:paraId="75070C78" w14:textId="77777777" w:rsidR="002B060A" w:rsidRDefault="006040A7" w:rsidP="00C07A0A">
            <w:pPr>
              <w:rPr>
                <w:rStyle w:val="CommentReference"/>
                <w:rFonts w:ascii="Calibri" w:eastAsia="Calibri" w:hAnsi="Calibri" w:cs="Calibri"/>
              </w:rPr>
            </w:pPr>
            <w:r>
              <w:rPr>
                <w:rFonts w:ascii="Calibri" w:eastAsia="Calibri" w:hAnsi="Calibri" w:cs="Calibri"/>
                <w:i/>
                <w:sz w:val="22"/>
                <w:szCs w:val="22"/>
              </w:rPr>
              <w:t>At Terminal Evaluation (USD as of 30 Jun 2023)*</w:t>
            </w:r>
          </w:p>
        </w:tc>
      </w:tr>
      <w:tr w:rsidR="002B060A" w14:paraId="75070C7E" w14:textId="77777777" w:rsidTr="00FE2410">
        <w:trPr>
          <w:trHeight w:val="300"/>
        </w:trPr>
        <w:tc>
          <w:tcPr>
            <w:tcW w:w="3823" w:type="dxa"/>
          </w:tcPr>
          <w:p w14:paraId="75070C7A"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[1] GEF Financing: </w:t>
            </w:r>
          </w:p>
        </w:tc>
        <w:tc>
          <w:tcPr>
            <w:tcW w:w="1701" w:type="dxa"/>
          </w:tcPr>
          <w:p w14:paraId="75070C7B"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9,000,000</w:t>
            </w:r>
          </w:p>
        </w:tc>
        <w:tc>
          <w:tcPr>
            <w:tcW w:w="1812" w:type="dxa"/>
          </w:tcPr>
          <w:p w14:paraId="75070C7C"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Approx. $2,506,258 (30 June 2021)</w:t>
            </w:r>
          </w:p>
        </w:tc>
        <w:tc>
          <w:tcPr>
            <w:tcW w:w="1873" w:type="dxa"/>
          </w:tcPr>
          <w:p w14:paraId="75070C7D" w14:textId="77777777" w:rsidR="002B060A" w:rsidRDefault="006040A7" w:rsidP="00C07A0A">
            <w:pPr>
              <w:rPr>
                <w:rFonts w:ascii="Calibri" w:eastAsia="Calibri" w:hAnsi="Calibri" w:cs="Calibri"/>
                <w:color w:val="FF0000"/>
                <w:sz w:val="22"/>
                <w:szCs w:val="22"/>
              </w:rPr>
            </w:pPr>
            <w:r>
              <w:rPr>
                <w:rFonts w:ascii="Calibri" w:eastAsia="Calibri" w:hAnsi="Calibri" w:cs="Calibri"/>
                <w:color w:val="000000" w:themeColor="text1"/>
                <w:sz w:val="22"/>
                <w:szCs w:val="22"/>
              </w:rPr>
              <w:t>$4,604,247 (30 June 2023)</w:t>
            </w:r>
          </w:p>
        </w:tc>
      </w:tr>
      <w:tr w:rsidR="002B060A" w14:paraId="75070C83" w14:textId="77777777" w:rsidTr="00FE2410">
        <w:trPr>
          <w:trHeight w:val="300"/>
        </w:trPr>
        <w:tc>
          <w:tcPr>
            <w:tcW w:w="3823" w:type="dxa"/>
          </w:tcPr>
          <w:p w14:paraId="75070C7F"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[2] UNDP contribution:</w:t>
            </w:r>
          </w:p>
        </w:tc>
        <w:tc>
          <w:tcPr>
            <w:tcW w:w="1701" w:type="dxa"/>
          </w:tcPr>
          <w:p w14:paraId="75070C80"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0</w:t>
            </w:r>
          </w:p>
        </w:tc>
        <w:tc>
          <w:tcPr>
            <w:tcW w:w="1812" w:type="dxa"/>
          </w:tcPr>
          <w:p w14:paraId="75070C81"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0</w:t>
            </w:r>
          </w:p>
        </w:tc>
        <w:tc>
          <w:tcPr>
            <w:tcW w:w="1873" w:type="dxa"/>
          </w:tcPr>
          <w:p w14:paraId="75070C82"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0</w:t>
            </w:r>
          </w:p>
        </w:tc>
      </w:tr>
      <w:tr w:rsidR="002B060A" w14:paraId="75070C88" w14:textId="77777777" w:rsidTr="00FE2410">
        <w:trPr>
          <w:trHeight w:val="300"/>
        </w:trPr>
        <w:tc>
          <w:tcPr>
            <w:tcW w:w="3823" w:type="dxa"/>
          </w:tcPr>
          <w:p w14:paraId="75070C84"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[3] Government: </w:t>
            </w:r>
          </w:p>
        </w:tc>
        <w:tc>
          <w:tcPr>
            <w:tcW w:w="1701" w:type="dxa"/>
          </w:tcPr>
          <w:p w14:paraId="75070C85"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17,985,200</w:t>
            </w:r>
          </w:p>
        </w:tc>
        <w:tc>
          <w:tcPr>
            <w:tcW w:w="1812" w:type="dxa"/>
          </w:tcPr>
          <w:p w14:paraId="75070C86"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7,553,784</w:t>
            </w:r>
          </w:p>
        </w:tc>
        <w:tc>
          <w:tcPr>
            <w:tcW w:w="1873" w:type="dxa"/>
          </w:tcPr>
          <w:p w14:paraId="75070C87"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11,639,916</w:t>
            </w:r>
          </w:p>
        </w:tc>
      </w:tr>
      <w:tr w:rsidR="002B060A" w14:paraId="75070C8D" w14:textId="77777777" w:rsidTr="00FE2410">
        <w:trPr>
          <w:trHeight w:val="300"/>
        </w:trPr>
        <w:tc>
          <w:tcPr>
            <w:tcW w:w="3823" w:type="dxa"/>
          </w:tcPr>
          <w:p w14:paraId="75070C89"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[4] Other partners: </w:t>
            </w:r>
          </w:p>
        </w:tc>
        <w:tc>
          <w:tcPr>
            <w:tcW w:w="1701" w:type="dxa"/>
          </w:tcPr>
          <w:p w14:paraId="75070C8A"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9,076,400</w:t>
            </w:r>
          </w:p>
        </w:tc>
        <w:tc>
          <w:tcPr>
            <w:tcW w:w="1812" w:type="dxa"/>
          </w:tcPr>
          <w:p w14:paraId="75070C8B"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3,812,088</w:t>
            </w:r>
          </w:p>
        </w:tc>
        <w:tc>
          <w:tcPr>
            <w:tcW w:w="1873" w:type="dxa"/>
          </w:tcPr>
          <w:p w14:paraId="75070C8C"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7,035,613</w:t>
            </w:r>
          </w:p>
        </w:tc>
      </w:tr>
      <w:tr w:rsidR="002B060A" w14:paraId="75070C92" w14:textId="77777777" w:rsidTr="00FE2410">
        <w:trPr>
          <w:trHeight w:val="300"/>
        </w:trPr>
        <w:tc>
          <w:tcPr>
            <w:tcW w:w="3823" w:type="dxa"/>
          </w:tcPr>
          <w:p w14:paraId="75070C8E"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[5] Total co-financing [2 + 3 + 4]:</w:t>
            </w:r>
          </w:p>
        </w:tc>
        <w:tc>
          <w:tcPr>
            <w:tcW w:w="1701" w:type="dxa"/>
          </w:tcPr>
          <w:p w14:paraId="75070C8F"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27,061,600</w:t>
            </w:r>
          </w:p>
        </w:tc>
        <w:tc>
          <w:tcPr>
            <w:tcW w:w="1812" w:type="dxa"/>
          </w:tcPr>
          <w:p w14:paraId="75070C90"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11,365,872</w:t>
            </w:r>
          </w:p>
        </w:tc>
        <w:tc>
          <w:tcPr>
            <w:tcW w:w="1873" w:type="dxa"/>
          </w:tcPr>
          <w:p w14:paraId="75070C91"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18,675,529</w:t>
            </w:r>
          </w:p>
        </w:tc>
      </w:tr>
      <w:tr w:rsidR="002B060A" w14:paraId="75070C97" w14:textId="77777777" w:rsidTr="00FE2410">
        <w:trPr>
          <w:trHeight w:val="300"/>
        </w:trPr>
        <w:tc>
          <w:tcPr>
            <w:tcW w:w="3823" w:type="dxa"/>
          </w:tcPr>
          <w:p w14:paraId="75070C93"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PROJECT TOTAL COSTS [1 + 5]</w:t>
            </w:r>
          </w:p>
        </w:tc>
        <w:tc>
          <w:tcPr>
            <w:tcW w:w="1701" w:type="dxa"/>
          </w:tcPr>
          <w:p w14:paraId="75070C94"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36,061,600</w:t>
            </w:r>
          </w:p>
        </w:tc>
        <w:tc>
          <w:tcPr>
            <w:tcW w:w="1812" w:type="dxa"/>
          </w:tcPr>
          <w:p w14:paraId="75070C95" w14:textId="77777777" w:rsidR="002B060A" w:rsidRDefault="006040A7" w:rsidP="00C07A0A">
            <w:pPr>
              <w:spacing w:line="259" w:lineRule="auto"/>
              <w:rPr>
                <w:rFonts w:ascii="Calibri" w:eastAsia="Calibri" w:hAnsi="Calibri" w:cs="Calibri"/>
                <w:sz w:val="22"/>
                <w:szCs w:val="22"/>
              </w:rPr>
            </w:pPr>
            <w:r>
              <w:rPr>
                <w:rFonts w:ascii="Calibri" w:eastAsia="Calibri" w:hAnsi="Calibri" w:cs="Calibri"/>
                <w:sz w:val="22"/>
                <w:szCs w:val="22"/>
              </w:rPr>
              <w:t>13,872,130</w:t>
            </w:r>
          </w:p>
        </w:tc>
        <w:tc>
          <w:tcPr>
            <w:tcW w:w="1873" w:type="dxa"/>
          </w:tcPr>
          <w:p w14:paraId="75070C96" w14:textId="77777777" w:rsidR="002B060A" w:rsidRDefault="006040A7" w:rsidP="00C07A0A">
            <w:pPr>
              <w:spacing w:line="259" w:lineRule="auto"/>
              <w:rPr>
                <w:rFonts w:ascii="Calibri" w:eastAsia="Calibri" w:hAnsi="Calibri" w:cs="Calibri"/>
                <w:sz w:val="22"/>
                <w:szCs w:val="22"/>
              </w:rPr>
            </w:pPr>
            <w:r>
              <w:rPr>
                <w:rFonts w:ascii="Calibri" w:eastAsia="Calibri" w:hAnsi="Calibri" w:cs="Calibri"/>
                <w:sz w:val="22"/>
                <w:szCs w:val="22"/>
              </w:rPr>
              <w:t>23,279,776</w:t>
            </w:r>
          </w:p>
        </w:tc>
      </w:tr>
      <w:tr w:rsidR="002B060A" w14:paraId="75070C99" w14:textId="77777777" w:rsidTr="00FE2410">
        <w:trPr>
          <w:trHeight w:val="300"/>
        </w:trPr>
        <w:tc>
          <w:tcPr>
            <w:tcW w:w="9209" w:type="dxa"/>
            <w:gridSpan w:val="4"/>
          </w:tcPr>
          <w:p w14:paraId="75070C98" w14:textId="77777777" w:rsidR="002B060A" w:rsidRDefault="006040A7" w:rsidP="00C07A0A">
            <w:pPr>
              <w:spacing w:line="259" w:lineRule="auto"/>
              <w:rPr>
                <w:rFonts w:ascii="Calibri" w:eastAsia="Calibri" w:hAnsi="Calibri" w:cs="Calibri"/>
                <w:sz w:val="22"/>
                <w:szCs w:val="22"/>
              </w:rPr>
            </w:pPr>
            <w:r>
              <w:rPr>
                <w:rFonts w:ascii="Calibri" w:eastAsia="Calibri" w:hAnsi="Calibri" w:cs="Calibri"/>
                <w:sz w:val="22"/>
                <w:szCs w:val="22"/>
              </w:rPr>
              <w:t xml:space="preserve">*The Terminal Evaluation overlapped with the final reporting period (2023/2024 Financial Year) and hence acquittal information for the final 12-month implementation period was not available for inclusion in this report. Multi-year project budget is reported to be on-track for full acquittal by project end (see </w:t>
            </w:r>
            <w:r>
              <w:rPr>
                <w:rFonts w:ascii="Calibri" w:eastAsia="Calibri" w:hAnsi="Calibri" w:cs="Calibri"/>
                <w:b/>
                <w:bCs/>
                <w:sz w:val="22"/>
                <w:szCs w:val="22"/>
              </w:rPr>
              <w:t>section 5.3</w:t>
            </w:r>
            <w:r>
              <w:rPr>
                <w:rFonts w:ascii="Calibri" w:eastAsia="Calibri" w:hAnsi="Calibri" w:cs="Calibri"/>
                <w:sz w:val="22"/>
                <w:szCs w:val="22"/>
              </w:rPr>
              <w:t xml:space="preserve">). </w:t>
            </w:r>
          </w:p>
        </w:tc>
      </w:tr>
    </w:tbl>
    <w:p w14:paraId="75070C9A" w14:textId="77777777" w:rsidR="002B060A" w:rsidRDefault="002B060A" w:rsidP="00C07A0A">
      <w:pPr>
        <w:rPr>
          <w:rFonts w:ascii="Calibri" w:hAnsi="Calibri" w:cs="Calibri"/>
        </w:rPr>
      </w:pPr>
    </w:p>
    <w:p w14:paraId="610ED00B" w14:textId="77777777" w:rsidR="00E02E86" w:rsidRPr="003445E8" w:rsidRDefault="00E02E86" w:rsidP="00C07A0A">
      <w:pPr>
        <w:pStyle w:val="Heading3"/>
        <w:numPr>
          <w:ilvl w:val="1"/>
          <w:numId w:val="29"/>
        </w:numPr>
        <w:rPr>
          <w:rFonts w:ascii="Calibri" w:hAnsi="Calibri" w:cs="Calibri"/>
          <w:b/>
        </w:rPr>
      </w:pPr>
      <w:bookmarkStart w:id="6" w:name="_Toc172299377"/>
      <w:bookmarkStart w:id="7" w:name="_Toc173429959"/>
      <w:r w:rsidRPr="003445E8">
        <w:rPr>
          <w:rFonts w:ascii="Calibri" w:hAnsi="Calibri" w:cs="Calibri"/>
          <w:b/>
        </w:rPr>
        <w:t>Project Description</w:t>
      </w:r>
      <w:bookmarkEnd w:id="6"/>
      <w:bookmarkEnd w:id="7"/>
      <w:r w:rsidRPr="003445E8">
        <w:rPr>
          <w:rFonts w:ascii="Calibri" w:hAnsi="Calibri" w:cs="Calibri"/>
          <w:b/>
        </w:rPr>
        <w:t xml:space="preserve"> </w:t>
      </w:r>
    </w:p>
    <w:p w14:paraId="10503035" w14:textId="77777777" w:rsidR="00E02E86" w:rsidRPr="003445E8" w:rsidRDefault="00E02E86" w:rsidP="00C07A0A">
      <w:pPr>
        <w:pStyle w:val="ListParagraph"/>
        <w:spacing w:after="120" w:line="276" w:lineRule="auto"/>
        <w:ind w:left="0"/>
        <w:jc w:val="both"/>
        <w:rPr>
          <w:rFonts w:ascii="Calibri" w:eastAsiaTheme="minorEastAsia" w:hAnsi="Calibri" w:cs="Calibri"/>
        </w:rPr>
      </w:pPr>
      <w:r w:rsidRPr="003445E8">
        <w:rPr>
          <w:rFonts w:ascii="Calibri" w:eastAsiaTheme="minorEastAsia" w:hAnsi="Calibri" w:cs="Calibri"/>
        </w:rPr>
        <w:t>Climate change and climate change impacts have serious impacts on health, including but not limited to dehydration, increased incidence of water and vector-borne diseases, malnutrition related to reduced crop yields, and physical and psychological effects of extreme events. In vulnerable countries where health systems are not able to plan, prepare for or respond to these challenges, the impacts can be particularly devastating.</w:t>
      </w:r>
    </w:p>
    <w:p w14:paraId="6F561E8B" w14:textId="77777777" w:rsidR="00E02E86" w:rsidRPr="003445E8" w:rsidRDefault="00E02E86" w:rsidP="00C07A0A">
      <w:pPr>
        <w:pStyle w:val="ListParagraph"/>
        <w:spacing w:after="120" w:line="276" w:lineRule="auto"/>
        <w:ind w:left="0"/>
        <w:jc w:val="both"/>
        <w:rPr>
          <w:rFonts w:ascii="Calibri" w:eastAsiaTheme="minorEastAsia" w:hAnsi="Calibri" w:cs="Calibri"/>
        </w:rPr>
      </w:pPr>
    </w:p>
    <w:p w14:paraId="55DEAAAA" w14:textId="77777777" w:rsidR="00E02E86" w:rsidRPr="003445E8" w:rsidRDefault="00E02E86" w:rsidP="00C07A0A">
      <w:pPr>
        <w:pStyle w:val="ListParagraph"/>
        <w:spacing w:after="120" w:line="276" w:lineRule="auto"/>
        <w:ind w:left="0"/>
        <w:jc w:val="both"/>
        <w:rPr>
          <w:rFonts w:ascii="Calibri" w:eastAsiaTheme="minorEastAsia" w:hAnsi="Calibri" w:cs="Calibri"/>
        </w:rPr>
      </w:pPr>
      <w:r w:rsidRPr="003445E8">
        <w:rPr>
          <w:rFonts w:ascii="Calibri" w:eastAsiaTheme="minorEastAsia" w:hAnsi="Calibri" w:cs="Calibri"/>
        </w:rPr>
        <w:t>Asian least developed countries (LDCs) have limited health care system and technical capacity to effectively integrate climate-related risks into policy, planning, and regulatory frames, and into interventions to effectively manage the burden of climate-sensitive health outcomes. Existing weather/climate early warning systems managed by national hydro-meteorological organizations lack systematic data from regions and areas of the countries with high risks of climate-sensitive health outcomes. Climate information services are not adequately tailored to the needs of public health professionals. And primary health care facilities are ill-equipped to prepare for and respond to extreme weather events and climate-related disease outbreaks, lacking information, resources and cost-effective methods and technologies to provide adequate water and sanitation services during extreme events.</w:t>
      </w:r>
    </w:p>
    <w:p w14:paraId="5A461273" w14:textId="77777777" w:rsidR="00E02E86" w:rsidRPr="003445E8" w:rsidRDefault="00E02E86" w:rsidP="00C07A0A">
      <w:pPr>
        <w:pStyle w:val="ListParagraph"/>
        <w:spacing w:after="120" w:line="276" w:lineRule="auto"/>
        <w:ind w:left="0"/>
        <w:jc w:val="both"/>
        <w:rPr>
          <w:rFonts w:ascii="Calibri" w:eastAsiaTheme="minorEastAsia" w:hAnsi="Calibri" w:cs="Calibri"/>
          <w:lang w:eastAsia="en-AU"/>
        </w:rPr>
      </w:pPr>
    </w:p>
    <w:p w14:paraId="4D3EA5AF" w14:textId="77777777" w:rsidR="00E02E86" w:rsidRDefault="00E02E86" w:rsidP="00C07A0A">
      <w:pPr>
        <w:pStyle w:val="ListParagraph"/>
        <w:spacing w:after="120" w:line="276" w:lineRule="auto"/>
        <w:ind w:left="0"/>
        <w:jc w:val="both"/>
        <w:rPr>
          <w:rFonts w:ascii="Calibri" w:eastAsiaTheme="minorEastAsia" w:hAnsi="Calibri" w:cs="Calibri"/>
          <w:lang w:eastAsia="en-AU"/>
        </w:rPr>
      </w:pPr>
      <w:r w:rsidRPr="003445E8">
        <w:rPr>
          <w:rFonts w:ascii="Calibri" w:eastAsiaTheme="minorEastAsia" w:hAnsi="Calibri" w:cs="Calibri"/>
          <w:lang w:eastAsia="en-AU"/>
        </w:rPr>
        <w:t xml:space="preserve">Recognizing these challenges, the countries prioritized adaptation to the health risks of climate variability and change.  In consultation with stakeholders, the United Nations Development Programme (UNDP) Global Environment Facility (GEF) project on </w:t>
      </w:r>
      <w:r w:rsidRPr="003445E8">
        <w:rPr>
          <w:rFonts w:ascii="Calibri" w:eastAsiaTheme="minorEastAsia" w:hAnsi="Calibri" w:cs="Calibri"/>
          <w:b/>
          <w:i/>
        </w:rPr>
        <w:t>Building Resilience of Health Systems in Asian LDCs to Climate Change</w:t>
      </w:r>
      <w:r w:rsidRPr="003445E8">
        <w:rPr>
          <w:rFonts w:ascii="Calibri" w:eastAsiaTheme="minorEastAsia" w:hAnsi="Calibri" w:cs="Calibri"/>
          <w:lang w:eastAsia="en-AU"/>
        </w:rPr>
        <w:t xml:space="preserve"> was designed to increase the capacity of national health systems and institutions, and sub-level actors, to respond to and manage long-term climate-sensitive health risks in six Asian LDCs, </w:t>
      </w:r>
      <w:r w:rsidRPr="003445E8">
        <w:rPr>
          <w:rFonts w:ascii="Calibri" w:eastAsiaTheme="minorEastAsia" w:hAnsi="Calibri" w:cs="Calibri"/>
        </w:rPr>
        <w:t>namely, Bangladesh, Cambodia, Lao PDR, Myanmar, Nepal, and Timor-Leste</w:t>
      </w:r>
      <w:r w:rsidRPr="003445E8">
        <w:rPr>
          <w:rFonts w:ascii="Calibri" w:eastAsiaTheme="minorEastAsia" w:hAnsi="Calibri" w:cs="Calibri"/>
          <w:lang w:eastAsia="en-AU"/>
        </w:rPr>
        <w:t xml:space="preserve">. Activities in Myanmar were </w:t>
      </w:r>
      <w:r w:rsidRPr="003445E8">
        <w:rPr>
          <w:rFonts w:ascii="Calibri" w:eastAsiaTheme="minorEastAsia" w:hAnsi="Calibri" w:cs="Calibri"/>
          <w:lang w:eastAsia="en-AU"/>
        </w:rPr>
        <w:lastRenderedPageBreak/>
        <w:t xml:space="preserve">suspended by GEF in December 2021, with remaining funds reallocated to other project </w:t>
      </w:r>
      <w:r w:rsidRPr="003445E8">
        <w:rPr>
          <w:rFonts w:ascii="Calibri" w:eastAsiaTheme="minorEastAsia" w:hAnsi="Calibri" w:cs="Calibri"/>
        </w:rPr>
        <w:t>activities</w:t>
      </w:r>
      <w:r w:rsidRPr="003445E8">
        <w:rPr>
          <w:rFonts w:ascii="Calibri" w:eastAsiaTheme="minorEastAsia" w:hAnsi="Calibri" w:cs="Calibri"/>
          <w:lang w:eastAsia="en-AU"/>
        </w:rPr>
        <w:t>.</w:t>
      </w:r>
    </w:p>
    <w:p w14:paraId="77671798" w14:textId="77777777" w:rsidR="00E02E86" w:rsidRDefault="00E02E86" w:rsidP="00C07A0A">
      <w:pPr>
        <w:pStyle w:val="ListParagraph"/>
        <w:spacing w:after="120" w:line="276" w:lineRule="auto"/>
        <w:ind w:left="0"/>
        <w:jc w:val="both"/>
        <w:rPr>
          <w:rFonts w:ascii="Calibri" w:eastAsiaTheme="minorEastAsia" w:hAnsi="Calibri" w:cs="Calibri"/>
          <w:lang w:eastAsia="en-AU"/>
        </w:rPr>
      </w:pPr>
    </w:p>
    <w:p w14:paraId="49010712" w14:textId="77777777" w:rsidR="00E02E86" w:rsidRPr="003445E8" w:rsidRDefault="00E02E86" w:rsidP="00C07A0A">
      <w:pPr>
        <w:pStyle w:val="ListParagraph"/>
        <w:spacing w:after="120" w:line="276" w:lineRule="auto"/>
        <w:ind w:left="0"/>
        <w:jc w:val="both"/>
        <w:rPr>
          <w:rFonts w:ascii="Calibri" w:eastAsiaTheme="minorEastAsia" w:hAnsi="Calibri" w:cs="Calibri"/>
          <w:lang w:eastAsia="en-AU"/>
        </w:rPr>
      </w:pPr>
      <w:r w:rsidRPr="003445E8">
        <w:rPr>
          <w:rFonts w:ascii="Calibri" w:eastAsiaTheme="minorEastAsia" w:hAnsi="Calibri" w:cs="Calibri"/>
          <w:lang w:eastAsia="en-AU"/>
        </w:rPr>
        <w:t xml:space="preserve">The </w:t>
      </w:r>
      <w:r w:rsidRPr="003445E8">
        <w:rPr>
          <w:rFonts w:ascii="Calibri" w:eastAsiaTheme="minorEastAsia" w:hAnsi="Calibri" w:cs="Calibri"/>
        </w:rPr>
        <w:t>project</w:t>
      </w:r>
      <w:r w:rsidRPr="003445E8">
        <w:rPr>
          <w:rFonts w:ascii="Calibri" w:eastAsiaTheme="minorEastAsia" w:hAnsi="Calibri" w:cs="Calibri"/>
          <w:lang w:eastAsia="en-AU"/>
        </w:rPr>
        <w:t xml:space="preserve"> aimed to progress the following </w:t>
      </w:r>
      <w:r w:rsidRPr="003445E8">
        <w:rPr>
          <w:rFonts w:ascii="Calibri" w:eastAsiaTheme="minorEastAsia" w:hAnsi="Calibri" w:cs="Calibri"/>
          <w:b/>
          <w:lang w:eastAsia="en-AU"/>
        </w:rPr>
        <w:t>complimentary outcomes across all six countries</w:t>
      </w:r>
      <w:r w:rsidRPr="003445E8">
        <w:rPr>
          <w:rFonts w:ascii="Calibri" w:eastAsiaTheme="minorEastAsia" w:hAnsi="Calibri" w:cs="Calibri"/>
          <w:lang w:eastAsia="en-AU"/>
        </w:rPr>
        <w:t>:</w:t>
      </w:r>
    </w:p>
    <w:p w14:paraId="47792A43" w14:textId="77777777" w:rsidR="00E02E86" w:rsidRPr="003445E8" w:rsidRDefault="00E02E86" w:rsidP="00C07A0A">
      <w:pPr>
        <w:numPr>
          <w:ilvl w:val="0"/>
          <w:numId w:val="25"/>
        </w:numPr>
        <w:jc w:val="both"/>
        <w:rPr>
          <w:rFonts w:ascii="Calibri" w:eastAsiaTheme="minorEastAsia" w:hAnsi="Calibri" w:cs="Calibri"/>
        </w:rPr>
      </w:pPr>
      <w:r w:rsidRPr="003445E8">
        <w:rPr>
          <w:rFonts w:ascii="Calibri" w:eastAsiaTheme="minorEastAsia" w:hAnsi="Calibri" w:cs="Calibri"/>
          <w:b/>
        </w:rPr>
        <w:t>Outcome 1:</w:t>
      </w:r>
      <w:r w:rsidRPr="003445E8">
        <w:rPr>
          <w:rFonts w:ascii="Calibri" w:eastAsiaTheme="minorEastAsia" w:hAnsi="Calibri" w:cs="Calibri"/>
        </w:rPr>
        <w:t xml:space="preserve"> Institutional capacities are strengthened to effectively integrate climate risks and adaptation options in health sector planning and implementation</w:t>
      </w:r>
    </w:p>
    <w:p w14:paraId="0E571553" w14:textId="77777777" w:rsidR="00E02E86" w:rsidRPr="003445E8" w:rsidRDefault="00E02E86" w:rsidP="00C07A0A">
      <w:pPr>
        <w:numPr>
          <w:ilvl w:val="0"/>
          <w:numId w:val="25"/>
        </w:numPr>
        <w:jc w:val="both"/>
        <w:rPr>
          <w:rFonts w:ascii="Calibri" w:eastAsiaTheme="minorEastAsia" w:hAnsi="Calibri" w:cs="Calibri"/>
        </w:rPr>
      </w:pPr>
      <w:r w:rsidRPr="003445E8">
        <w:rPr>
          <w:rFonts w:ascii="Calibri" w:eastAsiaTheme="minorEastAsia" w:hAnsi="Calibri" w:cs="Calibri"/>
          <w:b/>
        </w:rPr>
        <w:t>Outcome 2:</w:t>
      </w:r>
      <w:r w:rsidRPr="003445E8">
        <w:rPr>
          <w:rFonts w:ascii="Calibri" w:eastAsiaTheme="minorEastAsia" w:hAnsi="Calibri" w:cs="Calibri"/>
        </w:rPr>
        <w:t xml:space="preserve"> Effective decision-making for health interventions is enabled through generation of information and improved surveillance and/or early warning systems</w:t>
      </w:r>
    </w:p>
    <w:p w14:paraId="3DD9C17B" w14:textId="77777777" w:rsidR="00E02E86" w:rsidRPr="003445E8" w:rsidRDefault="00E02E86" w:rsidP="00C07A0A">
      <w:pPr>
        <w:numPr>
          <w:ilvl w:val="0"/>
          <w:numId w:val="25"/>
        </w:numPr>
        <w:jc w:val="both"/>
        <w:rPr>
          <w:rFonts w:ascii="Calibri" w:eastAsiaTheme="minorEastAsia" w:hAnsi="Calibri" w:cs="Calibri"/>
        </w:rPr>
      </w:pPr>
      <w:r w:rsidRPr="003445E8">
        <w:rPr>
          <w:rFonts w:ascii="Calibri" w:eastAsiaTheme="minorEastAsia" w:hAnsi="Calibri" w:cs="Calibri"/>
          <w:b/>
        </w:rPr>
        <w:t>Outcome 3:</w:t>
      </w:r>
      <w:r w:rsidRPr="003445E8">
        <w:rPr>
          <w:rFonts w:ascii="Calibri" w:eastAsiaTheme="minorEastAsia" w:hAnsi="Calibri" w:cs="Calibri"/>
        </w:rPr>
        <w:t xml:space="preserve"> Climate resilience is enhanced in health service delivery</w:t>
      </w:r>
    </w:p>
    <w:p w14:paraId="65E06B97" w14:textId="77777777" w:rsidR="00E02E86" w:rsidRPr="003445E8" w:rsidRDefault="00E02E86" w:rsidP="00C07A0A">
      <w:pPr>
        <w:numPr>
          <w:ilvl w:val="0"/>
          <w:numId w:val="25"/>
        </w:numPr>
        <w:jc w:val="both"/>
        <w:rPr>
          <w:rFonts w:ascii="Calibri" w:eastAsiaTheme="minorEastAsia" w:hAnsi="Calibri" w:cs="Calibri"/>
        </w:rPr>
      </w:pPr>
      <w:r w:rsidRPr="003445E8">
        <w:rPr>
          <w:rFonts w:ascii="Calibri" w:eastAsiaTheme="minorEastAsia" w:hAnsi="Calibri" w:cs="Calibri"/>
          <w:b/>
        </w:rPr>
        <w:t>Outcome 4.1:</w:t>
      </w:r>
      <w:r w:rsidRPr="003445E8">
        <w:rPr>
          <w:rFonts w:ascii="Calibri" w:eastAsiaTheme="minorEastAsia" w:hAnsi="Calibri" w:cs="Calibri"/>
        </w:rPr>
        <w:t xml:space="preserve"> Enhanced regional cooperation and knowledge exchange for promoting scale-up and replication of interventions</w:t>
      </w:r>
    </w:p>
    <w:p w14:paraId="6D8C6CE0" w14:textId="77777777" w:rsidR="00E02E86" w:rsidRPr="003445E8" w:rsidRDefault="00E02E86" w:rsidP="00C07A0A">
      <w:pPr>
        <w:numPr>
          <w:ilvl w:val="0"/>
          <w:numId w:val="25"/>
        </w:numPr>
        <w:jc w:val="both"/>
        <w:rPr>
          <w:rFonts w:ascii="Calibri" w:eastAsiaTheme="minorEastAsia" w:hAnsi="Calibri" w:cs="Calibri"/>
        </w:rPr>
      </w:pPr>
      <w:r w:rsidRPr="003445E8">
        <w:rPr>
          <w:rFonts w:ascii="Calibri" w:eastAsiaTheme="minorEastAsia" w:hAnsi="Calibri" w:cs="Calibri"/>
          <w:b/>
        </w:rPr>
        <w:t>Outcome 4.2</w:t>
      </w:r>
      <w:r w:rsidRPr="003445E8">
        <w:rPr>
          <w:rFonts w:ascii="Calibri" w:eastAsiaTheme="minorEastAsia" w:hAnsi="Calibri" w:cs="Calibri"/>
        </w:rPr>
        <w:t>: Health-National Adaptation Plans (HNAP) are effectively integrated into ongoing National Adaptation Plan (NAP) processes</w:t>
      </w:r>
    </w:p>
    <w:p w14:paraId="3F39B23B" w14:textId="77777777" w:rsidR="00E02E86" w:rsidRPr="003445E8" w:rsidRDefault="00E02E86" w:rsidP="00C07A0A">
      <w:pPr>
        <w:rPr>
          <w:rFonts w:ascii="Calibri" w:hAnsi="Calibri" w:cs="Calibri"/>
        </w:rPr>
      </w:pPr>
    </w:p>
    <w:p w14:paraId="237747CB" w14:textId="77777777" w:rsidR="00E02E86" w:rsidRPr="003445E8" w:rsidRDefault="00E02E86" w:rsidP="00C07A0A">
      <w:pPr>
        <w:pStyle w:val="Heading3"/>
        <w:numPr>
          <w:ilvl w:val="1"/>
          <w:numId w:val="29"/>
        </w:numPr>
        <w:rPr>
          <w:rStyle w:val="eop"/>
          <w:rFonts w:ascii="Calibri" w:hAnsi="Calibri" w:cs="Calibri"/>
          <w:b/>
          <w:i/>
          <w:color w:val="156082" w:themeColor="accent1"/>
        </w:rPr>
      </w:pPr>
      <w:bookmarkStart w:id="8" w:name="_Toc172299378"/>
      <w:bookmarkStart w:id="9" w:name="_Toc173429960"/>
      <w:r w:rsidRPr="003445E8">
        <w:rPr>
          <w:rFonts w:ascii="Calibri" w:hAnsi="Calibri" w:cs="Calibri"/>
          <w:b/>
        </w:rPr>
        <w:t>Evaluation Ratings Table</w:t>
      </w:r>
      <w:bookmarkEnd w:id="8"/>
      <w:bookmarkEnd w:id="9"/>
      <w:r w:rsidRPr="003445E8">
        <w:rPr>
          <w:rStyle w:val="eop"/>
          <w:rFonts w:ascii="Calibri" w:hAnsi="Calibri" w:cs="Calibri"/>
          <w:i/>
          <w:color w:val="156082" w:themeColor="accent1"/>
        </w:rPr>
        <w:t> </w:t>
      </w:r>
    </w:p>
    <w:p w14:paraId="3209FFBA" w14:textId="77777777" w:rsidR="00E02E86" w:rsidRPr="00F90076" w:rsidRDefault="00E02E86" w:rsidP="00C07A0A">
      <w:pPr>
        <w:pStyle w:val="paragraph"/>
        <w:suppressAutoHyphens/>
        <w:spacing w:before="0" w:beforeAutospacing="0" w:after="0" w:afterAutospacing="0"/>
        <w:jc w:val="both"/>
        <w:rPr>
          <w:rFonts w:ascii="Calibri" w:eastAsiaTheme="majorEastAsia" w:hAnsi="Calibri" w:cs="Calibri"/>
          <w:color w:val="000000" w:themeColor="text1"/>
        </w:rPr>
      </w:pPr>
      <w:r w:rsidRPr="003445E8">
        <w:rPr>
          <w:rFonts w:ascii="Calibri" w:eastAsiaTheme="majorEastAsia" w:hAnsi="Calibri" w:cs="Calibri"/>
          <w:color w:val="000000" w:themeColor="text1"/>
        </w:rPr>
        <w:t xml:space="preserve">The project has achieved or is on track to achieve its overall objective and corresponding end-of-project outcome and output targets. Country level outcome indicators and activities are clearly aligned to overall outcomes and there has been significant progress across several activities, particularly in relation to development of HNAPs, </w:t>
      </w:r>
      <w:r>
        <w:rPr>
          <w:rFonts w:ascii="Calibri" w:eastAsiaTheme="majorEastAsia" w:hAnsi="Calibri" w:cs="Calibri"/>
          <w:color w:val="000000" w:themeColor="text1"/>
        </w:rPr>
        <w:t>Vulnerability and Adaptation (</w:t>
      </w:r>
      <w:r w:rsidRPr="003445E8">
        <w:rPr>
          <w:rFonts w:ascii="Calibri" w:eastAsiaTheme="majorEastAsia" w:hAnsi="Calibri" w:cs="Calibri"/>
          <w:color w:val="000000" w:themeColor="text1"/>
        </w:rPr>
        <w:t>V&amp;A</w:t>
      </w:r>
      <w:r>
        <w:rPr>
          <w:rFonts w:ascii="Calibri" w:eastAsiaTheme="majorEastAsia" w:hAnsi="Calibri" w:cs="Calibri"/>
          <w:color w:val="000000" w:themeColor="text1"/>
        </w:rPr>
        <w:t>)</w:t>
      </w:r>
      <w:r w:rsidRPr="003445E8">
        <w:rPr>
          <w:rFonts w:ascii="Calibri" w:eastAsiaTheme="majorEastAsia" w:hAnsi="Calibri" w:cs="Calibri"/>
          <w:color w:val="000000" w:themeColor="text1"/>
        </w:rPr>
        <w:t xml:space="preserve"> Assessments, and capacity building activities for climate resilient health services.</w:t>
      </w:r>
    </w:p>
    <w:p w14:paraId="44A45943" w14:textId="77777777" w:rsidR="00E02E86" w:rsidRDefault="00E02E86" w:rsidP="00C07A0A">
      <w:pPr>
        <w:pStyle w:val="paragraph"/>
        <w:suppressAutoHyphens/>
        <w:spacing w:before="0" w:beforeAutospacing="0" w:after="0" w:afterAutospacing="0"/>
        <w:rPr>
          <w:rFonts w:ascii="Calibri" w:hAnsi="Calibri" w:cs="Calibri"/>
          <w:b/>
        </w:rPr>
      </w:pPr>
    </w:p>
    <w:p w14:paraId="70013F3F" w14:textId="77777777" w:rsidR="00E02E86" w:rsidRDefault="00E02E86" w:rsidP="00C07A0A">
      <w:pPr>
        <w:pStyle w:val="paragraph"/>
        <w:suppressAutoHyphens/>
        <w:spacing w:before="0" w:beforeAutospacing="0" w:after="0" w:afterAutospacing="0"/>
        <w:rPr>
          <w:rFonts w:ascii="Calibri" w:hAnsi="Calibri" w:cs="Calibri"/>
          <w:b/>
        </w:rPr>
      </w:pPr>
      <w:r w:rsidRPr="003445E8">
        <w:rPr>
          <w:rFonts w:ascii="Calibri" w:hAnsi="Calibri" w:cs="Calibri"/>
          <w:b/>
        </w:rPr>
        <w:t>Summary of key findings and TE Ratings</w:t>
      </w:r>
    </w:p>
    <w:tbl>
      <w:tblPr>
        <w:tblStyle w:val="TableGrid"/>
        <w:tblW w:w="8926" w:type="dxa"/>
        <w:tblLayout w:type="fixed"/>
        <w:tblLook w:val="06A0" w:firstRow="1" w:lastRow="0" w:firstColumn="1" w:lastColumn="0" w:noHBand="1" w:noVBand="1"/>
      </w:tblPr>
      <w:tblGrid>
        <w:gridCol w:w="1413"/>
        <w:gridCol w:w="1417"/>
        <w:gridCol w:w="6096"/>
      </w:tblGrid>
      <w:tr w:rsidR="00524826" w14:paraId="21A5604C" w14:textId="77777777" w:rsidTr="00300F75">
        <w:trPr>
          <w:trHeight w:val="389"/>
          <w:tblHeader/>
        </w:trPr>
        <w:tc>
          <w:tcPr>
            <w:tcW w:w="1413" w:type="dxa"/>
            <w:shd w:val="clear" w:color="auto" w:fill="DAE9F7" w:themeFill="text2" w:themeFillTint="1A"/>
          </w:tcPr>
          <w:p w14:paraId="14B1DD5E" w14:textId="77777777" w:rsidR="00524826" w:rsidRDefault="00524826" w:rsidP="00300F75">
            <w:pPr>
              <w:pStyle w:val="paragraph"/>
              <w:suppressAutoHyphens/>
              <w:rPr>
                <w:rStyle w:val="eop"/>
                <w:rFonts w:ascii="Calibri" w:eastAsiaTheme="majorEastAsia" w:hAnsi="Calibri" w:cs="Calibri"/>
                <w:b/>
                <w:bCs/>
                <w:color w:val="000000" w:themeColor="text1"/>
                <w:sz w:val="20"/>
                <w:szCs w:val="20"/>
              </w:rPr>
            </w:pPr>
            <w:r>
              <w:rPr>
                <w:rStyle w:val="eop"/>
                <w:rFonts w:ascii="Calibri" w:eastAsiaTheme="majorEastAsia" w:hAnsi="Calibri" w:cs="Calibri"/>
                <w:b/>
                <w:bCs/>
                <w:color w:val="000000" w:themeColor="text1"/>
                <w:sz w:val="20"/>
                <w:szCs w:val="20"/>
              </w:rPr>
              <w:t>Measure</w:t>
            </w:r>
          </w:p>
        </w:tc>
        <w:tc>
          <w:tcPr>
            <w:tcW w:w="1417" w:type="dxa"/>
            <w:shd w:val="clear" w:color="auto" w:fill="DAE9F7" w:themeFill="text2" w:themeFillTint="1A"/>
          </w:tcPr>
          <w:p w14:paraId="06860EA8" w14:textId="77777777" w:rsidR="00524826" w:rsidRDefault="00524826" w:rsidP="00300F75">
            <w:pPr>
              <w:pStyle w:val="paragraph"/>
              <w:suppressAutoHyphens/>
              <w:rPr>
                <w:rStyle w:val="eop"/>
                <w:rFonts w:ascii="Calibri" w:eastAsiaTheme="majorEastAsia" w:hAnsi="Calibri" w:cs="Calibri"/>
                <w:b/>
                <w:bCs/>
                <w:color w:val="000000" w:themeColor="text1"/>
                <w:sz w:val="20"/>
                <w:szCs w:val="20"/>
              </w:rPr>
            </w:pPr>
            <w:r>
              <w:rPr>
                <w:rStyle w:val="eop"/>
                <w:rFonts w:ascii="Calibri" w:eastAsiaTheme="majorEastAsia" w:hAnsi="Calibri" w:cs="Calibri"/>
                <w:b/>
                <w:bCs/>
                <w:color w:val="000000" w:themeColor="text1"/>
                <w:sz w:val="20"/>
                <w:szCs w:val="20"/>
              </w:rPr>
              <w:t>TE outcome rating</w:t>
            </w:r>
            <w:r w:rsidRPr="00CB0E8D">
              <w:rPr>
                <w:rStyle w:val="FootnoteReference"/>
                <w:rFonts w:ascii="Calibri" w:eastAsiaTheme="majorEastAsia" w:hAnsi="Calibri"/>
                <w:b/>
                <w:color w:val="000000" w:themeColor="text1"/>
                <w:sz w:val="20"/>
              </w:rPr>
              <w:footnoteReference w:id="3"/>
            </w:r>
            <w:r>
              <w:rPr>
                <w:rStyle w:val="eop"/>
                <w:rFonts w:ascii="Calibri" w:eastAsiaTheme="majorEastAsia" w:hAnsi="Calibri" w:cs="Calibri"/>
                <w:b/>
                <w:bCs/>
                <w:color w:val="000000" w:themeColor="text1"/>
                <w:sz w:val="20"/>
                <w:szCs w:val="20"/>
              </w:rPr>
              <w:t xml:space="preserve"> </w:t>
            </w:r>
          </w:p>
        </w:tc>
        <w:tc>
          <w:tcPr>
            <w:tcW w:w="6096" w:type="dxa"/>
            <w:shd w:val="clear" w:color="auto" w:fill="DAE9F7" w:themeFill="text2" w:themeFillTint="1A"/>
          </w:tcPr>
          <w:p w14:paraId="5FECFCA6" w14:textId="77777777" w:rsidR="00524826" w:rsidRDefault="00524826" w:rsidP="00300F75">
            <w:pPr>
              <w:pStyle w:val="paragraph"/>
              <w:suppressAutoHyphens/>
              <w:rPr>
                <w:rStyle w:val="eop"/>
                <w:rFonts w:ascii="Calibri" w:eastAsiaTheme="majorEastAsia" w:hAnsi="Calibri" w:cs="Calibri"/>
                <w:b/>
                <w:bCs/>
                <w:color w:val="000000" w:themeColor="text1"/>
                <w:sz w:val="20"/>
                <w:szCs w:val="20"/>
              </w:rPr>
            </w:pPr>
            <w:r>
              <w:rPr>
                <w:rStyle w:val="eop"/>
                <w:rFonts w:ascii="Calibri" w:eastAsiaTheme="majorEastAsia" w:hAnsi="Calibri" w:cs="Calibri"/>
                <w:b/>
                <w:bCs/>
                <w:color w:val="000000" w:themeColor="text1"/>
                <w:sz w:val="20"/>
                <w:szCs w:val="20"/>
              </w:rPr>
              <w:t xml:space="preserve">Achievement Description </w:t>
            </w:r>
          </w:p>
        </w:tc>
      </w:tr>
      <w:tr w:rsidR="00524826" w14:paraId="6FE111AF" w14:textId="77777777" w:rsidTr="00300F75">
        <w:trPr>
          <w:trHeight w:val="389"/>
        </w:trPr>
        <w:tc>
          <w:tcPr>
            <w:tcW w:w="1413" w:type="dxa"/>
            <w:vMerge w:val="restart"/>
          </w:tcPr>
          <w:p w14:paraId="606BFDFA" w14:textId="77777777" w:rsidR="00524826" w:rsidRDefault="00524826" w:rsidP="00300F75">
            <w:pPr>
              <w:pStyle w:val="paragraph"/>
              <w:suppressAutoHyphens/>
              <w:spacing w:line="259" w:lineRule="auto"/>
              <w:rPr>
                <w:rFonts w:ascii="Calibri" w:eastAsiaTheme="majorEastAsia" w:hAnsi="Calibri" w:cs="Calibri"/>
                <w:b/>
                <w:color w:val="000000" w:themeColor="text1"/>
                <w:sz w:val="20"/>
                <w:szCs w:val="20"/>
              </w:rPr>
            </w:pPr>
            <w:r>
              <w:rPr>
                <w:rFonts w:ascii="Calibri" w:eastAsiaTheme="majorEastAsia" w:hAnsi="Calibri" w:cs="Calibri"/>
                <w:b/>
                <w:color w:val="000000" w:themeColor="text1"/>
                <w:sz w:val="20"/>
                <w:szCs w:val="20"/>
              </w:rPr>
              <w:t xml:space="preserve">Project Results and Effectiveness </w:t>
            </w:r>
          </w:p>
        </w:tc>
        <w:tc>
          <w:tcPr>
            <w:tcW w:w="1417" w:type="dxa"/>
          </w:tcPr>
          <w:p w14:paraId="29FB4CC5" w14:textId="77777777" w:rsidR="00524826" w:rsidRDefault="00524826" w:rsidP="00300F75">
            <w:pPr>
              <w:pStyle w:val="paragraph"/>
              <w:suppressAutoHyphens/>
              <w:spacing w:line="259" w:lineRule="auto"/>
              <w:rPr>
                <w:rStyle w:val="eop"/>
                <w:rFonts w:ascii="Calibri" w:eastAsiaTheme="majorEastAsia" w:hAnsi="Calibri" w:cs="Calibri"/>
                <w:bCs/>
                <w:color w:val="000000" w:themeColor="text1"/>
                <w:sz w:val="20"/>
                <w:szCs w:val="20"/>
              </w:rPr>
            </w:pPr>
            <w:r>
              <w:rPr>
                <w:rFonts w:ascii="Calibri" w:eastAsiaTheme="majorEastAsia" w:hAnsi="Calibri" w:cs="Calibri"/>
                <w:b/>
                <w:color w:val="000000" w:themeColor="text1"/>
                <w:sz w:val="20"/>
                <w:szCs w:val="20"/>
              </w:rPr>
              <w:t xml:space="preserve">Project Objective: </w:t>
            </w:r>
            <w:r>
              <w:rPr>
                <w:rFonts w:ascii="Calibri" w:eastAsiaTheme="majorEastAsia" w:hAnsi="Calibri" w:cs="Calibri"/>
                <w:bCs/>
                <w:color w:val="000000" w:themeColor="text1"/>
                <w:sz w:val="20"/>
                <w:szCs w:val="20"/>
              </w:rPr>
              <w:t>Achieved – HS</w:t>
            </w:r>
          </w:p>
        </w:tc>
        <w:tc>
          <w:tcPr>
            <w:tcW w:w="6096" w:type="dxa"/>
          </w:tcPr>
          <w:p w14:paraId="28BCD917" w14:textId="4E1AFD14" w:rsidR="00524826" w:rsidRDefault="00524826" w:rsidP="00300F75">
            <w:pPr>
              <w:pStyle w:val="paragraph"/>
              <w:suppressAutoHyphens/>
              <w:rPr>
                <w:rStyle w:val="eop"/>
                <w:rFonts w:ascii="Calibri" w:eastAsiaTheme="majorEastAsia" w:hAnsi="Calibri" w:cs="Calibri"/>
                <w:color w:val="000000" w:themeColor="text1"/>
                <w:sz w:val="20"/>
                <w:szCs w:val="20"/>
              </w:rPr>
            </w:pPr>
            <w:r w:rsidRPr="003445E8">
              <w:rPr>
                <w:rStyle w:val="eop"/>
                <w:rFonts w:ascii="Calibri" w:eastAsiaTheme="majorEastAsia" w:hAnsi="Calibri" w:cs="Calibri"/>
                <w:color w:val="000000" w:themeColor="text1"/>
                <w:sz w:val="20"/>
                <w:szCs w:val="20"/>
              </w:rPr>
              <w:t>HNAPs</w:t>
            </w:r>
            <w:r>
              <w:rPr>
                <w:rStyle w:val="eop"/>
                <w:rFonts w:ascii="Calibri" w:eastAsiaTheme="majorEastAsia" w:hAnsi="Calibri" w:cs="Calibri"/>
                <w:color w:val="000000" w:themeColor="text1"/>
                <w:sz w:val="20"/>
                <w:szCs w:val="20"/>
              </w:rPr>
              <w:t xml:space="preserve"> were completed and endorsed by all countries, with two now being updated (Bangladesh and Nepal). Comprehensiveness and quality of HNAPs was not within scope of this evaluation. National HNAP coordination mechanisms, such as Technical Working Groups (TWG), were established with</w:t>
            </w:r>
            <w:r w:rsidR="00F83582">
              <w:rPr>
                <w:rStyle w:val="eop"/>
                <w:rFonts w:ascii="Calibri" w:eastAsiaTheme="majorEastAsia" w:hAnsi="Calibri" w:cs="Calibri"/>
                <w:color w:val="000000" w:themeColor="text1"/>
                <w:sz w:val="20"/>
                <w:szCs w:val="20"/>
              </w:rPr>
              <w:t>in</w:t>
            </w:r>
            <w:r>
              <w:rPr>
                <w:rStyle w:val="eop"/>
                <w:rFonts w:ascii="Calibri" w:eastAsiaTheme="majorEastAsia" w:hAnsi="Calibri" w:cs="Calibri"/>
                <w:color w:val="000000" w:themeColor="text1"/>
                <w:sz w:val="20"/>
                <w:szCs w:val="20"/>
              </w:rPr>
              <w:t xml:space="preserve"> MOH. Funding and accountability for HNAP implementation was a sustainability challenge, although some countries secured additional funding to mitigate these risks. </w:t>
            </w:r>
          </w:p>
        </w:tc>
      </w:tr>
      <w:tr w:rsidR="00524826" w14:paraId="0CF3CB2E" w14:textId="77777777" w:rsidTr="00300F75">
        <w:trPr>
          <w:trHeight w:val="389"/>
        </w:trPr>
        <w:tc>
          <w:tcPr>
            <w:tcW w:w="1413" w:type="dxa"/>
            <w:vMerge/>
          </w:tcPr>
          <w:p w14:paraId="2870479C" w14:textId="77777777" w:rsidR="00524826" w:rsidRDefault="00524826" w:rsidP="00300F75">
            <w:pPr>
              <w:pStyle w:val="paragraph"/>
              <w:suppressAutoHyphens/>
              <w:spacing w:line="259" w:lineRule="auto"/>
              <w:rPr>
                <w:rStyle w:val="eop"/>
                <w:rFonts w:ascii="Calibri" w:eastAsiaTheme="majorEastAsia" w:hAnsi="Calibri" w:cs="Calibri"/>
                <w:b/>
                <w:color w:val="000000" w:themeColor="text1"/>
                <w:sz w:val="20"/>
                <w:szCs w:val="20"/>
              </w:rPr>
            </w:pPr>
          </w:p>
        </w:tc>
        <w:tc>
          <w:tcPr>
            <w:tcW w:w="1417" w:type="dxa"/>
          </w:tcPr>
          <w:p w14:paraId="7677E7D6" w14:textId="77777777" w:rsidR="00524826" w:rsidRDefault="00524826" w:rsidP="00300F75">
            <w:pPr>
              <w:pStyle w:val="paragraph"/>
              <w:suppressAutoHyphens/>
              <w:spacing w:line="259" w:lineRule="auto"/>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Outcome 1.</w:t>
            </w:r>
            <w:r>
              <w:rPr>
                <w:rFonts w:ascii="Calibri" w:eastAsia="Calibri" w:hAnsi="Calibri" w:cs="Calibri"/>
                <w:color w:val="000000" w:themeColor="text1"/>
                <w:sz w:val="20"/>
                <w:szCs w:val="20"/>
              </w:rPr>
              <w:t xml:space="preserve"> Achieved - HS</w:t>
            </w:r>
          </w:p>
        </w:tc>
        <w:tc>
          <w:tcPr>
            <w:tcW w:w="6096" w:type="dxa"/>
          </w:tcPr>
          <w:p w14:paraId="7105F779" w14:textId="2704E9E0" w:rsidR="00524826" w:rsidRDefault="00524826" w:rsidP="00300F75">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Institutional capacity was enhanced in all countries through the development and finalisation of context-specific guidelines, tools,</w:t>
            </w:r>
            <w:r w:rsidR="0051442F">
              <w:rPr>
                <w:rStyle w:val="eop"/>
                <w:rFonts w:ascii="Calibri" w:eastAsiaTheme="majorEastAsia" w:hAnsi="Calibri" w:cs="Calibri"/>
                <w:color w:val="000000" w:themeColor="text1"/>
                <w:sz w:val="20"/>
                <w:szCs w:val="20"/>
              </w:rPr>
              <w:t xml:space="preserve"> manuals</w:t>
            </w:r>
            <w:r>
              <w:rPr>
                <w:rStyle w:val="eop"/>
                <w:rFonts w:ascii="Calibri" w:eastAsiaTheme="majorEastAsia" w:hAnsi="Calibri" w:cs="Calibri"/>
                <w:color w:val="000000" w:themeColor="text1"/>
                <w:sz w:val="20"/>
                <w:szCs w:val="20"/>
              </w:rPr>
              <w:t xml:space="preserve"> and standards. Global and regional technical guidelines were adapted to national contexts, with evidence of government ownership through co-branding and rollout in national and sub-national training and capacity-building activities. </w:t>
            </w:r>
          </w:p>
        </w:tc>
      </w:tr>
      <w:tr w:rsidR="00524826" w14:paraId="2F8F83A2" w14:textId="77777777" w:rsidTr="00300F75">
        <w:trPr>
          <w:trHeight w:val="983"/>
        </w:trPr>
        <w:tc>
          <w:tcPr>
            <w:tcW w:w="1413" w:type="dxa"/>
            <w:vMerge/>
          </w:tcPr>
          <w:p w14:paraId="7FC65EAD" w14:textId="77777777" w:rsidR="00524826" w:rsidRDefault="00524826" w:rsidP="00300F75">
            <w:pPr>
              <w:pStyle w:val="paragraph"/>
              <w:suppressAutoHyphens/>
              <w:rPr>
                <w:rStyle w:val="eop"/>
                <w:rFonts w:ascii="Calibri" w:eastAsiaTheme="majorEastAsia" w:hAnsi="Calibri" w:cs="Calibri"/>
                <w:b/>
                <w:color w:val="000000" w:themeColor="text1"/>
                <w:sz w:val="20"/>
                <w:szCs w:val="20"/>
              </w:rPr>
            </w:pPr>
          </w:p>
        </w:tc>
        <w:tc>
          <w:tcPr>
            <w:tcW w:w="1417" w:type="dxa"/>
          </w:tcPr>
          <w:p w14:paraId="782B112C" w14:textId="77777777" w:rsidR="00524826" w:rsidRDefault="00524826" w:rsidP="00300F75">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Outcome 2</w:t>
            </w:r>
            <w:r>
              <w:rPr>
                <w:rStyle w:val="eop"/>
                <w:rFonts w:ascii="Calibri" w:eastAsiaTheme="majorEastAsia" w:hAnsi="Calibri" w:cs="Calibri"/>
                <w:color w:val="000000" w:themeColor="text1"/>
                <w:sz w:val="20"/>
                <w:szCs w:val="20"/>
              </w:rPr>
              <w:t xml:space="preserve">. </w:t>
            </w:r>
            <w:r>
              <w:rPr>
                <w:rFonts w:ascii="Calibri" w:eastAsia="Calibri" w:hAnsi="Calibri" w:cs="Calibri"/>
                <w:color w:val="000000" w:themeColor="text1"/>
                <w:sz w:val="20"/>
                <w:szCs w:val="20"/>
              </w:rPr>
              <w:t>Achieved – S</w:t>
            </w:r>
          </w:p>
        </w:tc>
        <w:tc>
          <w:tcPr>
            <w:tcW w:w="6096" w:type="dxa"/>
          </w:tcPr>
          <w:p w14:paraId="273ECEC8" w14:textId="77777777" w:rsidR="00524826" w:rsidRDefault="00524826" w:rsidP="00300F75">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Vulnerability and adaptation (V&amp;A) assessments were completed in all countries, with results directly informing HNAP review and updates in project countries. V&amp;A comprehensiveness and quality was not within scope of this evaluation. All countries developed and piloted integrated climate-sensitive disease surveillance systems for select climate-sensitive health outcomes (dengue and diarrhoeal diseases most common), but there was uneven progress on wider rollout and scale-up, </w:t>
            </w:r>
            <w:r>
              <w:rPr>
                <w:rStyle w:val="eop"/>
                <w:rFonts w:ascii="Calibri" w:eastAsiaTheme="majorEastAsia" w:hAnsi="Calibri" w:cs="Calibri"/>
                <w:color w:val="000000" w:themeColor="text1"/>
                <w:sz w:val="20"/>
                <w:szCs w:val="20"/>
              </w:rPr>
              <w:lastRenderedPageBreak/>
              <w:t xml:space="preserve">reflecting the diverse and varying contexts across countries. Limited availability of historical meteorological and disease data hampered timely development and integration of surveillance systems in Cambodia and Timor-Leste.  </w:t>
            </w:r>
          </w:p>
        </w:tc>
      </w:tr>
      <w:tr w:rsidR="00524826" w14:paraId="3BAA0DD6" w14:textId="77777777" w:rsidTr="00300F75">
        <w:trPr>
          <w:trHeight w:val="389"/>
        </w:trPr>
        <w:tc>
          <w:tcPr>
            <w:tcW w:w="1413" w:type="dxa"/>
            <w:vMerge/>
          </w:tcPr>
          <w:p w14:paraId="2FB9A170" w14:textId="77777777" w:rsidR="00524826" w:rsidRDefault="00524826" w:rsidP="00300F75">
            <w:pPr>
              <w:pStyle w:val="paragraph"/>
              <w:suppressAutoHyphens/>
              <w:rPr>
                <w:rStyle w:val="eop"/>
                <w:rFonts w:ascii="Calibri" w:eastAsiaTheme="majorEastAsia" w:hAnsi="Calibri" w:cs="Calibri"/>
                <w:b/>
                <w:color w:val="000000" w:themeColor="text1"/>
                <w:sz w:val="20"/>
                <w:szCs w:val="20"/>
              </w:rPr>
            </w:pPr>
          </w:p>
        </w:tc>
        <w:tc>
          <w:tcPr>
            <w:tcW w:w="1417" w:type="dxa"/>
          </w:tcPr>
          <w:p w14:paraId="7F731961" w14:textId="77777777" w:rsidR="00524826" w:rsidRDefault="00524826" w:rsidP="00300F75">
            <w:pPr>
              <w:pStyle w:val="paragraph"/>
              <w:suppressAutoHyphens/>
              <w:rPr>
                <w:rStyle w:val="eop"/>
                <w:rFonts w:ascii="Calibri" w:eastAsiaTheme="majorEastAsia" w:hAnsi="Calibri" w:cs="Calibri"/>
                <w:sz w:val="20"/>
                <w:szCs w:val="20"/>
              </w:rPr>
            </w:pPr>
            <w:r>
              <w:rPr>
                <w:rStyle w:val="eop"/>
                <w:rFonts w:ascii="Calibri" w:eastAsiaTheme="majorEastAsia" w:hAnsi="Calibri" w:cs="Calibri"/>
                <w:b/>
                <w:color w:val="000000" w:themeColor="text1"/>
                <w:sz w:val="20"/>
                <w:szCs w:val="20"/>
              </w:rPr>
              <w:t>Outcome 3.</w:t>
            </w:r>
            <w:r>
              <w:rPr>
                <w:rStyle w:val="eop"/>
                <w:rFonts w:ascii="Calibri" w:eastAsiaTheme="majorEastAsia" w:hAnsi="Calibri" w:cs="Calibri"/>
                <w:color w:val="000000" w:themeColor="text1"/>
                <w:sz w:val="20"/>
                <w:szCs w:val="20"/>
              </w:rPr>
              <w:t xml:space="preserve"> Achieved – HS</w:t>
            </w:r>
          </w:p>
        </w:tc>
        <w:tc>
          <w:tcPr>
            <w:tcW w:w="6096" w:type="dxa"/>
          </w:tcPr>
          <w:p w14:paraId="7DA19A51" w14:textId="77777777" w:rsidR="00524826" w:rsidRDefault="00524826" w:rsidP="00300F75">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All countries supported activities to enhance climate resilience in health service delivery. These efforts primarily focused on Water, Sanitation and Hygiene (WASH) and waste management. Additional investment may be needed to address other aspects of low-carbon and climate-resilient health service delivery. The flexibility to co-design and tailor activities to local contexts was beneficial, but variation in intervention approaches and unclear beneficiary definitions hindered comparison and indicator measurement. Funding and responsibilities for the ongoing maintenance and operation of interventions remain challenging. </w:t>
            </w:r>
          </w:p>
        </w:tc>
      </w:tr>
      <w:tr w:rsidR="00524826" w14:paraId="3337E028" w14:textId="77777777" w:rsidTr="00300F75">
        <w:trPr>
          <w:trHeight w:val="389"/>
        </w:trPr>
        <w:tc>
          <w:tcPr>
            <w:tcW w:w="1413" w:type="dxa"/>
            <w:vMerge/>
          </w:tcPr>
          <w:p w14:paraId="05E1A0B0" w14:textId="77777777" w:rsidR="00524826" w:rsidRDefault="00524826" w:rsidP="00300F75">
            <w:pPr>
              <w:pStyle w:val="paragraph"/>
              <w:suppressAutoHyphens/>
              <w:rPr>
                <w:rStyle w:val="eop"/>
                <w:rFonts w:ascii="Calibri" w:eastAsiaTheme="majorEastAsia" w:hAnsi="Calibri" w:cs="Calibri"/>
                <w:b/>
                <w:color w:val="000000" w:themeColor="text1"/>
                <w:sz w:val="20"/>
                <w:szCs w:val="20"/>
              </w:rPr>
            </w:pPr>
          </w:p>
        </w:tc>
        <w:tc>
          <w:tcPr>
            <w:tcW w:w="1417" w:type="dxa"/>
          </w:tcPr>
          <w:p w14:paraId="3BDE4087" w14:textId="77777777" w:rsidR="00524826" w:rsidRDefault="00524826" w:rsidP="00300F75">
            <w:pPr>
              <w:pStyle w:val="paragraph"/>
              <w:suppressAutoHyphens/>
              <w:spacing w:after="0" w:afterAutospacing="0"/>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Outcome 4.1</w:t>
            </w:r>
            <w:r>
              <w:rPr>
                <w:rStyle w:val="eop"/>
                <w:rFonts w:ascii="Calibri" w:eastAsiaTheme="majorEastAsia" w:hAnsi="Calibri" w:cs="Calibri"/>
                <w:color w:val="000000" w:themeColor="text1"/>
                <w:sz w:val="20"/>
                <w:szCs w:val="20"/>
              </w:rPr>
              <w:t xml:space="preserve">. </w:t>
            </w:r>
          </w:p>
          <w:p w14:paraId="585E448C" w14:textId="77777777" w:rsidR="00524826" w:rsidRDefault="00524826" w:rsidP="00300F75">
            <w:pPr>
              <w:pStyle w:val="paragraph"/>
              <w:suppressAutoHyphens/>
              <w:spacing w:before="0" w:beforeAutospacing="0"/>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Achieved –HS</w:t>
            </w:r>
          </w:p>
        </w:tc>
        <w:tc>
          <w:tcPr>
            <w:tcW w:w="6096" w:type="dxa"/>
          </w:tcPr>
          <w:p w14:paraId="33788FF8" w14:textId="77777777" w:rsidR="00524826" w:rsidRDefault="00524826" w:rsidP="00300F75">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Regional cooperation and knowledge exchange between WHO and MOH stakeholders were enhanced throughout the project. COVID-19 challenges were addressed through virtual activities. Face-to-face learning, knowledge exchange, and networking opportunities, when possible, were highly valued. Engagement at regional and global climate and health forums, including the WHO-led Alliance for Transformative Action on Climate and Health (ATACH) and UNFCCC conference of the Parties (COP) health networks, were significant enablers of institutional leadership and country ownership. </w:t>
            </w:r>
          </w:p>
        </w:tc>
      </w:tr>
      <w:tr w:rsidR="00524826" w14:paraId="6F3D6CEB" w14:textId="77777777" w:rsidTr="00300F75">
        <w:trPr>
          <w:trHeight w:val="389"/>
        </w:trPr>
        <w:tc>
          <w:tcPr>
            <w:tcW w:w="1413" w:type="dxa"/>
            <w:vMerge/>
          </w:tcPr>
          <w:p w14:paraId="019F27D1" w14:textId="77777777" w:rsidR="00524826" w:rsidRDefault="00524826" w:rsidP="00300F75">
            <w:pPr>
              <w:pStyle w:val="paragraph"/>
              <w:suppressAutoHyphens/>
              <w:rPr>
                <w:rStyle w:val="eop"/>
                <w:rFonts w:ascii="Calibri" w:eastAsiaTheme="majorEastAsia" w:hAnsi="Calibri" w:cs="Calibri"/>
                <w:b/>
                <w:color w:val="000000" w:themeColor="text1"/>
                <w:sz w:val="20"/>
                <w:szCs w:val="20"/>
              </w:rPr>
            </w:pPr>
          </w:p>
        </w:tc>
        <w:tc>
          <w:tcPr>
            <w:tcW w:w="1417" w:type="dxa"/>
          </w:tcPr>
          <w:p w14:paraId="51C722C4" w14:textId="77777777" w:rsidR="00524826" w:rsidRDefault="00524826" w:rsidP="00300F75">
            <w:pPr>
              <w:pStyle w:val="paragraph"/>
              <w:suppressAutoHyphens/>
              <w:spacing w:after="0" w:afterAutospacing="0"/>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Outcome 4.2</w:t>
            </w:r>
            <w:r>
              <w:rPr>
                <w:rStyle w:val="eop"/>
                <w:rFonts w:ascii="Calibri" w:eastAsiaTheme="majorEastAsia" w:hAnsi="Calibri" w:cs="Calibri"/>
                <w:color w:val="000000" w:themeColor="text1"/>
                <w:sz w:val="20"/>
                <w:szCs w:val="20"/>
              </w:rPr>
              <w:t xml:space="preserve"> </w:t>
            </w:r>
          </w:p>
          <w:p w14:paraId="5F8D88A0" w14:textId="77777777" w:rsidR="00524826" w:rsidRDefault="00524826" w:rsidP="00300F75">
            <w:pPr>
              <w:pStyle w:val="paragraph"/>
              <w:suppressAutoHyphens/>
              <w:spacing w:before="0" w:beforeAutospacing="0"/>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On track - MS</w:t>
            </w:r>
          </w:p>
        </w:tc>
        <w:tc>
          <w:tcPr>
            <w:tcW w:w="6096" w:type="dxa"/>
          </w:tcPr>
          <w:p w14:paraId="53BF5C1B" w14:textId="77777777" w:rsidR="00524826" w:rsidRDefault="00524826" w:rsidP="00300F75">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All countries engaged with UNDP but there was uneven progress on integration of HNAPs into NAPs. The project generally facilitated stronger intersectoral collaboration and coordination between the health and environment/climate sectors, however formalisation through institutional partnerships and implementation plans varied. UNDP has drafted a method to quantify the direct and indirect costs of climate change on health, to inform adaptation actions, but it was not possible to verify application or relevance to the project. Nepal, Bangladesh and Timor-Leste made significant progress in HNAP-NAP integration, providing a model of best practice.</w:t>
            </w:r>
          </w:p>
        </w:tc>
      </w:tr>
      <w:tr w:rsidR="00524826" w14:paraId="7DEA3608" w14:textId="77777777" w:rsidTr="00300F75">
        <w:trPr>
          <w:trHeight w:val="389"/>
        </w:trPr>
        <w:tc>
          <w:tcPr>
            <w:tcW w:w="1413" w:type="dxa"/>
            <w:vMerge w:val="restart"/>
          </w:tcPr>
          <w:p w14:paraId="22886FE7" w14:textId="77777777" w:rsidR="00524826" w:rsidRDefault="00524826" w:rsidP="00300F75">
            <w:pPr>
              <w:pStyle w:val="paragraph"/>
              <w:suppressAutoHyphens/>
              <w:rPr>
                <w:rStyle w:val="eop"/>
                <w:rFonts w:ascii="Calibri" w:eastAsiaTheme="majorEastAsia" w:hAnsi="Calibri" w:cs="Calibri"/>
                <w:b/>
                <w:color w:val="000000" w:themeColor="text1"/>
                <w:sz w:val="20"/>
                <w:szCs w:val="20"/>
              </w:rPr>
            </w:pPr>
            <w:r>
              <w:rPr>
                <w:rStyle w:val="eop"/>
                <w:rFonts w:ascii="Calibri" w:eastAsiaTheme="majorEastAsia" w:hAnsi="Calibri" w:cs="Calibri"/>
                <w:b/>
                <w:color w:val="000000" w:themeColor="text1"/>
                <w:sz w:val="20"/>
                <w:szCs w:val="20"/>
              </w:rPr>
              <w:t>Evaluation Criteria and Cross-cutting measures</w:t>
            </w:r>
          </w:p>
        </w:tc>
        <w:tc>
          <w:tcPr>
            <w:tcW w:w="1417" w:type="dxa"/>
          </w:tcPr>
          <w:p w14:paraId="6739C68F" w14:textId="77777777" w:rsidR="00524826" w:rsidRDefault="00524826" w:rsidP="00300F75">
            <w:pPr>
              <w:pStyle w:val="paragraph"/>
              <w:suppressAutoHyphens/>
              <w:spacing w:before="0" w:beforeAutospacing="0" w:after="0" w:afterAutospacing="0"/>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Project Implementation and Execution</w:t>
            </w:r>
            <w:r>
              <w:rPr>
                <w:rStyle w:val="eop"/>
                <w:rFonts w:ascii="Calibri" w:eastAsiaTheme="majorEastAsia" w:hAnsi="Calibri" w:cs="Calibri"/>
                <w:color w:val="000000" w:themeColor="text1"/>
                <w:sz w:val="20"/>
                <w:szCs w:val="20"/>
              </w:rPr>
              <w:t xml:space="preserve"> </w:t>
            </w:r>
          </w:p>
          <w:p w14:paraId="2E834D64" w14:textId="77777777" w:rsidR="00524826" w:rsidRDefault="00524826" w:rsidP="00300F75">
            <w:pPr>
              <w:pStyle w:val="paragraph"/>
              <w:suppressAutoHyphens/>
              <w:spacing w:before="0" w:beforeAutospacing="0" w:after="0" w:afterAutospacing="0"/>
              <w:rPr>
                <w:rStyle w:val="eop"/>
                <w:rFonts w:ascii="Calibri" w:eastAsiaTheme="majorEastAsia" w:hAnsi="Calibri" w:cs="Calibri"/>
                <w:b/>
                <w:color w:val="000000" w:themeColor="text1"/>
                <w:sz w:val="20"/>
                <w:szCs w:val="20"/>
              </w:rPr>
            </w:pPr>
            <w:r>
              <w:rPr>
                <w:rStyle w:val="eop"/>
                <w:rFonts w:ascii="Calibri" w:eastAsiaTheme="majorEastAsia" w:hAnsi="Calibri" w:cs="Calibri"/>
                <w:color w:val="000000" w:themeColor="text1"/>
                <w:sz w:val="20"/>
                <w:szCs w:val="20"/>
              </w:rPr>
              <w:t>Achieved – S</w:t>
            </w:r>
          </w:p>
        </w:tc>
        <w:tc>
          <w:tcPr>
            <w:tcW w:w="6096" w:type="dxa"/>
          </w:tcPr>
          <w:p w14:paraId="7E3CCF50" w14:textId="77777777" w:rsidR="00524826" w:rsidRDefault="00524826" w:rsidP="00300F75">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Overall project implementation was successful, with positive achievements at all levels across stakeholder engagement, activity execution, project management, and governance systems. HQ, regional and country teams worked to adapt activities and management processes throughout to respond to external drivers and implement variations where needed, including during the COVID-19 pandemic. The longer implementation period enabled by the no-cost extension was critical for overcoming COVID-19 related delays and establishing effective project implementation systems. Technical support by WHO is likely to continue as climate change is now embedded in WHO workplans at all levels. UNDP/WHO implementation and oversight was enabled by effective governance and reporting systems, and strong implementing partnerships between WHO and MOH in country. A significant underspend had accumulated at commencement of the final year of implementation and there was uneven expenditure across project outcomes and the PMU.</w:t>
            </w:r>
          </w:p>
        </w:tc>
      </w:tr>
      <w:tr w:rsidR="00524826" w14:paraId="46E303F5" w14:textId="77777777" w:rsidTr="00300F75">
        <w:trPr>
          <w:trHeight w:val="1065"/>
        </w:trPr>
        <w:tc>
          <w:tcPr>
            <w:tcW w:w="1413" w:type="dxa"/>
            <w:vMerge/>
          </w:tcPr>
          <w:p w14:paraId="1D27C86B" w14:textId="77777777" w:rsidR="00524826" w:rsidRDefault="00524826" w:rsidP="00300F75">
            <w:pPr>
              <w:pStyle w:val="paragraph"/>
              <w:suppressAutoHyphens/>
              <w:rPr>
                <w:rStyle w:val="eop"/>
                <w:rFonts w:ascii="Calibri" w:eastAsiaTheme="majorEastAsia" w:hAnsi="Calibri" w:cs="Calibri"/>
                <w:b/>
                <w:color w:val="000000" w:themeColor="text1"/>
                <w:sz w:val="20"/>
                <w:szCs w:val="20"/>
              </w:rPr>
            </w:pPr>
          </w:p>
        </w:tc>
        <w:tc>
          <w:tcPr>
            <w:tcW w:w="1417" w:type="dxa"/>
          </w:tcPr>
          <w:p w14:paraId="1A407FEC" w14:textId="77777777" w:rsidR="00524826" w:rsidRDefault="00524826" w:rsidP="00300F75">
            <w:pPr>
              <w:pStyle w:val="paragraph"/>
              <w:suppressAutoHyphens/>
              <w:spacing w:before="0" w:beforeAutospacing="0" w:after="0" w:afterAutospacing="0"/>
              <w:rPr>
                <w:rStyle w:val="eop"/>
                <w:rFonts w:ascii="Calibri" w:eastAsiaTheme="majorEastAsia" w:hAnsi="Calibri" w:cs="Calibri"/>
                <w:b/>
                <w:color w:val="000000" w:themeColor="text1"/>
                <w:sz w:val="20"/>
                <w:szCs w:val="20"/>
              </w:rPr>
            </w:pPr>
            <w:r>
              <w:rPr>
                <w:rStyle w:val="eop"/>
                <w:rFonts w:ascii="Calibri" w:eastAsiaTheme="majorEastAsia" w:hAnsi="Calibri" w:cs="Calibri"/>
                <w:b/>
                <w:color w:val="000000" w:themeColor="text1"/>
                <w:sz w:val="20"/>
                <w:szCs w:val="20"/>
              </w:rPr>
              <w:t>Monitoring &amp; Evaluation</w:t>
            </w:r>
          </w:p>
          <w:p w14:paraId="37784C6A" w14:textId="77777777" w:rsidR="00524826" w:rsidRDefault="00524826" w:rsidP="00300F75">
            <w:pPr>
              <w:pStyle w:val="paragraph"/>
              <w:suppressAutoHyphens/>
              <w:spacing w:before="0" w:beforeAutospacing="0" w:after="0" w:afterAutospacing="0"/>
              <w:rPr>
                <w:rStyle w:val="eop"/>
                <w:rFonts w:ascii="Calibri" w:eastAsiaTheme="majorEastAsia" w:hAnsi="Calibri" w:cs="Calibri"/>
                <w:b/>
                <w:color w:val="000000" w:themeColor="text1"/>
                <w:sz w:val="20"/>
                <w:szCs w:val="20"/>
              </w:rPr>
            </w:pPr>
            <w:r>
              <w:rPr>
                <w:rStyle w:val="eop"/>
                <w:rFonts w:ascii="Calibri" w:eastAsiaTheme="majorEastAsia" w:hAnsi="Calibri" w:cs="Calibri"/>
                <w:color w:val="000000" w:themeColor="text1"/>
                <w:sz w:val="20"/>
                <w:szCs w:val="20"/>
              </w:rPr>
              <w:t>Achieved – S</w:t>
            </w:r>
          </w:p>
        </w:tc>
        <w:tc>
          <w:tcPr>
            <w:tcW w:w="6096" w:type="dxa"/>
          </w:tcPr>
          <w:p w14:paraId="1D184385" w14:textId="77777777" w:rsidR="00524826" w:rsidRDefault="00524826" w:rsidP="00300F75">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M&amp;E systems were generally clear, consistent, and participatory, with some gaps around tracking country-level targets, beneficiary numbers, and measuring intervention impacts, such as through behaviour change or reduction in climate-sensitive health risks.</w:t>
            </w:r>
          </w:p>
        </w:tc>
      </w:tr>
      <w:tr w:rsidR="00524826" w14:paraId="2AAD1B16" w14:textId="77777777" w:rsidTr="00300F75">
        <w:trPr>
          <w:trHeight w:val="338"/>
        </w:trPr>
        <w:tc>
          <w:tcPr>
            <w:tcW w:w="1413" w:type="dxa"/>
            <w:vMerge/>
          </w:tcPr>
          <w:p w14:paraId="0E1BA227" w14:textId="77777777" w:rsidR="00524826" w:rsidRDefault="00524826" w:rsidP="00300F75">
            <w:pPr>
              <w:pStyle w:val="paragraph"/>
              <w:suppressAutoHyphens/>
              <w:rPr>
                <w:rStyle w:val="eop"/>
                <w:rFonts w:ascii="Calibri" w:eastAsiaTheme="majorEastAsia" w:hAnsi="Calibri" w:cs="Calibri"/>
                <w:b/>
                <w:color w:val="000000" w:themeColor="text1"/>
                <w:sz w:val="20"/>
                <w:szCs w:val="20"/>
              </w:rPr>
            </w:pPr>
          </w:p>
        </w:tc>
        <w:tc>
          <w:tcPr>
            <w:tcW w:w="1417" w:type="dxa"/>
          </w:tcPr>
          <w:p w14:paraId="552864F8" w14:textId="77777777" w:rsidR="00524826" w:rsidRDefault="00524826" w:rsidP="00300F75">
            <w:pPr>
              <w:pStyle w:val="paragraph"/>
              <w:suppressAutoHyphens/>
              <w:spacing w:before="0" w:beforeAutospacing="0" w:after="0" w:afterAutospacing="0"/>
              <w:rPr>
                <w:rStyle w:val="eop"/>
                <w:rFonts w:ascii="Calibri" w:eastAsiaTheme="majorEastAsia" w:hAnsi="Calibri" w:cs="Calibri"/>
                <w:b/>
                <w:color w:val="000000" w:themeColor="text1"/>
                <w:sz w:val="20"/>
                <w:szCs w:val="20"/>
              </w:rPr>
            </w:pPr>
            <w:r>
              <w:rPr>
                <w:rStyle w:val="eop"/>
                <w:rFonts w:ascii="Calibri" w:eastAsiaTheme="majorEastAsia" w:hAnsi="Calibri" w:cs="Calibri"/>
                <w:b/>
                <w:color w:val="000000" w:themeColor="text1"/>
                <w:sz w:val="20"/>
                <w:szCs w:val="20"/>
              </w:rPr>
              <w:t>Sustainability</w:t>
            </w:r>
            <w:r w:rsidRPr="00CB0E8D">
              <w:rPr>
                <w:rStyle w:val="FootnoteReference"/>
                <w:rFonts w:ascii="Calibri" w:eastAsiaTheme="majorEastAsia" w:hAnsi="Calibri"/>
                <w:b/>
                <w:color w:val="000000" w:themeColor="text1"/>
                <w:sz w:val="20"/>
              </w:rPr>
              <w:footnoteReference w:id="4"/>
            </w:r>
            <w:r>
              <w:rPr>
                <w:rStyle w:val="eop"/>
                <w:rFonts w:ascii="Calibri" w:eastAsiaTheme="majorEastAsia" w:hAnsi="Calibri" w:cs="Calibri"/>
                <w:b/>
                <w:color w:val="000000" w:themeColor="text1"/>
                <w:sz w:val="20"/>
                <w:szCs w:val="20"/>
              </w:rPr>
              <w:t xml:space="preserve"> </w:t>
            </w:r>
          </w:p>
          <w:p w14:paraId="09B65DC8" w14:textId="77777777" w:rsidR="00524826" w:rsidRDefault="00524826" w:rsidP="00300F75">
            <w:pPr>
              <w:pStyle w:val="paragraph"/>
              <w:suppressAutoHyphens/>
              <w:spacing w:before="0" w:beforeAutospacing="0"/>
              <w:rPr>
                <w:rStyle w:val="eop"/>
                <w:rFonts w:ascii="Calibri" w:eastAsiaTheme="majorEastAsia" w:hAnsi="Calibri" w:cs="Calibri"/>
                <w:bCs/>
                <w:color w:val="000000" w:themeColor="text1"/>
                <w:sz w:val="20"/>
                <w:szCs w:val="20"/>
              </w:rPr>
            </w:pPr>
            <w:r>
              <w:rPr>
                <w:rStyle w:val="eop"/>
                <w:rFonts w:ascii="Calibri" w:eastAsiaTheme="majorEastAsia" w:hAnsi="Calibri" w:cs="Calibri"/>
                <w:bCs/>
                <w:color w:val="000000" w:themeColor="text1"/>
                <w:sz w:val="20"/>
                <w:szCs w:val="20"/>
              </w:rPr>
              <w:t>ML</w:t>
            </w:r>
          </w:p>
          <w:p w14:paraId="34387369" w14:textId="77777777" w:rsidR="00524826" w:rsidRDefault="00524826" w:rsidP="00300F75">
            <w:pPr>
              <w:pStyle w:val="paragraph"/>
              <w:suppressAutoHyphens/>
              <w:rPr>
                <w:rStyle w:val="eop"/>
                <w:rFonts w:ascii="Calibri" w:eastAsiaTheme="majorEastAsia" w:hAnsi="Calibri" w:cs="Calibri"/>
                <w:bCs/>
                <w:color w:val="000000" w:themeColor="text1"/>
                <w:sz w:val="20"/>
                <w:szCs w:val="20"/>
              </w:rPr>
            </w:pPr>
          </w:p>
        </w:tc>
        <w:tc>
          <w:tcPr>
            <w:tcW w:w="6096" w:type="dxa"/>
          </w:tcPr>
          <w:p w14:paraId="74B04DFF" w14:textId="77777777" w:rsidR="00524826" w:rsidRDefault="00524826" w:rsidP="00300F75">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Longer-term impact and sustainability of project activities is likely to have mixed success. Several activities achieved substantial country buy-in, particularly from MOH, including for HNAP development.  Institutional capacity was strengthened through training and capacity building investments. There was a high degree of country ownership over core policy frameworks, including HNAPs and national guidelines and standards for climate change and health. The project also laid strong foundations through demonstration pilots for integrated surveillance systems and climate-resilient health service interventions (especially WASH and waste management). Overall, sustainability could be hampered by systemic challenges, including staff turnover within key agencies, limited funding within LDC governments and accountability mechanisms for HNAP implementation, and competing priorities across health and broader climate/environment sectors. Countries that identified and/or secured funding to scale-up project activities, including through partnerships with other development and climate funders and integration of health within NAP priorities, may provide learnings for other settings.  </w:t>
            </w:r>
          </w:p>
        </w:tc>
      </w:tr>
    </w:tbl>
    <w:p w14:paraId="284CF379" w14:textId="77777777" w:rsidR="00524826" w:rsidRDefault="00524826" w:rsidP="00C07A0A">
      <w:pPr>
        <w:pStyle w:val="paragraph"/>
        <w:suppressAutoHyphens/>
        <w:spacing w:before="0" w:beforeAutospacing="0" w:after="0" w:afterAutospacing="0"/>
        <w:rPr>
          <w:rFonts w:ascii="Calibri" w:hAnsi="Calibri" w:cs="Calibri"/>
          <w:b/>
        </w:rPr>
      </w:pPr>
    </w:p>
    <w:p w14:paraId="0EF8393C" w14:textId="77777777" w:rsidR="00E02E86" w:rsidRDefault="00E02E86" w:rsidP="00C07A0A">
      <w:pPr>
        <w:pStyle w:val="Heading3"/>
        <w:numPr>
          <w:ilvl w:val="1"/>
          <w:numId w:val="29"/>
        </w:numPr>
        <w:rPr>
          <w:rFonts w:ascii="Calibri" w:hAnsi="Calibri" w:cs="Calibri"/>
          <w:b/>
          <w:bCs/>
        </w:rPr>
      </w:pPr>
      <w:bookmarkStart w:id="10" w:name="_Toc173429961"/>
      <w:r w:rsidRPr="5A717AC1">
        <w:rPr>
          <w:rFonts w:ascii="Calibri" w:hAnsi="Calibri" w:cs="Calibri"/>
          <w:b/>
          <w:bCs/>
        </w:rPr>
        <w:t>Summary of key findings, conclusions and lessons learned</w:t>
      </w:r>
      <w:bookmarkEnd w:id="10"/>
    </w:p>
    <w:p w14:paraId="63B85CFB" w14:textId="77777777" w:rsidR="00E02E86" w:rsidRDefault="00E02E86" w:rsidP="00C07A0A">
      <w:pPr>
        <w:pStyle w:val="Heading4"/>
        <w:rPr>
          <w:rFonts w:ascii="Calibri" w:hAnsi="Calibri" w:cs="Calibri"/>
          <w:b/>
          <w:bCs/>
        </w:rPr>
      </w:pPr>
      <w:r>
        <w:rPr>
          <w:rFonts w:ascii="Calibri" w:hAnsi="Calibri" w:cs="Calibri"/>
        </w:rPr>
        <w:t>Lessons Learned</w:t>
      </w:r>
    </w:p>
    <w:p w14:paraId="32D3ED24" w14:textId="77777777" w:rsidR="00E02E86" w:rsidRPr="00581475" w:rsidRDefault="00E02E86" w:rsidP="00C07A0A">
      <w:pPr>
        <w:rPr>
          <w:rFonts w:ascii="Calibri" w:hAnsi="Calibri" w:cs="Calibri"/>
          <w:b/>
          <w:bCs/>
          <w:lang w:eastAsia="en-US"/>
        </w:rPr>
      </w:pPr>
      <w:r w:rsidRPr="00581475">
        <w:rPr>
          <w:rFonts w:ascii="Calibri" w:hAnsi="Calibri" w:cs="Calibri"/>
          <w:b/>
          <w:bCs/>
          <w:lang w:eastAsia="en-US"/>
        </w:rPr>
        <w:t>Successes and Strengths:</w:t>
      </w:r>
    </w:p>
    <w:p w14:paraId="073D3D65" w14:textId="77777777" w:rsidR="00E02E86" w:rsidRPr="00581475" w:rsidRDefault="00E02E86" w:rsidP="00C07A0A">
      <w:pPr>
        <w:rPr>
          <w:rFonts w:ascii="Calibri" w:hAnsi="Calibri" w:cs="Calibri"/>
          <w:b/>
          <w:bCs/>
          <w:lang w:eastAsia="en-US"/>
        </w:rPr>
      </w:pPr>
    </w:p>
    <w:p w14:paraId="536911D3" w14:textId="77777777" w:rsidR="00E02E86" w:rsidRPr="00581475" w:rsidRDefault="00E02E86" w:rsidP="00C07A0A">
      <w:pPr>
        <w:numPr>
          <w:ilvl w:val="0"/>
          <w:numId w:val="43"/>
        </w:numPr>
        <w:jc w:val="both"/>
        <w:rPr>
          <w:rFonts w:ascii="Calibri" w:hAnsi="Calibri" w:cs="Calibri"/>
          <w:lang w:eastAsia="en-US"/>
        </w:rPr>
      </w:pPr>
      <w:r w:rsidRPr="5A717AC1">
        <w:rPr>
          <w:rFonts w:ascii="Calibri" w:hAnsi="Calibri" w:cs="Calibri"/>
          <w:b/>
          <w:bCs/>
          <w:lang w:eastAsia="en-US"/>
        </w:rPr>
        <w:t>Institutional Collaboration and Coordination</w:t>
      </w:r>
      <w:r w:rsidRPr="5A717AC1">
        <w:rPr>
          <w:rFonts w:ascii="Calibri" w:hAnsi="Calibri" w:cs="Calibri"/>
          <w:lang w:eastAsia="en-US"/>
        </w:rPr>
        <w:t xml:space="preserve">: The project effectively integrated climate adaptation strategies within health sector plans, </w:t>
      </w:r>
      <w:r>
        <w:rPr>
          <w:rFonts w:ascii="Calibri" w:hAnsi="Calibri" w:cs="Calibri"/>
          <w:lang w:eastAsia="en-US"/>
        </w:rPr>
        <w:t>enabled by</w:t>
      </w:r>
      <w:r w:rsidRPr="5A717AC1">
        <w:rPr>
          <w:rFonts w:ascii="Calibri" w:hAnsi="Calibri" w:cs="Calibri"/>
          <w:lang w:eastAsia="en-US"/>
        </w:rPr>
        <w:t xml:space="preserve"> strong partnerships with Ministries of Health (MOH) and related sectors. This collaboration led to the development of HNAPs and successful piloting of Early Warning and Response Systems (EWARS) and integrated surveillance systems.</w:t>
      </w:r>
    </w:p>
    <w:p w14:paraId="00DDA618" w14:textId="77777777" w:rsidR="00E02E86" w:rsidRPr="00581475" w:rsidRDefault="00E02E86" w:rsidP="00C07A0A">
      <w:pPr>
        <w:numPr>
          <w:ilvl w:val="0"/>
          <w:numId w:val="43"/>
        </w:numPr>
        <w:jc w:val="both"/>
        <w:rPr>
          <w:rFonts w:ascii="Calibri" w:hAnsi="Calibri" w:cs="Calibri"/>
          <w:lang w:eastAsia="en-US"/>
        </w:rPr>
      </w:pPr>
      <w:r w:rsidRPr="5A717AC1">
        <w:rPr>
          <w:rFonts w:ascii="Calibri" w:hAnsi="Calibri" w:cs="Calibri"/>
          <w:b/>
          <w:bCs/>
          <w:lang w:eastAsia="en-US"/>
        </w:rPr>
        <w:t>Adaptive Management and Strategic Relevance</w:t>
      </w:r>
      <w:r w:rsidRPr="5A717AC1">
        <w:rPr>
          <w:rFonts w:ascii="Calibri" w:hAnsi="Calibri" w:cs="Calibri"/>
          <w:lang w:eastAsia="en-US"/>
        </w:rPr>
        <w:t xml:space="preserve">: </w:t>
      </w:r>
      <w:r w:rsidRPr="009971B4">
        <w:rPr>
          <w:rFonts w:ascii="Calibri" w:hAnsi="Calibri" w:cs="Calibri"/>
          <w:lang w:eastAsia="en-US"/>
        </w:rPr>
        <w:t xml:space="preserve">Despite </w:t>
      </w:r>
      <w:r>
        <w:rPr>
          <w:rFonts w:ascii="Calibri" w:hAnsi="Calibri" w:cs="Calibri"/>
          <w:lang w:eastAsia="en-US"/>
        </w:rPr>
        <w:t xml:space="preserve">COVID-19 related </w:t>
      </w:r>
      <w:r w:rsidRPr="009971B4">
        <w:rPr>
          <w:rFonts w:ascii="Calibri" w:hAnsi="Calibri" w:cs="Calibri"/>
          <w:lang w:eastAsia="en-US"/>
        </w:rPr>
        <w:t xml:space="preserve">and termination of activities in Myanmar, the project maintained its relevance and alignment with national and international climate and health priorities. Strong governance and stakeholder engagement systems allowed for tailored activities in diverse national contexts, increasing the project's prominence </w:t>
      </w:r>
      <w:r>
        <w:rPr>
          <w:rFonts w:ascii="Calibri" w:hAnsi="Calibri" w:cs="Calibri"/>
          <w:lang w:eastAsia="en-US"/>
        </w:rPr>
        <w:t xml:space="preserve">and ongoing strategic relevance as an initiative supporting climate-resilient health systems. </w:t>
      </w:r>
    </w:p>
    <w:p w14:paraId="5239A369" w14:textId="77777777" w:rsidR="00E02E86" w:rsidRDefault="00E02E86" w:rsidP="00C07A0A">
      <w:pPr>
        <w:numPr>
          <w:ilvl w:val="0"/>
          <w:numId w:val="43"/>
        </w:numPr>
        <w:jc w:val="both"/>
        <w:rPr>
          <w:rFonts w:ascii="Calibri" w:hAnsi="Calibri" w:cs="Calibri"/>
          <w:lang w:eastAsia="en-US"/>
        </w:rPr>
      </w:pPr>
      <w:r w:rsidRPr="001374E9">
        <w:rPr>
          <w:rFonts w:ascii="Calibri" w:hAnsi="Calibri" w:cs="Calibri"/>
          <w:b/>
          <w:bCs/>
          <w:lang w:eastAsia="en-US"/>
        </w:rPr>
        <w:t xml:space="preserve">Country Ownership, Flexibility, and Co-Design: </w:t>
      </w:r>
      <w:r w:rsidRPr="001374E9">
        <w:rPr>
          <w:rFonts w:ascii="Calibri" w:hAnsi="Calibri" w:cs="Calibri"/>
          <w:lang w:eastAsia="en-US"/>
        </w:rPr>
        <w:t>The project fostered strong partnerships and co-designed activities with government ownership over key policy documents like HNAPs and guidelines such as EWARS and WASH SOPs. The flexibility of GEF funds allowed for targeting innovative pilot interventions and tailoring activities to national priorities, enhancing the project's effectiveness.</w:t>
      </w:r>
    </w:p>
    <w:p w14:paraId="083ED1EF" w14:textId="77777777" w:rsidR="00E02E86" w:rsidRPr="001374E9" w:rsidRDefault="00E02E86" w:rsidP="00C07A0A">
      <w:pPr>
        <w:numPr>
          <w:ilvl w:val="0"/>
          <w:numId w:val="43"/>
        </w:numPr>
        <w:jc w:val="both"/>
        <w:rPr>
          <w:rFonts w:ascii="Calibri" w:hAnsi="Calibri" w:cs="Calibri"/>
          <w:lang w:eastAsia="en-US"/>
        </w:rPr>
      </w:pPr>
      <w:r w:rsidRPr="00EA28DF">
        <w:rPr>
          <w:rFonts w:ascii="Calibri" w:hAnsi="Calibri" w:cs="Calibri"/>
          <w:b/>
          <w:bCs/>
          <w:lang w:eastAsia="en-US"/>
        </w:rPr>
        <w:t>Evidence Base for Climate and Health</w:t>
      </w:r>
      <w:r w:rsidRPr="00EA28DF">
        <w:rPr>
          <w:rFonts w:ascii="Calibri" w:hAnsi="Calibri" w:cs="Calibri"/>
          <w:lang w:eastAsia="en-US"/>
        </w:rPr>
        <w:t>: By investing in updated Vulnerability and Adaptation (V&amp;A) assessments and HNAPs, the project addressed critical knowledge gaps and provided a robust evidence base for future adaptation planning.</w:t>
      </w:r>
    </w:p>
    <w:p w14:paraId="6D087425" w14:textId="383E2B3E" w:rsidR="00E02E86" w:rsidRPr="00EA28DF" w:rsidRDefault="00E02E86" w:rsidP="00C07A0A">
      <w:pPr>
        <w:pStyle w:val="NormalWeb"/>
        <w:numPr>
          <w:ilvl w:val="0"/>
          <w:numId w:val="43"/>
        </w:numPr>
        <w:rPr>
          <w:rFonts w:ascii="Calibri" w:hAnsi="Calibri" w:cs="Calibri"/>
          <w:lang w:eastAsia="en-AU"/>
        </w:rPr>
      </w:pPr>
      <w:r w:rsidRPr="00EA28DF">
        <w:rPr>
          <w:rStyle w:val="Strong"/>
          <w:rFonts w:ascii="Calibri" w:eastAsiaTheme="majorEastAsia" w:hAnsi="Calibri" w:cs="Calibri"/>
        </w:rPr>
        <w:t>Capacity Building and Knowledge Sharing</w:t>
      </w:r>
      <w:r w:rsidRPr="00EA28DF">
        <w:rPr>
          <w:rFonts w:ascii="Calibri" w:hAnsi="Calibri" w:cs="Calibri"/>
        </w:rPr>
        <w:t>: The project developed various climate and health guidelines</w:t>
      </w:r>
      <w:r w:rsidR="00B318C3">
        <w:rPr>
          <w:rFonts w:ascii="Calibri" w:hAnsi="Calibri" w:cs="Calibri"/>
        </w:rPr>
        <w:t>, training manuals</w:t>
      </w:r>
      <w:r w:rsidRPr="00EA28DF">
        <w:rPr>
          <w:rFonts w:ascii="Calibri" w:hAnsi="Calibri" w:cs="Calibri"/>
        </w:rPr>
        <w:t xml:space="preserve"> and policies, improving knowledge and </w:t>
      </w:r>
      <w:r w:rsidRPr="00EA28DF">
        <w:rPr>
          <w:rFonts w:ascii="Calibri" w:hAnsi="Calibri" w:cs="Calibri"/>
        </w:rPr>
        <w:lastRenderedPageBreak/>
        <w:t xml:space="preserve">capacity among healthcare workers and policymakers. This enhanced understanding of climate change as a health issue and enabled </w:t>
      </w:r>
      <w:r>
        <w:rPr>
          <w:rFonts w:ascii="Calibri" w:hAnsi="Calibri" w:cs="Calibri"/>
        </w:rPr>
        <w:t>design and implementation of local climate-resilient and low-carbon healthcare</w:t>
      </w:r>
      <w:r w:rsidRPr="00EA28DF">
        <w:rPr>
          <w:rFonts w:ascii="Calibri" w:hAnsi="Calibri" w:cs="Calibri"/>
        </w:rPr>
        <w:t xml:space="preserve"> interventions</w:t>
      </w:r>
      <w:r>
        <w:rPr>
          <w:rFonts w:ascii="Calibri" w:hAnsi="Calibri" w:cs="Calibri"/>
        </w:rPr>
        <w:t xml:space="preserve">, informed by </w:t>
      </w:r>
      <w:r w:rsidRPr="00EA28DF">
        <w:rPr>
          <w:rFonts w:ascii="Calibri" w:hAnsi="Calibri" w:cs="Calibri"/>
        </w:rPr>
        <w:t>regional and global guidance.</w:t>
      </w:r>
    </w:p>
    <w:p w14:paraId="785CA3BA" w14:textId="77777777" w:rsidR="00E02E86" w:rsidRPr="00EA28DF" w:rsidRDefault="00E02E86" w:rsidP="00C07A0A">
      <w:pPr>
        <w:pStyle w:val="NormalWeb"/>
        <w:numPr>
          <w:ilvl w:val="0"/>
          <w:numId w:val="43"/>
        </w:numPr>
        <w:rPr>
          <w:rFonts w:ascii="Calibri" w:hAnsi="Calibri" w:cs="Calibri"/>
        </w:rPr>
      </w:pPr>
      <w:r w:rsidRPr="00EA28DF">
        <w:rPr>
          <w:rStyle w:val="Strong"/>
          <w:rFonts w:ascii="Calibri" w:eastAsiaTheme="majorEastAsia" w:hAnsi="Calibri" w:cs="Calibri"/>
        </w:rPr>
        <w:t>Holistic Demonstration Projects</w:t>
      </w:r>
      <w:r w:rsidRPr="00EA28DF">
        <w:rPr>
          <w:rFonts w:ascii="Calibri" w:hAnsi="Calibri" w:cs="Calibri"/>
        </w:rPr>
        <w:t>: GEF funds supported innovative interventions that combined national policy commitment</w:t>
      </w:r>
      <w:r>
        <w:rPr>
          <w:rFonts w:ascii="Calibri" w:hAnsi="Calibri" w:cs="Calibri"/>
        </w:rPr>
        <w:t>s</w:t>
      </w:r>
      <w:r w:rsidRPr="00EA28DF">
        <w:rPr>
          <w:rFonts w:ascii="Calibri" w:hAnsi="Calibri" w:cs="Calibri"/>
        </w:rPr>
        <w:t xml:space="preserve"> with grassroots efforts to improve climate resilience in healthcare facilities. This approach built broad support at multiple levels and established a foundation for future funding.</w:t>
      </w:r>
    </w:p>
    <w:p w14:paraId="1502132E" w14:textId="77777777" w:rsidR="00E02E86" w:rsidRPr="00EA28DF" w:rsidRDefault="00E02E86" w:rsidP="00C07A0A">
      <w:pPr>
        <w:pStyle w:val="NormalWeb"/>
        <w:numPr>
          <w:ilvl w:val="0"/>
          <w:numId w:val="43"/>
        </w:numPr>
        <w:rPr>
          <w:rFonts w:ascii="Calibri" w:hAnsi="Calibri" w:cs="Calibri"/>
        </w:rPr>
      </w:pPr>
      <w:r w:rsidRPr="00EA28DF">
        <w:rPr>
          <w:rStyle w:val="Strong"/>
          <w:rFonts w:ascii="Calibri" w:eastAsiaTheme="majorEastAsia" w:hAnsi="Calibri" w:cs="Calibri"/>
        </w:rPr>
        <w:t>Leadership and Institutional Champions</w:t>
      </w:r>
      <w:r w:rsidRPr="00EA28DF">
        <w:rPr>
          <w:rFonts w:ascii="Calibri" w:hAnsi="Calibri" w:cs="Calibri"/>
        </w:rPr>
        <w:t>: The project gained significant government support by being profiled at major climate and health forums. The Ministry of Health became a driving force for climate change and health initiatives, with the project serving as a model for other countries and regions.</w:t>
      </w:r>
    </w:p>
    <w:p w14:paraId="0BA681E3" w14:textId="77777777" w:rsidR="00E02E86" w:rsidRPr="00EA28DF" w:rsidRDefault="00E02E86" w:rsidP="00C07A0A">
      <w:pPr>
        <w:rPr>
          <w:rFonts w:ascii="Calibri" w:hAnsi="Calibri" w:cs="Calibri"/>
        </w:rPr>
      </w:pPr>
      <w:r w:rsidRPr="006530BF">
        <w:rPr>
          <w:rFonts w:ascii="Calibri" w:hAnsi="Calibri" w:cs="Calibri"/>
          <w:b/>
          <w:bCs/>
          <w:lang w:eastAsia="en-US"/>
        </w:rPr>
        <w:t>Challenges and Barriers</w:t>
      </w:r>
    </w:p>
    <w:p w14:paraId="0DD1A175" w14:textId="77777777" w:rsidR="00E02E86" w:rsidRPr="00EA28DF" w:rsidRDefault="00E02E86" w:rsidP="00C07A0A">
      <w:pPr>
        <w:pStyle w:val="NormalWeb"/>
        <w:numPr>
          <w:ilvl w:val="0"/>
          <w:numId w:val="47"/>
        </w:numPr>
        <w:rPr>
          <w:rFonts w:ascii="Calibri" w:hAnsi="Calibri" w:cs="Calibri"/>
        </w:rPr>
      </w:pPr>
      <w:r w:rsidRPr="00EA28DF">
        <w:rPr>
          <w:rStyle w:val="Strong"/>
          <w:rFonts w:ascii="Calibri" w:eastAsiaTheme="majorEastAsia" w:hAnsi="Calibri" w:cs="Calibri"/>
        </w:rPr>
        <w:t>COVID-19 and Inception Delays</w:t>
      </w:r>
      <w:r w:rsidRPr="00EA28DF">
        <w:rPr>
          <w:rFonts w:ascii="Calibri" w:hAnsi="Calibri" w:cs="Calibri"/>
        </w:rPr>
        <w:t xml:space="preserve">: Initial delays due to negotiations and the COVID-19 pandemic impacted project implementation. Despite this, the project adapted </w:t>
      </w:r>
      <w:r>
        <w:rPr>
          <w:rFonts w:ascii="Calibri" w:hAnsi="Calibri" w:cs="Calibri"/>
        </w:rPr>
        <w:t>and addressed backlogs successfully</w:t>
      </w:r>
      <w:r w:rsidRPr="00EA28DF">
        <w:rPr>
          <w:rFonts w:ascii="Calibri" w:hAnsi="Calibri" w:cs="Calibri"/>
        </w:rPr>
        <w:t>, benefiting from an 18-month no-cost extension.</w:t>
      </w:r>
    </w:p>
    <w:p w14:paraId="3E2BBDA0" w14:textId="77777777" w:rsidR="00E02E86" w:rsidRPr="00EA28DF" w:rsidRDefault="00E02E86" w:rsidP="00C07A0A">
      <w:pPr>
        <w:pStyle w:val="NormalWeb"/>
        <w:numPr>
          <w:ilvl w:val="0"/>
          <w:numId w:val="47"/>
        </w:numPr>
        <w:rPr>
          <w:rFonts w:ascii="Calibri" w:hAnsi="Calibri" w:cs="Calibri"/>
        </w:rPr>
      </w:pPr>
      <w:r w:rsidRPr="00EA28DF">
        <w:rPr>
          <w:rStyle w:val="Strong"/>
          <w:rFonts w:ascii="Calibri" w:eastAsiaTheme="majorEastAsia" w:hAnsi="Calibri" w:cs="Calibri"/>
        </w:rPr>
        <w:t>Staff Turnover and Technical Capacity</w:t>
      </w:r>
      <w:r w:rsidRPr="00EA28DF">
        <w:rPr>
          <w:rFonts w:ascii="Calibri" w:hAnsi="Calibri" w:cs="Calibri"/>
        </w:rPr>
        <w:t>: Staff turnover within key operational partners affected institutional knowledge and continuity. Capacity building and hiring consultants helped mitigate these issues, though short-term engagements posed challenges for knowledge retention.</w:t>
      </w:r>
    </w:p>
    <w:p w14:paraId="2F167ED7" w14:textId="77777777" w:rsidR="00E02E86" w:rsidRPr="002D7D20" w:rsidRDefault="00E02E86" w:rsidP="00C07A0A">
      <w:pPr>
        <w:pStyle w:val="NormalWeb"/>
        <w:numPr>
          <w:ilvl w:val="0"/>
          <w:numId w:val="47"/>
        </w:numPr>
        <w:rPr>
          <w:rFonts w:ascii="Calibri" w:hAnsi="Calibri" w:cs="Calibri"/>
        </w:rPr>
      </w:pPr>
      <w:r w:rsidRPr="002D7D20">
        <w:rPr>
          <w:rStyle w:val="Strong"/>
          <w:rFonts w:ascii="Calibri" w:eastAsiaTheme="majorEastAsia" w:hAnsi="Calibri" w:cs="Calibri"/>
        </w:rPr>
        <w:t>Ensuring Climate-Informed Interventions</w:t>
      </w:r>
      <w:r w:rsidRPr="002D7D20">
        <w:rPr>
          <w:rFonts w:ascii="Calibri" w:hAnsi="Calibri" w:cs="Calibri"/>
        </w:rPr>
        <w:t xml:space="preserve">: Interventions under Outcome 3 could have been linked more clearly to V&amp;A and HNAP findings, which are crucial for sustainable climate adaptation. </w:t>
      </w:r>
      <w:r w:rsidRPr="002D7D20">
        <w:rPr>
          <w:rFonts w:ascii="Calibri" w:hAnsi="Calibri" w:cs="Calibri"/>
          <w:lang w:val="en-AU"/>
        </w:rPr>
        <w:t xml:space="preserve">HNAPs are likely to be more sustainable with longer-term gains if local teams are leading their development, and this investment of time and resources in the early stages of the project would help ensure the identification of climate-informed adaptation activities. </w:t>
      </w:r>
    </w:p>
    <w:p w14:paraId="0D0CBE2C" w14:textId="77777777" w:rsidR="00E02E86" w:rsidRPr="002D7D20" w:rsidRDefault="00E02E86" w:rsidP="00C07A0A">
      <w:pPr>
        <w:pStyle w:val="NormalWeb"/>
        <w:numPr>
          <w:ilvl w:val="0"/>
          <w:numId w:val="47"/>
        </w:numPr>
        <w:rPr>
          <w:rFonts w:ascii="Calibri" w:hAnsi="Calibri" w:cs="Calibri"/>
        </w:rPr>
      </w:pPr>
      <w:r w:rsidRPr="002D7D20">
        <w:rPr>
          <w:rStyle w:val="Strong"/>
          <w:rFonts w:ascii="Calibri" w:eastAsiaTheme="majorEastAsia" w:hAnsi="Calibri" w:cs="Calibri"/>
        </w:rPr>
        <w:t>Human Resources</w:t>
      </w:r>
      <w:r w:rsidRPr="002D7D20">
        <w:rPr>
          <w:rFonts w:ascii="Calibri" w:hAnsi="Calibri" w:cs="Calibri"/>
        </w:rPr>
        <w:t>: While the project leveraged GEF funding with in-kind support from WHO and MOH, adequate resourcing remained a challenge. Greater funding flexibility during project design could have enhanced capacity to advance beyond pilot phases.</w:t>
      </w:r>
    </w:p>
    <w:p w14:paraId="3CE85D13" w14:textId="77777777" w:rsidR="00E02E86" w:rsidRPr="00EA28DF" w:rsidRDefault="00E02E86" w:rsidP="00C07A0A">
      <w:pPr>
        <w:pStyle w:val="NormalWeb"/>
        <w:numPr>
          <w:ilvl w:val="0"/>
          <w:numId w:val="47"/>
        </w:numPr>
        <w:rPr>
          <w:rFonts w:ascii="Calibri" w:hAnsi="Calibri" w:cs="Calibri"/>
        </w:rPr>
      </w:pPr>
      <w:r w:rsidRPr="00EA28DF">
        <w:rPr>
          <w:rStyle w:val="Strong"/>
          <w:rFonts w:ascii="Calibri" w:eastAsiaTheme="majorEastAsia" w:hAnsi="Calibri" w:cs="Calibri"/>
        </w:rPr>
        <w:t>Data Availability and Infrastructure</w:t>
      </w:r>
      <w:r w:rsidRPr="00EA28DF">
        <w:rPr>
          <w:rFonts w:ascii="Calibri" w:hAnsi="Calibri" w:cs="Calibri"/>
        </w:rPr>
        <w:t>: Poor baseline data and challenges in data sharing hindered the development of integrated surveillance systems. Clearer roles and responsibilities for implementing these systems could support ongoing progress.</w:t>
      </w:r>
    </w:p>
    <w:p w14:paraId="3947797F" w14:textId="77777777" w:rsidR="00E02E86" w:rsidRPr="00EA28DF" w:rsidRDefault="00E02E86" w:rsidP="00C07A0A">
      <w:pPr>
        <w:pStyle w:val="NormalWeb"/>
        <w:numPr>
          <w:ilvl w:val="0"/>
          <w:numId w:val="47"/>
        </w:numPr>
        <w:rPr>
          <w:rFonts w:ascii="Calibri" w:hAnsi="Calibri" w:cs="Calibri"/>
        </w:rPr>
      </w:pPr>
      <w:r w:rsidRPr="00EA28DF">
        <w:rPr>
          <w:rStyle w:val="Strong"/>
          <w:rFonts w:ascii="Calibri" w:eastAsiaTheme="majorEastAsia" w:hAnsi="Calibri" w:cs="Calibri"/>
        </w:rPr>
        <w:t>Applied Research</w:t>
      </w:r>
      <w:r w:rsidRPr="00EA28DF">
        <w:rPr>
          <w:rFonts w:ascii="Calibri" w:hAnsi="Calibri" w:cs="Calibri"/>
        </w:rPr>
        <w:t>: National stakeholders expressed interest in climate and health research to fill evidence gaps. Collaborating with universities could be a beneficial approach for future projects.</w:t>
      </w:r>
    </w:p>
    <w:p w14:paraId="060CBD94" w14:textId="77777777" w:rsidR="00E02E86" w:rsidRPr="00EA28DF" w:rsidRDefault="00E02E86" w:rsidP="00C07A0A">
      <w:pPr>
        <w:pStyle w:val="NormalWeb"/>
        <w:numPr>
          <w:ilvl w:val="0"/>
          <w:numId w:val="47"/>
        </w:numPr>
        <w:rPr>
          <w:rFonts w:ascii="Calibri" w:hAnsi="Calibri" w:cs="Calibri"/>
        </w:rPr>
      </w:pPr>
      <w:r w:rsidRPr="00EA28DF">
        <w:rPr>
          <w:rStyle w:val="Strong"/>
          <w:rFonts w:ascii="Calibri" w:eastAsiaTheme="majorEastAsia" w:hAnsi="Calibri" w:cs="Calibri"/>
        </w:rPr>
        <w:t>Sustainability and Longer-Term Impact</w:t>
      </w:r>
      <w:r w:rsidRPr="00EA28DF">
        <w:rPr>
          <w:rFonts w:ascii="Calibri" w:hAnsi="Calibri" w:cs="Calibri"/>
        </w:rPr>
        <w:t>: Despite ambitious targets under HNAPs, progress in developing transition and implementation plans was uneven. Health is underrepresented in climate finance mechanisms, posing challenges for sustaining pilot activities.</w:t>
      </w:r>
    </w:p>
    <w:p w14:paraId="31D19256" w14:textId="77777777" w:rsidR="00E02E86" w:rsidRDefault="00E02E86" w:rsidP="00C07A0A">
      <w:pPr>
        <w:pStyle w:val="NormalWeb"/>
        <w:numPr>
          <w:ilvl w:val="0"/>
          <w:numId w:val="47"/>
        </w:numPr>
      </w:pPr>
      <w:r w:rsidRPr="00EA28DF">
        <w:rPr>
          <w:rStyle w:val="Strong"/>
          <w:rFonts w:ascii="Calibri" w:eastAsiaTheme="majorEastAsia" w:hAnsi="Calibri" w:cs="Calibri"/>
        </w:rPr>
        <w:t>Funding Utilization</w:t>
      </w:r>
      <w:r w:rsidRPr="00EA28DF">
        <w:rPr>
          <w:rFonts w:ascii="Calibri" w:hAnsi="Calibri" w:cs="Calibri"/>
        </w:rPr>
        <w:t>: Uneven expenditure rates and significant underspend by the final year highlighted the need for clearer support to maximize fund utilization. Greater clarity and timely variation could benefit future GEF programs</w:t>
      </w:r>
      <w:r>
        <w:t>.</w:t>
      </w:r>
    </w:p>
    <w:p w14:paraId="4FE7B03A" w14:textId="77777777" w:rsidR="00E02E86" w:rsidRPr="00722693" w:rsidRDefault="00E02E86" w:rsidP="00C07A0A">
      <w:pPr>
        <w:pStyle w:val="Heading3"/>
        <w:numPr>
          <w:ilvl w:val="1"/>
          <w:numId w:val="29"/>
        </w:numPr>
        <w:rPr>
          <w:rFonts w:ascii="Calibri" w:hAnsi="Calibri" w:cs="Calibri"/>
          <w:b/>
        </w:rPr>
      </w:pPr>
      <w:bookmarkStart w:id="11" w:name="_Toc173429962"/>
      <w:r>
        <w:rPr>
          <w:rFonts w:ascii="Calibri" w:hAnsi="Calibri" w:cs="Calibri"/>
          <w:b/>
        </w:rPr>
        <w:lastRenderedPageBreak/>
        <w:t>Summary of Recommendations</w:t>
      </w:r>
      <w:bookmarkEnd w:id="11"/>
      <w:r>
        <w:rPr>
          <w:rFonts w:ascii="Calibri" w:hAnsi="Calibri" w:cs="Calibri"/>
          <w:b/>
        </w:rPr>
        <w:t xml:space="preserve"> </w:t>
      </w:r>
    </w:p>
    <w:p w14:paraId="066089C0" w14:textId="77777777" w:rsidR="00E02E86" w:rsidRDefault="00E02E86" w:rsidP="00C07A0A">
      <w:pPr>
        <w:jc w:val="both"/>
        <w:rPr>
          <w:rFonts w:ascii="Calibri" w:eastAsiaTheme="minorEastAsia" w:hAnsi="Calibri" w:cs="Calibri"/>
          <w:b/>
          <w:lang w:eastAsia="en-AU"/>
        </w:rPr>
      </w:pPr>
    </w:p>
    <w:p w14:paraId="409134B6" w14:textId="77777777" w:rsidR="00E02E86" w:rsidRDefault="00E02E86" w:rsidP="00C07A0A">
      <w:pPr>
        <w:jc w:val="both"/>
        <w:rPr>
          <w:rFonts w:ascii="Calibri" w:eastAsiaTheme="majorEastAsia" w:hAnsi="Calibri" w:cs="Calibri"/>
          <w:lang w:eastAsia="en-US"/>
        </w:rPr>
      </w:pPr>
      <w:r>
        <w:rPr>
          <w:rFonts w:ascii="Calibri" w:eastAsiaTheme="majorEastAsia" w:hAnsi="Calibri" w:cs="Calibri"/>
          <w:lang w:eastAsia="en-US"/>
        </w:rPr>
        <w:t>Overall, the project achieved significant progress and success, including satisfactory or highly satisfactory completion of most end-of-project outcomes. Project teams at all levels effectively collaborated with key operational stakeholders to strengthen institutional capacity and capabilities to identify and implement prioritised adaptation actions at national and sub-national levels in response to climate-sensitive health risks. Delays associated with COVID-19 were successfully managed, and the longer project timeframe allowed for backlogs to be cleared. While the project is ending in August 2024, there are several learnings that can be incorporated in the design of future programmes or scaling up the work undertaken in this project:</w:t>
      </w:r>
    </w:p>
    <w:p w14:paraId="1D9FF92B" w14:textId="77777777" w:rsidR="00E02E86" w:rsidRDefault="00E02E86" w:rsidP="00C07A0A">
      <w:pPr>
        <w:jc w:val="both"/>
        <w:rPr>
          <w:rFonts w:ascii="Calibri" w:eastAsiaTheme="majorEastAsia" w:hAnsi="Calibri" w:cs="Calibri"/>
          <w:lang w:eastAsia="en-US"/>
        </w:rPr>
      </w:pPr>
    </w:p>
    <w:p w14:paraId="1D26B24D" w14:textId="77777777" w:rsidR="00E02E86" w:rsidRDefault="00E02E86" w:rsidP="00C07A0A">
      <w:pPr>
        <w:pStyle w:val="ListParagraph"/>
        <w:numPr>
          <w:ilvl w:val="3"/>
          <w:numId w:val="6"/>
        </w:numPr>
        <w:ind w:left="709"/>
        <w:jc w:val="both"/>
        <w:rPr>
          <w:rFonts w:ascii="Calibri" w:eastAsiaTheme="minorEastAsia" w:hAnsi="Calibri" w:cs="Calibri"/>
          <w:b/>
          <w:lang w:eastAsia="en-AU"/>
        </w:rPr>
      </w:pPr>
      <w:r>
        <w:rPr>
          <w:rFonts w:ascii="Calibri" w:eastAsiaTheme="minorEastAsia" w:hAnsi="Calibri" w:cs="Calibri"/>
          <w:b/>
          <w:bCs/>
          <w:lang w:eastAsia="en-AU"/>
        </w:rPr>
        <w:t>Ensure clear sustainability and transition plans are developed in the final 6-12 months and as part of final project reporting systems:</w:t>
      </w:r>
      <w:r w:rsidRPr="7CCC5B56">
        <w:rPr>
          <w:rFonts w:ascii="Calibri" w:eastAsiaTheme="minorEastAsia" w:hAnsi="Calibri" w:cs="Calibri"/>
          <w:b/>
          <w:bCs/>
          <w:lang w:eastAsia="en-AU"/>
        </w:rPr>
        <w:t xml:space="preserve"> </w:t>
      </w:r>
      <w:r>
        <w:rPr>
          <w:rFonts w:ascii="Calibri" w:eastAsiaTheme="minorEastAsia" w:hAnsi="Calibri" w:cs="Calibri"/>
          <w:lang w:eastAsia="en-AU"/>
        </w:rPr>
        <w:t xml:space="preserve">given uncertainties for future funding and implementation responsibilities, particularly in relation to HNAPs, greater attention to transition plans could be invested in during the final 6-12 months of programming and following the closure of the project. These explicit plans can extend to co-designed funding proposals to leverage project learnings with key stakeholders, and advocacy to government agencies and climate financing mechanisms (e.g GCF) to allocate resources to address any gaps post-project. All projects should include consideration of how to scale-up and scale-out, which should be revisited through routine M&amp;E and reporting discussions. Clarity on WHO and UNDP’s ongoing technical support for climate change and health integration can also be provided to national and sub-national stakeholders. </w:t>
      </w:r>
    </w:p>
    <w:p w14:paraId="7092F8FB" w14:textId="77777777" w:rsidR="00E02E86" w:rsidRPr="00A43907" w:rsidRDefault="00E02E86" w:rsidP="00C07A0A">
      <w:pPr>
        <w:ind w:left="349"/>
        <w:jc w:val="both"/>
        <w:rPr>
          <w:rFonts w:ascii="Calibri" w:eastAsiaTheme="minorEastAsia" w:hAnsi="Calibri" w:cs="Calibri"/>
          <w:b/>
          <w:bCs/>
          <w:lang w:eastAsia="en-AU"/>
        </w:rPr>
      </w:pPr>
    </w:p>
    <w:p w14:paraId="51669A30" w14:textId="77777777" w:rsidR="00E02E86" w:rsidRPr="00A43907" w:rsidRDefault="00E02E86" w:rsidP="00C07A0A">
      <w:pPr>
        <w:pStyle w:val="ListParagraph"/>
        <w:numPr>
          <w:ilvl w:val="0"/>
          <w:numId w:val="6"/>
        </w:numPr>
        <w:jc w:val="both"/>
        <w:rPr>
          <w:rFonts w:ascii="Calibri" w:eastAsiaTheme="minorEastAsia" w:hAnsi="Calibri" w:cs="Calibri"/>
          <w:b/>
          <w:lang w:eastAsia="en-AU"/>
        </w:rPr>
      </w:pPr>
      <w:r>
        <w:rPr>
          <w:rFonts w:ascii="Calibri" w:eastAsiaTheme="minorEastAsia" w:hAnsi="Calibri" w:cs="Calibri"/>
          <w:b/>
          <w:lang w:eastAsia="en-AU"/>
        </w:rPr>
        <w:t>Clearly link future project activities and outputs to HNAP and NAP priorities</w:t>
      </w:r>
      <w:r w:rsidRPr="00A43907">
        <w:rPr>
          <w:rFonts w:ascii="Calibri" w:eastAsiaTheme="minorEastAsia" w:hAnsi="Calibri" w:cs="Calibri"/>
          <w:b/>
          <w:lang w:eastAsia="en-AU"/>
        </w:rPr>
        <w:t xml:space="preserve">: </w:t>
      </w:r>
      <w:r w:rsidRPr="00A43907">
        <w:rPr>
          <w:rFonts w:ascii="Calibri" w:eastAsiaTheme="minorEastAsia" w:hAnsi="Calibri" w:cs="Calibri"/>
          <w:lang w:eastAsia="en-AU"/>
        </w:rPr>
        <w:t xml:space="preserve">It was not possible to determine the extent to which activities and interventions implemented under the program were climate informed and/or represented adaptation priorities as defined in the HNAPs. This is a limitation of the TE, as quality and implementation appraisal of HNAPs and V&amp;A assessments was beyond its scope. Future sequencing to ensure activities are clearly linked to HNAP implementation, with clearly defined and measurable outcomes, would enhance the ability to measure systemic impact and effect of this type of policy and programmatic intervention. </w:t>
      </w:r>
    </w:p>
    <w:p w14:paraId="6835F794" w14:textId="77777777" w:rsidR="00E02E86" w:rsidRDefault="00E02E86" w:rsidP="00C07A0A">
      <w:pPr>
        <w:pStyle w:val="ListParagraph"/>
        <w:rPr>
          <w:rFonts w:ascii="Calibri" w:eastAsiaTheme="minorEastAsia" w:hAnsi="Calibri" w:cs="Calibri"/>
          <w:b/>
          <w:lang w:eastAsia="en-AU"/>
        </w:rPr>
      </w:pPr>
    </w:p>
    <w:p w14:paraId="7967E84A" w14:textId="195E4584" w:rsidR="00E02E86" w:rsidRDefault="00E02E86" w:rsidP="00C07A0A">
      <w:pPr>
        <w:pStyle w:val="ListParagraph"/>
        <w:numPr>
          <w:ilvl w:val="0"/>
          <w:numId w:val="6"/>
        </w:numPr>
        <w:jc w:val="both"/>
        <w:rPr>
          <w:rFonts w:ascii="Calibri" w:eastAsiaTheme="minorEastAsia" w:hAnsi="Calibri" w:cs="Calibri"/>
          <w:b/>
          <w:lang w:eastAsia="en-AU"/>
        </w:rPr>
      </w:pPr>
      <w:r>
        <w:rPr>
          <w:rFonts w:ascii="Calibri" w:eastAsiaTheme="minorEastAsia" w:hAnsi="Calibri" w:cs="Calibri"/>
          <w:b/>
          <w:lang w:eastAsia="en-AU"/>
        </w:rPr>
        <w:t xml:space="preserve">Provide ongoing technical support and guidance to support integration of health in adaptation responses: </w:t>
      </w:r>
      <w:r>
        <w:rPr>
          <w:rFonts w:ascii="Calibri" w:eastAsiaTheme="minorEastAsia" w:hAnsi="Calibri" w:cs="Calibri"/>
          <w:lang w:eastAsia="en-AU"/>
        </w:rPr>
        <w:t xml:space="preserve">Integration of HNAPs in NAPs, for those countries that </w:t>
      </w:r>
      <w:r w:rsidRPr="00A43907">
        <w:rPr>
          <w:rFonts w:ascii="Calibri" w:eastAsiaTheme="minorEastAsia" w:hAnsi="Calibri" w:cs="Calibri"/>
          <w:lang w:eastAsia="en-AU"/>
        </w:rPr>
        <w:t>did</w:t>
      </w:r>
      <w:r>
        <w:rPr>
          <w:rFonts w:ascii="Calibri" w:eastAsiaTheme="minorEastAsia" w:hAnsi="Calibri" w:cs="Calibri"/>
          <w:lang w:eastAsia="en-AU"/>
        </w:rPr>
        <w:t xml:space="preserve"> </w:t>
      </w:r>
      <w:r w:rsidRPr="00A43907">
        <w:rPr>
          <w:rFonts w:ascii="Calibri" w:eastAsiaTheme="minorEastAsia" w:hAnsi="Calibri" w:cs="Calibri"/>
          <w:lang w:eastAsia="en-AU"/>
        </w:rPr>
        <w:t>n</w:t>
      </w:r>
      <w:r>
        <w:rPr>
          <w:rFonts w:ascii="Calibri" w:eastAsiaTheme="minorEastAsia" w:hAnsi="Calibri" w:cs="Calibri"/>
          <w:lang w:eastAsia="en-AU"/>
        </w:rPr>
        <w:t>o</w:t>
      </w:r>
      <w:r w:rsidRPr="00A43907">
        <w:rPr>
          <w:rFonts w:ascii="Calibri" w:eastAsiaTheme="minorEastAsia" w:hAnsi="Calibri" w:cs="Calibri"/>
          <w:lang w:eastAsia="en-AU"/>
        </w:rPr>
        <w:t>t</w:t>
      </w:r>
      <w:r>
        <w:rPr>
          <w:rFonts w:ascii="Calibri" w:eastAsiaTheme="minorEastAsia" w:hAnsi="Calibri" w:cs="Calibri"/>
          <w:lang w:eastAsia="en-AU"/>
        </w:rPr>
        <w:t xml:space="preserve"> achieve this in the project timeframe, may provide a bridge for leveraging additional climate financing from multilateral and bilateral donors for health. WHO and UNDP may need to strengthen institutional knowledge sharing to support LDCs in navigating and accessing adaptation finance for future health initiatives. Project activities that brought together health and climate </w:t>
      </w:r>
      <w:r w:rsidR="00B318C3">
        <w:rPr>
          <w:rFonts w:ascii="Calibri" w:eastAsiaTheme="minorEastAsia" w:hAnsi="Calibri" w:cs="Calibri"/>
          <w:lang w:eastAsia="en-AU"/>
        </w:rPr>
        <w:t xml:space="preserve">officials and </w:t>
      </w:r>
      <w:r>
        <w:rPr>
          <w:rFonts w:ascii="Calibri" w:eastAsiaTheme="minorEastAsia" w:hAnsi="Calibri" w:cs="Calibri"/>
          <w:lang w:eastAsia="en-AU"/>
        </w:rPr>
        <w:t xml:space="preserve">experts were highly valued, including at sub-national level, and these institutional ties could be strengthened to enhance integrated adaptation efforts within the project countries and elsewhere. </w:t>
      </w:r>
    </w:p>
    <w:p w14:paraId="224764EF" w14:textId="77777777" w:rsidR="00E02E86" w:rsidRDefault="00E02E86" w:rsidP="00C07A0A">
      <w:pPr>
        <w:pStyle w:val="ListParagraph"/>
        <w:ind w:left="709"/>
        <w:jc w:val="both"/>
        <w:rPr>
          <w:rFonts w:ascii="Calibri" w:eastAsiaTheme="minorEastAsia" w:hAnsi="Calibri" w:cs="Calibri"/>
          <w:b/>
          <w:bCs/>
          <w:lang w:eastAsia="en-AU"/>
        </w:rPr>
      </w:pPr>
    </w:p>
    <w:p w14:paraId="27F7D6A7" w14:textId="77777777" w:rsidR="00E02E86" w:rsidRDefault="00E02E86" w:rsidP="00C07A0A">
      <w:pPr>
        <w:pStyle w:val="ListParagraph"/>
        <w:numPr>
          <w:ilvl w:val="0"/>
          <w:numId w:val="6"/>
        </w:numPr>
        <w:jc w:val="both"/>
        <w:rPr>
          <w:rFonts w:ascii="Calibri" w:eastAsiaTheme="minorEastAsia" w:hAnsi="Calibri" w:cs="Calibri"/>
          <w:lang w:eastAsia="en-AU"/>
        </w:rPr>
      </w:pPr>
      <w:r>
        <w:rPr>
          <w:rFonts w:ascii="Calibri" w:eastAsiaTheme="minorEastAsia" w:hAnsi="Calibri" w:cs="Calibri"/>
          <w:b/>
          <w:bCs/>
          <w:lang w:eastAsia="en-AU"/>
        </w:rPr>
        <w:t>Maintain and enhance institutional capacity and governance systems:</w:t>
      </w:r>
      <w:r>
        <w:rPr>
          <w:rFonts w:ascii="Calibri" w:eastAsiaTheme="minorEastAsia" w:hAnsi="Calibri" w:cs="Calibri"/>
          <w:lang w:eastAsia="en-AU"/>
        </w:rPr>
        <w:t xml:space="preserve"> Continue investments in training and capacity building to sustain and expand the skills of national and sub-national policymakers and practitioners. Incorporate refresher </w:t>
      </w:r>
      <w:r>
        <w:rPr>
          <w:rFonts w:ascii="Calibri" w:eastAsiaTheme="minorEastAsia" w:hAnsi="Calibri" w:cs="Calibri"/>
          <w:lang w:eastAsia="en-AU"/>
        </w:rPr>
        <w:lastRenderedPageBreak/>
        <w:t>training programs to keep stakeholders updated and enhance their capabilities, and to address neglected areas of implementation under the WHO operational framework and to further guidance for CRESH facilities, including decarbonisation and low-carbon technologies. Ongoing advocacy to ensure that training programs and guidelines developed during the project are permanently integrated into national health curricula and training programs will help institutionalise the knowledge and practices promoted by the project, thus increasing confidence that the project will achieve the impacts desired in terms of resilience and sustainability.</w:t>
      </w:r>
    </w:p>
    <w:p w14:paraId="69F2967D" w14:textId="77777777" w:rsidR="00E02E86" w:rsidRDefault="00E02E86" w:rsidP="00C07A0A">
      <w:pPr>
        <w:pStyle w:val="ListParagraph"/>
        <w:rPr>
          <w:rFonts w:ascii="Calibri" w:eastAsiaTheme="minorEastAsia" w:hAnsi="Calibri" w:cs="Calibri"/>
          <w:lang w:eastAsia="en-AU"/>
        </w:rPr>
      </w:pPr>
    </w:p>
    <w:p w14:paraId="1A8420BD" w14:textId="77777777" w:rsidR="00E02E86" w:rsidRDefault="00E02E86" w:rsidP="00C07A0A">
      <w:pPr>
        <w:pStyle w:val="ListParagraph"/>
        <w:numPr>
          <w:ilvl w:val="0"/>
          <w:numId w:val="6"/>
        </w:numPr>
        <w:jc w:val="both"/>
        <w:rPr>
          <w:rFonts w:ascii="Calibri" w:eastAsiaTheme="minorEastAsia" w:hAnsi="Calibri" w:cs="Calibri"/>
          <w:lang w:eastAsia="en-AU"/>
        </w:rPr>
      </w:pPr>
      <w:r>
        <w:rPr>
          <w:rFonts w:ascii="Calibri" w:eastAsiaTheme="minorEastAsia" w:hAnsi="Calibri" w:cs="Calibri"/>
          <w:b/>
          <w:bCs/>
          <w:lang w:eastAsia="en-AU"/>
        </w:rPr>
        <w:t xml:space="preserve">Support ongoing </w:t>
      </w:r>
      <w:r>
        <w:rPr>
          <w:rFonts w:ascii="Calibri" w:eastAsiaTheme="minorEastAsia" w:hAnsi="Calibri" w:cs="Calibri"/>
          <w:b/>
          <w:lang w:eastAsia="en-AU"/>
        </w:rPr>
        <w:t>peer-to-peer knowledge sharing, dissemination</w:t>
      </w:r>
      <w:r>
        <w:rPr>
          <w:rFonts w:ascii="Calibri" w:eastAsiaTheme="minorEastAsia" w:hAnsi="Calibri" w:cs="Calibri"/>
          <w:b/>
          <w:bCs/>
          <w:lang w:eastAsia="en-AU"/>
        </w:rPr>
        <w:t>,</w:t>
      </w:r>
      <w:r>
        <w:rPr>
          <w:rFonts w:ascii="Calibri" w:eastAsiaTheme="minorEastAsia" w:hAnsi="Calibri" w:cs="Calibri"/>
          <w:b/>
          <w:lang w:eastAsia="en-AU"/>
        </w:rPr>
        <w:t xml:space="preserve"> and leadership:  </w:t>
      </w:r>
      <w:r>
        <w:rPr>
          <w:rFonts w:ascii="Calibri" w:eastAsiaTheme="minorEastAsia" w:hAnsi="Calibri" w:cs="Calibri"/>
          <w:lang w:eastAsia="en-AU"/>
        </w:rPr>
        <w:t xml:space="preserve">Continued peer-to-peer knowledge sharing, dissemination, and leadership are crucial for maintaining and expanding regional networks built during the project. Leveraging the evidence, successes, challenges, and resources generated, these networks should facilitate regular meetings, workshops, and digital engagements to enhance collaboration and shared learning. Promoting national leadership and the emerging expertise in climate and health policy across project countries can catalyse future political will and buy-in. High-level fora like ATACH and COP events are essential platforms to elevate the project's profile and integrate health within broader climate discussions. Empowering grassroots champions within service delivery networks ensures sustained community-level engagement and knowledge dissemination and can also be promoted via national and regional fora. </w:t>
      </w:r>
    </w:p>
    <w:p w14:paraId="59E8B8A4" w14:textId="77777777" w:rsidR="00E02E86" w:rsidRPr="00C40F36" w:rsidRDefault="00E02E86" w:rsidP="00C07A0A">
      <w:pPr>
        <w:pStyle w:val="ListParagraph"/>
        <w:rPr>
          <w:rFonts w:ascii="Calibri" w:eastAsiaTheme="minorEastAsia" w:hAnsi="Calibri" w:cs="Calibri"/>
          <w:lang w:eastAsia="en-AU"/>
        </w:rPr>
      </w:pPr>
    </w:p>
    <w:p w14:paraId="50005E71" w14:textId="77777777" w:rsidR="00E02E86" w:rsidRPr="006C2C44" w:rsidRDefault="00E02E86" w:rsidP="00C07A0A">
      <w:pPr>
        <w:pStyle w:val="ListParagraph"/>
        <w:numPr>
          <w:ilvl w:val="0"/>
          <w:numId w:val="6"/>
        </w:numPr>
        <w:jc w:val="both"/>
        <w:rPr>
          <w:rFonts w:ascii="Calibri" w:eastAsiaTheme="minorEastAsia" w:hAnsi="Calibri" w:cs="Calibri"/>
          <w:b/>
          <w:bCs/>
          <w:lang w:eastAsia="en-AU"/>
        </w:rPr>
      </w:pPr>
      <w:r w:rsidRPr="00C40F36">
        <w:rPr>
          <w:rFonts w:ascii="Calibri" w:eastAsiaTheme="minorEastAsia" w:hAnsi="Calibri" w:cs="Calibri"/>
          <w:b/>
          <w:bCs/>
          <w:lang w:eastAsia="en-AU"/>
        </w:rPr>
        <w:t>Integrate</w:t>
      </w:r>
      <w:r>
        <w:rPr>
          <w:rFonts w:ascii="Calibri" w:eastAsiaTheme="minorEastAsia" w:hAnsi="Calibri" w:cs="Calibri"/>
          <w:b/>
          <w:lang w:eastAsia="en-AU"/>
        </w:rPr>
        <w:t xml:space="preserve"> and </w:t>
      </w:r>
      <w:r w:rsidRPr="00C40F36">
        <w:rPr>
          <w:rFonts w:ascii="Calibri" w:eastAsiaTheme="minorEastAsia" w:hAnsi="Calibri" w:cs="Calibri"/>
          <w:b/>
          <w:bCs/>
          <w:lang w:eastAsia="en-AU"/>
        </w:rPr>
        <w:t xml:space="preserve">streamline project monitoring </w:t>
      </w:r>
      <w:r w:rsidRPr="00C40F36">
        <w:rPr>
          <w:rFonts w:ascii="Calibri" w:eastAsiaTheme="minorEastAsia" w:hAnsi="Calibri" w:cs="Calibri"/>
          <w:b/>
          <w:lang w:eastAsia="en-AU"/>
        </w:rPr>
        <w:t xml:space="preserve">and </w:t>
      </w:r>
      <w:r>
        <w:rPr>
          <w:rFonts w:ascii="Calibri" w:eastAsiaTheme="minorEastAsia" w:hAnsi="Calibri" w:cs="Calibri"/>
          <w:b/>
          <w:bCs/>
          <w:lang w:eastAsia="en-AU"/>
        </w:rPr>
        <w:t xml:space="preserve">external </w:t>
      </w:r>
      <w:r w:rsidRPr="00C40F36">
        <w:rPr>
          <w:rFonts w:ascii="Calibri" w:eastAsiaTheme="minorEastAsia" w:hAnsi="Calibri" w:cs="Calibri"/>
          <w:b/>
          <w:bCs/>
          <w:lang w:eastAsia="en-AU"/>
        </w:rPr>
        <w:t>evaluation</w:t>
      </w:r>
      <w:r>
        <w:rPr>
          <w:rFonts w:ascii="Calibri" w:eastAsiaTheme="minorEastAsia" w:hAnsi="Calibri" w:cs="Calibri"/>
          <w:b/>
          <w:bCs/>
          <w:lang w:eastAsia="en-AU"/>
        </w:rPr>
        <w:t xml:space="preserve"> processes, using a theory-based methodology. </w:t>
      </w:r>
      <w:r>
        <w:rPr>
          <w:rFonts w:ascii="Calibri" w:eastAsia="Calibri" w:hAnsi="Calibri" w:cs="Calibri"/>
        </w:rPr>
        <w:t xml:space="preserve">Future program investment of this nature and scale would be strengthened by an evaluation that runs concurrently to the program. A concurrent evaluation design could include the development of a program theory of change that explains what (activities), how (via which mechanisms), when (in what contexts) and for whom (which countries, policymakers, population groups) change (outcomes) are expected. The theory would encompass and clarify elements of the project found to be not well defined and monitored, including </w:t>
      </w:r>
      <w:r w:rsidRPr="00C40F36">
        <w:rPr>
          <w:rFonts w:ascii="Calibri" w:eastAsia="Calibri" w:hAnsi="Calibri" w:cs="Calibri"/>
        </w:rPr>
        <w:t>gender mainstreaming</w:t>
      </w:r>
      <w:r>
        <w:rPr>
          <w:rFonts w:ascii="Calibri" w:eastAsia="Calibri" w:hAnsi="Calibri" w:cs="Calibri"/>
        </w:rPr>
        <w:t xml:space="preserve"> activity and outcomes; socio-economic, ecological</w:t>
      </w:r>
      <w:r w:rsidRPr="00C40F36">
        <w:rPr>
          <w:rFonts w:ascii="Calibri" w:eastAsia="Calibri" w:hAnsi="Calibri" w:cs="Calibri"/>
        </w:rPr>
        <w:t xml:space="preserve">/environmental </w:t>
      </w:r>
      <w:r>
        <w:rPr>
          <w:rFonts w:ascii="Calibri" w:eastAsia="Calibri" w:hAnsi="Calibri" w:cs="Calibri"/>
        </w:rPr>
        <w:t xml:space="preserve">and development outcomes; and the target beneficiaries of the program. The theory could also include </w:t>
      </w:r>
      <w:r w:rsidRPr="006C2C44">
        <w:rPr>
          <w:rFonts w:ascii="Calibri" w:eastAsia="Calibri" w:hAnsi="Calibri" w:cs="Calibri"/>
        </w:rPr>
        <w:t>defini</w:t>
      </w:r>
      <w:r>
        <w:rPr>
          <w:rFonts w:ascii="Calibri" w:eastAsia="Calibri" w:hAnsi="Calibri" w:cs="Calibri"/>
        </w:rPr>
        <w:t>tions</w:t>
      </w:r>
      <w:r w:rsidRPr="006C2C44">
        <w:rPr>
          <w:rFonts w:ascii="Calibri" w:eastAsia="Calibri" w:hAnsi="Calibri" w:cs="Calibri"/>
        </w:rPr>
        <w:t xml:space="preserve"> and measur</w:t>
      </w:r>
      <w:r>
        <w:rPr>
          <w:rFonts w:ascii="Calibri" w:eastAsia="Calibri" w:hAnsi="Calibri" w:cs="Calibri"/>
        </w:rPr>
        <w:t>es for</w:t>
      </w:r>
      <w:r w:rsidRPr="006C2C44">
        <w:rPr>
          <w:rFonts w:ascii="Calibri" w:eastAsia="Calibri" w:hAnsi="Calibri" w:cs="Calibri"/>
        </w:rPr>
        <w:t xml:space="preserve"> ‘climate resilience of health systems’ under the WHO’s global guidelines, which is an identified area of priority for ATACH</w:t>
      </w:r>
      <w:r>
        <w:rPr>
          <w:rFonts w:ascii="Calibri" w:eastAsia="Calibri" w:hAnsi="Calibri" w:cs="Calibri"/>
        </w:rPr>
        <w:t xml:space="preserve">. </w:t>
      </w:r>
    </w:p>
    <w:p w14:paraId="39340059" w14:textId="77777777" w:rsidR="00E02E86" w:rsidRPr="00C40F36" w:rsidRDefault="00E02E86" w:rsidP="00C07A0A">
      <w:pPr>
        <w:pStyle w:val="ListParagraph"/>
        <w:rPr>
          <w:rFonts w:ascii="Calibri" w:eastAsia="Calibri" w:hAnsi="Calibri" w:cs="Calibri"/>
        </w:rPr>
      </w:pPr>
    </w:p>
    <w:p w14:paraId="1AFE345F" w14:textId="77777777" w:rsidR="00E02E86" w:rsidRPr="006C2C44" w:rsidRDefault="00E02E86" w:rsidP="00C07A0A">
      <w:pPr>
        <w:pStyle w:val="ListParagraph"/>
        <w:jc w:val="both"/>
        <w:rPr>
          <w:rFonts w:ascii="Calibri" w:eastAsiaTheme="minorEastAsia" w:hAnsi="Calibri" w:cs="Calibri"/>
          <w:b/>
          <w:lang w:eastAsia="en-AU"/>
        </w:rPr>
      </w:pPr>
      <w:r w:rsidRPr="006C2C44">
        <w:rPr>
          <w:rFonts w:ascii="Calibri" w:eastAsia="Calibri" w:hAnsi="Calibri" w:cs="Calibri"/>
        </w:rPr>
        <w:t xml:space="preserve">The </w:t>
      </w:r>
      <w:r>
        <w:rPr>
          <w:rFonts w:ascii="Calibri" w:eastAsia="Calibri" w:hAnsi="Calibri" w:cs="Calibri"/>
        </w:rPr>
        <w:t xml:space="preserve">program </w:t>
      </w:r>
      <w:r w:rsidRPr="006C2C44">
        <w:rPr>
          <w:rFonts w:ascii="Calibri" w:eastAsia="Calibri" w:hAnsi="Calibri" w:cs="Calibri"/>
        </w:rPr>
        <w:t xml:space="preserve">theory could </w:t>
      </w:r>
      <w:r>
        <w:rPr>
          <w:rFonts w:ascii="Calibri" w:eastAsia="Calibri" w:hAnsi="Calibri" w:cs="Calibri"/>
        </w:rPr>
        <w:t xml:space="preserve">then be iteratively tested and refined with data collected by participating countries </w:t>
      </w:r>
      <w:r w:rsidRPr="006C2C44">
        <w:rPr>
          <w:rFonts w:ascii="Calibri" w:eastAsia="Calibri" w:hAnsi="Calibri" w:cs="Calibri"/>
        </w:rPr>
        <w:t xml:space="preserve">(monitoring data) </w:t>
      </w:r>
      <w:r>
        <w:rPr>
          <w:rFonts w:ascii="Calibri" w:eastAsia="Calibri" w:hAnsi="Calibri" w:cs="Calibri"/>
        </w:rPr>
        <w:t xml:space="preserve">and the </w:t>
      </w:r>
      <w:r w:rsidRPr="006C2C44">
        <w:rPr>
          <w:rFonts w:ascii="Calibri" w:eastAsia="Calibri" w:hAnsi="Calibri" w:cs="Calibri"/>
        </w:rPr>
        <w:t xml:space="preserve">external </w:t>
      </w:r>
      <w:r>
        <w:rPr>
          <w:rFonts w:ascii="Calibri" w:eastAsia="Calibri" w:hAnsi="Calibri" w:cs="Calibri"/>
        </w:rPr>
        <w:t>evaluators. Such iterative data collection and analysis would enable pre-mid-post analyses, including comparisons within and between counties to understand how context affects implementation and effectiveness. A concurrent and iterative design would also enable rapid learning cycles to inform program refinements along the way. The evaluation would result in an evidence-based, refined theory of change that explains how, when, and for whom the program is effective (and less, or not effective</w:t>
      </w:r>
      <w:r w:rsidRPr="006C2C44">
        <w:rPr>
          <w:rFonts w:ascii="Calibri" w:eastAsia="Calibri" w:hAnsi="Calibri" w:cs="Calibri"/>
        </w:rPr>
        <w:t>)</w:t>
      </w:r>
      <w:r>
        <w:rPr>
          <w:rFonts w:ascii="Calibri" w:eastAsia="Calibri" w:hAnsi="Calibri" w:cs="Calibri"/>
        </w:rPr>
        <w:t>, and nuanced recommendations based on the refined theory.</w:t>
      </w:r>
    </w:p>
    <w:p w14:paraId="252BD26A" w14:textId="77777777" w:rsidR="00E02E86" w:rsidRDefault="00E02E86" w:rsidP="00C07A0A">
      <w:pPr>
        <w:shd w:val="clear" w:color="auto" w:fill="FFFFFF" w:themeFill="background1"/>
        <w:rPr>
          <w:rFonts w:ascii="Calibri" w:eastAsia="Calibri" w:hAnsi="Calibri" w:cs="Calibri"/>
          <w:lang w:eastAsia="en-AU"/>
        </w:rPr>
      </w:pPr>
    </w:p>
    <w:p w14:paraId="1D34054D" w14:textId="77777777" w:rsidR="00E02E86" w:rsidRDefault="00E02E86" w:rsidP="00C07A0A">
      <w:pPr>
        <w:pStyle w:val="ListParagraph"/>
        <w:numPr>
          <w:ilvl w:val="0"/>
          <w:numId w:val="6"/>
        </w:numPr>
        <w:jc w:val="both"/>
        <w:rPr>
          <w:rFonts w:ascii="Calibri" w:eastAsiaTheme="minorEastAsia" w:hAnsi="Calibri" w:cs="Calibri"/>
          <w:lang w:eastAsia="en-AU"/>
        </w:rPr>
      </w:pPr>
      <w:r>
        <w:rPr>
          <w:rFonts w:ascii="Calibri" w:eastAsiaTheme="minorEastAsia" w:hAnsi="Calibri" w:cs="Calibri"/>
          <w:b/>
          <w:lang w:eastAsia="en-AU"/>
        </w:rPr>
        <w:t xml:space="preserve">Ensure adequate funding for core personnel and technical expertise: </w:t>
      </w:r>
      <w:r>
        <w:rPr>
          <w:rFonts w:ascii="Calibri" w:eastAsiaTheme="minorEastAsia" w:hAnsi="Calibri" w:cs="Calibri"/>
          <w:lang w:eastAsia="en-AU"/>
        </w:rPr>
        <w:t xml:space="preserve">The ability to fund MOH directly as an implementing agency was a considerable strength, and </w:t>
      </w:r>
      <w:r>
        <w:rPr>
          <w:rFonts w:ascii="Calibri" w:eastAsiaTheme="minorEastAsia" w:hAnsi="Calibri" w:cs="Calibri"/>
          <w:lang w:eastAsia="en-AU"/>
        </w:rPr>
        <w:lastRenderedPageBreak/>
        <w:t xml:space="preserve">downstream partners supporting service delivery activities at provincial and sub-provincial levels benefited from this funding flexibility. However, core staff within key agencies were funded through in-kind contributions, which may have limited the ability to scale-up implementation and address delays. A balance in funds for consultancy and ongoing staff, based on local need and priorities, would be preferable but is acknowledged as a potential limitation of the funding guidelines rather than a project decision. In addition, technical expertise for knowledge gaps, such as accessing climate finance and quantifying the cost-benefits of climate change and health/climate-resilience interventions, could be strengthened as part of central Project Management Unit support. </w:t>
      </w:r>
      <w:r>
        <w:rPr>
          <w:rFonts w:ascii="Calibri" w:eastAsiaTheme="minorEastAsia" w:hAnsi="Calibri" w:cs="Calibri"/>
          <w:b/>
          <w:lang w:eastAsia="en-AU"/>
        </w:rPr>
        <w:t xml:space="preserve"> </w:t>
      </w:r>
    </w:p>
    <w:p w14:paraId="6FBC17D0" w14:textId="77777777" w:rsidR="00E02E86" w:rsidRDefault="00E02E86" w:rsidP="00C07A0A">
      <w:pPr>
        <w:pStyle w:val="ListParagraph"/>
        <w:rPr>
          <w:rFonts w:ascii="Calibri" w:eastAsiaTheme="minorEastAsia" w:hAnsi="Calibri" w:cs="Calibri"/>
          <w:b/>
          <w:lang w:eastAsia="en-AU"/>
        </w:rPr>
      </w:pPr>
    </w:p>
    <w:p w14:paraId="1DEA7349" w14:textId="77777777" w:rsidR="00E02E86" w:rsidRPr="003445E8" w:rsidRDefault="00E02E86" w:rsidP="00C07A0A">
      <w:pPr>
        <w:pStyle w:val="ListParagraph"/>
        <w:numPr>
          <w:ilvl w:val="0"/>
          <w:numId w:val="6"/>
        </w:numPr>
        <w:jc w:val="both"/>
        <w:rPr>
          <w:rFonts w:ascii="Calibri" w:hAnsi="Calibri" w:cs="Calibri"/>
          <w:b/>
        </w:rPr>
      </w:pPr>
      <w:r>
        <w:rPr>
          <w:rFonts w:ascii="Calibri" w:eastAsiaTheme="minorEastAsia" w:hAnsi="Calibri" w:cs="Calibri"/>
          <w:b/>
          <w:lang w:eastAsia="en-AU"/>
        </w:rPr>
        <w:t xml:space="preserve">Develop systems to consistently document and share implementation evidence: </w:t>
      </w:r>
      <w:r>
        <w:rPr>
          <w:rFonts w:ascii="Calibri" w:eastAsiaTheme="minorEastAsia" w:hAnsi="Calibri" w:cs="Calibri"/>
          <w:lang w:eastAsia="en-AU"/>
        </w:rPr>
        <w:t xml:space="preserve">There are substantial learnings from the project that can inform prioritisation and implementation of adaptation efforts within healthcare across other settings. Much of the evidence from the project was documented via informal/grey sources, hence may have limited dissemination via scientific and broader public channels. This limits the ability to recognise and account for these efforts in global scientific review processes, including IPCC reports. Engaging academic and/or research partners to capitalise on opportunities for evidence generation, analysis, and dissemination would add value to the broader climate and health sectors and scientific literature. </w:t>
      </w:r>
    </w:p>
    <w:p w14:paraId="46D4773A" w14:textId="77777777" w:rsidR="00D94ABE" w:rsidRPr="00D94ABE" w:rsidRDefault="00D94ABE" w:rsidP="00C07A0A">
      <w:pPr>
        <w:rPr>
          <w:lang w:eastAsia="en-US"/>
        </w:rPr>
      </w:pPr>
    </w:p>
    <w:p w14:paraId="75070C9B" w14:textId="5063390F" w:rsidR="002B060A" w:rsidRPr="00126905" w:rsidRDefault="006040A7" w:rsidP="00C07A0A">
      <w:pPr>
        <w:jc w:val="both"/>
        <w:rPr>
          <w:rFonts w:ascii="Calibri" w:eastAsiaTheme="minorEastAsia" w:hAnsi="Calibri" w:cs="Calibri"/>
          <w:highlight w:val="yellow"/>
        </w:rPr>
      </w:pPr>
      <w:r>
        <w:br w:type="page"/>
      </w:r>
    </w:p>
    <w:p w14:paraId="75070C9C" w14:textId="1EC2C713" w:rsidR="002B060A" w:rsidRDefault="006040A7" w:rsidP="00C07A0A">
      <w:pPr>
        <w:pStyle w:val="Heading2"/>
        <w:numPr>
          <w:ilvl w:val="0"/>
          <w:numId w:val="29"/>
        </w:numPr>
        <w:rPr>
          <w:rStyle w:val="normaltextrun"/>
          <w:rFonts w:ascii="Calibri" w:hAnsi="Calibri" w:cs="Calibri"/>
          <w:b/>
          <w:color w:val="094183"/>
        </w:rPr>
      </w:pPr>
      <w:bookmarkStart w:id="12" w:name="_Toc173429963"/>
      <w:r>
        <w:rPr>
          <w:rStyle w:val="normaltextrun"/>
          <w:rFonts w:ascii="Calibri" w:hAnsi="Calibri" w:cs="Calibri"/>
          <w:b/>
          <w:color w:val="094183"/>
        </w:rPr>
        <w:lastRenderedPageBreak/>
        <w:t>Introduction</w:t>
      </w:r>
      <w:bookmarkEnd w:id="12"/>
      <w:r>
        <w:rPr>
          <w:rStyle w:val="normaltextrun"/>
          <w:rFonts w:ascii="Calibri" w:hAnsi="Calibri" w:cs="Calibri"/>
          <w:b/>
          <w:color w:val="094183"/>
        </w:rPr>
        <w:t xml:space="preserve"> </w:t>
      </w:r>
    </w:p>
    <w:p w14:paraId="75070C9D" w14:textId="111BC2B6" w:rsidR="002B060A" w:rsidRDefault="006040A7" w:rsidP="00C07A0A">
      <w:pPr>
        <w:pStyle w:val="Heading3"/>
        <w:numPr>
          <w:ilvl w:val="1"/>
          <w:numId w:val="29"/>
        </w:numPr>
        <w:rPr>
          <w:rFonts w:ascii="Calibri" w:hAnsi="Calibri" w:cs="Calibri"/>
          <w:b/>
        </w:rPr>
      </w:pPr>
      <w:bookmarkStart w:id="13" w:name="_Toc173429964"/>
      <w:r>
        <w:rPr>
          <w:rFonts w:ascii="Calibri" w:hAnsi="Calibri" w:cs="Calibri"/>
          <w:b/>
        </w:rPr>
        <w:t>Evaluation Purpose and Objectives</w:t>
      </w:r>
      <w:bookmarkEnd w:id="13"/>
    </w:p>
    <w:p w14:paraId="5C6C753B" w14:textId="77777777" w:rsidR="008111D3" w:rsidRDefault="008111D3" w:rsidP="00C07A0A">
      <w:pPr>
        <w:pStyle w:val="Heading4"/>
        <w:spacing w:before="240"/>
        <w:rPr>
          <w:rFonts w:ascii="Calibri" w:eastAsia="Calibri" w:hAnsi="Calibri" w:cs="Calibri"/>
          <w:color w:val="094183"/>
          <w:sz w:val="22"/>
          <w:szCs w:val="22"/>
        </w:rPr>
      </w:pPr>
      <w:r>
        <w:rPr>
          <w:rFonts w:ascii="Calibri" w:hAnsi="Calibri" w:cs="Calibri"/>
        </w:rPr>
        <w:t>Purpose</w:t>
      </w:r>
    </w:p>
    <w:p w14:paraId="47DA4E12" w14:textId="77777777" w:rsidR="008111D3" w:rsidRDefault="008111D3" w:rsidP="00C07A0A">
      <w:pPr>
        <w:spacing w:after="120" w:line="276" w:lineRule="auto"/>
        <w:jc w:val="both"/>
        <w:rPr>
          <w:rFonts w:ascii="Calibri" w:eastAsiaTheme="minorEastAsia" w:hAnsi="Calibri" w:cs="Calibri"/>
        </w:rPr>
      </w:pPr>
      <w:r>
        <w:rPr>
          <w:rFonts w:ascii="Calibri" w:eastAsiaTheme="minorEastAsia" w:hAnsi="Calibri" w:cs="Calibri"/>
        </w:rPr>
        <w:t xml:space="preserve">This Terminal Evaluation (TE) assessed overall performance and progress towards delivery of the </w:t>
      </w:r>
      <w:r>
        <w:rPr>
          <w:rFonts w:ascii="Calibri" w:eastAsiaTheme="minorEastAsia" w:hAnsi="Calibri" w:cs="Calibri"/>
          <w:b/>
          <w:i/>
        </w:rPr>
        <w:t>Building Resilience of Health Systems in Asian LDCs to Climate Change</w:t>
      </w:r>
      <w:r>
        <w:rPr>
          <w:rFonts w:ascii="Calibri" w:eastAsiaTheme="minorEastAsia" w:hAnsi="Calibri" w:cs="Calibri"/>
          <w:i/>
        </w:rPr>
        <w:t xml:space="preserve"> </w:t>
      </w:r>
      <w:r>
        <w:rPr>
          <w:rFonts w:ascii="Calibri" w:eastAsiaTheme="minorEastAsia" w:hAnsi="Calibri" w:cs="Calibri"/>
        </w:rPr>
        <w:t xml:space="preserve">(PIMS#5400) end-of-project outcomes. It was intended to capture overall project accomplishments, challenges, good practices and factors that may influence longer-term sustainability and impact of project benefits. </w:t>
      </w:r>
    </w:p>
    <w:p w14:paraId="1CF1E920" w14:textId="45DC8B26" w:rsidR="008111D3" w:rsidRDefault="008111D3" w:rsidP="00C07A0A">
      <w:pPr>
        <w:spacing w:after="120" w:line="276" w:lineRule="auto"/>
        <w:jc w:val="both"/>
        <w:rPr>
          <w:rFonts w:ascii="Calibri" w:eastAsiaTheme="minorEastAsia" w:hAnsi="Calibri" w:cs="Calibri"/>
        </w:rPr>
      </w:pPr>
      <w:r>
        <w:rPr>
          <w:rFonts w:ascii="Calibri" w:eastAsiaTheme="minorEastAsia" w:hAnsi="Calibri" w:cs="Calibri"/>
        </w:rPr>
        <w:t>This TE report has been prepared in accordance with relevant guidance, including ‘</w:t>
      </w:r>
      <w:r>
        <w:rPr>
          <w:rFonts w:ascii="Calibri" w:eastAsiaTheme="minorEastAsia" w:hAnsi="Calibri" w:cs="Calibri"/>
          <w:i/>
          <w:iCs/>
        </w:rPr>
        <w:t>Guidance for Conducting Terminal Evaluations of UNDP-Supported, GEF-Financed Projects’</w:t>
      </w:r>
      <w:r>
        <w:rPr>
          <w:rStyle w:val="FootnoteReference1"/>
          <w:rFonts w:ascii="Calibri" w:eastAsiaTheme="minorEastAsia" w:hAnsi="Calibri" w:cs="Calibri"/>
          <w:i/>
          <w:iCs/>
        </w:rPr>
        <w:footnoteReference w:id="5"/>
      </w:r>
      <w:r>
        <w:rPr>
          <w:rFonts w:ascii="Calibri" w:eastAsiaTheme="minorEastAsia" w:hAnsi="Calibri" w:cs="Calibri"/>
        </w:rPr>
        <w:t xml:space="preserve"> and the ‘</w:t>
      </w:r>
      <w:r>
        <w:rPr>
          <w:rFonts w:ascii="Calibri" w:eastAsiaTheme="minorEastAsia" w:hAnsi="Calibri" w:cs="Calibri"/>
          <w:i/>
          <w:iCs/>
        </w:rPr>
        <w:t>GEF’s Guidelines for Conducting Terminal Evaluations of Full-Size Projects (2023)’</w:t>
      </w:r>
      <w:r>
        <w:rPr>
          <w:rStyle w:val="FootnoteReference1"/>
          <w:rFonts w:ascii="Calibri" w:eastAsiaTheme="minorEastAsia" w:hAnsi="Calibri" w:cs="Calibri"/>
        </w:rPr>
        <w:footnoteReference w:id="6"/>
      </w:r>
      <w:r>
        <w:rPr>
          <w:rFonts w:ascii="Calibri" w:eastAsiaTheme="minorEastAsia" w:hAnsi="Calibri" w:cs="Calibri"/>
        </w:rPr>
        <w:t>.</w:t>
      </w:r>
    </w:p>
    <w:p w14:paraId="75070CA1" w14:textId="77777777" w:rsidR="002B060A" w:rsidRDefault="006040A7" w:rsidP="00C07A0A">
      <w:pPr>
        <w:pStyle w:val="Heading4"/>
        <w:spacing w:before="240"/>
        <w:rPr>
          <w:rFonts w:ascii="Calibri" w:eastAsiaTheme="minorEastAsia" w:hAnsi="Calibri" w:cs="Calibri"/>
          <w:color w:val="094183"/>
          <w:sz w:val="22"/>
          <w:szCs w:val="22"/>
        </w:rPr>
      </w:pPr>
      <w:r>
        <w:rPr>
          <w:rFonts w:ascii="Calibri" w:hAnsi="Calibri" w:cs="Calibri"/>
        </w:rPr>
        <w:t>Objectives</w:t>
      </w:r>
    </w:p>
    <w:p w14:paraId="75070CA2" w14:textId="77777777" w:rsidR="002B060A" w:rsidRDefault="006040A7" w:rsidP="00C07A0A">
      <w:pPr>
        <w:spacing w:after="120" w:line="276" w:lineRule="auto"/>
        <w:jc w:val="both"/>
        <w:rPr>
          <w:rFonts w:ascii="Calibri" w:eastAsiaTheme="minorEastAsia" w:hAnsi="Calibri" w:cs="Calibri"/>
        </w:rPr>
      </w:pPr>
      <w:r>
        <w:rPr>
          <w:rFonts w:ascii="Calibri" w:eastAsiaTheme="minorEastAsia" w:hAnsi="Calibri" w:cs="Calibri"/>
        </w:rPr>
        <w:t>This TE aimed to:</w:t>
      </w:r>
    </w:p>
    <w:p w14:paraId="75070CA3" w14:textId="77777777" w:rsidR="002B060A" w:rsidRDefault="006040A7" w:rsidP="00C07A0A">
      <w:pPr>
        <w:pStyle w:val="ListParagraph"/>
        <w:numPr>
          <w:ilvl w:val="0"/>
          <w:numId w:val="24"/>
        </w:numPr>
        <w:spacing w:after="120" w:line="276" w:lineRule="auto"/>
        <w:jc w:val="both"/>
        <w:rPr>
          <w:rFonts w:ascii="Calibri" w:eastAsiaTheme="minorEastAsia" w:hAnsi="Calibri" w:cs="Calibri"/>
        </w:rPr>
      </w:pPr>
      <w:r>
        <w:rPr>
          <w:rFonts w:ascii="Calibri" w:eastAsiaTheme="minorEastAsia" w:hAnsi="Calibri" w:cs="Calibri"/>
        </w:rPr>
        <w:t>Determine extent to which the project has achieved its overall objectives and outcomes, in accordance with the GEF UNDP Project Results Framework (</w:t>
      </w:r>
      <w:r>
        <w:rPr>
          <w:rFonts w:ascii="Calibri" w:eastAsiaTheme="minorEastAsia" w:hAnsi="Calibri" w:cs="Calibri"/>
          <w:b/>
          <w:bCs/>
        </w:rPr>
        <w:t xml:space="preserve">Annex </w:t>
      </w:r>
      <w:r>
        <w:rPr>
          <w:rFonts w:ascii="Calibri" w:eastAsiaTheme="minorEastAsia" w:hAnsi="Calibri" w:cs="Calibri"/>
          <w:b/>
        </w:rPr>
        <w:t>A</w:t>
      </w:r>
      <w:r>
        <w:rPr>
          <w:rFonts w:ascii="Calibri" w:eastAsiaTheme="minorEastAsia" w:hAnsi="Calibri" w:cs="Calibri"/>
        </w:rPr>
        <w:t>);</w:t>
      </w:r>
    </w:p>
    <w:p w14:paraId="75070CA4" w14:textId="77777777" w:rsidR="002B060A" w:rsidRDefault="006040A7" w:rsidP="00C07A0A">
      <w:pPr>
        <w:pStyle w:val="ListParagraph"/>
        <w:numPr>
          <w:ilvl w:val="0"/>
          <w:numId w:val="24"/>
        </w:numPr>
        <w:spacing w:after="120" w:line="276" w:lineRule="auto"/>
        <w:jc w:val="both"/>
        <w:rPr>
          <w:rFonts w:ascii="Calibri" w:eastAsiaTheme="minorEastAsia" w:hAnsi="Calibri" w:cs="Calibri"/>
        </w:rPr>
      </w:pPr>
      <w:r>
        <w:rPr>
          <w:rFonts w:ascii="Calibri" w:eastAsiaTheme="minorEastAsia" w:hAnsi="Calibri" w:cs="Calibri"/>
        </w:rPr>
        <w:t xml:space="preserve">Evaluate decision-making and project implementation measures, identifying key factors contributing to implementation success or failure; </w:t>
      </w:r>
    </w:p>
    <w:p w14:paraId="75070CA5" w14:textId="77777777" w:rsidR="002B060A" w:rsidRDefault="006040A7" w:rsidP="00C07A0A">
      <w:pPr>
        <w:pStyle w:val="ListParagraph"/>
        <w:numPr>
          <w:ilvl w:val="0"/>
          <w:numId w:val="24"/>
        </w:numPr>
        <w:spacing w:after="120" w:line="276" w:lineRule="auto"/>
        <w:jc w:val="both"/>
        <w:rPr>
          <w:rFonts w:ascii="Calibri" w:eastAsiaTheme="minorEastAsia" w:hAnsi="Calibri" w:cs="Calibri"/>
        </w:rPr>
      </w:pPr>
      <w:r>
        <w:rPr>
          <w:rFonts w:ascii="Calibri" w:eastAsiaTheme="minorEastAsia" w:hAnsi="Calibri" w:cs="Calibri"/>
        </w:rPr>
        <w:t>Assess the achievement of outcomes against key evaluation criteria and indicators, including for relevance, coherence, effectiveness, efficiency, outcomes, and sustainability; and</w:t>
      </w:r>
    </w:p>
    <w:p w14:paraId="75070CA6" w14:textId="77777777" w:rsidR="002B060A" w:rsidRDefault="006040A7" w:rsidP="00C07A0A">
      <w:pPr>
        <w:pStyle w:val="ListParagraph"/>
        <w:numPr>
          <w:ilvl w:val="0"/>
          <w:numId w:val="24"/>
        </w:numPr>
        <w:spacing w:after="120" w:line="276" w:lineRule="auto"/>
        <w:jc w:val="both"/>
        <w:rPr>
          <w:rFonts w:ascii="Calibri" w:eastAsiaTheme="minorEastAsia" w:hAnsi="Calibri" w:cs="Calibri"/>
        </w:rPr>
      </w:pPr>
      <w:r>
        <w:rPr>
          <w:rFonts w:ascii="Calibri" w:eastAsiaTheme="minorEastAsia" w:hAnsi="Calibri" w:cs="Calibri"/>
        </w:rPr>
        <w:t xml:space="preserve">Identify recommendations and lessons learnt to inform WHO, UNDP and GEF climate change and health programs across the region. </w:t>
      </w:r>
    </w:p>
    <w:p w14:paraId="75070CA7" w14:textId="77777777" w:rsidR="002B060A" w:rsidRDefault="006040A7" w:rsidP="00C07A0A">
      <w:pPr>
        <w:jc w:val="both"/>
        <w:rPr>
          <w:rFonts w:ascii="Calibri" w:eastAsiaTheme="minorEastAsia" w:hAnsi="Calibri" w:cs="Calibri"/>
          <w:u w:val="single"/>
        </w:rPr>
      </w:pPr>
      <w:r>
        <w:rPr>
          <w:rFonts w:ascii="Calibri" w:eastAsiaTheme="minorEastAsia" w:hAnsi="Calibri" w:cs="Calibri"/>
        </w:rPr>
        <w:t xml:space="preserve">Parameters for each objective and relevant key evaluation questions are outlined in </w:t>
      </w:r>
      <w:r>
        <w:rPr>
          <w:rFonts w:ascii="Calibri" w:eastAsiaTheme="minorEastAsia" w:hAnsi="Calibri" w:cs="Calibri"/>
          <w:b/>
        </w:rPr>
        <w:t>Appendix 1: Evaluation Criteria Matrix.</w:t>
      </w:r>
      <w:r>
        <w:rPr>
          <w:rFonts w:ascii="Calibri" w:eastAsiaTheme="minorEastAsia" w:hAnsi="Calibri" w:cs="Calibri"/>
        </w:rPr>
        <w:t xml:space="preserve"> </w:t>
      </w:r>
    </w:p>
    <w:p w14:paraId="75070CA8" w14:textId="77777777" w:rsidR="002B060A" w:rsidRDefault="006040A7" w:rsidP="00C07A0A">
      <w:pPr>
        <w:pStyle w:val="Heading4"/>
        <w:spacing w:before="240"/>
        <w:rPr>
          <w:rFonts w:ascii="Calibri" w:hAnsi="Calibri" w:cs="Calibri"/>
        </w:rPr>
      </w:pPr>
      <w:r>
        <w:rPr>
          <w:rFonts w:ascii="Calibri" w:hAnsi="Calibri" w:cs="Calibri"/>
        </w:rPr>
        <w:t>Scope </w:t>
      </w:r>
    </w:p>
    <w:p w14:paraId="75070CA9" w14:textId="77777777" w:rsidR="002B060A" w:rsidRDefault="006040A7" w:rsidP="00C07A0A">
      <w:pPr>
        <w:spacing w:after="120" w:line="276" w:lineRule="auto"/>
        <w:jc w:val="both"/>
        <w:rPr>
          <w:rFonts w:ascii="Calibri" w:hAnsi="Calibri" w:cs="Calibri"/>
        </w:rPr>
      </w:pPr>
      <w:r>
        <w:rPr>
          <w:rFonts w:ascii="Calibri" w:eastAsiaTheme="minorEastAsia" w:hAnsi="Calibri" w:cs="Calibri"/>
        </w:rPr>
        <w:t xml:space="preserve">The evaluation covered the entire 66-month implementation period (including 18-month no-cost extension). Files for the desktop review covered the inception period up until end-of December 2023, based on information available at the time of the TE. Additional implementation insights into the final 6-months were gathered through stakeholder interviews. </w:t>
      </w:r>
    </w:p>
    <w:p w14:paraId="1AFB9F07" w14:textId="152F17E4" w:rsidR="00B55676" w:rsidRPr="00A74163" w:rsidRDefault="00B55676" w:rsidP="00C07A0A">
      <w:pPr>
        <w:spacing w:after="120" w:line="276" w:lineRule="auto"/>
        <w:jc w:val="both"/>
        <w:rPr>
          <w:rFonts w:ascii="Calibri" w:hAnsi="Calibri" w:cs="Calibri"/>
          <w:lang w:val="en-US"/>
        </w:rPr>
      </w:pPr>
      <w:r>
        <w:rPr>
          <w:rFonts w:ascii="Calibri" w:hAnsi="Calibri" w:cs="Calibri"/>
        </w:rPr>
        <w:t xml:space="preserve">The TE covered all project countries, including background information in Myanmar. Due to a worsening external security and </w:t>
      </w:r>
      <w:r w:rsidRPr="00A74163">
        <w:rPr>
          <w:rFonts w:ascii="Calibri" w:hAnsi="Calibri" w:cs="Calibri"/>
          <w:lang w:val="en-US"/>
        </w:rPr>
        <w:t xml:space="preserve">political </w:t>
      </w:r>
      <w:r>
        <w:rPr>
          <w:rFonts w:ascii="Calibri" w:hAnsi="Calibri" w:cs="Calibri"/>
          <w:lang w:val="en-US"/>
        </w:rPr>
        <w:t>environment</w:t>
      </w:r>
      <w:r w:rsidRPr="00A74163">
        <w:rPr>
          <w:rFonts w:ascii="Calibri" w:hAnsi="Calibri" w:cs="Calibri"/>
          <w:lang w:val="en-US"/>
        </w:rPr>
        <w:t xml:space="preserve">, the GEF Secretariat notified UNDP </w:t>
      </w:r>
      <w:r>
        <w:rPr>
          <w:rFonts w:ascii="Calibri" w:hAnsi="Calibri" w:cs="Calibri"/>
          <w:lang w:val="en-US"/>
        </w:rPr>
        <w:t xml:space="preserve">in October 2021, </w:t>
      </w:r>
      <w:r w:rsidRPr="00A74163">
        <w:rPr>
          <w:rFonts w:ascii="Calibri" w:hAnsi="Calibri" w:cs="Calibri"/>
          <w:lang w:val="en-US"/>
        </w:rPr>
        <w:t xml:space="preserve">that the GEF did not consider that the conditions existed for the execution of GEF projects in </w:t>
      </w:r>
      <w:r w:rsidRPr="00CB0E8D">
        <w:rPr>
          <w:rFonts w:ascii="Calibri" w:hAnsi="Calibri"/>
        </w:rPr>
        <w:t>Myanmar</w:t>
      </w:r>
      <w:r>
        <w:rPr>
          <w:rFonts w:ascii="Calibri" w:hAnsi="Calibri"/>
        </w:rPr>
        <w:t xml:space="preserve"> and activities were subsequently suspended</w:t>
      </w:r>
      <w:r w:rsidRPr="00A74163">
        <w:rPr>
          <w:rFonts w:ascii="Calibri" w:hAnsi="Calibri" w:cs="Calibri"/>
          <w:lang w:val="en-US"/>
        </w:rPr>
        <w:t xml:space="preserve">. </w:t>
      </w:r>
    </w:p>
    <w:p w14:paraId="75070CAA" w14:textId="7EB0FAE2" w:rsidR="002B060A" w:rsidRDefault="00B55676" w:rsidP="00C07A0A">
      <w:pPr>
        <w:spacing w:after="120" w:line="276" w:lineRule="auto"/>
        <w:jc w:val="both"/>
        <w:rPr>
          <w:rFonts w:ascii="Calibri" w:hAnsi="Calibri" w:cs="Calibri"/>
          <w:lang w:eastAsia="en-US"/>
        </w:rPr>
      </w:pPr>
      <w:r>
        <w:rPr>
          <w:rFonts w:ascii="Calibri" w:hAnsi="Calibri" w:cs="Calibri"/>
        </w:rPr>
        <w:lastRenderedPageBreak/>
        <w:t xml:space="preserve">As such, Myanmar activities were not included in end-of-project progress assessment or ratings. The evaluation was focussed on whole-of-project results and progress towards overall objective, outcome indicators and final targets, as per the Project Results Framework. Additional information related to country-level outcomes supplemented assessment throughout. </w:t>
      </w:r>
      <w:r w:rsidR="006040A7">
        <w:rPr>
          <w:rFonts w:ascii="Calibri" w:hAnsi="Calibri" w:cs="Calibri"/>
        </w:rPr>
        <w:t xml:space="preserve"> </w:t>
      </w:r>
    </w:p>
    <w:p w14:paraId="75070CAB" w14:textId="77777777" w:rsidR="002B060A" w:rsidRDefault="006040A7" w:rsidP="00C07A0A">
      <w:pPr>
        <w:pStyle w:val="Heading2"/>
        <w:numPr>
          <w:ilvl w:val="0"/>
          <w:numId w:val="29"/>
        </w:numPr>
        <w:rPr>
          <w:rStyle w:val="normaltextrun"/>
          <w:rFonts w:ascii="Calibri" w:hAnsi="Calibri" w:cs="Calibri"/>
          <w:b/>
          <w:color w:val="094183"/>
        </w:rPr>
      </w:pPr>
      <w:bookmarkStart w:id="14" w:name="_Toc173429965"/>
      <w:r>
        <w:rPr>
          <w:rStyle w:val="normaltextrun"/>
          <w:rFonts w:ascii="Calibri" w:hAnsi="Calibri" w:cs="Calibri"/>
          <w:b/>
          <w:color w:val="094183"/>
        </w:rPr>
        <w:t>Methodology</w:t>
      </w:r>
      <w:bookmarkEnd w:id="14"/>
      <w:r>
        <w:rPr>
          <w:rStyle w:val="normaltextrun"/>
          <w:rFonts w:ascii="Calibri" w:hAnsi="Calibri" w:cs="Calibri"/>
          <w:b/>
          <w:color w:val="094183"/>
        </w:rPr>
        <w:t> </w:t>
      </w:r>
    </w:p>
    <w:p w14:paraId="75070CAC" w14:textId="77777777" w:rsidR="002B060A" w:rsidRDefault="006040A7" w:rsidP="00C07A0A">
      <w:pPr>
        <w:pStyle w:val="Heading3"/>
        <w:numPr>
          <w:ilvl w:val="1"/>
          <w:numId w:val="29"/>
        </w:numPr>
        <w:rPr>
          <w:rFonts w:ascii="Calibri" w:hAnsi="Calibri" w:cs="Calibri"/>
          <w:b/>
        </w:rPr>
      </w:pPr>
      <w:bookmarkStart w:id="15" w:name="_Toc173429966"/>
      <w:r>
        <w:rPr>
          <w:rFonts w:ascii="Calibri" w:hAnsi="Calibri" w:cs="Calibri"/>
          <w:b/>
        </w:rPr>
        <w:t>Conceptual Framework</w:t>
      </w:r>
      <w:bookmarkEnd w:id="15"/>
    </w:p>
    <w:p w14:paraId="75070CAD" w14:textId="77777777" w:rsidR="002B060A" w:rsidRDefault="002B060A" w:rsidP="00C07A0A">
      <w:pPr>
        <w:rPr>
          <w:rFonts w:ascii="Calibri" w:eastAsiaTheme="minorEastAsia" w:hAnsi="Calibri" w:cs="Calibri"/>
          <w:lang w:eastAsia="en-US"/>
        </w:rPr>
      </w:pPr>
    </w:p>
    <w:p w14:paraId="75070CAE" w14:textId="77777777" w:rsidR="002B060A" w:rsidRDefault="006040A7" w:rsidP="00C07A0A">
      <w:pPr>
        <w:jc w:val="both"/>
        <w:rPr>
          <w:rFonts w:ascii="Calibri" w:eastAsiaTheme="minorEastAsia" w:hAnsi="Calibri" w:cs="Calibri"/>
        </w:rPr>
      </w:pPr>
      <w:r>
        <w:rPr>
          <w:rFonts w:ascii="Calibri" w:eastAsiaTheme="minorEastAsia" w:hAnsi="Calibri" w:cs="Calibri"/>
        </w:rPr>
        <w:t xml:space="preserve">The TE was intended to provide evidence-based, credible, reliable and useful information, drawing from multiple sources of information across the global, regional and national scales of the project. A primary focus of the TE was assessing the extent to which the project has achieved its intended outcomes, and lessons learned for sustainability of project benefits. </w:t>
      </w:r>
    </w:p>
    <w:p w14:paraId="75070CAF" w14:textId="77777777" w:rsidR="002B060A" w:rsidRDefault="002B060A" w:rsidP="00C07A0A">
      <w:pPr>
        <w:jc w:val="both"/>
        <w:rPr>
          <w:rFonts w:ascii="Calibri" w:eastAsiaTheme="minorEastAsia" w:hAnsi="Calibri" w:cs="Calibri"/>
        </w:rPr>
      </w:pPr>
    </w:p>
    <w:p w14:paraId="75070CB0" w14:textId="77777777" w:rsidR="002B060A" w:rsidRDefault="006040A7" w:rsidP="00C07A0A">
      <w:pPr>
        <w:jc w:val="both"/>
        <w:rPr>
          <w:rFonts w:ascii="Calibri" w:eastAsiaTheme="minorEastAsia" w:hAnsi="Calibri" w:cs="Calibri"/>
        </w:rPr>
      </w:pPr>
      <w:r>
        <w:rPr>
          <w:rFonts w:ascii="Calibri" w:eastAsiaTheme="minorEastAsia" w:hAnsi="Calibri" w:cs="Calibri"/>
        </w:rPr>
        <w:t xml:space="preserve">We used a pragmatic mixed-methods approach, combining qualitative and quantitative data from a variety of sources, to assess overall project results and performance against the key evaluation questions and end-of-project outcomes. </w:t>
      </w:r>
    </w:p>
    <w:p w14:paraId="75070CB1" w14:textId="77777777" w:rsidR="002B060A" w:rsidRDefault="002B060A" w:rsidP="00C07A0A">
      <w:pPr>
        <w:spacing w:after="120" w:line="276" w:lineRule="auto"/>
        <w:rPr>
          <w:rFonts w:ascii="Calibri" w:eastAsia="Calibri" w:hAnsi="Calibri" w:cs="Calibri"/>
          <w:sz w:val="22"/>
          <w:szCs w:val="22"/>
        </w:rPr>
      </w:pPr>
    </w:p>
    <w:p w14:paraId="75070CB2" w14:textId="77777777" w:rsidR="002B060A" w:rsidRDefault="006040A7" w:rsidP="00C07A0A">
      <w:pPr>
        <w:pStyle w:val="Heading4"/>
        <w:rPr>
          <w:rFonts w:ascii="Calibri" w:eastAsia="Calibri" w:hAnsi="Calibri" w:cs="Calibri"/>
          <w:color w:val="094183"/>
          <w:sz w:val="22"/>
          <w:szCs w:val="22"/>
        </w:rPr>
      </w:pPr>
      <w:r>
        <w:rPr>
          <w:rFonts w:ascii="Calibri" w:hAnsi="Calibri" w:cs="Calibri"/>
        </w:rPr>
        <w:t>Key Evaluation Questions</w:t>
      </w:r>
    </w:p>
    <w:p w14:paraId="75070CB3" w14:textId="77777777" w:rsidR="002B060A" w:rsidRDefault="006040A7" w:rsidP="00C07A0A">
      <w:pPr>
        <w:spacing w:after="120" w:line="276" w:lineRule="auto"/>
        <w:jc w:val="both"/>
        <w:rPr>
          <w:rFonts w:ascii="Calibri" w:eastAsiaTheme="minorEastAsia" w:hAnsi="Calibri" w:cs="Calibri"/>
        </w:rPr>
      </w:pPr>
      <w:r>
        <w:rPr>
          <w:rFonts w:ascii="Calibri" w:eastAsiaTheme="minorEastAsia" w:hAnsi="Calibri" w:cs="Calibri"/>
        </w:rPr>
        <w:t>The TE was guided by the following questions:</w:t>
      </w:r>
    </w:p>
    <w:p w14:paraId="75070CB4" w14:textId="77777777" w:rsidR="002B060A" w:rsidRDefault="006040A7" w:rsidP="00C07A0A">
      <w:pPr>
        <w:pStyle w:val="ListParagraph"/>
        <w:numPr>
          <w:ilvl w:val="0"/>
          <w:numId w:val="22"/>
        </w:numPr>
        <w:spacing w:after="120" w:line="276" w:lineRule="auto"/>
        <w:ind w:left="709" w:hanging="283"/>
        <w:jc w:val="both"/>
        <w:rPr>
          <w:rFonts w:ascii="Calibri" w:eastAsiaTheme="minorEastAsia" w:hAnsi="Calibri" w:cs="Calibri"/>
          <w:color w:val="000000" w:themeColor="text1"/>
        </w:rPr>
      </w:pPr>
      <w:r w:rsidRPr="5A717AC1">
        <w:rPr>
          <w:rFonts w:ascii="Calibri" w:eastAsiaTheme="minorEastAsia" w:hAnsi="Calibri" w:cs="Calibri"/>
          <w:b/>
          <w:bCs/>
          <w:color w:val="000000" w:themeColor="text1"/>
        </w:rPr>
        <w:t>Overall progress:</w:t>
      </w:r>
      <w:r w:rsidRPr="5A717AC1">
        <w:rPr>
          <w:rFonts w:ascii="Calibri" w:eastAsiaTheme="minorEastAsia" w:hAnsi="Calibri" w:cs="Calibri"/>
          <w:color w:val="000000" w:themeColor="text1"/>
        </w:rPr>
        <w:t xml:space="preserve"> To what extent has the project achieved its expected objectives and outcomes?</w:t>
      </w:r>
    </w:p>
    <w:p w14:paraId="75070CB5" w14:textId="77777777" w:rsidR="002B060A" w:rsidRDefault="006040A7" w:rsidP="00C07A0A">
      <w:pPr>
        <w:pStyle w:val="ListParagraph"/>
        <w:numPr>
          <w:ilvl w:val="0"/>
          <w:numId w:val="22"/>
        </w:numPr>
        <w:spacing w:after="120" w:line="276" w:lineRule="auto"/>
        <w:ind w:left="709" w:hanging="283"/>
        <w:jc w:val="both"/>
        <w:rPr>
          <w:rFonts w:ascii="Calibri" w:eastAsiaTheme="minorEastAsia" w:hAnsi="Calibri" w:cs="Calibri"/>
          <w:color w:val="000000" w:themeColor="text1"/>
        </w:rPr>
      </w:pPr>
      <w:r w:rsidRPr="5A717AC1">
        <w:rPr>
          <w:rFonts w:ascii="Calibri" w:eastAsiaTheme="minorEastAsia" w:hAnsi="Calibri" w:cs="Calibri"/>
          <w:b/>
          <w:bCs/>
          <w:color w:val="000000" w:themeColor="text1"/>
        </w:rPr>
        <w:t>Relevance:</w:t>
      </w:r>
      <w:r w:rsidRPr="5A717AC1">
        <w:rPr>
          <w:rFonts w:ascii="Calibri" w:eastAsiaTheme="minorEastAsia" w:hAnsi="Calibri" w:cs="Calibri"/>
          <w:color w:val="000000" w:themeColor="text1"/>
        </w:rPr>
        <w:t xml:space="preserve"> How does the project relate to the main objectives of the GEF Focal area, and to the environment and development priorities at the local, regional and national level?</w:t>
      </w:r>
    </w:p>
    <w:p w14:paraId="75070CB6" w14:textId="77777777" w:rsidR="002B060A" w:rsidRDefault="006040A7" w:rsidP="00C07A0A">
      <w:pPr>
        <w:pStyle w:val="ListParagraph"/>
        <w:numPr>
          <w:ilvl w:val="0"/>
          <w:numId w:val="22"/>
        </w:numPr>
        <w:spacing w:after="120" w:line="276" w:lineRule="auto"/>
        <w:ind w:left="709" w:hanging="283"/>
        <w:jc w:val="both"/>
        <w:rPr>
          <w:rFonts w:ascii="Calibri" w:eastAsiaTheme="minorEastAsia" w:hAnsi="Calibri" w:cs="Calibri"/>
          <w:color w:val="000000" w:themeColor="text1"/>
        </w:rPr>
      </w:pPr>
      <w:r w:rsidRPr="5A717AC1">
        <w:rPr>
          <w:rFonts w:ascii="Calibri" w:eastAsiaTheme="minorEastAsia" w:hAnsi="Calibri" w:cs="Calibri"/>
          <w:b/>
          <w:bCs/>
          <w:color w:val="000000" w:themeColor="text1"/>
        </w:rPr>
        <w:t>Coherence:</w:t>
      </w:r>
      <w:r w:rsidRPr="5A717AC1">
        <w:rPr>
          <w:rFonts w:ascii="Calibri" w:eastAsiaTheme="minorEastAsia" w:hAnsi="Calibri" w:cs="Calibri"/>
          <w:color w:val="000000" w:themeColor="text1"/>
        </w:rPr>
        <w:t xml:space="preserve"> To what extent did the project align with national country context (external coherence) and were project activities aligned with the project’s theory of change, governance, activities and M&amp;E (internal coherence)?</w:t>
      </w:r>
    </w:p>
    <w:p w14:paraId="75070CB7" w14:textId="77777777" w:rsidR="002B060A" w:rsidRDefault="006040A7" w:rsidP="00C07A0A">
      <w:pPr>
        <w:pStyle w:val="ListParagraph"/>
        <w:numPr>
          <w:ilvl w:val="0"/>
          <w:numId w:val="22"/>
        </w:numPr>
        <w:spacing w:after="120" w:line="276" w:lineRule="auto"/>
        <w:ind w:left="709" w:hanging="283"/>
        <w:jc w:val="both"/>
        <w:rPr>
          <w:rFonts w:ascii="Calibri" w:eastAsiaTheme="minorEastAsia" w:hAnsi="Calibri" w:cs="Calibri"/>
          <w:color w:val="000000" w:themeColor="text1"/>
        </w:rPr>
      </w:pPr>
      <w:r w:rsidRPr="5A717AC1">
        <w:rPr>
          <w:rFonts w:ascii="Calibri" w:eastAsiaTheme="minorEastAsia" w:hAnsi="Calibri" w:cs="Calibri"/>
          <w:b/>
          <w:bCs/>
          <w:color w:val="000000" w:themeColor="text1"/>
        </w:rPr>
        <w:t>Effectiveness:</w:t>
      </w:r>
      <w:r w:rsidRPr="5A717AC1">
        <w:rPr>
          <w:rFonts w:ascii="Calibri" w:eastAsiaTheme="minorEastAsia" w:hAnsi="Calibri" w:cs="Calibri"/>
          <w:color w:val="000000" w:themeColor="text1"/>
        </w:rPr>
        <w:t xml:space="preserve"> To what extent have the expected outcomes and objectives of the project been achieved?</w:t>
      </w:r>
    </w:p>
    <w:p w14:paraId="75070CB8" w14:textId="77777777" w:rsidR="002B060A" w:rsidRDefault="006040A7" w:rsidP="00C07A0A">
      <w:pPr>
        <w:pStyle w:val="ListParagraph"/>
        <w:numPr>
          <w:ilvl w:val="0"/>
          <w:numId w:val="22"/>
        </w:numPr>
        <w:spacing w:after="120" w:line="276" w:lineRule="auto"/>
        <w:ind w:left="709" w:hanging="283"/>
        <w:jc w:val="both"/>
        <w:rPr>
          <w:rFonts w:ascii="Calibri" w:eastAsiaTheme="minorEastAsia" w:hAnsi="Calibri" w:cs="Calibri"/>
          <w:color w:val="000000" w:themeColor="text1"/>
        </w:rPr>
      </w:pPr>
      <w:r w:rsidRPr="5A717AC1">
        <w:rPr>
          <w:rFonts w:ascii="Calibri" w:eastAsiaTheme="minorEastAsia" w:hAnsi="Calibri" w:cs="Calibri"/>
          <w:b/>
          <w:bCs/>
          <w:color w:val="000000" w:themeColor="text1"/>
        </w:rPr>
        <w:t>Efficiency:</w:t>
      </w:r>
      <w:r w:rsidRPr="5A717AC1">
        <w:rPr>
          <w:rFonts w:ascii="Calibri" w:eastAsiaTheme="minorEastAsia" w:hAnsi="Calibri" w:cs="Calibri"/>
          <w:color w:val="000000" w:themeColor="text1"/>
        </w:rPr>
        <w:t xml:space="preserve"> Was the project implemented efficiently, in line with international and national norms and standards?</w:t>
      </w:r>
    </w:p>
    <w:p w14:paraId="75070CB9" w14:textId="77777777" w:rsidR="002B060A" w:rsidRDefault="006040A7" w:rsidP="00C07A0A">
      <w:pPr>
        <w:pStyle w:val="ListParagraph"/>
        <w:numPr>
          <w:ilvl w:val="0"/>
          <w:numId w:val="22"/>
        </w:numPr>
        <w:spacing w:after="120" w:line="276" w:lineRule="auto"/>
        <w:ind w:left="709" w:hanging="283"/>
        <w:jc w:val="both"/>
        <w:rPr>
          <w:rFonts w:ascii="Calibri" w:eastAsiaTheme="minorEastAsia" w:hAnsi="Calibri" w:cs="Calibri"/>
          <w:color w:val="000000" w:themeColor="text1"/>
        </w:rPr>
      </w:pPr>
      <w:r w:rsidRPr="5A717AC1">
        <w:rPr>
          <w:rFonts w:ascii="Calibri" w:eastAsiaTheme="minorEastAsia" w:hAnsi="Calibri" w:cs="Calibri"/>
          <w:b/>
          <w:bCs/>
          <w:color w:val="000000" w:themeColor="text1"/>
        </w:rPr>
        <w:t>Sustainability</w:t>
      </w:r>
      <w:r w:rsidRPr="5A717AC1">
        <w:rPr>
          <w:rFonts w:ascii="Calibri" w:eastAsiaTheme="minorEastAsia" w:hAnsi="Calibri" w:cs="Calibri"/>
          <w:color w:val="000000" w:themeColor="text1"/>
        </w:rPr>
        <w:t>: To what extent are there financial, institutional, socio-political, and/or environmental risks to sustaining long-term project results?</w:t>
      </w:r>
    </w:p>
    <w:p w14:paraId="75070CBA" w14:textId="77777777" w:rsidR="002B060A" w:rsidRDefault="006040A7" w:rsidP="00C07A0A">
      <w:pPr>
        <w:pStyle w:val="ListParagraph"/>
        <w:numPr>
          <w:ilvl w:val="0"/>
          <w:numId w:val="22"/>
        </w:numPr>
        <w:spacing w:after="120" w:line="276" w:lineRule="auto"/>
        <w:ind w:left="709" w:hanging="425"/>
        <w:jc w:val="both"/>
        <w:rPr>
          <w:rFonts w:ascii="Calibri" w:eastAsiaTheme="minorEastAsia" w:hAnsi="Calibri" w:cs="Calibri"/>
          <w:color w:val="000000" w:themeColor="text1"/>
        </w:rPr>
      </w:pPr>
      <w:r w:rsidRPr="5A717AC1">
        <w:rPr>
          <w:rFonts w:ascii="Calibri" w:eastAsiaTheme="minorEastAsia" w:hAnsi="Calibri" w:cs="Calibri"/>
          <w:b/>
          <w:bCs/>
          <w:color w:val="000000" w:themeColor="text1"/>
        </w:rPr>
        <w:t>Gender equality and women’s empowerment:</w:t>
      </w:r>
      <w:r w:rsidRPr="5A717AC1">
        <w:rPr>
          <w:rFonts w:ascii="Calibri" w:eastAsiaTheme="minorEastAsia" w:hAnsi="Calibri" w:cs="Calibri"/>
          <w:color w:val="000000" w:themeColor="text1"/>
        </w:rPr>
        <w:t xml:space="preserve"> How did the project contribute to gender equality and women’s empowerment?   </w:t>
      </w:r>
    </w:p>
    <w:p w14:paraId="75070CBB" w14:textId="77777777" w:rsidR="002B060A" w:rsidRDefault="006040A7" w:rsidP="00C07A0A">
      <w:pPr>
        <w:pStyle w:val="ListParagraph"/>
        <w:numPr>
          <w:ilvl w:val="0"/>
          <w:numId w:val="22"/>
        </w:numPr>
        <w:spacing w:after="120" w:line="276" w:lineRule="auto"/>
        <w:ind w:left="709" w:hanging="425"/>
        <w:jc w:val="both"/>
        <w:rPr>
          <w:rFonts w:ascii="Calibri" w:eastAsiaTheme="minorEastAsia" w:hAnsi="Calibri" w:cs="Calibri"/>
          <w:color w:val="000000" w:themeColor="text1"/>
        </w:rPr>
      </w:pPr>
      <w:r w:rsidRPr="5A717AC1">
        <w:rPr>
          <w:rFonts w:ascii="Calibri" w:eastAsiaTheme="minorEastAsia" w:hAnsi="Calibri" w:cs="Calibri"/>
          <w:b/>
          <w:bCs/>
          <w:color w:val="000000" w:themeColor="text1"/>
        </w:rPr>
        <w:t>Impact:</w:t>
      </w:r>
      <w:r w:rsidRPr="5A717AC1">
        <w:rPr>
          <w:rFonts w:ascii="Calibri" w:eastAsiaTheme="minorEastAsia" w:hAnsi="Calibri" w:cs="Calibri"/>
          <w:color w:val="000000" w:themeColor="text1"/>
        </w:rPr>
        <w:t xml:space="preserve"> Are there indications that the project has contributed to, or enabled progress toward reduced environmental stress and/or improved ecological status and increased resilience of health systems to protect population health in the face of climate change?</w:t>
      </w:r>
    </w:p>
    <w:p w14:paraId="75070CBC" w14:textId="77777777" w:rsidR="002B060A" w:rsidRDefault="006040A7" w:rsidP="00C07A0A">
      <w:pPr>
        <w:spacing w:after="120" w:line="276" w:lineRule="auto"/>
        <w:jc w:val="both"/>
        <w:rPr>
          <w:rFonts w:ascii="Calibri" w:eastAsiaTheme="minorEastAsia" w:hAnsi="Calibri" w:cs="Calibri"/>
          <w:b/>
        </w:rPr>
      </w:pPr>
      <w:r>
        <w:rPr>
          <w:rFonts w:ascii="Calibri" w:eastAsiaTheme="minorEastAsia" w:hAnsi="Calibri" w:cs="Calibri"/>
        </w:rPr>
        <w:t xml:space="preserve">Detailed sub-questions, indicators and data collection parameters are available as </w:t>
      </w:r>
      <w:r>
        <w:rPr>
          <w:rFonts w:ascii="Calibri" w:eastAsiaTheme="minorEastAsia" w:hAnsi="Calibri" w:cs="Calibri"/>
          <w:b/>
        </w:rPr>
        <w:t>Appendix 2: Key Evaluation Questions.</w:t>
      </w:r>
    </w:p>
    <w:p w14:paraId="75070CBD" w14:textId="77777777" w:rsidR="002B060A" w:rsidRDefault="006040A7" w:rsidP="00C07A0A">
      <w:pPr>
        <w:pStyle w:val="Heading3"/>
        <w:numPr>
          <w:ilvl w:val="1"/>
          <w:numId w:val="29"/>
        </w:numPr>
        <w:rPr>
          <w:rFonts w:ascii="Calibri" w:hAnsi="Calibri" w:cs="Calibri"/>
          <w:b/>
        </w:rPr>
      </w:pPr>
      <w:bookmarkStart w:id="16" w:name="_Toc173429967"/>
      <w:r>
        <w:rPr>
          <w:rFonts w:ascii="Calibri" w:hAnsi="Calibri" w:cs="Calibri"/>
          <w:b/>
        </w:rPr>
        <w:lastRenderedPageBreak/>
        <w:t>Data Collection Methods</w:t>
      </w:r>
      <w:bookmarkEnd w:id="16"/>
    </w:p>
    <w:p w14:paraId="3F40C355" w14:textId="35E569F1" w:rsidR="000C0F2D" w:rsidRDefault="006040A7" w:rsidP="00C07A0A">
      <w:pPr>
        <w:pStyle w:val="paragraph"/>
        <w:suppressAutoHyphens/>
        <w:spacing w:before="0" w:beforeAutospacing="0" w:after="0" w:afterAutospacing="0"/>
        <w:jc w:val="both"/>
        <w:rPr>
          <w:rFonts w:ascii="Calibri" w:eastAsiaTheme="minorEastAsia" w:hAnsi="Calibri" w:cs="Calibri"/>
          <w:bCs/>
        </w:rPr>
      </w:pPr>
      <w:r>
        <w:rPr>
          <w:rFonts w:ascii="Calibri" w:eastAsiaTheme="minorEastAsia" w:hAnsi="Calibri" w:cs="Calibri"/>
        </w:rPr>
        <w:t xml:space="preserve">The TE was implemented through four key phases of work (desktop review, stakeholder interviews, field missions, triangulation and analysis), some of which occurred concurrently due to time constraints. All phases were designed to capture multiple sources of data (primary and secondary) and enable participatory design and engagement throughout. Evaluation activities and were informed by the Terms of Reference and Inception Report (see </w:t>
      </w:r>
      <w:r>
        <w:rPr>
          <w:rFonts w:ascii="Calibri" w:eastAsiaTheme="minorEastAsia" w:hAnsi="Calibri" w:cs="Calibri"/>
          <w:b/>
        </w:rPr>
        <w:t>Annex B- C</w:t>
      </w:r>
      <w:r>
        <w:rPr>
          <w:rFonts w:ascii="Calibri" w:eastAsiaTheme="minorEastAsia" w:hAnsi="Calibri" w:cs="Calibri"/>
          <w:bCs/>
        </w:rPr>
        <w:t xml:space="preserve"> and the Evaluation Matrix (</w:t>
      </w:r>
      <w:r>
        <w:rPr>
          <w:rFonts w:ascii="Calibri" w:eastAsiaTheme="minorEastAsia" w:hAnsi="Calibri" w:cs="Calibri"/>
          <w:b/>
          <w:bCs/>
        </w:rPr>
        <w:t>A</w:t>
      </w:r>
      <w:r>
        <w:rPr>
          <w:rFonts w:ascii="Calibri" w:eastAsiaTheme="minorEastAsia" w:hAnsi="Calibri" w:cs="Calibri"/>
          <w:b/>
        </w:rPr>
        <w:t>ppendix 1</w:t>
      </w:r>
      <w:r>
        <w:rPr>
          <w:rFonts w:ascii="Calibri" w:eastAsiaTheme="minorEastAsia" w:hAnsi="Calibri" w:cs="Calibri"/>
          <w:bCs/>
        </w:rPr>
        <w:t>). Feedback from WHO and UNDP</w:t>
      </w:r>
      <w:r>
        <w:rPr>
          <w:rFonts w:ascii="Calibri" w:eastAsiaTheme="minorEastAsia" w:hAnsi="Calibri" w:cs="Calibri"/>
        </w:rPr>
        <w:t xml:space="preserve"> </w:t>
      </w:r>
      <w:r>
        <w:rPr>
          <w:rFonts w:ascii="Calibri" w:eastAsiaTheme="minorEastAsia" w:hAnsi="Calibri" w:cs="Calibri"/>
          <w:bCs/>
        </w:rPr>
        <w:t xml:space="preserve">stakeholders on the data collection plan was incorporated following submission of the inception report on 11 June 2024. </w:t>
      </w:r>
    </w:p>
    <w:p w14:paraId="586C1597" w14:textId="77777777" w:rsidR="00307394" w:rsidRDefault="00307394" w:rsidP="00C07A0A">
      <w:pPr>
        <w:pStyle w:val="paragraph"/>
        <w:suppressAutoHyphens/>
        <w:spacing w:before="0" w:beforeAutospacing="0" w:after="0" w:afterAutospacing="0"/>
        <w:jc w:val="both"/>
        <w:rPr>
          <w:rFonts w:ascii="Calibri" w:eastAsiaTheme="minorEastAsia" w:hAnsi="Calibri" w:cs="Calibri"/>
          <w:bCs/>
        </w:rPr>
      </w:pPr>
    </w:p>
    <w:p w14:paraId="1F96F1C5" w14:textId="5451439D" w:rsidR="00555F73" w:rsidRPr="008432F3" w:rsidRDefault="00555F73" w:rsidP="00C643DF">
      <w:pPr>
        <w:pStyle w:val="Heading4"/>
        <w:rPr>
          <w:rFonts w:ascii="Calibri" w:eastAsiaTheme="minorEastAsia" w:hAnsi="Calibri" w:cs="Calibri"/>
          <w:bCs/>
          <w:i w:val="0"/>
          <w:iCs w:val="0"/>
        </w:rPr>
      </w:pPr>
      <w:r w:rsidRPr="00C643DF">
        <w:rPr>
          <w:rFonts w:ascii="Calibri" w:hAnsi="Calibri" w:cs="Calibri"/>
        </w:rPr>
        <w:t>Gender responsiveness</w:t>
      </w:r>
    </w:p>
    <w:p w14:paraId="75070CBF" w14:textId="79C9123B" w:rsidR="002B060A" w:rsidRDefault="00B41A30" w:rsidP="00C07A0A">
      <w:pPr>
        <w:jc w:val="both"/>
        <w:rPr>
          <w:rFonts w:ascii="Calibri" w:hAnsi="Calibri" w:cs="Calibri"/>
          <w:sz w:val="22"/>
          <w:szCs w:val="22"/>
        </w:rPr>
      </w:pPr>
      <w:r>
        <w:rPr>
          <w:rFonts w:ascii="Calibri" w:hAnsi="Calibri" w:cs="Calibri"/>
          <w:sz w:val="22"/>
          <w:szCs w:val="22"/>
        </w:rPr>
        <w:t xml:space="preserve">The evaluation method employed mixed methods, with the triangulation of desk-based analysis, interviews with key stakeholders, and field trips to key site activities. Specific questions relating to gender and women’s empowerment were included in all aspects of the data collection. We incorporated secondary gender disaggregated data from the desktop review where available, although data was inconsistently disaggregated and characterised. </w:t>
      </w:r>
    </w:p>
    <w:p w14:paraId="1734AB01" w14:textId="77777777" w:rsidR="00C643DF" w:rsidRDefault="00C643DF" w:rsidP="00C07A0A">
      <w:pPr>
        <w:jc w:val="both"/>
        <w:rPr>
          <w:rFonts w:ascii="Calibri" w:hAnsi="Calibri" w:cs="Calibri"/>
          <w:highlight w:val="yellow"/>
          <w:u w:val="single"/>
        </w:rPr>
      </w:pPr>
    </w:p>
    <w:p w14:paraId="75070CC0" w14:textId="77777777" w:rsidR="002B060A" w:rsidRDefault="006040A7" w:rsidP="00C07A0A">
      <w:pPr>
        <w:pStyle w:val="Heading4"/>
        <w:rPr>
          <w:rFonts w:ascii="Calibri" w:hAnsi="Calibri" w:cs="Calibri"/>
          <w:u w:val="single"/>
        </w:rPr>
      </w:pPr>
      <w:r>
        <w:rPr>
          <w:rFonts w:ascii="Calibri" w:hAnsi="Calibri" w:cs="Calibri"/>
        </w:rPr>
        <w:t xml:space="preserve">Phase 1: Desktop review </w:t>
      </w:r>
    </w:p>
    <w:p w14:paraId="75070CC1" w14:textId="77777777" w:rsidR="002B060A" w:rsidRDefault="006040A7" w:rsidP="00C07A0A">
      <w:pPr>
        <w:jc w:val="both"/>
        <w:rPr>
          <w:rFonts w:ascii="Calibri" w:hAnsi="Calibri" w:cs="Calibri"/>
        </w:rPr>
      </w:pPr>
      <w:r>
        <w:rPr>
          <w:rFonts w:ascii="Calibri" w:hAnsi="Calibri" w:cs="Calibri"/>
        </w:rPr>
        <w:t xml:space="preserve">A desktop review of key project documents collated over the 6-year project period was conducted to gather contextual information and review whether the project’s implementation and monitoring activities aligned with the GEF proposal (ProDoc) and variation </w:t>
      </w:r>
      <w:r>
        <w:rPr>
          <w:rFonts w:ascii="Calibri" w:eastAsiaTheme="minorEastAsia" w:hAnsi="Calibri" w:cs="Calibri"/>
        </w:rPr>
        <w:t>documents</w:t>
      </w:r>
      <w:r>
        <w:rPr>
          <w:rFonts w:ascii="Calibri" w:hAnsi="Calibri" w:cs="Calibri"/>
        </w:rPr>
        <w:t>.</w:t>
      </w:r>
    </w:p>
    <w:p w14:paraId="75070CC2" w14:textId="77777777" w:rsidR="002B060A" w:rsidRDefault="002B060A" w:rsidP="00C07A0A">
      <w:pPr>
        <w:jc w:val="both"/>
        <w:rPr>
          <w:rFonts w:ascii="Calibri" w:hAnsi="Calibri" w:cs="Calibri"/>
        </w:rPr>
      </w:pPr>
    </w:p>
    <w:p w14:paraId="75070CC3" w14:textId="77777777" w:rsidR="002B060A" w:rsidRDefault="006040A7" w:rsidP="00C07A0A">
      <w:pPr>
        <w:jc w:val="both"/>
        <w:rPr>
          <w:rFonts w:ascii="Calibri" w:eastAsiaTheme="minorEastAsia" w:hAnsi="Calibri" w:cs="Calibri"/>
        </w:rPr>
      </w:pPr>
      <w:r>
        <w:rPr>
          <w:rFonts w:ascii="Calibri" w:hAnsi="Calibri" w:cs="Calibri"/>
        </w:rPr>
        <w:t xml:space="preserve">Desktop review files were provided by the WHO Commissioning Unit (CU) on 27 May 2024 and were analysed by two reviewers (EM and SM) according to the evaluation matrix and project results framework. </w:t>
      </w:r>
      <w:r>
        <w:rPr>
          <w:rFonts w:ascii="Calibri" w:eastAsiaTheme="minorEastAsia" w:hAnsi="Calibri" w:cs="Calibri"/>
        </w:rPr>
        <w:t xml:space="preserve">Documents covered project design, implementation, monitoring and mid-term review (MTR) phases, and ensured a balance in representation across countries, project outcome areas and cross-cutting priorities. Due to the volume of documentation (&gt;1000 files), the desktop review prioritised highly relevant and key reporting documents following guidance from the WHO CU (see </w:t>
      </w:r>
      <w:r>
        <w:rPr>
          <w:rFonts w:ascii="Calibri" w:eastAsiaTheme="minorEastAsia" w:hAnsi="Calibri" w:cs="Calibri"/>
          <w:b/>
        </w:rPr>
        <w:t xml:space="preserve">Table 1 </w:t>
      </w:r>
      <w:r>
        <w:rPr>
          <w:rFonts w:ascii="Calibri" w:eastAsiaTheme="minorEastAsia" w:hAnsi="Calibri" w:cs="Calibri"/>
        </w:rPr>
        <w:t xml:space="preserve">and </w:t>
      </w:r>
      <w:r>
        <w:rPr>
          <w:rFonts w:ascii="Calibri" w:eastAsiaTheme="minorEastAsia" w:hAnsi="Calibri" w:cs="Calibri"/>
          <w:b/>
        </w:rPr>
        <w:t>Appendix 3: Document Table</w:t>
      </w:r>
      <w:r>
        <w:rPr>
          <w:rFonts w:ascii="Calibri" w:eastAsiaTheme="minorEastAsia" w:hAnsi="Calibri" w:cs="Calibri"/>
        </w:rPr>
        <w:t xml:space="preserve">). </w:t>
      </w:r>
    </w:p>
    <w:p w14:paraId="75070CC4" w14:textId="77777777" w:rsidR="002B060A" w:rsidRDefault="002B060A" w:rsidP="00C07A0A">
      <w:pPr>
        <w:jc w:val="both"/>
        <w:rPr>
          <w:rFonts w:ascii="Calibri" w:eastAsiaTheme="minorEastAsia" w:hAnsi="Calibri" w:cs="Calibri"/>
        </w:rPr>
      </w:pPr>
    </w:p>
    <w:p w14:paraId="75070CC5" w14:textId="2E18CB41" w:rsidR="002B060A" w:rsidRDefault="006040A7" w:rsidP="00C07A0A">
      <w:pPr>
        <w:jc w:val="both"/>
        <w:rPr>
          <w:rFonts w:ascii="Calibri" w:eastAsiaTheme="minorEastAsia" w:hAnsi="Calibri" w:cs="Calibri"/>
        </w:rPr>
      </w:pPr>
      <w:r>
        <w:rPr>
          <w:rFonts w:ascii="Calibri" w:eastAsiaTheme="minorEastAsia" w:hAnsi="Calibri" w:cs="Calibri"/>
        </w:rPr>
        <w:t xml:space="preserve">The GEF Focal area tracking tool was requested by the TE team and updated </w:t>
      </w:r>
      <w:r w:rsidR="00E51289">
        <w:rPr>
          <w:rFonts w:ascii="Calibri" w:eastAsiaTheme="minorEastAsia" w:hAnsi="Calibri" w:cs="Calibri"/>
        </w:rPr>
        <w:t xml:space="preserve">based on data shared by the WHO CU and </w:t>
      </w:r>
      <w:r>
        <w:rPr>
          <w:rFonts w:ascii="Calibri" w:eastAsiaTheme="minorEastAsia" w:hAnsi="Calibri" w:cs="Calibri"/>
        </w:rPr>
        <w:t xml:space="preserve">following </w:t>
      </w:r>
      <w:r w:rsidR="00E51289">
        <w:rPr>
          <w:rFonts w:ascii="Calibri" w:eastAsiaTheme="minorEastAsia" w:hAnsi="Calibri" w:cs="Calibri"/>
        </w:rPr>
        <w:t>similar methodolog</w:t>
      </w:r>
      <w:r w:rsidR="00727762">
        <w:rPr>
          <w:rFonts w:ascii="Calibri" w:eastAsiaTheme="minorEastAsia" w:hAnsi="Calibri" w:cs="Calibri"/>
        </w:rPr>
        <w:t>ies</w:t>
      </w:r>
      <w:r w:rsidR="00E51289">
        <w:rPr>
          <w:rFonts w:ascii="Calibri" w:eastAsiaTheme="minorEastAsia" w:hAnsi="Calibri" w:cs="Calibri"/>
        </w:rPr>
        <w:t xml:space="preserve"> to</w:t>
      </w:r>
      <w:r>
        <w:rPr>
          <w:rFonts w:ascii="Calibri" w:eastAsiaTheme="minorEastAsia" w:hAnsi="Calibri" w:cs="Calibri"/>
        </w:rPr>
        <w:t xml:space="preserve"> the MTR</w:t>
      </w:r>
      <w:r w:rsidR="00E51289">
        <w:rPr>
          <w:rFonts w:ascii="Calibri" w:eastAsiaTheme="minorEastAsia" w:hAnsi="Calibri" w:cs="Calibri"/>
        </w:rPr>
        <w:t xml:space="preserve"> where possible</w:t>
      </w:r>
      <w:r>
        <w:rPr>
          <w:rFonts w:ascii="Calibri" w:eastAsiaTheme="minorEastAsia" w:hAnsi="Calibri" w:cs="Calibri"/>
        </w:rPr>
        <w:t xml:space="preserve">. </w:t>
      </w:r>
    </w:p>
    <w:p w14:paraId="75070CC6" w14:textId="77777777" w:rsidR="002B060A" w:rsidRDefault="002B060A" w:rsidP="00C07A0A">
      <w:pPr>
        <w:rPr>
          <w:rFonts w:ascii="Calibri" w:hAnsi="Calibri" w:cs="Calibri"/>
        </w:rPr>
      </w:pPr>
    </w:p>
    <w:p w14:paraId="75070CC7" w14:textId="77777777" w:rsidR="002B060A" w:rsidRDefault="006040A7" w:rsidP="00C07A0A">
      <w:pPr>
        <w:rPr>
          <w:rFonts w:ascii="Calibri" w:hAnsi="Calibri" w:cs="Calibri"/>
          <w:b/>
        </w:rPr>
      </w:pPr>
      <w:r>
        <w:rPr>
          <w:rFonts w:ascii="Calibri" w:hAnsi="Calibri" w:cs="Calibri"/>
          <w:b/>
        </w:rPr>
        <w:t xml:space="preserve">Table 1: List of Documents for Desktop review </w:t>
      </w:r>
    </w:p>
    <w:p w14:paraId="75070CC8" w14:textId="77777777" w:rsidR="002B060A" w:rsidRDefault="002B060A" w:rsidP="00C07A0A">
      <w:pPr>
        <w:rPr>
          <w:rFonts w:ascii="Calibri" w:hAnsi="Calibri" w:cs="Calibri"/>
        </w:rPr>
      </w:pPr>
    </w:p>
    <w:tbl>
      <w:tblPr>
        <w:tblStyle w:val="TableGrid"/>
        <w:tblW w:w="0" w:type="auto"/>
        <w:tblLayout w:type="fixed"/>
        <w:tblLook w:val="06A0" w:firstRow="1" w:lastRow="0" w:firstColumn="1" w:lastColumn="0" w:noHBand="1" w:noVBand="1"/>
      </w:tblPr>
      <w:tblGrid>
        <w:gridCol w:w="9015"/>
      </w:tblGrid>
      <w:tr w:rsidR="009D5BE2" w14:paraId="7C0386B1" w14:textId="77777777" w:rsidTr="009534A0">
        <w:trPr>
          <w:trHeight w:val="300"/>
        </w:trPr>
        <w:tc>
          <w:tcPr>
            <w:tcW w:w="9015" w:type="dxa"/>
            <w:shd w:val="clear" w:color="auto" w:fill="DAE9F7" w:themeFill="text2" w:themeFillTint="1A"/>
          </w:tcPr>
          <w:p w14:paraId="2C816B71" w14:textId="77777777" w:rsidR="009D5BE2" w:rsidRDefault="009D5BE2" w:rsidP="00C07A0A">
            <w:pPr>
              <w:rPr>
                <w:rFonts w:ascii="Calibri" w:hAnsi="Calibri" w:cs="Calibri"/>
                <w:b/>
              </w:rPr>
            </w:pPr>
            <w:r>
              <w:rPr>
                <w:rFonts w:ascii="Calibri" w:hAnsi="Calibri" w:cs="Calibri"/>
                <w:b/>
              </w:rPr>
              <w:t>Documents (n=&gt;150)</w:t>
            </w:r>
          </w:p>
        </w:tc>
      </w:tr>
      <w:tr w:rsidR="009D5BE2" w14:paraId="11B85CD8" w14:textId="77777777" w:rsidTr="009534A0">
        <w:trPr>
          <w:trHeight w:val="300"/>
        </w:trPr>
        <w:tc>
          <w:tcPr>
            <w:tcW w:w="9015" w:type="dxa"/>
          </w:tcPr>
          <w:p w14:paraId="2E5340CB" w14:textId="77777777" w:rsidR="009D5BE2" w:rsidRDefault="009D5BE2" w:rsidP="00C07A0A">
            <w:pPr>
              <w:pStyle w:val="ListParagraph"/>
              <w:numPr>
                <w:ilvl w:val="0"/>
                <w:numId w:val="26"/>
              </w:numPr>
              <w:spacing w:after="120" w:line="276" w:lineRule="auto"/>
              <w:rPr>
                <w:rFonts w:ascii="Calibri" w:hAnsi="Calibri" w:cs="Calibri"/>
                <w:sz w:val="22"/>
              </w:rPr>
            </w:pPr>
            <w:r>
              <w:rPr>
                <w:rFonts w:ascii="Calibri" w:hAnsi="Calibri" w:cs="Calibri"/>
                <w:sz w:val="22"/>
              </w:rPr>
              <w:t>Project Proposals (ProDoc and national reports x6 countries</w:t>
            </w:r>
            <w:r>
              <w:rPr>
                <w:rFonts w:ascii="Calibri" w:eastAsia="Calibri" w:hAnsi="Calibri" w:cs="Calibri"/>
                <w:sz w:val="22"/>
              </w:rPr>
              <w:t>)</w:t>
            </w:r>
          </w:p>
          <w:p w14:paraId="4AE97566" w14:textId="77777777" w:rsidR="009D5BE2" w:rsidRDefault="009D5BE2" w:rsidP="00C07A0A">
            <w:pPr>
              <w:pStyle w:val="ListParagraph"/>
              <w:numPr>
                <w:ilvl w:val="0"/>
                <w:numId w:val="26"/>
              </w:numPr>
              <w:spacing w:after="120" w:line="276" w:lineRule="auto"/>
              <w:rPr>
                <w:rFonts w:ascii="Calibri" w:hAnsi="Calibri" w:cs="Calibri"/>
                <w:sz w:val="22"/>
                <w:szCs w:val="22"/>
              </w:rPr>
            </w:pPr>
            <w:r>
              <w:rPr>
                <w:rFonts w:ascii="Calibri" w:hAnsi="Calibri" w:cs="Calibri"/>
                <w:sz w:val="22"/>
                <w:szCs w:val="22"/>
              </w:rPr>
              <w:t>Project Inception report/s</w:t>
            </w:r>
          </w:p>
          <w:p w14:paraId="7949B918" w14:textId="77777777" w:rsidR="009D5BE2" w:rsidRDefault="009D5BE2" w:rsidP="00C07A0A">
            <w:pPr>
              <w:pStyle w:val="ListParagraph"/>
              <w:numPr>
                <w:ilvl w:val="0"/>
                <w:numId w:val="26"/>
              </w:numPr>
              <w:spacing w:after="120" w:line="276" w:lineRule="auto"/>
              <w:rPr>
                <w:rFonts w:ascii="Calibri" w:hAnsi="Calibri" w:cs="Calibri"/>
                <w:sz w:val="22"/>
              </w:rPr>
            </w:pPr>
            <w:r>
              <w:rPr>
                <w:rFonts w:ascii="Calibri" w:hAnsi="Calibri" w:cs="Calibri"/>
                <w:sz w:val="22"/>
              </w:rPr>
              <w:t>Annual Reports (2020-2023) and Q4 cumulative quarterly reports (2020-2023)</w:t>
            </w:r>
          </w:p>
          <w:p w14:paraId="1C4ED544" w14:textId="77777777" w:rsidR="009D5BE2" w:rsidRDefault="009D5BE2" w:rsidP="00C07A0A">
            <w:pPr>
              <w:pStyle w:val="ListParagraph"/>
              <w:numPr>
                <w:ilvl w:val="0"/>
                <w:numId w:val="26"/>
              </w:numPr>
              <w:spacing w:after="120" w:line="276" w:lineRule="auto"/>
              <w:rPr>
                <w:rFonts w:ascii="Calibri" w:hAnsi="Calibri" w:cs="Calibri"/>
                <w:sz w:val="22"/>
              </w:rPr>
            </w:pPr>
            <w:r>
              <w:rPr>
                <w:rFonts w:ascii="Calibri" w:hAnsi="Calibri" w:cs="Calibri"/>
                <w:sz w:val="22"/>
              </w:rPr>
              <w:t>MTR inception, final report and management response</w:t>
            </w:r>
          </w:p>
          <w:p w14:paraId="17585BCF" w14:textId="77777777" w:rsidR="009D5BE2" w:rsidRDefault="009D5BE2" w:rsidP="00C07A0A">
            <w:pPr>
              <w:pStyle w:val="ListParagraph"/>
              <w:numPr>
                <w:ilvl w:val="0"/>
                <w:numId w:val="26"/>
              </w:numPr>
              <w:spacing w:after="120" w:line="276" w:lineRule="auto"/>
              <w:rPr>
                <w:rFonts w:ascii="Calibri" w:hAnsi="Calibri" w:cs="Calibri"/>
                <w:sz w:val="22"/>
              </w:rPr>
            </w:pPr>
            <w:r>
              <w:rPr>
                <w:rFonts w:ascii="Calibri" w:hAnsi="Calibri" w:cs="Calibri"/>
                <w:sz w:val="22"/>
              </w:rPr>
              <w:t>Covid-19 related documents</w:t>
            </w:r>
          </w:p>
          <w:p w14:paraId="33C6E054" w14:textId="77777777" w:rsidR="009D5BE2" w:rsidRDefault="009D5BE2" w:rsidP="00C07A0A">
            <w:pPr>
              <w:pStyle w:val="ListParagraph"/>
              <w:numPr>
                <w:ilvl w:val="0"/>
                <w:numId w:val="26"/>
              </w:numPr>
              <w:spacing w:after="120" w:line="276" w:lineRule="auto"/>
              <w:rPr>
                <w:rFonts w:ascii="Calibri" w:hAnsi="Calibri" w:cs="Calibri"/>
                <w:sz w:val="22"/>
              </w:rPr>
            </w:pPr>
            <w:r>
              <w:rPr>
                <w:rFonts w:ascii="Calibri" w:hAnsi="Calibri" w:cs="Calibri"/>
                <w:sz w:val="22"/>
              </w:rPr>
              <w:t>Gender analysis in V&amp;A country reports (x5 countries)</w:t>
            </w:r>
          </w:p>
          <w:p w14:paraId="6F98BEF8" w14:textId="31CD6BE7" w:rsidR="009D5BE2" w:rsidRDefault="009D5BE2" w:rsidP="00C07A0A">
            <w:pPr>
              <w:pStyle w:val="ListParagraph"/>
              <w:numPr>
                <w:ilvl w:val="0"/>
                <w:numId w:val="26"/>
              </w:numPr>
              <w:spacing w:after="120" w:line="276" w:lineRule="auto"/>
              <w:rPr>
                <w:rFonts w:ascii="Calibri" w:hAnsi="Calibri" w:cs="Calibri"/>
              </w:rPr>
            </w:pPr>
            <w:r>
              <w:rPr>
                <w:rFonts w:ascii="Calibri" w:hAnsi="Calibri" w:cs="Calibri"/>
                <w:sz w:val="22"/>
              </w:rPr>
              <w:t>International Project Board Meeting reports</w:t>
            </w:r>
          </w:p>
          <w:p w14:paraId="51E322BC" w14:textId="77777777" w:rsidR="009D5BE2" w:rsidRDefault="009D5BE2" w:rsidP="00C07A0A">
            <w:pPr>
              <w:pStyle w:val="ListParagraph"/>
              <w:numPr>
                <w:ilvl w:val="0"/>
                <w:numId w:val="26"/>
              </w:numPr>
              <w:spacing w:after="120" w:line="276" w:lineRule="auto"/>
              <w:rPr>
                <w:rFonts w:ascii="Calibri" w:hAnsi="Calibri" w:cs="Calibri"/>
              </w:rPr>
            </w:pPr>
            <w:r>
              <w:rPr>
                <w:rFonts w:ascii="Calibri" w:hAnsi="Calibri" w:cs="Calibri"/>
                <w:sz w:val="22"/>
              </w:rPr>
              <w:t xml:space="preserve">Multi-year </w:t>
            </w:r>
            <w:r>
              <w:rPr>
                <w:rFonts w:ascii="Calibri" w:eastAsia="Calibri" w:hAnsi="Calibri" w:cs="Calibri"/>
                <w:sz w:val="22"/>
              </w:rPr>
              <w:t xml:space="preserve">expenditure data </w:t>
            </w:r>
            <w:r>
              <w:rPr>
                <w:rFonts w:ascii="Calibri" w:hAnsi="Calibri" w:cs="Calibri"/>
                <w:sz w:val="22"/>
              </w:rPr>
              <w:t>(x6 countries)</w:t>
            </w:r>
          </w:p>
        </w:tc>
      </w:tr>
    </w:tbl>
    <w:p w14:paraId="5F49BDA3" w14:textId="77777777" w:rsidR="002C33F5" w:rsidRDefault="002C33F5" w:rsidP="00C07A0A">
      <w:pPr>
        <w:pStyle w:val="Heading4"/>
        <w:rPr>
          <w:rFonts w:ascii="Calibri" w:hAnsi="Calibri" w:cs="Calibri"/>
        </w:rPr>
      </w:pPr>
      <w:r>
        <w:rPr>
          <w:rFonts w:ascii="Calibri" w:hAnsi="Calibri" w:cs="Calibri"/>
        </w:rPr>
        <w:lastRenderedPageBreak/>
        <w:t xml:space="preserve">Phase 2: Stakeholder interviews </w:t>
      </w:r>
    </w:p>
    <w:p w14:paraId="2AFCEDA8" w14:textId="30B14A2C" w:rsidR="002C33F5" w:rsidRDefault="002C33F5" w:rsidP="00C07A0A">
      <w:pPr>
        <w:jc w:val="both"/>
        <w:rPr>
          <w:rFonts w:ascii="Calibri" w:hAnsi="Calibri" w:cs="Calibri"/>
        </w:rPr>
      </w:pPr>
      <w:r w:rsidRPr="15E4831D">
        <w:rPr>
          <w:rFonts w:ascii="Calibri" w:hAnsi="Calibri" w:cs="Calibri"/>
        </w:rPr>
        <w:t>Semi-structured interviews with key project stakeholders supplemented the desktop review, to elicit implementation insights and consideration for future program design across all aspects of the project. We invited 42 stakeholders to participate in remote or in-person interviews between the 18th of June and the 12th of July 2024. Interview candidates were a sample of convenience guided by the WHO CU and Project Teams and considering time and resource constraints. The stakeholders' contact details were provided by the WHO CU or Country Office (CO) focal points. All were invited by email (including participant information and consent materials) and if no response, a maximum of two follow-up emails were sent. Participants for whom English is Second Language were invited to request a third-party interpreter if needed, to be arranged by WHO CO focal points.</w:t>
      </w:r>
    </w:p>
    <w:p w14:paraId="44361EE5" w14:textId="77777777" w:rsidR="002C33F5" w:rsidRDefault="002C33F5" w:rsidP="00C07A0A">
      <w:pPr>
        <w:jc w:val="both"/>
        <w:rPr>
          <w:rFonts w:ascii="Calibri" w:hAnsi="Calibri" w:cs="Calibri"/>
        </w:rPr>
      </w:pPr>
    </w:p>
    <w:p w14:paraId="6B4C215D" w14:textId="77777777" w:rsidR="002C33F5" w:rsidRDefault="002C33F5" w:rsidP="00C07A0A">
      <w:pPr>
        <w:jc w:val="both"/>
        <w:rPr>
          <w:rFonts w:ascii="Calibri" w:hAnsi="Calibri" w:cs="Calibri"/>
        </w:rPr>
      </w:pPr>
      <w:r>
        <w:rPr>
          <w:rFonts w:ascii="Calibri" w:hAnsi="Calibri" w:cs="Calibri"/>
        </w:rPr>
        <w:t xml:space="preserve">Thirty-two stakeholders provided consent and were interviewed. Informed consent was obtained in writing or verbally prior to commencing any interviews. Eighteen of the stakeholders were interviewed remotely and 14 were interviewed in-person during field visits to Bangladesh and Lao PDR (see </w:t>
      </w:r>
      <w:r>
        <w:rPr>
          <w:rFonts w:ascii="Calibri" w:hAnsi="Calibri" w:cs="Calibri"/>
          <w:b/>
          <w:bCs/>
        </w:rPr>
        <w:t>Phase 3</w:t>
      </w:r>
      <w:r>
        <w:rPr>
          <w:rFonts w:ascii="Calibri" w:hAnsi="Calibri" w:cs="Calibri"/>
        </w:rPr>
        <w:t xml:space="preserve">) over a four-week period between 18 June and 12 July 2024. Some in-person interviews were conducted as focus groups for efficiency. </w:t>
      </w:r>
    </w:p>
    <w:p w14:paraId="62A8D562" w14:textId="77777777" w:rsidR="002C33F5" w:rsidRDefault="002C33F5" w:rsidP="00C07A0A">
      <w:pPr>
        <w:jc w:val="both"/>
        <w:rPr>
          <w:rFonts w:ascii="Calibri" w:hAnsi="Calibri" w:cs="Calibri"/>
        </w:rPr>
      </w:pPr>
    </w:p>
    <w:p w14:paraId="020F0053" w14:textId="77777777" w:rsidR="002C33F5" w:rsidRDefault="002C33F5" w:rsidP="00C07A0A">
      <w:pPr>
        <w:jc w:val="both"/>
        <w:rPr>
          <w:rFonts w:ascii="Calibri" w:hAnsi="Calibri" w:cs="Calibri"/>
        </w:rPr>
      </w:pPr>
      <w:r>
        <w:rPr>
          <w:rFonts w:ascii="Calibri" w:hAnsi="Calibri" w:cs="Calibri"/>
        </w:rPr>
        <w:t xml:space="preserve">All interviews were led by an independent member of the TE team (KB, KE, KO, EM) and observed by another member for note taking (EM, SM).  Interviews followed a standard semi-structured questionnaire which was aligned with the evaluation matrix and input from the WHO CU during the inception report period (see </w:t>
      </w:r>
      <w:r>
        <w:rPr>
          <w:rFonts w:ascii="Calibri" w:hAnsi="Calibri" w:cs="Calibri"/>
          <w:b/>
        </w:rPr>
        <w:t>Annex D: Interview Guide</w:t>
      </w:r>
      <w:r>
        <w:rPr>
          <w:rFonts w:ascii="Calibri" w:hAnsi="Calibri" w:cs="Calibri"/>
        </w:rPr>
        <w:t>). Observational data was recorded in a standard template based on the interview guide.</w:t>
      </w:r>
    </w:p>
    <w:p w14:paraId="148C1CF6" w14:textId="77777777" w:rsidR="002C33F5" w:rsidRDefault="002C33F5" w:rsidP="00C07A0A">
      <w:pPr>
        <w:jc w:val="both"/>
        <w:rPr>
          <w:rFonts w:ascii="Calibri" w:hAnsi="Calibri" w:cs="Calibri"/>
        </w:rPr>
      </w:pPr>
    </w:p>
    <w:p w14:paraId="5E3FD4AC" w14:textId="1C7737E1" w:rsidR="002C33F5" w:rsidRDefault="002C33F5" w:rsidP="00C07A0A">
      <w:pPr>
        <w:jc w:val="both"/>
        <w:rPr>
          <w:rFonts w:ascii="Calibri" w:hAnsi="Calibri" w:cs="Calibri"/>
        </w:rPr>
      </w:pPr>
      <w:r w:rsidRPr="15E4831D">
        <w:rPr>
          <w:rFonts w:ascii="Calibri" w:hAnsi="Calibri" w:cs="Calibri"/>
        </w:rPr>
        <w:t xml:space="preserve">Interviews included representatives of WHO and UNDP across headquarters (HQ), regional offices (ROs) and COs. Interviews with national stakeholders from Ministries of Health (MOH), other Government agencies, academic, Non-Government Organisation (NGO) and Healthcare Facility (HCF) partners were coordinated by WHO CO focal points and are summarised in </w:t>
      </w:r>
      <w:r w:rsidRPr="15E4831D">
        <w:rPr>
          <w:rFonts w:ascii="Calibri" w:hAnsi="Calibri" w:cs="Calibri"/>
          <w:b/>
          <w:bCs/>
        </w:rPr>
        <w:t>Table 2</w:t>
      </w:r>
      <w:r w:rsidRPr="15E4831D">
        <w:rPr>
          <w:rFonts w:ascii="Calibri" w:hAnsi="Calibri" w:cs="Calibri"/>
        </w:rPr>
        <w:t xml:space="preserve">. National WHO and MOH representatives in all countries (excluding Myanmar) were represented. </w:t>
      </w:r>
    </w:p>
    <w:p w14:paraId="44E23AF2" w14:textId="77777777" w:rsidR="002C33F5" w:rsidRDefault="002C33F5" w:rsidP="00C07A0A">
      <w:pPr>
        <w:jc w:val="both"/>
        <w:rPr>
          <w:rFonts w:ascii="Calibri" w:hAnsi="Calibri" w:cs="Calibri"/>
        </w:rPr>
      </w:pPr>
    </w:p>
    <w:p w14:paraId="75070CDE" w14:textId="77777777" w:rsidR="002B060A" w:rsidRDefault="006040A7" w:rsidP="00C07A0A">
      <w:pPr>
        <w:rPr>
          <w:rFonts w:ascii="Calibri" w:hAnsi="Calibri" w:cs="Calibri"/>
          <w:b/>
        </w:rPr>
      </w:pPr>
      <w:r>
        <w:rPr>
          <w:rFonts w:ascii="Calibri" w:hAnsi="Calibri" w:cs="Calibri"/>
          <w:b/>
        </w:rPr>
        <w:t xml:space="preserve">Table 2: List of stakeholders interviewed </w:t>
      </w:r>
    </w:p>
    <w:p w14:paraId="75070CDF" w14:textId="77777777" w:rsidR="002B060A" w:rsidRDefault="002B060A" w:rsidP="00C07A0A">
      <w:pPr>
        <w:rPr>
          <w:rFonts w:ascii="Calibri" w:hAnsi="Calibri" w:cs="Calibri"/>
        </w:rPr>
      </w:pPr>
    </w:p>
    <w:tbl>
      <w:tblPr>
        <w:tblStyle w:val="TableGrid"/>
        <w:tblW w:w="0" w:type="auto"/>
        <w:tblLook w:val="04A0" w:firstRow="1" w:lastRow="0" w:firstColumn="1" w:lastColumn="0" w:noHBand="0" w:noVBand="1"/>
      </w:tblPr>
      <w:tblGrid>
        <w:gridCol w:w="2263"/>
        <w:gridCol w:w="6753"/>
      </w:tblGrid>
      <w:tr w:rsidR="00A809E5" w14:paraId="0D7661D2" w14:textId="77777777" w:rsidTr="009534A0">
        <w:tc>
          <w:tcPr>
            <w:tcW w:w="2263" w:type="dxa"/>
            <w:shd w:val="clear" w:color="auto" w:fill="DAE9F7" w:themeFill="text2" w:themeFillTint="1A"/>
          </w:tcPr>
          <w:p w14:paraId="3E3E4BCF" w14:textId="77777777" w:rsidR="00A809E5" w:rsidRDefault="00A809E5" w:rsidP="00C07A0A">
            <w:pPr>
              <w:spacing w:line="259" w:lineRule="auto"/>
              <w:rPr>
                <w:rFonts w:ascii="Calibri" w:hAnsi="Calibri" w:cs="Calibri"/>
                <w:b/>
              </w:rPr>
            </w:pPr>
            <w:r>
              <w:rPr>
                <w:rFonts w:ascii="Calibri" w:hAnsi="Calibri" w:cs="Calibri"/>
                <w:b/>
              </w:rPr>
              <w:t xml:space="preserve">Country/Agency </w:t>
            </w:r>
          </w:p>
          <w:p w14:paraId="76EF1D49" w14:textId="77777777" w:rsidR="00A809E5" w:rsidRDefault="00A809E5" w:rsidP="00C07A0A">
            <w:pPr>
              <w:rPr>
                <w:rFonts w:ascii="Calibri" w:hAnsi="Calibri" w:cs="Calibri"/>
                <w:b/>
              </w:rPr>
            </w:pPr>
          </w:p>
        </w:tc>
        <w:tc>
          <w:tcPr>
            <w:tcW w:w="6753" w:type="dxa"/>
            <w:shd w:val="clear" w:color="auto" w:fill="DAE9F7" w:themeFill="text2" w:themeFillTint="1A"/>
          </w:tcPr>
          <w:p w14:paraId="4E437899" w14:textId="77777777" w:rsidR="00A809E5" w:rsidRDefault="00A809E5" w:rsidP="00C07A0A">
            <w:pPr>
              <w:spacing w:line="259" w:lineRule="auto"/>
              <w:rPr>
                <w:rFonts w:ascii="Calibri" w:hAnsi="Calibri" w:cs="Calibri"/>
                <w:b/>
              </w:rPr>
            </w:pPr>
            <w:r>
              <w:rPr>
                <w:rFonts w:ascii="Calibri" w:hAnsi="Calibri" w:cs="Calibri"/>
                <w:b/>
              </w:rPr>
              <w:t>Interviewees (n=32)</w:t>
            </w:r>
          </w:p>
        </w:tc>
      </w:tr>
      <w:tr w:rsidR="00A809E5" w14:paraId="55F795AD" w14:textId="77777777" w:rsidTr="009534A0">
        <w:tc>
          <w:tcPr>
            <w:tcW w:w="2263" w:type="dxa"/>
          </w:tcPr>
          <w:p w14:paraId="11937FC5" w14:textId="77777777" w:rsidR="00A809E5" w:rsidRDefault="00A809E5" w:rsidP="00C07A0A">
            <w:pPr>
              <w:rPr>
                <w:rFonts w:ascii="Calibri" w:hAnsi="Calibri" w:cs="Calibri"/>
                <w:sz w:val="22"/>
                <w:szCs w:val="22"/>
              </w:rPr>
            </w:pPr>
            <w:r>
              <w:rPr>
                <w:rFonts w:ascii="Calibri" w:hAnsi="Calibri" w:cs="Calibri"/>
                <w:sz w:val="22"/>
                <w:szCs w:val="22"/>
              </w:rPr>
              <w:t xml:space="preserve">WHO  </w:t>
            </w:r>
          </w:p>
        </w:tc>
        <w:tc>
          <w:tcPr>
            <w:tcW w:w="6753" w:type="dxa"/>
          </w:tcPr>
          <w:p w14:paraId="6299712C" w14:textId="77777777" w:rsidR="00A809E5" w:rsidRDefault="00A809E5" w:rsidP="00C07A0A">
            <w:pPr>
              <w:rPr>
                <w:rFonts w:ascii="Calibri" w:hAnsi="Calibri" w:cs="Calibri"/>
                <w:sz w:val="22"/>
                <w:szCs w:val="22"/>
              </w:rPr>
            </w:pPr>
            <w:r>
              <w:rPr>
                <w:rFonts w:ascii="Calibri" w:hAnsi="Calibri" w:cs="Calibri"/>
                <w:sz w:val="22"/>
                <w:szCs w:val="22"/>
              </w:rPr>
              <w:t>HQ (1)</w:t>
            </w:r>
          </w:p>
          <w:p w14:paraId="33977F33" w14:textId="24A76791" w:rsidR="00A809E5" w:rsidRDefault="00A809E5" w:rsidP="00C07A0A">
            <w:pPr>
              <w:rPr>
                <w:rFonts w:ascii="Calibri" w:hAnsi="Calibri" w:cs="Calibri"/>
                <w:bCs/>
                <w:sz w:val="22"/>
                <w:szCs w:val="22"/>
              </w:rPr>
            </w:pPr>
            <w:r>
              <w:rPr>
                <w:rFonts w:ascii="Calibri" w:hAnsi="Calibri" w:cs="Calibri"/>
                <w:sz w:val="22"/>
                <w:szCs w:val="22"/>
              </w:rPr>
              <w:t>RO (3)</w:t>
            </w:r>
          </w:p>
        </w:tc>
      </w:tr>
      <w:tr w:rsidR="00A809E5" w14:paraId="600DF2CE" w14:textId="77777777" w:rsidTr="009534A0">
        <w:tc>
          <w:tcPr>
            <w:tcW w:w="2263" w:type="dxa"/>
          </w:tcPr>
          <w:p w14:paraId="1635F8FF" w14:textId="77777777" w:rsidR="00A809E5" w:rsidRDefault="00A809E5" w:rsidP="00C07A0A">
            <w:pPr>
              <w:rPr>
                <w:rFonts w:ascii="Calibri" w:hAnsi="Calibri" w:cs="Calibri"/>
                <w:sz w:val="22"/>
                <w:szCs w:val="22"/>
              </w:rPr>
            </w:pPr>
            <w:r>
              <w:rPr>
                <w:rFonts w:ascii="Calibri" w:hAnsi="Calibri" w:cs="Calibri"/>
                <w:sz w:val="22"/>
                <w:szCs w:val="22"/>
              </w:rPr>
              <w:t xml:space="preserve">UNDP  </w:t>
            </w:r>
          </w:p>
        </w:tc>
        <w:tc>
          <w:tcPr>
            <w:tcW w:w="6753" w:type="dxa"/>
          </w:tcPr>
          <w:p w14:paraId="2F9E1EBD" w14:textId="77777777" w:rsidR="00A809E5" w:rsidRDefault="00A809E5" w:rsidP="00C07A0A">
            <w:pPr>
              <w:rPr>
                <w:rFonts w:ascii="Calibri" w:hAnsi="Calibri" w:cs="Calibri"/>
                <w:bCs/>
                <w:sz w:val="22"/>
                <w:szCs w:val="22"/>
              </w:rPr>
            </w:pPr>
            <w:r>
              <w:rPr>
                <w:rFonts w:ascii="Calibri" w:hAnsi="Calibri" w:cs="Calibri"/>
                <w:sz w:val="22"/>
                <w:szCs w:val="22"/>
              </w:rPr>
              <w:t>HQ (3)</w:t>
            </w:r>
          </w:p>
        </w:tc>
      </w:tr>
      <w:tr w:rsidR="00A809E5" w14:paraId="4D9E43A5" w14:textId="77777777" w:rsidTr="009534A0">
        <w:tc>
          <w:tcPr>
            <w:tcW w:w="2263" w:type="dxa"/>
          </w:tcPr>
          <w:p w14:paraId="1228A0E1" w14:textId="77777777" w:rsidR="00A809E5" w:rsidRDefault="00A809E5" w:rsidP="00C07A0A">
            <w:pPr>
              <w:rPr>
                <w:rFonts w:ascii="Calibri" w:hAnsi="Calibri" w:cs="Calibri"/>
                <w:sz w:val="22"/>
                <w:szCs w:val="22"/>
              </w:rPr>
            </w:pPr>
            <w:r>
              <w:rPr>
                <w:rFonts w:ascii="Calibri" w:hAnsi="Calibri" w:cs="Calibri"/>
                <w:sz w:val="22"/>
                <w:szCs w:val="22"/>
              </w:rPr>
              <w:t xml:space="preserve">Bangladesh </w:t>
            </w:r>
          </w:p>
        </w:tc>
        <w:tc>
          <w:tcPr>
            <w:tcW w:w="6753" w:type="dxa"/>
          </w:tcPr>
          <w:p w14:paraId="3BB09BA0" w14:textId="77777777" w:rsidR="00A809E5" w:rsidRDefault="00A809E5" w:rsidP="00C07A0A">
            <w:pPr>
              <w:rPr>
                <w:rFonts w:ascii="Calibri" w:hAnsi="Calibri" w:cs="Calibri"/>
                <w:bCs/>
                <w:sz w:val="22"/>
                <w:szCs w:val="22"/>
              </w:rPr>
            </w:pPr>
            <w:r>
              <w:rPr>
                <w:rFonts w:ascii="Calibri" w:hAnsi="Calibri" w:cs="Calibri"/>
                <w:bCs/>
                <w:sz w:val="22"/>
                <w:szCs w:val="22"/>
              </w:rPr>
              <w:t>WHO CO (1)</w:t>
            </w:r>
          </w:p>
          <w:p w14:paraId="014F1256" w14:textId="77777777" w:rsidR="00A809E5" w:rsidRDefault="00A809E5" w:rsidP="00C07A0A">
            <w:pPr>
              <w:rPr>
                <w:rFonts w:ascii="Calibri" w:hAnsi="Calibri" w:cs="Calibri"/>
                <w:bCs/>
                <w:sz w:val="22"/>
                <w:szCs w:val="22"/>
              </w:rPr>
            </w:pPr>
            <w:r>
              <w:rPr>
                <w:rFonts w:ascii="Calibri" w:hAnsi="Calibri" w:cs="Calibri"/>
                <w:bCs/>
                <w:sz w:val="22"/>
                <w:szCs w:val="22"/>
              </w:rPr>
              <w:t>MOH (3)</w:t>
            </w:r>
          </w:p>
          <w:p w14:paraId="517F0C1D" w14:textId="77777777" w:rsidR="00A809E5" w:rsidRDefault="00A809E5" w:rsidP="00C07A0A">
            <w:pPr>
              <w:rPr>
                <w:rFonts w:ascii="Calibri" w:hAnsi="Calibri" w:cs="Calibri"/>
                <w:bCs/>
                <w:sz w:val="22"/>
                <w:szCs w:val="22"/>
              </w:rPr>
            </w:pPr>
            <w:r>
              <w:rPr>
                <w:rFonts w:ascii="Calibri" w:hAnsi="Calibri" w:cs="Calibri"/>
                <w:bCs/>
                <w:sz w:val="22"/>
                <w:szCs w:val="22"/>
              </w:rPr>
              <w:t>Other government (1)</w:t>
            </w:r>
          </w:p>
          <w:p w14:paraId="12008816" w14:textId="77777777" w:rsidR="00A809E5" w:rsidRDefault="00A809E5" w:rsidP="00C07A0A">
            <w:pPr>
              <w:rPr>
                <w:rFonts w:ascii="Calibri" w:hAnsi="Calibri" w:cs="Calibri"/>
                <w:bCs/>
                <w:sz w:val="22"/>
                <w:szCs w:val="22"/>
              </w:rPr>
            </w:pPr>
            <w:r>
              <w:rPr>
                <w:rFonts w:ascii="Calibri" w:hAnsi="Calibri" w:cs="Calibri"/>
                <w:bCs/>
                <w:sz w:val="22"/>
                <w:szCs w:val="22"/>
              </w:rPr>
              <w:t>NGO (4)</w:t>
            </w:r>
          </w:p>
          <w:p w14:paraId="397160E0" w14:textId="77777777" w:rsidR="00A809E5" w:rsidRDefault="00A809E5" w:rsidP="00C07A0A">
            <w:pPr>
              <w:rPr>
                <w:rFonts w:ascii="Calibri" w:hAnsi="Calibri" w:cs="Calibri"/>
                <w:bCs/>
                <w:sz w:val="22"/>
                <w:szCs w:val="22"/>
              </w:rPr>
            </w:pPr>
            <w:r>
              <w:rPr>
                <w:rFonts w:ascii="Calibri" w:hAnsi="Calibri" w:cs="Calibri"/>
                <w:bCs/>
                <w:sz w:val="22"/>
                <w:szCs w:val="22"/>
              </w:rPr>
              <w:t>HCF (1)</w:t>
            </w:r>
          </w:p>
        </w:tc>
      </w:tr>
      <w:tr w:rsidR="00A809E5" w14:paraId="3BBDDF55" w14:textId="77777777" w:rsidTr="009534A0">
        <w:tc>
          <w:tcPr>
            <w:tcW w:w="2263" w:type="dxa"/>
          </w:tcPr>
          <w:p w14:paraId="4B95FBB7" w14:textId="77777777" w:rsidR="00A809E5" w:rsidRDefault="00A809E5" w:rsidP="00C07A0A">
            <w:pPr>
              <w:rPr>
                <w:rFonts w:ascii="Calibri" w:hAnsi="Calibri" w:cs="Calibri"/>
                <w:sz w:val="22"/>
                <w:szCs w:val="22"/>
              </w:rPr>
            </w:pPr>
            <w:r>
              <w:rPr>
                <w:rFonts w:ascii="Calibri" w:hAnsi="Calibri" w:cs="Calibri"/>
                <w:sz w:val="22"/>
                <w:szCs w:val="22"/>
              </w:rPr>
              <w:t xml:space="preserve">Cambodia </w:t>
            </w:r>
          </w:p>
        </w:tc>
        <w:tc>
          <w:tcPr>
            <w:tcW w:w="6753" w:type="dxa"/>
          </w:tcPr>
          <w:p w14:paraId="53E66F19" w14:textId="77777777" w:rsidR="00A809E5" w:rsidRDefault="00A809E5" w:rsidP="00C07A0A">
            <w:pPr>
              <w:rPr>
                <w:rFonts w:ascii="Calibri" w:hAnsi="Calibri" w:cs="Calibri"/>
                <w:bCs/>
                <w:sz w:val="22"/>
                <w:szCs w:val="22"/>
              </w:rPr>
            </w:pPr>
            <w:r>
              <w:rPr>
                <w:rFonts w:ascii="Calibri" w:hAnsi="Calibri" w:cs="Calibri"/>
                <w:bCs/>
                <w:sz w:val="22"/>
                <w:szCs w:val="22"/>
              </w:rPr>
              <w:t>WHO CO (1)</w:t>
            </w:r>
          </w:p>
          <w:p w14:paraId="4A410732" w14:textId="77777777" w:rsidR="00A809E5" w:rsidRDefault="00A809E5" w:rsidP="00C07A0A">
            <w:pPr>
              <w:rPr>
                <w:rFonts w:ascii="Calibri" w:hAnsi="Calibri" w:cs="Calibri"/>
                <w:sz w:val="22"/>
                <w:szCs w:val="22"/>
              </w:rPr>
            </w:pPr>
            <w:r>
              <w:rPr>
                <w:rFonts w:ascii="Calibri" w:hAnsi="Calibri" w:cs="Calibri"/>
                <w:bCs/>
                <w:sz w:val="22"/>
                <w:szCs w:val="22"/>
              </w:rPr>
              <w:t xml:space="preserve">MOH (1) </w:t>
            </w:r>
          </w:p>
        </w:tc>
      </w:tr>
      <w:tr w:rsidR="00A809E5" w14:paraId="25110DB9" w14:textId="77777777" w:rsidTr="009534A0">
        <w:tc>
          <w:tcPr>
            <w:tcW w:w="2263" w:type="dxa"/>
          </w:tcPr>
          <w:p w14:paraId="7E2D955E" w14:textId="77777777" w:rsidR="00A809E5" w:rsidRDefault="00A809E5" w:rsidP="00C07A0A">
            <w:pPr>
              <w:rPr>
                <w:rFonts w:ascii="Calibri" w:hAnsi="Calibri" w:cs="Calibri"/>
                <w:sz w:val="22"/>
                <w:szCs w:val="22"/>
              </w:rPr>
            </w:pPr>
            <w:r>
              <w:rPr>
                <w:rFonts w:ascii="Calibri" w:hAnsi="Calibri" w:cs="Calibri"/>
                <w:sz w:val="22"/>
                <w:szCs w:val="22"/>
              </w:rPr>
              <w:t>Lao PDR</w:t>
            </w:r>
          </w:p>
        </w:tc>
        <w:tc>
          <w:tcPr>
            <w:tcW w:w="6753" w:type="dxa"/>
          </w:tcPr>
          <w:p w14:paraId="35C84104" w14:textId="77777777" w:rsidR="00A809E5" w:rsidRDefault="00A809E5" w:rsidP="00C07A0A">
            <w:pPr>
              <w:rPr>
                <w:rFonts w:ascii="Calibri" w:hAnsi="Calibri" w:cs="Calibri"/>
                <w:bCs/>
                <w:sz w:val="22"/>
                <w:szCs w:val="22"/>
              </w:rPr>
            </w:pPr>
            <w:r>
              <w:rPr>
                <w:rFonts w:ascii="Calibri" w:hAnsi="Calibri" w:cs="Calibri"/>
                <w:bCs/>
                <w:sz w:val="22"/>
                <w:szCs w:val="22"/>
              </w:rPr>
              <w:t>WHO (1)</w:t>
            </w:r>
          </w:p>
          <w:p w14:paraId="5E7318AF" w14:textId="77777777" w:rsidR="00A809E5" w:rsidRDefault="00A809E5" w:rsidP="00C07A0A">
            <w:pPr>
              <w:rPr>
                <w:rFonts w:ascii="Calibri" w:hAnsi="Calibri" w:cs="Calibri"/>
                <w:bCs/>
                <w:sz w:val="22"/>
                <w:szCs w:val="22"/>
              </w:rPr>
            </w:pPr>
            <w:r>
              <w:rPr>
                <w:rFonts w:ascii="Calibri" w:hAnsi="Calibri" w:cs="Calibri"/>
                <w:bCs/>
                <w:sz w:val="22"/>
                <w:szCs w:val="22"/>
              </w:rPr>
              <w:t>MOH (2)</w:t>
            </w:r>
          </w:p>
          <w:p w14:paraId="0086D070" w14:textId="77777777" w:rsidR="00A809E5" w:rsidRDefault="00A809E5" w:rsidP="00C07A0A">
            <w:pPr>
              <w:rPr>
                <w:rFonts w:ascii="Calibri" w:hAnsi="Calibri" w:cs="Calibri"/>
                <w:bCs/>
                <w:sz w:val="22"/>
                <w:szCs w:val="22"/>
              </w:rPr>
            </w:pPr>
            <w:r>
              <w:rPr>
                <w:rFonts w:ascii="Calibri" w:hAnsi="Calibri" w:cs="Calibri"/>
                <w:bCs/>
                <w:sz w:val="22"/>
                <w:szCs w:val="22"/>
              </w:rPr>
              <w:t>Other government (1)</w:t>
            </w:r>
          </w:p>
          <w:p w14:paraId="4EF70A84" w14:textId="77777777" w:rsidR="00A809E5" w:rsidRDefault="00A809E5" w:rsidP="00C07A0A">
            <w:pPr>
              <w:rPr>
                <w:rFonts w:ascii="Calibri" w:hAnsi="Calibri" w:cs="Calibri"/>
                <w:bCs/>
                <w:sz w:val="22"/>
                <w:szCs w:val="22"/>
              </w:rPr>
            </w:pPr>
            <w:r>
              <w:rPr>
                <w:rFonts w:ascii="Calibri" w:hAnsi="Calibri" w:cs="Calibri"/>
                <w:bCs/>
                <w:sz w:val="22"/>
                <w:szCs w:val="22"/>
              </w:rPr>
              <w:lastRenderedPageBreak/>
              <w:t>Academic (1)</w:t>
            </w:r>
          </w:p>
          <w:p w14:paraId="765B3BC6" w14:textId="77777777" w:rsidR="00A809E5" w:rsidRDefault="00A809E5" w:rsidP="00C07A0A">
            <w:pPr>
              <w:rPr>
                <w:rFonts w:ascii="Calibri" w:hAnsi="Calibri" w:cs="Calibri"/>
                <w:bCs/>
                <w:sz w:val="22"/>
                <w:szCs w:val="22"/>
              </w:rPr>
            </w:pPr>
            <w:r>
              <w:rPr>
                <w:rFonts w:ascii="Calibri" w:hAnsi="Calibri" w:cs="Calibri"/>
                <w:bCs/>
                <w:sz w:val="22"/>
                <w:szCs w:val="22"/>
              </w:rPr>
              <w:t>HCF (2)</w:t>
            </w:r>
          </w:p>
        </w:tc>
      </w:tr>
      <w:tr w:rsidR="00A809E5" w14:paraId="47FF8C68" w14:textId="77777777" w:rsidTr="009534A0">
        <w:tc>
          <w:tcPr>
            <w:tcW w:w="2263" w:type="dxa"/>
          </w:tcPr>
          <w:p w14:paraId="1A48302D" w14:textId="77777777" w:rsidR="00A809E5" w:rsidRDefault="00A809E5" w:rsidP="00C07A0A">
            <w:pPr>
              <w:rPr>
                <w:rFonts w:ascii="Calibri" w:hAnsi="Calibri" w:cs="Calibri"/>
                <w:sz w:val="22"/>
                <w:szCs w:val="22"/>
              </w:rPr>
            </w:pPr>
            <w:r>
              <w:rPr>
                <w:rFonts w:ascii="Calibri" w:hAnsi="Calibri" w:cs="Calibri"/>
                <w:sz w:val="22"/>
                <w:szCs w:val="22"/>
              </w:rPr>
              <w:lastRenderedPageBreak/>
              <w:t xml:space="preserve">Nepal </w:t>
            </w:r>
          </w:p>
        </w:tc>
        <w:tc>
          <w:tcPr>
            <w:tcW w:w="6753" w:type="dxa"/>
          </w:tcPr>
          <w:p w14:paraId="5E6CEA24" w14:textId="77777777" w:rsidR="00A809E5" w:rsidRDefault="00A809E5" w:rsidP="00C07A0A">
            <w:pPr>
              <w:rPr>
                <w:rFonts w:ascii="Calibri" w:hAnsi="Calibri" w:cs="Calibri"/>
                <w:bCs/>
                <w:sz w:val="22"/>
                <w:szCs w:val="22"/>
              </w:rPr>
            </w:pPr>
            <w:r>
              <w:rPr>
                <w:rFonts w:ascii="Calibri" w:hAnsi="Calibri" w:cs="Calibri"/>
                <w:bCs/>
                <w:sz w:val="22"/>
                <w:szCs w:val="22"/>
              </w:rPr>
              <w:t>WHO CO (1)</w:t>
            </w:r>
          </w:p>
          <w:p w14:paraId="135F3EF9" w14:textId="77777777" w:rsidR="00A809E5" w:rsidRDefault="00A809E5" w:rsidP="00C07A0A">
            <w:pPr>
              <w:rPr>
                <w:rFonts w:ascii="Calibri" w:hAnsi="Calibri" w:cs="Calibri"/>
                <w:sz w:val="22"/>
                <w:szCs w:val="22"/>
              </w:rPr>
            </w:pPr>
            <w:r>
              <w:rPr>
                <w:rFonts w:ascii="Calibri" w:hAnsi="Calibri" w:cs="Calibri"/>
                <w:sz w:val="22"/>
                <w:szCs w:val="22"/>
              </w:rPr>
              <w:t>MOH (1)</w:t>
            </w:r>
          </w:p>
        </w:tc>
      </w:tr>
      <w:tr w:rsidR="00A809E5" w14:paraId="308ED6FF" w14:textId="77777777" w:rsidTr="009534A0">
        <w:tc>
          <w:tcPr>
            <w:tcW w:w="2263" w:type="dxa"/>
          </w:tcPr>
          <w:p w14:paraId="31BA433B" w14:textId="77777777" w:rsidR="00A809E5" w:rsidRDefault="00A809E5" w:rsidP="00C07A0A">
            <w:pPr>
              <w:rPr>
                <w:rFonts w:ascii="Calibri" w:hAnsi="Calibri" w:cs="Calibri"/>
                <w:sz w:val="22"/>
                <w:szCs w:val="22"/>
              </w:rPr>
            </w:pPr>
            <w:r>
              <w:rPr>
                <w:rFonts w:ascii="Calibri" w:hAnsi="Calibri" w:cs="Calibri"/>
                <w:sz w:val="22"/>
                <w:szCs w:val="22"/>
              </w:rPr>
              <w:t xml:space="preserve">Timor-Leste </w:t>
            </w:r>
          </w:p>
        </w:tc>
        <w:tc>
          <w:tcPr>
            <w:tcW w:w="6753" w:type="dxa"/>
          </w:tcPr>
          <w:p w14:paraId="51B1F2EB" w14:textId="77777777" w:rsidR="00A809E5" w:rsidRDefault="00A809E5" w:rsidP="00C07A0A">
            <w:pPr>
              <w:rPr>
                <w:rFonts w:ascii="Calibri" w:hAnsi="Calibri" w:cs="Calibri"/>
                <w:bCs/>
                <w:sz w:val="22"/>
                <w:szCs w:val="22"/>
              </w:rPr>
            </w:pPr>
            <w:r>
              <w:rPr>
                <w:rFonts w:ascii="Calibri" w:hAnsi="Calibri" w:cs="Calibri"/>
                <w:bCs/>
                <w:sz w:val="22"/>
                <w:szCs w:val="22"/>
              </w:rPr>
              <w:t>WHO CO (3)</w:t>
            </w:r>
          </w:p>
          <w:p w14:paraId="32C0FBF6" w14:textId="77777777" w:rsidR="00A809E5" w:rsidRDefault="00A809E5" w:rsidP="00C07A0A">
            <w:pPr>
              <w:rPr>
                <w:rFonts w:ascii="Calibri" w:hAnsi="Calibri" w:cs="Calibri"/>
                <w:sz w:val="22"/>
                <w:szCs w:val="22"/>
              </w:rPr>
            </w:pPr>
            <w:r>
              <w:rPr>
                <w:rFonts w:ascii="Calibri" w:hAnsi="Calibri" w:cs="Calibri"/>
                <w:bCs/>
                <w:sz w:val="22"/>
                <w:szCs w:val="22"/>
              </w:rPr>
              <w:t xml:space="preserve">MOH (1) </w:t>
            </w:r>
          </w:p>
        </w:tc>
      </w:tr>
    </w:tbl>
    <w:p w14:paraId="75070D06" w14:textId="77777777" w:rsidR="002B060A" w:rsidRDefault="002B060A" w:rsidP="00C07A0A">
      <w:pPr>
        <w:rPr>
          <w:rFonts w:ascii="Calibri" w:hAnsi="Calibri" w:cs="Calibri"/>
          <w:u w:val="single"/>
        </w:rPr>
      </w:pPr>
    </w:p>
    <w:p w14:paraId="75070D07" w14:textId="77777777" w:rsidR="002B060A" w:rsidRDefault="006040A7" w:rsidP="00C07A0A">
      <w:pPr>
        <w:pStyle w:val="Heading4"/>
        <w:rPr>
          <w:rFonts w:ascii="Calibri" w:hAnsi="Calibri" w:cs="Calibri"/>
        </w:rPr>
      </w:pPr>
      <w:r>
        <w:rPr>
          <w:rFonts w:ascii="Calibri" w:hAnsi="Calibri" w:cs="Calibri"/>
        </w:rPr>
        <w:t xml:space="preserve">Phase 3: Field Missions </w:t>
      </w:r>
    </w:p>
    <w:p w14:paraId="6F8611BD" w14:textId="453CDB53" w:rsidR="00E20664" w:rsidRDefault="00E20664" w:rsidP="00C07A0A">
      <w:pPr>
        <w:spacing w:before="120"/>
        <w:jc w:val="both"/>
        <w:rPr>
          <w:rFonts w:ascii="Calibri" w:eastAsiaTheme="minorEastAsia" w:hAnsi="Calibri" w:cs="Calibri"/>
        </w:rPr>
      </w:pPr>
      <w:r>
        <w:rPr>
          <w:rFonts w:ascii="Calibri" w:eastAsiaTheme="minorEastAsia" w:hAnsi="Calibri" w:cs="Calibri"/>
        </w:rPr>
        <w:t xml:space="preserve">Site visits to two countries (Bangladesh and Lao PDR), one for each WHO project region (Western Pacific [WPR] and South-East Asia [SEAR]) </w:t>
      </w:r>
      <w:r>
        <w:rPr>
          <w:rFonts w:ascii="Calibri" w:hAnsi="Calibri" w:cs="Calibri"/>
        </w:rPr>
        <w:t>by one TE member (EM) were conducted between 8-12 July 2024</w:t>
      </w:r>
      <w:r>
        <w:rPr>
          <w:rFonts w:ascii="Calibri" w:eastAsiaTheme="minorEastAsia" w:hAnsi="Calibri" w:cs="Calibri"/>
        </w:rPr>
        <w:t xml:space="preserve"> to supplement the desktop review and provide richer implementation insights into the project’s context, in-country activities, and real-world impacts. The country selection was guided by the WHO CU and feasibility. Stakeholder interviews (as per </w:t>
      </w:r>
      <w:r>
        <w:rPr>
          <w:rFonts w:ascii="Calibri" w:eastAsiaTheme="minorEastAsia" w:hAnsi="Calibri" w:cs="Calibri"/>
          <w:b/>
          <w:bCs/>
        </w:rPr>
        <w:t>Phase 2</w:t>
      </w:r>
      <w:r>
        <w:rPr>
          <w:rFonts w:ascii="Calibri" w:eastAsiaTheme="minorEastAsia" w:hAnsi="Calibri" w:cs="Calibri"/>
        </w:rPr>
        <w:t xml:space="preserve">) with relevant participants from the selected countries was undertaken in-person to coincide with Field Missions where possible. Additional remote interviews with field mission country stakeholders were conducted when required.  </w:t>
      </w:r>
    </w:p>
    <w:p w14:paraId="75070D09" w14:textId="77777777" w:rsidR="002B060A" w:rsidRDefault="002B060A" w:rsidP="00C07A0A">
      <w:pPr>
        <w:jc w:val="both"/>
        <w:rPr>
          <w:rFonts w:ascii="Calibri" w:hAnsi="Calibri" w:cs="Calibri"/>
          <w:u w:val="single"/>
        </w:rPr>
      </w:pPr>
    </w:p>
    <w:p w14:paraId="75070D0A" w14:textId="77777777" w:rsidR="002B060A" w:rsidRDefault="006040A7" w:rsidP="00C07A0A">
      <w:pPr>
        <w:pStyle w:val="Heading4"/>
        <w:rPr>
          <w:rFonts w:ascii="Calibri" w:hAnsi="Calibri" w:cs="Calibri"/>
        </w:rPr>
      </w:pPr>
      <w:r>
        <w:rPr>
          <w:rFonts w:ascii="Calibri" w:hAnsi="Calibri" w:cs="Calibri"/>
        </w:rPr>
        <w:t xml:space="preserve">Phase 4: Analysis and Report preparation </w:t>
      </w:r>
    </w:p>
    <w:p w14:paraId="75070D0B" w14:textId="77777777" w:rsidR="002B060A" w:rsidRDefault="006040A7" w:rsidP="00C07A0A">
      <w:pPr>
        <w:spacing w:before="120"/>
        <w:jc w:val="both"/>
        <w:rPr>
          <w:rFonts w:ascii="Calibri" w:hAnsi="Calibri" w:cs="Calibri"/>
          <w:iCs/>
          <w:color w:val="000000" w:themeColor="text1"/>
        </w:rPr>
      </w:pPr>
      <w:r>
        <w:rPr>
          <w:rFonts w:ascii="Calibri" w:hAnsi="Calibri" w:cs="Calibri"/>
        </w:rPr>
        <w:t xml:space="preserve">Analysis and findings from Phases 1-3 were compiled progressively according to the TE report outline. Upon completion of all interviews and the field missions, a draft report and findings </w:t>
      </w:r>
      <w:r>
        <w:rPr>
          <w:rFonts w:ascii="Calibri" w:hAnsi="Calibri" w:cs="Calibri"/>
          <w:iCs/>
          <w:color w:val="000000" w:themeColor="text1"/>
        </w:rPr>
        <w:t xml:space="preserve">were shared with the WHO CU and Project Teams, including country counterparts, for at least one round of formal feedback. Pending further revisions, the CU and Project Team prepared a formal management response to the TE findings. The TE team participated in a final dissemination workshop or presentation with relevant stakeholders, which was coordinated by the Project Team.   </w:t>
      </w:r>
    </w:p>
    <w:p w14:paraId="75070D0C" w14:textId="77777777" w:rsidR="002B060A" w:rsidRDefault="002B060A" w:rsidP="00C07A0A">
      <w:pPr>
        <w:jc w:val="both"/>
        <w:rPr>
          <w:rFonts w:ascii="Calibri" w:hAnsi="Calibri" w:cs="Calibri"/>
        </w:rPr>
      </w:pPr>
    </w:p>
    <w:p w14:paraId="272162F1" w14:textId="77777777" w:rsidR="002A463B" w:rsidRDefault="002A463B" w:rsidP="00C07A0A">
      <w:pPr>
        <w:jc w:val="both"/>
        <w:rPr>
          <w:rFonts w:ascii="Calibri" w:hAnsi="Calibri" w:cs="Calibri"/>
        </w:rPr>
      </w:pPr>
    </w:p>
    <w:p w14:paraId="75070D0D" w14:textId="77777777" w:rsidR="002B060A" w:rsidRDefault="006040A7" w:rsidP="00C07A0A">
      <w:pPr>
        <w:pStyle w:val="Heading3"/>
        <w:numPr>
          <w:ilvl w:val="1"/>
          <w:numId w:val="29"/>
        </w:numPr>
        <w:rPr>
          <w:rFonts w:ascii="Calibri" w:hAnsi="Calibri" w:cs="Calibri"/>
          <w:b/>
        </w:rPr>
      </w:pPr>
      <w:bookmarkStart w:id="17" w:name="_Toc173429968"/>
      <w:r>
        <w:rPr>
          <w:rFonts w:ascii="Calibri" w:hAnsi="Calibri" w:cs="Calibri"/>
          <w:b/>
        </w:rPr>
        <w:t>Data Extraction</w:t>
      </w:r>
      <w:bookmarkEnd w:id="17"/>
      <w:r>
        <w:rPr>
          <w:rFonts w:ascii="Calibri" w:hAnsi="Calibri" w:cs="Calibri"/>
          <w:b/>
        </w:rPr>
        <w:t xml:space="preserve"> </w:t>
      </w:r>
    </w:p>
    <w:p w14:paraId="75070D0E" w14:textId="77777777" w:rsidR="002B060A" w:rsidRDefault="006040A7" w:rsidP="00C07A0A">
      <w:pPr>
        <w:spacing w:before="120"/>
        <w:jc w:val="both"/>
        <w:rPr>
          <w:rFonts w:ascii="Calibri" w:hAnsi="Calibri" w:cs="Calibri"/>
        </w:rPr>
      </w:pPr>
      <w:r>
        <w:rPr>
          <w:rFonts w:ascii="Calibri" w:hAnsi="Calibri" w:cs="Calibri"/>
        </w:rPr>
        <w:t xml:space="preserve">We extracted data from the desktop review and stakeholder interviews with an Excel spreadsheet including quantitative and descriptive data related to the i) key evaluation questions and evaluation matrix; ii) project results framework, including core project objective and outcome indicators; and available financial information. Observational data from field visits were inputted into the extraction spreadsheet, with additional information recorded as case studies in the final report. </w:t>
      </w:r>
    </w:p>
    <w:p w14:paraId="75070D0F" w14:textId="77777777" w:rsidR="002B060A" w:rsidRDefault="002B060A" w:rsidP="00C07A0A">
      <w:pPr>
        <w:rPr>
          <w:rFonts w:ascii="Calibri" w:hAnsi="Calibri" w:cs="Calibri"/>
          <w:lang w:eastAsia="en-US"/>
        </w:rPr>
      </w:pPr>
    </w:p>
    <w:p w14:paraId="75070D10" w14:textId="77777777" w:rsidR="002B060A" w:rsidRDefault="006040A7" w:rsidP="00C07A0A">
      <w:pPr>
        <w:pStyle w:val="Heading3"/>
        <w:numPr>
          <w:ilvl w:val="1"/>
          <w:numId w:val="29"/>
        </w:numPr>
        <w:rPr>
          <w:rFonts w:ascii="Calibri" w:hAnsi="Calibri" w:cs="Calibri"/>
          <w:b/>
        </w:rPr>
      </w:pPr>
      <w:bookmarkStart w:id="18" w:name="_Toc173429969"/>
      <w:r>
        <w:rPr>
          <w:rFonts w:ascii="Calibri" w:hAnsi="Calibri" w:cs="Calibri"/>
          <w:b/>
        </w:rPr>
        <w:t>Data Analysis and Synthesis</w:t>
      </w:r>
      <w:bookmarkEnd w:id="18"/>
    </w:p>
    <w:p w14:paraId="75070D13" w14:textId="18F4D11F" w:rsidR="002B060A" w:rsidRDefault="006040A7" w:rsidP="00C07A0A">
      <w:pPr>
        <w:rPr>
          <w:rFonts w:ascii="Calibri" w:hAnsi="Calibri" w:cs="Calibri"/>
        </w:rPr>
      </w:pPr>
      <w:r>
        <w:rPr>
          <w:rFonts w:ascii="Calibri" w:hAnsi="Calibri" w:cs="Calibri"/>
        </w:rPr>
        <w:t xml:space="preserve">Findings were synthesised inductively from the data extraction spreadsheet by two evaluators (EM, SM). Analysis and write-up were guided by the evaluation matrix, report template and GEF ratings table (see </w:t>
      </w:r>
      <w:r>
        <w:rPr>
          <w:rFonts w:ascii="Calibri" w:hAnsi="Calibri" w:cs="Calibri"/>
          <w:b/>
        </w:rPr>
        <w:t>Appendix 4: TE Rating Scale</w:t>
      </w:r>
      <w:r>
        <w:rPr>
          <w:rFonts w:ascii="Calibri" w:hAnsi="Calibri" w:cs="Calibri"/>
        </w:rPr>
        <w:t xml:space="preserve">). Two triangulation meetings were held to discuss and validate findings with technical advisors (KB, KE, KO). The draft was shared with the WHO CU and feedback from relevant stakeholders incorporated in the final version via one round of formal written comments and a mission wrap-up meeting with WHO project teams (see </w:t>
      </w:r>
      <w:r>
        <w:rPr>
          <w:rFonts w:ascii="Calibri" w:hAnsi="Calibri" w:cs="Calibri"/>
          <w:b/>
          <w:bCs/>
        </w:rPr>
        <w:t>Figure 1: TE timeline</w:t>
      </w:r>
      <w:r w:rsidR="0009709A" w:rsidRPr="003445E8">
        <w:rPr>
          <w:rFonts w:ascii="Calibri" w:hAnsi="Calibri" w:cs="Calibri"/>
        </w:rPr>
        <w:t>.</w:t>
      </w:r>
      <w:r>
        <w:rPr>
          <w:rFonts w:ascii="Calibri" w:hAnsi="Calibri" w:cs="Calibri"/>
        </w:rPr>
        <w:t>)</w:t>
      </w:r>
    </w:p>
    <w:p w14:paraId="65D30F4C" w14:textId="77777777" w:rsidR="007805B1" w:rsidRDefault="007805B1" w:rsidP="00C07A0A"/>
    <w:tbl>
      <w:tblPr>
        <w:tblStyle w:val="TableGrid"/>
        <w:tblW w:w="0" w:type="auto"/>
        <w:tblLook w:val="04A0" w:firstRow="1" w:lastRow="0" w:firstColumn="1" w:lastColumn="0" w:noHBand="0" w:noVBand="1"/>
      </w:tblPr>
      <w:tblGrid>
        <w:gridCol w:w="9016"/>
      </w:tblGrid>
      <w:tr w:rsidR="002B060A" w14:paraId="75070D16" w14:textId="77777777" w:rsidTr="008F15ED">
        <w:tc>
          <w:tcPr>
            <w:tcW w:w="9016" w:type="dxa"/>
          </w:tcPr>
          <w:p w14:paraId="75070D14" w14:textId="77777777" w:rsidR="002B060A" w:rsidRDefault="006040A7" w:rsidP="00C07A0A">
            <w:pPr>
              <w:rPr>
                <w:rFonts w:ascii="Calibri" w:hAnsi="Calibri" w:cs="Calibri"/>
                <w:b/>
                <w:bCs/>
              </w:rPr>
            </w:pPr>
            <w:r>
              <w:rPr>
                <w:rFonts w:ascii="Calibri" w:hAnsi="Calibri" w:cs="Calibri"/>
                <w:b/>
                <w:bCs/>
              </w:rPr>
              <w:lastRenderedPageBreak/>
              <w:t>Figure 1: TE Timeline</w:t>
            </w:r>
          </w:p>
          <w:p w14:paraId="75070D15" w14:textId="5E5C1376" w:rsidR="002B060A" w:rsidRDefault="00FF3702" w:rsidP="00C07A0A">
            <w:pPr>
              <w:rPr>
                <w:rFonts w:ascii="Calibri" w:hAnsi="Calibri" w:cs="Calibri"/>
              </w:rPr>
            </w:pPr>
            <w:r w:rsidRPr="00FF3702">
              <w:rPr>
                <w:rFonts w:ascii="Calibri" w:hAnsi="Calibri" w:cs="Calibri"/>
                <w:noProof/>
              </w:rPr>
              <w:drawing>
                <wp:inline distT="0" distB="0" distL="0" distR="0" wp14:anchorId="17130802" wp14:editId="5026FCE2">
                  <wp:extent cx="5731510" cy="3253105"/>
                  <wp:effectExtent l="0" t="0" r="2540" b="4445"/>
                  <wp:docPr id="155729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90909" name=""/>
                          <pic:cNvPicPr/>
                        </pic:nvPicPr>
                        <pic:blipFill>
                          <a:blip r:embed="rId11"/>
                          <a:stretch>
                            <a:fillRect/>
                          </a:stretch>
                        </pic:blipFill>
                        <pic:spPr>
                          <a:xfrm>
                            <a:off x="0" y="0"/>
                            <a:ext cx="5731510" cy="3253105"/>
                          </a:xfrm>
                          <a:prstGeom prst="rect">
                            <a:avLst/>
                          </a:prstGeom>
                        </pic:spPr>
                      </pic:pic>
                    </a:graphicData>
                  </a:graphic>
                </wp:inline>
              </w:drawing>
            </w:r>
          </w:p>
        </w:tc>
      </w:tr>
    </w:tbl>
    <w:p w14:paraId="75070D17" w14:textId="77777777" w:rsidR="002B060A" w:rsidRDefault="002B060A" w:rsidP="00C07A0A">
      <w:pPr>
        <w:rPr>
          <w:rFonts w:ascii="Calibri" w:hAnsi="Calibri" w:cs="Calibri"/>
        </w:rPr>
      </w:pPr>
    </w:p>
    <w:p w14:paraId="75070D18" w14:textId="77777777" w:rsidR="002B060A" w:rsidRDefault="006040A7" w:rsidP="00C07A0A">
      <w:pPr>
        <w:pStyle w:val="Heading3"/>
        <w:numPr>
          <w:ilvl w:val="1"/>
          <w:numId w:val="29"/>
        </w:numPr>
        <w:rPr>
          <w:rFonts w:ascii="Calibri" w:hAnsi="Calibri" w:cs="Calibri"/>
          <w:b/>
        </w:rPr>
      </w:pPr>
      <w:bookmarkStart w:id="19" w:name="_Toc173429970"/>
      <w:r>
        <w:rPr>
          <w:rFonts w:ascii="Calibri" w:hAnsi="Calibri" w:cs="Calibri"/>
          <w:b/>
        </w:rPr>
        <w:t>Ethics</w:t>
      </w:r>
      <w:bookmarkEnd w:id="19"/>
      <w:r>
        <w:rPr>
          <w:rFonts w:ascii="Calibri" w:hAnsi="Calibri" w:cs="Calibri"/>
          <w:b/>
        </w:rPr>
        <w:t> </w:t>
      </w:r>
    </w:p>
    <w:p w14:paraId="75070D19" w14:textId="77777777" w:rsidR="002B060A" w:rsidRDefault="006040A7" w:rsidP="00C07A0A">
      <w:pPr>
        <w:jc w:val="both"/>
        <w:rPr>
          <w:rFonts w:ascii="Calibri" w:hAnsi="Calibri" w:cs="Calibri"/>
        </w:rPr>
      </w:pPr>
      <w:r>
        <w:rPr>
          <w:rFonts w:ascii="Calibri" w:hAnsi="Calibri" w:cs="Calibri"/>
          <w:color w:val="000000" w:themeColor="text1"/>
        </w:rPr>
        <w:t xml:space="preserve">This evaluation was conducted in accordance with the principles outlined in the UNDP ‘Ethical </w:t>
      </w:r>
      <w:r>
        <w:rPr>
          <w:rFonts w:ascii="Calibri" w:hAnsi="Calibri" w:cs="Calibri"/>
        </w:rPr>
        <w:t xml:space="preserve">Guidelines for Evaluation’. Due to the condensed timeframe, independent review by the University’s Human Research Ethics Committee was not feasible. While the project was deemed low risk by the expert TE team given participants included WHO, UNDP and government-affiliated stakeholders (i.e. no vulnerable or community participants), the evaluators followed standard protocols to safeguard the rights and confidentiality of information providers, interviewees and stakeholders. This included obtaining informed consent (written or verbal) prior to commencement of any interviews and ensuring all participants had access to a plain language statement (PLS) outlining data use, storage and contact details for the TE team and the WHO Office of Compliance, Risk Management and Ethics (see </w:t>
      </w:r>
      <w:r>
        <w:rPr>
          <w:rFonts w:ascii="Calibri" w:hAnsi="Calibri" w:cs="Calibri"/>
          <w:b/>
        </w:rPr>
        <w:t xml:space="preserve">Annex E: Consent form </w:t>
      </w:r>
      <w:r>
        <w:rPr>
          <w:rFonts w:ascii="Calibri" w:hAnsi="Calibri" w:cs="Calibri"/>
        </w:rPr>
        <w:t xml:space="preserve">and </w:t>
      </w:r>
      <w:r>
        <w:rPr>
          <w:rFonts w:ascii="Calibri" w:hAnsi="Calibri" w:cs="Calibri"/>
          <w:b/>
        </w:rPr>
        <w:t>Annex F: PLS</w:t>
      </w:r>
      <w:r>
        <w:rPr>
          <w:rFonts w:ascii="Calibri" w:hAnsi="Calibri" w:cs="Calibri"/>
        </w:rPr>
        <w:t>). Ethics considerations were also discussed with the WHO CU prior to commencing primary data collection.</w:t>
      </w:r>
    </w:p>
    <w:p w14:paraId="75070D1A" w14:textId="77777777" w:rsidR="002B060A" w:rsidRDefault="002B060A" w:rsidP="00C07A0A">
      <w:pPr>
        <w:jc w:val="both"/>
        <w:rPr>
          <w:rFonts w:ascii="Calibri" w:hAnsi="Calibri" w:cs="Calibri"/>
        </w:rPr>
      </w:pPr>
    </w:p>
    <w:p w14:paraId="75070D1B" w14:textId="77777777" w:rsidR="002B060A" w:rsidRDefault="006040A7" w:rsidP="00C07A0A">
      <w:pPr>
        <w:jc w:val="both"/>
        <w:rPr>
          <w:rFonts w:ascii="Calibri" w:hAnsi="Calibri" w:cs="Calibri"/>
        </w:rPr>
      </w:pPr>
      <w:r>
        <w:rPr>
          <w:rFonts w:ascii="Calibri" w:hAnsi="Calibri" w:cs="Calibri"/>
        </w:rPr>
        <w:t>The evaluators ensured all data, including desktop review files, audio or video recordings, observational notes and participant consent forms, were stored in encrypted files on the University of Melbourne’s secure server. File access was restricted to members of the TE team.</w:t>
      </w:r>
    </w:p>
    <w:p w14:paraId="75070D1C" w14:textId="77777777" w:rsidR="002B060A" w:rsidRDefault="002B060A" w:rsidP="00C07A0A">
      <w:pPr>
        <w:jc w:val="both"/>
        <w:rPr>
          <w:rFonts w:ascii="Calibri" w:hAnsi="Calibri" w:cs="Calibri"/>
        </w:rPr>
      </w:pPr>
    </w:p>
    <w:p w14:paraId="75070D1D" w14:textId="77777777" w:rsidR="002B060A" w:rsidRDefault="006040A7" w:rsidP="00C07A0A">
      <w:pPr>
        <w:jc w:val="both"/>
        <w:rPr>
          <w:rFonts w:ascii="Calibri" w:hAnsi="Calibri" w:cs="Calibri"/>
        </w:rPr>
      </w:pPr>
      <w:r>
        <w:rPr>
          <w:rFonts w:ascii="Calibri" w:hAnsi="Calibri" w:cs="Calibri"/>
        </w:rPr>
        <w:t>All raw identifiable data (for example, consent forms, recordings and observational notes) will be destroyed 3 years after the TE project has concluded, no later than June 2026, unless otherwise instructed by the WHO CU. The information knowledge and data gathered in the evaluation process was solely used for the evaluation and not for other uses without the express authorisation of UNDP and partners.</w:t>
      </w:r>
    </w:p>
    <w:p w14:paraId="75070D1E" w14:textId="77777777" w:rsidR="002B060A" w:rsidRDefault="006040A7" w:rsidP="00C07A0A">
      <w:pPr>
        <w:pStyle w:val="Heading3"/>
        <w:numPr>
          <w:ilvl w:val="1"/>
          <w:numId w:val="29"/>
        </w:numPr>
        <w:rPr>
          <w:rFonts w:ascii="Calibri" w:eastAsiaTheme="minorEastAsia" w:hAnsi="Calibri" w:cs="Calibri"/>
        </w:rPr>
      </w:pPr>
      <w:bookmarkStart w:id="20" w:name="_Toc173429971"/>
      <w:r>
        <w:rPr>
          <w:rFonts w:ascii="Calibri" w:hAnsi="Calibri" w:cs="Calibri"/>
          <w:b/>
        </w:rPr>
        <w:lastRenderedPageBreak/>
        <w:t>Limitations</w:t>
      </w:r>
      <w:bookmarkEnd w:id="20"/>
    </w:p>
    <w:p w14:paraId="75070D1F" w14:textId="77777777" w:rsidR="002B060A" w:rsidRDefault="006040A7" w:rsidP="00C07A0A">
      <w:pPr>
        <w:jc w:val="both"/>
        <w:rPr>
          <w:rFonts w:ascii="Calibri" w:hAnsi="Calibri" w:cs="Calibri"/>
        </w:rPr>
      </w:pPr>
      <w:r>
        <w:rPr>
          <w:rFonts w:ascii="Calibri" w:hAnsi="Calibri" w:cs="Calibri"/>
          <w:b/>
          <w:bCs/>
        </w:rPr>
        <w:t xml:space="preserve">Timeline: </w:t>
      </w:r>
      <w:r>
        <w:rPr>
          <w:rFonts w:ascii="Calibri" w:hAnsi="Calibri" w:cs="Calibri"/>
        </w:rPr>
        <w:t xml:space="preserve">The TE was initially planned for completion over a 4-month period but was ultimately conducted over 2-months due to tender appraisal and contracting delays. While the TE team endeavoured to complete the same scope of work within this reduced timeframe, it has ultimately reduced the depth and extent of analysis and stakeholder consultation. Overlapping data collection and analysis activities also impacted ability to identify data gaps, query, clarify, and iteratively build knowledge; and sense-check findings with the WHO CU and Project teams. </w:t>
      </w:r>
    </w:p>
    <w:p w14:paraId="75070D20" w14:textId="77777777" w:rsidR="002B060A" w:rsidRDefault="002B060A" w:rsidP="00C07A0A">
      <w:pPr>
        <w:jc w:val="both"/>
        <w:rPr>
          <w:rFonts w:ascii="Calibri" w:hAnsi="Calibri" w:cs="Calibri"/>
        </w:rPr>
      </w:pPr>
    </w:p>
    <w:p w14:paraId="491D6DA6" w14:textId="4AB6DB17" w:rsidR="003E0C39" w:rsidRDefault="003E0C39" w:rsidP="00C07A0A">
      <w:pPr>
        <w:jc w:val="both"/>
        <w:rPr>
          <w:rFonts w:ascii="Calibri" w:hAnsi="Calibri" w:cs="Calibri"/>
        </w:rPr>
      </w:pPr>
      <w:r>
        <w:rPr>
          <w:rFonts w:ascii="Calibri" w:hAnsi="Calibri" w:cs="Calibri"/>
          <w:b/>
          <w:bCs/>
        </w:rPr>
        <w:t xml:space="preserve">Data limitations: </w:t>
      </w:r>
      <w:r>
        <w:rPr>
          <w:rFonts w:ascii="Calibri" w:hAnsi="Calibri" w:cs="Calibri"/>
        </w:rPr>
        <w:t>Given the TE timeline, a comprehensive analysis of all program report data (&gt;1000 files) was not feasible. Documents were prioritised based on initial discussion with the WHO CU. Desktop review data were only available up until Q4 2023 and hence the final analysis may not reflect all activities in the final 8 months of the project.</w:t>
      </w:r>
    </w:p>
    <w:p w14:paraId="75070D22" w14:textId="77777777" w:rsidR="002B060A" w:rsidRDefault="002B060A" w:rsidP="00C07A0A">
      <w:pPr>
        <w:jc w:val="both"/>
        <w:rPr>
          <w:rFonts w:ascii="Calibri" w:hAnsi="Calibri" w:cs="Calibri"/>
        </w:rPr>
      </w:pPr>
    </w:p>
    <w:p w14:paraId="75070D23" w14:textId="77777777" w:rsidR="002B060A" w:rsidRDefault="006040A7" w:rsidP="00C07A0A">
      <w:pPr>
        <w:jc w:val="both"/>
        <w:rPr>
          <w:rFonts w:ascii="Calibri" w:hAnsi="Calibri" w:cs="Calibri"/>
        </w:rPr>
      </w:pPr>
      <w:r>
        <w:rPr>
          <w:rFonts w:ascii="Calibri" w:hAnsi="Calibri" w:cs="Calibri"/>
          <w:b/>
          <w:bCs/>
        </w:rPr>
        <w:t xml:space="preserve">Stakeholder interviews: </w:t>
      </w:r>
      <w:r>
        <w:rPr>
          <w:rFonts w:ascii="Calibri" w:hAnsi="Calibri" w:cs="Calibri"/>
        </w:rPr>
        <w:t>While the TE team aimed to interview up to six stakeholders per country, the final selection was a sample of convenience according to stakeholder availability, time zone windows or responsiveness to interview invitations. Due to timing and logistical constraints, field visits were only possible in two project countries, which were subsequently over-represented in stakeholder interviews due to face-to-face engagements. The TE team were also unable to confirm interviews with any UNDP CO representatives. Language barriers and reliance on third-party language interpretation for some countries may have impacted accuracy of analysis and interpretation. Despite assurances of the TE team’s independence, participants may have withheld some information, affecting data accuracy.</w:t>
      </w:r>
    </w:p>
    <w:p w14:paraId="75070D24" w14:textId="77777777" w:rsidR="002B060A" w:rsidRDefault="002B060A" w:rsidP="00C07A0A">
      <w:pPr>
        <w:jc w:val="both"/>
        <w:rPr>
          <w:rFonts w:ascii="Calibri" w:hAnsi="Calibri" w:cs="Calibri"/>
        </w:rPr>
      </w:pPr>
    </w:p>
    <w:p w14:paraId="75070D25" w14:textId="77777777" w:rsidR="002B060A" w:rsidRDefault="006040A7" w:rsidP="00C07A0A">
      <w:pPr>
        <w:jc w:val="both"/>
        <w:rPr>
          <w:rFonts w:ascii="Calibri" w:hAnsi="Calibri" w:cs="Calibri"/>
        </w:rPr>
      </w:pPr>
      <w:r>
        <w:rPr>
          <w:rFonts w:ascii="Calibri" w:hAnsi="Calibri" w:cs="Calibri"/>
          <w:b/>
          <w:bCs/>
        </w:rPr>
        <w:t xml:space="preserve">Subjectivity and Participant bias: </w:t>
      </w:r>
      <w:r>
        <w:rPr>
          <w:rFonts w:ascii="Calibri" w:hAnsi="Calibri" w:cs="Calibri"/>
        </w:rPr>
        <w:t>Personal bias and subjectivity of the evaluations may also have influenced interpretation of data, although this was mitigated by ensuring key issues were discussed and resolved collectively; and feedback from the WHO CU and Project Teams was incorporated at multiple stages during inception, implementation and TE report preparation.</w:t>
      </w:r>
    </w:p>
    <w:p w14:paraId="75070D26" w14:textId="77777777" w:rsidR="002B060A" w:rsidRDefault="006040A7" w:rsidP="00C07A0A">
      <w:pPr>
        <w:rPr>
          <w:rStyle w:val="normaltextrun"/>
          <w:rFonts w:ascii="Calibri" w:eastAsiaTheme="majorEastAsia" w:hAnsi="Calibri" w:cs="Calibri"/>
          <w:b/>
          <w:color w:val="094183"/>
          <w:kern w:val="2"/>
          <w:sz w:val="32"/>
          <w:szCs w:val="32"/>
          <w:lang w:eastAsia="en-US"/>
          <w14:ligatures w14:val="standardContextual"/>
        </w:rPr>
      </w:pPr>
      <w:r w:rsidRPr="00CB0E8D">
        <w:rPr>
          <w:rStyle w:val="normaltextrun"/>
          <w:rFonts w:ascii="Calibri" w:hAnsi="Calibri"/>
          <w:b/>
          <w:color w:val="094183"/>
        </w:rPr>
        <w:br w:type="page"/>
      </w:r>
    </w:p>
    <w:p w14:paraId="75070D27" w14:textId="77777777" w:rsidR="002B060A" w:rsidRDefault="006040A7" w:rsidP="00C07A0A">
      <w:pPr>
        <w:pStyle w:val="Heading2"/>
        <w:numPr>
          <w:ilvl w:val="0"/>
          <w:numId w:val="29"/>
        </w:numPr>
        <w:rPr>
          <w:rStyle w:val="normaltextrun"/>
          <w:rFonts w:ascii="Calibri" w:hAnsi="Calibri" w:cs="Calibri"/>
          <w:b/>
          <w:color w:val="094183"/>
        </w:rPr>
      </w:pPr>
      <w:bookmarkStart w:id="21" w:name="_Toc173429972"/>
      <w:r>
        <w:rPr>
          <w:rStyle w:val="normaltextrun"/>
          <w:rFonts w:ascii="Calibri" w:hAnsi="Calibri" w:cs="Calibri"/>
          <w:b/>
          <w:color w:val="094183"/>
        </w:rPr>
        <w:lastRenderedPageBreak/>
        <w:t>Project Background</w:t>
      </w:r>
      <w:bookmarkEnd w:id="21"/>
    </w:p>
    <w:p w14:paraId="75070D28" w14:textId="77777777" w:rsidR="002B060A" w:rsidRDefault="006040A7" w:rsidP="00C07A0A">
      <w:pPr>
        <w:pStyle w:val="Heading3"/>
        <w:numPr>
          <w:ilvl w:val="1"/>
          <w:numId w:val="29"/>
        </w:numPr>
        <w:rPr>
          <w:rFonts w:ascii="Calibri" w:hAnsi="Calibri" w:cs="Calibri"/>
          <w:b/>
        </w:rPr>
      </w:pPr>
      <w:bookmarkStart w:id="22" w:name="_Toc173429973"/>
      <w:r>
        <w:rPr>
          <w:rFonts w:ascii="Calibri" w:hAnsi="Calibri" w:cs="Calibri"/>
          <w:b/>
        </w:rPr>
        <w:t>Global context</w:t>
      </w:r>
      <w:bookmarkEnd w:id="22"/>
      <w:r>
        <w:rPr>
          <w:rFonts w:ascii="Calibri" w:hAnsi="Calibri" w:cs="Calibri"/>
          <w:b/>
        </w:rPr>
        <w:t xml:space="preserve"> </w:t>
      </w:r>
    </w:p>
    <w:p w14:paraId="75070D29" w14:textId="77777777" w:rsidR="002B060A" w:rsidRDefault="006040A7" w:rsidP="00C07A0A">
      <w:pPr>
        <w:pStyle w:val="Heading4"/>
        <w:rPr>
          <w:rFonts w:ascii="Calibri" w:hAnsi="Calibri" w:cs="Calibri"/>
        </w:rPr>
      </w:pPr>
      <w:r>
        <w:rPr>
          <w:rFonts w:ascii="Calibri" w:hAnsi="Calibri" w:cs="Calibri"/>
        </w:rPr>
        <w:t>Development context</w:t>
      </w:r>
    </w:p>
    <w:p w14:paraId="75070D2A" w14:textId="77777777" w:rsidR="002B060A" w:rsidRDefault="006040A7" w:rsidP="00C07A0A">
      <w:pPr>
        <w:jc w:val="both"/>
        <w:textAlignment w:val="baseline"/>
        <w:rPr>
          <w:rFonts w:ascii="Calibri" w:eastAsia="Calibri" w:hAnsi="Calibri" w:cs="Calibri"/>
          <w:color w:val="000000" w:themeColor="text1"/>
        </w:rPr>
      </w:pPr>
      <w:r>
        <w:rPr>
          <w:rFonts w:ascii="Calibri" w:eastAsia="Calibri" w:hAnsi="Calibri" w:cs="Calibri"/>
          <w:color w:val="000000" w:themeColor="text1"/>
        </w:rPr>
        <w:t>Over the past 25 years, Asia has seen rapid declines in mortality and morbidity rates. There has been a notable shift from communicable diseases like respiratory infections and diarrhea to non-communicable diseases such as cancer, cardiovascular, and respiratory diseases. Health indicators have improved, with increased life expectancy and decreased infant mortality rates. Consequently, the proportion of the population aged over 65 is expected to surpass 25% by 2050. Despite these advancements, progress is jeopardised by the region's sensitivity to climate variability and change, and limited capacity to address these challenges.</w:t>
      </w:r>
    </w:p>
    <w:p w14:paraId="75070D2B" w14:textId="77777777" w:rsidR="002B060A" w:rsidRDefault="002B060A" w:rsidP="00C07A0A">
      <w:pPr>
        <w:jc w:val="both"/>
        <w:textAlignment w:val="baseline"/>
        <w:rPr>
          <w:rFonts w:ascii="Calibri" w:eastAsia="Calibri" w:hAnsi="Calibri" w:cs="Calibri"/>
          <w:color w:val="000000" w:themeColor="text1"/>
        </w:rPr>
      </w:pPr>
    </w:p>
    <w:p w14:paraId="75070D2C" w14:textId="77777777" w:rsidR="002B060A" w:rsidRDefault="006040A7" w:rsidP="00C07A0A">
      <w:pPr>
        <w:jc w:val="both"/>
        <w:textAlignment w:val="baseline"/>
        <w:rPr>
          <w:rFonts w:ascii="Calibri" w:eastAsia="Calibri" w:hAnsi="Calibri" w:cs="Calibri"/>
          <w:color w:val="000000" w:themeColor="text1"/>
        </w:rPr>
      </w:pPr>
      <w:r>
        <w:rPr>
          <w:rFonts w:ascii="Calibri" w:eastAsia="Calibri" w:hAnsi="Calibri" w:cs="Calibri"/>
          <w:color w:val="000000" w:themeColor="text1"/>
        </w:rPr>
        <w:t xml:space="preserve">Health systems in Asian Least Developed Countries (LDCs) such as Bangladesh, Cambodia, Lao PDR, Myanmar, Nepal, and Timor-Leste struggle with current health risks and lack the capacity to adapt to climate-related health threats. Projections show a rise in temperatures by 1.0 to 1.6°C under a low emissions scenario and 3.6 to 6.0°C under a high emissions scenario by 2100, leading to more frequent heatwaves and increased risks of floods and droughts impacting vulnerable agricultural, low-lying and small island areas across Asia (see </w:t>
      </w:r>
      <w:r>
        <w:rPr>
          <w:rFonts w:ascii="Calibri" w:eastAsia="Calibri" w:hAnsi="Calibri" w:cs="Calibri"/>
          <w:b/>
          <w:bCs/>
          <w:color w:val="000000" w:themeColor="text1"/>
        </w:rPr>
        <w:t>Figure 2</w:t>
      </w:r>
      <w:r>
        <w:rPr>
          <w:rFonts w:ascii="Calibri" w:eastAsia="Calibri" w:hAnsi="Calibri" w:cs="Calibri"/>
          <w:color w:val="000000" w:themeColor="text1"/>
        </w:rPr>
        <w:t xml:space="preserve">).  </w:t>
      </w:r>
    </w:p>
    <w:p w14:paraId="75070D2D" w14:textId="77777777" w:rsidR="002B060A" w:rsidRDefault="002B060A" w:rsidP="00C07A0A">
      <w:pPr>
        <w:jc w:val="both"/>
        <w:rPr>
          <w:rFonts w:ascii="Calibri" w:eastAsia="Calibri" w:hAnsi="Calibri" w:cs="Calibri"/>
          <w:color w:val="000000" w:themeColor="text1"/>
        </w:rPr>
      </w:pPr>
    </w:p>
    <w:p w14:paraId="75070D2E" w14:textId="77777777" w:rsidR="002B060A" w:rsidRDefault="006040A7" w:rsidP="00C07A0A">
      <w:pPr>
        <w:jc w:val="both"/>
        <w:rPr>
          <w:rFonts w:ascii="Calibri" w:eastAsia="Calibri" w:hAnsi="Calibri" w:cs="Calibri"/>
          <w:color w:val="000000" w:themeColor="text1"/>
        </w:rPr>
      </w:pPr>
      <w:r>
        <w:rPr>
          <w:rFonts w:ascii="Calibri" w:eastAsia="Calibri" w:hAnsi="Calibri" w:cs="Calibri"/>
          <w:b/>
          <w:bCs/>
          <w:color w:val="000000" w:themeColor="text1"/>
        </w:rPr>
        <w:t xml:space="preserve">Figure 2: Global Climate Vulnerability </w:t>
      </w:r>
    </w:p>
    <w:p w14:paraId="75070D2F" w14:textId="77777777" w:rsidR="002B060A" w:rsidRDefault="002B060A" w:rsidP="00C07A0A">
      <w:pPr>
        <w:jc w:val="both"/>
        <w:textAlignment w:val="baseline"/>
        <w:rPr>
          <w:rFonts w:ascii="Calibri" w:eastAsia="Calibri" w:hAnsi="Calibri" w:cs="Calibri"/>
          <w:color w:val="000000" w:themeColor="text1"/>
        </w:rPr>
      </w:pPr>
    </w:p>
    <w:p w14:paraId="02C040DF" w14:textId="77777777" w:rsidR="00C95EC0" w:rsidRPr="003445E8" w:rsidRDefault="00C95EC0" w:rsidP="00C07A0A">
      <w:pPr>
        <w:jc w:val="both"/>
        <w:textAlignment w:val="baseline"/>
        <w:rPr>
          <w:rFonts w:ascii="Calibri" w:eastAsia="Calibri" w:hAnsi="Calibri" w:cs="Calibri"/>
          <w:color w:val="000000" w:themeColor="text1"/>
        </w:rPr>
      </w:pPr>
      <w:r w:rsidRPr="003445E8">
        <w:rPr>
          <w:rFonts w:ascii="Calibri" w:hAnsi="Calibri" w:cs="Calibri"/>
          <w:noProof/>
        </w:rPr>
        <w:drawing>
          <wp:inline distT="0" distB="0" distL="0" distR="0" wp14:anchorId="24856B87" wp14:editId="2D7ADC95">
            <wp:extent cx="5731510" cy="2886269"/>
            <wp:effectExtent l="0" t="0" r="2540" b="9525"/>
            <wp:docPr id="2065005832" name="Picture 1" descr="A map of the world with different colored circles and a few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05832" name="Picture 1" descr="A map of the world with different colored circles and a few different colored circl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6536"/>
                    <a:stretch/>
                  </pic:blipFill>
                  <pic:spPr bwMode="auto">
                    <a:xfrm>
                      <a:off x="0" y="0"/>
                      <a:ext cx="5731510" cy="2886269"/>
                    </a:xfrm>
                    <a:prstGeom prst="rect">
                      <a:avLst/>
                    </a:prstGeom>
                    <a:noFill/>
                    <a:ln>
                      <a:noFill/>
                    </a:ln>
                    <a:extLst>
                      <a:ext uri="{53640926-AAD7-44D8-BBD7-CCE9431645EC}">
                        <a14:shadowObscured xmlns:a14="http://schemas.microsoft.com/office/drawing/2010/main"/>
                      </a:ext>
                    </a:extLst>
                  </pic:spPr>
                </pic:pic>
              </a:graphicData>
            </a:graphic>
          </wp:inline>
        </w:drawing>
      </w:r>
    </w:p>
    <w:p w14:paraId="75070D31" w14:textId="77777777" w:rsidR="002B060A" w:rsidRDefault="006040A7" w:rsidP="00C07A0A">
      <w:pPr>
        <w:jc w:val="both"/>
        <w:rPr>
          <w:rFonts w:ascii="Calibri" w:hAnsi="Calibri" w:cs="Calibri"/>
          <w:i/>
          <w:sz w:val="20"/>
          <w:szCs w:val="20"/>
          <w:lang w:eastAsia="en-US"/>
        </w:rPr>
      </w:pPr>
      <w:r>
        <w:rPr>
          <w:rFonts w:ascii="Calibri" w:hAnsi="Calibri" w:cs="Calibri"/>
          <w:i/>
          <w:iCs/>
          <w:sz w:val="20"/>
          <w:szCs w:val="20"/>
          <w:lang w:eastAsia="en-US"/>
        </w:rPr>
        <w:t xml:space="preserve">Note: TS.7 Vulnerability is a global map of vulnerability based on two comprehensive global indicator systems (INFORM Risk Index and WorldRiskIndex (2019). Hazards and exposure are not included in this image. From IPCC Sixth Assessment Report – Impacts, Adaptation and Vulnerability. </w:t>
      </w:r>
    </w:p>
    <w:p w14:paraId="75070D32" w14:textId="77777777" w:rsidR="002B060A" w:rsidRDefault="002B060A" w:rsidP="00C07A0A">
      <w:pPr>
        <w:rPr>
          <w:rFonts w:ascii="Calibri" w:hAnsi="Calibri" w:cs="Calibri"/>
          <w:lang w:eastAsia="en-US"/>
        </w:rPr>
      </w:pPr>
    </w:p>
    <w:p w14:paraId="75070D33" w14:textId="77777777" w:rsidR="002B060A" w:rsidRDefault="006040A7" w:rsidP="00C07A0A">
      <w:pPr>
        <w:jc w:val="both"/>
        <w:textAlignment w:val="baseline"/>
        <w:rPr>
          <w:rFonts w:ascii="Calibri" w:eastAsia="Calibri" w:hAnsi="Calibri" w:cs="Calibri"/>
          <w:color w:val="000000" w:themeColor="text1"/>
        </w:rPr>
      </w:pPr>
      <w:r>
        <w:rPr>
          <w:rFonts w:ascii="Calibri" w:eastAsia="Calibri" w:hAnsi="Calibri" w:cs="Calibri"/>
          <w:color w:val="000000" w:themeColor="text1"/>
        </w:rPr>
        <w:t>These climatic changes increase health risks through direct impacts, such as deaths and injuries from heatwaves, storms, and floods, and indirect impacts, including higher risks of infectious diseases (waterborne, foodborne, and vector-borne infections), food insecurity, malnutrition, loss of livelihoods, conflicts over resources, and migration-related health issues.</w:t>
      </w:r>
    </w:p>
    <w:p w14:paraId="75070D34" w14:textId="77777777" w:rsidR="002B060A" w:rsidRDefault="002B060A" w:rsidP="00C07A0A">
      <w:pPr>
        <w:rPr>
          <w:rFonts w:ascii="Calibri" w:hAnsi="Calibri" w:cs="Calibri"/>
          <w:lang w:eastAsia="en-US"/>
        </w:rPr>
      </w:pPr>
    </w:p>
    <w:p w14:paraId="75070D35" w14:textId="77777777" w:rsidR="002B060A" w:rsidRDefault="006040A7" w:rsidP="00C07A0A">
      <w:pPr>
        <w:pStyle w:val="Heading3"/>
        <w:numPr>
          <w:ilvl w:val="1"/>
          <w:numId w:val="29"/>
        </w:numPr>
        <w:rPr>
          <w:rFonts w:ascii="Calibri" w:hAnsi="Calibri" w:cs="Calibri"/>
          <w:b/>
        </w:rPr>
      </w:pPr>
      <w:bookmarkStart w:id="23" w:name="_Toc173429974"/>
      <w:r>
        <w:rPr>
          <w:rFonts w:ascii="Calibri" w:hAnsi="Calibri" w:cs="Calibri"/>
          <w:b/>
        </w:rPr>
        <w:lastRenderedPageBreak/>
        <w:t>Project Design</w:t>
      </w:r>
      <w:bookmarkEnd w:id="23"/>
    </w:p>
    <w:p w14:paraId="0D597525" w14:textId="77777777" w:rsidR="00E65F5A" w:rsidRDefault="00E65F5A" w:rsidP="00C07A0A">
      <w:pPr>
        <w:pStyle w:val="Heading4"/>
        <w:rPr>
          <w:rFonts w:ascii="Calibri" w:hAnsi="Calibri" w:cs="Calibri"/>
        </w:rPr>
      </w:pPr>
      <w:r>
        <w:rPr>
          <w:rFonts w:ascii="Calibri" w:hAnsi="Calibri" w:cs="Calibri"/>
        </w:rPr>
        <w:t>Strategy</w:t>
      </w:r>
    </w:p>
    <w:p w14:paraId="3BEFBBA6" w14:textId="63FFD653" w:rsidR="00E65F5A" w:rsidRDefault="00E65F5A" w:rsidP="00C07A0A">
      <w:pPr>
        <w:jc w:val="both"/>
        <w:textAlignment w:val="baseline"/>
        <w:rPr>
          <w:rFonts w:ascii="Calibri" w:eastAsia="Calibri" w:hAnsi="Calibri" w:cs="Calibri"/>
          <w:color w:val="000000" w:themeColor="text1"/>
        </w:rPr>
      </w:pPr>
      <w:r>
        <w:rPr>
          <w:rFonts w:ascii="Calibri" w:eastAsia="Calibri" w:hAnsi="Calibri" w:cs="Calibri"/>
          <w:color w:val="000000" w:themeColor="text1"/>
        </w:rPr>
        <w:t>To effectively address climate change impacts on health in Asian LDCs, governments need to strengthen national health systems and institutions. This includes developing the capacity to prepare for climate impacts faced by vulnerable populations, implementing early warning measures for prevention, and ensuring health systems have the technical capacity to respond to climate-related health issues.</w:t>
      </w:r>
    </w:p>
    <w:p w14:paraId="75070D38" w14:textId="77777777" w:rsidR="002B060A" w:rsidRDefault="002B060A" w:rsidP="00C07A0A">
      <w:pPr>
        <w:jc w:val="both"/>
        <w:textAlignment w:val="baseline"/>
        <w:rPr>
          <w:rFonts w:ascii="Calibri" w:eastAsia="Calibri" w:hAnsi="Calibri" w:cs="Calibri"/>
          <w:color w:val="000000" w:themeColor="text1"/>
        </w:rPr>
      </w:pPr>
    </w:p>
    <w:p w14:paraId="75070D39" w14:textId="77777777" w:rsidR="002B060A" w:rsidRDefault="006040A7" w:rsidP="00C07A0A">
      <w:pPr>
        <w:pStyle w:val="Heading4"/>
        <w:rPr>
          <w:rFonts w:ascii="Calibri" w:hAnsi="Calibri" w:cs="Calibri"/>
        </w:rPr>
      </w:pPr>
      <w:r>
        <w:rPr>
          <w:rFonts w:ascii="Calibri" w:hAnsi="Calibri" w:cs="Calibri"/>
        </w:rPr>
        <w:t>Problem statement</w:t>
      </w:r>
    </w:p>
    <w:p w14:paraId="75070D3A" w14:textId="77777777" w:rsidR="002B060A" w:rsidRDefault="006040A7" w:rsidP="00C07A0A">
      <w:pPr>
        <w:jc w:val="both"/>
        <w:textAlignment w:val="baseline"/>
        <w:rPr>
          <w:rFonts w:ascii="Calibri" w:eastAsia="Calibri" w:hAnsi="Calibri" w:cs="Calibri"/>
          <w:color w:val="000000" w:themeColor="text1"/>
        </w:rPr>
      </w:pPr>
      <w:r>
        <w:rPr>
          <w:rFonts w:ascii="Calibri" w:eastAsia="Calibri" w:hAnsi="Calibri" w:cs="Calibri"/>
          <w:color w:val="000000" w:themeColor="text1"/>
        </w:rPr>
        <w:t xml:space="preserve">Despite different country contexts (see </w:t>
      </w:r>
      <w:r>
        <w:rPr>
          <w:rFonts w:ascii="Calibri" w:eastAsia="Calibri" w:hAnsi="Calibri" w:cs="Calibri"/>
          <w:b/>
          <w:bCs/>
          <w:color w:val="000000" w:themeColor="text1"/>
        </w:rPr>
        <w:t>section 4.3</w:t>
      </w:r>
      <w:r>
        <w:rPr>
          <w:rFonts w:ascii="Calibri" w:eastAsia="Calibri" w:hAnsi="Calibri" w:cs="Calibri"/>
          <w:color w:val="000000" w:themeColor="text1"/>
        </w:rPr>
        <w:t>), common challenges include:</w:t>
      </w:r>
    </w:p>
    <w:p w14:paraId="75070D3B" w14:textId="77777777" w:rsidR="002B060A" w:rsidRDefault="006040A7" w:rsidP="00C07A0A">
      <w:pPr>
        <w:pStyle w:val="ListParagraph"/>
        <w:numPr>
          <w:ilvl w:val="0"/>
          <w:numId w:val="32"/>
        </w:numPr>
        <w:jc w:val="both"/>
        <w:textAlignment w:val="baseline"/>
        <w:rPr>
          <w:rFonts w:ascii="Calibri" w:eastAsia="Calibri" w:hAnsi="Calibri" w:cs="Calibri"/>
          <w:color w:val="000000" w:themeColor="text1"/>
        </w:rPr>
      </w:pPr>
      <w:r>
        <w:rPr>
          <w:rFonts w:ascii="Calibri" w:eastAsia="Calibri" w:hAnsi="Calibri" w:cs="Calibri"/>
          <w:color w:val="000000" w:themeColor="text1"/>
        </w:rPr>
        <w:t>Insufficient capacity for climate change adaptation within government agencies.</w:t>
      </w:r>
    </w:p>
    <w:p w14:paraId="75070D3C" w14:textId="77777777" w:rsidR="002B060A" w:rsidRDefault="006040A7" w:rsidP="00C07A0A">
      <w:pPr>
        <w:pStyle w:val="ListParagraph"/>
        <w:numPr>
          <w:ilvl w:val="0"/>
          <w:numId w:val="32"/>
        </w:numPr>
        <w:jc w:val="both"/>
        <w:textAlignment w:val="baseline"/>
        <w:rPr>
          <w:rFonts w:ascii="Calibri" w:eastAsia="Calibri" w:hAnsi="Calibri" w:cs="Calibri"/>
          <w:color w:val="000000" w:themeColor="text1"/>
        </w:rPr>
      </w:pPr>
      <w:r>
        <w:rPr>
          <w:rFonts w:ascii="Calibri" w:eastAsia="Calibri" w:hAnsi="Calibri" w:cs="Calibri"/>
          <w:color w:val="000000" w:themeColor="text1"/>
        </w:rPr>
        <w:t>Limited surveillance data hindering epidemic prevention and response.</w:t>
      </w:r>
    </w:p>
    <w:p w14:paraId="75070D3D" w14:textId="77777777" w:rsidR="002B060A" w:rsidRDefault="006040A7" w:rsidP="00C07A0A">
      <w:pPr>
        <w:pStyle w:val="ListParagraph"/>
        <w:numPr>
          <w:ilvl w:val="0"/>
          <w:numId w:val="32"/>
        </w:numPr>
        <w:jc w:val="both"/>
        <w:textAlignment w:val="baseline"/>
        <w:rPr>
          <w:rFonts w:ascii="Calibri" w:eastAsia="Calibri" w:hAnsi="Calibri" w:cs="Calibri"/>
          <w:color w:val="000000" w:themeColor="text1"/>
        </w:rPr>
      </w:pPr>
      <w:r>
        <w:rPr>
          <w:rFonts w:ascii="Calibri" w:eastAsia="Calibri" w:hAnsi="Calibri" w:cs="Calibri"/>
          <w:color w:val="000000" w:themeColor="text1"/>
        </w:rPr>
        <w:t>Inadequate ability to prevent and treat climate-sensitive diseases and maintain operations during extreme weather events.</w:t>
      </w:r>
    </w:p>
    <w:p w14:paraId="75070D3E" w14:textId="77777777" w:rsidR="002B060A" w:rsidRDefault="006040A7" w:rsidP="00C07A0A">
      <w:pPr>
        <w:pStyle w:val="ListParagraph"/>
        <w:numPr>
          <w:ilvl w:val="0"/>
          <w:numId w:val="32"/>
        </w:numPr>
        <w:jc w:val="both"/>
        <w:textAlignment w:val="baseline"/>
        <w:rPr>
          <w:rFonts w:ascii="Calibri" w:eastAsia="Calibri" w:hAnsi="Calibri" w:cs="Calibri"/>
          <w:color w:val="000000" w:themeColor="text1"/>
        </w:rPr>
      </w:pPr>
      <w:r>
        <w:rPr>
          <w:rFonts w:ascii="Calibri" w:eastAsia="Calibri" w:hAnsi="Calibri" w:cs="Calibri"/>
          <w:color w:val="000000" w:themeColor="text1"/>
        </w:rPr>
        <w:t>Insufficient regional knowledge sharing and scaling up of successful pilot projects.</w:t>
      </w:r>
    </w:p>
    <w:p w14:paraId="75070D3F" w14:textId="77777777" w:rsidR="002B060A" w:rsidRDefault="002B060A" w:rsidP="00C07A0A">
      <w:pPr>
        <w:jc w:val="both"/>
        <w:textAlignment w:val="baseline"/>
        <w:rPr>
          <w:rFonts w:ascii="Calibri" w:eastAsia="Calibri" w:hAnsi="Calibri" w:cs="Calibri"/>
          <w:color w:val="000000" w:themeColor="text1"/>
        </w:rPr>
      </w:pPr>
    </w:p>
    <w:p w14:paraId="75070D40" w14:textId="77777777" w:rsidR="002B060A" w:rsidRDefault="006040A7" w:rsidP="00C07A0A">
      <w:pPr>
        <w:jc w:val="both"/>
        <w:textAlignment w:val="baseline"/>
        <w:rPr>
          <w:rFonts w:ascii="Calibri" w:eastAsia="Calibri" w:hAnsi="Calibri" w:cs="Calibri"/>
          <w:color w:val="000000" w:themeColor="text1"/>
        </w:rPr>
      </w:pPr>
      <w:r>
        <w:rPr>
          <w:rFonts w:ascii="Calibri" w:eastAsia="Calibri" w:hAnsi="Calibri" w:cs="Calibri"/>
          <w:color w:val="000000" w:themeColor="text1"/>
        </w:rPr>
        <w:t>Countries need technical assistance in utilizing modern methodologies, such as diagnostic tools, data collection, reporting, and training, to improve their capacity to cope with climate variability and change.</w:t>
      </w:r>
    </w:p>
    <w:p w14:paraId="75070D41" w14:textId="77777777" w:rsidR="002B060A" w:rsidRDefault="002B060A" w:rsidP="00C07A0A">
      <w:pPr>
        <w:jc w:val="both"/>
        <w:textAlignment w:val="baseline"/>
        <w:rPr>
          <w:rFonts w:ascii="Calibri" w:eastAsia="Calibri" w:hAnsi="Calibri" w:cs="Calibri"/>
          <w:color w:val="000000" w:themeColor="text1"/>
        </w:rPr>
      </w:pPr>
    </w:p>
    <w:p w14:paraId="75070D42" w14:textId="77777777" w:rsidR="002B060A" w:rsidRDefault="006040A7" w:rsidP="00C07A0A">
      <w:pPr>
        <w:pStyle w:val="Heading4"/>
        <w:rPr>
          <w:rFonts w:ascii="Calibri" w:hAnsi="Calibri" w:cs="Calibri"/>
        </w:rPr>
      </w:pPr>
      <w:r>
        <w:rPr>
          <w:rFonts w:ascii="Calibri" w:hAnsi="Calibri" w:cs="Calibri"/>
        </w:rPr>
        <w:t>Project Objectives and Outcomes</w:t>
      </w:r>
    </w:p>
    <w:p w14:paraId="75070D43" w14:textId="77777777" w:rsidR="002B060A" w:rsidRDefault="006040A7" w:rsidP="00C07A0A">
      <w:pPr>
        <w:jc w:val="both"/>
        <w:textAlignment w:val="baseline"/>
        <w:rPr>
          <w:rFonts w:ascii="Calibri" w:eastAsiaTheme="minorEastAsia" w:hAnsi="Calibri" w:cs="Calibri"/>
          <w:lang w:eastAsia="en-AU"/>
        </w:rPr>
      </w:pPr>
      <w:r>
        <w:rPr>
          <w:rFonts w:ascii="Calibri" w:eastAsia="Calibri" w:hAnsi="Calibri" w:cs="Calibri"/>
          <w:color w:val="000000" w:themeColor="text1"/>
        </w:rPr>
        <w:t>The project sought to address these needs and enhance the adaptive capacity of the health sector to climate variation and change in Bangladesh, Cambodia, Lao PDR, Myanmar, Nepal, and Timor-Leste. It adopts a multi-country approach to respond to climate change-induced health risks in these Asian LDCs, targeting four outcomes with tailored activities for each participating country. A</w:t>
      </w:r>
      <w:r>
        <w:rPr>
          <w:rFonts w:ascii="Calibri" w:eastAsiaTheme="minorEastAsia" w:hAnsi="Calibri" w:cs="Calibri"/>
          <w:lang w:eastAsia="en-AU"/>
        </w:rPr>
        <w:t xml:space="preserve">ctivities in Myanmar were suspended by GEF in December 2021, with remaining funds reallocated to other project activities. </w:t>
      </w:r>
    </w:p>
    <w:p w14:paraId="75070D44" w14:textId="77777777" w:rsidR="002B060A" w:rsidRDefault="002B060A" w:rsidP="00C07A0A">
      <w:pPr>
        <w:jc w:val="both"/>
        <w:textAlignment w:val="baseline"/>
        <w:rPr>
          <w:rFonts w:ascii="Calibri" w:eastAsiaTheme="minorEastAsia" w:hAnsi="Calibri" w:cs="Calibri"/>
          <w:lang w:eastAsia="en-AU"/>
        </w:rPr>
      </w:pPr>
    </w:p>
    <w:p w14:paraId="75070D45" w14:textId="77777777" w:rsidR="002B060A" w:rsidRDefault="006040A7" w:rsidP="00C07A0A">
      <w:pPr>
        <w:jc w:val="both"/>
        <w:textAlignment w:val="baseline"/>
        <w:rPr>
          <w:rFonts w:ascii="Calibri" w:eastAsia="Calibri" w:hAnsi="Calibri" w:cs="Calibri"/>
          <w:color w:val="000000" w:themeColor="text1"/>
        </w:rPr>
      </w:pPr>
      <w:r>
        <w:rPr>
          <w:rFonts w:ascii="Calibri" w:eastAsiaTheme="minorEastAsia" w:hAnsi="Calibri" w:cs="Calibri"/>
          <w:lang w:eastAsia="en-AU"/>
        </w:rPr>
        <w:t>The project aimed to progress the following complimentary outcomes across all six countries:</w:t>
      </w:r>
    </w:p>
    <w:p w14:paraId="75070D46" w14:textId="77777777" w:rsidR="002B060A" w:rsidRDefault="006040A7" w:rsidP="00C07A0A">
      <w:pPr>
        <w:numPr>
          <w:ilvl w:val="0"/>
          <w:numId w:val="25"/>
        </w:numPr>
        <w:jc w:val="both"/>
        <w:rPr>
          <w:rFonts w:ascii="Calibri" w:eastAsiaTheme="minorEastAsia" w:hAnsi="Calibri" w:cs="Calibri"/>
        </w:rPr>
      </w:pPr>
      <w:r>
        <w:rPr>
          <w:rFonts w:ascii="Calibri" w:eastAsiaTheme="minorEastAsia" w:hAnsi="Calibri" w:cs="Calibri"/>
          <w:b/>
          <w:bCs/>
        </w:rPr>
        <w:t>Outcome 1:</w:t>
      </w:r>
      <w:r>
        <w:rPr>
          <w:rFonts w:ascii="Calibri" w:eastAsiaTheme="minorEastAsia" w:hAnsi="Calibri" w:cs="Calibri"/>
        </w:rPr>
        <w:t xml:space="preserve"> Institutional capacities are strengthened to effectively integrate climate risks and adaptation options in health sector planning and implementation</w:t>
      </w:r>
    </w:p>
    <w:p w14:paraId="75070D47" w14:textId="77777777" w:rsidR="002B060A" w:rsidRDefault="006040A7" w:rsidP="00C07A0A">
      <w:pPr>
        <w:numPr>
          <w:ilvl w:val="0"/>
          <w:numId w:val="25"/>
        </w:numPr>
        <w:jc w:val="both"/>
        <w:rPr>
          <w:rFonts w:ascii="Calibri" w:eastAsiaTheme="minorEastAsia" w:hAnsi="Calibri" w:cs="Calibri"/>
        </w:rPr>
      </w:pPr>
      <w:r>
        <w:rPr>
          <w:rFonts w:ascii="Calibri" w:eastAsiaTheme="minorEastAsia" w:hAnsi="Calibri" w:cs="Calibri"/>
          <w:b/>
          <w:bCs/>
        </w:rPr>
        <w:t xml:space="preserve">Outcome 2: </w:t>
      </w:r>
      <w:r>
        <w:rPr>
          <w:rFonts w:ascii="Calibri" w:eastAsiaTheme="minorEastAsia" w:hAnsi="Calibri" w:cs="Calibri"/>
        </w:rPr>
        <w:t>Effective decision-making for health interventions is enabled through generation of information and improved surveillance and/or early warning systems</w:t>
      </w:r>
    </w:p>
    <w:p w14:paraId="75070D48" w14:textId="77777777" w:rsidR="002B060A" w:rsidRDefault="006040A7" w:rsidP="00C07A0A">
      <w:pPr>
        <w:numPr>
          <w:ilvl w:val="0"/>
          <w:numId w:val="25"/>
        </w:numPr>
        <w:jc w:val="both"/>
        <w:rPr>
          <w:rFonts w:ascii="Calibri" w:eastAsiaTheme="minorEastAsia" w:hAnsi="Calibri" w:cs="Calibri"/>
        </w:rPr>
      </w:pPr>
      <w:r>
        <w:rPr>
          <w:rFonts w:ascii="Calibri" w:eastAsiaTheme="minorEastAsia" w:hAnsi="Calibri" w:cs="Calibri"/>
          <w:b/>
          <w:bCs/>
        </w:rPr>
        <w:t>Outcome 3:</w:t>
      </w:r>
      <w:r>
        <w:rPr>
          <w:rFonts w:ascii="Calibri" w:eastAsiaTheme="minorEastAsia" w:hAnsi="Calibri" w:cs="Calibri"/>
        </w:rPr>
        <w:t xml:space="preserve"> Climate resilience is enhanced in health service delivery</w:t>
      </w:r>
    </w:p>
    <w:p w14:paraId="75070D49" w14:textId="77777777" w:rsidR="002B060A" w:rsidRDefault="006040A7" w:rsidP="00C07A0A">
      <w:pPr>
        <w:numPr>
          <w:ilvl w:val="0"/>
          <w:numId w:val="25"/>
        </w:numPr>
        <w:jc w:val="both"/>
        <w:rPr>
          <w:rFonts w:ascii="Calibri" w:eastAsiaTheme="minorEastAsia" w:hAnsi="Calibri" w:cs="Calibri"/>
        </w:rPr>
      </w:pPr>
      <w:r>
        <w:rPr>
          <w:rFonts w:ascii="Calibri" w:eastAsiaTheme="minorEastAsia" w:hAnsi="Calibri" w:cs="Calibri"/>
          <w:b/>
          <w:bCs/>
        </w:rPr>
        <w:t>Outcome 4.1:</w:t>
      </w:r>
      <w:r>
        <w:rPr>
          <w:rFonts w:ascii="Calibri" w:eastAsiaTheme="minorEastAsia" w:hAnsi="Calibri" w:cs="Calibri"/>
        </w:rPr>
        <w:t xml:space="preserve"> Enhanced regional cooperation and knowledge exchange for promoting scale-up and replication of interventions</w:t>
      </w:r>
    </w:p>
    <w:p w14:paraId="75070D4A" w14:textId="77777777" w:rsidR="002B060A" w:rsidRDefault="006040A7" w:rsidP="00C07A0A">
      <w:pPr>
        <w:numPr>
          <w:ilvl w:val="0"/>
          <w:numId w:val="25"/>
        </w:numPr>
        <w:jc w:val="both"/>
        <w:rPr>
          <w:rFonts w:ascii="Calibri" w:eastAsiaTheme="minorEastAsia" w:hAnsi="Calibri" w:cs="Calibri"/>
        </w:rPr>
      </w:pPr>
      <w:r>
        <w:rPr>
          <w:rFonts w:ascii="Calibri" w:eastAsiaTheme="minorEastAsia" w:hAnsi="Calibri" w:cs="Calibri"/>
          <w:b/>
          <w:bCs/>
        </w:rPr>
        <w:t>Outcome 4.2:</w:t>
      </w:r>
      <w:r>
        <w:rPr>
          <w:rFonts w:ascii="Calibri" w:eastAsiaTheme="minorEastAsia" w:hAnsi="Calibri" w:cs="Calibri"/>
        </w:rPr>
        <w:t xml:space="preserve"> HNAP are effectively integrated into ongoing NAP processes</w:t>
      </w:r>
    </w:p>
    <w:p w14:paraId="75070D4B" w14:textId="77777777" w:rsidR="002B060A" w:rsidRDefault="002B060A" w:rsidP="00C07A0A">
      <w:pPr>
        <w:ind w:left="720"/>
        <w:jc w:val="both"/>
        <w:textAlignment w:val="baseline"/>
        <w:rPr>
          <w:rFonts w:ascii="Calibri" w:eastAsiaTheme="minorEastAsia" w:hAnsi="Calibri" w:cs="Calibri"/>
          <w:lang w:eastAsia="en-AU"/>
        </w:rPr>
      </w:pPr>
    </w:p>
    <w:p w14:paraId="75070D4C" w14:textId="77777777" w:rsidR="002B060A" w:rsidRDefault="006040A7" w:rsidP="00C07A0A">
      <w:pPr>
        <w:jc w:val="both"/>
        <w:rPr>
          <w:rFonts w:ascii="Calibri" w:eastAsiaTheme="minorEastAsia" w:hAnsi="Calibri" w:cs="Calibri"/>
          <w:lang w:eastAsia="en-AU"/>
        </w:rPr>
      </w:pPr>
      <w:r>
        <w:rPr>
          <w:rFonts w:ascii="Calibri" w:eastAsiaTheme="minorEastAsia" w:hAnsi="Calibri" w:cs="Calibri"/>
          <w:lang w:eastAsia="en-AU"/>
        </w:rPr>
        <w:t xml:space="preserve">The project emphasises a regional approach to support cross-country learning, partnerships, and regional-level dissemination of best practices, including through technical resources to support replication and scale-up regionally and across global LDCs. </w:t>
      </w:r>
    </w:p>
    <w:p w14:paraId="75070D4D" w14:textId="77777777" w:rsidR="002B060A" w:rsidRDefault="002B060A" w:rsidP="00C07A0A">
      <w:pPr>
        <w:jc w:val="both"/>
        <w:rPr>
          <w:rFonts w:ascii="Calibri" w:eastAsiaTheme="minorEastAsia" w:hAnsi="Calibri" w:cs="Calibri"/>
          <w:lang w:eastAsia="en-AU"/>
        </w:rPr>
      </w:pPr>
    </w:p>
    <w:p w14:paraId="7D81A76A" w14:textId="77777777" w:rsidR="007C13D1" w:rsidRDefault="007C13D1" w:rsidP="00C07A0A">
      <w:pPr>
        <w:pStyle w:val="Heading4"/>
        <w:rPr>
          <w:rFonts w:ascii="Calibri" w:hAnsi="Calibri" w:cs="Calibri"/>
        </w:rPr>
      </w:pPr>
      <w:r>
        <w:rPr>
          <w:rFonts w:ascii="Calibri" w:hAnsi="Calibri" w:cs="Calibri"/>
        </w:rPr>
        <w:t>Project timeline</w:t>
      </w:r>
    </w:p>
    <w:tbl>
      <w:tblPr>
        <w:tblW w:w="0" w:type="auto"/>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000" w:firstRow="0" w:lastRow="0" w:firstColumn="0" w:lastColumn="0" w:noHBand="0" w:noVBand="0"/>
      </w:tblPr>
      <w:tblGrid>
        <w:gridCol w:w="6495"/>
        <w:gridCol w:w="2499"/>
      </w:tblGrid>
      <w:tr w:rsidR="007C13D1" w14:paraId="701F8E02" w14:textId="77777777" w:rsidTr="008432F3">
        <w:tc>
          <w:tcPr>
            <w:tcW w:w="6495" w:type="dxa"/>
          </w:tcPr>
          <w:p w14:paraId="72008CBC" w14:textId="77777777" w:rsidR="007C13D1" w:rsidRDefault="007C13D1" w:rsidP="00C07A0A">
            <w:pPr>
              <w:rPr>
                <w:rFonts w:ascii="Calibri" w:hAnsi="Calibri" w:cs="Calibri"/>
              </w:rPr>
            </w:pPr>
            <w:r>
              <w:rPr>
                <w:rFonts w:ascii="Calibri" w:hAnsi="Calibri" w:cs="Calibri"/>
              </w:rPr>
              <w:t>Project duration</w:t>
            </w:r>
          </w:p>
        </w:tc>
        <w:tc>
          <w:tcPr>
            <w:tcW w:w="2499" w:type="dxa"/>
            <w:vAlign w:val="center"/>
          </w:tcPr>
          <w:p w14:paraId="1A23F29F" w14:textId="77777777" w:rsidR="007C13D1" w:rsidRDefault="007C13D1" w:rsidP="00C07A0A">
            <w:pPr>
              <w:jc w:val="right"/>
              <w:rPr>
                <w:rFonts w:ascii="Calibri" w:hAnsi="Calibri" w:cs="Calibri"/>
              </w:rPr>
            </w:pPr>
            <w:r>
              <w:rPr>
                <w:rFonts w:ascii="Calibri" w:hAnsi="Calibri" w:cs="Calibri"/>
              </w:rPr>
              <w:t>48 months (original); 66 months (actual)</w:t>
            </w:r>
          </w:p>
        </w:tc>
      </w:tr>
      <w:tr w:rsidR="007C13D1" w14:paraId="3B072765" w14:textId="77777777" w:rsidTr="008432F3">
        <w:tc>
          <w:tcPr>
            <w:tcW w:w="6495" w:type="dxa"/>
          </w:tcPr>
          <w:p w14:paraId="0597D12D" w14:textId="77777777" w:rsidR="007C13D1" w:rsidRDefault="007C13D1" w:rsidP="00C07A0A">
            <w:pPr>
              <w:rPr>
                <w:rFonts w:ascii="Calibri" w:hAnsi="Calibri" w:cs="Calibri"/>
              </w:rPr>
            </w:pPr>
            <w:r>
              <w:rPr>
                <w:rFonts w:ascii="Calibri" w:hAnsi="Calibri" w:cs="Calibri"/>
              </w:rPr>
              <w:lastRenderedPageBreak/>
              <w:t>PIF Approval Date</w:t>
            </w:r>
          </w:p>
        </w:tc>
        <w:tc>
          <w:tcPr>
            <w:tcW w:w="2499" w:type="dxa"/>
            <w:vAlign w:val="center"/>
          </w:tcPr>
          <w:p w14:paraId="2C4054EF" w14:textId="77777777" w:rsidR="007C13D1" w:rsidRDefault="007C13D1" w:rsidP="00C07A0A">
            <w:pPr>
              <w:jc w:val="right"/>
              <w:rPr>
                <w:rFonts w:ascii="Calibri" w:hAnsi="Calibri" w:cs="Calibri"/>
              </w:rPr>
            </w:pPr>
            <w:r>
              <w:rPr>
                <w:rFonts w:ascii="Calibri" w:hAnsi="Calibri" w:cs="Calibri"/>
              </w:rPr>
              <w:t>Mar 2, 2016</w:t>
            </w:r>
          </w:p>
        </w:tc>
      </w:tr>
      <w:tr w:rsidR="007C13D1" w14:paraId="47F99140" w14:textId="77777777" w:rsidTr="008432F3">
        <w:tc>
          <w:tcPr>
            <w:tcW w:w="6495" w:type="dxa"/>
          </w:tcPr>
          <w:p w14:paraId="1C7F2DFA" w14:textId="77777777" w:rsidR="007C13D1" w:rsidRDefault="007C13D1" w:rsidP="00C07A0A">
            <w:pPr>
              <w:rPr>
                <w:rFonts w:ascii="Calibri" w:hAnsi="Calibri" w:cs="Calibri"/>
              </w:rPr>
            </w:pPr>
            <w:r>
              <w:rPr>
                <w:rFonts w:ascii="Calibri" w:hAnsi="Calibri" w:cs="Calibri"/>
              </w:rPr>
              <w:t>CEO Endorsement Date</w:t>
            </w:r>
          </w:p>
        </w:tc>
        <w:tc>
          <w:tcPr>
            <w:tcW w:w="2499" w:type="dxa"/>
            <w:vAlign w:val="center"/>
          </w:tcPr>
          <w:p w14:paraId="561392F4" w14:textId="77777777" w:rsidR="007C13D1" w:rsidRDefault="007C13D1" w:rsidP="00C07A0A">
            <w:pPr>
              <w:jc w:val="right"/>
              <w:rPr>
                <w:rFonts w:ascii="Calibri" w:hAnsi="Calibri" w:cs="Calibri"/>
              </w:rPr>
            </w:pPr>
            <w:r>
              <w:rPr>
                <w:rFonts w:ascii="Calibri" w:hAnsi="Calibri" w:cs="Calibri"/>
              </w:rPr>
              <w:t>Jan 10, 2018</w:t>
            </w:r>
          </w:p>
        </w:tc>
      </w:tr>
      <w:tr w:rsidR="007C13D1" w14:paraId="58E5E7DD" w14:textId="77777777" w:rsidTr="008432F3">
        <w:tc>
          <w:tcPr>
            <w:tcW w:w="6495" w:type="dxa"/>
          </w:tcPr>
          <w:p w14:paraId="4C4632B2" w14:textId="77777777" w:rsidR="007C13D1" w:rsidRDefault="007C13D1" w:rsidP="00C07A0A">
            <w:pPr>
              <w:rPr>
                <w:rFonts w:ascii="Calibri" w:hAnsi="Calibri" w:cs="Calibri"/>
              </w:rPr>
            </w:pPr>
            <w:r>
              <w:rPr>
                <w:rFonts w:ascii="Calibri" w:hAnsi="Calibri" w:cs="Calibri"/>
              </w:rPr>
              <w:t>Project Document Signature Date (project start date):</w:t>
            </w:r>
          </w:p>
        </w:tc>
        <w:tc>
          <w:tcPr>
            <w:tcW w:w="2499" w:type="dxa"/>
            <w:vAlign w:val="center"/>
          </w:tcPr>
          <w:p w14:paraId="3C13A677" w14:textId="77777777" w:rsidR="007C13D1" w:rsidRDefault="007C13D1" w:rsidP="00C07A0A">
            <w:pPr>
              <w:jc w:val="right"/>
              <w:rPr>
                <w:rFonts w:ascii="Calibri" w:hAnsi="Calibri" w:cs="Calibri"/>
              </w:rPr>
            </w:pPr>
            <w:r>
              <w:rPr>
                <w:rFonts w:ascii="Calibri" w:hAnsi="Calibri" w:cs="Calibri"/>
              </w:rPr>
              <w:t>Feb 22, 2019</w:t>
            </w:r>
          </w:p>
        </w:tc>
      </w:tr>
      <w:tr w:rsidR="007C13D1" w14:paraId="08DA9393" w14:textId="77777777" w:rsidTr="008432F3">
        <w:tc>
          <w:tcPr>
            <w:tcW w:w="6495" w:type="dxa"/>
          </w:tcPr>
          <w:p w14:paraId="06FCF1D0" w14:textId="77777777" w:rsidR="007C13D1" w:rsidRDefault="007C13D1" w:rsidP="00C07A0A">
            <w:pPr>
              <w:rPr>
                <w:rFonts w:ascii="Calibri" w:hAnsi="Calibri" w:cs="Calibri"/>
              </w:rPr>
            </w:pPr>
            <w:r>
              <w:rPr>
                <w:rFonts w:ascii="Calibri" w:hAnsi="Calibri" w:cs="Calibri"/>
              </w:rPr>
              <w:t>Date of Inception Workshop</w:t>
            </w:r>
          </w:p>
        </w:tc>
        <w:tc>
          <w:tcPr>
            <w:tcW w:w="2499" w:type="dxa"/>
            <w:vAlign w:val="center"/>
          </w:tcPr>
          <w:p w14:paraId="30D57AF3" w14:textId="77777777" w:rsidR="007C13D1" w:rsidRDefault="007C13D1" w:rsidP="00C07A0A">
            <w:pPr>
              <w:jc w:val="right"/>
              <w:rPr>
                <w:rFonts w:ascii="Calibri" w:hAnsi="Calibri" w:cs="Calibri"/>
              </w:rPr>
            </w:pPr>
            <w:r>
              <w:rPr>
                <w:rFonts w:ascii="Calibri" w:hAnsi="Calibri" w:cs="Calibri"/>
              </w:rPr>
              <w:t>Jun 11, 2019</w:t>
            </w:r>
          </w:p>
        </w:tc>
      </w:tr>
      <w:tr w:rsidR="007C13D1" w14:paraId="7A50F34A" w14:textId="77777777" w:rsidTr="008432F3">
        <w:tc>
          <w:tcPr>
            <w:tcW w:w="6495" w:type="dxa"/>
          </w:tcPr>
          <w:p w14:paraId="445C12F8" w14:textId="77777777" w:rsidR="007C13D1" w:rsidRDefault="007C13D1" w:rsidP="00C07A0A">
            <w:pPr>
              <w:rPr>
                <w:rFonts w:ascii="Calibri" w:hAnsi="Calibri" w:cs="Calibri"/>
              </w:rPr>
            </w:pPr>
            <w:r>
              <w:rPr>
                <w:rFonts w:ascii="Calibri" w:hAnsi="Calibri" w:cs="Calibri"/>
              </w:rPr>
              <w:t>First Disbursement Date</w:t>
            </w:r>
          </w:p>
        </w:tc>
        <w:tc>
          <w:tcPr>
            <w:tcW w:w="2499" w:type="dxa"/>
            <w:vAlign w:val="center"/>
          </w:tcPr>
          <w:p w14:paraId="1B508026" w14:textId="77777777" w:rsidR="007C13D1" w:rsidRDefault="007C13D1" w:rsidP="00C07A0A">
            <w:pPr>
              <w:jc w:val="right"/>
              <w:rPr>
                <w:rFonts w:ascii="Calibri" w:hAnsi="Calibri" w:cs="Calibri"/>
              </w:rPr>
            </w:pPr>
            <w:r>
              <w:rPr>
                <w:rFonts w:ascii="Calibri" w:hAnsi="Calibri" w:cs="Calibri"/>
              </w:rPr>
              <w:t>Mar 31, 2019</w:t>
            </w:r>
          </w:p>
        </w:tc>
      </w:tr>
      <w:tr w:rsidR="007C13D1" w14:paraId="2FFB6BCC" w14:textId="77777777" w:rsidTr="008432F3">
        <w:trPr>
          <w:trHeight w:val="129"/>
        </w:trPr>
        <w:tc>
          <w:tcPr>
            <w:tcW w:w="6495" w:type="dxa"/>
          </w:tcPr>
          <w:p w14:paraId="0E9254A6" w14:textId="77777777" w:rsidR="007C13D1" w:rsidRDefault="007C13D1" w:rsidP="00C07A0A">
            <w:pPr>
              <w:rPr>
                <w:rFonts w:ascii="Calibri" w:hAnsi="Calibri" w:cs="Calibri"/>
              </w:rPr>
            </w:pPr>
            <w:r>
              <w:rPr>
                <w:rFonts w:ascii="Calibri" w:hAnsi="Calibri" w:cs="Calibri"/>
              </w:rPr>
              <w:t>Expected Date of Mid-term Review</w:t>
            </w:r>
          </w:p>
        </w:tc>
        <w:tc>
          <w:tcPr>
            <w:tcW w:w="2499" w:type="dxa"/>
            <w:vAlign w:val="center"/>
          </w:tcPr>
          <w:p w14:paraId="1EC61409" w14:textId="77777777" w:rsidR="007C13D1" w:rsidRDefault="007C13D1" w:rsidP="00C07A0A">
            <w:pPr>
              <w:jc w:val="right"/>
              <w:rPr>
                <w:rFonts w:ascii="Calibri" w:hAnsi="Calibri" w:cs="Calibri"/>
              </w:rPr>
            </w:pPr>
            <w:r>
              <w:rPr>
                <w:rFonts w:ascii="Calibri" w:hAnsi="Calibri" w:cs="Calibri"/>
              </w:rPr>
              <w:t>Jul 10, 2021</w:t>
            </w:r>
          </w:p>
        </w:tc>
      </w:tr>
      <w:tr w:rsidR="007C13D1" w14:paraId="45352087" w14:textId="77777777" w:rsidTr="008432F3">
        <w:tc>
          <w:tcPr>
            <w:tcW w:w="6495" w:type="dxa"/>
          </w:tcPr>
          <w:p w14:paraId="5B63325F" w14:textId="77777777" w:rsidR="007C13D1" w:rsidRDefault="007C13D1" w:rsidP="00C07A0A">
            <w:pPr>
              <w:rPr>
                <w:rFonts w:ascii="Calibri" w:hAnsi="Calibri" w:cs="Calibri"/>
              </w:rPr>
            </w:pPr>
            <w:r>
              <w:rPr>
                <w:rFonts w:ascii="Calibri" w:hAnsi="Calibri" w:cs="Calibri"/>
              </w:rPr>
              <w:t>Actual Date of Mid-term Review</w:t>
            </w:r>
          </w:p>
        </w:tc>
        <w:tc>
          <w:tcPr>
            <w:tcW w:w="2499" w:type="dxa"/>
            <w:vAlign w:val="center"/>
          </w:tcPr>
          <w:p w14:paraId="0790485F" w14:textId="77777777" w:rsidR="007C13D1" w:rsidRDefault="007C13D1" w:rsidP="00C07A0A">
            <w:pPr>
              <w:jc w:val="right"/>
              <w:rPr>
                <w:rFonts w:ascii="Calibri" w:hAnsi="Calibri" w:cs="Calibri"/>
              </w:rPr>
            </w:pPr>
            <w:r>
              <w:rPr>
                <w:rFonts w:ascii="Calibri" w:hAnsi="Calibri" w:cs="Calibri"/>
              </w:rPr>
              <w:t>Oct 1, 2021</w:t>
            </w:r>
          </w:p>
        </w:tc>
      </w:tr>
      <w:tr w:rsidR="007C13D1" w14:paraId="447712A8" w14:textId="77777777" w:rsidTr="008432F3">
        <w:tc>
          <w:tcPr>
            <w:tcW w:w="6495" w:type="dxa"/>
          </w:tcPr>
          <w:p w14:paraId="222DC7D7" w14:textId="77777777" w:rsidR="007C13D1" w:rsidRDefault="007C13D1" w:rsidP="00C07A0A">
            <w:pPr>
              <w:rPr>
                <w:rFonts w:ascii="Calibri" w:hAnsi="Calibri" w:cs="Calibri"/>
              </w:rPr>
            </w:pPr>
            <w:r>
              <w:rPr>
                <w:rFonts w:ascii="Calibri" w:hAnsi="Calibri" w:cs="Calibri"/>
              </w:rPr>
              <w:t>Expected Date of Terminal Evaluation</w:t>
            </w:r>
          </w:p>
        </w:tc>
        <w:tc>
          <w:tcPr>
            <w:tcW w:w="2499" w:type="dxa"/>
            <w:vAlign w:val="center"/>
          </w:tcPr>
          <w:p w14:paraId="5158530E" w14:textId="68CE073D" w:rsidR="007C13D1" w:rsidRDefault="007C13D1" w:rsidP="00C07A0A">
            <w:pPr>
              <w:jc w:val="right"/>
              <w:rPr>
                <w:rFonts w:ascii="Calibri" w:hAnsi="Calibri" w:cs="Calibri"/>
              </w:rPr>
            </w:pPr>
            <w:r>
              <w:rPr>
                <w:rFonts w:ascii="Calibri" w:hAnsi="Calibri" w:cs="Calibri"/>
              </w:rPr>
              <w:t>Aug 22, 2024</w:t>
            </w:r>
          </w:p>
        </w:tc>
      </w:tr>
      <w:tr w:rsidR="007C13D1" w14:paraId="732E818F" w14:textId="77777777" w:rsidTr="008432F3">
        <w:tc>
          <w:tcPr>
            <w:tcW w:w="6495" w:type="dxa"/>
          </w:tcPr>
          <w:p w14:paraId="27139751" w14:textId="77777777" w:rsidR="007C13D1" w:rsidRDefault="007C13D1" w:rsidP="00C07A0A">
            <w:pPr>
              <w:rPr>
                <w:rFonts w:ascii="Calibri" w:hAnsi="Calibri" w:cs="Calibri"/>
              </w:rPr>
            </w:pPr>
            <w:r>
              <w:rPr>
                <w:rFonts w:ascii="Calibri" w:hAnsi="Calibri" w:cs="Calibri"/>
              </w:rPr>
              <w:t>Actual Date of Terminal Evaluation</w:t>
            </w:r>
          </w:p>
        </w:tc>
        <w:tc>
          <w:tcPr>
            <w:tcW w:w="2499" w:type="dxa"/>
            <w:vAlign w:val="center"/>
          </w:tcPr>
          <w:p w14:paraId="35A0C190" w14:textId="0BC3E6D6" w:rsidR="007C13D1" w:rsidRDefault="007C13D1" w:rsidP="00C07A0A">
            <w:pPr>
              <w:jc w:val="right"/>
              <w:rPr>
                <w:rFonts w:ascii="Calibri" w:hAnsi="Calibri" w:cs="Calibri"/>
              </w:rPr>
            </w:pPr>
            <w:r>
              <w:rPr>
                <w:rFonts w:ascii="Calibri" w:hAnsi="Calibri" w:cs="Calibri"/>
              </w:rPr>
              <w:t>Aug 1,  2024</w:t>
            </w:r>
          </w:p>
        </w:tc>
      </w:tr>
      <w:tr w:rsidR="007C13D1" w14:paraId="51CF1126" w14:textId="77777777" w:rsidTr="008432F3">
        <w:tc>
          <w:tcPr>
            <w:tcW w:w="6495" w:type="dxa"/>
          </w:tcPr>
          <w:p w14:paraId="5A2D3964" w14:textId="77777777" w:rsidR="007C13D1" w:rsidRDefault="007C13D1" w:rsidP="00C07A0A">
            <w:pPr>
              <w:rPr>
                <w:rFonts w:ascii="Calibri" w:hAnsi="Calibri" w:cs="Calibri"/>
              </w:rPr>
            </w:pPr>
            <w:r>
              <w:rPr>
                <w:rFonts w:ascii="Calibri" w:hAnsi="Calibri" w:cs="Calibri"/>
              </w:rPr>
              <w:t>Original Planned Closing Date</w:t>
            </w:r>
          </w:p>
        </w:tc>
        <w:tc>
          <w:tcPr>
            <w:tcW w:w="2499" w:type="dxa"/>
            <w:vAlign w:val="center"/>
          </w:tcPr>
          <w:p w14:paraId="13FFA7A5" w14:textId="77777777" w:rsidR="007C13D1" w:rsidRDefault="007C13D1" w:rsidP="00C07A0A">
            <w:pPr>
              <w:jc w:val="right"/>
              <w:rPr>
                <w:rFonts w:ascii="Calibri" w:hAnsi="Calibri" w:cs="Calibri"/>
              </w:rPr>
            </w:pPr>
            <w:r>
              <w:rPr>
                <w:rFonts w:ascii="Calibri" w:hAnsi="Calibri" w:cs="Calibri"/>
              </w:rPr>
              <w:t>Feb 22, 2023</w:t>
            </w:r>
          </w:p>
        </w:tc>
      </w:tr>
      <w:tr w:rsidR="007C13D1" w14:paraId="1E92EA06" w14:textId="77777777" w:rsidTr="008432F3">
        <w:tc>
          <w:tcPr>
            <w:tcW w:w="6495" w:type="dxa"/>
          </w:tcPr>
          <w:p w14:paraId="0FD1BF17" w14:textId="77777777" w:rsidR="007C13D1" w:rsidRDefault="007C13D1" w:rsidP="00C07A0A">
            <w:pPr>
              <w:rPr>
                <w:rFonts w:ascii="Calibri" w:hAnsi="Calibri" w:cs="Calibri"/>
              </w:rPr>
            </w:pPr>
            <w:r>
              <w:rPr>
                <w:rFonts w:ascii="Calibri" w:hAnsi="Calibri" w:cs="Calibri"/>
              </w:rPr>
              <w:t>Revised Planned Closing Date</w:t>
            </w:r>
          </w:p>
        </w:tc>
        <w:tc>
          <w:tcPr>
            <w:tcW w:w="2499" w:type="dxa"/>
            <w:vAlign w:val="center"/>
          </w:tcPr>
          <w:p w14:paraId="7C9C987D" w14:textId="77777777" w:rsidR="007C13D1" w:rsidRDefault="007C13D1" w:rsidP="00C07A0A">
            <w:pPr>
              <w:jc w:val="right"/>
              <w:rPr>
                <w:rFonts w:ascii="Calibri" w:hAnsi="Calibri" w:cs="Calibri"/>
              </w:rPr>
            </w:pPr>
            <w:r>
              <w:rPr>
                <w:rFonts w:ascii="Calibri" w:hAnsi="Calibri" w:cs="Calibri"/>
              </w:rPr>
              <w:t>Aug 22, 2024</w:t>
            </w:r>
          </w:p>
        </w:tc>
      </w:tr>
    </w:tbl>
    <w:p w14:paraId="374A4741" w14:textId="77777777" w:rsidR="007C13D1" w:rsidRDefault="007C13D1" w:rsidP="00C07A0A">
      <w:pPr>
        <w:pStyle w:val="Heading4"/>
        <w:rPr>
          <w:rFonts w:ascii="Calibri" w:hAnsi="Calibri" w:cs="Calibri"/>
        </w:rPr>
      </w:pPr>
    </w:p>
    <w:p w14:paraId="75070D74" w14:textId="587C6562" w:rsidR="002B060A" w:rsidRDefault="006040A7" w:rsidP="00C07A0A">
      <w:pPr>
        <w:pStyle w:val="Heading4"/>
        <w:rPr>
          <w:rFonts w:ascii="Calibri" w:hAnsi="Calibri" w:cs="Calibri"/>
        </w:rPr>
      </w:pPr>
      <w:r>
        <w:rPr>
          <w:rFonts w:ascii="Calibri" w:hAnsi="Calibri" w:cs="Calibri"/>
        </w:rPr>
        <w:t>Theory of Change</w:t>
      </w:r>
    </w:p>
    <w:p w14:paraId="75070D75" w14:textId="77777777" w:rsidR="002B060A" w:rsidRDefault="006040A7" w:rsidP="00C07A0A">
      <w:pPr>
        <w:pStyle w:val="ListParagraph"/>
        <w:ind w:left="0"/>
        <w:jc w:val="both"/>
        <w:rPr>
          <w:rFonts w:ascii="Calibri" w:eastAsiaTheme="minorEastAsia" w:hAnsi="Calibri" w:cs="Calibri"/>
          <w:lang w:eastAsia="en-AU"/>
        </w:rPr>
      </w:pPr>
      <w:r>
        <w:rPr>
          <w:rFonts w:ascii="Calibri" w:eastAsiaTheme="minorEastAsia" w:hAnsi="Calibri" w:cs="Calibri"/>
          <w:bCs/>
          <w:lang w:eastAsia="en-AU"/>
        </w:rPr>
        <w:t>The project was designed</w:t>
      </w:r>
      <w:r>
        <w:rPr>
          <w:rFonts w:ascii="Calibri" w:eastAsiaTheme="minorEastAsia" w:hAnsi="Calibri" w:cs="Calibri"/>
          <w:lang w:eastAsia="en-AU"/>
        </w:rPr>
        <w:t xml:space="preserve"> to increase the capacity of national health systems and institutions, and sub-level actors, to respond to and manage long-term climate-sensitive health risks in six Asian LDCs. </w:t>
      </w:r>
    </w:p>
    <w:p w14:paraId="75070D76" w14:textId="77777777" w:rsidR="002B060A" w:rsidRDefault="002B060A" w:rsidP="00C07A0A">
      <w:pPr>
        <w:pStyle w:val="ListParagraph"/>
        <w:ind w:left="0"/>
        <w:jc w:val="both"/>
        <w:rPr>
          <w:rFonts w:ascii="Calibri" w:eastAsiaTheme="minorEastAsia" w:hAnsi="Calibri" w:cs="Calibri"/>
          <w:lang w:eastAsia="en-AU"/>
        </w:rPr>
      </w:pPr>
    </w:p>
    <w:p w14:paraId="75070D77" w14:textId="77777777" w:rsidR="002B060A" w:rsidRDefault="006040A7" w:rsidP="00C07A0A">
      <w:pPr>
        <w:pStyle w:val="ListParagraph"/>
        <w:ind w:left="0"/>
        <w:jc w:val="both"/>
        <w:rPr>
          <w:rFonts w:ascii="Calibri" w:eastAsiaTheme="minorEastAsia" w:hAnsi="Calibri" w:cs="Calibri"/>
          <w:lang w:eastAsia="en-AU"/>
        </w:rPr>
      </w:pPr>
      <w:r>
        <w:rPr>
          <w:rFonts w:ascii="Calibri" w:eastAsiaTheme="minorEastAsia" w:hAnsi="Calibri" w:cs="Calibri"/>
          <w:lang w:eastAsia="en-AU"/>
        </w:rPr>
        <w:t>Key elements outlined in the Theory of Change diagram (</w:t>
      </w:r>
      <w:r>
        <w:rPr>
          <w:rFonts w:ascii="Calibri" w:eastAsiaTheme="minorEastAsia" w:hAnsi="Calibri" w:cs="Calibri"/>
          <w:b/>
          <w:lang w:eastAsia="en-AU"/>
        </w:rPr>
        <w:t>Figure 3</w:t>
      </w:r>
      <w:r>
        <w:rPr>
          <w:rFonts w:ascii="Calibri" w:eastAsiaTheme="minorEastAsia" w:hAnsi="Calibri" w:cs="Calibri"/>
          <w:lang w:eastAsia="en-AU"/>
        </w:rPr>
        <w:t>) include:</w:t>
      </w:r>
    </w:p>
    <w:p w14:paraId="75070D78" w14:textId="77777777" w:rsidR="002B060A" w:rsidRDefault="006040A7" w:rsidP="00C07A0A">
      <w:pPr>
        <w:pStyle w:val="ListParagraph"/>
        <w:numPr>
          <w:ilvl w:val="0"/>
          <w:numId w:val="34"/>
        </w:numPr>
        <w:jc w:val="both"/>
        <w:rPr>
          <w:rFonts w:ascii="Calibri" w:eastAsiaTheme="minorEastAsia" w:hAnsi="Calibri" w:cs="Calibri"/>
          <w:lang w:eastAsia="en-AU"/>
        </w:rPr>
      </w:pPr>
      <w:r>
        <w:rPr>
          <w:rFonts w:ascii="Calibri" w:eastAsiaTheme="minorEastAsia" w:hAnsi="Calibri" w:cs="Calibri"/>
          <w:b/>
          <w:lang w:eastAsia="en-AU"/>
        </w:rPr>
        <w:t>Innovative and integrative approach</w:t>
      </w:r>
      <w:r>
        <w:rPr>
          <w:rFonts w:ascii="Calibri" w:eastAsiaTheme="minorEastAsia" w:hAnsi="Calibri" w:cs="Calibri"/>
          <w:lang w:eastAsia="en-AU"/>
        </w:rPr>
        <w:t>: The project builds on existing health sector experience in managing climate-sensitive health outcomes without prior climate change considerations. It also aims to integrate climate change adaptation activities into existing portfolios, such as in disaster risk management, avoiding parallel/vertical interventions and ‘mainstreaming’ climate adaptation and risks into climate-sensitive health programs.</w:t>
      </w:r>
    </w:p>
    <w:p w14:paraId="75070D79" w14:textId="77777777" w:rsidR="002B060A" w:rsidRDefault="002B060A" w:rsidP="00C07A0A">
      <w:pPr>
        <w:pStyle w:val="ListParagraph"/>
        <w:jc w:val="both"/>
        <w:rPr>
          <w:rFonts w:ascii="Calibri" w:eastAsiaTheme="minorEastAsia" w:hAnsi="Calibri" w:cs="Calibri"/>
          <w:lang w:eastAsia="en-AU"/>
        </w:rPr>
      </w:pPr>
    </w:p>
    <w:p w14:paraId="75070D7A" w14:textId="77777777" w:rsidR="002B060A" w:rsidRDefault="006040A7" w:rsidP="00C07A0A">
      <w:pPr>
        <w:pStyle w:val="ListParagraph"/>
        <w:numPr>
          <w:ilvl w:val="0"/>
          <w:numId w:val="34"/>
        </w:numPr>
        <w:jc w:val="both"/>
        <w:rPr>
          <w:rFonts w:ascii="Calibri" w:eastAsiaTheme="minorEastAsia" w:hAnsi="Calibri" w:cs="Calibri"/>
          <w:lang w:eastAsia="en-AU"/>
        </w:rPr>
      </w:pPr>
      <w:r>
        <w:rPr>
          <w:rFonts w:ascii="Calibri" w:eastAsiaTheme="minorEastAsia" w:hAnsi="Calibri" w:cs="Calibri"/>
          <w:b/>
          <w:bCs/>
          <w:lang w:eastAsia="en-AU"/>
        </w:rPr>
        <w:t>Strengthening institutional</w:t>
      </w:r>
      <w:r>
        <w:rPr>
          <w:rFonts w:ascii="Calibri" w:eastAsiaTheme="minorEastAsia" w:hAnsi="Calibri" w:cs="Calibri"/>
          <w:b/>
          <w:lang w:eastAsia="en-AU"/>
        </w:rPr>
        <w:t xml:space="preserve"> capacity:</w:t>
      </w:r>
      <w:r>
        <w:rPr>
          <w:rFonts w:ascii="Calibri" w:eastAsiaTheme="minorEastAsia" w:hAnsi="Calibri" w:cs="Calibri"/>
          <w:lang w:eastAsia="en-AU"/>
        </w:rPr>
        <w:t xml:space="preserve"> By prioritising climate change in strategic health plans and modifying relevant standards, the MOH will incorporate managing climate-related health risks into their core activities. This institutionalisation ensures the initiative's longevity and influence on health norms. </w:t>
      </w:r>
    </w:p>
    <w:p w14:paraId="75070D7B" w14:textId="77777777" w:rsidR="002B060A" w:rsidRDefault="002B060A" w:rsidP="00C07A0A">
      <w:pPr>
        <w:pStyle w:val="ListParagraph"/>
        <w:rPr>
          <w:rFonts w:ascii="Calibri" w:eastAsiaTheme="minorEastAsia" w:hAnsi="Calibri" w:cs="Calibri"/>
          <w:lang w:eastAsia="en-AU"/>
        </w:rPr>
      </w:pPr>
    </w:p>
    <w:p w14:paraId="75070D7C" w14:textId="77777777" w:rsidR="002B060A" w:rsidRDefault="006040A7" w:rsidP="00C07A0A">
      <w:pPr>
        <w:pStyle w:val="ListParagraph"/>
        <w:numPr>
          <w:ilvl w:val="0"/>
          <w:numId w:val="34"/>
        </w:numPr>
        <w:jc w:val="both"/>
        <w:rPr>
          <w:rFonts w:ascii="Calibri" w:eastAsiaTheme="minorEastAsia" w:hAnsi="Calibri" w:cs="Calibri"/>
          <w:lang w:eastAsia="en-AU"/>
        </w:rPr>
      </w:pPr>
      <w:r>
        <w:rPr>
          <w:rFonts w:ascii="Calibri" w:eastAsiaTheme="minorEastAsia" w:hAnsi="Calibri" w:cs="Calibri"/>
          <w:b/>
          <w:lang w:eastAsia="en-AU"/>
        </w:rPr>
        <w:t>Regional collaboration and community of practice:</w:t>
      </w:r>
      <w:r>
        <w:rPr>
          <w:rFonts w:ascii="Calibri" w:eastAsiaTheme="minorEastAsia" w:hAnsi="Calibri" w:cs="Calibri"/>
          <w:lang w:eastAsia="en-AU"/>
        </w:rPr>
        <w:t xml:space="preserve"> A regional approach will foster catalytic partnerships and systematise lessons and best practices across countries. This will involve developing technical guidelines, manuals, and toolkits that can be replicated and scaled up regionally. Training, knowledge exchange and networking activities within and between countries will foster a network of skilled adaptation professionals and practitioners, able to support climate resilience in their ongoing work and future programmes. </w:t>
      </w:r>
    </w:p>
    <w:p w14:paraId="75070D7D" w14:textId="77777777" w:rsidR="002B060A" w:rsidRDefault="002B060A" w:rsidP="00C07A0A">
      <w:pPr>
        <w:rPr>
          <w:rFonts w:ascii="Calibri" w:eastAsiaTheme="majorEastAsia" w:hAnsi="Calibri" w:cs="Calibri"/>
          <w:lang w:eastAsia="en-US"/>
        </w:rPr>
      </w:pPr>
    </w:p>
    <w:p w14:paraId="75070D7E" w14:textId="77777777" w:rsidR="002B060A" w:rsidRDefault="002B060A" w:rsidP="00C07A0A">
      <w:pPr>
        <w:rPr>
          <w:rFonts w:ascii="Calibri" w:eastAsiaTheme="minorEastAsia" w:hAnsi="Calibri" w:cs="Calibri"/>
          <w:lang w:eastAsia="en-US"/>
        </w:rPr>
      </w:pPr>
    </w:p>
    <w:p w14:paraId="5D6D15FF" w14:textId="77777777" w:rsidR="00226ADC" w:rsidRPr="003445E8" w:rsidRDefault="00226ADC" w:rsidP="00C07A0A">
      <w:pPr>
        <w:jc w:val="both"/>
        <w:rPr>
          <w:rFonts w:ascii="Calibri" w:eastAsiaTheme="minorEastAsia" w:hAnsi="Calibri" w:cs="Calibri"/>
          <w:lang w:eastAsia="en-AU"/>
        </w:rPr>
      </w:pPr>
    </w:p>
    <w:p w14:paraId="75070D7F" w14:textId="77777777" w:rsidR="002B060A" w:rsidRDefault="002B060A" w:rsidP="00C07A0A">
      <w:pPr>
        <w:pStyle w:val="Heading4"/>
        <w:rPr>
          <w:rFonts w:ascii="Calibri" w:eastAsiaTheme="minorEastAsia" w:hAnsi="Calibri" w:cs="Calibri"/>
          <w:lang w:eastAsia="en-AU"/>
        </w:rPr>
        <w:sectPr w:rsidR="002B060A" w:rsidSect="00CB0E8D">
          <w:headerReference w:type="default" r:id="rId13"/>
          <w:footerReference w:type="default" r:id="rId14"/>
          <w:footerReference w:type="first" r:id="rId15"/>
          <w:pgSz w:w="11906" w:h="16838"/>
          <w:pgMar w:top="1440" w:right="1440" w:bottom="1440" w:left="1440" w:header="708" w:footer="708" w:gutter="0"/>
          <w:cols w:space="708"/>
          <w:docGrid w:linePitch="360"/>
        </w:sectPr>
      </w:pPr>
    </w:p>
    <w:p w14:paraId="75070D80" w14:textId="77777777" w:rsidR="002B060A" w:rsidRDefault="006040A7" w:rsidP="00C07A0A">
      <w:pPr>
        <w:pStyle w:val="paragraph"/>
        <w:suppressAutoHyphens/>
        <w:spacing w:before="0" w:beforeAutospacing="0" w:after="0" w:afterAutospacing="0"/>
        <w:textAlignment w:val="baseline"/>
        <w:rPr>
          <w:rStyle w:val="eop"/>
          <w:rFonts w:ascii="Calibri" w:eastAsiaTheme="majorEastAsia" w:hAnsi="Calibri" w:cs="Calibri"/>
          <w:b/>
          <w:color w:val="000000" w:themeColor="text1"/>
        </w:rPr>
      </w:pPr>
      <w:r>
        <w:rPr>
          <w:rStyle w:val="eop"/>
          <w:rFonts w:ascii="Calibri" w:eastAsiaTheme="majorEastAsia" w:hAnsi="Calibri" w:cs="Calibri"/>
          <w:b/>
          <w:color w:val="000000" w:themeColor="text1"/>
        </w:rPr>
        <w:lastRenderedPageBreak/>
        <w:t xml:space="preserve">Figure </w:t>
      </w:r>
      <w:r>
        <w:rPr>
          <w:rStyle w:val="eop"/>
          <w:rFonts w:ascii="Calibri" w:eastAsiaTheme="majorEastAsia" w:hAnsi="Calibri" w:cs="Calibri"/>
          <w:b/>
          <w:bCs/>
          <w:color w:val="000000" w:themeColor="text1"/>
        </w:rPr>
        <w:t>3</w:t>
      </w:r>
      <w:r>
        <w:rPr>
          <w:rStyle w:val="eop"/>
          <w:rFonts w:ascii="Calibri" w:eastAsiaTheme="majorEastAsia" w:hAnsi="Calibri" w:cs="Calibri"/>
          <w:b/>
          <w:color w:val="000000" w:themeColor="text1"/>
        </w:rPr>
        <w:t xml:space="preserve">: Theory of Change – Building Resilience of Health Systems in Asian LDCs to Climate Change </w:t>
      </w:r>
    </w:p>
    <w:p w14:paraId="3CF1B79F" w14:textId="77777777" w:rsidR="00226ADC" w:rsidRPr="003445E8" w:rsidRDefault="00226ADC" w:rsidP="00C07A0A">
      <w:pPr>
        <w:pStyle w:val="paragraph"/>
        <w:suppressAutoHyphens/>
        <w:spacing w:before="0" w:beforeAutospacing="0" w:after="0" w:afterAutospacing="0"/>
        <w:textAlignment w:val="baseline"/>
        <w:rPr>
          <w:rStyle w:val="eop"/>
          <w:rFonts w:ascii="Calibri" w:eastAsiaTheme="majorEastAsia" w:hAnsi="Calibri" w:cs="Calibri"/>
          <w:color w:val="000000" w:themeColor="text1"/>
        </w:rPr>
        <w:sectPr w:rsidR="00226ADC" w:rsidRPr="003445E8" w:rsidSect="00107A58">
          <w:pgSz w:w="16838" w:h="11906" w:orient="landscape"/>
          <w:pgMar w:top="720" w:right="720" w:bottom="720" w:left="720" w:header="708" w:footer="708" w:gutter="0"/>
          <w:cols w:space="708"/>
          <w:docGrid w:linePitch="360"/>
        </w:sectPr>
      </w:pPr>
      <w:r w:rsidRPr="003445E8">
        <w:rPr>
          <w:rFonts w:ascii="Calibri" w:eastAsiaTheme="majorEastAsia" w:hAnsi="Calibri" w:cs="Calibri"/>
          <w:noProof/>
          <w:color w:val="094183"/>
          <w14:ligatures w14:val="standardContextual"/>
        </w:rPr>
        <w:drawing>
          <wp:inline distT="0" distB="0" distL="0" distR="0" wp14:anchorId="201E1C64" wp14:editId="3E33E2B3">
            <wp:extent cx="8505825" cy="5625628"/>
            <wp:effectExtent l="0" t="0" r="0" b="0"/>
            <wp:docPr id="179247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70524" name="Picture 17924705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25283" cy="5638497"/>
                    </a:xfrm>
                    <a:prstGeom prst="rect">
                      <a:avLst/>
                    </a:prstGeom>
                  </pic:spPr>
                </pic:pic>
              </a:graphicData>
            </a:graphic>
          </wp:inline>
        </w:drawing>
      </w:r>
    </w:p>
    <w:p w14:paraId="75070D82" w14:textId="77777777" w:rsidR="002B060A" w:rsidRDefault="006040A7" w:rsidP="00C07A0A">
      <w:pPr>
        <w:pStyle w:val="Heading4"/>
        <w:rPr>
          <w:rFonts w:ascii="Calibri" w:hAnsi="Calibri" w:cs="Calibri"/>
        </w:rPr>
      </w:pPr>
      <w:r>
        <w:rPr>
          <w:rFonts w:ascii="Calibri" w:hAnsi="Calibri" w:cs="Calibri"/>
        </w:rPr>
        <w:lastRenderedPageBreak/>
        <w:t>Expected Results</w:t>
      </w:r>
    </w:p>
    <w:p w14:paraId="75070D83" w14:textId="77777777" w:rsidR="002B060A" w:rsidRDefault="006040A7" w:rsidP="00C07A0A">
      <w:pPr>
        <w:jc w:val="both"/>
        <w:textAlignment w:val="baseline"/>
        <w:rPr>
          <w:rFonts w:ascii="Calibri" w:eastAsiaTheme="minorEastAsia" w:hAnsi="Calibri" w:cs="Calibri"/>
          <w:lang w:eastAsia="en-AU"/>
        </w:rPr>
      </w:pPr>
      <w:r>
        <w:rPr>
          <w:rFonts w:ascii="Calibri" w:eastAsiaTheme="minorEastAsia" w:hAnsi="Calibri" w:cs="Calibri"/>
          <w:lang w:eastAsia="en-AU"/>
        </w:rPr>
        <w:t xml:space="preserve">The expected project final targets are: </w:t>
      </w:r>
    </w:p>
    <w:p w14:paraId="75070D84" w14:textId="77777777" w:rsidR="002B060A" w:rsidRDefault="002B060A" w:rsidP="00C07A0A">
      <w:pPr>
        <w:jc w:val="both"/>
        <w:textAlignment w:val="baseline"/>
        <w:rPr>
          <w:rFonts w:ascii="Calibri" w:eastAsiaTheme="minorEastAsia" w:hAnsi="Calibri" w:cs="Calibri"/>
          <w:lang w:eastAsia="en-AU"/>
        </w:rPr>
      </w:pPr>
    </w:p>
    <w:p w14:paraId="75070D85" w14:textId="77777777" w:rsidR="002B060A" w:rsidRDefault="006040A7" w:rsidP="00C07A0A">
      <w:pPr>
        <w:pStyle w:val="ListParagraph"/>
        <w:numPr>
          <w:ilvl w:val="1"/>
          <w:numId w:val="33"/>
        </w:numPr>
        <w:ind w:left="709" w:hanging="142"/>
        <w:jc w:val="both"/>
        <w:textAlignment w:val="baseline"/>
        <w:rPr>
          <w:rFonts w:ascii="Calibri" w:eastAsiaTheme="minorEastAsia" w:hAnsi="Calibri" w:cs="Calibri"/>
          <w:lang w:eastAsia="en-AU"/>
        </w:rPr>
      </w:pPr>
      <w:r>
        <w:rPr>
          <w:rFonts w:ascii="Calibri" w:eastAsiaTheme="minorEastAsia" w:hAnsi="Calibri" w:cs="Calibri"/>
          <w:lang w:eastAsia="en-AU"/>
        </w:rPr>
        <w:t>All countries should have developed HNAPs, preferably with links to ongoing NAP processes.</w:t>
      </w:r>
    </w:p>
    <w:p w14:paraId="75070D86" w14:textId="77777777" w:rsidR="002B060A" w:rsidRDefault="006040A7" w:rsidP="00C07A0A">
      <w:pPr>
        <w:pStyle w:val="ListParagraph"/>
        <w:numPr>
          <w:ilvl w:val="1"/>
          <w:numId w:val="33"/>
        </w:numPr>
        <w:ind w:left="709" w:hanging="142"/>
        <w:jc w:val="both"/>
        <w:textAlignment w:val="baseline"/>
        <w:rPr>
          <w:rFonts w:ascii="Calibri" w:eastAsiaTheme="minorEastAsia" w:hAnsi="Calibri" w:cs="Calibri"/>
          <w:lang w:eastAsia="en-AU"/>
        </w:rPr>
      </w:pPr>
      <w:r>
        <w:rPr>
          <w:rFonts w:ascii="Calibri" w:eastAsiaTheme="minorEastAsia" w:hAnsi="Calibri" w:cs="Calibri"/>
          <w:lang w:eastAsia="en-AU"/>
        </w:rPr>
        <w:t xml:space="preserve">All countries should have developed National Standards or guidelines for climate change and health systems. </w:t>
      </w:r>
    </w:p>
    <w:p w14:paraId="75070D87" w14:textId="77777777" w:rsidR="002B060A" w:rsidRDefault="006040A7" w:rsidP="00C07A0A">
      <w:pPr>
        <w:pStyle w:val="ListParagraph"/>
        <w:numPr>
          <w:ilvl w:val="1"/>
          <w:numId w:val="33"/>
        </w:numPr>
        <w:ind w:left="709" w:hanging="142"/>
        <w:jc w:val="both"/>
        <w:textAlignment w:val="baseline"/>
        <w:rPr>
          <w:rFonts w:ascii="Calibri" w:eastAsiaTheme="minorEastAsia" w:hAnsi="Calibri" w:cs="Calibri"/>
          <w:lang w:eastAsia="en-AU"/>
        </w:rPr>
      </w:pPr>
      <w:r>
        <w:rPr>
          <w:rFonts w:ascii="Calibri" w:eastAsiaTheme="minorEastAsia" w:hAnsi="Calibri" w:cs="Calibri"/>
          <w:lang w:eastAsia="en-AU"/>
        </w:rPr>
        <w:t xml:space="preserve">All countries should have supported capacity development activities for Ministry staff and for community members on climate change and health. </w:t>
      </w:r>
    </w:p>
    <w:p w14:paraId="75070D88" w14:textId="77777777" w:rsidR="002B060A" w:rsidRDefault="006040A7" w:rsidP="00C07A0A">
      <w:pPr>
        <w:pStyle w:val="ListParagraph"/>
        <w:numPr>
          <w:ilvl w:val="1"/>
          <w:numId w:val="33"/>
        </w:numPr>
        <w:ind w:left="709" w:hanging="142"/>
        <w:jc w:val="both"/>
        <w:textAlignment w:val="baseline"/>
        <w:rPr>
          <w:rFonts w:ascii="Calibri" w:eastAsiaTheme="minorEastAsia" w:hAnsi="Calibri" w:cs="Calibri"/>
          <w:lang w:eastAsia="en-AU"/>
        </w:rPr>
      </w:pPr>
      <w:r>
        <w:rPr>
          <w:rFonts w:ascii="Calibri" w:eastAsiaTheme="minorEastAsia" w:hAnsi="Calibri" w:cs="Calibri"/>
          <w:lang w:eastAsia="en-AU"/>
        </w:rPr>
        <w:t>All countries should have conducted vulnerability and adaptation (V&amp;A) assessments for current and future health risks</w:t>
      </w:r>
    </w:p>
    <w:p w14:paraId="75070D89" w14:textId="77777777" w:rsidR="002B060A" w:rsidRDefault="006040A7" w:rsidP="00C07A0A">
      <w:pPr>
        <w:pStyle w:val="ListParagraph"/>
        <w:numPr>
          <w:ilvl w:val="1"/>
          <w:numId w:val="33"/>
        </w:numPr>
        <w:ind w:left="709" w:hanging="142"/>
        <w:jc w:val="both"/>
        <w:textAlignment w:val="baseline"/>
        <w:rPr>
          <w:rFonts w:ascii="Calibri" w:eastAsiaTheme="minorEastAsia" w:hAnsi="Calibri" w:cs="Calibri"/>
          <w:lang w:eastAsia="en-AU"/>
        </w:rPr>
      </w:pPr>
      <w:r>
        <w:rPr>
          <w:rFonts w:ascii="Calibri" w:eastAsiaTheme="minorEastAsia" w:hAnsi="Calibri" w:cs="Calibri"/>
          <w:lang w:eastAsia="en-AU"/>
        </w:rPr>
        <w:t xml:space="preserve">Climate sensitive disease surveillance and early warning systems should have been piloted in most countries for a range of climate-sensitive diseases. Climate resilience in health service delivery enhanced, including through improved and more sustainable healthcare waste management practices, access to drinkable water in healthcare facilities, among others and disease control and prevention programmes strengthened to account of the effects of climate variability and change.  </w:t>
      </w:r>
    </w:p>
    <w:p w14:paraId="75070D8A" w14:textId="77777777" w:rsidR="002B060A" w:rsidRDefault="006040A7" w:rsidP="00C07A0A">
      <w:pPr>
        <w:pStyle w:val="ListParagraph"/>
        <w:numPr>
          <w:ilvl w:val="1"/>
          <w:numId w:val="33"/>
        </w:numPr>
        <w:ind w:left="709" w:hanging="142"/>
        <w:textAlignment w:val="baseline"/>
        <w:rPr>
          <w:rFonts w:ascii="Calibri" w:eastAsiaTheme="minorEastAsia" w:hAnsi="Calibri" w:cs="Calibri"/>
          <w:lang w:eastAsia="en-AU"/>
        </w:rPr>
      </w:pPr>
      <w:r>
        <w:rPr>
          <w:rFonts w:ascii="Calibri" w:eastAsiaTheme="minorEastAsia" w:hAnsi="Calibri" w:cs="Calibri"/>
          <w:lang w:eastAsia="en-AU"/>
        </w:rPr>
        <w:t xml:space="preserve">At the regional level, knowledge sharing, and exchange should have been promoted through regional meetings and training workshops. </w:t>
      </w:r>
    </w:p>
    <w:p w14:paraId="75070D8B"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156082" w:themeColor="accent1"/>
        </w:rPr>
      </w:pPr>
    </w:p>
    <w:p w14:paraId="75070D8C" w14:textId="77777777" w:rsidR="002B060A" w:rsidRDefault="006040A7" w:rsidP="00C07A0A">
      <w:pPr>
        <w:pStyle w:val="Heading4"/>
        <w:rPr>
          <w:rFonts w:ascii="Calibri" w:hAnsi="Calibri" w:cs="Calibri"/>
        </w:rPr>
      </w:pPr>
      <w:r>
        <w:rPr>
          <w:rFonts w:ascii="Calibri" w:hAnsi="Calibri" w:cs="Calibri"/>
        </w:rPr>
        <w:t>Main stakeholders: summary list </w:t>
      </w:r>
    </w:p>
    <w:tbl>
      <w:tblPr>
        <w:tblStyle w:val="TableGrid"/>
        <w:tblW w:w="0" w:type="auto"/>
        <w:tblLayout w:type="fixed"/>
        <w:tblLook w:val="06A0" w:firstRow="1" w:lastRow="0" w:firstColumn="1" w:lastColumn="0" w:noHBand="1" w:noVBand="1"/>
      </w:tblPr>
      <w:tblGrid>
        <w:gridCol w:w="9015"/>
      </w:tblGrid>
      <w:tr w:rsidR="002B060A" w14:paraId="75070D90" w14:textId="77777777" w:rsidTr="001071B4">
        <w:trPr>
          <w:trHeight w:val="300"/>
        </w:trPr>
        <w:tc>
          <w:tcPr>
            <w:tcW w:w="9015" w:type="dxa"/>
          </w:tcPr>
          <w:p w14:paraId="75070D8F"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Ministry of Health (Vector borne diseases, WASH, and Communicable Disease Departments)</w:t>
            </w:r>
          </w:p>
        </w:tc>
      </w:tr>
      <w:tr w:rsidR="002B060A" w14:paraId="75070D92" w14:textId="77777777" w:rsidTr="001071B4">
        <w:trPr>
          <w:trHeight w:val="300"/>
        </w:trPr>
        <w:tc>
          <w:tcPr>
            <w:tcW w:w="9015" w:type="dxa"/>
          </w:tcPr>
          <w:p w14:paraId="75070D91"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Ministry of Environment and/or Climate</w:t>
            </w:r>
          </w:p>
        </w:tc>
      </w:tr>
      <w:tr w:rsidR="002B060A" w14:paraId="75070D94" w14:textId="77777777" w:rsidTr="001071B4">
        <w:trPr>
          <w:trHeight w:val="300"/>
        </w:trPr>
        <w:tc>
          <w:tcPr>
            <w:tcW w:w="9015" w:type="dxa"/>
          </w:tcPr>
          <w:p w14:paraId="75070D93"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 xml:space="preserve">Selected provincial health departments </w:t>
            </w:r>
          </w:p>
        </w:tc>
      </w:tr>
      <w:tr w:rsidR="002B060A" w14:paraId="75070D96" w14:textId="77777777" w:rsidTr="001071B4">
        <w:trPr>
          <w:trHeight w:val="300"/>
        </w:trPr>
        <w:tc>
          <w:tcPr>
            <w:tcW w:w="9015" w:type="dxa"/>
          </w:tcPr>
          <w:p w14:paraId="75070D95"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UNDP (HQ, CO)</w:t>
            </w:r>
          </w:p>
        </w:tc>
      </w:tr>
      <w:tr w:rsidR="002B060A" w14:paraId="75070D98" w14:textId="77777777" w:rsidTr="001071B4">
        <w:trPr>
          <w:trHeight w:val="300"/>
        </w:trPr>
        <w:tc>
          <w:tcPr>
            <w:tcW w:w="9015" w:type="dxa"/>
          </w:tcPr>
          <w:p w14:paraId="75070D97"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WHO (HQ, WPR, SEAR, CO)</w:t>
            </w:r>
          </w:p>
        </w:tc>
      </w:tr>
      <w:tr w:rsidR="002B060A" w14:paraId="75070D9A" w14:textId="77777777" w:rsidTr="001071B4">
        <w:trPr>
          <w:trHeight w:val="300"/>
        </w:trPr>
        <w:tc>
          <w:tcPr>
            <w:tcW w:w="9015" w:type="dxa"/>
          </w:tcPr>
          <w:p w14:paraId="75070D99"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Healthcare service providers (Hospitals and healthcare facilities [HCF])</w:t>
            </w:r>
          </w:p>
        </w:tc>
      </w:tr>
      <w:tr w:rsidR="002B060A" w14:paraId="75070D9C" w14:textId="77777777" w:rsidTr="001071B4">
        <w:trPr>
          <w:trHeight w:val="300"/>
        </w:trPr>
        <w:tc>
          <w:tcPr>
            <w:tcW w:w="9015" w:type="dxa"/>
          </w:tcPr>
          <w:p w14:paraId="75070D9B"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 xml:space="preserve">Communities </w:t>
            </w:r>
          </w:p>
        </w:tc>
      </w:tr>
      <w:tr w:rsidR="002B060A" w14:paraId="75070D9E" w14:textId="77777777" w:rsidTr="001071B4">
        <w:trPr>
          <w:trHeight w:val="300"/>
        </w:trPr>
        <w:tc>
          <w:tcPr>
            <w:tcW w:w="9015" w:type="dxa"/>
          </w:tcPr>
          <w:p w14:paraId="75070D9D"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 xml:space="preserve">Non-government and civil society organisations </w:t>
            </w:r>
          </w:p>
        </w:tc>
      </w:tr>
      <w:tr w:rsidR="002B060A" w14:paraId="75070DA0" w14:textId="77777777" w:rsidTr="001071B4">
        <w:trPr>
          <w:trHeight w:val="300"/>
        </w:trPr>
        <w:tc>
          <w:tcPr>
            <w:tcW w:w="9015" w:type="dxa"/>
          </w:tcPr>
          <w:p w14:paraId="75070D9F"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 xml:space="preserve">Research institutions / academia </w:t>
            </w:r>
          </w:p>
        </w:tc>
      </w:tr>
      <w:tr w:rsidR="002B060A" w14:paraId="75070DA2" w14:textId="77777777" w:rsidTr="001071B4">
        <w:trPr>
          <w:trHeight w:val="300"/>
        </w:trPr>
        <w:tc>
          <w:tcPr>
            <w:tcW w:w="9015" w:type="dxa"/>
          </w:tcPr>
          <w:p w14:paraId="75070DA1" w14:textId="77777777" w:rsidR="002B060A" w:rsidRDefault="006040A7" w:rsidP="00C07A0A">
            <w:pPr>
              <w:pStyle w:val="paragraph"/>
              <w:suppressAutoHyphens/>
              <w:rPr>
                <w:rStyle w:val="eop"/>
                <w:rFonts w:ascii="Calibri" w:eastAsiaTheme="majorEastAsia" w:hAnsi="Calibri" w:cs="Calibri"/>
                <w:color w:val="000000" w:themeColor="text1"/>
                <w:sz w:val="22"/>
                <w:szCs w:val="22"/>
              </w:rPr>
            </w:pPr>
            <w:r>
              <w:rPr>
                <w:rStyle w:val="eop"/>
                <w:rFonts w:ascii="Calibri" w:eastAsiaTheme="majorEastAsia" w:hAnsi="Calibri" w:cs="Calibri"/>
                <w:color w:val="000000" w:themeColor="text1"/>
                <w:sz w:val="22"/>
                <w:szCs w:val="22"/>
              </w:rPr>
              <w:t>Other relevant ministries and departments (e.g. agriculture, transportation, urban planning, rural development, water supply)</w:t>
            </w:r>
          </w:p>
        </w:tc>
      </w:tr>
    </w:tbl>
    <w:p w14:paraId="75070DA3" w14:textId="77777777" w:rsidR="002B060A" w:rsidRDefault="002B060A" w:rsidP="00C07A0A">
      <w:pPr>
        <w:pStyle w:val="paragraph"/>
        <w:suppressAutoHyphens/>
        <w:spacing w:before="0" w:beforeAutospacing="0" w:after="0" w:afterAutospacing="0"/>
        <w:rPr>
          <w:rStyle w:val="eop"/>
          <w:rFonts w:ascii="Calibri" w:eastAsiaTheme="majorEastAsia" w:hAnsi="Calibri" w:cs="Calibri"/>
          <w:color w:val="156082" w:themeColor="accent1"/>
        </w:rPr>
      </w:pPr>
    </w:p>
    <w:p w14:paraId="18EE9444" w14:textId="77777777" w:rsidR="003B5BCB" w:rsidRDefault="003B5BCB" w:rsidP="00C07A0A">
      <w:pPr>
        <w:pStyle w:val="Heading3"/>
        <w:numPr>
          <w:ilvl w:val="1"/>
          <w:numId w:val="29"/>
        </w:numPr>
        <w:tabs>
          <w:tab w:val="num" w:pos="0"/>
        </w:tabs>
        <w:ind w:left="1440" w:hanging="360"/>
        <w:rPr>
          <w:rFonts w:ascii="Calibri" w:hAnsi="Calibri" w:cs="Calibri"/>
          <w:b/>
        </w:rPr>
      </w:pPr>
      <w:bookmarkStart w:id="24" w:name="_Toc173429975"/>
      <w:r>
        <w:rPr>
          <w:rFonts w:ascii="Calibri" w:hAnsi="Calibri" w:cs="Calibri"/>
          <w:b/>
        </w:rPr>
        <w:t>National contexts</w:t>
      </w:r>
      <w:bookmarkEnd w:id="24"/>
    </w:p>
    <w:p w14:paraId="13BABBF7" w14:textId="77777777" w:rsidR="003B5BCB" w:rsidRPr="00A86E8B" w:rsidRDefault="003B5BCB" w:rsidP="00C07A0A">
      <w:pPr>
        <w:pStyle w:val="Heading4"/>
        <w:rPr>
          <w:rFonts w:ascii="Calibri" w:hAnsi="Calibri" w:cs="Calibri"/>
          <w:b/>
          <w:bCs/>
        </w:rPr>
      </w:pPr>
      <w:r w:rsidRPr="00A86E8B">
        <w:rPr>
          <w:rFonts w:ascii="Calibri" w:hAnsi="Calibri" w:cs="Calibri"/>
          <w:b/>
          <w:bCs/>
        </w:rPr>
        <w:t>Bangladesh</w:t>
      </w:r>
    </w:p>
    <w:p w14:paraId="7DC99C3D" w14:textId="77777777" w:rsidR="003B5BCB" w:rsidRDefault="003B5BCB" w:rsidP="00C07A0A">
      <w:pPr>
        <w:jc w:val="both"/>
        <w:textAlignment w:val="baseline"/>
        <w:rPr>
          <w:rFonts w:ascii="Calibri" w:eastAsia="Calibri" w:hAnsi="Calibri" w:cs="Calibri"/>
          <w:color w:val="000000" w:themeColor="text1"/>
        </w:rPr>
      </w:pPr>
      <w:r>
        <w:rPr>
          <w:rFonts w:ascii="Calibri" w:eastAsia="Calibri" w:hAnsi="Calibri" w:cs="Calibri"/>
          <w:color w:val="000000" w:themeColor="text1"/>
        </w:rPr>
        <w:t>Bangladesh, with its high population density, spans the deltaic plains of the Ganges, Brahmaputra, and Meghna rivers. The country has a subtropical monsoon climate with significant seasonal variations in rainfall, high temperatures, and humidity. Bangladesh is already experiencing climate change impacts such as temperature extremes, intensified rainfall, floods, cyclones, and droughts. Climate change is likely to cause increased malnutrition and poor child growth, more diarrheal disease, higher mortality and morbidity from natural disasters, more frequent cardiorespiratory diseases, psychosocial issues from population displacement, and altered distribution of infectious diseases like dengue, chikungunya, and malaria.</w:t>
      </w:r>
    </w:p>
    <w:p w14:paraId="098ECEE4" w14:textId="77777777" w:rsidR="00A86E8B" w:rsidRDefault="00A86E8B" w:rsidP="00C07A0A">
      <w:pPr>
        <w:jc w:val="both"/>
        <w:textAlignment w:val="baseline"/>
        <w:rPr>
          <w:rFonts w:ascii="Calibri" w:eastAsia="Calibri" w:hAnsi="Calibri" w:cs="Calibri"/>
          <w:color w:val="000000" w:themeColor="text1"/>
        </w:rPr>
      </w:pPr>
    </w:p>
    <w:p w14:paraId="3A7BC220" w14:textId="77777777" w:rsidR="003B5BCB" w:rsidRDefault="003B5BCB" w:rsidP="00C07A0A">
      <w:pPr>
        <w:pStyle w:val="paragraph"/>
        <w:suppressAutoHyphens/>
        <w:spacing w:before="0" w:beforeAutospacing="0" w:after="0" w:afterAutospacing="0"/>
        <w:textAlignment w:val="baseline"/>
        <w:rPr>
          <w:rStyle w:val="eop"/>
          <w:rFonts w:ascii="Calibri" w:eastAsiaTheme="majorEastAsia" w:hAnsi="Calibri" w:cs="Calibri"/>
          <w:color w:val="156082" w:themeColor="accent1"/>
        </w:rPr>
      </w:pPr>
      <w:r>
        <w:rPr>
          <w:rStyle w:val="eop"/>
          <w:rFonts w:ascii="Calibri" w:eastAsiaTheme="majorEastAsia" w:hAnsi="Calibri" w:cs="Calibri"/>
          <w:color w:val="156082" w:themeColor="accent1"/>
        </w:rPr>
        <w:lastRenderedPageBreak/>
        <w:t>Climate and health policy context</w:t>
      </w:r>
    </w:p>
    <w:p w14:paraId="38D32A1B" w14:textId="42F8AE3D" w:rsidR="003B5BCB" w:rsidRDefault="003B5BCB" w:rsidP="00C07A0A">
      <w:pPr>
        <w:jc w:val="both"/>
        <w:textAlignment w:val="baseline"/>
        <w:rPr>
          <w:rFonts w:ascii="Calibri" w:hAnsi="Calibri" w:cs="Calibri"/>
        </w:rPr>
      </w:pPr>
      <w:r w:rsidRPr="15E4831D">
        <w:rPr>
          <w:rFonts w:ascii="Calibri" w:eastAsia="Calibri" w:hAnsi="Calibri" w:cs="Calibri"/>
          <w:color w:val="000000" w:themeColor="text1"/>
        </w:rPr>
        <w:t>The Government of Bangladesh has taken steps to address the issue of climate change vulnerability by developing three key policy documents: the National Adaptation Programme of Action (NAPA), The National Adaptation Plan (NAP) and the Bangladesh Climate Change Strategy and Action. The current priorities outlined in these documents include water resource management, disaster risk reduction and management, agricultural management, and coastal zone management. Additionally, Bangladesh has developed the following plans related to climate change: Bangladesh Climate Change Strategy and Action plan (2009), Climate Change Trust Fund Policy (2009) and Act (2010), Perspective Plan and Five-Year Plan, and Annual Development Plan.</w:t>
      </w:r>
    </w:p>
    <w:p w14:paraId="1803178A" w14:textId="77777777" w:rsidR="003B5BCB" w:rsidRDefault="003B5BCB" w:rsidP="00C07A0A">
      <w:pPr>
        <w:jc w:val="both"/>
        <w:textAlignment w:val="baseline"/>
        <w:rPr>
          <w:rFonts w:ascii="Calibri" w:eastAsia="Calibri" w:hAnsi="Calibri" w:cs="Calibri"/>
          <w:color w:val="000000" w:themeColor="text1"/>
        </w:rPr>
      </w:pPr>
    </w:p>
    <w:p w14:paraId="49AAD8C8" w14:textId="77777777" w:rsidR="003B5BCB" w:rsidRDefault="003B5BCB" w:rsidP="00C07A0A">
      <w:pPr>
        <w:pStyle w:val="paragraph"/>
        <w:suppressAutoHyphens/>
        <w:spacing w:before="0" w:beforeAutospacing="0" w:after="0" w:afterAutospacing="0"/>
        <w:textAlignment w:val="baseline"/>
        <w:rPr>
          <w:rFonts w:ascii="Calibri" w:eastAsiaTheme="majorEastAsia" w:hAnsi="Calibri" w:cs="Calibri"/>
          <w:color w:val="156082" w:themeColor="accent1"/>
        </w:rPr>
      </w:pPr>
      <w:r>
        <w:rPr>
          <w:rStyle w:val="eop"/>
          <w:rFonts w:ascii="Calibri" w:eastAsiaTheme="majorEastAsia" w:hAnsi="Calibri" w:cs="Calibri"/>
          <w:color w:val="156082" w:themeColor="accent1"/>
        </w:rPr>
        <w:t xml:space="preserve">Key stakeholders </w:t>
      </w:r>
    </w:p>
    <w:tbl>
      <w:tblPr>
        <w:tblStyle w:val="TableGrid"/>
        <w:tblW w:w="0" w:type="auto"/>
        <w:tblLayout w:type="fixed"/>
        <w:tblLook w:val="06A0" w:firstRow="1" w:lastRow="0" w:firstColumn="1" w:lastColumn="0" w:noHBand="1" w:noVBand="1"/>
      </w:tblPr>
      <w:tblGrid>
        <w:gridCol w:w="9015"/>
      </w:tblGrid>
      <w:tr w:rsidR="003B5BCB" w14:paraId="4DC45D38" w14:textId="77777777" w:rsidTr="008432F3">
        <w:trPr>
          <w:trHeight w:val="300"/>
        </w:trPr>
        <w:tc>
          <w:tcPr>
            <w:tcW w:w="9015" w:type="dxa"/>
          </w:tcPr>
          <w:p w14:paraId="3A4B4DB8" w14:textId="77777777" w:rsidR="003B5BCB"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 xml:space="preserve">Ministry of Health and Family Welfare </w:t>
            </w:r>
          </w:p>
          <w:p w14:paraId="75F1563F" w14:textId="59413665" w:rsidR="003B5BCB"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 xml:space="preserve">Bangladesh Meteorological Department , Ministry of Defence </w:t>
            </w:r>
          </w:p>
          <w:p w14:paraId="468696E3" w14:textId="77777777" w:rsidR="003B5BCB"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Directorate General of Health Services</w:t>
            </w:r>
          </w:p>
          <w:p w14:paraId="345760CD" w14:textId="77777777" w:rsidR="003B5BCB"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National Institute of Preventative and Social Medicine</w:t>
            </w:r>
          </w:p>
          <w:p w14:paraId="17296640" w14:textId="77777777" w:rsidR="003B5BCB"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Bureau of Health Education</w:t>
            </w:r>
          </w:p>
          <w:p w14:paraId="2A446D8F" w14:textId="77777777" w:rsidR="003B5BCB"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Institute of Epidemiology, Disease Control and Research and Health Emergency Programme (IEDCR, Directorate General of Health Serivces),</w:t>
            </w:r>
          </w:p>
          <w:p w14:paraId="1E2BC54B" w14:textId="35D0B189" w:rsidR="003B5BCB"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Ministry of Local Government, Rural Development and Cooperatives (Department of Public Health Engineering)</w:t>
            </w:r>
          </w:p>
          <w:p w14:paraId="103C8685" w14:textId="77777777" w:rsidR="003B5BCB" w:rsidRPr="00BB5776"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Department of Environment, Ministry of Environment, Forest and Climate Change</w:t>
            </w:r>
          </w:p>
          <w:p w14:paraId="7D015F99" w14:textId="77777777" w:rsidR="003B5BCB" w:rsidRPr="003445E8"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Department of Disaster Management, Ministry of Disaster Management and Relief</w:t>
            </w:r>
          </w:p>
          <w:p w14:paraId="38BD7522" w14:textId="77777777" w:rsidR="003B5BCB"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WHO (Bangladesh Country Office)</w:t>
            </w:r>
          </w:p>
          <w:p w14:paraId="57435944" w14:textId="77777777" w:rsidR="003B5BCB" w:rsidRDefault="003B5BCB" w:rsidP="00C07A0A">
            <w:pPr>
              <w:pStyle w:val="ListParagraph"/>
              <w:numPr>
                <w:ilvl w:val="0"/>
                <w:numId w:val="36"/>
              </w:numPr>
              <w:rPr>
                <w:rFonts w:ascii="Calibri" w:eastAsia="Calibri" w:hAnsi="Calibri" w:cs="Calibri"/>
                <w:i/>
                <w:iCs/>
                <w:sz w:val="20"/>
                <w:szCs w:val="20"/>
              </w:rPr>
            </w:pPr>
            <w:r>
              <w:rPr>
                <w:rFonts w:ascii="Calibri" w:eastAsia="Calibri" w:hAnsi="Calibri" w:cs="Calibri"/>
                <w:sz w:val="20"/>
                <w:szCs w:val="20"/>
              </w:rPr>
              <w:t>Nongovernmental organisations, civil society organisations, communities and health facility management committees</w:t>
            </w:r>
          </w:p>
        </w:tc>
      </w:tr>
    </w:tbl>
    <w:p w14:paraId="01390D2E" w14:textId="77777777" w:rsidR="003B5BCB" w:rsidRPr="00A86E8B" w:rsidRDefault="003B5BCB" w:rsidP="00C07A0A">
      <w:pPr>
        <w:pStyle w:val="Heading4"/>
        <w:spacing w:before="240"/>
        <w:rPr>
          <w:rFonts w:ascii="Calibri" w:hAnsi="Calibri" w:cs="Calibri"/>
          <w:b/>
          <w:bCs/>
        </w:rPr>
      </w:pPr>
      <w:r w:rsidRPr="00A86E8B">
        <w:rPr>
          <w:rFonts w:ascii="Calibri" w:hAnsi="Calibri" w:cs="Calibri"/>
          <w:b/>
          <w:bCs/>
        </w:rPr>
        <w:t xml:space="preserve">Cambodia </w:t>
      </w:r>
    </w:p>
    <w:p w14:paraId="04BB5D67" w14:textId="77777777" w:rsidR="003B5BCB" w:rsidRDefault="003B5BCB" w:rsidP="00C07A0A">
      <w:pPr>
        <w:pStyle w:val="paragraph"/>
        <w:suppressAutoHyphens/>
        <w:spacing w:before="0" w:beforeAutospacing="0" w:after="0" w:afterAutospacing="0" w:line="259" w:lineRule="auto"/>
        <w:jc w:val="both"/>
        <w:rPr>
          <w:rFonts w:ascii="Calibri" w:eastAsia="Calibri" w:hAnsi="Calibri" w:cs="Calibri"/>
          <w:color w:val="000000" w:themeColor="text1"/>
        </w:rPr>
      </w:pPr>
      <w:r>
        <w:rPr>
          <w:rFonts w:ascii="Calibri" w:eastAsia="Calibri" w:hAnsi="Calibri" w:cs="Calibri"/>
          <w:color w:val="000000" w:themeColor="text1"/>
        </w:rPr>
        <w:t>Due to vulnerability factors including but not limited to high rates of poverty, high burden of disease, rapid urbanisation, poor WASH coverage and access to health-care services and a population that largely resides in flood and drought-prone areas, Cambodia is highly susceptible to the health impacts of climate change. The health effects that are of high concern include dengue fever and malaria, water-borne diseases (</w:t>
      </w:r>
      <w:r>
        <w:rPr>
          <w:rFonts w:ascii="Calibri" w:eastAsia="Calibri" w:hAnsi="Calibri" w:cs="Calibri"/>
          <w:color w:val="000000" w:themeColor="text1"/>
          <w:lang w:val="en-GB"/>
        </w:rPr>
        <w:t>diarrhoeal disease, leptospirosis, melioidosis, hepatitis E, schistosomiasis and arsenicosis),</w:t>
      </w:r>
      <w:r>
        <w:rPr>
          <w:rFonts w:ascii="Calibri" w:eastAsia="Calibri" w:hAnsi="Calibri" w:cs="Calibri"/>
          <w:color w:val="000000" w:themeColor="text1"/>
        </w:rPr>
        <w:t xml:space="preserve"> food insecurity and increased mortality and morbidity caused by extreme weather events. </w:t>
      </w:r>
    </w:p>
    <w:p w14:paraId="22FAFB08" w14:textId="77777777" w:rsidR="003B5BCB" w:rsidRDefault="003B5BCB" w:rsidP="00C07A0A">
      <w:pPr>
        <w:pStyle w:val="paragraph"/>
        <w:suppressAutoHyphens/>
        <w:spacing w:before="0" w:beforeAutospacing="0" w:after="0" w:afterAutospacing="0"/>
        <w:textAlignment w:val="baseline"/>
        <w:rPr>
          <w:rStyle w:val="eop"/>
          <w:rFonts w:ascii="Calibri" w:eastAsiaTheme="majorEastAsia" w:hAnsi="Calibri" w:cs="Calibri"/>
          <w:color w:val="156082" w:themeColor="accent1"/>
        </w:rPr>
      </w:pPr>
    </w:p>
    <w:p w14:paraId="117D333D" w14:textId="77777777" w:rsidR="003B5BCB" w:rsidRDefault="003B5BCB" w:rsidP="00C07A0A">
      <w:pPr>
        <w:pStyle w:val="paragraph"/>
        <w:suppressAutoHyphens/>
        <w:spacing w:before="0" w:beforeAutospacing="0" w:after="0" w:afterAutospacing="0"/>
        <w:textAlignment w:val="baseline"/>
        <w:rPr>
          <w:rStyle w:val="eop"/>
          <w:rFonts w:ascii="Calibri" w:eastAsiaTheme="majorEastAsia" w:hAnsi="Calibri" w:cs="Calibri"/>
          <w:color w:val="156082" w:themeColor="accent1"/>
        </w:rPr>
      </w:pPr>
      <w:r>
        <w:rPr>
          <w:rStyle w:val="eop"/>
          <w:rFonts w:ascii="Calibri" w:eastAsiaTheme="majorEastAsia" w:hAnsi="Calibri" w:cs="Calibri"/>
          <w:color w:val="156082" w:themeColor="accent1"/>
        </w:rPr>
        <w:t>Climate and health policy context</w:t>
      </w:r>
    </w:p>
    <w:p w14:paraId="0B2370BC" w14:textId="77777777" w:rsidR="003B5BCB" w:rsidRDefault="003B5BCB" w:rsidP="00C07A0A">
      <w:pPr>
        <w:jc w:val="both"/>
        <w:rPr>
          <w:rFonts w:ascii="Calibri" w:eastAsia="Calibri" w:hAnsi="Calibri" w:cs="Calibri"/>
          <w:color w:val="000000" w:themeColor="text1"/>
          <w:lang w:val="en-GB"/>
        </w:rPr>
      </w:pPr>
      <w:r>
        <w:rPr>
          <w:rFonts w:ascii="Calibri" w:eastAsia="Calibri" w:hAnsi="Calibri" w:cs="Calibri"/>
          <w:color w:val="000000" w:themeColor="text1"/>
        </w:rPr>
        <w:t xml:space="preserve">Cambodia has developed several national commitments, strategies and action plans to guide health sector planning and climate change adaptation. </w:t>
      </w:r>
      <w:r>
        <w:rPr>
          <w:rFonts w:ascii="Calibri" w:eastAsia="Calibri" w:hAnsi="Calibri" w:cs="Calibri"/>
          <w:color w:val="000000" w:themeColor="text1"/>
          <w:lang w:val="en-GB"/>
        </w:rPr>
        <w:t xml:space="preserve">The plans specific to the health sector are the </w:t>
      </w:r>
      <w:r>
        <w:rPr>
          <w:rFonts w:ascii="Calibri" w:eastAsia="Calibri" w:hAnsi="Calibri" w:cs="Calibri"/>
          <w:color w:val="000000" w:themeColor="text1"/>
        </w:rPr>
        <w:t xml:space="preserve">Climate Change Strategic Plan for Public Health 2012 and the National Climate Change Action Plan for Public Health 2014–2018. </w:t>
      </w:r>
      <w:r>
        <w:rPr>
          <w:rFonts w:ascii="Calibri" w:eastAsia="Calibri" w:hAnsi="Calibri" w:cs="Calibri"/>
          <w:color w:val="000000" w:themeColor="text1"/>
          <w:lang w:val="en-GB"/>
        </w:rPr>
        <w:t>Additionally, the National Strategy for Climate Change Adaptation and Disaster Risk Reduction in Public Health is currently under development; this plan will align the strategies for disaster risk reduction with the climate change adaptation plans.</w:t>
      </w:r>
    </w:p>
    <w:p w14:paraId="69A895A7" w14:textId="77777777" w:rsidR="003B5BCB" w:rsidRDefault="003B5BCB" w:rsidP="00C07A0A">
      <w:pPr>
        <w:jc w:val="both"/>
        <w:rPr>
          <w:rFonts w:ascii="Calibri" w:eastAsia="Calibri" w:hAnsi="Calibri" w:cs="Calibri"/>
          <w:color w:val="000000" w:themeColor="text1"/>
          <w:lang w:val="en-GB"/>
        </w:rPr>
      </w:pPr>
    </w:p>
    <w:p w14:paraId="03821674" w14:textId="77777777" w:rsidR="003B5BCB" w:rsidRDefault="003B5BCB" w:rsidP="00C07A0A">
      <w:pPr>
        <w:rPr>
          <w:rStyle w:val="eop"/>
          <w:rFonts w:ascii="Calibri" w:eastAsiaTheme="majorEastAsia" w:hAnsi="Calibri" w:cs="Calibri"/>
          <w:color w:val="156082" w:themeColor="accent1"/>
        </w:rPr>
      </w:pPr>
      <w:r w:rsidRPr="00CB0E8D">
        <w:rPr>
          <w:rStyle w:val="eop"/>
          <w:rFonts w:ascii="Calibri" w:hAnsi="Calibri"/>
          <w:color w:val="156082" w:themeColor="accent1"/>
        </w:rPr>
        <w:br w:type="page"/>
      </w:r>
    </w:p>
    <w:p w14:paraId="30A415CA" w14:textId="77777777" w:rsidR="003B5BCB" w:rsidRDefault="003B5BCB" w:rsidP="00C07A0A">
      <w:pPr>
        <w:pStyle w:val="paragraph"/>
        <w:suppressAutoHyphens/>
        <w:spacing w:before="0" w:beforeAutospacing="0" w:after="0" w:afterAutospacing="0"/>
        <w:jc w:val="both"/>
        <w:rPr>
          <w:rStyle w:val="eop"/>
          <w:rFonts w:ascii="Calibri" w:eastAsiaTheme="majorEastAsia" w:hAnsi="Calibri" w:cs="Calibri"/>
          <w:color w:val="156082" w:themeColor="accent1"/>
        </w:rPr>
      </w:pPr>
      <w:r>
        <w:rPr>
          <w:rStyle w:val="eop"/>
          <w:rFonts w:ascii="Calibri" w:eastAsiaTheme="majorEastAsia" w:hAnsi="Calibri" w:cs="Calibri"/>
          <w:color w:val="156082" w:themeColor="accent1"/>
        </w:rPr>
        <w:lastRenderedPageBreak/>
        <w:t>Key stakeholders</w:t>
      </w:r>
    </w:p>
    <w:tbl>
      <w:tblPr>
        <w:tblStyle w:val="TableGrid"/>
        <w:tblW w:w="0" w:type="auto"/>
        <w:tblLayout w:type="fixed"/>
        <w:tblLook w:val="06A0" w:firstRow="1" w:lastRow="0" w:firstColumn="1" w:lastColumn="0" w:noHBand="1" w:noVBand="1"/>
      </w:tblPr>
      <w:tblGrid>
        <w:gridCol w:w="9015"/>
      </w:tblGrid>
      <w:tr w:rsidR="003B5BCB" w14:paraId="2DFB58E3" w14:textId="77777777" w:rsidTr="008432F3">
        <w:trPr>
          <w:trHeight w:val="3382"/>
        </w:trPr>
        <w:tc>
          <w:tcPr>
            <w:tcW w:w="9015" w:type="dxa"/>
          </w:tcPr>
          <w:p w14:paraId="21E4C252" w14:textId="77777777" w:rsidR="003B5BCB" w:rsidRDefault="003B5BCB" w:rsidP="00C07A0A">
            <w:pPr>
              <w:pStyle w:val="paragraph"/>
              <w:numPr>
                <w:ilvl w:val="0"/>
                <w:numId w:val="35"/>
              </w:numPr>
              <w:suppressAutoHyphens/>
              <w:rPr>
                <w:rFonts w:ascii="Calibri" w:hAnsi="Calibri" w:cs="Calibri"/>
                <w:color w:val="000000" w:themeColor="text1"/>
                <w:sz w:val="20"/>
                <w:szCs w:val="20"/>
              </w:rPr>
            </w:pPr>
            <w:r>
              <w:rPr>
                <w:rFonts w:ascii="Calibri" w:hAnsi="Calibri" w:cs="Calibri"/>
                <w:color w:val="000000" w:themeColor="text1"/>
                <w:sz w:val="20"/>
                <w:szCs w:val="20"/>
              </w:rPr>
              <w:t>Various departments and agencies within and outside Ministry of Health</w:t>
            </w:r>
          </w:p>
          <w:p w14:paraId="5FFF98C2" w14:textId="77777777" w:rsidR="003B5BCB" w:rsidRDefault="003B5BCB" w:rsidP="00C07A0A">
            <w:pPr>
              <w:pStyle w:val="paragraph"/>
              <w:numPr>
                <w:ilvl w:val="0"/>
                <w:numId w:val="35"/>
              </w:numPr>
              <w:suppressAutoHyphens/>
              <w:rPr>
                <w:rFonts w:ascii="Calibri" w:hAnsi="Calibri" w:cs="Calibri"/>
                <w:color w:val="000000" w:themeColor="text1"/>
                <w:sz w:val="20"/>
                <w:szCs w:val="20"/>
              </w:rPr>
            </w:pPr>
            <w:r>
              <w:rPr>
                <w:rFonts w:ascii="Calibri" w:hAnsi="Calibri" w:cs="Calibri"/>
                <w:color w:val="000000" w:themeColor="text1"/>
                <w:sz w:val="20"/>
                <w:szCs w:val="20"/>
              </w:rPr>
              <w:t>WHO, Cambodia country office</w:t>
            </w:r>
          </w:p>
          <w:p w14:paraId="6B942390" w14:textId="77777777" w:rsidR="003B5BCB" w:rsidRDefault="003B5BCB" w:rsidP="00C07A0A">
            <w:pPr>
              <w:pStyle w:val="paragraph"/>
              <w:numPr>
                <w:ilvl w:val="0"/>
                <w:numId w:val="35"/>
              </w:numPr>
              <w:suppressAutoHyphens/>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Climate Change Technical Working Group </w:t>
            </w:r>
          </w:p>
          <w:p w14:paraId="2D254A64" w14:textId="77777777" w:rsidR="003B5BCB" w:rsidRDefault="003B5BCB" w:rsidP="00C07A0A">
            <w:pPr>
              <w:pStyle w:val="paragraph"/>
              <w:numPr>
                <w:ilvl w:val="0"/>
                <w:numId w:val="35"/>
              </w:numPr>
              <w:suppressAutoHyphens/>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Ministry of Education</w:t>
            </w:r>
          </w:p>
          <w:p w14:paraId="0AA3BA92" w14:textId="77777777" w:rsidR="003B5BCB" w:rsidRDefault="003B5BCB" w:rsidP="00C07A0A">
            <w:pPr>
              <w:pStyle w:val="paragraph"/>
              <w:numPr>
                <w:ilvl w:val="0"/>
                <w:numId w:val="35"/>
              </w:numPr>
              <w:suppressAutoHyphens/>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Ministry of Water Resources and Meteorology </w:t>
            </w:r>
          </w:p>
          <w:p w14:paraId="46391728" w14:textId="77777777" w:rsidR="003B5BCB" w:rsidRDefault="003B5BCB" w:rsidP="00C07A0A">
            <w:pPr>
              <w:pStyle w:val="paragraph"/>
              <w:numPr>
                <w:ilvl w:val="0"/>
                <w:numId w:val="35"/>
              </w:numPr>
              <w:suppressAutoHyphens/>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Ministry of Agriculture, Forestry and Fisheries </w:t>
            </w:r>
          </w:p>
          <w:p w14:paraId="173A2224" w14:textId="77777777" w:rsidR="003B5BCB" w:rsidRDefault="003B5BCB" w:rsidP="00C07A0A">
            <w:pPr>
              <w:pStyle w:val="paragraph"/>
              <w:numPr>
                <w:ilvl w:val="0"/>
                <w:numId w:val="35"/>
              </w:numPr>
              <w:suppressAutoHyphens/>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Communicable Diseases Control Department, Maternal and Child Health Departments, and other departments that perform surveillance </w:t>
            </w:r>
          </w:p>
          <w:p w14:paraId="2C3C72EE" w14:textId="77777777" w:rsidR="003B5BCB" w:rsidRDefault="003B5BCB" w:rsidP="00C07A0A">
            <w:pPr>
              <w:pStyle w:val="paragraph"/>
              <w:numPr>
                <w:ilvl w:val="0"/>
                <w:numId w:val="35"/>
              </w:numPr>
              <w:suppressAutoHyphens/>
              <w:rPr>
                <w:rFonts w:ascii="Calibri" w:hAnsi="Calibri" w:cs="Calibri"/>
                <w:color w:val="000000" w:themeColor="text1"/>
                <w:sz w:val="20"/>
                <w:szCs w:val="20"/>
              </w:rPr>
            </w:pPr>
            <w:r>
              <w:rPr>
                <w:rFonts w:ascii="Calibri" w:hAnsi="Calibri" w:cs="Calibri"/>
                <w:color w:val="000000" w:themeColor="text1"/>
                <w:sz w:val="20"/>
                <w:szCs w:val="20"/>
              </w:rPr>
              <w:t>Ministry of Rural Development</w:t>
            </w:r>
          </w:p>
          <w:p w14:paraId="2611E29D" w14:textId="77777777" w:rsidR="003B5BCB" w:rsidRDefault="003B5BCB" w:rsidP="00C07A0A">
            <w:pPr>
              <w:pStyle w:val="paragraph"/>
              <w:numPr>
                <w:ilvl w:val="0"/>
                <w:numId w:val="35"/>
              </w:numPr>
              <w:suppressAutoHyphens/>
              <w:spacing w:after="0" w:afterAutospacing="0"/>
              <w:ind w:left="714" w:hanging="357"/>
              <w:rPr>
                <w:rFonts w:ascii="Calibri" w:hAnsi="Calibri" w:cs="Calibri"/>
                <w:color w:val="000000" w:themeColor="text1"/>
                <w:sz w:val="20"/>
                <w:szCs w:val="20"/>
              </w:rPr>
            </w:pPr>
            <w:r>
              <w:rPr>
                <w:rFonts w:ascii="Calibri" w:hAnsi="Calibri" w:cs="Calibri"/>
                <w:color w:val="000000" w:themeColor="text1"/>
                <w:sz w:val="20"/>
                <w:szCs w:val="20"/>
              </w:rPr>
              <w:t>National Centre for Parasitology, Entomology and Malaria Control</w:t>
            </w:r>
          </w:p>
          <w:p w14:paraId="172F65D2" w14:textId="77777777" w:rsidR="003B5BCB" w:rsidRDefault="003B5BCB" w:rsidP="00C07A0A">
            <w:pPr>
              <w:pStyle w:val="paragraph"/>
              <w:numPr>
                <w:ilvl w:val="0"/>
                <w:numId w:val="35"/>
              </w:numPr>
              <w:suppressAutoHyphens/>
              <w:spacing w:after="0" w:afterAutospacing="0"/>
              <w:ind w:left="714" w:hanging="357"/>
              <w:rPr>
                <w:rFonts w:ascii="Calibri" w:hAnsi="Calibri" w:cs="Calibri"/>
                <w:color w:val="000000" w:themeColor="text1"/>
                <w:sz w:val="20"/>
                <w:szCs w:val="20"/>
              </w:rPr>
            </w:pPr>
            <w:r>
              <w:rPr>
                <w:rFonts w:ascii="Calibri" w:hAnsi="Calibri" w:cs="Calibri"/>
                <w:color w:val="000000" w:themeColor="text1"/>
                <w:sz w:val="20"/>
                <w:szCs w:val="20"/>
              </w:rPr>
              <w:t>Department of Hospital Services</w:t>
            </w:r>
          </w:p>
          <w:p w14:paraId="1061F964" w14:textId="77777777" w:rsidR="003B5BCB" w:rsidRDefault="003B5BCB" w:rsidP="00C07A0A">
            <w:pPr>
              <w:pStyle w:val="paragraph"/>
              <w:numPr>
                <w:ilvl w:val="0"/>
                <w:numId w:val="35"/>
              </w:numPr>
              <w:suppressAutoHyphens/>
              <w:spacing w:after="0" w:afterAutospacing="0"/>
              <w:ind w:left="714" w:hanging="357"/>
              <w:rPr>
                <w:rFonts w:ascii="Calibri" w:hAnsi="Calibri" w:cs="Calibri"/>
                <w:color w:val="000000" w:themeColor="text1"/>
                <w:sz w:val="20"/>
                <w:szCs w:val="20"/>
              </w:rPr>
            </w:pPr>
            <w:r>
              <w:rPr>
                <w:rFonts w:ascii="Calibri" w:hAnsi="Calibri" w:cs="Calibri"/>
                <w:color w:val="000000" w:themeColor="text1"/>
                <w:sz w:val="20"/>
                <w:szCs w:val="20"/>
              </w:rPr>
              <w:t>Provincial health departments</w:t>
            </w:r>
          </w:p>
          <w:p w14:paraId="19A92B7A" w14:textId="77777777" w:rsidR="003B5BCB" w:rsidRDefault="003B5BCB" w:rsidP="00C07A0A">
            <w:pPr>
              <w:pStyle w:val="paragraph"/>
              <w:numPr>
                <w:ilvl w:val="0"/>
                <w:numId w:val="35"/>
              </w:numPr>
              <w:suppressAutoHyphens/>
              <w:spacing w:after="0" w:afterAutospacing="0"/>
              <w:ind w:left="714" w:hanging="357"/>
              <w:rPr>
                <w:rFonts w:ascii="Calibri" w:hAnsi="Calibri" w:cs="Calibri"/>
                <w:color w:val="000000" w:themeColor="text1"/>
                <w:sz w:val="20"/>
                <w:szCs w:val="20"/>
              </w:rPr>
            </w:pPr>
            <w:r>
              <w:rPr>
                <w:rFonts w:ascii="Calibri" w:hAnsi="Calibri" w:cs="Calibri"/>
                <w:color w:val="000000" w:themeColor="text1"/>
                <w:sz w:val="20"/>
                <w:szCs w:val="20"/>
              </w:rPr>
              <w:t>District and commune councils</w:t>
            </w:r>
          </w:p>
          <w:p w14:paraId="09F59900" w14:textId="77777777" w:rsidR="003B5BCB" w:rsidRDefault="003B5BCB" w:rsidP="00C07A0A">
            <w:pPr>
              <w:pStyle w:val="paragraph"/>
              <w:numPr>
                <w:ilvl w:val="0"/>
                <w:numId w:val="35"/>
              </w:numPr>
              <w:suppressAutoHyphens/>
              <w:spacing w:after="0" w:afterAutospacing="0"/>
              <w:ind w:left="714" w:hanging="357"/>
              <w:rPr>
                <w:rFonts w:ascii="Calibri" w:eastAsiaTheme="majorEastAsia" w:hAnsi="Calibri" w:cs="Calibri"/>
                <w:color w:val="000000" w:themeColor="text1"/>
                <w:sz w:val="20"/>
                <w:szCs w:val="20"/>
              </w:rPr>
            </w:pPr>
            <w:r>
              <w:rPr>
                <w:rFonts w:ascii="Calibri" w:hAnsi="Calibri" w:cs="Calibri"/>
                <w:color w:val="000000" w:themeColor="text1"/>
                <w:sz w:val="20"/>
                <w:szCs w:val="20"/>
              </w:rPr>
              <w:t>Local communities</w:t>
            </w:r>
          </w:p>
        </w:tc>
      </w:tr>
    </w:tbl>
    <w:p w14:paraId="1E8DC5AC" w14:textId="77777777" w:rsidR="003B5BCB" w:rsidRDefault="003B5BCB" w:rsidP="00C07A0A">
      <w:pPr>
        <w:pStyle w:val="paragraph"/>
        <w:suppressAutoHyphens/>
        <w:spacing w:before="0" w:beforeAutospacing="0" w:after="0" w:afterAutospacing="0"/>
        <w:rPr>
          <w:rStyle w:val="normaltextrun"/>
          <w:rFonts w:ascii="Calibri" w:eastAsiaTheme="majorEastAsia" w:hAnsi="Calibri" w:cs="Calibri"/>
          <w:color w:val="156082" w:themeColor="accent1"/>
        </w:rPr>
      </w:pPr>
    </w:p>
    <w:p w14:paraId="3FE51CB8" w14:textId="77777777" w:rsidR="003B5BCB" w:rsidRPr="00A86E8B" w:rsidRDefault="003B5BCB" w:rsidP="00C07A0A">
      <w:pPr>
        <w:pStyle w:val="Heading4"/>
        <w:rPr>
          <w:rFonts w:ascii="Calibri" w:hAnsi="Calibri" w:cs="Calibri"/>
          <w:b/>
          <w:bCs/>
        </w:rPr>
      </w:pPr>
      <w:r w:rsidRPr="00A86E8B">
        <w:rPr>
          <w:rFonts w:ascii="Calibri" w:hAnsi="Calibri" w:cs="Calibri"/>
          <w:b/>
          <w:bCs/>
        </w:rPr>
        <w:t>Lao PDR</w:t>
      </w:r>
    </w:p>
    <w:p w14:paraId="538B9263" w14:textId="77777777" w:rsidR="003B5BCB" w:rsidRDefault="003B5BCB" w:rsidP="00C07A0A">
      <w:pPr>
        <w:pStyle w:val="paragraph"/>
        <w:suppressAutoHyphens/>
        <w:spacing w:before="0" w:beforeAutospacing="0" w:after="0" w:afterAutospacing="0" w:line="259" w:lineRule="auto"/>
        <w:jc w:val="both"/>
        <w:rPr>
          <w:rFonts w:ascii="Calibri" w:eastAsiaTheme="majorEastAsia" w:hAnsi="Calibri" w:cs="Calibri"/>
          <w:color w:val="000000" w:themeColor="text1"/>
        </w:rPr>
      </w:pPr>
      <w:r>
        <w:rPr>
          <w:rFonts w:ascii="Calibri" w:eastAsiaTheme="majorEastAsia" w:hAnsi="Calibri" w:cs="Calibri"/>
          <w:color w:val="000000" w:themeColor="text1"/>
        </w:rPr>
        <w:t xml:space="preserve">The </w:t>
      </w:r>
      <w:r>
        <w:rPr>
          <w:rFonts w:ascii="Calibri" w:eastAsia="Calibri" w:hAnsi="Calibri" w:cs="Calibri"/>
          <w:color w:val="000000" w:themeColor="text1"/>
        </w:rPr>
        <w:t>Lao</w:t>
      </w:r>
      <w:r>
        <w:rPr>
          <w:rFonts w:ascii="Calibri" w:eastAsiaTheme="majorEastAsia" w:hAnsi="Calibri" w:cs="Calibri"/>
          <w:color w:val="000000" w:themeColor="text1"/>
        </w:rPr>
        <w:t xml:space="preserve"> People's Democratic Republic (PDR) is a landlocked country in Southeast Asia with a population of 6.8 million. It is divided into 17 provinces and a prefecture that includes the capital city, Vientiane. Approximately 80% of the population relies on agriculture for their livelihoods.</w:t>
      </w:r>
    </w:p>
    <w:p w14:paraId="2C7BCE1C" w14:textId="77777777" w:rsidR="003B5BCB" w:rsidRDefault="003B5BCB" w:rsidP="00C07A0A">
      <w:pPr>
        <w:pStyle w:val="paragraph"/>
        <w:suppressAutoHyphens/>
        <w:jc w:val="both"/>
        <w:rPr>
          <w:rFonts w:ascii="Calibri" w:eastAsiaTheme="majorEastAsia" w:hAnsi="Calibri" w:cs="Calibri"/>
          <w:color w:val="000000" w:themeColor="text1"/>
        </w:rPr>
      </w:pPr>
      <w:r>
        <w:rPr>
          <w:rFonts w:ascii="Calibri" w:eastAsiaTheme="majorEastAsia" w:hAnsi="Calibri" w:cs="Calibri"/>
          <w:color w:val="000000" w:themeColor="text1"/>
        </w:rPr>
        <w:t>Flooding and drought are significant climate-related risks, threatening livelihoods almost annually. Health challenges in Laos, such as poor water quality, limited access to sanitation and hygiene, and indoor air pollution, are closely linked to environmental factors. Climate change is expected to exacerbate health risks, increasing the prevalence of dengue fever, severe diarrhea, dysentery, food poisoning, hepatitis (in the northern region), typhoid fever (in the northern and central regions), and morbidity and mortality from extreme weather events.</w:t>
      </w:r>
    </w:p>
    <w:p w14:paraId="249EE276" w14:textId="77777777" w:rsidR="003B5BCB" w:rsidRDefault="003B5BCB" w:rsidP="00C07A0A">
      <w:pPr>
        <w:pStyle w:val="paragraph"/>
        <w:suppressAutoHyphens/>
        <w:spacing w:before="0" w:beforeAutospacing="0" w:after="0" w:afterAutospacing="0"/>
        <w:textAlignment w:val="baseline"/>
        <w:rPr>
          <w:rStyle w:val="eop"/>
          <w:rFonts w:ascii="Calibri" w:eastAsiaTheme="majorEastAsia" w:hAnsi="Calibri" w:cs="Calibri"/>
          <w:color w:val="156082" w:themeColor="accent1"/>
        </w:rPr>
      </w:pPr>
      <w:r>
        <w:rPr>
          <w:rStyle w:val="eop"/>
          <w:rFonts w:ascii="Calibri" w:eastAsiaTheme="majorEastAsia" w:hAnsi="Calibri" w:cs="Calibri"/>
          <w:color w:val="156082" w:themeColor="accent1"/>
        </w:rPr>
        <w:t>Climate and health policy context</w:t>
      </w:r>
    </w:p>
    <w:p w14:paraId="7E629DFB" w14:textId="77777777" w:rsidR="003B5BCB" w:rsidRDefault="003B5BCB" w:rsidP="00C07A0A">
      <w:pPr>
        <w:pStyle w:val="paragraph"/>
        <w:suppressAutoHyphens/>
        <w:spacing w:before="0" w:beforeAutospacing="0" w:after="0" w:afterAutospacing="0" w:line="259" w:lineRule="auto"/>
        <w:jc w:val="both"/>
        <w:rPr>
          <w:rFonts w:ascii="Calibri" w:eastAsiaTheme="majorEastAsia" w:hAnsi="Calibri" w:cs="Calibri"/>
          <w:color w:val="000000" w:themeColor="text1"/>
        </w:rPr>
      </w:pPr>
      <w:r>
        <w:rPr>
          <w:rFonts w:ascii="Calibri" w:eastAsiaTheme="majorEastAsia" w:hAnsi="Calibri" w:cs="Calibri"/>
          <w:color w:val="000000" w:themeColor="text1"/>
        </w:rPr>
        <w:t>The government of Lao PDR has set a long-term goal for national development, outlined in the 8th Five-Year National Socio-economic Plan (2016–2020), with a vision to become a middle-income country by 2030. The National Strategy on Climate Change, approved in early 2010, provides a vision for addressing climate change, emphasizing health. Furthermore, the Ministry of Natural Resources and Environment developed the Climate Change Action Plan of the Lao PDR for 2013–2020.</w:t>
      </w:r>
    </w:p>
    <w:p w14:paraId="2853B393" w14:textId="77777777" w:rsidR="003B5BCB" w:rsidRDefault="003B5BCB" w:rsidP="00C07A0A">
      <w:pPr>
        <w:pStyle w:val="paragraph"/>
        <w:suppressAutoHyphens/>
        <w:spacing w:before="0" w:beforeAutospacing="0" w:after="0" w:afterAutospacing="0"/>
        <w:rPr>
          <w:rStyle w:val="normaltextrun"/>
          <w:rFonts w:ascii="Calibri" w:eastAsiaTheme="majorEastAsia" w:hAnsi="Calibri" w:cs="Calibri"/>
          <w:color w:val="156082" w:themeColor="accent1"/>
        </w:rPr>
      </w:pPr>
    </w:p>
    <w:p w14:paraId="2E1CDEF4" w14:textId="77777777" w:rsidR="003B5BCB" w:rsidRDefault="003B5BCB" w:rsidP="00C07A0A">
      <w:pPr>
        <w:pStyle w:val="paragraph"/>
        <w:suppressAutoHyphens/>
        <w:spacing w:before="0" w:beforeAutospacing="0" w:after="0" w:afterAutospacing="0"/>
        <w:jc w:val="both"/>
        <w:rPr>
          <w:rStyle w:val="eop"/>
          <w:rFonts w:ascii="Calibri" w:eastAsiaTheme="majorEastAsia" w:hAnsi="Calibri" w:cs="Calibri"/>
          <w:color w:val="156082" w:themeColor="accent1"/>
        </w:rPr>
      </w:pPr>
      <w:r>
        <w:rPr>
          <w:rStyle w:val="eop"/>
          <w:rFonts w:ascii="Calibri" w:eastAsiaTheme="majorEastAsia" w:hAnsi="Calibri" w:cs="Calibri"/>
          <w:color w:val="156082" w:themeColor="accent1"/>
        </w:rPr>
        <w:t>Key stakeholders</w:t>
      </w:r>
    </w:p>
    <w:tbl>
      <w:tblPr>
        <w:tblStyle w:val="TableGrid"/>
        <w:tblW w:w="0" w:type="auto"/>
        <w:tblLayout w:type="fixed"/>
        <w:tblLook w:val="06A0" w:firstRow="1" w:lastRow="0" w:firstColumn="1" w:lastColumn="0" w:noHBand="1" w:noVBand="1"/>
      </w:tblPr>
      <w:tblGrid>
        <w:gridCol w:w="9015"/>
      </w:tblGrid>
      <w:tr w:rsidR="003B5BCB" w14:paraId="3F629A07" w14:textId="77777777" w:rsidTr="008432F3">
        <w:trPr>
          <w:trHeight w:val="1965"/>
        </w:trPr>
        <w:tc>
          <w:tcPr>
            <w:tcW w:w="9015" w:type="dxa"/>
          </w:tcPr>
          <w:p w14:paraId="24A1F43C" w14:textId="77777777" w:rsidR="003B5BCB" w:rsidRDefault="003B5BCB" w:rsidP="00C07A0A">
            <w:pPr>
              <w:pStyle w:val="ListParagraph"/>
              <w:numPr>
                <w:ilvl w:val="0"/>
                <w:numId w:val="37"/>
              </w:numPr>
              <w:jc w:val="both"/>
              <w:rPr>
                <w:rFonts w:ascii="Calibri" w:hAnsi="Calibri" w:cs="Calibri"/>
                <w:color w:val="000000" w:themeColor="text1"/>
                <w:sz w:val="20"/>
                <w:szCs w:val="20"/>
              </w:rPr>
            </w:pPr>
            <w:r>
              <w:rPr>
                <w:rFonts w:ascii="Calibri" w:eastAsia="Arial" w:hAnsi="Calibri" w:cs="Calibri"/>
                <w:color w:val="000000" w:themeColor="text1"/>
                <w:sz w:val="20"/>
                <w:szCs w:val="20"/>
                <w:lang w:val="en-GB"/>
              </w:rPr>
              <w:t>Ministry of Health (DHHP, DCDC/CMPE, Cabinet)</w:t>
            </w:r>
          </w:p>
          <w:p w14:paraId="7423611C" w14:textId="77777777" w:rsidR="003B5BCB" w:rsidRDefault="003B5BCB" w:rsidP="00C07A0A">
            <w:pPr>
              <w:pStyle w:val="ListParagraph"/>
              <w:numPr>
                <w:ilvl w:val="0"/>
                <w:numId w:val="37"/>
              </w:numPr>
              <w:jc w:val="both"/>
              <w:rPr>
                <w:rFonts w:ascii="Calibri" w:hAnsi="Calibri" w:cs="Calibri"/>
                <w:color w:val="000000" w:themeColor="text1"/>
                <w:sz w:val="20"/>
                <w:szCs w:val="20"/>
              </w:rPr>
            </w:pPr>
            <w:r>
              <w:rPr>
                <w:rFonts w:ascii="Calibri" w:eastAsia="Arial" w:hAnsi="Calibri" w:cs="Calibri"/>
                <w:color w:val="000000" w:themeColor="text1"/>
                <w:sz w:val="20"/>
                <w:szCs w:val="20"/>
                <w:lang w:val="en-GB"/>
              </w:rPr>
              <w:t xml:space="preserve">Ministry of Public Works and Transport </w:t>
            </w:r>
          </w:p>
          <w:p w14:paraId="0C515BAC" w14:textId="77777777" w:rsidR="003B5BCB" w:rsidRDefault="003B5BCB" w:rsidP="00C07A0A">
            <w:pPr>
              <w:pStyle w:val="ListParagraph"/>
              <w:numPr>
                <w:ilvl w:val="0"/>
                <w:numId w:val="37"/>
              </w:numPr>
              <w:jc w:val="both"/>
              <w:rPr>
                <w:rFonts w:ascii="Calibri" w:hAnsi="Calibri" w:cs="Calibri"/>
                <w:color w:val="000000" w:themeColor="text1"/>
                <w:sz w:val="20"/>
                <w:szCs w:val="20"/>
              </w:rPr>
            </w:pPr>
            <w:r>
              <w:rPr>
                <w:rFonts w:ascii="Calibri" w:eastAsia="Arial" w:hAnsi="Calibri" w:cs="Calibri"/>
                <w:color w:val="000000" w:themeColor="text1"/>
                <w:sz w:val="20"/>
                <w:szCs w:val="20"/>
                <w:lang w:val="en-GB"/>
              </w:rPr>
              <w:t>National Centre for Environmental Health and Water Supply</w:t>
            </w:r>
          </w:p>
          <w:p w14:paraId="28368990" w14:textId="77777777" w:rsidR="003B5BCB" w:rsidRDefault="003B5BCB" w:rsidP="00C07A0A">
            <w:pPr>
              <w:pStyle w:val="ListParagraph"/>
              <w:numPr>
                <w:ilvl w:val="0"/>
                <w:numId w:val="37"/>
              </w:numPr>
              <w:jc w:val="both"/>
              <w:rPr>
                <w:rFonts w:ascii="Calibri" w:eastAsia="Arial" w:hAnsi="Calibri" w:cs="Calibri"/>
                <w:color w:val="000000" w:themeColor="text1"/>
                <w:sz w:val="20"/>
                <w:szCs w:val="20"/>
                <w:lang w:val="en-GB"/>
              </w:rPr>
            </w:pPr>
            <w:r>
              <w:rPr>
                <w:rFonts w:ascii="Calibri" w:eastAsia="Arial" w:hAnsi="Calibri" w:cs="Calibri"/>
                <w:color w:val="000000" w:themeColor="text1"/>
                <w:sz w:val="20"/>
                <w:szCs w:val="20"/>
                <w:lang w:val="en-GB"/>
              </w:rPr>
              <w:t>Two selected provincial health departments, district health offices, provincial hospitals and divisions for environmental health and water supply</w:t>
            </w:r>
          </w:p>
          <w:p w14:paraId="4F481601" w14:textId="77777777" w:rsidR="003B5BCB" w:rsidRDefault="003B5BCB" w:rsidP="00C07A0A">
            <w:pPr>
              <w:pStyle w:val="ListParagraph"/>
              <w:numPr>
                <w:ilvl w:val="0"/>
                <w:numId w:val="37"/>
              </w:numPr>
              <w:jc w:val="both"/>
              <w:rPr>
                <w:rFonts w:ascii="Calibri" w:hAnsi="Calibri" w:cs="Calibri"/>
                <w:color w:val="000000" w:themeColor="text1"/>
                <w:sz w:val="20"/>
                <w:szCs w:val="20"/>
              </w:rPr>
            </w:pPr>
            <w:r>
              <w:rPr>
                <w:rFonts w:ascii="Calibri" w:hAnsi="Calibri" w:cs="Calibri"/>
                <w:color w:val="000000" w:themeColor="text1"/>
                <w:sz w:val="20"/>
                <w:szCs w:val="20"/>
              </w:rPr>
              <w:t xml:space="preserve">Nongovernmental (local and international) organizations and community representatives </w:t>
            </w:r>
          </w:p>
          <w:p w14:paraId="1B810326" w14:textId="77777777" w:rsidR="003B5BCB" w:rsidRDefault="003B5BCB" w:rsidP="00C07A0A">
            <w:pPr>
              <w:pStyle w:val="ListParagraph"/>
              <w:numPr>
                <w:ilvl w:val="0"/>
                <w:numId w:val="37"/>
              </w:numPr>
              <w:jc w:val="both"/>
              <w:rPr>
                <w:rFonts w:ascii="Calibri" w:hAnsi="Calibri" w:cs="Calibri"/>
                <w:color w:val="000000" w:themeColor="text1"/>
                <w:sz w:val="20"/>
                <w:szCs w:val="20"/>
              </w:rPr>
            </w:pPr>
            <w:r>
              <w:rPr>
                <w:rFonts w:ascii="Calibri" w:hAnsi="Calibri" w:cs="Calibri"/>
                <w:color w:val="000000" w:themeColor="text1"/>
                <w:sz w:val="20"/>
                <w:szCs w:val="20"/>
              </w:rPr>
              <w:t xml:space="preserve">Communities </w:t>
            </w:r>
          </w:p>
        </w:tc>
      </w:tr>
    </w:tbl>
    <w:p w14:paraId="44BBD47C" w14:textId="77777777" w:rsidR="003B5BCB" w:rsidRPr="00A86E8B" w:rsidRDefault="003B5BCB" w:rsidP="00C07A0A">
      <w:pPr>
        <w:pStyle w:val="Heading4"/>
        <w:spacing w:before="240"/>
        <w:rPr>
          <w:rFonts w:ascii="Calibri" w:hAnsi="Calibri" w:cs="Calibri"/>
          <w:b/>
          <w:bCs/>
        </w:rPr>
      </w:pPr>
      <w:r w:rsidRPr="00A86E8B">
        <w:rPr>
          <w:rFonts w:ascii="Calibri" w:hAnsi="Calibri" w:cs="Calibri"/>
          <w:b/>
          <w:bCs/>
        </w:rPr>
        <w:lastRenderedPageBreak/>
        <w:t>Nepal</w:t>
      </w:r>
    </w:p>
    <w:p w14:paraId="74D37FFF" w14:textId="77777777" w:rsidR="003B5BCB" w:rsidRDefault="003B5BCB" w:rsidP="00C07A0A">
      <w:pPr>
        <w:pStyle w:val="paragraph"/>
        <w:suppressAutoHyphens/>
        <w:spacing w:before="0" w:beforeAutospacing="0" w:after="0" w:afterAutospacing="0"/>
        <w:jc w:val="both"/>
        <w:textAlignment w:val="baseline"/>
        <w:rPr>
          <w:rFonts w:ascii="Calibri" w:eastAsiaTheme="majorEastAsia" w:hAnsi="Calibri" w:cs="Calibri"/>
          <w:color w:val="000000" w:themeColor="text1"/>
        </w:rPr>
      </w:pPr>
      <w:r>
        <w:rPr>
          <w:rFonts w:ascii="Calibri" w:eastAsiaTheme="majorEastAsia" w:hAnsi="Calibri" w:cs="Calibri"/>
          <w:color w:val="000000" w:themeColor="text1"/>
        </w:rPr>
        <w:t>Nepal is divided into three ecological regions: Terai, hill, and mountain. These diverse regions contribute to the country's rich biological diversity. Over the past three decades, the impacts of climate change are evident through changes in average temperature, precipitation, and extreme weather conditions.</w:t>
      </w:r>
    </w:p>
    <w:p w14:paraId="70E24981" w14:textId="77777777" w:rsidR="003B5BCB" w:rsidRDefault="003B5BCB" w:rsidP="00C07A0A">
      <w:pPr>
        <w:pStyle w:val="paragraph"/>
        <w:suppressAutoHyphens/>
        <w:spacing w:before="0" w:beforeAutospacing="0" w:after="0" w:afterAutospacing="0"/>
        <w:jc w:val="both"/>
        <w:textAlignment w:val="baseline"/>
        <w:rPr>
          <w:rFonts w:ascii="Calibri" w:eastAsiaTheme="majorEastAsia" w:hAnsi="Calibri" w:cs="Calibri"/>
          <w:color w:val="000000" w:themeColor="text1"/>
        </w:rPr>
      </w:pPr>
    </w:p>
    <w:p w14:paraId="342ABB0C" w14:textId="20DCE958" w:rsidR="003B5BCB" w:rsidRDefault="003B5BCB" w:rsidP="00C07A0A">
      <w:pPr>
        <w:pStyle w:val="paragraph"/>
        <w:suppressAutoHyphens/>
        <w:spacing w:before="0" w:beforeAutospacing="0" w:after="0" w:afterAutospacing="0"/>
        <w:jc w:val="both"/>
        <w:textAlignment w:val="baseline"/>
        <w:rPr>
          <w:rFonts w:ascii="Calibri" w:eastAsiaTheme="majorEastAsia" w:hAnsi="Calibri" w:cs="Calibri"/>
          <w:color w:val="000000" w:themeColor="text1"/>
        </w:rPr>
      </w:pPr>
      <w:r>
        <w:rPr>
          <w:rFonts w:ascii="Calibri" w:eastAsiaTheme="majorEastAsia" w:hAnsi="Calibri" w:cs="Calibri"/>
          <w:color w:val="000000" w:themeColor="text1"/>
        </w:rPr>
        <w:t xml:space="preserve">Nepal has identified public health as highly vulnerable to climate change. Potential health effects include water-, vector-, air-, and foodborne diseases (especially in mountain areas previously considered non-endemic), malnutrition from reduced food production, increased mortality and morbidity from more intense heatwaves, cold waves, and </w:t>
      </w:r>
      <w:r w:rsidR="00F55749">
        <w:rPr>
          <w:rFonts w:ascii="Calibri" w:eastAsiaTheme="majorEastAsia" w:hAnsi="Calibri" w:cs="Calibri"/>
          <w:color w:val="000000" w:themeColor="text1"/>
        </w:rPr>
        <w:t>wild</w:t>
      </w:r>
      <w:r>
        <w:rPr>
          <w:rFonts w:ascii="Calibri" w:eastAsiaTheme="majorEastAsia" w:hAnsi="Calibri" w:cs="Calibri"/>
          <w:color w:val="000000" w:themeColor="text1"/>
        </w:rPr>
        <w:t>fires, and impacts on mental health.</w:t>
      </w:r>
    </w:p>
    <w:p w14:paraId="66568576" w14:textId="77777777" w:rsidR="003B5BCB" w:rsidRDefault="003B5BCB" w:rsidP="00C07A0A">
      <w:pPr>
        <w:pStyle w:val="paragraph"/>
        <w:suppressAutoHyphens/>
        <w:spacing w:before="0" w:beforeAutospacing="0" w:after="0" w:afterAutospacing="0"/>
        <w:textAlignment w:val="baseline"/>
        <w:rPr>
          <w:rStyle w:val="eop"/>
          <w:rFonts w:ascii="Calibri" w:eastAsiaTheme="majorEastAsia" w:hAnsi="Calibri" w:cs="Calibri"/>
          <w:color w:val="156082" w:themeColor="accent1"/>
        </w:rPr>
      </w:pPr>
    </w:p>
    <w:p w14:paraId="204AF25C" w14:textId="77777777" w:rsidR="003B5BCB" w:rsidRDefault="003B5BCB" w:rsidP="00C07A0A">
      <w:pPr>
        <w:pStyle w:val="paragraph"/>
        <w:suppressAutoHyphens/>
        <w:spacing w:before="0" w:beforeAutospacing="0" w:after="0" w:afterAutospacing="0"/>
        <w:textAlignment w:val="baseline"/>
        <w:rPr>
          <w:rStyle w:val="eop"/>
          <w:rFonts w:ascii="Calibri" w:eastAsiaTheme="majorEastAsia" w:hAnsi="Calibri" w:cs="Calibri"/>
          <w:color w:val="156082" w:themeColor="accent1"/>
        </w:rPr>
      </w:pPr>
      <w:r>
        <w:rPr>
          <w:rStyle w:val="eop"/>
          <w:rFonts w:ascii="Calibri" w:eastAsiaTheme="majorEastAsia" w:hAnsi="Calibri" w:cs="Calibri"/>
          <w:color w:val="156082" w:themeColor="accent1"/>
        </w:rPr>
        <w:t>Climate and health policy context</w:t>
      </w:r>
    </w:p>
    <w:p w14:paraId="76407BE0" w14:textId="77777777" w:rsidR="003B5BCB" w:rsidRDefault="003B5BCB" w:rsidP="00C07A0A">
      <w:pPr>
        <w:pStyle w:val="paragraph"/>
        <w:suppressAutoHyphens/>
        <w:spacing w:before="0" w:beforeAutospacing="0" w:after="0" w:afterAutospacing="0"/>
        <w:jc w:val="both"/>
        <w:rPr>
          <w:rFonts w:ascii="Calibri" w:eastAsiaTheme="majorEastAsia" w:hAnsi="Calibri" w:cs="Calibri"/>
          <w:color w:val="000000" w:themeColor="text1"/>
        </w:rPr>
      </w:pPr>
      <w:r>
        <w:rPr>
          <w:rFonts w:ascii="Calibri" w:eastAsiaTheme="majorEastAsia" w:hAnsi="Calibri" w:cs="Calibri"/>
          <w:color w:val="000000" w:themeColor="text1"/>
        </w:rPr>
        <w:t>In 2015, Nepal began developing and implementing a National Adaptation Plan to address its medium- and long-term adaptation needs and reduce climate vulnerabilities. This plan outlines climate change adaptation actions for the medium term (2018–2030) and long term (up to 2050).</w:t>
      </w:r>
    </w:p>
    <w:p w14:paraId="22DD3304" w14:textId="77777777" w:rsidR="003B5BCB" w:rsidRDefault="003B5BCB" w:rsidP="00C07A0A">
      <w:pPr>
        <w:pStyle w:val="paragraph"/>
        <w:suppressAutoHyphens/>
        <w:spacing w:before="0" w:beforeAutospacing="0" w:after="0" w:afterAutospacing="0"/>
        <w:jc w:val="both"/>
        <w:rPr>
          <w:rFonts w:ascii="Calibri" w:eastAsiaTheme="majorEastAsia" w:hAnsi="Calibri" w:cs="Calibri"/>
          <w:color w:val="000000" w:themeColor="text1"/>
        </w:rPr>
      </w:pPr>
    </w:p>
    <w:p w14:paraId="1733EBAB" w14:textId="77777777" w:rsidR="008D5092" w:rsidRDefault="008D5092" w:rsidP="008D5092">
      <w:pPr>
        <w:pStyle w:val="paragraph"/>
        <w:spacing w:before="0" w:beforeAutospacing="0" w:after="0" w:afterAutospacing="0"/>
        <w:jc w:val="both"/>
        <w:rPr>
          <w:rFonts w:ascii="Calibri" w:eastAsiaTheme="majorEastAsia" w:hAnsi="Calibri" w:cs="Calibri"/>
          <w:color w:val="000000" w:themeColor="text1"/>
        </w:rPr>
      </w:pPr>
      <w:r>
        <w:rPr>
          <w:rFonts w:ascii="Calibri" w:eastAsiaTheme="majorEastAsia" w:hAnsi="Calibri" w:cs="Calibri"/>
          <w:color w:val="000000" w:themeColor="text1"/>
        </w:rPr>
        <w:t>Previously, Nepal created the NAPA 2010, which focused on public health and prioritised activities for adapting to climate challenges in the health sector. The 2019 National Health Policy aimed to improve the quality of health services for all Nepalese without discrimination. The Nepal Health Sector Strategic Plan (2023–2030) served as the guiding strategy for the health sector, which  recognised climate change as an issue impacting public health and included a multi-sectoral response to mitigate its adverse effects.</w:t>
      </w:r>
    </w:p>
    <w:p w14:paraId="28E2669C" w14:textId="77777777" w:rsidR="003B5BCB" w:rsidRDefault="003B5BCB" w:rsidP="00C07A0A">
      <w:pPr>
        <w:pStyle w:val="paragraph"/>
        <w:suppressAutoHyphens/>
        <w:spacing w:before="0" w:beforeAutospacing="0" w:after="0" w:afterAutospacing="0"/>
        <w:jc w:val="both"/>
        <w:rPr>
          <w:rFonts w:ascii="Calibri" w:eastAsiaTheme="majorEastAsia" w:hAnsi="Calibri" w:cs="Calibri"/>
          <w:color w:val="000000" w:themeColor="text1"/>
        </w:rPr>
      </w:pPr>
    </w:p>
    <w:p w14:paraId="10873D93" w14:textId="77777777" w:rsidR="003B5BCB" w:rsidRDefault="003B5BCB" w:rsidP="00C07A0A">
      <w:pPr>
        <w:pStyle w:val="paragraph"/>
        <w:suppressAutoHyphens/>
        <w:spacing w:before="0" w:beforeAutospacing="0" w:after="0" w:afterAutospacing="0"/>
        <w:jc w:val="both"/>
        <w:rPr>
          <w:rStyle w:val="eop"/>
          <w:rFonts w:ascii="Calibri" w:eastAsiaTheme="majorEastAsia" w:hAnsi="Calibri" w:cs="Calibri"/>
          <w:color w:val="156082" w:themeColor="accent1"/>
        </w:rPr>
      </w:pPr>
      <w:r>
        <w:rPr>
          <w:rStyle w:val="eop"/>
          <w:rFonts w:ascii="Calibri" w:eastAsiaTheme="majorEastAsia" w:hAnsi="Calibri" w:cs="Calibri"/>
          <w:color w:val="156082" w:themeColor="accent1"/>
        </w:rPr>
        <w:t>Key stakeholders</w:t>
      </w:r>
    </w:p>
    <w:tbl>
      <w:tblPr>
        <w:tblStyle w:val="TableGrid"/>
        <w:tblW w:w="0" w:type="auto"/>
        <w:tblLayout w:type="fixed"/>
        <w:tblLook w:val="06A0" w:firstRow="1" w:lastRow="0" w:firstColumn="1" w:lastColumn="0" w:noHBand="1" w:noVBand="1"/>
      </w:tblPr>
      <w:tblGrid>
        <w:gridCol w:w="9015"/>
      </w:tblGrid>
      <w:tr w:rsidR="003B5BCB" w14:paraId="743E8972" w14:textId="77777777" w:rsidTr="008432F3">
        <w:trPr>
          <w:trHeight w:val="300"/>
        </w:trPr>
        <w:tc>
          <w:tcPr>
            <w:tcW w:w="9015" w:type="dxa"/>
          </w:tcPr>
          <w:p w14:paraId="65E205E3" w14:textId="77777777" w:rsidR="0086386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Ministry of Health and Population</w:t>
            </w:r>
          </w:p>
          <w:p w14:paraId="2B08BAB2" w14:textId="77777777" w:rsidR="0086386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Department of Hydrology and Meteorology </w:t>
            </w:r>
          </w:p>
          <w:p w14:paraId="08EF015B" w14:textId="77777777" w:rsidR="0086386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Ministry of</w:t>
            </w:r>
            <w:r w:rsidRPr="003445E8">
              <w:rPr>
                <w:rStyle w:val="normaltextrun"/>
                <w:rFonts w:ascii="Calibri" w:eastAsiaTheme="majorEastAsia" w:hAnsi="Calibri" w:cs="Calibri"/>
                <w:color w:val="000000" w:themeColor="text1"/>
                <w:sz w:val="20"/>
                <w:szCs w:val="20"/>
              </w:rPr>
              <w:t xml:space="preserve"> </w:t>
            </w:r>
            <w:r>
              <w:rPr>
                <w:rStyle w:val="normaltextrun"/>
                <w:rFonts w:ascii="Calibri" w:eastAsiaTheme="majorEastAsia" w:hAnsi="Calibri" w:cs="Calibri"/>
                <w:color w:val="000000" w:themeColor="text1"/>
                <w:sz w:val="20"/>
                <w:szCs w:val="20"/>
              </w:rPr>
              <w:t xml:space="preserve">Forests and Environment </w:t>
            </w:r>
          </w:p>
          <w:p w14:paraId="5413A67F" w14:textId="77777777" w:rsidR="0086386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Nepal Health Research Council </w:t>
            </w:r>
          </w:p>
          <w:p w14:paraId="10E736F3" w14:textId="77777777" w:rsidR="0086386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National Health Education, Information and Communication Centre</w:t>
            </w:r>
          </w:p>
          <w:p w14:paraId="1133AF78" w14:textId="77777777" w:rsidR="0086386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Epidemiology and Disease Control Division </w:t>
            </w:r>
          </w:p>
          <w:p w14:paraId="06DF4200" w14:textId="77777777" w:rsidR="0086386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National Health Training Center</w:t>
            </w:r>
          </w:p>
          <w:p w14:paraId="3DF39E57" w14:textId="77777777" w:rsidR="00863868" w:rsidRPr="003445E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Management Division under Department of Health Services</w:t>
            </w:r>
          </w:p>
          <w:p w14:paraId="460E4D1E" w14:textId="77777777" w:rsidR="0086386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Ministry of Water Supply </w:t>
            </w:r>
          </w:p>
          <w:p w14:paraId="2DB145C0" w14:textId="77777777" w:rsidR="00863868" w:rsidRPr="003445E8" w:rsidRDefault="00863868" w:rsidP="00863868">
            <w:pPr>
              <w:pStyle w:val="paragraph"/>
              <w:numPr>
                <w:ilvl w:val="0"/>
                <w:numId w:val="38"/>
              </w:numPr>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Department of Water Supply and Sewerage Management</w:t>
            </w:r>
          </w:p>
          <w:p w14:paraId="35BA50CF" w14:textId="77777777" w:rsidR="003B5BCB" w:rsidRDefault="003B5BCB" w:rsidP="00C07A0A">
            <w:pPr>
              <w:pStyle w:val="paragraph"/>
              <w:numPr>
                <w:ilvl w:val="0"/>
                <w:numId w:val="38"/>
              </w:numPr>
              <w:suppressAutoHyphens/>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University </w:t>
            </w:r>
          </w:p>
          <w:p w14:paraId="47BAF5EE" w14:textId="77777777" w:rsidR="003B5BCB" w:rsidRDefault="003B5BCB" w:rsidP="00C07A0A">
            <w:pPr>
              <w:pStyle w:val="paragraph"/>
              <w:numPr>
                <w:ilvl w:val="0"/>
                <w:numId w:val="38"/>
              </w:numPr>
              <w:suppressAutoHyphens/>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WHO</w:t>
            </w:r>
          </w:p>
          <w:p w14:paraId="6A799868" w14:textId="77777777" w:rsidR="003B5BCB" w:rsidRDefault="003B5BCB" w:rsidP="00C07A0A">
            <w:pPr>
              <w:pStyle w:val="paragraph"/>
              <w:numPr>
                <w:ilvl w:val="0"/>
                <w:numId w:val="38"/>
              </w:numPr>
              <w:suppressAutoHyphens/>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Non-governmental organisations, civil society organisations</w:t>
            </w:r>
          </w:p>
          <w:p w14:paraId="55D8ABAA" w14:textId="77777777" w:rsidR="003B5BCB" w:rsidRDefault="003B5BCB" w:rsidP="00C07A0A">
            <w:pPr>
              <w:pStyle w:val="paragraph"/>
              <w:numPr>
                <w:ilvl w:val="0"/>
                <w:numId w:val="38"/>
              </w:numPr>
              <w:suppressAutoHyphens/>
              <w:spacing w:before="0" w:beforeAutospacing="0" w:after="0" w:afterAutospacing="0"/>
              <w:ind w:left="714" w:hanging="357"/>
              <w:rPr>
                <w:rStyle w:val="normaltextrun"/>
                <w:rFonts w:ascii="Calibri" w:eastAsiaTheme="majorEastAsia" w:hAnsi="Calibri" w:cs="Calibri"/>
                <w:color w:val="000000" w:themeColor="text1"/>
                <w:sz w:val="20"/>
                <w:szCs w:val="20"/>
              </w:rPr>
            </w:pPr>
            <w:r>
              <w:rPr>
                <w:rStyle w:val="normaltextrun"/>
                <w:rFonts w:ascii="Calibri" w:eastAsiaTheme="majorEastAsia" w:hAnsi="Calibri" w:cs="Calibri"/>
                <w:color w:val="000000" w:themeColor="text1"/>
                <w:sz w:val="20"/>
                <w:szCs w:val="20"/>
              </w:rPr>
              <w:t xml:space="preserve">Communities and health facility management committees </w:t>
            </w:r>
          </w:p>
        </w:tc>
      </w:tr>
    </w:tbl>
    <w:p w14:paraId="1E2BE1D0" w14:textId="77777777" w:rsidR="003B5BCB" w:rsidRDefault="003B5BCB" w:rsidP="00C07A0A">
      <w:pPr>
        <w:rPr>
          <w:rFonts w:ascii="Calibri" w:hAnsi="Calibri"/>
          <w:b/>
          <w:i/>
          <w:iCs/>
          <w:color w:val="094183"/>
          <w:highlight w:val="lightGray"/>
        </w:rPr>
      </w:pPr>
    </w:p>
    <w:p w14:paraId="53125CE7" w14:textId="77777777" w:rsidR="00A4298F" w:rsidRPr="00A86E8B" w:rsidRDefault="00A4298F" w:rsidP="00A86E8B">
      <w:pPr>
        <w:pStyle w:val="Heading4"/>
        <w:spacing w:before="240"/>
        <w:rPr>
          <w:rFonts w:ascii="Calibri" w:hAnsi="Calibri" w:cs="Calibri"/>
          <w:b/>
          <w:bCs/>
        </w:rPr>
      </w:pPr>
      <w:r w:rsidRPr="00A86E8B">
        <w:rPr>
          <w:rFonts w:ascii="Calibri" w:hAnsi="Calibri" w:cs="Calibri"/>
          <w:b/>
          <w:bCs/>
        </w:rPr>
        <w:t xml:space="preserve">Timor-Leste </w:t>
      </w:r>
    </w:p>
    <w:p w14:paraId="0282DAC5" w14:textId="77777777" w:rsidR="00A4298F" w:rsidRPr="00F5073C" w:rsidRDefault="00A4298F" w:rsidP="00C07A0A">
      <w:pPr>
        <w:pStyle w:val="paragraph"/>
        <w:suppressAutoHyphens/>
        <w:spacing w:before="0" w:beforeAutospacing="0" w:after="0" w:afterAutospacing="0"/>
        <w:jc w:val="both"/>
        <w:rPr>
          <w:rFonts w:ascii="Calibri" w:eastAsiaTheme="majorEastAsia" w:hAnsi="Calibri" w:cs="Calibri"/>
          <w:color w:val="000000" w:themeColor="text1"/>
        </w:rPr>
      </w:pPr>
      <w:r w:rsidRPr="00F5073C">
        <w:rPr>
          <w:rFonts w:ascii="Calibri" w:eastAsiaTheme="majorEastAsia" w:hAnsi="Calibri" w:cs="Calibri"/>
          <w:color w:val="000000" w:themeColor="text1"/>
        </w:rPr>
        <w:t>Timor-Leste experiences high variability in rainfall from year to year, which is greatly influenced by the El Niño Southern Oscillation. As a result, the country is particularly susceptible to drought. In the northern region, there is a single rainy season lasting 4-6 months starting in December, followed by a dry season. The southern region has two rainy seasons, with a longer one lasting 7-9 months and two peaks in rainfall in December and May.</w:t>
      </w:r>
    </w:p>
    <w:p w14:paraId="710F6AAA" w14:textId="77777777" w:rsidR="00A4298F" w:rsidRPr="00F5073C" w:rsidRDefault="00A4298F" w:rsidP="00C07A0A">
      <w:pPr>
        <w:pStyle w:val="paragraph"/>
        <w:suppressAutoHyphens/>
        <w:spacing w:before="0" w:beforeAutospacing="0" w:after="0" w:afterAutospacing="0"/>
        <w:jc w:val="both"/>
        <w:rPr>
          <w:rFonts w:ascii="Calibri" w:eastAsiaTheme="majorEastAsia" w:hAnsi="Calibri" w:cs="Calibri"/>
          <w:color w:val="000000" w:themeColor="text1"/>
        </w:rPr>
      </w:pPr>
      <w:r w:rsidRPr="00F5073C">
        <w:rPr>
          <w:rFonts w:ascii="Calibri" w:eastAsiaTheme="majorEastAsia" w:hAnsi="Calibri" w:cs="Calibri"/>
          <w:color w:val="000000" w:themeColor="text1"/>
        </w:rPr>
        <w:lastRenderedPageBreak/>
        <w:t>The projected impact of climate change on Timor Leste's population includes heavy rainfall, flooding, drought, and increased temperatures. This is likely to lead to an increase in water-borne diseases such as diarrheal diseases, as well as vector-borne diseases like malaria and dengue. Additionally, heat-related mortality is expected to rise. Climate change is also likely to affect long-term food security and contribute to malnutrition, further amplifying existing risks to food security in the country.</w:t>
      </w:r>
    </w:p>
    <w:p w14:paraId="777BF750" w14:textId="77777777" w:rsidR="00A4298F" w:rsidRPr="00F5073C" w:rsidRDefault="00A4298F" w:rsidP="00C07A0A">
      <w:pPr>
        <w:rPr>
          <w:rFonts w:ascii="Calibri" w:hAnsi="Calibri"/>
          <w:b/>
          <w:color w:val="094183"/>
          <w:highlight w:val="lightGray"/>
        </w:rPr>
      </w:pPr>
    </w:p>
    <w:p w14:paraId="69CBBD0F" w14:textId="77777777" w:rsidR="00A4298F" w:rsidRDefault="00A4298F" w:rsidP="00C07A0A">
      <w:pPr>
        <w:pStyle w:val="paragraph"/>
        <w:suppressAutoHyphens/>
        <w:spacing w:before="0" w:beforeAutospacing="0" w:after="0" w:afterAutospacing="0"/>
        <w:textAlignment w:val="baseline"/>
        <w:rPr>
          <w:rStyle w:val="eop"/>
          <w:rFonts w:ascii="Calibri" w:eastAsiaTheme="majorEastAsia" w:hAnsi="Calibri" w:cs="Calibri"/>
          <w:color w:val="156082" w:themeColor="accent1"/>
        </w:rPr>
      </w:pPr>
      <w:r>
        <w:rPr>
          <w:rStyle w:val="eop"/>
          <w:rFonts w:ascii="Calibri" w:eastAsiaTheme="majorEastAsia" w:hAnsi="Calibri" w:cs="Calibri"/>
          <w:color w:val="156082" w:themeColor="accent1"/>
        </w:rPr>
        <w:t>Climate and health policy context</w:t>
      </w:r>
    </w:p>
    <w:p w14:paraId="4820D22C" w14:textId="77777777" w:rsidR="00A4298F" w:rsidRPr="00F5073C" w:rsidRDefault="00A4298F" w:rsidP="00C07A0A">
      <w:pPr>
        <w:rPr>
          <w:rFonts w:ascii="Calibri" w:hAnsi="Calibri"/>
          <w:b/>
          <w:color w:val="094183"/>
          <w:highlight w:val="lightGray"/>
        </w:rPr>
      </w:pPr>
    </w:p>
    <w:p w14:paraId="2E2BC724" w14:textId="77777777" w:rsidR="00A4298F" w:rsidRPr="00F5073C" w:rsidRDefault="00A4298F" w:rsidP="00C07A0A">
      <w:pPr>
        <w:pStyle w:val="paragraph"/>
        <w:suppressAutoHyphens/>
        <w:spacing w:before="0" w:beforeAutospacing="0" w:after="0" w:afterAutospacing="0"/>
        <w:jc w:val="both"/>
        <w:rPr>
          <w:rFonts w:ascii="Calibri" w:eastAsiaTheme="majorEastAsia" w:hAnsi="Calibri" w:cs="Calibri"/>
          <w:color w:val="000000" w:themeColor="text1"/>
        </w:rPr>
      </w:pPr>
      <w:r>
        <w:rPr>
          <w:rFonts w:ascii="Calibri" w:eastAsiaTheme="majorEastAsia" w:hAnsi="Calibri" w:cs="Calibri"/>
          <w:color w:val="000000" w:themeColor="text1"/>
        </w:rPr>
        <w:t>Timor</w:t>
      </w:r>
      <w:r w:rsidRPr="00F5073C">
        <w:rPr>
          <w:rFonts w:ascii="Calibri" w:eastAsiaTheme="majorEastAsia" w:hAnsi="Calibri" w:cs="Calibri"/>
          <w:color w:val="000000" w:themeColor="text1"/>
        </w:rPr>
        <w:t>-Leste completed its National Adaptation Programme of Action (NAPA) in 2010 and submitted its Initial National Communication (INC) as a non-Annex 1 party to the UNFCCC in 2014. The Timor-Leste Strategic Development Plan 2011-2030 expands on the 2002 National Development Plan and aims to elevate Timor-Leste from a low-income to an upper middle-income country with a healthy, well-educated, and safe population by 2030. Additional plans and policies implemented by Timor-Leste include the Environmental Policy, the National Health Sector Strategic Plan 2011-2020 (which covers environmental health including sanitation, food safety, vector-borne disease, waste management, and air pollution), the National Action Plan for a Hunger and Malnutrition Free Timor-Leste (2014) with a focus on food system sustainability and climate change, and The National Disaster Risk Management Policy (2008) which outlines disaster risk management programs across all sectors (an updated policy was submitted in 2017 to the Council of Ministers for discussion and approval).</w:t>
      </w:r>
    </w:p>
    <w:p w14:paraId="60836BCB" w14:textId="77777777" w:rsidR="00A4298F" w:rsidRDefault="00A4298F" w:rsidP="00C07A0A">
      <w:pPr>
        <w:pStyle w:val="paragraph"/>
        <w:suppressAutoHyphens/>
        <w:spacing w:before="0" w:beforeAutospacing="0" w:after="0" w:afterAutospacing="0"/>
        <w:jc w:val="both"/>
        <w:rPr>
          <w:rStyle w:val="eop"/>
          <w:rFonts w:ascii="Calibri" w:eastAsiaTheme="majorEastAsia" w:hAnsi="Calibri" w:cs="Calibri"/>
          <w:color w:val="156082" w:themeColor="accent1"/>
        </w:rPr>
      </w:pPr>
    </w:p>
    <w:p w14:paraId="2CCB4209" w14:textId="77777777" w:rsidR="00A4298F" w:rsidRDefault="00A4298F" w:rsidP="00C07A0A">
      <w:pPr>
        <w:pStyle w:val="paragraph"/>
        <w:suppressAutoHyphens/>
        <w:spacing w:before="0" w:beforeAutospacing="0" w:after="0" w:afterAutospacing="0"/>
        <w:jc w:val="both"/>
        <w:rPr>
          <w:rStyle w:val="eop"/>
          <w:rFonts w:ascii="Calibri" w:eastAsiaTheme="majorEastAsia" w:hAnsi="Calibri" w:cs="Calibri"/>
          <w:color w:val="156082" w:themeColor="accent1"/>
        </w:rPr>
      </w:pPr>
      <w:r w:rsidRPr="5A717AC1">
        <w:rPr>
          <w:rStyle w:val="eop"/>
          <w:rFonts w:ascii="Calibri" w:eastAsiaTheme="majorEastAsia" w:hAnsi="Calibri" w:cs="Calibri"/>
          <w:color w:val="156082" w:themeColor="accent1"/>
        </w:rPr>
        <w:t>Key stakeholders</w:t>
      </w:r>
    </w:p>
    <w:tbl>
      <w:tblPr>
        <w:tblStyle w:val="TableGrid"/>
        <w:tblW w:w="0" w:type="auto"/>
        <w:tblLayout w:type="fixed"/>
        <w:tblLook w:val="06A0" w:firstRow="1" w:lastRow="0" w:firstColumn="1" w:lastColumn="0" w:noHBand="1" w:noVBand="1"/>
      </w:tblPr>
      <w:tblGrid>
        <w:gridCol w:w="9015"/>
      </w:tblGrid>
      <w:tr w:rsidR="00A4298F" w14:paraId="68CD6BA9" w14:textId="77777777" w:rsidTr="00084CFE">
        <w:trPr>
          <w:trHeight w:val="2184"/>
        </w:trPr>
        <w:tc>
          <w:tcPr>
            <w:tcW w:w="9015" w:type="dxa"/>
          </w:tcPr>
          <w:p w14:paraId="0CB10D58" w14:textId="77777777" w:rsidR="00A4298F" w:rsidRDefault="00A4298F" w:rsidP="00C07A0A">
            <w:pPr>
              <w:pStyle w:val="paragraph"/>
              <w:numPr>
                <w:ilvl w:val="0"/>
                <w:numId w:val="1"/>
              </w:numPr>
              <w:suppressAutoHyphens/>
              <w:rPr>
                <w:rFonts w:ascii="Calibri" w:eastAsiaTheme="majorEastAsia" w:hAnsi="Calibri" w:cs="Calibri"/>
                <w:color w:val="000000" w:themeColor="text1"/>
                <w:sz w:val="20"/>
                <w:szCs w:val="20"/>
              </w:rPr>
            </w:pPr>
            <w:r w:rsidRPr="5A717AC1">
              <w:rPr>
                <w:rFonts w:ascii="Calibri" w:eastAsiaTheme="majorEastAsia" w:hAnsi="Calibri" w:cs="Calibri"/>
                <w:color w:val="000000" w:themeColor="text1"/>
                <w:sz w:val="20"/>
                <w:szCs w:val="20"/>
              </w:rPr>
              <w:t>MOH</w:t>
            </w:r>
          </w:p>
          <w:p w14:paraId="7F5993AD" w14:textId="77777777" w:rsidR="00A4298F" w:rsidRDefault="00A4298F" w:rsidP="00C07A0A">
            <w:pPr>
              <w:pStyle w:val="paragraph"/>
              <w:numPr>
                <w:ilvl w:val="0"/>
                <w:numId w:val="1"/>
              </w:numPr>
              <w:suppressAutoHyphens/>
              <w:rPr>
                <w:rFonts w:ascii="Calibri" w:eastAsiaTheme="majorEastAsia" w:hAnsi="Calibri" w:cs="Calibri"/>
                <w:color w:val="000000" w:themeColor="text1"/>
                <w:sz w:val="20"/>
                <w:szCs w:val="20"/>
              </w:rPr>
            </w:pPr>
            <w:r w:rsidRPr="5A717AC1">
              <w:rPr>
                <w:rFonts w:ascii="Calibri" w:eastAsiaTheme="majorEastAsia" w:hAnsi="Calibri" w:cs="Calibri"/>
                <w:color w:val="000000" w:themeColor="text1"/>
                <w:sz w:val="20"/>
                <w:szCs w:val="20"/>
              </w:rPr>
              <w:t xml:space="preserve">Ministry of Commerce, Industry and Environment (MCIE) </w:t>
            </w:r>
          </w:p>
          <w:p w14:paraId="2A834238" w14:textId="77777777" w:rsidR="00A4298F" w:rsidRDefault="00A4298F" w:rsidP="00C07A0A">
            <w:pPr>
              <w:pStyle w:val="paragraph"/>
              <w:numPr>
                <w:ilvl w:val="0"/>
                <w:numId w:val="1"/>
              </w:numPr>
              <w:suppressAutoHyphens/>
              <w:rPr>
                <w:rFonts w:ascii="Calibri" w:eastAsiaTheme="majorEastAsia" w:hAnsi="Calibri" w:cs="Calibri"/>
                <w:color w:val="000000" w:themeColor="text1"/>
                <w:sz w:val="20"/>
                <w:szCs w:val="20"/>
              </w:rPr>
            </w:pPr>
            <w:r w:rsidRPr="5A717AC1">
              <w:rPr>
                <w:rFonts w:ascii="Calibri" w:eastAsiaTheme="majorEastAsia" w:hAnsi="Calibri" w:cs="Calibri"/>
                <w:color w:val="000000" w:themeColor="text1"/>
                <w:sz w:val="20"/>
                <w:szCs w:val="20"/>
              </w:rPr>
              <w:t xml:space="preserve">Adaptation Thematic Working Group </w:t>
            </w:r>
          </w:p>
          <w:p w14:paraId="08902741" w14:textId="77777777" w:rsidR="00A4298F" w:rsidRDefault="00A4298F" w:rsidP="00C07A0A">
            <w:pPr>
              <w:pStyle w:val="paragraph"/>
              <w:numPr>
                <w:ilvl w:val="0"/>
                <w:numId w:val="1"/>
              </w:numPr>
              <w:suppressAutoHyphens/>
              <w:rPr>
                <w:rFonts w:ascii="Calibri" w:eastAsiaTheme="majorEastAsia" w:hAnsi="Calibri" w:cs="Calibri"/>
                <w:color w:val="000000" w:themeColor="text1"/>
                <w:sz w:val="20"/>
                <w:szCs w:val="20"/>
              </w:rPr>
            </w:pPr>
            <w:r w:rsidRPr="5A717AC1">
              <w:rPr>
                <w:rFonts w:ascii="Calibri" w:eastAsiaTheme="majorEastAsia" w:hAnsi="Calibri" w:cs="Calibri"/>
                <w:color w:val="000000" w:themeColor="text1"/>
                <w:sz w:val="20"/>
                <w:szCs w:val="20"/>
              </w:rPr>
              <w:t>Ministry of Public Works (MPW)</w:t>
            </w:r>
          </w:p>
          <w:p w14:paraId="1D3E91FA" w14:textId="77777777" w:rsidR="00A4298F" w:rsidRDefault="00A4298F" w:rsidP="00C07A0A">
            <w:pPr>
              <w:pStyle w:val="paragraph"/>
              <w:numPr>
                <w:ilvl w:val="0"/>
                <w:numId w:val="1"/>
              </w:numPr>
              <w:suppressAutoHyphens/>
              <w:rPr>
                <w:rFonts w:ascii="Calibri" w:eastAsiaTheme="majorEastAsia" w:hAnsi="Calibri" w:cs="Calibri"/>
                <w:color w:val="000000" w:themeColor="text1"/>
                <w:sz w:val="20"/>
                <w:szCs w:val="20"/>
              </w:rPr>
            </w:pPr>
            <w:r w:rsidRPr="5A717AC1">
              <w:rPr>
                <w:rFonts w:ascii="Calibri" w:eastAsiaTheme="majorEastAsia" w:hAnsi="Calibri" w:cs="Calibri"/>
                <w:color w:val="000000" w:themeColor="text1"/>
                <w:sz w:val="20"/>
                <w:szCs w:val="20"/>
              </w:rPr>
              <w:t>Instituto Nacional de Saude De Timor-Leste (INS)</w:t>
            </w:r>
          </w:p>
          <w:p w14:paraId="0472E17E" w14:textId="77777777" w:rsidR="00A4298F" w:rsidRDefault="00A4298F" w:rsidP="00C07A0A">
            <w:pPr>
              <w:pStyle w:val="paragraph"/>
              <w:numPr>
                <w:ilvl w:val="0"/>
                <w:numId w:val="1"/>
              </w:numPr>
              <w:suppressAutoHyphens/>
              <w:rPr>
                <w:rFonts w:ascii="Calibri" w:eastAsiaTheme="majorEastAsia" w:hAnsi="Calibri" w:cs="Calibri"/>
                <w:color w:val="000000" w:themeColor="text1"/>
                <w:sz w:val="20"/>
                <w:szCs w:val="20"/>
              </w:rPr>
            </w:pPr>
            <w:r w:rsidRPr="5A717AC1">
              <w:rPr>
                <w:rFonts w:ascii="Calibri" w:eastAsiaTheme="majorEastAsia" w:hAnsi="Calibri" w:cs="Calibri"/>
                <w:color w:val="000000" w:themeColor="text1"/>
                <w:sz w:val="20"/>
                <w:szCs w:val="20"/>
              </w:rPr>
              <w:t xml:space="preserve">Municipal health departments </w:t>
            </w:r>
          </w:p>
          <w:p w14:paraId="46413EB1" w14:textId="77777777" w:rsidR="00A4298F" w:rsidRDefault="00A4298F" w:rsidP="00C07A0A">
            <w:pPr>
              <w:pStyle w:val="paragraph"/>
              <w:numPr>
                <w:ilvl w:val="0"/>
                <w:numId w:val="1"/>
              </w:numPr>
              <w:suppressAutoHyphens/>
              <w:rPr>
                <w:rFonts w:ascii="Calibri" w:eastAsiaTheme="majorEastAsia" w:hAnsi="Calibri" w:cs="Calibri"/>
                <w:color w:val="000000" w:themeColor="text1"/>
                <w:sz w:val="20"/>
                <w:szCs w:val="20"/>
              </w:rPr>
            </w:pPr>
            <w:r w:rsidRPr="5A717AC1">
              <w:rPr>
                <w:rFonts w:ascii="Calibri" w:eastAsiaTheme="majorEastAsia" w:hAnsi="Calibri" w:cs="Calibri"/>
                <w:color w:val="000000" w:themeColor="text1"/>
                <w:sz w:val="20"/>
                <w:szCs w:val="20"/>
              </w:rPr>
              <w:t xml:space="preserve">Provincial hospitals </w:t>
            </w:r>
          </w:p>
          <w:p w14:paraId="500EF4AD" w14:textId="77777777" w:rsidR="00A4298F" w:rsidRDefault="00A4298F" w:rsidP="00C07A0A">
            <w:pPr>
              <w:pStyle w:val="paragraph"/>
              <w:numPr>
                <w:ilvl w:val="0"/>
                <w:numId w:val="1"/>
              </w:numPr>
              <w:suppressAutoHyphens/>
              <w:rPr>
                <w:rFonts w:ascii="Calibri" w:eastAsiaTheme="majorEastAsia" w:hAnsi="Calibri" w:cs="Calibri"/>
                <w:color w:val="000000" w:themeColor="text1"/>
                <w:sz w:val="20"/>
                <w:szCs w:val="20"/>
              </w:rPr>
            </w:pPr>
            <w:r w:rsidRPr="5A717AC1">
              <w:rPr>
                <w:rFonts w:ascii="Calibri" w:eastAsiaTheme="majorEastAsia" w:hAnsi="Calibri" w:cs="Calibri"/>
                <w:color w:val="000000" w:themeColor="text1"/>
                <w:sz w:val="20"/>
                <w:szCs w:val="20"/>
              </w:rPr>
              <w:t xml:space="preserve">Divisions for environmental health and water supply </w:t>
            </w:r>
          </w:p>
        </w:tc>
      </w:tr>
    </w:tbl>
    <w:p w14:paraId="324F9DC0" w14:textId="0E96AE82" w:rsidR="00A4298F" w:rsidRDefault="00A4298F" w:rsidP="00C07A0A">
      <w:pPr>
        <w:rPr>
          <w:rStyle w:val="normaltextrun"/>
          <w:rFonts w:ascii="Calibri" w:eastAsiaTheme="majorEastAsia" w:hAnsi="Calibri" w:cstheme="majorBidi"/>
          <w:b/>
          <w:color w:val="094183"/>
          <w:kern w:val="2"/>
          <w:sz w:val="32"/>
          <w:szCs w:val="32"/>
          <w:lang w:eastAsia="en-US"/>
          <w14:ligatures w14:val="standardContextual"/>
        </w:rPr>
      </w:pPr>
    </w:p>
    <w:p w14:paraId="75070DF2" w14:textId="2329F38E" w:rsidR="002B060A" w:rsidRDefault="006040A7" w:rsidP="00C07A0A">
      <w:pPr>
        <w:pStyle w:val="Heading2"/>
        <w:numPr>
          <w:ilvl w:val="0"/>
          <w:numId w:val="29"/>
        </w:numPr>
        <w:rPr>
          <w:rStyle w:val="normaltextrun"/>
          <w:rFonts w:ascii="Calibri" w:hAnsi="Calibri" w:cs="Calibri"/>
          <w:b/>
          <w:color w:val="094183"/>
        </w:rPr>
      </w:pPr>
      <w:bookmarkStart w:id="25" w:name="_Toc173429976"/>
      <w:r w:rsidRPr="00CB0E8D">
        <w:rPr>
          <w:rStyle w:val="normaltextrun"/>
          <w:rFonts w:ascii="Calibri" w:hAnsi="Calibri"/>
          <w:b/>
          <w:color w:val="094183"/>
        </w:rPr>
        <w:t>Findings</w:t>
      </w:r>
      <w:bookmarkEnd w:id="25"/>
      <w:r w:rsidRPr="00CB0E8D">
        <w:rPr>
          <w:rStyle w:val="normaltextrun"/>
          <w:rFonts w:ascii="Calibri" w:hAnsi="Calibri"/>
          <w:b/>
          <w:color w:val="094183"/>
        </w:rPr>
        <w:t> </w:t>
      </w:r>
      <w:r>
        <w:rPr>
          <w:rStyle w:val="normaltextrun"/>
          <w:rFonts w:ascii="Calibri" w:hAnsi="Calibri" w:cs="Calibri"/>
          <w:b/>
        </w:rPr>
        <w:t> </w:t>
      </w:r>
    </w:p>
    <w:p w14:paraId="75070DF3" w14:textId="77777777" w:rsidR="002B060A" w:rsidRDefault="006040A7" w:rsidP="00C07A0A">
      <w:pPr>
        <w:pStyle w:val="Heading3"/>
        <w:numPr>
          <w:ilvl w:val="1"/>
          <w:numId w:val="29"/>
        </w:numPr>
        <w:rPr>
          <w:rStyle w:val="eop"/>
          <w:rFonts w:ascii="Calibri" w:hAnsi="Calibri" w:cs="Calibri"/>
          <w:b/>
        </w:rPr>
      </w:pPr>
      <w:bookmarkStart w:id="26" w:name="_Toc173429977"/>
      <w:r>
        <w:rPr>
          <w:rStyle w:val="eop"/>
          <w:rFonts w:ascii="Calibri" w:hAnsi="Calibri" w:cs="Calibri"/>
          <w:b/>
        </w:rPr>
        <w:t>Summary of Key Findings and TE ratings</w:t>
      </w:r>
      <w:bookmarkEnd w:id="26"/>
    </w:p>
    <w:p w14:paraId="2FDAEBE7" w14:textId="77777777" w:rsidR="00447160" w:rsidRDefault="00447160" w:rsidP="00C07A0A">
      <w:pPr>
        <w:pStyle w:val="paragraph"/>
        <w:suppressAutoHyphens/>
        <w:spacing w:before="0" w:beforeAutospacing="0" w:after="0" w:afterAutospacing="0"/>
        <w:jc w:val="both"/>
        <w:rPr>
          <w:rFonts w:ascii="Calibri" w:eastAsiaTheme="majorEastAsia" w:hAnsi="Calibri" w:cs="Calibri"/>
          <w:color w:val="000000" w:themeColor="text1"/>
        </w:rPr>
      </w:pPr>
      <w:r>
        <w:rPr>
          <w:rFonts w:ascii="Calibri" w:eastAsiaTheme="majorEastAsia" w:hAnsi="Calibri" w:cs="Calibri"/>
          <w:color w:val="000000" w:themeColor="text1"/>
        </w:rPr>
        <w:t>Results, including key achievements and successes, were synthesised according to whole-of-project/overall progress (Table 3), with additional detail provided of country-level outcomes and selected activities under overall project results and effectiveness findings (</w:t>
      </w:r>
      <w:r>
        <w:rPr>
          <w:rFonts w:ascii="Calibri" w:eastAsiaTheme="majorEastAsia" w:hAnsi="Calibri" w:cs="Calibri"/>
          <w:b/>
          <w:bCs/>
          <w:color w:val="000000" w:themeColor="text1"/>
        </w:rPr>
        <w:t>Section 5.2</w:t>
      </w:r>
      <w:r>
        <w:rPr>
          <w:rFonts w:ascii="Calibri" w:eastAsiaTheme="majorEastAsia" w:hAnsi="Calibri" w:cs="Calibri"/>
          <w:color w:val="000000" w:themeColor="text1"/>
        </w:rPr>
        <w:t>).</w:t>
      </w:r>
    </w:p>
    <w:p w14:paraId="75070DF5" w14:textId="77777777" w:rsidR="002B060A" w:rsidRDefault="002B060A" w:rsidP="00C07A0A">
      <w:pPr>
        <w:pStyle w:val="paragraph"/>
        <w:suppressAutoHyphens/>
        <w:spacing w:before="0" w:beforeAutospacing="0" w:after="0" w:afterAutospacing="0"/>
        <w:rPr>
          <w:rFonts w:ascii="Calibri" w:eastAsiaTheme="majorEastAsia" w:hAnsi="Calibri" w:cs="Calibri"/>
          <w:color w:val="000000" w:themeColor="text1"/>
        </w:rPr>
      </w:pPr>
    </w:p>
    <w:p w14:paraId="75070DF6" w14:textId="77777777" w:rsidR="002B060A" w:rsidRDefault="006040A7" w:rsidP="00C07A0A">
      <w:pPr>
        <w:pStyle w:val="paragraph"/>
        <w:suppressAutoHyphens/>
        <w:spacing w:before="0" w:beforeAutospacing="0" w:after="0" w:afterAutospacing="0"/>
        <w:rPr>
          <w:rFonts w:ascii="Calibri" w:hAnsi="Calibri" w:cs="Calibri"/>
          <w:b/>
        </w:rPr>
      </w:pPr>
      <w:r>
        <w:rPr>
          <w:rFonts w:ascii="Calibri" w:hAnsi="Calibri" w:cs="Calibri"/>
          <w:b/>
        </w:rPr>
        <w:t>Table 3. Summary of key findings and TE Ratings</w:t>
      </w:r>
    </w:p>
    <w:tbl>
      <w:tblPr>
        <w:tblStyle w:val="TableGrid"/>
        <w:tblW w:w="8926" w:type="dxa"/>
        <w:tblLayout w:type="fixed"/>
        <w:tblLook w:val="06A0" w:firstRow="1" w:lastRow="0" w:firstColumn="1" w:lastColumn="0" w:noHBand="1" w:noVBand="1"/>
      </w:tblPr>
      <w:tblGrid>
        <w:gridCol w:w="1413"/>
        <w:gridCol w:w="1417"/>
        <w:gridCol w:w="6096"/>
      </w:tblGrid>
      <w:tr w:rsidR="00F83582" w14:paraId="75070DFA" w14:textId="77777777" w:rsidTr="00C00556">
        <w:trPr>
          <w:trHeight w:val="389"/>
          <w:tblHeader/>
        </w:trPr>
        <w:tc>
          <w:tcPr>
            <w:tcW w:w="1413" w:type="dxa"/>
            <w:shd w:val="clear" w:color="auto" w:fill="DAE9F7" w:themeFill="text2" w:themeFillTint="1A"/>
          </w:tcPr>
          <w:p w14:paraId="75070DF7" w14:textId="0ED52B5E" w:rsidR="00F83582" w:rsidRDefault="00F83582" w:rsidP="00F83582">
            <w:pPr>
              <w:pStyle w:val="paragraph"/>
              <w:suppressAutoHyphens/>
              <w:rPr>
                <w:rStyle w:val="eop"/>
                <w:rFonts w:ascii="Calibri" w:eastAsiaTheme="majorEastAsia" w:hAnsi="Calibri" w:cs="Calibri"/>
                <w:b/>
                <w:bCs/>
                <w:color w:val="000000" w:themeColor="text1"/>
                <w:sz w:val="20"/>
                <w:szCs w:val="20"/>
              </w:rPr>
            </w:pPr>
            <w:r>
              <w:rPr>
                <w:rStyle w:val="eop"/>
                <w:rFonts w:ascii="Calibri" w:eastAsiaTheme="majorEastAsia" w:hAnsi="Calibri" w:cs="Calibri"/>
                <w:b/>
                <w:bCs/>
                <w:color w:val="000000" w:themeColor="text1"/>
                <w:sz w:val="20"/>
                <w:szCs w:val="20"/>
              </w:rPr>
              <w:lastRenderedPageBreak/>
              <w:t>Measure</w:t>
            </w:r>
          </w:p>
        </w:tc>
        <w:tc>
          <w:tcPr>
            <w:tcW w:w="1417" w:type="dxa"/>
            <w:shd w:val="clear" w:color="auto" w:fill="DAE9F7" w:themeFill="text2" w:themeFillTint="1A"/>
          </w:tcPr>
          <w:p w14:paraId="75070DF8" w14:textId="094C4E5E" w:rsidR="00F83582" w:rsidRDefault="00F83582" w:rsidP="00F83582">
            <w:pPr>
              <w:pStyle w:val="paragraph"/>
              <w:suppressAutoHyphens/>
              <w:rPr>
                <w:rStyle w:val="eop"/>
                <w:rFonts w:ascii="Calibri" w:eastAsiaTheme="majorEastAsia" w:hAnsi="Calibri" w:cs="Calibri"/>
                <w:b/>
                <w:bCs/>
                <w:color w:val="000000" w:themeColor="text1"/>
                <w:sz w:val="20"/>
                <w:szCs w:val="20"/>
              </w:rPr>
            </w:pPr>
            <w:r>
              <w:rPr>
                <w:rStyle w:val="eop"/>
                <w:rFonts w:ascii="Calibri" w:eastAsiaTheme="majorEastAsia" w:hAnsi="Calibri" w:cs="Calibri"/>
                <w:b/>
                <w:bCs/>
                <w:color w:val="000000" w:themeColor="text1"/>
                <w:sz w:val="20"/>
                <w:szCs w:val="20"/>
              </w:rPr>
              <w:t>TE outcome rating</w:t>
            </w:r>
            <w:r w:rsidRPr="00CB0E8D">
              <w:rPr>
                <w:rStyle w:val="FootnoteReference"/>
                <w:rFonts w:ascii="Calibri" w:eastAsiaTheme="majorEastAsia" w:hAnsi="Calibri"/>
                <w:b/>
                <w:color w:val="000000" w:themeColor="text1"/>
                <w:sz w:val="20"/>
              </w:rPr>
              <w:footnoteReference w:id="7"/>
            </w:r>
            <w:r>
              <w:rPr>
                <w:rStyle w:val="eop"/>
                <w:rFonts w:ascii="Calibri" w:eastAsiaTheme="majorEastAsia" w:hAnsi="Calibri" w:cs="Calibri"/>
                <w:b/>
                <w:bCs/>
                <w:color w:val="000000" w:themeColor="text1"/>
                <w:sz w:val="20"/>
                <w:szCs w:val="20"/>
              </w:rPr>
              <w:t xml:space="preserve"> </w:t>
            </w:r>
          </w:p>
        </w:tc>
        <w:tc>
          <w:tcPr>
            <w:tcW w:w="6096" w:type="dxa"/>
            <w:shd w:val="clear" w:color="auto" w:fill="DAE9F7" w:themeFill="text2" w:themeFillTint="1A"/>
          </w:tcPr>
          <w:p w14:paraId="75070DF9" w14:textId="29824B34" w:rsidR="00F83582" w:rsidRDefault="00F83582" w:rsidP="00F83582">
            <w:pPr>
              <w:pStyle w:val="paragraph"/>
              <w:suppressAutoHyphens/>
              <w:rPr>
                <w:rStyle w:val="eop"/>
                <w:rFonts w:ascii="Calibri" w:eastAsiaTheme="majorEastAsia" w:hAnsi="Calibri" w:cs="Calibri"/>
                <w:b/>
                <w:bCs/>
                <w:color w:val="000000" w:themeColor="text1"/>
                <w:sz w:val="20"/>
                <w:szCs w:val="20"/>
              </w:rPr>
            </w:pPr>
            <w:r>
              <w:rPr>
                <w:rStyle w:val="eop"/>
                <w:rFonts w:ascii="Calibri" w:eastAsiaTheme="majorEastAsia" w:hAnsi="Calibri" w:cs="Calibri"/>
                <w:b/>
                <w:bCs/>
                <w:color w:val="000000" w:themeColor="text1"/>
                <w:sz w:val="20"/>
                <w:szCs w:val="20"/>
              </w:rPr>
              <w:t xml:space="preserve">Achievement Description </w:t>
            </w:r>
          </w:p>
        </w:tc>
      </w:tr>
      <w:tr w:rsidR="00F83582" w14:paraId="75070DFE" w14:textId="77777777" w:rsidTr="001071B4">
        <w:trPr>
          <w:trHeight w:val="389"/>
        </w:trPr>
        <w:tc>
          <w:tcPr>
            <w:tcW w:w="1413" w:type="dxa"/>
            <w:vMerge w:val="restart"/>
          </w:tcPr>
          <w:p w14:paraId="75070DFB" w14:textId="3B45814D" w:rsidR="00F83582" w:rsidRDefault="00F83582" w:rsidP="00F83582">
            <w:pPr>
              <w:pStyle w:val="paragraph"/>
              <w:suppressAutoHyphens/>
              <w:spacing w:line="259" w:lineRule="auto"/>
              <w:rPr>
                <w:rFonts w:ascii="Calibri" w:eastAsiaTheme="majorEastAsia" w:hAnsi="Calibri" w:cs="Calibri"/>
                <w:b/>
                <w:color w:val="000000" w:themeColor="text1"/>
                <w:sz w:val="20"/>
                <w:szCs w:val="20"/>
              </w:rPr>
            </w:pPr>
            <w:r>
              <w:rPr>
                <w:rFonts w:ascii="Calibri" w:eastAsiaTheme="majorEastAsia" w:hAnsi="Calibri" w:cs="Calibri"/>
                <w:b/>
                <w:color w:val="000000" w:themeColor="text1"/>
                <w:sz w:val="20"/>
                <w:szCs w:val="20"/>
              </w:rPr>
              <w:t xml:space="preserve">Project Results and Effectiveness </w:t>
            </w:r>
          </w:p>
        </w:tc>
        <w:tc>
          <w:tcPr>
            <w:tcW w:w="1417" w:type="dxa"/>
          </w:tcPr>
          <w:p w14:paraId="75070DFC" w14:textId="2B18F6C5" w:rsidR="00F83582" w:rsidRDefault="00F83582" w:rsidP="00F83582">
            <w:pPr>
              <w:pStyle w:val="paragraph"/>
              <w:suppressAutoHyphens/>
              <w:spacing w:line="259" w:lineRule="auto"/>
              <w:rPr>
                <w:rStyle w:val="eop"/>
                <w:rFonts w:ascii="Calibri" w:eastAsiaTheme="majorEastAsia" w:hAnsi="Calibri" w:cs="Calibri"/>
                <w:bCs/>
                <w:color w:val="000000" w:themeColor="text1"/>
                <w:sz w:val="20"/>
                <w:szCs w:val="20"/>
              </w:rPr>
            </w:pPr>
            <w:r>
              <w:rPr>
                <w:rFonts w:ascii="Calibri" w:eastAsiaTheme="majorEastAsia" w:hAnsi="Calibri" w:cs="Calibri"/>
                <w:b/>
                <w:color w:val="000000" w:themeColor="text1"/>
                <w:sz w:val="20"/>
                <w:szCs w:val="20"/>
              </w:rPr>
              <w:t xml:space="preserve">Project Objective: </w:t>
            </w:r>
            <w:r>
              <w:rPr>
                <w:rFonts w:ascii="Calibri" w:eastAsiaTheme="majorEastAsia" w:hAnsi="Calibri" w:cs="Calibri"/>
                <w:bCs/>
                <w:color w:val="000000" w:themeColor="text1"/>
                <w:sz w:val="20"/>
                <w:szCs w:val="20"/>
              </w:rPr>
              <w:t>Achieved – HS</w:t>
            </w:r>
          </w:p>
        </w:tc>
        <w:tc>
          <w:tcPr>
            <w:tcW w:w="6096" w:type="dxa"/>
          </w:tcPr>
          <w:p w14:paraId="75070DFD" w14:textId="0F9EA9CE" w:rsidR="00F83582" w:rsidRDefault="00F83582" w:rsidP="00F83582">
            <w:pPr>
              <w:pStyle w:val="paragraph"/>
              <w:suppressAutoHyphens/>
              <w:rPr>
                <w:rStyle w:val="eop"/>
                <w:rFonts w:ascii="Calibri" w:eastAsiaTheme="majorEastAsia" w:hAnsi="Calibri" w:cs="Calibri"/>
                <w:color w:val="000000" w:themeColor="text1"/>
                <w:sz w:val="20"/>
                <w:szCs w:val="20"/>
              </w:rPr>
            </w:pPr>
            <w:r w:rsidRPr="003445E8">
              <w:rPr>
                <w:rStyle w:val="eop"/>
                <w:rFonts w:ascii="Calibri" w:eastAsiaTheme="majorEastAsia" w:hAnsi="Calibri" w:cs="Calibri"/>
                <w:color w:val="000000" w:themeColor="text1"/>
                <w:sz w:val="20"/>
                <w:szCs w:val="20"/>
              </w:rPr>
              <w:t>HNAPs</w:t>
            </w:r>
            <w:r>
              <w:rPr>
                <w:rStyle w:val="eop"/>
                <w:rFonts w:ascii="Calibri" w:eastAsiaTheme="majorEastAsia" w:hAnsi="Calibri" w:cs="Calibri"/>
                <w:color w:val="000000" w:themeColor="text1"/>
                <w:sz w:val="20"/>
                <w:szCs w:val="20"/>
              </w:rPr>
              <w:t xml:space="preserve"> were completed and endorsed by all countries, with two now being updated (Bangladesh and Nepal). Comprehensiveness and quality of HNAPs was not within scope of this evaluation. National HNAP coordination mechanisms, such as Technical Working Groups (TWG), were established within MOH. Funding and accountability for HNAP implementation was a sustainability challenge, although some countries secured additional funding to mitigate these risks. </w:t>
            </w:r>
          </w:p>
        </w:tc>
      </w:tr>
      <w:tr w:rsidR="00F83582" w14:paraId="75070E02" w14:textId="77777777" w:rsidTr="001071B4">
        <w:trPr>
          <w:trHeight w:val="389"/>
        </w:trPr>
        <w:tc>
          <w:tcPr>
            <w:tcW w:w="1413" w:type="dxa"/>
            <w:vMerge/>
          </w:tcPr>
          <w:p w14:paraId="75070DFF" w14:textId="77777777" w:rsidR="00F83582" w:rsidRDefault="00F83582" w:rsidP="00F83582">
            <w:pPr>
              <w:pStyle w:val="paragraph"/>
              <w:suppressAutoHyphens/>
              <w:spacing w:line="259" w:lineRule="auto"/>
              <w:rPr>
                <w:rStyle w:val="eop"/>
                <w:rFonts w:ascii="Calibri" w:eastAsiaTheme="majorEastAsia" w:hAnsi="Calibri" w:cs="Calibri"/>
                <w:b/>
                <w:color w:val="000000" w:themeColor="text1"/>
                <w:sz w:val="20"/>
                <w:szCs w:val="20"/>
              </w:rPr>
            </w:pPr>
          </w:p>
        </w:tc>
        <w:tc>
          <w:tcPr>
            <w:tcW w:w="1417" w:type="dxa"/>
          </w:tcPr>
          <w:p w14:paraId="75070E00" w14:textId="6F3586A1" w:rsidR="00F83582" w:rsidRDefault="00F83582" w:rsidP="00F83582">
            <w:pPr>
              <w:pStyle w:val="paragraph"/>
              <w:suppressAutoHyphens/>
              <w:spacing w:line="259" w:lineRule="auto"/>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Outcome 1.</w:t>
            </w:r>
            <w:r>
              <w:rPr>
                <w:rFonts w:ascii="Calibri" w:eastAsia="Calibri" w:hAnsi="Calibri" w:cs="Calibri"/>
                <w:color w:val="000000" w:themeColor="text1"/>
                <w:sz w:val="20"/>
                <w:szCs w:val="20"/>
              </w:rPr>
              <w:t xml:space="preserve"> Achieved - HS</w:t>
            </w:r>
          </w:p>
        </w:tc>
        <w:tc>
          <w:tcPr>
            <w:tcW w:w="6096" w:type="dxa"/>
          </w:tcPr>
          <w:p w14:paraId="75070E01" w14:textId="45F4151B" w:rsidR="00F83582" w:rsidRDefault="00F83582" w:rsidP="00F83582">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Institutional capacity was enhanced in all countries through the development and finalisation of context-specific guidelines, tools, manuals and standards. Global and regional technical guidelines were adapted to national contexts, with evidence of government ownership through co-branding and rollout in national and sub-national training and capacity-building activities. </w:t>
            </w:r>
          </w:p>
        </w:tc>
      </w:tr>
      <w:tr w:rsidR="00F83582" w14:paraId="75070E06" w14:textId="77777777" w:rsidTr="001071B4">
        <w:trPr>
          <w:trHeight w:val="983"/>
        </w:trPr>
        <w:tc>
          <w:tcPr>
            <w:tcW w:w="1413" w:type="dxa"/>
            <w:vMerge/>
          </w:tcPr>
          <w:p w14:paraId="75070E03" w14:textId="77777777" w:rsidR="00F83582" w:rsidRDefault="00F83582" w:rsidP="00F83582">
            <w:pPr>
              <w:pStyle w:val="paragraph"/>
              <w:suppressAutoHyphens/>
              <w:rPr>
                <w:rStyle w:val="eop"/>
                <w:rFonts w:ascii="Calibri" w:eastAsiaTheme="majorEastAsia" w:hAnsi="Calibri" w:cs="Calibri"/>
                <w:b/>
                <w:color w:val="000000" w:themeColor="text1"/>
                <w:sz w:val="20"/>
                <w:szCs w:val="20"/>
              </w:rPr>
            </w:pPr>
          </w:p>
        </w:tc>
        <w:tc>
          <w:tcPr>
            <w:tcW w:w="1417" w:type="dxa"/>
          </w:tcPr>
          <w:p w14:paraId="75070E04" w14:textId="3B333995" w:rsidR="00F83582" w:rsidRDefault="00F83582" w:rsidP="00F83582">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Outcome 2</w:t>
            </w:r>
            <w:r>
              <w:rPr>
                <w:rStyle w:val="eop"/>
                <w:rFonts w:ascii="Calibri" w:eastAsiaTheme="majorEastAsia" w:hAnsi="Calibri" w:cs="Calibri"/>
                <w:color w:val="000000" w:themeColor="text1"/>
                <w:sz w:val="20"/>
                <w:szCs w:val="20"/>
              </w:rPr>
              <w:t xml:space="preserve">. </w:t>
            </w:r>
            <w:r>
              <w:rPr>
                <w:rFonts w:ascii="Calibri" w:eastAsia="Calibri" w:hAnsi="Calibri" w:cs="Calibri"/>
                <w:color w:val="000000" w:themeColor="text1"/>
                <w:sz w:val="20"/>
                <w:szCs w:val="20"/>
              </w:rPr>
              <w:t>Achieved – S</w:t>
            </w:r>
          </w:p>
        </w:tc>
        <w:tc>
          <w:tcPr>
            <w:tcW w:w="6096" w:type="dxa"/>
          </w:tcPr>
          <w:p w14:paraId="75070E05" w14:textId="046F84B3" w:rsidR="00F83582" w:rsidRDefault="00F83582" w:rsidP="00F83582">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Vulnerability and adaptation (V&amp;A) assessments were completed in all countries, with results directly informing HNAP review and updates in project countries. V&amp;A comprehensiveness and quality was not within scope of this evaluation. All countries developed and piloted integrated climate-sensitive disease surveillance systems for select climate-sensitive health outcomes (dengue and diarrhoeal diseases most common), but there was uneven progress on wider rollout and scale-up, reflecting the diverse and varying contexts across countries. Limited availability of historical meteorological and disease data hampered timely development and integration of surveillance systems in Cambodia and Timor-Leste.  </w:t>
            </w:r>
          </w:p>
        </w:tc>
      </w:tr>
      <w:tr w:rsidR="00F83582" w14:paraId="75070E0A" w14:textId="77777777" w:rsidTr="001071B4">
        <w:trPr>
          <w:trHeight w:val="389"/>
        </w:trPr>
        <w:tc>
          <w:tcPr>
            <w:tcW w:w="1413" w:type="dxa"/>
            <w:vMerge/>
          </w:tcPr>
          <w:p w14:paraId="75070E07" w14:textId="77777777" w:rsidR="00F83582" w:rsidRDefault="00F83582" w:rsidP="00F83582">
            <w:pPr>
              <w:pStyle w:val="paragraph"/>
              <w:suppressAutoHyphens/>
              <w:rPr>
                <w:rStyle w:val="eop"/>
                <w:rFonts w:ascii="Calibri" w:eastAsiaTheme="majorEastAsia" w:hAnsi="Calibri" w:cs="Calibri"/>
                <w:b/>
                <w:color w:val="000000" w:themeColor="text1"/>
                <w:sz w:val="20"/>
                <w:szCs w:val="20"/>
              </w:rPr>
            </w:pPr>
          </w:p>
        </w:tc>
        <w:tc>
          <w:tcPr>
            <w:tcW w:w="1417" w:type="dxa"/>
          </w:tcPr>
          <w:p w14:paraId="75070E08" w14:textId="2148C536" w:rsidR="00F83582" w:rsidRDefault="00F83582" w:rsidP="00F83582">
            <w:pPr>
              <w:pStyle w:val="paragraph"/>
              <w:suppressAutoHyphens/>
              <w:rPr>
                <w:rStyle w:val="eop"/>
                <w:rFonts w:ascii="Calibri" w:eastAsiaTheme="majorEastAsia" w:hAnsi="Calibri" w:cs="Calibri"/>
                <w:sz w:val="20"/>
                <w:szCs w:val="20"/>
              </w:rPr>
            </w:pPr>
            <w:r>
              <w:rPr>
                <w:rStyle w:val="eop"/>
                <w:rFonts w:ascii="Calibri" w:eastAsiaTheme="majorEastAsia" w:hAnsi="Calibri" w:cs="Calibri"/>
                <w:b/>
                <w:color w:val="000000" w:themeColor="text1"/>
                <w:sz w:val="20"/>
                <w:szCs w:val="20"/>
              </w:rPr>
              <w:t>Outcome 3.</w:t>
            </w:r>
            <w:r>
              <w:rPr>
                <w:rStyle w:val="eop"/>
                <w:rFonts w:ascii="Calibri" w:eastAsiaTheme="majorEastAsia" w:hAnsi="Calibri" w:cs="Calibri"/>
                <w:color w:val="000000" w:themeColor="text1"/>
                <w:sz w:val="20"/>
                <w:szCs w:val="20"/>
              </w:rPr>
              <w:t xml:space="preserve"> Achieved – HS</w:t>
            </w:r>
          </w:p>
        </w:tc>
        <w:tc>
          <w:tcPr>
            <w:tcW w:w="6096" w:type="dxa"/>
          </w:tcPr>
          <w:p w14:paraId="75070E09" w14:textId="614AB43F" w:rsidR="00F83582" w:rsidRDefault="00F83582" w:rsidP="00F83582">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All countries supported activities to enhance climate resilience in health service delivery. These efforts primarily focused on Water, Sanitation and Hygiene (WASH) and waste management. Additional investment may be needed to address other aspects of low-carbon and climate-resilient health service delivery. The flexibility to co-design and tailor activities to local contexts was beneficial, but variation in intervention approaches and unclear beneficiary definitions hindered comparison and indicator measurement. Funding and responsibilities for the ongoing maintenance and operation of interventions remain challenging. </w:t>
            </w:r>
          </w:p>
        </w:tc>
      </w:tr>
      <w:tr w:rsidR="00F83582" w14:paraId="75070E0F" w14:textId="77777777" w:rsidTr="001071B4">
        <w:trPr>
          <w:trHeight w:val="389"/>
        </w:trPr>
        <w:tc>
          <w:tcPr>
            <w:tcW w:w="1413" w:type="dxa"/>
            <w:vMerge/>
          </w:tcPr>
          <w:p w14:paraId="75070E0B" w14:textId="77777777" w:rsidR="00F83582" w:rsidRDefault="00F83582" w:rsidP="00F83582">
            <w:pPr>
              <w:pStyle w:val="paragraph"/>
              <w:suppressAutoHyphens/>
              <w:rPr>
                <w:rStyle w:val="eop"/>
                <w:rFonts w:ascii="Calibri" w:eastAsiaTheme="majorEastAsia" w:hAnsi="Calibri" w:cs="Calibri"/>
                <w:b/>
                <w:color w:val="000000" w:themeColor="text1"/>
                <w:sz w:val="20"/>
                <w:szCs w:val="20"/>
              </w:rPr>
            </w:pPr>
          </w:p>
        </w:tc>
        <w:tc>
          <w:tcPr>
            <w:tcW w:w="1417" w:type="dxa"/>
          </w:tcPr>
          <w:p w14:paraId="1B6C3D58" w14:textId="77777777" w:rsidR="00F83582" w:rsidRDefault="00F83582" w:rsidP="00F83582">
            <w:pPr>
              <w:pStyle w:val="paragraph"/>
              <w:suppressAutoHyphens/>
              <w:spacing w:after="0" w:afterAutospacing="0"/>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Outcome 4.1</w:t>
            </w:r>
            <w:r>
              <w:rPr>
                <w:rStyle w:val="eop"/>
                <w:rFonts w:ascii="Calibri" w:eastAsiaTheme="majorEastAsia" w:hAnsi="Calibri" w:cs="Calibri"/>
                <w:color w:val="000000" w:themeColor="text1"/>
                <w:sz w:val="20"/>
                <w:szCs w:val="20"/>
              </w:rPr>
              <w:t xml:space="preserve">. </w:t>
            </w:r>
          </w:p>
          <w:p w14:paraId="75070E0D" w14:textId="227A137D" w:rsidR="00F83582" w:rsidRDefault="00F83582" w:rsidP="00F83582">
            <w:pPr>
              <w:pStyle w:val="paragraph"/>
              <w:suppressAutoHyphens/>
              <w:spacing w:before="0" w:beforeAutospacing="0"/>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Achieved –HS</w:t>
            </w:r>
          </w:p>
        </w:tc>
        <w:tc>
          <w:tcPr>
            <w:tcW w:w="6096" w:type="dxa"/>
          </w:tcPr>
          <w:p w14:paraId="75070E0E" w14:textId="03C15E1C" w:rsidR="00F83582" w:rsidRDefault="00F83582" w:rsidP="00F83582">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Regional cooperation and knowledge exchange between WHO and MOH stakeholders were enhanced throughout the project. COVID-19 challenges were addressed through virtual activities. Face-to-face learning, knowledge exchange, and networking opportunities, when possible, were highly valued. Engagement at regional and global climate and health forums, including the WHO-led Alliance for Transformative Action on Climate and Health (ATACH) and UNFCCC conference of the Parties (COP) health networks, were significant enablers of institutional leadership and country ownership. </w:t>
            </w:r>
          </w:p>
        </w:tc>
      </w:tr>
      <w:tr w:rsidR="00F83582" w14:paraId="75070E14" w14:textId="77777777" w:rsidTr="001071B4">
        <w:trPr>
          <w:trHeight w:val="389"/>
        </w:trPr>
        <w:tc>
          <w:tcPr>
            <w:tcW w:w="1413" w:type="dxa"/>
            <w:vMerge/>
          </w:tcPr>
          <w:p w14:paraId="75070E10" w14:textId="77777777" w:rsidR="00F83582" w:rsidRDefault="00F83582" w:rsidP="00F83582">
            <w:pPr>
              <w:pStyle w:val="paragraph"/>
              <w:suppressAutoHyphens/>
              <w:rPr>
                <w:rStyle w:val="eop"/>
                <w:rFonts w:ascii="Calibri" w:eastAsiaTheme="majorEastAsia" w:hAnsi="Calibri" w:cs="Calibri"/>
                <w:b/>
                <w:color w:val="000000" w:themeColor="text1"/>
                <w:sz w:val="20"/>
                <w:szCs w:val="20"/>
              </w:rPr>
            </w:pPr>
          </w:p>
        </w:tc>
        <w:tc>
          <w:tcPr>
            <w:tcW w:w="1417" w:type="dxa"/>
          </w:tcPr>
          <w:p w14:paraId="47496A74" w14:textId="77777777" w:rsidR="00F83582" w:rsidRDefault="00F83582" w:rsidP="00F83582">
            <w:pPr>
              <w:pStyle w:val="paragraph"/>
              <w:suppressAutoHyphens/>
              <w:spacing w:after="0" w:afterAutospacing="0"/>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Outcome 4.2</w:t>
            </w:r>
            <w:r>
              <w:rPr>
                <w:rStyle w:val="eop"/>
                <w:rFonts w:ascii="Calibri" w:eastAsiaTheme="majorEastAsia" w:hAnsi="Calibri" w:cs="Calibri"/>
                <w:color w:val="000000" w:themeColor="text1"/>
                <w:sz w:val="20"/>
                <w:szCs w:val="20"/>
              </w:rPr>
              <w:t xml:space="preserve"> </w:t>
            </w:r>
          </w:p>
          <w:p w14:paraId="75070E12" w14:textId="6685C3BF" w:rsidR="00F83582" w:rsidRDefault="00F83582" w:rsidP="00F83582">
            <w:pPr>
              <w:pStyle w:val="paragraph"/>
              <w:suppressAutoHyphens/>
              <w:spacing w:before="0" w:beforeAutospacing="0"/>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On track - MS</w:t>
            </w:r>
          </w:p>
        </w:tc>
        <w:tc>
          <w:tcPr>
            <w:tcW w:w="6096" w:type="dxa"/>
          </w:tcPr>
          <w:p w14:paraId="75070E13" w14:textId="628BDF87" w:rsidR="00F83582" w:rsidRDefault="00F83582" w:rsidP="00F83582">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All countries engaged with UNDP but there was uneven progress on integration of HNAPs into NAPs. The project generally facilitated stronger intersectoral collaboration and coordination between the health and environment/climate sectors, however formalisation through institutional partnerships and implementation plans varied. UNDP has drafted a method to quantify the direct and indirect costs of </w:t>
            </w:r>
            <w:r>
              <w:rPr>
                <w:rStyle w:val="eop"/>
                <w:rFonts w:ascii="Calibri" w:eastAsiaTheme="majorEastAsia" w:hAnsi="Calibri" w:cs="Calibri"/>
                <w:color w:val="000000" w:themeColor="text1"/>
                <w:sz w:val="20"/>
                <w:szCs w:val="20"/>
              </w:rPr>
              <w:lastRenderedPageBreak/>
              <w:t>climate change on health, to inform adaptation actions, but it was not possible to verify application or relevance to the project. Nepal, Bangladesh and Timor-Leste made significant progress in HNAP-NAP integration, providing a model of best practice.</w:t>
            </w:r>
          </w:p>
        </w:tc>
      </w:tr>
      <w:tr w:rsidR="00F83582" w14:paraId="75070E19" w14:textId="77777777" w:rsidTr="001071B4">
        <w:trPr>
          <w:trHeight w:val="389"/>
        </w:trPr>
        <w:tc>
          <w:tcPr>
            <w:tcW w:w="1413" w:type="dxa"/>
            <w:vMerge w:val="restart"/>
          </w:tcPr>
          <w:p w14:paraId="75070E15" w14:textId="66352D07" w:rsidR="00F83582" w:rsidRDefault="00F83582" w:rsidP="00F83582">
            <w:pPr>
              <w:pStyle w:val="paragraph"/>
              <w:suppressAutoHyphens/>
              <w:rPr>
                <w:rStyle w:val="eop"/>
                <w:rFonts w:ascii="Calibri" w:eastAsiaTheme="majorEastAsia" w:hAnsi="Calibri" w:cs="Calibri"/>
                <w:b/>
                <w:color w:val="000000" w:themeColor="text1"/>
                <w:sz w:val="20"/>
                <w:szCs w:val="20"/>
              </w:rPr>
            </w:pPr>
            <w:r>
              <w:rPr>
                <w:rStyle w:val="eop"/>
                <w:rFonts w:ascii="Calibri" w:eastAsiaTheme="majorEastAsia" w:hAnsi="Calibri" w:cs="Calibri"/>
                <w:b/>
                <w:color w:val="000000" w:themeColor="text1"/>
                <w:sz w:val="20"/>
                <w:szCs w:val="20"/>
              </w:rPr>
              <w:lastRenderedPageBreak/>
              <w:t>Evaluation Criteria and Cross-cutting measures</w:t>
            </w:r>
          </w:p>
        </w:tc>
        <w:tc>
          <w:tcPr>
            <w:tcW w:w="1417" w:type="dxa"/>
          </w:tcPr>
          <w:p w14:paraId="15E351A7" w14:textId="77777777" w:rsidR="00F83582" w:rsidRDefault="00F83582" w:rsidP="00F83582">
            <w:pPr>
              <w:pStyle w:val="paragraph"/>
              <w:suppressAutoHyphens/>
              <w:spacing w:before="0" w:beforeAutospacing="0" w:after="0" w:afterAutospacing="0"/>
              <w:rPr>
                <w:rStyle w:val="eop"/>
                <w:rFonts w:ascii="Calibri" w:eastAsiaTheme="majorEastAsia" w:hAnsi="Calibri" w:cs="Calibri"/>
                <w:color w:val="000000" w:themeColor="text1"/>
                <w:sz w:val="20"/>
                <w:szCs w:val="20"/>
              </w:rPr>
            </w:pPr>
            <w:r>
              <w:rPr>
                <w:rStyle w:val="eop"/>
                <w:rFonts w:ascii="Calibri" w:eastAsiaTheme="majorEastAsia" w:hAnsi="Calibri" w:cs="Calibri"/>
                <w:b/>
                <w:color w:val="000000" w:themeColor="text1"/>
                <w:sz w:val="20"/>
                <w:szCs w:val="20"/>
              </w:rPr>
              <w:t>Project Implementation and Execution</w:t>
            </w:r>
            <w:r>
              <w:rPr>
                <w:rStyle w:val="eop"/>
                <w:rFonts w:ascii="Calibri" w:eastAsiaTheme="majorEastAsia" w:hAnsi="Calibri" w:cs="Calibri"/>
                <w:color w:val="000000" w:themeColor="text1"/>
                <w:sz w:val="20"/>
                <w:szCs w:val="20"/>
              </w:rPr>
              <w:t xml:space="preserve"> </w:t>
            </w:r>
          </w:p>
          <w:p w14:paraId="75070E17" w14:textId="4CC03B13" w:rsidR="00F83582" w:rsidRDefault="00F83582" w:rsidP="00F83582">
            <w:pPr>
              <w:pStyle w:val="paragraph"/>
              <w:suppressAutoHyphens/>
              <w:spacing w:before="0" w:beforeAutospacing="0" w:after="0" w:afterAutospacing="0"/>
              <w:rPr>
                <w:rStyle w:val="eop"/>
                <w:rFonts w:ascii="Calibri" w:eastAsiaTheme="majorEastAsia" w:hAnsi="Calibri" w:cs="Calibri"/>
                <w:b/>
                <w:color w:val="000000" w:themeColor="text1"/>
                <w:sz w:val="20"/>
                <w:szCs w:val="20"/>
              </w:rPr>
            </w:pPr>
            <w:r>
              <w:rPr>
                <w:rStyle w:val="eop"/>
                <w:rFonts w:ascii="Calibri" w:eastAsiaTheme="majorEastAsia" w:hAnsi="Calibri" w:cs="Calibri"/>
                <w:color w:val="000000" w:themeColor="text1"/>
                <w:sz w:val="20"/>
                <w:szCs w:val="20"/>
              </w:rPr>
              <w:t>Achieved – S</w:t>
            </w:r>
          </w:p>
        </w:tc>
        <w:tc>
          <w:tcPr>
            <w:tcW w:w="6096" w:type="dxa"/>
          </w:tcPr>
          <w:p w14:paraId="75070E18" w14:textId="785EA0D7" w:rsidR="00F83582" w:rsidRDefault="00F83582" w:rsidP="00F83582">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Overall project implementation was successful, with positive achievements at all levels across stakeholder engagement, activity execution, project management, and governance systems. HQ, regional and country teams worked to adapt activities and management processes throughout to respond to external drivers and implement variations where needed, including during the COVID-19 pandemic. The longer implementation period enabled by the no-cost extension was critical for overcoming COVID-19 related delays and establishing effective project implementation systems. Technical support by WHO is likely to continue as climate change is now embedded in WHO workplans at all levels. UNDP/WHO implementation and oversight was enabled by effective governance and reporting systems, and strong implementing partnerships between WHO and MOH in country. A significant underspend had accumulated at commencement of the final year of implementation and there was uneven expenditure across project outcomes and the PMU.</w:t>
            </w:r>
          </w:p>
        </w:tc>
      </w:tr>
      <w:tr w:rsidR="00F83582" w14:paraId="75070E1E" w14:textId="77777777" w:rsidTr="001071B4">
        <w:trPr>
          <w:trHeight w:val="1065"/>
        </w:trPr>
        <w:tc>
          <w:tcPr>
            <w:tcW w:w="1413" w:type="dxa"/>
            <w:vMerge/>
          </w:tcPr>
          <w:p w14:paraId="75070E1A" w14:textId="77777777" w:rsidR="00F83582" w:rsidRDefault="00F83582" w:rsidP="00F83582">
            <w:pPr>
              <w:pStyle w:val="paragraph"/>
              <w:suppressAutoHyphens/>
              <w:rPr>
                <w:rStyle w:val="eop"/>
                <w:rFonts w:ascii="Calibri" w:eastAsiaTheme="majorEastAsia" w:hAnsi="Calibri" w:cs="Calibri"/>
                <w:b/>
                <w:color w:val="000000" w:themeColor="text1"/>
                <w:sz w:val="20"/>
                <w:szCs w:val="20"/>
              </w:rPr>
            </w:pPr>
          </w:p>
        </w:tc>
        <w:tc>
          <w:tcPr>
            <w:tcW w:w="1417" w:type="dxa"/>
          </w:tcPr>
          <w:p w14:paraId="6B33EF35" w14:textId="77777777" w:rsidR="00F83582" w:rsidRDefault="00F83582" w:rsidP="00F83582">
            <w:pPr>
              <w:pStyle w:val="paragraph"/>
              <w:suppressAutoHyphens/>
              <w:spacing w:before="0" w:beforeAutospacing="0" w:after="0" w:afterAutospacing="0"/>
              <w:rPr>
                <w:rStyle w:val="eop"/>
                <w:rFonts w:ascii="Calibri" w:eastAsiaTheme="majorEastAsia" w:hAnsi="Calibri" w:cs="Calibri"/>
                <w:b/>
                <w:color w:val="000000" w:themeColor="text1"/>
                <w:sz w:val="20"/>
                <w:szCs w:val="20"/>
              </w:rPr>
            </w:pPr>
            <w:r>
              <w:rPr>
                <w:rStyle w:val="eop"/>
                <w:rFonts w:ascii="Calibri" w:eastAsiaTheme="majorEastAsia" w:hAnsi="Calibri" w:cs="Calibri"/>
                <w:b/>
                <w:color w:val="000000" w:themeColor="text1"/>
                <w:sz w:val="20"/>
                <w:szCs w:val="20"/>
              </w:rPr>
              <w:t>Monitoring &amp; Evaluation</w:t>
            </w:r>
          </w:p>
          <w:p w14:paraId="75070E1C" w14:textId="426CA31D" w:rsidR="00F83582" w:rsidRDefault="00F83582" w:rsidP="00F83582">
            <w:pPr>
              <w:pStyle w:val="paragraph"/>
              <w:suppressAutoHyphens/>
              <w:spacing w:before="0" w:beforeAutospacing="0" w:after="0" w:afterAutospacing="0"/>
              <w:rPr>
                <w:rStyle w:val="eop"/>
                <w:rFonts w:ascii="Calibri" w:eastAsiaTheme="majorEastAsia" w:hAnsi="Calibri" w:cs="Calibri"/>
                <w:b/>
                <w:color w:val="000000" w:themeColor="text1"/>
                <w:sz w:val="20"/>
                <w:szCs w:val="20"/>
              </w:rPr>
            </w:pPr>
            <w:r>
              <w:rPr>
                <w:rStyle w:val="eop"/>
                <w:rFonts w:ascii="Calibri" w:eastAsiaTheme="majorEastAsia" w:hAnsi="Calibri" w:cs="Calibri"/>
                <w:color w:val="000000" w:themeColor="text1"/>
                <w:sz w:val="20"/>
                <w:szCs w:val="20"/>
              </w:rPr>
              <w:t>Achieved – S</w:t>
            </w:r>
          </w:p>
        </w:tc>
        <w:tc>
          <w:tcPr>
            <w:tcW w:w="6096" w:type="dxa"/>
          </w:tcPr>
          <w:p w14:paraId="75070E1D" w14:textId="762FDC21" w:rsidR="00F83582" w:rsidRDefault="00F83582" w:rsidP="00F83582">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M&amp;E systems were generally clear, consistent, and participatory, with some gaps around tracking country-level targets, beneficiary numbers, and measuring intervention impacts, such as through behaviour change or reduction in climate-sensitive health risks.</w:t>
            </w:r>
          </w:p>
        </w:tc>
      </w:tr>
      <w:tr w:rsidR="00F83582" w14:paraId="75070E25" w14:textId="77777777" w:rsidTr="001071B4">
        <w:trPr>
          <w:trHeight w:val="338"/>
        </w:trPr>
        <w:tc>
          <w:tcPr>
            <w:tcW w:w="1413" w:type="dxa"/>
            <w:vMerge/>
          </w:tcPr>
          <w:p w14:paraId="75070E1F" w14:textId="77777777" w:rsidR="00F83582" w:rsidRDefault="00F83582" w:rsidP="00F83582">
            <w:pPr>
              <w:pStyle w:val="paragraph"/>
              <w:suppressAutoHyphens/>
              <w:rPr>
                <w:rStyle w:val="eop"/>
                <w:rFonts w:ascii="Calibri" w:eastAsiaTheme="majorEastAsia" w:hAnsi="Calibri" w:cs="Calibri"/>
                <w:b/>
                <w:color w:val="000000" w:themeColor="text1"/>
                <w:sz w:val="20"/>
                <w:szCs w:val="20"/>
              </w:rPr>
            </w:pPr>
          </w:p>
        </w:tc>
        <w:tc>
          <w:tcPr>
            <w:tcW w:w="1417" w:type="dxa"/>
          </w:tcPr>
          <w:p w14:paraId="251CE370" w14:textId="77777777" w:rsidR="00F83582" w:rsidRDefault="00F83582" w:rsidP="00F83582">
            <w:pPr>
              <w:pStyle w:val="paragraph"/>
              <w:suppressAutoHyphens/>
              <w:spacing w:before="0" w:beforeAutospacing="0" w:after="0" w:afterAutospacing="0"/>
              <w:rPr>
                <w:rStyle w:val="eop"/>
                <w:rFonts w:ascii="Calibri" w:eastAsiaTheme="majorEastAsia" w:hAnsi="Calibri" w:cs="Calibri"/>
                <w:b/>
                <w:color w:val="000000" w:themeColor="text1"/>
                <w:sz w:val="20"/>
                <w:szCs w:val="20"/>
              </w:rPr>
            </w:pPr>
            <w:r>
              <w:rPr>
                <w:rStyle w:val="eop"/>
                <w:rFonts w:ascii="Calibri" w:eastAsiaTheme="majorEastAsia" w:hAnsi="Calibri" w:cs="Calibri"/>
                <w:b/>
                <w:color w:val="000000" w:themeColor="text1"/>
                <w:sz w:val="20"/>
                <w:szCs w:val="20"/>
              </w:rPr>
              <w:t>Sustainability</w:t>
            </w:r>
            <w:r w:rsidRPr="00CB0E8D">
              <w:rPr>
                <w:rStyle w:val="FootnoteReference"/>
                <w:rFonts w:ascii="Calibri" w:eastAsiaTheme="majorEastAsia" w:hAnsi="Calibri"/>
                <w:b/>
                <w:color w:val="000000" w:themeColor="text1"/>
                <w:sz w:val="20"/>
              </w:rPr>
              <w:footnoteReference w:id="8"/>
            </w:r>
            <w:r>
              <w:rPr>
                <w:rStyle w:val="eop"/>
                <w:rFonts w:ascii="Calibri" w:eastAsiaTheme="majorEastAsia" w:hAnsi="Calibri" w:cs="Calibri"/>
                <w:b/>
                <w:color w:val="000000" w:themeColor="text1"/>
                <w:sz w:val="20"/>
                <w:szCs w:val="20"/>
              </w:rPr>
              <w:t xml:space="preserve"> </w:t>
            </w:r>
          </w:p>
          <w:p w14:paraId="604E067E" w14:textId="77777777" w:rsidR="00F83582" w:rsidRDefault="00F83582" w:rsidP="00F83582">
            <w:pPr>
              <w:pStyle w:val="paragraph"/>
              <w:suppressAutoHyphens/>
              <w:spacing w:before="0" w:beforeAutospacing="0"/>
              <w:rPr>
                <w:rStyle w:val="eop"/>
                <w:rFonts w:ascii="Calibri" w:eastAsiaTheme="majorEastAsia" w:hAnsi="Calibri" w:cs="Calibri"/>
                <w:bCs/>
                <w:color w:val="000000" w:themeColor="text1"/>
                <w:sz w:val="20"/>
                <w:szCs w:val="20"/>
              </w:rPr>
            </w:pPr>
            <w:r>
              <w:rPr>
                <w:rStyle w:val="eop"/>
                <w:rFonts w:ascii="Calibri" w:eastAsiaTheme="majorEastAsia" w:hAnsi="Calibri" w:cs="Calibri"/>
                <w:bCs/>
                <w:color w:val="000000" w:themeColor="text1"/>
                <w:sz w:val="20"/>
                <w:szCs w:val="20"/>
              </w:rPr>
              <w:t>ML</w:t>
            </w:r>
          </w:p>
          <w:p w14:paraId="75070E22" w14:textId="77777777" w:rsidR="00F83582" w:rsidRDefault="00F83582" w:rsidP="00F83582">
            <w:pPr>
              <w:pStyle w:val="paragraph"/>
              <w:suppressAutoHyphens/>
              <w:rPr>
                <w:rStyle w:val="eop"/>
                <w:rFonts w:ascii="Calibri" w:eastAsiaTheme="majorEastAsia" w:hAnsi="Calibri" w:cs="Calibri"/>
                <w:bCs/>
                <w:color w:val="000000" w:themeColor="text1"/>
                <w:sz w:val="20"/>
                <w:szCs w:val="20"/>
              </w:rPr>
            </w:pPr>
          </w:p>
        </w:tc>
        <w:tc>
          <w:tcPr>
            <w:tcW w:w="6096" w:type="dxa"/>
          </w:tcPr>
          <w:p w14:paraId="75070E24" w14:textId="54329FBC" w:rsidR="00F83582" w:rsidRDefault="00F83582" w:rsidP="00F83582">
            <w:pPr>
              <w:pStyle w:val="paragraph"/>
              <w:suppressAutoHyphens/>
              <w:rPr>
                <w:rStyle w:val="eop"/>
                <w:rFonts w:ascii="Calibri" w:eastAsiaTheme="majorEastAsia" w:hAnsi="Calibri" w:cs="Calibri"/>
                <w:color w:val="000000" w:themeColor="text1"/>
                <w:sz w:val="20"/>
                <w:szCs w:val="20"/>
              </w:rPr>
            </w:pPr>
            <w:r>
              <w:rPr>
                <w:rStyle w:val="eop"/>
                <w:rFonts w:ascii="Calibri" w:eastAsiaTheme="majorEastAsia" w:hAnsi="Calibri" w:cs="Calibri"/>
                <w:color w:val="000000" w:themeColor="text1"/>
                <w:sz w:val="20"/>
                <w:szCs w:val="20"/>
              </w:rPr>
              <w:t xml:space="preserve">Longer-term impact and sustainability of project activities is likely to have mixed success. Several activities achieved substantial country buy-in, particularly from MOH, including for HNAP development.  Institutional capacity was strengthened through training and capacity building investments. There was a high degree of country ownership over core policy frameworks, including HNAPs and national guidelines and standards for climate change and health. The project also laid strong foundations through demonstration pilots for integrated surveillance systems and climate-resilient health service interventions (especially WASH and waste management). Overall, sustainability could be hampered by systemic challenges, including staff turnover within key agencies, limited funding within LDC governments and accountability mechanisms for HNAP implementation, and competing priorities across health and broader climate/environment sectors. Countries that identified and/or secured funding to scale-up project activities, including through partnerships with other development and climate funders and integration of health within NAP priorities, may provide learnings for other settings.  </w:t>
            </w:r>
          </w:p>
        </w:tc>
      </w:tr>
    </w:tbl>
    <w:p w14:paraId="1808F5CC" w14:textId="77777777" w:rsidR="002670A2" w:rsidRDefault="002670A2" w:rsidP="00C07A0A">
      <w:pPr>
        <w:pStyle w:val="Heading3"/>
        <w:numPr>
          <w:ilvl w:val="1"/>
          <w:numId w:val="29"/>
        </w:numPr>
        <w:rPr>
          <w:rStyle w:val="eop"/>
          <w:rFonts w:ascii="Calibri" w:hAnsi="Calibri" w:cs="Calibri"/>
          <w:b/>
        </w:rPr>
      </w:pPr>
      <w:bookmarkStart w:id="27" w:name="_Toc173429978"/>
      <w:r>
        <w:rPr>
          <w:rStyle w:val="eop"/>
          <w:rFonts w:ascii="Calibri" w:hAnsi="Calibri" w:cs="Calibri"/>
          <w:b/>
        </w:rPr>
        <w:t>Overall Project Results and Effectiveness</w:t>
      </w:r>
      <w:bookmarkEnd w:id="27"/>
      <w:r>
        <w:rPr>
          <w:rStyle w:val="eop"/>
          <w:rFonts w:ascii="Calibri" w:hAnsi="Calibri" w:cs="Calibri"/>
          <w:b/>
        </w:rPr>
        <w:t> </w:t>
      </w:r>
    </w:p>
    <w:p w14:paraId="2ACA4649" w14:textId="77777777" w:rsidR="002670A2" w:rsidRDefault="002670A2" w:rsidP="00C07A0A">
      <w:pPr>
        <w:pStyle w:val="paragraph"/>
        <w:suppressAutoHyphens/>
        <w:spacing w:before="0" w:beforeAutospacing="0" w:after="0" w:afterAutospacing="0"/>
        <w:jc w:val="both"/>
        <w:rPr>
          <w:rFonts w:ascii="Calibri" w:eastAsiaTheme="majorEastAsia" w:hAnsi="Calibri" w:cs="Calibri"/>
          <w:color w:val="000000" w:themeColor="text1"/>
        </w:rPr>
      </w:pPr>
      <w:r>
        <w:rPr>
          <w:rFonts w:ascii="Calibri" w:eastAsiaTheme="majorEastAsia" w:hAnsi="Calibri" w:cs="Calibri"/>
          <w:color w:val="000000" w:themeColor="text1"/>
        </w:rPr>
        <w:t>The project has achieved or is on track to achieve its overall objective and corresponding end-of-project outcome and output targets. Country level outcome indicators and activities are clearly aligned to overall outcomes and there has been significant progress across several activities, particularly in relation to development of HNAPs, V&amp;A Assessments, and capacity building activities for climate resilient health services.</w:t>
      </w:r>
    </w:p>
    <w:p w14:paraId="2D6EF78F" w14:textId="4453DF52" w:rsidR="0061591F" w:rsidRDefault="0061591F" w:rsidP="00C07A0A">
      <w:pPr>
        <w:pStyle w:val="Heading4"/>
        <w:rPr>
          <w:rFonts w:ascii="Calibri" w:hAnsi="Calibri" w:cs="Calibri"/>
        </w:rPr>
      </w:pPr>
      <w:r>
        <w:rPr>
          <w:rFonts w:ascii="Calibri" w:hAnsi="Calibri" w:cs="Calibri"/>
        </w:rPr>
        <w:lastRenderedPageBreak/>
        <w:t>End of Project Results</w:t>
      </w:r>
    </w:p>
    <w:p w14:paraId="69AD4A37"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3091"/>
        <w:gridCol w:w="3018"/>
        <w:gridCol w:w="2907"/>
      </w:tblGrid>
      <w:tr w:rsidR="0061591F" w14:paraId="34A29FEC" w14:textId="77777777" w:rsidTr="008432F3">
        <w:tc>
          <w:tcPr>
            <w:tcW w:w="9016" w:type="dxa"/>
            <w:gridSpan w:val="3"/>
            <w:shd w:val="clear" w:color="auto" w:fill="DAE9F7" w:themeFill="text2" w:themeFillTint="1A"/>
          </w:tcPr>
          <w:p w14:paraId="38050BCE" w14:textId="77777777" w:rsidR="0061591F" w:rsidRDefault="0061591F" w:rsidP="00C07A0A">
            <w:pPr>
              <w:pStyle w:val="paragraph"/>
              <w:suppressAutoHyphens/>
              <w:rPr>
                <w:rStyle w:val="normaltextrun"/>
                <w:rFonts w:ascii="Calibri" w:eastAsiaTheme="majorEastAsia" w:hAnsi="Calibri" w:cs="Calibri"/>
                <w:color w:val="000000" w:themeColor="text1"/>
                <w:sz w:val="22"/>
                <w:szCs w:val="22"/>
                <w:lang w:val="en-GB"/>
              </w:rPr>
            </w:pPr>
            <w:r>
              <w:rPr>
                <w:rStyle w:val="normaltextrun"/>
                <w:rFonts w:ascii="Calibri" w:eastAsiaTheme="majorEastAsia" w:hAnsi="Calibri" w:cs="Calibri"/>
                <w:b/>
                <w:color w:val="000000" w:themeColor="text1"/>
                <w:sz w:val="22"/>
                <w:szCs w:val="22"/>
              </w:rPr>
              <w:t xml:space="preserve">Overall Objective: </w:t>
            </w:r>
            <w:r>
              <w:rPr>
                <w:rFonts w:ascii="Calibri" w:eastAsiaTheme="majorEastAsia" w:hAnsi="Calibri" w:cs="Calibri"/>
                <w:color w:val="000000" w:themeColor="text1"/>
                <w:sz w:val="22"/>
                <w:szCs w:val="22"/>
                <w:lang w:val="en-GB"/>
              </w:rPr>
              <w:t>Increase the adaptive capacity of national health systems and institutions, and sub-national level actors, to respond to and manage long-term climate-sensitive health risks in six Asian LDCs.</w:t>
            </w:r>
          </w:p>
        </w:tc>
      </w:tr>
      <w:tr w:rsidR="0061591F" w14:paraId="34D832D3" w14:textId="77777777" w:rsidTr="008432F3">
        <w:tc>
          <w:tcPr>
            <w:tcW w:w="3091" w:type="dxa"/>
          </w:tcPr>
          <w:p w14:paraId="5DDE0284"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Indicator </w:t>
            </w:r>
          </w:p>
          <w:p w14:paraId="29135D5E"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3018" w:type="dxa"/>
          </w:tcPr>
          <w:p w14:paraId="66F1A9B3"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End of Project level and assessment </w:t>
            </w:r>
          </w:p>
        </w:tc>
        <w:tc>
          <w:tcPr>
            <w:tcW w:w="2907" w:type="dxa"/>
          </w:tcPr>
          <w:p w14:paraId="60082DF6"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Achievement rating </w:t>
            </w:r>
          </w:p>
        </w:tc>
      </w:tr>
      <w:tr w:rsidR="0061591F" w14:paraId="42A38998" w14:textId="77777777" w:rsidTr="0038216A">
        <w:trPr>
          <w:trHeight w:val="263"/>
        </w:trPr>
        <w:tc>
          <w:tcPr>
            <w:tcW w:w="3091" w:type="dxa"/>
          </w:tcPr>
          <w:p w14:paraId="6522972D" w14:textId="77777777" w:rsidR="0061591F" w:rsidRDefault="0061591F" w:rsidP="00C07A0A">
            <w:pPr>
              <w:pStyle w:val="paragraph"/>
              <w:suppressAutoHyphens/>
              <w:rPr>
                <w:rStyle w:val="normaltextrun"/>
                <w:rFonts w:ascii="Calibri" w:eastAsiaTheme="majorEastAsia" w:hAnsi="Calibri" w:cs="Calibri"/>
                <w:color w:val="000000" w:themeColor="text1"/>
                <w:sz w:val="22"/>
                <w:szCs w:val="22"/>
                <w:lang w:val="en-GB"/>
              </w:rPr>
            </w:pPr>
            <w:r>
              <w:rPr>
                <w:rFonts w:ascii="Calibri" w:eastAsiaTheme="majorEastAsia" w:hAnsi="Calibri" w:cs="Calibri"/>
                <w:b/>
                <w:bCs/>
                <w:color w:val="000000" w:themeColor="text1"/>
                <w:sz w:val="22"/>
                <w:szCs w:val="22"/>
                <w:lang w:val="en-GB"/>
              </w:rPr>
              <w:t xml:space="preserve">Indicator 1: </w:t>
            </w:r>
            <w:r>
              <w:rPr>
                <w:rFonts w:ascii="Calibri" w:eastAsiaTheme="majorEastAsia" w:hAnsi="Calibri" w:cs="Calibri"/>
                <w:color w:val="000000" w:themeColor="text1"/>
                <w:sz w:val="22"/>
                <w:szCs w:val="22"/>
                <w:lang w:val="en-GB"/>
              </w:rPr>
              <w:t>National HNAP for long term planning and capacity development is created and budgeted.</w:t>
            </w:r>
          </w:p>
        </w:tc>
        <w:tc>
          <w:tcPr>
            <w:tcW w:w="3018" w:type="dxa"/>
          </w:tcPr>
          <w:p w14:paraId="7B0E80F8" w14:textId="77777777" w:rsidR="0061591F" w:rsidRDefault="0061591F" w:rsidP="00C07A0A">
            <w:pPr>
              <w:pStyle w:val="paragraph"/>
              <w:suppressAutoHyphens/>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HNAP is finalized/updated in 6 countries as the long-term plan for health adaptation to climate change and MOH is part of TWG with mandate to address cross-cutting climate change adaptation.</w:t>
            </w:r>
          </w:p>
        </w:tc>
        <w:tc>
          <w:tcPr>
            <w:tcW w:w="2907" w:type="dxa"/>
            <w:shd w:val="clear" w:color="auto" w:fill="00B050"/>
          </w:tcPr>
          <w:p w14:paraId="7676B24F" w14:textId="77777777" w:rsidR="0061591F" w:rsidRPr="0038216A" w:rsidRDefault="0061591F" w:rsidP="00C07A0A">
            <w:pPr>
              <w:pStyle w:val="paragraph"/>
              <w:suppressAutoHyphens/>
              <w:rPr>
                <w:rStyle w:val="normaltextrun"/>
                <w:rFonts w:ascii="Calibri" w:eastAsiaTheme="majorEastAsia" w:hAnsi="Calibri" w:cs="Calibri"/>
                <w:b/>
                <w:bCs/>
                <w:color w:val="000000" w:themeColor="text1"/>
                <w:sz w:val="22"/>
                <w:szCs w:val="22"/>
              </w:rPr>
            </w:pPr>
            <w:r w:rsidRPr="0038216A">
              <w:rPr>
                <w:rFonts w:ascii="Calibri" w:eastAsiaTheme="majorEastAsia" w:hAnsi="Calibri" w:cs="Calibri"/>
                <w:b/>
                <w:bCs/>
                <w:color w:val="000000" w:themeColor="text1"/>
                <w:sz w:val="22"/>
                <w:szCs w:val="22"/>
              </w:rPr>
              <w:t>Achieved - HS</w:t>
            </w:r>
          </w:p>
        </w:tc>
      </w:tr>
    </w:tbl>
    <w:p w14:paraId="16E260AA"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05A32870" w14:textId="5E07DD21" w:rsidR="0061591F" w:rsidRDefault="0061591F" w:rsidP="00C07A0A">
      <w:pPr>
        <w:pStyle w:val="paragraph"/>
        <w:suppressAutoHyphens/>
        <w:spacing w:before="0" w:beforeAutospacing="0" w:after="0" w:afterAutospacing="0"/>
        <w:jc w:val="both"/>
        <w:rPr>
          <w:rFonts w:ascii="Calibri" w:eastAsiaTheme="majorEastAsia" w:hAnsi="Calibri" w:cs="Calibri"/>
          <w:color w:val="000000" w:themeColor="text1"/>
        </w:rPr>
      </w:pPr>
      <w:r w:rsidRPr="15E4831D">
        <w:rPr>
          <w:rStyle w:val="normaltextrun"/>
          <w:rFonts w:ascii="Calibri" w:eastAsiaTheme="majorEastAsia" w:hAnsi="Calibri" w:cs="Calibri"/>
          <w:color w:val="000000" w:themeColor="text1"/>
        </w:rPr>
        <w:t>The overall project objective has been achieved to a high degree of satisfaction</w:t>
      </w:r>
      <w:r w:rsidRPr="15E4831D">
        <w:rPr>
          <w:rFonts w:ascii="Calibri" w:eastAsiaTheme="majorEastAsia" w:hAnsi="Calibri" w:cs="Calibri"/>
          <w:color w:val="000000" w:themeColor="text1"/>
        </w:rPr>
        <w:t xml:space="preserve">. HNAPs have been finalised and endorsed in Bangladesh, Cambodia, Lao PDR, Nepal </w:t>
      </w:r>
      <w:r w:rsidR="001D1395">
        <w:rPr>
          <w:rFonts w:ascii="Calibri" w:eastAsiaTheme="majorEastAsia" w:hAnsi="Calibri" w:cs="Calibri"/>
          <w:color w:val="000000" w:themeColor="text1"/>
        </w:rPr>
        <w:t xml:space="preserve">(updated and endorsed) </w:t>
      </w:r>
      <w:r w:rsidRPr="15E4831D">
        <w:rPr>
          <w:rFonts w:ascii="Calibri" w:eastAsiaTheme="majorEastAsia" w:hAnsi="Calibri" w:cs="Calibri"/>
          <w:color w:val="000000" w:themeColor="text1"/>
        </w:rPr>
        <w:t xml:space="preserve">and Timor-Leste. </w:t>
      </w:r>
      <w:r w:rsidR="00A04B67">
        <w:rPr>
          <w:rFonts w:ascii="Calibri" w:eastAsiaTheme="majorEastAsia" w:hAnsi="Calibri" w:cs="Calibri"/>
          <w:color w:val="000000" w:themeColor="text1"/>
        </w:rPr>
        <w:t xml:space="preserve">Nepal’s HNAP was updated and approved in 2023, and Bangladesh is undertaking a HNAP update which </w:t>
      </w:r>
      <w:r w:rsidR="005331FE">
        <w:rPr>
          <w:rFonts w:ascii="Calibri" w:eastAsiaTheme="majorEastAsia" w:hAnsi="Calibri" w:cs="Calibri"/>
          <w:color w:val="000000" w:themeColor="text1"/>
        </w:rPr>
        <w:t xml:space="preserve">is expected to be endorsed by the Ministry of Health in 2024. </w:t>
      </w:r>
      <w:r w:rsidRPr="15E4831D">
        <w:rPr>
          <w:rFonts w:ascii="Calibri" w:eastAsiaTheme="majorEastAsia" w:hAnsi="Calibri" w:cs="Calibri"/>
          <w:color w:val="000000" w:themeColor="text1"/>
        </w:rPr>
        <w:t>Myanmar has an advanced draft HNAP, however activities have been suspended in Myanmar since December 2021 and current status of the HNAP is unclear (M</w:t>
      </w:r>
      <w:r w:rsidRPr="15E4831D">
        <w:rPr>
          <w:rStyle w:val="normaltextrun"/>
          <w:rFonts w:ascii="Calibri" w:eastAsiaTheme="majorEastAsia" w:hAnsi="Calibri" w:cs="Calibri"/>
          <w:color w:val="000000" w:themeColor="text1"/>
        </w:rPr>
        <w:t>yanmar has not been assessed towards overall progress or outcome achievement).</w:t>
      </w:r>
    </w:p>
    <w:p w14:paraId="5F52F986" w14:textId="77777777" w:rsidR="0061591F" w:rsidRDefault="0061591F" w:rsidP="00C07A0A">
      <w:pPr>
        <w:pStyle w:val="paragraph"/>
        <w:suppressAutoHyphens/>
        <w:spacing w:before="0" w:beforeAutospacing="0" w:after="0" w:afterAutospacing="0"/>
        <w:jc w:val="both"/>
        <w:rPr>
          <w:rStyle w:val="normaltextrun"/>
          <w:rFonts w:ascii="Calibri" w:eastAsiaTheme="majorEastAsia" w:hAnsi="Calibri" w:cs="Calibri"/>
        </w:rPr>
      </w:pPr>
    </w:p>
    <w:p w14:paraId="0D3B634C" w14:textId="685F175D" w:rsidR="0061591F" w:rsidRDefault="0061591F" w:rsidP="00C07A0A">
      <w:pPr>
        <w:pStyle w:val="paragraph"/>
        <w:suppressAutoHyphens/>
        <w:spacing w:before="0" w:beforeAutospacing="0" w:after="0" w:afterAutospacing="0"/>
        <w:jc w:val="both"/>
        <w:rPr>
          <w:rStyle w:val="normaltextrun"/>
          <w:rFonts w:ascii="Calibri" w:eastAsiaTheme="majorEastAsia" w:hAnsi="Calibri" w:cs="Calibri"/>
          <w:color w:val="000000" w:themeColor="text1"/>
        </w:rPr>
      </w:pPr>
      <w:r>
        <w:rPr>
          <w:rStyle w:val="normaltextrun"/>
          <w:rFonts w:ascii="Calibri" w:eastAsiaTheme="majorEastAsia" w:hAnsi="Calibri" w:cs="Calibri"/>
          <w:color w:val="000000" w:themeColor="text1"/>
        </w:rPr>
        <w:t xml:space="preserve">National HNAP coordination mechanisms, such as Technical Working Groups (TWGs), have been established with MOH representation, fostering good intersectoral collaboration with ministries responsible for broader environmental and climate portfolios. While these mechanisms are expected to continue supporting HNAP activities, progress may be limited without dedicated implementation funding after the project's conclusion. </w:t>
      </w:r>
    </w:p>
    <w:p w14:paraId="3A5D1760" w14:textId="77777777" w:rsidR="0061591F" w:rsidRDefault="0061591F" w:rsidP="00C07A0A">
      <w:pPr>
        <w:pStyle w:val="paragraph"/>
        <w:suppressAutoHyphens/>
        <w:spacing w:before="0" w:beforeAutospacing="0" w:after="0" w:afterAutospacing="0"/>
        <w:jc w:val="both"/>
        <w:rPr>
          <w:rStyle w:val="normaltextrun"/>
          <w:rFonts w:ascii="Calibri" w:eastAsiaTheme="majorEastAsia" w:hAnsi="Calibri" w:cs="Calibri"/>
          <w:color w:val="000000" w:themeColor="text1"/>
        </w:rPr>
      </w:pPr>
    </w:p>
    <w:p w14:paraId="2056A3A1" w14:textId="77777777" w:rsidR="0061591F" w:rsidRDefault="0061591F" w:rsidP="00C07A0A">
      <w:pPr>
        <w:pStyle w:val="paragraph"/>
        <w:suppressAutoHyphens/>
        <w:spacing w:before="0" w:beforeAutospacing="0" w:after="0" w:afterAutospacing="0"/>
        <w:jc w:val="both"/>
        <w:rPr>
          <w:rStyle w:val="normaltextrun"/>
          <w:rFonts w:ascii="Calibri" w:eastAsiaTheme="majorEastAsia" w:hAnsi="Calibri" w:cs="Calibri"/>
          <w:color w:val="000000" w:themeColor="text1"/>
        </w:rPr>
      </w:pPr>
      <w:r>
        <w:rPr>
          <w:rStyle w:val="normaltextrun"/>
          <w:rFonts w:ascii="Calibri" w:eastAsiaTheme="majorEastAsia" w:hAnsi="Calibri" w:cs="Calibri"/>
          <w:color w:val="000000" w:themeColor="text1"/>
        </w:rPr>
        <w:t>Some countries have integrated climate considerations into national health policy frameworks, such as the Nepal Health Sector-Strategic Plan (NHSSP) and the Operational Plan of the Ministry of Health and Family Welfare (MHFW) in Bangladesh. This reflects an increased prioritisation of climate change and health as a direct result of the project. Several stakeholders from WHO and MOH recognized the value of HNAPs as a core policy document for identifying and prioritising adaptation actions to address climate-related health risks and impacts: “</w:t>
      </w:r>
      <w:r>
        <w:rPr>
          <w:rStyle w:val="normaltextrun"/>
          <w:rFonts w:ascii="Calibri" w:eastAsiaTheme="majorEastAsia" w:hAnsi="Calibri" w:cs="Calibri"/>
          <w:i/>
          <w:color w:val="000000" w:themeColor="text1"/>
        </w:rPr>
        <w:t>developing the HNAP is essentially the first step to doing any work on climate change and health</w:t>
      </w:r>
      <w:r>
        <w:rPr>
          <w:rStyle w:val="normaltextrun"/>
          <w:rFonts w:ascii="Calibri" w:eastAsiaTheme="majorEastAsia" w:hAnsi="Calibri" w:cs="Calibri"/>
          <w:color w:val="000000" w:themeColor="text1"/>
        </w:rPr>
        <w:t>”. The process requires ongoing coordination within and between ministries, and the GEF funding has been critical for securing government buy-in and ownership.</w:t>
      </w:r>
    </w:p>
    <w:p w14:paraId="36D02497" w14:textId="77777777" w:rsidR="0061591F" w:rsidRDefault="0061591F" w:rsidP="00C07A0A">
      <w:pPr>
        <w:pStyle w:val="paragraph"/>
        <w:suppressAutoHyphens/>
        <w:spacing w:before="0" w:beforeAutospacing="0" w:after="0" w:afterAutospacing="0"/>
        <w:jc w:val="both"/>
        <w:rPr>
          <w:rStyle w:val="normaltextrun"/>
          <w:rFonts w:ascii="Calibri" w:eastAsiaTheme="majorEastAsia" w:hAnsi="Calibri" w:cs="Calibri"/>
          <w:color w:val="000000" w:themeColor="text1"/>
        </w:rPr>
      </w:pPr>
    </w:p>
    <w:p w14:paraId="6A188B2C" w14:textId="32FDDEA1" w:rsidR="0061591F" w:rsidRDefault="0061591F" w:rsidP="00C07A0A">
      <w:pPr>
        <w:pStyle w:val="paragraph"/>
        <w:suppressAutoHyphens/>
        <w:spacing w:before="0" w:beforeAutospacing="0" w:after="0" w:afterAutospacing="0"/>
        <w:jc w:val="both"/>
        <w:rPr>
          <w:rStyle w:val="normaltextrun"/>
          <w:rFonts w:ascii="Calibri" w:eastAsiaTheme="majorEastAsia" w:hAnsi="Calibri" w:cs="Calibri"/>
          <w:color w:val="000000" w:themeColor="text1"/>
        </w:rPr>
      </w:pPr>
      <w:r w:rsidRPr="7724665A">
        <w:rPr>
          <w:rStyle w:val="normaltextrun"/>
          <w:rFonts w:ascii="Calibri" w:eastAsiaTheme="majorEastAsia" w:hAnsi="Calibri" w:cs="Calibri"/>
          <w:color w:val="000000" w:themeColor="text1"/>
        </w:rPr>
        <w:t>As highlighted above, HNAPs lay the foundation for future work on</w:t>
      </w:r>
      <w:r w:rsidR="001D1395">
        <w:rPr>
          <w:rStyle w:val="normaltextrun"/>
          <w:rFonts w:ascii="Calibri" w:eastAsiaTheme="majorEastAsia" w:hAnsi="Calibri" w:cs="Calibri"/>
          <w:color w:val="000000" w:themeColor="text1"/>
        </w:rPr>
        <w:t xml:space="preserve"> -</w:t>
      </w:r>
      <w:r w:rsidRPr="7724665A">
        <w:rPr>
          <w:rStyle w:val="normaltextrun"/>
          <w:rFonts w:ascii="Calibri" w:eastAsiaTheme="majorEastAsia" w:hAnsi="Calibri" w:cs="Calibri"/>
          <w:color w:val="000000" w:themeColor="text1"/>
        </w:rPr>
        <w:t xml:space="preserve"> </w:t>
      </w:r>
      <w:r w:rsidR="001D1395">
        <w:rPr>
          <w:rStyle w:val="normaltextrun"/>
          <w:rFonts w:ascii="Calibri" w:eastAsiaTheme="majorEastAsia" w:hAnsi="Calibri" w:cs="Calibri"/>
          <w:color w:val="000000" w:themeColor="text1"/>
        </w:rPr>
        <w:t>and accessing finance for -</w:t>
      </w:r>
      <w:r w:rsidR="00C01393">
        <w:rPr>
          <w:rStyle w:val="normaltextrun"/>
          <w:rFonts w:ascii="Calibri" w:eastAsiaTheme="majorEastAsia" w:hAnsi="Calibri" w:cs="Calibri"/>
          <w:color w:val="000000" w:themeColor="text1"/>
        </w:rPr>
        <w:t xml:space="preserve"> </w:t>
      </w:r>
      <w:r w:rsidRPr="7724665A">
        <w:rPr>
          <w:rStyle w:val="normaltextrun"/>
          <w:rFonts w:ascii="Calibri" w:eastAsiaTheme="majorEastAsia" w:hAnsi="Calibri" w:cs="Calibri"/>
          <w:color w:val="000000" w:themeColor="text1"/>
        </w:rPr>
        <w:t>climate change and health, however l</w:t>
      </w:r>
      <w:r>
        <w:rPr>
          <w:rStyle w:val="normaltextrun"/>
          <w:rFonts w:ascii="Calibri" w:eastAsiaTheme="majorEastAsia" w:hAnsi="Calibri" w:cs="Calibri"/>
          <w:color w:val="000000" w:themeColor="text1"/>
        </w:rPr>
        <w:t>ong-term workplans and funding for HNAP implementation remain a challenge across all countries. It is unclear to what extent national health budgets have been aligned with HNAP commitments, and ultimately, implementation is a MOH responsibility. I</w:t>
      </w:r>
      <w:r w:rsidRPr="7724665A">
        <w:rPr>
          <w:rStyle w:val="normaltextrun"/>
          <w:rFonts w:ascii="Calibri" w:eastAsiaTheme="majorEastAsia" w:hAnsi="Calibri" w:cs="Calibri"/>
          <w:color w:val="000000" w:themeColor="text1"/>
        </w:rPr>
        <w:t xml:space="preserve">ncreasing the availability of climate finance for health </w:t>
      </w:r>
      <w:r w:rsidR="00BA3AAA">
        <w:rPr>
          <w:rStyle w:val="normaltextrun"/>
          <w:rFonts w:ascii="Calibri" w:eastAsiaTheme="majorEastAsia" w:hAnsi="Calibri" w:cs="Calibri"/>
          <w:color w:val="000000" w:themeColor="text1"/>
        </w:rPr>
        <w:t xml:space="preserve">globally </w:t>
      </w:r>
      <w:r w:rsidRPr="7724665A">
        <w:rPr>
          <w:rStyle w:val="normaltextrun"/>
          <w:rFonts w:ascii="Calibri" w:eastAsiaTheme="majorEastAsia" w:hAnsi="Calibri" w:cs="Calibri"/>
          <w:color w:val="000000" w:themeColor="text1"/>
        </w:rPr>
        <w:t xml:space="preserve">should be prioritised to ensure the successful implementation of HNAPs across project countries. </w:t>
      </w:r>
      <w:r>
        <w:rPr>
          <w:rStyle w:val="normaltextrun"/>
          <w:rFonts w:ascii="Calibri" w:eastAsiaTheme="majorEastAsia" w:hAnsi="Calibri" w:cs="Calibri"/>
          <w:color w:val="000000" w:themeColor="text1"/>
        </w:rPr>
        <w:t xml:space="preserve">Countries that have secured additional development finance could provide valuable insights </w:t>
      </w:r>
      <w:r>
        <w:rPr>
          <w:rStyle w:val="normaltextrun"/>
          <w:rFonts w:ascii="Calibri" w:eastAsiaTheme="majorEastAsia" w:hAnsi="Calibri" w:cs="Calibri"/>
          <w:color w:val="000000" w:themeColor="text1"/>
        </w:rPr>
        <w:lastRenderedPageBreak/>
        <w:t>for others. Notably, Lao PDR has leveraged the project to secure additional GCF funding, enabling ongoing coordination and scale-up.</w:t>
      </w:r>
    </w:p>
    <w:p w14:paraId="4A9FFA6A" w14:textId="77777777" w:rsidR="0061591F" w:rsidRDefault="0061591F" w:rsidP="00C07A0A">
      <w:pPr>
        <w:pStyle w:val="paragraph"/>
        <w:suppressAutoHyphens/>
        <w:spacing w:before="0" w:beforeAutospacing="0" w:after="0" w:afterAutospacing="0"/>
        <w:jc w:val="both"/>
        <w:rPr>
          <w:rStyle w:val="normaltextrun"/>
          <w:rFonts w:ascii="Calibri" w:eastAsiaTheme="majorEastAsia" w:hAnsi="Calibri" w:cs="Calibri"/>
        </w:rPr>
      </w:pPr>
    </w:p>
    <w:p w14:paraId="76568FC4" w14:textId="77777777" w:rsidR="0061591F" w:rsidRDefault="0061591F" w:rsidP="00C07A0A">
      <w:pPr>
        <w:pStyle w:val="paragraph"/>
        <w:suppressAutoHyphens/>
        <w:spacing w:before="0" w:beforeAutospacing="0" w:after="0" w:afterAutospacing="0"/>
        <w:jc w:val="both"/>
        <w:rPr>
          <w:rStyle w:val="normaltextrun"/>
          <w:rFonts w:ascii="Calibri" w:eastAsiaTheme="majorEastAsia" w:hAnsi="Calibri" w:cs="Calibri"/>
          <w:b/>
          <w:color w:val="000000" w:themeColor="text1"/>
        </w:rPr>
      </w:pPr>
      <w:r>
        <w:rPr>
          <w:rFonts w:ascii="Calibri" w:eastAsiaTheme="majorEastAsia" w:hAnsi="Calibri" w:cs="Calibri"/>
          <w:b/>
          <w:i/>
          <w:color w:val="000000" w:themeColor="text1"/>
        </w:rPr>
        <w:t>Country-level Outcomes</w:t>
      </w:r>
    </w:p>
    <w:p w14:paraId="71D65B8B"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2263"/>
        <w:gridCol w:w="6753"/>
      </w:tblGrid>
      <w:tr w:rsidR="0061591F" w14:paraId="4C1D9A21" w14:textId="77777777" w:rsidTr="0DEB5A7C">
        <w:tc>
          <w:tcPr>
            <w:tcW w:w="2263" w:type="dxa"/>
          </w:tcPr>
          <w:p w14:paraId="4782E1C0"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color w:val="000000" w:themeColor="text1"/>
              </w:rPr>
              <w:t>Bangladesh</w:t>
            </w:r>
          </w:p>
        </w:tc>
        <w:tc>
          <w:tcPr>
            <w:tcW w:w="6753" w:type="dxa"/>
          </w:tcPr>
          <w:p w14:paraId="031B5F24" w14:textId="77777777" w:rsidR="0061591F" w:rsidRDefault="0061591F" w:rsidP="00C07A0A">
            <w:pPr>
              <w:pStyle w:val="paragraph"/>
              <w:suppressAutoHyphens/>
              <w:rPr>
                <w:rFonts w:ascii="Calibri" w:eastAsiaTheme="majorEastAsia" w:hAnsi="Calibri" w:cs="Calibri"/>
                <w:color w:val="000000" w:themeColor="text1"/>
                <w:sz w:val="22"/>
                <w:szCs w:val="22"/>
                <w:lang w:val="en-GB"/>
              </w:rPr>
            </w:pPr>
            <w:r>
              <w:rPr>
                <w:rFonts w:ascii="Calibri" w:eastAsiaTheme="majorEastAsia" w:hAnsi="Calibri" w:cs="Calibri"/>
                <w:color w:val="000000" w:themeColor="text1"/>
                <w:sz w:val="22"/>
                <w:szCs w:val="22"/>
                <w:lang w:val="en-GB"/>
              </w:rPr>
              <w:t xml:space="preserve">HNAP finalised in 2018 with UK government funding in 2018. The Ministry of Environment, Forests and Climate Change published an NAP in 2023 which includes health sector adaptation options. An HNAP update is underway and will be informed by the 2022 V&amp;A assessment and is on-track for completion by project end. </w:t>
            </w:r>
          </w:p>
        </w:tc>
      </w:tr>
      <w:tr w:rsidR="0061591F" w14:paraId="171AB9D2" w14:textId="77777777" w:rsidTr="0DEB5A7C">
        <w:tc>
          <w:tcPr>
            <w:tcW w:w="2263" w:type="dxa"/>
          </w:tcPr>
          <w:p w14:paraId="26AECAB8"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color w:val="000000" w:themeColor="text1"/>
              </w:rPr>
              <w:t>Cambodia</w:t>
            </w:r>
          </w:p>
        </w:tc>
        <w:tc>
          <w:tcPr>
            <w:tcW w:w="6753" w:type="dxa"/>
          </w:tcPr>
          <w:p w14:paraId="1AA3C073" w14:textId="77777777" w:rsidR="0061591F" w:rsidRDefault="0061591F" w:rsidP="00C07A0A">
            <w:pPr>
              <w:pStyle w:val="paragraph"/>
              <w:suppressAutoHyphens/>
              <w:rPr>
                <w:rFonts w:ascii="Calibri" w:eastAsiaTheme="majorEastAsia" w:hAnsi="Calibri" w:cs="Calibri"/>
                <w:color w:val="000000" w:themeColor="text1"/>
                <w:sz w:val="22"/>
                <w:szCs w:val="22"/>
                <w:lang w:val="en-GB"/>
              </w:rPr>
            </w:pPr>
            <w:r>
              <w:rPr>
                <w:rFonts w:ascii="Calibri" w:eastAsiaTheme="majorEastAsia" w:hAnsi="Calibri" w:cs="Calibri"/>
                <w:color w:val="000000" w:themeColor="text1"/>
                <w:sz w:val="22"/>
                <w:szCs w:val="22"/>
                <w:lang w:val="en-GB"/>
              </w:rPr>
              <w:t xml:space="preserve">HNAP finalised and endorsed in 2020. </w:t>
            </w:r>
          </w:p>
        </w:tc>
      </w:tr>
      <w:tr w:rsidR="0061591F" w14:paraId="72389C9B" w14:textId="77777777" w:rsidTr="0DEB5A7C">
        <w:tc>
          <w:tcPr>
            <w:tcW w:w="2263" w:type="dxa"/>
          </w:tcPr>
          <w:p w14:paraId="7757700C"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color w:val="000000" w:themeColor="text1"/>
              </w:rPr>
              <w:t>Lao PDR</w:t>
            </w:r>
          </w:p>
        </w:tc>
        <w:tc>
          <w:tcPr>
            <w:tcW w:w="6753" w:type="dxa"/>
          </w:tcPr>
          <w:p w14:paraId="7072767D" w14:textId="77777777" w:rsidR="0061591F" w:rsidRDefault="0061591F" w:rsidP="00C07A0A">
            <w:pPr>
              <w:pStyle w:val="paragraph"/>
              <w:suppressAutoHyphens/>
              <w:rPr>
                <w:rFonts w:ascii="Calibri" w:eastAsiaTheme="majorEastAsia" w:hAnsi="Calibri" w:cs="Calibri"/>
                <w:sz w:val="22"/>
                <w:szCs w:val="22"/>
                <w:lang w:val="en-GB"/>
              </w:rPr>
            </w:pPr>
            <w:r>
              <w:rPr>
                <w:rFonts w:ascii="Calibri" w:eastAsiaTheme="majorEastAsia" w:hAnsi="Calibri" w:cs="Calibri"/>
                <w:sz w:val="22"/>
                <w:szCs w:val="22"/>
                <w:lang w:val="en-GB"/>
              </w:rPr>
              <w:t xml:space="preserve">HNAP finalised and endorsed in 2022. </w:t>
            </w:r>
          </w:p>
        </w:tc>
      </w:tr>
      <w:tr w:rsidR="0061591F" w14:paraId="33E7B58A" w14:textId="77777777" w:rsidTr="0DEB5A7C">
        <w:tc>
          <w:tcPr>
            <w:tcW w:w="2263" w:type="dxa"/>
          </w:tcPr>
          <w:p w14:paraId="00DCE89D"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color w:val="000000" w:themeColor="text1"/>
              </w:rPr>
              <w:t>Myanmar</w:t>
            </w:r>
          </w:p>
        </w:tc>
        <w:tc>
          <w:tcPr>
            <w:tcW w:w="6753" w:type="dxa"/>
          </w:tcPr>
          <w:p w14:paraId="35D47DB7" w14:textId="77777777" w:rsidR="0061591F" w:rsidRDefault="0061591F" w:rsidP="00C07A0A">
            <w:pPr>
              <w:pStyle w:val="paragraph"/>
              <w:suppressAutoHyphens/>
              <w:rPr>
                <w:rFonts w:ascii="Calibri" w:eastAsiaTheme="majorEastAsia" w:hAnsi="Calibri" w:cs="Calibri"/>
                <w:sz w:val="22"/>
                <w:szCs w:val="22"/>
                <w:lang w:val="en-GB"/>
              </w:rPr>
            </w:pPr>
            <w:r>
              <w:rPr>
                <w:rFonts w:ascii="Calibri" w:eastAsiaTheme="majorEastAsia" w:hAnsi="Calibri" w:cs="Calibri"/>
                <w:sz w:val="22"/>
                <w:szCs w:val="22"/>
                <w:lang w:val="en-GB"/>
              </w:rPr>
              <w:t xml:space="preserve">Activities have been suspended in Myanmar at the direction of GEF since December 2021. At the time of the suspension, a draft HNAP and V&amp;A methodology had been developed. </w:t>
            </w:r>
          </w:p>
        </w:tc>
      </w:tr>
      <w:tr w:rsidR="0061591F" w14:paraId="2D15024E" w14:textId="77777777" w:rsidTr="000E618B">
        <w:trPr>
          <w:trHeight w:val="759"/>
        </w:trPr>
        <w:tc>
          <w:tcPr>
            <w:tcW w:w="2263" w:type="dxa"/>
          </w:tcPr>
          <w:p w14:paraId="5B2C4F31"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color w:val="000000" w:themeColor="text1"/>
              </w:rPr>
              <w:t>Nepal</w:t>
            </w:r>
          </w:p>
        </w:tc>
        <w:tc>
          <w:tcPr>
            <w:tcW w:w="6753" w:type="dxa"/>
          </w:tcPr>
          <w:p w14:paraId="4DE6DF65" w14:textId="30493D03" w:rsidR="0061591F" w:rsidRPr="000E618B" w:rsidRDefault="004C5163" w:rsidP="0DEB5A7C">
            <w:pPr>
              <w:pStyle w:val="paragraph"/>
              <w:suppressAutoHyphens/>
              <w:rPr>
                <w:rFonts w:ascii="Calibri" w:eastAsiaTheme="majorEastAsia" w:hAnsi="Calibri" w:cs="Calibri"/>
                <w:sz w:val="22"/>
                <w:szCs w:val="22"/>
                <w:lang w:val="en-GB"/>
              </w:rPr>
            </w:pPr>
            <w:r w:rsidRPr="000E618B">
              <w:rPr>
                <w:rFonts w:ascii="Calibri" w:eastAsiaTheme="majorEastAsia" w:hAnsi="Calibri" w:cs="Calibri"/>
                <w:sz w:val="22"/>
                <w:szCs w:val="22"/>
                <w:lang w:val="en-GB"/>
              </w:rPr>
              <w:t xml:space="preserve">Updated HNAP finalised and endorsed in 2023. Significant progress in integrating with NAP, which includes health, water, and sanitation as key areas, with costing of adaptation programs. </w:t>
            </w:r>
          </w:p>
        </w:tc>
      </w:tr>
      <w:tr w:rsidR="0061591F" w14:paraId="165810C3" w14:textId="77777777" w:rsidTr="000E618B">
        <w:trPr>
          <w:trHeight w:val="70"/>
        </w:trPr>
        <w:tc>
          <w:tcPr>
            <w:tcW w:w="2263" w:type="dxa"/>
          </w:tcPr>
          <w:p w14:paraId="1A06314C"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color w:val="000000" w:themeColor="text1"/>
              </w:rPr>
              <w:t xml:space="preserve">Timor-Leste </w:t>
            </w:r>
          </w:p>
        </w:tc>
        <w:tc>
          <w:tcPr>
            <w:tcW w:w="6753" w:type="dxa"/>
          </w:tcPr>
          <w:p w14:paraId="7A9DE49B" w14:textId="77777777" w:rsidR="0061591F" w:rsidRDefault="0061591F" w:rsidP="00C07A0A">
            <w:pPr>
              <w:pStyle w:val="paragraph"/>
              <w:suppressAutoHyphens/>
              <w:rPr>
                <w:rFonts w:ascii="Calibri" w:eastAsiaTheme="majorEastAsia" w:hAnsi="Calibri" w:cs="Calibri"/>
                <w:color w:val="000000" w:themeColor="text1"/>
                <w:sz w:val="22"/>
                <w:szCs w:val="22"/>
                <w:lang w:val="en-GB"/>
              </w:rPr>
            </w:pPr>
            <w:r>
              <w:rPr>
                <w:rFonts w:ascii="Calibri" w:eastAsiaTheme="majorEastAsia" w:hAnsi="Calibri" w:cs="Calibri"/>
                <w:color w:val="000000" w:themeColor="text1"/>
                <w:sz w:val="22"/>
                <w:szCs w:val="22"/>
                <w:lang w:val="en-GB"/>
              </w:rPr>
              <w:t xml:space="preserve">HNAP finalised and endorsed in 2022. </w:t>
            </w:r>
          </w:p>
        </w:tc>
      </w:tr>
    </w:tbl>
    <w:p w14:paraId="4B87C575"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32AEF152" w14:textId="77777777" w:rsidR="0061591F" w:rsidRDefault="0061591F" w:rsidP="00C07A0A">
      <w:pPr>
        <w:pStyle w:val="Heading4"/>
        <w:rPr>
          <w:rStyle w:val="normaltextrun"/>
          <w:rFonts w:ascii="Calibri" w:hAnsi="Calibri" w:cs="Calibri"/>
          <w:color w:val="000000" w:themeColor="text1"/>
        </w:rPr>
      </w:pPr>
      <w:r>
        <w:rPr>
          <w:rFonts w:ascii="Calibri" w:hAnsi="Calibri" w:cs="Calibri"/>
        </w:rPr>
        <w:t xml:space="preserve">Outcome 1 </w:t>
      </w:r>
    </w:p>
    <w:p w14:paraId="7C6CAC21"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3091"/>
        <w:gridCol w:w="3018"/>
        <w:gridCol w:w="2907"/>
      </w:tblGrid>
      <w:tr w:rsidR="0061591F" w14:paraId="5A3046FE" w14:textId="77777777" w:rsidTr="008432F3">
        <w:tc>
          <w:tcPr>
            <w:tcW w:w="9016" w:type="dxa"/>
            <w:gridSpan w:val="3"/>
            <w:shd w:val="clear" w:color="auto" w:fill="DAE9F7" w:themeFill="text2" w:themeFillTint="1A"/>
          </w:tcPr>
          <w:p w14:paraId="701469EB" w14:textId="77777777" w:rsidR="0061591F" w:rsidRDefault="0061591F" w:rsidP="00C07A0A">
            <w:pPr>
              <w:pStyle w:val="paragraph"/>
              <w:suppressAutoHyphens/>
              <w:rPr>
                <w:rStyle w:val="normaltextrun"/>
                <w:rFonts w:ascii="Calibri" w:eastAsiaTheme="majorEastAsia" w:hAnsi="Calibri" w:cs="Calibri"/>
                <w:color w:val="000000" w:themeColor="text1"/>
                <w:sz w:val="22"/>
                <w:szCs w:val="22"/>
                <w:lang w:val="en-GB"/>
              </w:rPr>
            </w:pPr>
            <w:r>
              <w:rPr>
                <w:rStyle w:val="normaltextrun"/>
                <w:rFonts w:ascii="Calibri" w:eastAsiaTheme="majorEastAsia" w:hAnsi="Calibri" w:cs="Calibri"/>
                <w:b/>
                <w:color w:val="000000" w:themeColor="text1"/>
                <w:sz w:val="22"/>
                <w:szCs w:val="22"/>
              </w:rPr>
              <w:t>Outcome 1:</w:t>
            </w:r>
            <w:r>
              <w:rPr>
                <w:rStyle w:val="normaltextrun"/>
                <w:rFonts w:ascii="Calibri" w:eastAsiaTheme="majorEastAsia" w:hAnsi="Calibri" w:cs="Calibri"/>
                <w:color w:val="000000" w:themeColor="text1"/>
                <w:sz w:val="22"/>
                <w:szCs w:val="22"/>
              </w:rPr>
              <w:t xml:space="preserve"> </w:t>
            </w:r>
            <w:r>
              <w:rPr>
                <w:rFonts w:ascii="Calibri" w:eastAsiaTheme="majorEastAsia" w:hAnsi="Calibri" w:cs="Calibri"/>
                <w:color w:val="000000" w:themeColor="text1"/>
                <w:sz w:val="22"/>
                <w:szCs w:val="22"/>
                <w:lang w:val="en-GB"/>
              </w:rPr>
              <w:t>Institutional capacities are strengthened to effectively integrate climate risks and adaptation options in health sector planning and implementation</w:t>
            </w:r>
          </w:p>
        </w:tc>
      </w:tr>
      <w:tr w:rsidR="0061591F" w14:paraId="329D2F69" w14:textId="77777777" w:rsidTr="008432F3">
        <w:tc>
          <w:tcPr>
            <w:tcW w:w="3091" w:type="dxa"/>
          </w:tcPr>
          <w:p w14:paraId="09206A66"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Indicator </w:t>
            </w:r>
          </w:p>
          <w:p w14:paraId="3B9E82A7"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3018" w:type="dxa"/>
          </w:tcPr>
          <w:p w14:paraId="4B0711F7"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End of Project level and assessment </w:t>
            </w:r>
          </w:p>
        </w:tc>
        <w:tc>
          <w:tcPr>
            <w:tcW w:w="2907" w:type="dxa"/>
          </w:tcPr>
          <w:p w14:paraId="69490DA4" w14:textId="77777777" w:rsidR="0061591F" w:rsidRPr="0038216A"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38216A">
              <w:rPr>
                <w:rStyle w:val="normaltextrun"/>
                <w:rFonts w:ascii="Calibri" w:eastAsiaTheme="majorEastAsia" w:hAnsi="Calibri" w:cs="Calibri"/>
                <w:b/>
                <w:color w:val="000000" w:themeColor="text1"/>
                <w:sz w:val="22"/>
                <w:szCs w:val="22"/>
              </w:rPr>
              <w:t xml:space="preserve">Achievement rating </w:t>
            </w:r>
          </w:p>
        </w:tc>
      </w:tr>
      <w:tr w:rsidR="0061591F" w14:paraId="535AAD55" w14:textId="77777777" w:rsidTr="009534A0">
        <w:trPr>
          <w:trHeight w:val="263"/>
        </w:trPr>
        <w:tc>
          <w:tcPr>
            <w:tcW w:w="3091" w:type="dxa"/>
          </w:tcPr>
          <w:p w14:paraId="53309906" w14:textId="77777777" w:rsidR="0061591F" w:rsidRDefault="0061591F" w:rsidP="00C07A0A">
            <w:pPr>
              <w:pStyle w:val="paragraph"/>
              <w:suppressAutoHyphens/>
              <w:rPr>
                <w:rStyle w:val="normaltextrun"/>
                <w:rFonts w:ascii="Calibri" w:eastAsiaTheme="majorEastAsia" w:hAnsi="Calibri" w:cs="Calibri"/>
                <w:color w:val="000000" w:themeColor="text1"/>
                <w:sz w:val="22"/>
                <w:szCs w:val="22"/>
                <w:lang w:val="en-GB"/>
              </w:rPr>
            </w:pPr>
            <w:r>
              <w:rPr>
                <w:rFonts w:ascii="Calibri" w:eastAsiaTheme="majorEastAsia" w:hAnsi="Calibri" w:cs="Calibri"/>
                <w:b/>
                <w:color w:val="000000" w:themeColor="text1"/>
                <w:sz w:val="22"/>
                <w:szCs w:val="22"/>
                <w:lang w:val="en-GB"/>
              </w:rPr>
              <w:t>Indicator 2:</w:t>
            </w:r>
            <w:r>
              <w:rPr>
                <w:rFonts w:ascii="Calibri" w:eastAsiaTheme="majorEastAsia" w:hAnsi="Calibri" w:cs="Calibri"/>
                <w:color w:val="000000" w:themeColor="text1"/>
                <w:sz w:val="22"/>
                <w:szCs w:val="22"/>
                <w:lang w:val="en-GB"/>
              </w:rPr>
              <w:t xml:space="preserve"> Development of National Standards or guidelines for climate change and health systems.</w:t>
            </w:r>
          </w:p>
        </w:tc>
        <w:tc>
          <w:tcPr>
            <w:tcW w:w="3018" w:type="dxa"/>
          </w:tcPr>
          <w:p w14:paraId="0A6B58C5"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Final standards and guidelines are developed</w:t>
            </w:r>
          </w:p>
        </w:tc>
        <w:tc>
          <w:tcPr>
            <w:tcW w:w="2907" w:type="dxa"/>
            <w:shd w:val="clear" w:color="auto" w:fill="00B050"/>
          </w:tcPr>
          <w:p w14:paraId="53392C05" w14:textId="77777777" w:rsidR="0061591F" w:rsidRPr="0038216A" w:rsidRDefault="0061591F"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38216A">
              <w:rPr>
                <w:rFonts w:ascii="Calibri" w:eastAsiaTheme="majorEastAsia" w:hAnsi="Calibri" w:cs="Calibri"/>
                <w:b/>
                <w:color w:val="000000" w:themeColor="text1"/>
                <w:sz w:val="22"/>
                <w:szCs w:val="22"/>
              </w:rPr>
              <w:t>Achieved - HS</w:t>
            </w:r>
          </w:p>
        </w:tc>
      </w:tr>
    </w:tbl>
    <w:p w14:paraId="58B876D6"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37B3CB3B" w14:textId="77777777" w:rsidR="0061591F" w:rsidRDefault="0061591F" w:rsidP="00C07A0A">
      <w:pPr>
        <w:pStyle w:val="paragraph"/>
        <w:suppressAutoHyphens/>
        <w:spacing w:before="0" w:beforeAutospacing="0" w:after="0" w:afterAutospacing="0"/>
        <w:jc w:val="both"/>
        <w:rPr>
          <w:rFonts w:ascii="Calibri" w:eastAsiaTheme="majorEastAsia" w:hAnsi="Calibri" w:cs="Calibri"/>
          <w:color w:val="000000" w:themeColor="text1"/>
        </w:rPr>
      </w:pPr>
      <w:r>
        <w:rPr>
          <w:rFonts w:ascii="Calibri" w:eastAsiaTheme="majorEastAsia" w:hAnsi="Calibri" w:cs="Calibri"/>
          <w:color w:val="000000" w:themeColor="text1"/>
        </w:rPr>
        <w:t xml:space="preserve">The end of project target has been achieved. Various Standard Operating Procedures (SOPs) and guidelines related to climate change and health have been developed at regional and country levels, with several that were drafted in the final implementation year now complete. Overall, a total of 43 national standards, guidelines and SOPs for climate resilient health systems have been created and translated into local languages where necessary (see </w:t>
      </w:r>
      <w:r>
        <w:rPr>
          <w:rFonts w:ascii="Calibri" w:eastAsiaTheme="majorEastAsia" w:hAnsi="Calibri" w:cs="Calibri"/>
          <w:b/>
          <w:bCs/>
          <w:color w:val="000000" w:themeColor="text1"/>
        </w:rPr>
        <w:t>Appendix 5</w:t>
      </w:r>
      <w:r>
        <w:rPr>
          <w:rFonts w:ascii="Calibri" w:eastAsiaTheme="majorEastAsia" w:hAnsi="Calibri" w:cs="Calibri"/>
          <w:color w:val="000000" w:themeColor="text1"/>
        </w:rPr>
        <w:t xml:space="preserve">). Several of these have been adapted from global and regional technical guidelines and tools, including for early warning, alert and response systems (EWARS), WASH-Facility Improvement Tool (WASH-FIT), water safety plans (WSP), and healthcare waste management. Regional workshops on topics such as developing SOPs for climate sensitive diseases have also been held, which have strengthened technical capacity of country-level stakeholders to adapt and implement best practice guidelines in national contexts. </w:t>
      </w:r>
    </w:p>
    <w:p w14:paraId="078867F6" w14:textId="77777777" w:rsidR="0061591F" w:rsidRDefault="0061591F" w:rsidP="00C07A0A">
      <w:pPr>
        <w:pStyle w:val="paragraph"/>
        <w:suppressAutoHyphens/>
        <w:spacing w:before="0" w:beforeAutospacing="0" w:after="0" w:afterAutospacing="0"/>
        <w:jc w:val="both"/>
        <w:rPr>
          <w:rFonts w:ascii="Calibri" w:eastAsiaTheme="majorEastAsia" w:hAnsi="Calibri" w:cs="Calibri"/>
          <w:color w:val="000000" w:themeColor="text1"/>
        </w:rPr>
      </w:pPr>
    </w:p>
    <w:p w14:paraId="1708ED76" w14:textId="0191BC17" w:rsidR="0061591F" w:rsidRDefault="0061591F" w:rsidP="00C07A0A">
      <w:pPr>
        <w:pStyle w:val="paragraph"/>
        <w:suppressAutoHyphens/>
        <w:spacing w:before="0" w:beforeAutospacing="0" w:after="0" w:afterAutospacing="0"/>
        <w:jc w:val="both"/>
        <w:rPr>
          <w:rFonts w:ascii="Calibri" w:eastAsiaTheme="majorEastAsia" w:hAnsi="Calibri" w:cs="Calibri"/>
          <w:color w:val="000000" w:themeColor="text1"/>
        </w:rPr>
      </w:pPr>
      <w:r>
        <w:rPr>
          <w:rFonts w:ascii="Calibri" w:eastAsiaTheme="majorEastAsia" w:hAnsi="Calibri" w:cs="Calibri"/>
          <w:color w:val="000000" w:themeColor="text1"/>
        </w:rPr>
        <w:t xml:space="preserve">There is strong evidence of government ownership of these tools and processes across all countries, strengthening likelihood of ongoing roll-out through national and sub-national sensitisation, training and dissemination activities. Multiple stakeholders highlighted activities that resulted in practical, contextually relevant outputs as particularly valuable. For example, the </w:t>
      </w:r>
      <w:r w:rsidRPr="008432F3">
        <w:rPr>
          <w:rFonts w:ascii="Calibri" w:eastAsiaTheme="majorEastAsia" w:hAnsi="Calibri" w:cs="Calibri"/>
          <w:color w:val="000000" w:themeColor="text1"/>
        </w:rPr>
        <w:t xml:space="preserve">MOH </w:t>
      </w:r>
      <w:r w:rsidRPr="003A4310">
        <w:rPr>
          <w:rFonts w:ascii="Calibri" w:eastAsiaTheme="majorEastAsia" w:hAnsi="Calibri" w:cs="Calibri"/>
          <w:color w:val="000000" w:themeColor="text1"/>
        </w:rPr>
        <w:t>in</w:t>
      </w:r>
      <w:r>
        <w:rPr>
          <w:rFonts w:ascii="Calibri" w:eastAsiaTheme="majorEastAsia" w:hAnsi="Calibri" w:cs="Calibri"/>
          <w:color w:val="000000" w:themeColor="text1"/>
        </w:rPr>
        <w:t xml:space="preserve"> Bangladesh has published and launched National WASH standards and </w:t>
      </w:r>
      <w:r>
        <w:rPr>
          <w:rFonts w:ascii="Calibri" w:eastAsiaTheme="majorEastAsia" w:hAnsi="Calibri" w:cs="Calibri"/>
          <w:color w:val="000000" w:themeColor="text1"/>
        </w:rPr>
        <w:lastRenderedPageBreak/>
        <w:t xml:space="preserve">the MOH in Cambodia plan to publish SOPs for rapid diagnostic tests and dengue surveillance on their website. Additionally, in Timor-Leste, SOPs have been developed for the National Health Laboratory for Water Quality testing as well as for Health Care Waste Management in Health Facilities. In Lao PDR, stakeholders reported the MOH now sees several products, such as the ‘Safe Clean Green Climate Resilient (SCHCR) Hospital toolkit’ as a government document, rather than a WHO resource, which is important for local ownership and sustainability. Several countries have also integrated climate change and health education into postgraduate curriculum with academic partners, to embed climate-informed health workforce education programs. Academic partners expressed interest in partnering with WHO and MOH to undertake further research on climate-sensitive diseases, in support of HNAP, but this would be contingent upon funding. </w:t>
      </w:r>
    </w:p>
    <w:p w14:paraId="4C8A77F9"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77295675" w14:textId="77777777" w:rsidR="0061591F" w:rsidRDefault="0061591F" w:rsidP="00C07A0A">
      <w:pPr>
        <w:pStyle w:val="paragraph"/>
        <w:suppressAutoHyphens/>
        <w:spacing w:before="0" w:beforeAutospacing="0" w:after="0" w:afterAutospacing="0"/>
        <w:jc w:val="both"/>
        <w:rPr>
          <w:rFonts w:ascii="Calibri" w:eastAsiaTheme="majorEastAsia" w:hAnsi="Calibri" w:cs="Calibri"/>
          <w:b/>
          <w:bCs/>
          <w:i/>
          <w:color w:val="000000" w:themeColor="text1"/>
        </w:rPr>
      </w:pPr>
      <w:r>
        <w:rPr>
          <w:rFonts w:ascii="Calibri" w:eastAsiaTheme="majorEastAsia" w:hAnsi="Calibri" w:cs="Calibri"/>
          <w:b/>
          <w:bCs/>
          <w:i/>
          <w:color w:val="000000" w:themeColor="text1"/>
        </w:rPr>
        <w:t xml:space="preserve">Country-level Activities </w:t>
      </w:r>
    </w:p>
    <w:p w14:paraId="07E6BFE4"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9128" w:type="dxa"/>
        <w:tblLook w:val="04A0" w:firstRow="1" w:lastRow="0" w:firstColumn="1" w:lastColumn="0" w:noHBand="0" w:noVBand="1"/>
      </w:tblPr>
      <w:tblGrid>
        <w:gridCol w:w="1510"/>
        <w:gridCol w:w="2415"/>
        <w:gridCol w:w="5203"/>
      </w:tblGrid>
      <w:tr w:rsidR="0061591F" w14:paraId="6F9B2516" w14:textId="77777777" w:rsidTr="009534A0">
        <w:tc>
          <w:tcPr>
            <w:tcW w:w="1510" w:type="dxa"/>
            <w:shd w:val="clear" w:color="auto" w:fill="FAE2D5" w:themeFill="accent2" w:themeFillTint="33"/>
          </w:tcPr>
          <w:p w14:paraId="3A5C4B32"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 xml:space="preserve">Country </w:t>
            </w:r>
          </w:p>
          <w:p w14:paraId="01BD8DF1"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p>
        </w:tc>
        <w:tc>
          <w:tcPr>
            <w:tcW w:w="2415" w:type="dxa"/>
            <w:shd w:val="clear" w:color="auto" w:fill="FAE2D5" w:themeFill="accent2" w:themeFillTint="33"/>
          </w:tcPr>
          <w:p w14:paraId="5FFB02AF"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Country-level outcome indicators</w:t>
            </w:r>
            <w:r>
              <w:rPr>
                <w:rStyle w:val="FootnoteReference"/>
                <w:rFonts w:ascii="Calibri" w:eastAsiaTheme="majorEastAsia" w:hAnsi="Calibri" w:cs="Calibri"/>
                <w:b/>
                <w:bCs/>
                <w:color w:val="000000" w:themeColor="text1"/>
                <w:sz w:val="22"/>
                <w:szCs w:val="22"/>
              </w:rPr>
              <w:footnoteReference w:id="9"/>
            </w:r>
            <w:r>
              <w:rPr>
                <w:rStyle w:val="normaltextrun"/>
                <w:rFonts w:ascii="Calibri" w:eastAsiaTheme="majorEastAsia" w:hAnsi="Calibri" w:cs="Calibri"/>
                <w:b/>
                <w:bCs/>
                <w:color w:val="000000" w:themeColor="text1"/>
                <w:sz w:val="22"/>
                <w:szCs w:val="22"/>
              </w:rPr>
              <w:t xml:space="preserve"> </w:t>
            </w:r>
          </w:p>
        </w:tc>
        <w:tc>
          <w:tcPr>
            <w:tcW w:w="5203" w:type="dxa"/>
            <w:shd w:val="clear" w:color="auto" w:fill="FAE2D5" w:themeFill="accent2" w:themeFillTint="33"/>
          </w:tcPr>
          <w:p w14:paraId="3BA2CCE4" w14:textId="4EE96D56"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E</w:t>
            </w:r>
            <w:r w:rsidRPr="008432F3">
              <w:rPr>
                <w:rStyle w:val="normaltextrun"/>
                <w:rFonts w:ascii="Calibri" w:eastAsiaTheme="majorEastAsia" w:hAnsi="Calibri" w:cs="Calibri"/>
                <w:b/>
                <w:bCs/>
                <w:color w:val="000000" w:themeColor="text1"/>
                <w:sz w:val="22"/>
                <w:szCs w:val="22"/>
              </w:rPr>
              <w:t xml:space="preserve">xample </w:t>
            </w:r>
            <w:r>
              <w:rPr>
                <w:rStyle w:val="normaltextrun"/>
                <w:rFonts w:ascii="Calibri" w:eastAsiaTheme="majorEastAsia" w:hAnsi="Calibri" w:cs="Calibri"/>
                <w:b/>
                <w:bCs/>
                <w:color w:val="000000" w:themeColor="text1"/>
                <w:sz w:val="22"/>
                <w:szCs w:val="22"/>
              </w:rPr>
              <w:t xml:space="preserve">Achievements </w:t>
            </w:r>
          </w:p>
        </w:tc>
      </w:tr>
      <w:tr w:rsidR="0061591F" w14:paraId="27272EE8" w14:textId="77777777" w:rsidTr="009534A0">
        <w:tc>
          <w:tcPr>
            <w:tcW w:w="1510" w:type="dxa"/>
            <w:vMerge w:val="restart"/>
          </w:tcPr>
          <w:p w14:paraId="2DEAAA2A"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 xml:space="preserve">Bangladesh </w:t>
            </w:r>
          </w:p>
          <w:p w14:paraId="1E8ED9C3"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p>
          <w:p w14:paraId="6944D2C6"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p>
          <w:p w14:paraId="1056D3F8"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p>
          <w:p w14:paraId="6E0E82FE"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p>
        </w:tc>
        <w:tc>
          <w:tcPr>
            <w:tcW w:w="2415" w:type="dxa"/>
          </w:tcPr>
          <w:p w14:paraId="3DC4496D"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Four programmes include climate change and health (climate risk and adaptation options) in health sector plans (2022–2026)</w:t>
            </w:r>
          </w:p>
          <w:p w14:paraId="2E41BDE1"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p>
        </w:tc>
        <w:tc>
          <w:tcPr>
            <w:tcW w:w="5203" w:type="dxa"/>
          </w:tcPr>
          <w:p w14:paraId="2B1E2E11" w14:textId="77777777" w:rsidR="0061591F" w:rsidRDefault="0061591F" w:rsidP="00C07A0A">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Climate change included in MoH operational plan. MOUs finalised between MoH and key agencies, supporting integration of climate change and data sharing across key programmes. This includes MoU’s with:</w:t>
            </w:r>
          </w:p>
          <w:p w14:paraId="3FDA0709" w14:textId="77777777" w:rsidR="0061591F" w:rsidRDefault="0061591F" w:rsidP="00C07A0A">
            <w:pPr>
              <w:pStyle w:val="ListParagraph"/>
              <w:numPr>
                <w:ilvl w:val="0"/>
                <w:numId w:val="31"/>
              </w:numPr>
              <w:rPr>
                <w:rFonts w:ascii="Calibri" w:eastAsia="Calibri" w:hAnsi="Calibri" w:cs="Calibri"/>
                <w:color w:val="000000" w:themeColor="text1"/>
                <w:sz w:val="22"/>
                <w:szCs w:val="22"/>
              </w:rPr>
            </w:pPr>
            <w:r>
              <w:rPr>
                <w:rFonts w:ascii="Calibri" w:eastAsia="Calibri" w:hAnsi="Calibri" w:cs="Calibri"/>
                <w:color w:val="000000" w:themeColor="text1"/>
                <w:sz w:val="22"/>
                <w:szCs w:val="22"/>
              </w:rPr>
              <w:t>Bangladesh Meteorological Department (BMD);</w:t>
            </w:r>
          </w:p>
          <w:p w14:paraId="2A4CBB56" w14:textId="77777777" w:rsidR="0061591F" w:rsidRDefault="0061591F" w:rsidP="00C07A0A">
            <w:pPr>
              <w:pStyle w:val="ListParagraph"/>
              <w:numPr>
                <w:ilvl w:val="0"/>
                <w:numId w:val="31"/>
              </w:numPr>
              <w:rPr>
                <w:rFonts w:ascii="Calibri" w:eastAsia="Calibri" w:hAnsi="Calibri" w:cs="Calibri"/>
                <w:color w:val="000000" w:themeColor="text1"/>
                <w:sz w:val="22"/>
                <w:szCs w:val="22"/>
              </w:rPr>
            </w:pPr>
            <w:r>
              <w:rPr>
                <w:rFonts w:ascii="Calibri" w:eastAsia="Calibri" w:hAnsi="Calibri" w:cs="Calibri"/>
                <w:color w:val="000000" w:themeColor="text1"/>
                <w:sz w:val="22"/>
                <w:szCs w:val="22"/>
              </w:rPr>
              <w:t>Department of Environment (for environmental data); and</w:t>
            </w:r>
          </w:p>
          <w:p w14:paraId="5CBBAEA1" w14:textId="77777777" w:rsidR="0061591F" w:rsidRDefault="0061591F" w:rsidP="00C07A0A">
            <w:pPr>
              <w:pStyle w:val="ListParagraph"/>
              <w:numPr>
                <w:ilvl w:val="0"/>
                <w:numId w:val="31"/>
              </w:numPr>
              <w:rPr>
                <w:rStyle w:val="normaltextrun"/>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Department of Disaster Management. </w:t>
            </w:r>
          </w:p>
        </w:tc>
      </w:tr>
      <w:tr w:rsidR="0061591F" w14:paraId="72549343" w14:textId="77777777" w:rsidTr="009534A0">
        <w:tc>
          <w:tcPr>
            <w:tcW w:w="1510" w:type="dxa"/>
            <w:vMerge/>
          </w:tcPr>
          <w:p w14:paraId="253F3AA6"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p>
        </w:tc>
        <w:tc>
          <w:tcPr>
            <w:tcW w:w="2415" w:type="dxa"/>
          </w:tcPr>
          <w:p w14:paraId="05B9A6E9"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Number of trained staff using guidelines for monitoring climate change and health policy implementation, including monitoring framework</w:t>
            </w:r>
          </w:p>
        </w:tc>
        <w:tc>
          <w:tcPr>
            <w:tcW w:w="5203" w:type="dxa"/>
          </w:tcPr>
          <w:p w14:paraId="3E44D963" w14:textId="77777777" w:rsidR="0061591F" w:rsidRDefault="0061591F" w:rsidP="00C07A0A">
            <w:pPr>
              <w:pStyle w:val="paragraph"/>
              <w:suppressAutoHyphens/>
              <w:spacing w:before="0" w:beforeAutospacing="0" w:after="0" w:afterAutospacing="0"/>
              <w:rPr>
                <w:rStyle w:val="normaltextrun"/>
                <w:rFonts w:ascii="Calibri" w:eastAsiaTheme="majorEastAsia" w:hAnsi="Calibri" w:cs="Calibri"/>
                <w:sz w:val="22"/>
                <w:szCs w:val="22"/>
              </w:rPr>
            </w:pPr>
            <w:r>
              <w:rPr>
                <w:rStyle w:val="normaltextrun"/>
                <w:rFonts w:ascii="Calibri" w:eastAsiaTheme="majorEastAsia" w:hAnsi="Calibri" w:cs="Calibri"/>
                <w:color w:val="000000" w:themeColor="text1"/>
                <w:sz w:val="22"/>
                <w:szCs w:val="22"/>
              </w:rPr>
              <w:t>Multiple training workshops were held for health professionals to enhance knowledge and capacity in climate-sensitive health issues. A total of 162 medical professionals received training, including through ‘train the trainer’ activities. Stakeholders reported up to 500 receiving training covering 100 HCFs</w:t>
            </w:r>
            <w:r>
              <w:rPr>
                <w:rStyle w:val="normaltextrun"/>
                <w:rFonts w:ascii="Calibri" w:eastAsiaTheme="majorEastAsia" w:hAnsi="Calibri" w:cs="Calibri"/>
                <w:sz w:val="22"/>
                <w:szCs w:val="22"/>
              </w:rPr>
              <w:t>.</w:t>
            </w:r>
          </w:p>
        </w:tc>
      </w:tr>
      <w:tr w:rsidR="0061591F" w14:paraId="718AF0DC" w14:textId="77777777" w:rsidTr="009534A0">
        <w:trPr>
          <w:trHeight w:val="300"/>
        </w:trPr>
        <w:tc>
          <w:tcPr>
            <w:tcW w:w="1510" w:type="dxa"/>
            <w:vMerge w:val="restart"/>
          </w:tcPr>
          <w:p w14:paraId="31A26B8D" w14:textId="77777777" w:rsidR="0061591F" w:rsidRDefault="0061591F" w:rsidP="00C07A0A">
            <w:pPr>
              <w:pStyle w:val="paragraph"/>
              <w:suppressAutoHyphens/>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 xml:space="preserve">Cambodia </w:t>
            </w:r>
          </w:p>
        </w:tc>
        <w:tc>
          <w:tcPr>
            <w:tcW w:w="2415" w:type="dxa"/>
          </w:tcPr>
          <w:p w14:paraId="3F04BD97" w14:textId="77777777" w:rsidR="0061591F" w:rsidRDefault="0061591F" w:rsidP="00C07A0A">
            <w:pPr>
              <w:pStyle w:val="paragraph"/>
              <w:suppressAutoHyphens/>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 xml:space="preserve">Percentage of key staff trained on relationship between climate change and health and climate-sensitive diseases. </w:t>
            </w:r>
          </w:p>
          <w:p w14:paraId="33EA1AA1" w14:textId="77777777" w:rsidR="0061591F" w:rsidRDefault="0061591F" w:rsidP="00C07A0A">
            <w:pPr>
              <w:pStyle w:val="paragraph"/>
              <w:suppressAutoHyphens/>
              <w:rPr>
                <w:rFonts w:ascii="Calibri" w:eastAsiaTheme="majorEastAsia" w:hAnsi="Calibri" w:cs="Calibri"/>
                <w:color w:val="000000" w:themeColor="text1"/>
                <w:sz w:val="22"/>
                <w:szCs w:val="22"/>
              </w:rPr>
            </w:pPr>
          </w:p>
        </w:tc>
        <w:tc>
          <w:tcPr>
            <w:tcW w:w="5203" w:type="dxa"/>
          </w:tcPr>
          <w:p w14:paraId="370C64FC" w14:textId="77777777" w:rsidR="0061591F" w:rsidRDefault="0061591F" w:rsidP="00C07A0A">
            <w:pPr>
              <w:rPr>
                <w:rStyle w:val="normaltextrun"/>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SOPs for Dengue and Surveillance and Rapid Diagnostic Test (RDT) were developed in year 1 and used to train 120 health professional staff, doctors and nurses from high-risk provinces. During 2022, three climate change and health training modules were run in Kampong Cham for provincial and national level MoH staff (total of 82 participants). </w:t>
            </w:r>
          </w:p>
        </w:tc>
      </w:tr>
      <w:tr w:rsidR="0061591F" w14:paraId="1F4FF168" w14:textId="77777777" w:rsidTr="009534A0">
        <w:trPr>
          <w:trHeight w:val="300"/>
        </w:trPr>
        <w:tc>
          <w:tcPr>
            <w:tcW w:w="1510" w:type="dxa"/>
            <w:vMerge/>
          </w:tcPr>
          <w:p w14:paraId="7A47158A" w14:textId="77777777" w:rsidR="0061591F" w:rsidRDefault="0061591F" w:rsidP="00C07A0A">
            <w:pPr>
              <w:pStyle w:val="paragraph"/>
              <w:suppressAutoHyphens/>
              <w:rPr>
                <w:rStyle w:val="normaltextrun"/>
                <w:rFonts w:ascii="Calibri" w:eastAsiaTheme="majorEastAsia" w:hAnsi="Calibri" w:cs="Calibri"/>
                <w:b/>
                <w:bCs/>
                <w:color w:val="000000" w:themeColor="text1"/>
                <w:sz w:val="22"/>
                <w:szCs w:val="22"/>
              </w:rPr>
            </w:pPr>
          </w:p>
        </w:tc>
        <w:tc>
          <w:tcPr>
            <w:tcW w:w="2415" w:type="dxa"/>
          </w:tcPr>
          <w:p w14:paraId="14124573" w14:textId="77777777" w:rsidR="0061591F" w:rsidRDefault="0061591F" w:rsidP="00C07A0A">
            <w:pPr>
              <w:pStyle w:val="paragraph"/>
              <w:suppressAutoHyphens/>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 xml:space="preserve">Updated National Strategy for Climate Change Adaptation (CCA) and Disaster Risk Reduction (DRR) for </w:t>
            </w:r>
            <w:r>
              <w:rPr>
                <w:rFonts w:ascii="Calibri" w:eastAsiaTheme="majorEastAsia" w:hAnsi="Calibri" w:cs="Calibri"/>
                <w:color w:val="000000" w:themeColor="text1"/>
                <w:sz w:val="22"/>
                <w:szCs w:val="22"/>
              </w:rPr>
              <w:lastRenderedPageBreak/>
              <w:t xml:space="preserve">long-term capacity-building is developed. </w:t>
            </w:r>
          </w:p>
        </w:tc>
        <w:tc>
          <w:tcPr>
            <w:tcW w:w="5203" w:type="dxa"/>
          </w:tcPr>
          <w:p w14:paraId="1BFEF910" w14:textId="77777777" w:rsidR="0061591F" w:rsidRDefault="0061591F" w:rsidP="00C07A0A">
            <w:pPr>
              <w:rPr>
                <w:rFonts w:ascii="Calibri" w:hAnsi="Calibri" w:cs="Calibri"/>
                <w:sz w:val="22"/>
                <w:szCs w:val="22"/>
              </w:rPr>
            </w:pPr>
            <w:r>
              <w:rPr>
                <w:rFonts w:ascii="Calibri" w:eastAsia="Calibri" w:hAnsi="Calibri" w:cs="Calibri"/>
                <w:color w:val="000000" w:themeColor="text1"/>
                <w:sz w:val="22"/>
                <w:szCs w:val="22"/>
              </w:rPr>
              <w:lastRenderedPageBreak/>
              <w:t xml:space="preserve">In Year 1, a strategic partnership was established through an MoU with CNM/ PMD (MoH), to coordinate surveillance activities. </w:t>
            </w:r>
          </w:p>
          <w:p w14:paraId="1FA59BB4" w14:textId="77777777" w:rsidR="0061591F" w:rsidRDefault="0061591F" w:rsidP="00C07A0A">
            <w:pPr>
              <w:rPr>
                <w:rFonts w:ascii="Calibri" w:hAnsi="Calibri" w:cs="Calibri"/>
                <w:sz w:val="22"/>
                <w:szCs w:val="22"/>
              </w:rPr>
            </w:pPr>
            <w:r>
              <w:rPr>
                <w:rFonts w:ascii="Calibri" w:hAnsi="Calibri" w:cs="Calibri"/>
                <w:color w:val="000000" w:themeColor="text1"/>
                <w:sz w:val="22"/>
                <w:szCs w:val="22"/>
              </w:rPr>
              <w:t xml:space="preserve"> </w:t>
            </w:r>
          </w:p>
          <w:p w14:paraId="2F530768" w14:textId="77777777" w:rsidR="0061591F" w:rsidRDefault="0061591F" w:rsidP="00C07A0A">
            <w:pPr>
              <w:rPr>
                <w:rFonts w:ascii="Calibri" w:eastAsiaTheme="majorEastAsia" w:hAnsi="Calibri" w:cs="Calibri"/>
                <w:sz w:val="22"/>
                <w:szCs w:val="22"/>
              </w:rPr>
            </w:pPr>
            <w:r>
              <w:rPr>
                <w:rFonts w:ascii="Calibri" w:eastAsia="Calibri" w:hAnsi="Calibri" w:cs="Calibri"/>
                <w:color w:val="000000" w:themeColor="text1"/>
                <w:sz w:val="22"/>
                <w:szCs w:val="22"/>
              </w:rPr>
              <w:t xml:space="preserve">An agreement was signed between MOWRAM and MOH for sharing of meteorological data during Q2 </w:t>
            </w:r>
            <w:r>
              <w:rPr>
                <w:rFonts w:ascii="Calibri" w:eastAsia="Calibri" w:hAnsi="Calibri" w:cs="Calibri"/>
                <w:color w:val="000000" w:themeColor="text1"/>
                <w:sz w:val="22"/>
                <w:szCs w:val="22"/>
              </w:rPr>
              <w:lastRenderedPageBreak/>
              <w:t>2020, however, there are challenges with this arrangement because realistically data can only be requested annually, and because there are limitations in historical data availability/quality.</w:t>
            </w:r>
          </w:p>
        </w:tc>
      </w:tr>
      <w:tr w:rsidR="0061591F" w14:paraId="3A8E691F" w14:textId="77777777" w:rsidTr="009534A0">
        <w:trPr>
          <w:trHeight w:val="300"/>
        </w:trPr>
        <w:tc>
          <w:tcPr>
            <w:tcW w:w="1510" w:type="dxa"/>
            <w:vMerge w:val="restart"/>
          </w:tcPr>
          <w:p w14:paraId="58ECE757" w14:textId="77777777" w:rsidR="0061591F" w:rsidRDefault="0061591F" w:rsidP="00C07A0A">
            <w:pPr>
              <w:pStyle w:val="paragraph"/>
              <w:suppressAutoHyphens/>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lastRenderedPageBreak/>
              <w:t xml:space="preserve">Laos PDR </w:t>
            </w:r>
          </w:p>
        </w:tc>
        <w:tc>
          <w:tcPr>
            <w:tcW w:w="2415" w:type="dxa"/>
          </w:tcPr>
          <w:p w14:paraId="1373D62A" w14:textId="77777777" w:rsidR="0061591F" w:rsidRDefault="0061591F" w:rsidP="00C07A0A">
            <w:pPr>
              <w:pStyle w:val="paragraph"/>
              <w:suppressAutoHyphens/>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Nationally approved H-NAP for long term capacity building is developed.</w:t>
            </w:r>
          </w:p>
        </w:tc>
        <w:tc>
          <w:tcPr>
            <w:tcW w:w="5203" w:type="dxa"/>
          </w:tcPr>
          <w:p w14:paraId="5DEBCFC4" w14:textId="77777777" w:rsidR="0061591F" w:rsidRDefault="0061591F" w:rsidP="00C07A0A">
            <w:pPr>
              <w:rPr>
                <w:rFonts w:eastAsia="Calibri"/>
                <w:color w:val="000000" w:themeColor="text1"/>
              </w:rPr>
            </w:pPr>
            <w:r>
              <w:rPr>
                <w:rFonts w:ascii="Calibri" w:eastAsia="Calibri" w:hAnsi="Calibri" w:cs="Calibri"/>
                <w:color w:val="000000" w:themeColor="text1"/>
                <w:sz w:val="22"/>
                <w:szCs w:val="22"/>
              </w:rPr>
              <w:t xml:space="preserve">The English version of the Lao PDR HNAP was finalised and endorsed in 2022. </w:t>
            </w:r>
          </w:p>
        </w:tc>
      </w:tr>
      <w:tr w:rsidR="0061591F" w14:paraId="4872215D" w14:textId="77777777" w:rsidTr="009534A0">
        <w:trPr>
          <w:trHeight w:val="300"/>
        </w:trPr>
        <w:tc>
          <w:tcPr>
            <w:tcW w:w="1510" w:type="dxa"/>
            <w:vMerge/>
          </w:tcPr>
          <w:p w14:paraId="046398B7" w14:textId="77777777" w:rsidR="0061591F" w:rsidRDefault="0061591F" w:rsidP="00C07A0A">
            <w:pPr>
              <w:pStyle w:val="paragraph"/>
              <w:suppressAutoHyphens/>
              <w:rPr>
                <w:rStyle w:val="normaltextrun"/>
                <w:rFonts w:ascii="Calibri" w:eastAsiaTheme="majorEastAsia" w:hAnsi="Calibri" w:cs="Calibri"/>
                <w:b/>
                <w:bCs/>
                <w:color w:val="000000" w:themeColor="text1"/>
                <w:sz w:val="22"/>
                <w:szCs w:val="22"/>
              </w:rPr>
            </w:pPr>
          </w:p>
        </w:tc>
        <w:tc>
          <w:tcPr>
            <w:tcW w:w="2415" w:type="dxa"/>
          </w:tcPr>
          <w:p w14:paraId="7BE65EC5" w14:textId="77777777" w:rsidR="0061591F" w:rsidRDefault="0061591F" w:rsidP="00C07A0A">
            <w:pPr>
              <w:pStyle w:val="paragraph"/>
              <w:suppressAutoHyphens/>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Percentage of Health decision-makers who have received awareness training to integrate CC into health sector plans/</w:t>
            </w:r>
          </w:p>
        </w:tc>
        <w:tc>
          <w:tcPr>
            <w:tcW w:w="5203" w:type="dxa"/>
          </w:tcPr>
          <w:p w14:paraId="4FCEB7E8" w14:textId="77777777" w:rsidR="0061591F" w:rsidRDefault="0061591F" w:rsidP="00C07A0A">
            <w:pPr>
              <w:rPr>
                <w:rFonts w:eastAsia="Calibri"/>
              </w:rPr>
            </w:pPr>
            <w:r>
              <w:rPr>
                <w:rFonts w:ascii="Calibri" w:eastAsia="Calibri" w:hAnsi="Calibri" w:cs="Calibri"/>
                <w:color w:val="000000" w:themeColor="text1"/>
                <w:sz w:val="22"/>
                <w:szCs w:val="22"/>
              </w:rPr>
              <w:t xml:space="preserve">Climate change and health training program with 9 modules developed and institutionalised in academic training programs. A total of 429 workers have received training against Outcome 1. </w:t>
            </w:r>
          </w:p>
        </w:tc>
      </w:tr>
      <w:tr w:rsidR="0061591F" w14:paraId="2212D499" w14:textId="77777777" w:rsidTr="009534A0">
        <w:trPr>
          <w:trHeight w:val="300"/>
        </w:trPr>
        <w:tc>
          <w:tcPr>
            <w:tcW w:w="1510" w:type="dxa"/>
            <w:vMerge w:val="restart"/>
          </w:tcPr>
          <w:p w14:paraId="5D76BDB5" w14:textId="77777777" w:rsidR="0061591F" w:rsidRDefault="0061591F" w:rsidP="00C07A0A">
            <w:pPr>
              <w:pStyle w:val="paragraph"/>
              <w:suppressAutoHyphens/>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 xml:space="preserve">Nepal </w:t>
            </w:r>
          </w:p>
        </w:tc>
        <w:tc>
          <w:tcPr>
            <w:tcW w:w="2415" w:type="dxa"/>
          </w:tcPr>
          <w:p w14:paraId="2F58A930" w14:textId="77777777" w:rsidR="0061591F" w:rsidRDefault="0061591F" w:rsidP="00C07A0A">
            <w:pPr>
              <w:pStyle w:val="paragraph"/>
              <w:suppressAutoHyphens/>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 xml:space="preserve">Annual planning and budgeting for health sector adjusted for addressing climate change. </w:t>
            </w:r>
          </w:p>
        </w:tc>
        <w:tc>
          <w:tcPr>
            <w:tcW w:w="5203" w:type="dxa"/>
          </w:tcPr>
          <w:p w14:paraId="775F6782" w14:textId="77777777" w:rsidR="0061591F" w:rsidRDefault="0061591F" w:rsidP="00C07A0A">
            <w:pPr>
              <w:pStyle w:val="paragraph"/>
              <w:suppressAutoHyphens/>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 xml:space="preserve">HNAP developed. Unable to verify allocation of health sector budgets to climate change activities. </w:t>
            </w:r>
          </w:p>
        </w:tc>
      </w:tr>
      <w:tr w:rsidR="0061591F" w14:paraId="3AFCC6E3" w14:textId="77777777" w:rsidTr="009534A0">
        <w:trPr>
          <w:trHeight w:val="300"/>
        </w:trPr>
        <w:tc>
          <w:tcPr>
            <w:tcW w:w="1510" w:type="dxa"/>
            <w:vMerge/>
          </w:tcPr>
          <w:p w14:paraId="4772BA7D" w14:textId="77777777" w:rsidR="0061591F" w:rsidRDefault="0061591F" w:rsidP="00C07A0A">
            <w:pPr>
              <w:pStyle w:val="paragraph"/>
              <w:suppressAutoHyphens/>
              <w:rPr>
                <w:rStyle w:val="normaltextrun"/>
                <w:rFonts w:ascii="Calibri" w:eastAsiaTheme="majorEastAsia" w:hAnsi="Calibri" w:cs="Calibri"/>
                <w:b/>
                <w:bCs/>
                <w:color w:val="000000" w:themeColor="text1"/>
                <w:sz w:val="22"/>
                <w:szCs w:val="22"/>
              </w:rPr>
            </w:pPr>
          </w:p>
        </w:tc>
        <w:tc>
          <w:tcPr>
            <w:tcW w:w="2415" w:type="dxa"/>
          </w:tcPr>
          <w:p w14:paraId="17691D23" w14:textId="14754ECF" w:rsidR="0061591F" w:rsidRDefault="0061591F" w:rsidP="00C07A0A">
            <w:pPr>
              <w:pStyle w:val="paragraph"/>
              <w:suppressAutoHyphens/>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Generation of evidence on climate resilient health systems developed in Nepal</w:t>
            </w:r>
          </w:p>
        </w:tc>
        <w:tc>
          <w:tcPr>
            <w:tcW w:w="5203" w:type="dxa"/>
          </w:tcPr>
          <w:p w14:paraId="368F8562" w14:textId="77777777" w:rsidR="0061591F" w:rsidRDefault="0061591F" w:rsidP="00C07A0A">
            <w:pPr>
              <w:pStyle w:val="paragraph"/>
              <w:suppressAutoHyphens/>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 xml:space="preserve">Training manuals (a total of 7) on climate change and health, environmental health, WASH and HCWM in healthcare facilities were organised (see </w:t>
            </w:r>
            <w:r>
              <w:rPr>
                <w:rStyle w:val="normaltextrun"/>
                <w:rFonts w:ascii="Calibri" w:eastAsiaTheme="majorEastAsia" w:hAnsi="Calibri" w:cs="Calibri"/>
                <w:b/>
                <w:bCs/>
                <w:color w:val="000000" w:themeColor="text1"/>
                <w:sz w:val="22"/>
                <w:szCs w:val="22"/>
              </w:rPr>
              <w:t>appendix 5</w:t>
            </w:r>
            <w:r>
              <w:rPr>
                <w:rStyle w:val="normaltextrun"/>
                <w:rFonts w:ascii="Calibri" w:eastAsiaTheme="majorEastAsia" w:hAnsi="Calibri" w:cs="Calibri"/>
                <w:color w:val="000000" w:themeColor="text1"/>
                <w:sz w:val="22"/>
                <w:szCs w:val="22"/>
              </w:rPr>
              <w:t>)</w:t>
            </w:r>
          </w:p>
        </w:tc>
      </w:tr>
      <w:tr w:rsidR="0061591F" w14:paraId="614A88A4" w14:textId="77777777" w:rsidTr="009534A0">
        <w:trPr>
          <w:trHeight w:val="300"/>
        </w:trPr>
        <w:tc>
          <w:tcPr>
            <w:tcW w:w="1510" w:type="dxa"/>
            <w:vMerge w:val="restart"/>
          </w:tcPr>
          <w:p w14:paraId="0E66B47B" w14:textId="77777777" w:rsidR="0061591F" w:rsidRDefault="0061591F" w:rsidP="00C07A0A">
            <w:pPr>
              <w:pStyle w:val="paragraph"/>
              <w:suppressAutoHyphens/>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Timor-Leste</w:t>
            </w:r>
          </w:p>
        </w:tc>
        <w:tc>
          <w:tcPr>
            <w:tcW w:w="2415" w:type="dxa"/>
          </w:tcPr>
          <w:p w14:paraId="15268723" w14:textId="77777777" w:rsidR="0061591F" w:rsidRDefault="0061591F" w:rsidP="00C07A0A">
            <w:pPr>
              <w:pStyle w:val="paragraph"/>
              <w:suppressAutoHyphens/>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Creation of H-NAP for long-term capacity building.</w:t>
            </w:r>
          </w:p>
        </w:tc>
        <w:tc>
          <w:tcPr>
            <w:tcW w:w="5203" w:type="dxa"/>
          </w:tcPr>
          <w:p w14:paraId="021B02E4" w14:textId="77777777" w:rsidR="0061591F" w:rsidRDefault="0061591F" w:rsidP="00C07A0A">
            <w:pPr>
              <w:rPr>
                <w:rStyle w:val="normaltextrun"/>
                <w:rFonts w:ascii="Calibri" w:hAnsi="Calibri" w:cs="Calibri"/>
                <w:sz w:val="22"/>
                <w:szCs w:val="22"/>
              </w:rPr>
            </w:pPr>
            <w:r>
              <w:rPr>
                <w:rFonts w:ascii="Calibri" w:eastAsia="Calibri" w:hAnsi="Calibri" w:cs="Calibri"/>
                <w:color w:val="000000" w:themeColor="text1"/>
                <w:sz w:val="22"/>
                <w:szCs w:val="22"/>
              </w:rPr>
              <w:t>The final version of the HNAP was endorsed and launched in 2022.</w:t>
            </w:r>
          </w:p>
        </w:tc>
      </w:tr>
      <w:tr w:rsidR="0061591F" w14:paraId="676330D7" w14:textId="77777777" w:rsidTr="009534A0">
        <w:trPr>
          <w:trHeight w:val="300"/>
        </w:trPr>
        <w:tc>
          <w:tcPr>
            <w:tcW w:w="1510" w:type="dxa"/>
            <w:vMerge/>
          </w:tcPr>
          <w:p w14:paraId="0368F50B" w14:textId="77777777" w:rsidR="0061591F" w:rsidRDefault="0061591F" w:rsidP="00C07A0A">
            <w:pPr>
              <w:rPr>
                <w:rFonts w:ascii="Calibri" w:hAnsi="Calibri" w:cs="Calibri"/>
                <w:b/>
                <w:bCs/>
                <w:sz w:val="22"/>
                <w:szCs w:val="22"/>
              </w:rPr>
            </w:pPr>
          </w:p>
        </w:tc>
        <w:tc>
          <w:tcPr>
            <w:tcW w:w="2415" w:type="dxa"/>
          </w:tcPr>
          <w:p w14:paraId="6C8D5BF8" w14:textId="77777777" w:rsidR="0061591F" w:rsidRDefault="0061591F" w:rsidP="00C07A0A">
            <w:pPr>
              <w:pStyle w:val="paragraph"/>
              <w:suppressAutoHyphens/>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 xml:space="preserve">Training package on climate change and health is developed and delivered </w:t>
            </w:r>
          </w:p>
        </w:tc>
        <w:tc>
          <w:tcPr>
            <w:tcW w:w="5203" w:type="dxa"/>
          </w:tcPr>
          <w:p w14:paraId="060E230C" w14:textId="77777777" w:rsidR="0061591F" w:rsidRDefault="0061591F" w:rsidP="00C07A0A">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A total of 13 trainings (some of which also related to outcome 2 and 3) (see</w:t>
            </w:r>
            <w:r>
              <w:rPr>
                <w:rFonts w:ascii="Calibri" w:eastAsia="Calibri" w:hAnsi="Calibri" w:cs="Calibri"/>
                <w:b/>
                <w:color w:val="000000" w:themeColor="text1"/>
                <w:sz w:val="22"/>
                <w:szCs w:val="22"/>
              </w:rPr>
              <w:t xml:space="preserve"> appendix 6</w:t>
            </w:r>
            <w:r>
              <w:rPr>
                <w:rFonts w:ascii="Calibri" w:eastAsia="Calibri" w:hAnsi="Calibri" w:cs="Calibri"/>
                <w:color w:val="000000" w:themeColor="text1"/>
                <w:sz w:val="22"/>
                <w:szCs w:val="22"/>
              </w:rPr>
              <w:t xml:space="preserve">) with a total of approximately 225 participants across all trainings have been conducted in Timor-Leste in relation to outcome 1. </w:t>
            </w:r>
          </w:p>
        </w:tc>
      </w:tr>
    </w:tbl>
    <w:p w14:paraId="5BEE6FE6" w14:textId="77777777" w:rsidR="003E15BC" w:rsidRDefault="003E15BC" w:rsidP="00C07A0A">
      <w:pPr>
        <w:rPr>
          <w:rFonts w:ascii="Calibri" w:eastAsiaTheme="majorEastAsia" w:hAnsi="Calibri" w:cs="Calibri"/>
          <w:i/>
          <w:iCs/>
          <w:color w:val="0F4761" w:themeColor="accent1" w:themeShade="BF"/>
          <w:kern w:val="2"/>
          <w:lang w:eastAsia="en-US"/>
          <w14:ligatures w14:val="standardContextual"/>
        </w:rPr>
      </w:pPr>
      <w:r>
        <w:rPr>
          <w:rFonts w:ascii="Calibri" w:hAnsi="Calibri" w:cs="Calibri"/>
        </w:rPr>
        <w:br w:type="page"/>
      </w:r>
    </w:p>
    <w:p w14:paraId="74C09165" w14:textId="433B0642" w:rsidR="003E15BC" w:rsidRPr="000E618B" w:rsidRDefault="003E15BC" w:rsidP="000E618B">
      <w:pPr>
        <w:pStyle w:val="Heading4"/>
        <w:spacing w:before="240"/>
        <w:rPr>
          <w:rStyle w:val="normaltextrun"/>
          <w:rFonts w:ascii="Calibri" w:hAnsi="Calibri" w:cs="Calibri"/>
        </w:rPr>
      </w:pPr>
      <w:r>
        <w:rPr>
          <w:rFonts w:ascii="Calibri" w:hAnsi="Calibri" w:cs="Calibri"/>
        </w:rPr>
        <w:lastRenderedPageBreak/>
        <w:t>Outcome 2</w:t>
      </w:r>
    </w:p>
    <w:p w14:paraId="1A96B931"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3823"/>
        <w:gridCol w:w="3260"/>
        <w:gridCol w:w="1933"/>
      </w:tblGrid>
      <w:tr w:rsidR="003E15BC" w14:paraId="1D3D83CE" w14:textId="77777777" w:rsidTr="009534A0">
        <w:tc>
          <w:tcPr>
            <w:tcW w:w="9016" w:type="dxa"/>
            <w:gridSpan w:val="3"/>
            <w:shd w:val="clear" w:color="auto" w:fill="DAE9F7" w:themeFill="text2" w:themeFillTint="1A"/>
          </w:tcPr>
          <w:p w14:paraId="234B5D0D" w14:textId="77777777" w:rsidR="003E15BC" w:rsidRDefault="003E15BC" w:rsidP="00C07A0A">
            <w:pPr>
              <w:pStyle w:val="paragraph"/>
              <w:suppressAutoHyphens/>
              <w:rPr>
                <w:rStyle w:val="normaltextrun"/>
                <w:rFonts w:ascii="Calibri" w:eastAsiaTheme="majorEastAsia" w:hAnsi="Calibri" w:cs="Calibri"/>
                <w:color w:val="000000" w:themeColor="text1"/>
                <w:sz w:val="22"/>
                <w:szCs w:val="22"/>
                <w:lang w:val="en-GB"/>
              </w:rPr>
            </w:pPr>
            <w:r>
              <w:rPr>
                <w:rStyle w:val="normaltextrun"/>
                <w:rFonts w:ascii="Calibri" w:eastAsiaTheme="majorEastAsia" w:hAnsi="Calibri" w:cs="Calibri"/>
                <w:b/>
                <w:bCs/>
                <w:color w:val="000000" w:themeColor="text1"/>
                <w:sz w:val="22"/>
                <w:szCs w:val="22"/>
              </w:rPr>
              <w:t>Outcome 2:</w:t>
            </w:r>
            <w:r>
              <w:rPr>
                <w:rStyle w:val="normaltextrun"/>
                <w:rFonts w:ascii="Calibri" w:eastAsiaTheme="majorEastAsia" w:hAnsi="Calibri" w:cs="Calibri"/>
                <w:color w:val="000000" w:themeColor="text1"/>
                <w:sz w:val="22"/>
                <w:szCs w:val="22"/>
              </w:rPr>
              <w:t xml:space="preserve"> </w:t>
            </w:r>
            <w:r>
              <w:rPr>
                <w:rFonts w:ascii="Calibri" w:eastAsiaTheme="majorEastAsia" w:hAnsi="Calibri" w:cs="Calibri"/>
                <w:color w:val="000000" w:themeColor="text1"/>
                <w:sz w:val="22"/>
                <w:szCs w:val="22"/>
                <w:lang w:val="en-GB"/>
              </w:rPr>
              <w:t>Effective decision-making for health interventions is enabled through generation of information and improved surveillance and/or early warning systems</w:t>
            </w:r>
          </w:p>
        </w:tc>
      </w:tr>
      <w:tr w:rsidR="003E15BC" w14:paraId="5A693AA4" w14:textId="77777777" w:rsidTr="009534A0">
        <w:tc>
          <w:tcPr>
            <w:tcW w:w="3823" w:type="dxa"/>
          </w:tcPr>
          <w:p w14:paraId="5BF645A2"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 xml:space="preserve">Indicator </w:t>
            </w:r>
          </w:p>
          <w:p w14:paraId="11DA42DA"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p>
        </w:tc>
        <w:tc>
          <w:tcPr>
            <w:tcW w:w="3260" w:type="dxa"/>
          </w:tcPr>
          <w:p w14:paraId="7D43675B"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 xml:space="preserve">End of Project level and assessment </w:t>
            </w:r>
          </w:p>
        </w:tc>
        <w:tc>
          <w:tcPr>
            <w:tcW w:w="1933" w:type="dxa"/>
          </w:tcPr>
          <w:p w14:paraId="1DE0F6D0"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 xml:space="preserve">Achievement rating </w:t>
            </w:r>
          </w:p>
        </w:tc>
      </w:tr>
      <w:tr w:rsidR="003E15BC" w14:paraId="53A07241" w14:textId="77777777" w:rsidTr="009534A0">
        <w:trPr>
          <w:trHeight w:val="263"/>
        </w:trPr>
        <w:tc>
          <w:tcPr>
            <w:tcW w:w="3823" w:type="dxa"/>
          </w:tcPr>
          <w:p w14:paraId="11FB7E72" w14:textId="77777777" w:rsidR="003E15BC" w:rsidRDefault="003E15BC" w:rsidP="00C07A0A">
            <w:pPr>
              <w:pStyle w:val="paragraph"/>
              <w:suppressAutoHyphens/>
              <w:rPr>
                <w:rFonts w:ascii="Calibri" w:eastAsiaTheme="majorEastAsia" w:hAnsi="Calibri" w:cs="Calibri"/>
                <w:color w:val="000000" w:themeColor="text1"/>
                <w:sz w:val="22"/>
                <w:szCs w:val="22"/>
                <w:lang w:val="en-GB"/>
              </w:rPr>
            </w:pPr>
            <w:r>
              <w:rPr>
                <w:rStyle w:val="normaltextrun"/>
                <w:rFonts w:ascii="Calibri" w:eastAsiaTheme="majorEastAsia" w:hAnsi="Calibri" w:cs="Calibri"/>
                <w:b/>
                <w:bCs/>
                <w:color w:val="000000" w:themeColor="text1"/>
                <w:sz w:val="22"/>
                <w:szCs w:val="22"/>
              </w:rPr>
              <w:t>Indicator 3</w:t>
            </w:r>
            <w:r>
              <w:rPr>
                <w:rStyle w:val="normaltextrun"/>
                <w:rFonts w:ascii="Calibri" w:eastAsiaTheme="majorEastAsia" w:hAnsi="Calibri" w:cs="Calibri"/>
                <w:color w:val="000000" w:themeColor="text1"/>
              </w:rPr>
              <w:t>:</w:t>
            </w:r>
            <w:r>
              <w:rPr>
                <w:rFonts w:ascii="Calibri" w:eastAsiaTheme="majorEastAsia" w:hAnsi="Calibri" w:cs="Calibri"/>
                <w:b/>
                <w:bCs/>
                <w:sz w:val="22"/>
                <w:szCs w:val="22"/>
                <w:lang w:val="en-GB"/>
              </w:rPr>
              <w:t xml:space="preserve"> </w:t>
            </w:r>
            <w:r>
              <w:rPr>
                <w:rFonts w:ascii="Calibri" w:eastAsiaTheme="majorEastAsia" w:hAnsi="Calibri" w:cs="Calibri"/>
                <w:color w:val="000000" w:themeColor="text1"/>
                <w:sz w:val="22"/>
                <w:szCs w:val="22"/>
                <w:lang w:val="en-GB"/>
              </w:rPr>
              <w:t>Vulnerability and adaptation assessments (V+A) conducted for current and future health risks.</w:t>
            </w:r>
          </w:p>
          <w:p w14:paraId="782E9F39" w14:textId="77777777" w:rsidR="003E15BC" w:rsidRDefault="003E15BC" w:rsidP="00C07A0A">
            <w:pPr>
              <w:pStyle w:val="paragraph"/>
              <w:suppressAutoHyphens/>
              <w:rPr>
                <w:rStyle w:val="normaltextrun"/>
                <w:rFonts w:ascii="Calibri" w:eastAsiaTheme="majorEastAsia" w:hAnsi="Calibri" w:cs="Calibri"/>
                <w:color w:val="000000" w:themeColor="text1"/>
                <w:sz w:val="22"/>
                <w:szCs w:val="22"/>
                <w:lang w:val="en-GB"/>
              </w:rPr>
            </w:pPr>
            <w:r>
              <w:rPr>
                <w:rFonts w:ascii="Calibri" w:eastAsiaTheme="majorEastAsia" w:hAnsi="Calibri" w:cs="Calibri"/>
                <w:color w:val="000000" w:themeColor="text1"/>
                <w:sz w:val="22"/>
                <w:szCs w:val="22"/>
                <w:lang w:val="en-GB"/>
              </w:rPr>
              <w:t>(AMAT 2.1 Indicator 6)</w:t>
            </w:r>
          </w:p>
        </w:tc>
        <w:tc>
          <w:tcPr>
            <w:tcW w:w="3260" w:type="dxa"/>
          </w:tcPr>
          <w:p w14:paraId="2F9F364F"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Gender- disaggregated health vulnerability and adaptation assessments completed or updated in 5 countries.</w:t>
            </w:r>
          </w:p>
        </w:tc>
        <w:tc>
          <w:tcPr>
            <w:tcW w:w="1933" w:type="dxa"/>
            <w:vMerge w:val="restart"/>
            <w:shd w:val="clear" w:color="auto" w:fill="00B050"/>
          </w:tcPr>
          <w:p w14:paraId="09F33E0F"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Pr>
                <w:rStyle w:val="normaltextrun"/>
                <w:rFonts w:ascii="Calibri" w:eastAsiaTheme="majorEastAsia" w:hAnsi="Calibri" w:cs="Calibri"/>
                <w:b/>
                <w:bCs/>
                <w:color w:val="000000" w:themeColor="text1"/>
                <w:sz w:val="22"/>
                <w:szCs w:val="22"/>
              </w:rPr>
              <w:t>Achieved - S</w:t>
            </w:r>
          </w:p>
        </w:tc>
      </w:tr>
      <w:tr w:rsidR="003E15BC" w14:paraId="544591B0" w14:textId="77777777" w:rsidTr="009534A0">
        <w:trPr>
          <w:trHeight w:val="263"/>
        </w:trPr>
        <w:tc>
          <w:tcPr>
            <w:tcW w:w="3823" w:type="dxa"/>
          </w:tcPr>
          <w:p w14:paraId="4D4C1947" w14:textId="77777777" w:rsidR="003E15BC" w:rsidRDefault="003E15BC" w:rsidP="00C07A0A">
            <w:pPr>
              <w:pStyle w:val="paragraph"/>
              <w:suppressAutoHyphens/>
              <w:rPr>
                <w:rFonts w:ascii="Calibri" w:eastAsiaTheme="majorEastAsia" w:hAnsi="Calibri" w:cs="Calibri"/>
                <w:color w:val="000000" w:themeColor="text1"/>
                <w:sz w:val="22"/>
                <w:szCs w:val="22"/>
                <w:lang w:val="en-GB"/>
              </w:rPr>
            </w:pPr>
            <w:r>
              <w:rPr>
                <w:rFonts w:ascii="Calibri" w:eastAsiaTheme="majorEastAsia" w:hAnsi="Calibri" w:cs="Calibri"/>
                <w:b/>
                <w:bCs/>
                <w:color w:val="000000" w:themeColor="text1"/>
                <w:sz w:val="22"/>
                <w:szCs w:val="22"/>
                <w:lang w:val="en-GB"/>
              </w:rPr>
              <w:t xml:space="preserve">Indicator 4: </w:t>
            </w:r>
            <w:r>
              <w:rPr>
                <w:rFonts w:ascii="Calibri" w:eastAsiaTheme="majorEastAsia" w:hAnsi="Calibri" w:cs="Calibri"/>
                <w:color w:val="000000" w:themeColor="text1"/>
                <w:sz w:val="22"/>
                <w:szCs w:val="22"/>
                <w:lang w:val="en-GB"/>
              </w:rPr>
              <w:t>Integrated disease surveillance system for climate sensitive disease is strengthened</w:t>
            </w:r>
          </w:p>
        </w:tc>
        <w:tc>
          <w:tcPr>
            <w:tcW w:w="3260" w:type="dxa"/>
          </w:tcPr>
          <w:p w14:paraId="7B72A7AF" w14:textId="77777777" w:rsidR="003E15BC" w:rsidRDefault="003E15BC" w:rsidP="00C07A0A">
            <w:pPr>
              <w:rPr>
                <w:rFonts w:ascii="Calibri" w:hAnsi="Calibri" w:cs="Calibri"/>
                <w:color w:val="000000"/>
                <w:sz w:val="22"/>
                <w:szCs w:val="22"/>
              </w:rPr>
            </w:pPr>
            <w:r w:rsidRPr="00CB0E8D">
              <w:rPr>
                <w:rFonts w:ascii="Calibri" w:hAnsi="Calibri"/>
                <w:color w:val="000000"/>
                <w:sz w:val="22"/>
              </w:rPr>
              <w:t>Tailored products to inform decision making based on surveillance system which incorporates climate/weather data (</w:t>
            </w:r>
            <w:r>
              <w:rPr>
                <w:rFonts w:ascii="Calibri" w:hAnsi="Calibri" w:cs="Calibri"/>
                <w:sz w:val="22"/>
                <w:szCs w:val="22"/>
              </w:rPr>
              <w:t xml:space="preserve">5 </w:t>
            </w:r>
            <w:r w:rsidRPr="00CB0E8D">
              <w:rPr>
                <w:rFonts w:ascii="Calibri" w:hAnsi="Calibri"/>
                <w:color w:val="000000"/>
                <w:sz w:val="22"/>
              </w:rPr>
              <w:t>countries).</w:t>
            </w:r>
          </w:p>
          <w:p w14:paraId="7897DE2E"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p>
        </w:tc>
        <w:tc>
          <w:tcPr>
            <w:tcW w:w="1933" w:type="dxa"/>
            <w:vMerge/>
            <w:shd w:val="clear" w:color="auto" w:fill="00B050"/>
          </w:tcPr>
          <w:p w14:paraId="7533836B"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p>
        </w:tc>
      </w:tr>
    </w:tbl>
    <w:p w14:paraId="0BF2E37C" w14:textId="3157975A" w:rsidR="003E15BC" w:rsidRDefault="003E15BC" w:rsidP="00C07A0A">
      <w:pPr>
        <w:pStyle w:val="paragraph"/>
        <w:suppressAutoHyphens/>
        <w:spacing w:before="0" w:beforeAutospacing="0" w:after="0" w:afterAutospacing="0"/>
        <w:contextualSpacing/>
        <w:jc w:val="both"/>
        <w:rPr>
          <w:rStyle w:val="normaltextrun"/>
          <w:rFonts w:ascii="Calibri" w:eastAsiaTheme="majorEastAsia" w:hAnsi="Calibri" w:cs="Calibri"/>
          <w:color w:val="000000" w:themeColor="text1"/>
        </w:rPr>
      </w:pPr>
      <w:r>
        <w:rPr>
          <w:rStyle w:val="normaltextrun"/>
          <w:rFonts w:ascii="Calibri" w:eastAsiaTheme="majorEastAsia" w:hAnsi="Calibri" w:cs="Calibri"/>
          <w:color w:val="000000" w:themeColor="text1"/>
        </w:rPr>
        <w:br/>
        <w:t xml:space="preserve">End-of-project targets for outcome 2 have been achieved. Vulnerability and adaptation (V&amp;A) assessments have been completed in all countries, with results directly informing HNAP revisions in </w:t>
      </w:r>
      <w:r w:rsidR="00822E11">
        <w:rPr>
          <w:rStyle w:val="normaltextrun"/>
          <w:rFonts w:ascii="Calibri" w:eastAsiaTheme="majorEastAsia" w:hAnsi="Calibri" w:cs="Calibri"/>
          <w:color w:val="000000" w:themeColor="text1"/>
        </w:rPr>
        <w:t>project countries</w:t>
      </w:r>
      <w:r>
        <w:rPr>
          <w:rStyle w:val="normaltextrun"/>
          <w:rFonts w:ascii="Calibri" w:eastAsiaTheme="majorEastAsia" w:hAnsi="Calibri" w:cs="Calibri"/>
          <w:color w:val="000000" w:themeColor="text1"/>
        </w:rPr>
        <w:t xml:space="preserve">. Several regional and country stakeholders emphasised the value of V&amp;As in addressing critical data gaps within LDCs and establishing an evidence base on climate-sensitive health risks and needs for advocacy and planning. Without GEF Funds, it is highly likely that these country-level assessments may not have occurred. </w:t>
      </w:r>
    </w:p>
    <w:p w14:paraId="000DB7A9" w14:textId="77777777" w:rsidR="003E15BC" w:rsidRDefault="003E15BC" w:rsidP="00C07A0A">
      <w:pPr>
        <w:pStyle w:val="paragraph"/>
        <w:suppressAutoHyphens/>
        <w:spacing w:before="0" w:beforeAutospacing="0" w:after="0" w:afterAutospacing="0"/>
        <w:contextualSpacing/>
        <w:jc w:val="both"/>
        <w:rPr>
          <w:rStyle w:val="normaltextrun"/>
          <w:rFonts w:ascii="Calibri" w:eastAsiaTheme="majorEastAsia" w:hAnsi="Calibri" w:cs="Calibri"/>
          <w:color w:val="000000" w:themeColor="text1"/>
        </w:rPr>
      </w:pPr>
    </w:p>
    <w:p w14:paraId="294B76EF" w14:textId="10A184B8" w:rsidR="003E15BC" w:rsidRDefault="003E15BC" w:rsidP="00C07A0A">
      <w:pPr>
        <w:pStyle w:val="paragraph"/>
        <w:suppressAutoHyphens/>
        <w:spacing w:before="0" w:beforeAutospacing="0" w:after="0" w:afterAutospacing="0"/>
        <w:contextualSpacing/>
        <w:jc w:val="both"/>
        <w:rPr>
          <w:rStyle w:val="normaltextrun"/>
          <w:rFonts w:ascii="Calibri" w:eastAsiaTheme="majorEastAsia" w:hAnsi="Calibri" w:cs="Calibri"/>
          <w:color w:val="000000" w:themeColor="text1"/>
        </w:rPr>
      </w:pPr>
      <w:r>
        <w:rPr>
          <w:rStyle w:val="normaltextrun"/>
          <w:rFonts w:ascii="Calibri" w:eastAsiaTheme="majorEastAsia" w:hAnsi="Calibri" w:cs="Calibri"/>
          <w:color w:val="000000" w:themeColor="text1"/>
        </w:rPr>
        <w:t xml:space="preserve">Gender-related V&amp;A data was collected in all countries, however the extent and type of data varied. Several countries reported sex-disaggregated V&amp;A data for some climate-sensitive diseases, including in Bangladesh, Cambodia, Nepal and Timor-Leste. Qualitative data regarding gender impacts was also described in Lao PDR and Nepal. WHO supported a consultant to develop a gender analysis toolkit for V&amp;A assessments and provided country-specific recommendations which were both shared with COs for information and feedback. However it was not possible to verify the extent to which these recommendations have been addressed and the toolkit was not included in the TE review. Gender considerations are discussed further under </w:t>
      </w:r>
      <w:r>
        <w:rPr>
          <w:rStyle w:val="normaltextrun"/>
          <w:rFonts w:ascii="Calibri" w:eastAsiaTheme="majorEastAsia" w:hAnsi="Calibri" w:cs="Calibri"/>
          <w:b/>
          <w:bCs/>
          <w:color w:val="000000" w:themeColor="text1"/>
        </w:rPr>
        <w:t>Section 5.5: Cross-Cutting issues</w:t>
      </w:r>
      <w:r>
        <w:rPr>
          <w:rStyle w:val="normaltextrun"/>
          <w:rFonts w:ascii="Calibri" w:eastAsiaTheme="majorEastAsia" w:hAnsi="Calibri" w:cs="Calibri"/>
          <w:color w:val="000000" w:themeColor="text1"/>
        </w:rPr>
        <w:t xml:space="preserve">. </w:t>
      </w:r>
    </w:p>
    <w:p w14:paraId="4F1E6C91" w14:textId="77777777" w:rsidR="003E15BC" w:rsidRDefault="003E15BC" w:rsidP="00C07A0A">
      <w:pPr>
        <w:pStyle w:val="paragraph"/>
        <w:suppressAutoHyphens/>
        <w:spacing w:before="0" w:beforeAutospacing="0" w:after="0" w:afterAutospacing="0"/>
        <w:contextualSpacing/>
        <w:jc w:val="both"/>
        <w:rPr>
          <w:rStyle w:val="normaltextrun"/>
          <w:rFonts w:ascii="Calibri" w:eastAsiaTheme="majorEastAsia" w:hAnsi="Calibri" w:cs="Calibri"/>
          <w:color w:val="000000" w:themeColor="text1"/>
        </w:rPr>
      </w:pPr>
    </w:p>
    <w:p w14:paraId="5D37D190" w14:textId="089E0B60" w:rsidR="003E15BC" w:rsidRDefault="003E15BC" w:rsidP="00C07A0A">
      <w:pPr>
        <w:pStyle w:val="paragraph"/>
        <w:suppressAutoHyphens/>
        <w:spacing w:before="0" w:beforeAutospacing="0" w:after="0" w:afterAutospacing="0"/>
        <w:contextualSpacing/>
        <w:jc w:val="both"/>
        <w:rPr>
          <w:rStyle w:val="normaltextrun"/>
          <w:rFonts w:ascii="Calibri" w:eastAsiaTheme="majorEastAsia" w:hAnsi="Calibri" w:cs="Calibri"/>
          <w:color w:val="000000" w:themeColor="text1"/>
        </w:rPr>
      </w:pPr>
      <w:r>
        <w:rPr>
          <w:rStyle w:val="normaltextrun"/>
          <w:rFonts w:ascii="Calibri" w:eastAsiaTheme="majorEastAsia" w:hAnsi="Calibri" w:cs="Calibri"/>
          <w:color w:val="000000" w:themeColor="text1"/>
        </w:rPr>
        <w:t xml:space="preserve">All countries have developed and piloted integrated climate-sensitive disease surveillance systems, leveraging guidance and tools such as for EWARS and DHIS2, but there has been uneven progress on wider rollout and scale-up, reflecting the diverse and varying contexts across countries. Sentinel surveillance sites have been piloted in all countries for climate-sensitive communicable diseases, </w:t>
      </w:r>
      <w:r w:rsidRPr="7724665A">
        <w:rPr>
          <w:rStyle w:val="normaltextrun"/>
          <w:rFonts w:ascii="Calibri" w:eastAsiaTheme="majorEastAsia" w:hAnsi="Calibri" w:cs="Calibri"/>
          <w:color w:val="000000" w:themeColor="text1"/>
        </w:rPr>
        <w:t>with variability in terms of</w:t>
      </w:r>
      <w:r>
        <w:rPr>
          <w:rStyle w:val="normaltextrun"/>
          <w:rFonts w:ascii="Calibri" w:eastAsiaTheme="majorEastAsia" w:hAnsi="Calibri" w:cs="Calibri"/>
          <w:color w:val="000000" w:themeColor="text1"/>
        </w:rPr>
        <w:t xml:space="preserve"> disease focus </w:t>
      </w:r>
      <w:r w:rsidRPr="7724665A">
        <w:rPr>
          <w:rStyle w:val="normaltextrun"/>
          <w:rFonts w:ascii="Calibri" w:eastAsiaTheme="majorEastAsia" w:hAnsi="Calibri" w:cs="Calibri"/>
          <w:color w:val="000000" w:themeColor="text1"/>
        </w:rPr>
        <w:t xml:space="preserve">dependent on country context </w:t>
      </w:r>
      <w:r>
        <w:rPr>
          <w:rStyle w:val="normaltextrun"/>
          <w:rFonts w:ascii="Calibri" w:eastAsiaTheme="majorEastAsia" w:hAnsi="Calibri" w:cs="Calibri"/>
          <w:color w:val="000000" w:themeColor="text1"/>
        </w:rPr>
        <w:t>(dengue and diarrhoeal diseases most common). All countries have participated in regular EWARS training organised by regional and HQ offices, and national training materials and workshops have been co-designed and disseminated with health sector implementing partners (mostly MOH) in Bangladesh, Cambodia, Lao PDR and Nepal.</w:t>
      </w:r>
    </w:p>
    <w:p w14:paraId="416F67D1" w14:textId="77777777" w:rsidR="003E15BC" w:rsidRDefault="003E15BC" w:rsidP="00C07A0A">
      <w:pPr>
        <w:pStyle w:val="paragraph"/>
        <w:suppressAutoHyphens/>
        <w:spacing w:before="0" w:beforeAutospacing="0" w:after="0" w:afterAutospacing="0"/>
        <w:contextualSpacing/>
        <w:jc w:val="both"/>
        <w:rPr>
          <w:rStyle w:val="normaltextrun"/>
          <w:rFonts w:ascii="Calibri" w:eastAsiaTheme="majorEastAsia" w:hAnsi="Calibri" w:cs="Calibri"/>
          <w:color w:val="000000" w:themeColor="text1"/>
        </w:rPr>
      </w:pPr>
    </w:p>
    <w:p w14:paraId="69EE82FB" w14:textId="2D3D60EA" w:rsidR="003E15BC" w:rsidRDefault="003E15BC" w:rsidP="00C07A0A">
      <w:pPr>
        <w:pStyle w:val="paragraph"/>
        <w:suppressAutoHyphens/>
        <w:spacing w:before="0" w:beforeAutospacing="0" w:after="0" w:afterAutospacing="0"/>
        <w:contextualSpacing/>
        <w:jc w:val="both"/>
        <w:rPr>
          <w:rStyle w:val="normaltextrun"/>
          <w:rFonts w:ascii="Calibri" w:eastAsiaTheme="majorEastAsia" w:hAnsi="Calibri" w:cs="Calibri"/>
          <w:color w:val="000000" w:themeColor="text1"/>
        </w:rPr>
      </w:pPr>
      <w:r>
        <w:rPr>
          <w:rStyle w:val="normaltextrun"/>
          <w:rFonts w:ascii="Calibri" w:eastAsiaTheme="majorEastAsia" w:hAnsi="Calibri" w:cs="Calibri"/>
          <w:color w:val="000000" w:themeColor="text1"/>
        </w:rPr>
        <w:t xml:space="preserve">Availability of high-quality historical data (meteorological and for some diseases) and data sharing negotiations hampered timely development and integration of surveillance systems </w:t>
      </w:r>
      <w:r>
        <w:rPr>
          <w:rStyle w:val="normaltextrun"/>
          <w:rFonts w:ascii="Calibri" w:eastAsiaTheme="majorEastAsia" w:hAnsi="Calibri" w:cs="Calibri"/>
          <w:color w:val="000000" w:themeColor="text1"/>
        </w:rPr>
        <w:lastRenderedPageBreak/>
        <w:t>in some settings. Many countries have overcome these initial challenges by establishing governance arrangements between relevant Ministries, such as MOUs, creating strong foundations for future integration. Many integrated surveillance activities are still in early pilot/proof-of-concept phases, and additional funding is needed by most of the countries to scale-up or address future gaps. However, the GEF project has made initial headway in strengthening integrated disease surveillance systems and has supported tailored products for national decision-making</w:t>
      </w:r>
      <w:r w:rsidR="00D44B68">
        <w:rPr>
          <w:rStyle w:val="normaltextrun"/>
          <w:rFonts w:ascii="Calibri" w:eastAsiaTheme="majorEastAsia" w:hAnsi="Calibri" w:cs="Calibri"/>
          <w:color w:val="000000" w:themeColor="text1"/>
        </w:rPr>
        <w:t xml:space="preserve">, </w:t>
      </w:r>
      <w:r>
        <w:rPr>
          <w:rStyle w:val="normaltextrun"/>
          <w:rFonts w:ascii="Calibri" w:eastAsiaTheme="majorEastAsia" w:hAnsi="Calibri" w:cs="Calibri"/>
          <w:color w:val="000000" w:themeColor="text1"/>
        </w:rPr>
        <w:t>and set the groundwork for future investment</w:t>
      </w:r>
      <w:r w:rsidR="00D44B68">
        <w:rPr>
          <w:rStyle w:val="normaltextrun"/>
          <w:rFonts w:ascii="Calibri" w:eastAsiaTheme="majorEastAsia" w:hAnsi="Calibri" w:cs="Calibri"/>
          <w:color w:val="000000" w:themeColor="text1"/>
        </w:rPr>
        <w:t>.</w:t>
      </w:r>
      <w:r>
        <w:rPr>
          <w:rStyle w:val="normaltextrun"/>
          <w:rFonts w:ascii="Calibri" w:eastAsiaTheme="majorEastAsia" w:hAnsi="Calibri" w:cs="Calibri"/>
          <w:color w:val="000000" w:themeColor="text1"/>
        </w:rPr>
        <w:t xml:space="preserve"> Additionally, WHO HQ will provide ongoing support for the integration of surveillance systems via direct calls with technical experts, along with an expert meeting being organised by HQ in September 2024, to ensure successful implementation.</w:t>
      </w:r>
    </w:p>
    <w:p w14:paraId="7E23D103"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i/>
          <w:color w:val="000000" w:themeColor="text1"/>
        </w:rPr>
      </w:pPr>
    </w:p>
    <w:p w14:paraId="3F166DA1"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i/>
          <w:color w:val="000000" w:themeColor="text1"/>
        </w:rPr>
        <w:t xml:space="preserve">Country-level Activities </w:t>
      </w:r>
    </w:p>
    <w:p w14:paraId="5A7897F9"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1510"/>
        <w:gridCol w:w="2765"/>
        <w:gridCol w:w="4651"/>
      </w:tblGrid>
      <w:tr w:rsidR="00C1217E" w14:paraId="2B0A3E0C" w14:textId="77777777" w:rsidTr="009534A0">
        <w:trPr>
          <w:trHeight w:val="300"/>
        </w:trPr>
        <w:tc>
          <w:tcPr>
            <w:tcW w:w="1510" w:type="dxa"/>
            <w:shd w:val="clear" w:color="auto" w:fill="FAE2D5" w:themeFill="accent2" w:themeFillTint="33"/>
          </w:tcPr>
          <w:p w14:paraId="5F6B072B" w14:textId="77777777" w:rsidR="00C1217E" w:rsidRDefault="00C1217E" w:rsidP="00C1217E">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Country </w:t>
            </w:r>
          </w:p>
          <w:p w14:paraId="27FEE30D" w14:textId="77777777" w:rsidR="00C1217E" w:rsidRDefault="00C1217E" w:rsidP="00C1217E">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2765" w:type="dxa"/>
            <w:shd w:val="clear" w:color="auto" w:fill="FAE2D5" w:themeFill="accent2" w:themeFillTint="33"/>
          </w:tcPr>
          <w:p w14:paraId="785928CF" w14:textId="77777777" w:rsidR="00C1217E" w:rsidRDefault="00C1217E" w:rsidP="00C1217E">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Country-level outcome indicators </w:t>
            </w:r>
          </w:p>
        </w:tc>
        <w:tc>
          <w:tcPr>
            <w:tcW w:w="4651" w:type="dxa"/>
            <w:shd w:val="clear" w:color="auto" w:fill="FAE2D5" w:themeFill="accent2" w:themeFillTint="33"/>
          </w:tcPr>
          <w:p w14:paraId="0F7F8B28" w14:textId="64AEC72B" w:rsidR="00C1217E" w:rsidRDefault="00C1217E" w:rsidP="00C1217E">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bCs/>
                <w:color w:val="000000" w:themeColor="text1"/>
                <w:sz w:val="22"/>
                <w:szCs w:val="22"/>
              </w:rPr>
              <w:t>E</w:t>
            </w:r>
            <w:r w:rsidRPr="008432F3">
              <w:rPr>
                <w:rStyle w:val="normaltextrun"/>
                <w:rFonts w:ascii="Calibri" w:eastAsiaTheme="majorEastAsia" w:hAnsi="Calibri" w:cs="Calibri"/>
                <w:b/>
                <w:bCs/>
                <w:color w:val="000000" w:themeColor="text1"/>
                <w:sz w:val="22"/>
                <w:szCs w:val="22"/>
              </w:rPr>
              <w:t xml:space="preserve">xample </w:t>
            </w:r>
            <w:r>
              <w:rPr>
                <w:rStyle w:val="normaltextrun"/>
                <w:rFonts w:ascii="Calibri" w:eastAsiaTheme="majorEastAsia" w:hAnsi="Calibri" w:cs="Calibri"/>
                <w:b/>
                <w:bCs/>
                <w:color w:val="000000" w:themeColor="text1"/>
                <w:sz w:val="22"/>
                <w:szCs w:val="22"/>
              </w:rPr>
              <w:t xml:space="preserve">Achievements </w:t>
            </w:r>
          </w:p>
        </w:tc>
      </w:tr>
      <w:tr w:rsidR="003E15BC" w14:paraId="5483B3EB" w14:textId="77777777" w:rsidTr="008432F3">
        <w:trPr>
          <w:trHeight w:val="300"/>
        </w:trPr>
        <w:tc>
          <w:tcPr>
            <w:tcW w:w="1510" w:type="dxa"/>
            <w:vMerge w:val="restart"/>
          </w:tcPr>
          <w:p w14:paraId="42FB14E5"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Bangladesh </w:t>
            </w:r>
          </w:p>
          <w:p w14:paraId="355D7A6C"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5E2E43EB"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2FF0818A"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38A64594"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2765" w:type="dxa"/>
          </w:tcPr>
          <w:p w14:paraId="5DC80C51"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Number of health facilities using health emergency plans using information from integrated disease surveillance system dis-aggregated for gender sensitivity</w:t>
            </w:r>
          </w:p>
          <w:p w14:paraId="5E8D5930" w14:textId="77777777" w:rsidR="003E15BC" w:rsidRDefault="003E15BC" w:rsidP="00C07A0A">
            <w:pPr>
              <w:pStyle w:val="paragraph"/>
              <w:suppressAutoHyphens/>
              <w:spacing w:before="0" w:beforeAutospacing="0" w:after="0" w:afterAutospacing="0"/>
              <w:rPr>
                <w:rFonts w:ascii="Calibri" w:eastAsiaTheme="majorEastAsia" w:hAnsi="Calibri" w:cs="Calibri"/>
                <w:color w:val="000000" w:themeColor="text1"/>
                <w:sz w:val="22"/>
                <w:szCs w:val="22"/>
              </w:rPr>
            </w:pPr>
          </w:p>
        </w:tc>
        <w:tc>
          <w:tcPr>
            <w:tcW w:w="4651" w:type="dxa"/>
            <w:vMerge w:val="restart"/>
          </w:tcPr>
          <w:p w14:paraId="6FA37780" w14:textId="77777777" w:rsidR="003E15BC" w:rsidRDefault="003E15BC" w:rsidP="00C07A0A">
            <w:pPr>
              <w:pStyle w:val="paragraph"/>
              <w:suppressAutoHyphens/>
              <w:spacing w:before="0" w:beforeAutospacing="0" w:after="0" w:afterAutospacing="0"/>
              <w:rPr>
                <w:rStyle w:val="normaltextrun"/>
                <w:rFonts w:ascii="Calibri" w:eastAsia="Calibri" w:hAnsi="Calibri" w:cs="Calibri"/>
                <w:color w:val="000000" w:themeColor="text1"/>
                <w:sz w:val="22"/>
                <w:szCs w:val="22"/>
              </w:rPr>
            </w:pPr>
            <w:r>
              <w:rPr>
                <w:rStyle w:val="normaltextrun"/>
                <w:rFonts w:ascii="Calibri" w:eastAsia="Calibri" w:hAnsi="Calibri" w:cs="Calibri"/>
                <w:color w:val="000000" w:themeColor="text1"/>
                <w:sz w:val="22"/>
                <w:szCs w:val="22"/>
              </w:rPr>
              <w:t>EWARS tool has been developed and piloted in 10 sites for dengue, cholera, rotavirus, and other diarrhoeal</w:t>
            </w:r>
            <w:r>
              <w:rPr>
                <w:rStyle w:val="normaltextrun"/>
                <w:rFonts w:ascii="Calibri" w:eastAsia="Calibri" w:hAnsi="Calibri" w:cs="Calibri"/>
                <w:sz w:val="22"/>
                <w:szCs w:val="22"/>
              </w:rPr>
              <w:t xml:space="preserve"> diseases</w:t>
            </w:r>
            <w:r>
              <w:rPr>
                <w:rStyle w:val="normaltextrun"/>
                <w:rFonts w:ascii="Calibri" w:eastAsia="Calibri" w:hAnsi="Calibri" w:cs="Calibri"/>
                <w:color w:val="000000" w:themeColor="text1"/>
                <w:sz w:val="22"/>
                <w:szCs w:val="22"/>
              </w:rPr>
              <w:t xml:space="preserve">. IEDCR within the MHFP has established systems for ongoing data management and integration, including an MoU with the BDM for meteorological data. There is strong commitment to data sharing from relevant stakeholders and infrastructure is now in place for expansion, including server equipment. </w:t>
            </w:r>
          </w:p>
          <w:p w14:paraId="6D2C6D5F"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p>
          <w:p w14:paraId="5C6CC9B9"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 xml:space="preserve">Guidelines for EWARS and emergency plans have also been developed and have been applied for recent climate events in some sub-districts (see </w:t>
            </w:r>
            <w:r>
              <w:rPr>
                <w:rStyle w:val="normaltextrun"/>
                <w:rFonts w:ascii="Calibri" w:eastAsiaTheme="majorEastAsia" w:hAnsi="Calibri" w:cs="Calibri"/>
                <w:b/>
                <w:color w:val="000000" w:themeColor="text1"/>
                <w:sz w:val="22"/>
                <w:szCs w:val="22"/>
              </w:rPr>
              <w:t>Case study 1</w:t>
            </w:r>
            <w:r>
              <w:rPr>
                <w:rStyle w:val="normaltextrun"/>
                <w:rFonts w:ascii="Calibri" w:eastAsiaTheme="majorEastAsia" w:hAnsi="Calibri" w:cs="Calibri"/>
                <w:color w:val="000000" w:themeColor="text1"/>
                <w:sz w:val="22"/>
                <w:szCs w:val="22"/>
              </w:rPr>
              <w:t xml:space="preserve">). </w:t>
            </w:r>
          </w:p>
        </w:tc>
      </w:tr>
      <w:tr w:rsidR="003E15BC" w14:paraId="5799C162" w14:textId="77777777" w:rsidTr="008432F3">
        <w:trPr>
          <w:trHeight w:val="300"/>
        </w:trPr>
        <w:tc>
          <w:tcPr>
            <w:tcW w:w="1510" w:type="dxa"/>
            <w:vMerge/>
          </w:tcPr>
          <w:p w14:paraId="5B9A25EC" w14:textId="77777777" w:rsidR="003E15BC" w:rsidRDefault="003E15BC" w:rsidP="00C07A0A">
            <w:pPr>
              <w:rPr>
                <w:rFonts w:ascii="Calibri" w:hAnsi="Calibri" w:cs="Calibri"/>
                <w:b/>
                <w:sz w:val="22"/>
                <w:szCs w:val="22"/>
              </w:rPr>
            </w:pPr>
          </w:p>
        </w:tc>
        <w:tc>
          <w:tcPr>
            <w:tcW w:w="2765" w:type="dxa"/>
          </w:tcPr>
          <w:p w14:paraId="43ADA99F"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Percentage of stakeholders participated in coordination and use of early-warning systems</w:t>
            </w:r>
          </w:p>
          <w:p w14:paraId="78511F43" w14:textId="77777777" w:rsidR="003E15BC" w:rsidRDefault="003E15BC" w:rsidP="00C07A0A">
            <w:pPr>
              <w:pStyle w:val="paragraph"/>
              <w:suppressAutoHyphens/>
              <w:spacing w:before="0" w:beforeAutospacing="0" w:after="0" w:afterAutospacing="0"/>
              <w:rPr>
                <w:rFonts w:ascii="Calibri" w:eastAsiaTheme="majorEastAsia" w:hAnsi="Calibri" w:cs="Calibri"/>
                <w:color w:val="000000" w:themeColor="text1"/>
                <w:sz w:val="22"/>
                <w:szCs w:val="22"/>
              </w:rPr>
            </w:pPr>
          </w:p>
        </w:tc>
        <w:tc>
          <w:tcPr>
            <w:tcW w:w="4651" w:type="dxa"/>
            <w:vMerge/>
          </w:tcPr>
          <w:p w14:paraId="5B2939C2" w14:textId="77777777" w:rsidR="003E15BC" w:rsidRDefault="003E15BC" w:rsidP="00C07A0A">
            <w:pPr>
              <w:pStyle w:val="paragraph"/>
              <w:suppressAutoHyphens/>
              <w:spacing w:before="0" w:beforeAutospacing="0" w:after="0" w:afterAutospacing="0" w:line="259" w:lineRule="auto"/>
              <w:rPr>
                <w:rStyle w:val="normaltextrun"/>
                <w:rFonts w:ascii="Calibri" w:eastAsiaTheme="majorEastAsia" w:hAnsi="Calibri" w:cs="Calibri"/>
                <w:color w:val="000000" w:themeColor="text1"/>
                <w:sz w:val="22"/>
                <w:szCs w:val="22"/>
              </w:rPr>
            </w:pPr>
          </w:p>
        </w:tc>
      </w:tr>
      <w:tr w:rsidR="003E15BC" w14:paraId="0A13A4F4" w14:textId="77777777" w:rsidTr="008432F3">
        <w:trPr>
          <w:trHeight w:val="300"/>
        </w:trPr>
        <w:tc>
          <w:tcPr>
            <w:tcW w:w="1510" w:type="dxa"/>
            <w:vMerge w:val="restart"/>
          </w:tcPr>
          <w:p w14:paraId="409CBABF"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Cambodia </w:t>
            </w:r>
          </w:p>
          <w:p w14:paraId="57B50BAD"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2765" w:type="dxa"/>
          </w:tcPr>
          <w:p w14:paraId="578DC0F7"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Number of new hospitals performing active dengue surveillance in addition to existing seven.</w:t>
            </w:r>
          </w:p>
        </w:tc>
        <w:tc>
          <w:tcPr>
            <w:tcW w:w="4651" w:type="dxa"/>
          </w:tcPr>
          <w:p w14:paraId="7430AAC1" w14:textId="77777777" w:rsidR="003E15BC" w:rsidRDefault="003E15BC" w:rsidP="00C07A0A">
            <w:pPr>
              <w:pStyle w:val="paragraph"/>
              <w:suppressAutoHyphens/>
              <w:spacing w:before="0" w:beforeAutospacing="0" w:after="0" w:afterAutospacing="0"/>
              <w:jc w:val="both"/>
              <w:rPr>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 xml:space="preserve">At the beginning of the project, five dengue sentinel sites were operational (Siem Reap, Takeo, Kampong Cham, Battambang, and Kampot). During the first two years of the project, an additional five dengue sites were added </w:t>
            </w:r>
            <w:r>
              <w:rPr>
                <w:rFonts w:ascii="Calibri" w:hAnsi="Calibri" w:cs="Calibri"/>
                <w:color w:val="000000" w:themeColor="text1"/>
                <w:sz w:val="22"/>
                <w:szCs w:val="22"/>
              </w:rPr>
              <w:t>(Kampong Thom, Kampong Chhnang, Kratie, Tboung Khmum, and Prey Veng) and during 2022, five new dengue sites were added (Kampong Speu, Banteay Meanchey, Ratanakiri, Preah Vihear, and Svay Rieng). Additionally, the five dengue sentinel sites that were added in 2021 were provided with training on standard reporting procedures where a total of 160 dengue supervisors and health professional staffs from Operational Districts (ODs) or Provincial Hospitals participated.</w:t>
            </w:r>
          </w:p>
        </w:tc>
      </w:tr>
      <w:tr w:rsidR="003E15BC" w14:paraId="1A37AD1C" w14:textId="77777777" w:rsidTr="008432F3">
        <w:trPr>
          <w:trHeight w:val="300"/>
        </w:trPr>
        <w:tc>
          <w:tcPr>
            <w:tcW w:w="1510" w:type="dxa"/>
            <w:vMerge/>
          </w:tcPr>
          <w:p w14:paraId="2EABDB6A" w14:textId="77777777" w:rsidR="003E15BC" w:rsidRDefault="003E15BC" w:rsidP="00C07A0A">
            <w:pPr>
              <w:rPr>
                <w:rFonts w:ascii="Calibri" w:hAnsi="Calibri" w:cs="Calibri"/>
                <w:b/>
                <w:sz w:val="22"/>
                <w:szCs w:val="22"/>
              </w:rPr>
            </w:pPr>
          </w:p>
        </w:tc>
        <w:tc>
          <w:tcPr>
            <w:tcW w:w="2765" w:type="dxa"/>
          </w:tcPr>
          <w:p w14:paraId="120D42E2" w14:textId="77777777" w:rsidR="003E15BC" w:rsidRDefault="003E15BC" w:rsidP="00C07A0A">
            <w:pPr>
              <w:pStyle w:val="paragraph"/>
              <w:suppressAutoHyphens/>
              <w:spacing w:before="0" w:beforeAutospacing="0" w:after="0" w:afterAutospacing="0"/>
              <w:rPr>
                <w:rFonts w:ascii="Calibri" w:hAnsi="Calibri" w:cs="Calibri"/>
                <w:sz w:val="22"/>
                <w:szCs w:val="22"/>
              </w:rPr>
            </w:pPr>
            <w:r>
              <w:rPr>
                <w:rFonts w:ascii="Calibri" w:eastAsia="Calibri" w:hAnsi="Calibri" w:cs="Calibri"/>
                <w:color w:val="000000" w:themeColor="text1"/>
                <w:sz w:val="22"/>
                <w:szCs w:val="22"/>
              </w:rPr>
              <w:t>Improvements in diarrhoeal disease surveillance</w:t>
            </w:r>
          </w:p>
        </w:tc>
        <w:tc>
          <w:tcPr>
            <w:tcW w:w="4651" w:type="dxa"/>
          </w:tcPr>
          <w:p w14:paraId="21CB959F" w14:textId="77777777" w:rsidR="003E15BC" w:rsidRDefault="003E15BC" w:rsidP="00C07A0A">
            <w:pPr>
              <w:pStyle w:val="paragraph"/>
              <w:suppressAutoHyphens/>
              <w:spacing w:before="0" w:beforeAutospacing="0" w:after="0" w:afterAutospacing="0"/>
              <w:jc w:val="both"/>
              <w:rPr>
                <w:rStyle w:val="normaltextrun"/>
                <w:rFonts w:ascii="Calibri" w:eastAsiaTheme="majorEastAsia" w:hAnsi="Calibri" w:cs="Calibri"/>
                <w:color w:val="000000" w:themeColor="text1"/>
                <w:sz w:val="22"/>
                <w:szCs w:val="22"/>
              </w:rPr>
            </w:pPr>
            <w:r>
              <w:rPr>
                <w:rFonts w:ascii="Calibri" w:eastAsia="Calibri" w:hAnsi="Calibri" w:cs="Calibri"/>
                <w:color w:val="000000" w:themeColor="text1"/>
                <w:sz w:val="22"/>
                <w:szCs w:val="22"/>
              </w:rPr>
              <w:t>A new diarrheal</w:t>
            </w:r>
            <w:r>
              <w:rPr>
                <w:rFonts w:ascii="Calibri" w:eastAsia="Calibri" w:hAnsi="Calibri" w:cs="Calibri"/>
                <w:sz w:val="22"/>
                <w:szCs w:val="22"/>
              </w:rPr>
              <w:t xml:space="preserve"> disease</w:t>
            </w:r>
            <w:r>
              <w:rPr>
                <w:rFonts w:ascii="Calibri" w:eastAsia="Calibri" w:hAnsi="Calibri" w:cs="Calibri"/>
                <w:color w:val="000000" w:themeColor="text1"/>
                <w:sz w:val="22"/>
                <w:szCs w:val="22"/>
              </w:rPr>
              <w:t xml:space="preserve"> surveillance system (CAMEWARN) was implemented in the first year of the project alongside a diarrheal</w:t>
            </w:r>
            <w:r>
              <w:rPr>
                <w:rFonts w:ascii="Calibri" w:eastAsia="Calibri" w:hAnsi="Calibri" w:cs="Calibri"/>
                <w:sz w:val="22"/>
                <w:szCs w:val="22"/>
              </w:rPr>
              <w:t xml:space="preserve"> disease surveillance</w:t>
            </w:r>
            <w:r>
              <w:rPr>
                <w:rFonts w:ascii="Calibri" w:eastAsia="Calibri" w:hAnsi="Calibri" w:cs="Calibri"/>
                <w:color w:val="000000" w:themeColor="text1"/>
                <w:sz w:val="22"/>
                <w:szCs w:val="22"/>
              </w:rPr>
              <w:t xml:space="preserve"> workshop. In 2021, additional </w:t>
            </w:r>
            <w:r>
              <w:rPr>
                <w:rFonts w:ascii="Calibri" w:eastAsia="Calibri" w:hAnsi="Calibri" w:cs="Calibri"/>
                <w:color w:val="000000" w:themeColor="text1"/>
                <w:sz w:val="22"/>
                <w:szCs w:val="22"/>
              </w:rPr>
              <w:lastRenderedPageBreak/>
              <w:t xml:space="preserve">diarrhea surveillance training and monitoring (and COVID-19 prevention and control measures) was conducted and a total number of 60 participants attended. </w:t>
            </w:r>
          </w:p>
        </w:tc>
      </w:tr>
      <w:tr w:rsidR="003E15BC" w14:paraId="796BE27B" w14:textId="77777777" w:rsidTr="008432F3">
        <w:trPr>
          <w:trHeight w:val="300"/>
        </w:trPr>
        <w:tc>
          <w:tcPr>
            <w:tcW w:w="1510" w:type="dxa"/>
            <w:vMerge w:val="restart"/>
          </w:tcPr>
          <w:p w14:paraId="64F8D56D"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lastRenderedPageBreak/>
              <w:t>Lao PDR</w:t>
            </w:r>
          </w:p>
        </w:tc>
        <w:tc>
          <w:tcPr>
            <w:tcW w:w="2765" w:type="dxa"/>
          </w:tcPr>
          <w:p w14:paraId="392090AA"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Vulnerability assessment conducted for current and future health burdens, considering development and climate change, as indicated by: The updated 2010 WHO/Ministry of Health climate change and health vulnerability assessment</w:t>
            </w:r>
          </w:p>
        </w:tc>
        <w:tc>
          <w:tcPr>
            <w:tcW w:w="4651" w:type="dxa"/>
          </w:tcPr>
          <w:p w14:paraId="315A89F9" w14:textId="77777777" w:rsidR="003E15BC" w:rsidRDefault="003E15BC" w:rsidP="00C07A0A">
            <w:pPr>
              <w:rPr>
                <w:rFonts w:ascii="Calibri" w:eastAsia="Calibri" w:hAnsi="Calibri" w:cs="Calibri"/>
                <w:sz w:val="22"/>
                <w:szCs w:val="22"/>
              </w:rPr>
            </w:pPr>
            <w:r>
              <w:rPr>
                <w:rFonts w:ascii="Calibri" w:eastAsia="Calibri" w:hAnsi="Calibri" w:cs="Calibri"/>
                <w:color w:val="000000" w:themeColor="text1"/>
                <w:sz w:val="22"/>
                <w:szCs w:val="22"/>
              </w:rPr>
              <w:t>A V&amp;A f</w:t>
            </w:r>
            <w:r>
              <w:rPr>
                <w:rFonts w:ascii="Calibri" w:eastAsia="Calibri" w:hAnsi="Calibri" w:cs="Calibri"/>
                <w:sz w:val="22"/>
                <w:szCs w:val="22"/>
              </w:rPr>
              <w:t xml:space="preserve">or the health sector </w:t>
            </w:r>
            <w:r>
              <w:rPr>
                <w:rFonts w:ascii="Calibri" w:eastAsia="Calibri" w:hAnsi="Calibri" w:cs="Calibri"/>
                <w:color w:val="000000" w:themeColor="text1"/>
                <w:sz w:val="22"/>
                <w:szCs w:val="22"/>
              </w:rPr>
              <w:t>was conducted in 2018 supported by ADB. In 2019, WHO collected additional data on water-related diseases, vector-borne diseases, impacts on WASH, mental health, malnutrition, injury and disability and sudden increase of health services use during the flood season in 2018-19 to enhance the existing V&amp;A. Climate change and health outcome data have been integrated into DHIS2 and gender disaggregated health outcome data is also available for regular update and monitoring.</w:t>
            </w:r>
          </w:p>
        </w:tc>
      </w:tr>
      <w:tr w:rsidR="003E15BC" w14:paraId="5F10CD89" w14:textId="77777777" w:rsidTr="008432F3">
        <w:trPr>
          <w:trHeight w:val="300"/>
        </w:trPr>
        <w:tc>
          <w:tcPr>
            <w:tcW w:w="1510" w:type="dxa"/>
            <w:vMerge/>
          </w:tcPr>
          <w:p w14:paraId="3ADC7E66" w14:textId="77777777" w:rsidR="003E15BC" w:rsidRDefault="003E15BC" w:rsidP="00C07A0A">
            <w:pPr>
              <w:rPr>
                <w:rFonts w:ascii="Calibri" w:hAnsi="Calibri" w:cs="Calibri"/>
                <w:b/>
                <w:sz w:val="22"/>
                <w:szCs w:val="22"/>
              </w:rPr>
            </w:pPr>
          </w:p>
        </w:tc>
        <w:tc>
          <w:tcPr>
            <w:tcW w:w="2765" w:type="dxa"/>
          </w:tcPr>
          <w:p w14:paraId="37E9D051"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Establish basis for early warning system which is integrated with weather and climate data and CC&amp;H database</w:t>
            </w:r>
          </w:p>
        </w:tc>
        <w:tc>
          <w:tcPr>
            <w:tcW w:w="4651" w:type="dxa"/>
          </w:tcPr>
          <w:p w14:paraId="1FE99549"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 xml:space="preserve">Data sharing mechanisms have been achieved and EWARS tool is being piloted in 10 sites for dengue and diarrhoeal diseases. Interview data also highlights that work is being conducted on air quality and health (e.g. providing air quality monitors to all provinces and capitals). Information is currently being collected to increase the awareness of the impacts of poor air quality on health. Additionally, guidelines are being implemented to support heatwave early warning systems.   </w:t>
            </w:r>
          </w:p>
        </w:tc>
      </w:tr>
      <w:tr w:rsidR="003E15BC" w14:paraId="4CCADAB0" w14:textId="77777777" w:rsidTr="008432F3">
        <w:trPr>
          <w:trHeight w:val="300"/>
        </w:trPr>
        <w:tc>
          <w:tcPr>
            <w:tcW w:w="1510" w:type="dxa"/>
            <w:vMerge w:val="restart"/>
          </w:tcPr>
          <w:p w14:paraId="22A9ED91"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Nepal </w:t>
            </w:r>
          </w:p>
          <w:p w14:paraId="6C0BA39F"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159103B3" w14:textId="77777777" w:rsidR="003E15BC" w:rsidRDefault="003E15BC" w:rsidP="00C07A0A">
            <w:pPr>
              <w:pStyle w:val="paragraph"/>
              <w:suppressAutoHyphens/>
              <w:rPr>
                <w:rStyle w:val="normaltextrun"/>
                <w:rFonts w:ascii="Calibri" w:eastAsiaTheme="majorEastAsia" w:hAnsi="Calibri" w:cs="Calibri"/>
                <w:b/>
                <w:color w:val="000000" w:themeColor="text1"/>
                <w:sz w:val="22"/>
                <w:szCs w:val="22"/>
              </w:rPr>
            </w:pPr>
          </w:p>
        </w:tc>
        <w:tc>
          <w:tcPr>
            <w:tcW w:w="2765" w:type="dxa"/>
          </w:tcPr>
          <w:p w14:paraId="7747A418" w14:textId="77777777" w:rsidR="003E15BC" w:rsidRDefault="003E15BC" w:rsidP="00C07A0A">
            <w:pPr>
              <w:pStyle w:val="paragraph"/>
              <w:suppressAutoHyphens/>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Develop policies and strategies for prevention, control and management of climate-sensitive health risks and diseases developed for scrub typhus and chikungunya fever.</w:t>
            </w:r>
          </w:p>
        </w:tc>
        <w:tc>
          <w:tcPr>
            <w:tcW w:w="4651" w:type="dxa"/>
          </w:tcPr>
          <w:p w14:paraId="126F2428" w14:textId="2BCA5321" w:rsidR="003E15BC" w:rsidRDefault="003E15BC" w:rsidP="00C07A0A">
            <w:pPr>
              <w:rPr>
                <w:rFonts w:ascii="Calibri" w:eastAsia="Calibri" w:hAnsi="Calibri" w:cs="Calibri"/>
                <w:color w:val="000000" w:themeColor="text1"/>
                <w:sz w:val="22"/>
                <w:szCs w:val="22"/>
              </w:rPr>
            </w:pPr>
            <w:r>
              <w:rPr>
                <w:rStyle w:val="normaltextrun"/>
                <w:rFonts w:ascii="Calibri" w:eastAsiaTheme="majorEastAsia" w:hAnsi="Calibri" w:cs="Calibri"/>
                <w:sz w:val="22"/>
                <w:szCs w:val="22"/>
              </w:rPr>
              <w:t xml:space="preserve">EWARS tool has been piloted in four sentinel sites from all three ecological regions which considers six climate sensitive diseases. There is an MoU between DHM and DoHS for sharing of health and climate data for strengthening existing disease surveillance from climate perspective. </w:t>
            </w:r>
            <w:r w:rsidRPr="7724665A">
              <w:rPr>
                <w:rFonts w:ascii="Calibri" w:eastAsia="Calibri" w:hAnsi="Calibri" w:cs="Calibri"/>
                <w:color w:val="000000" w:themeColor="text1"/>
                <w:sz w:val="22"/>
                <w:szCs w:val="22"/>
              </w:rPr>
              <w:t>Due to potential adjusted priorities during the implementation period, there was i</w:t>
            </w:r>
            <w:r>
              <w:rPr>
                <w:rStyle w:val="normaltextrun"/>
                <w:rFonts w:ascii="Calibri" w:eastAsiaTheme="majorEastAsia" w:hAnsi="Calibri" w:cs="Calibri"/>
                <w:sz w:val="22"/>
                <w:szCs w:val="22"/>
              </w:rPr>
              <w:t>nsufficient data related to policies and strategies explicitly referring to scrub typhus fever and chikungunya specifically (a</w:t>
            </w:r>
            <w:r>
              <w:rPr>
                <w:rFonts w:ascii="Calibri" w:eastAsia="Calibri" w:hAnsi="Calibri" w:cs="Calibri"/>
                <w:color w:val="000000" w:themeColor="text1"/>
                <w:sz w:val="22"/>
                <w:szCs w:val="22"/>
                <w:lang w:val="en-GB"/>
              </w:rPr>
              <w:t xml:space="preserve">side from their inclusion within the updated 2015 VAA data which </w:t>
            </w:r>
            <w:r>
              <w:rPr>
                <w:rFonts w:ascii="Calibri" w:eastAsia="Calibri" w:hAnsi="Calibri" w:cs="Calibri"/>
                <w:color w:val="000000" w:themeColor="text1"/>
                <w:sz w:val="22"/>
                <w:szCs w:val="22"/>
                <w:lang w:val="en-US"/>
              </w:rPr>
              <w:t>has a focus on a) emerging climate sensitive diseases and health risks in the country e.g.  dengue, scrub typhus, chikungunya and zika virus</w:t>
            </w:r>
            <w:r>
              <w:rPr>
                <w:rFonts w:ascii="Calibri" w:eastAsia="Calibri" w:hAnsi="Calibri" w:cs="Calibri"/>
                <w:color w:val="000000" w:themeColor="text1"/>
                <w:sz w:val="22"/>
                <w:szCs w:val="22"/>
                <w:lang w:val="en-GB"/>
              </w:rPr>
              <w:t>)</w:t>
            </w:r>
            <w:r>
              <w:rPr>
                <w:rStyle w:val="normaltextrun"/>
                <w:rFonts w:ascii="Calibri" w:eastAsiaTheme="majorEastAsia" w:hAnsi="Calibri" w:cs="Calibri"/>
                <w:sz w:val="22"/>
                <w:szCs w:val="22"/>
              </w:rPr>
              <w:t xml:space="preserve">. </w:t>
            </w:r>
            <w:r>
              <w:rPr>
                <w:rStyle w:val="normaltextrun"/>
                <w:rFonts w:ascii="Calibri" w:eastAsiaTheme="majorEastAsia" w:hAnsi="Calibri" w:cs="Calibri"/>
                <w:color w:val="000000" w:themeColor="text1"/>
                <w:sz w:val="22"/>
                <w:szCs w:val="22"/>
              </w:rPr>
              <w:t xml:space="preserve">However, The Vector Borne Diseases and Research Training Centre (VBDRTC) in collaboration with BPKHIS completed an entomological survey titled </w:t>
            </w:r>
            <w:r>
              <w:rPr>
                <w:rFonts w:ascii="Calibri" w:eastAsia="Calibri" w:hAnsi="Calibri" w:cs="Calibri"/>
                <w:color w:val="000000" w:themeColor="text1"/>
                <w:sz w:val="22"/>
                <w:szCs w:val="22"/>
              </w:rPr>
              <w:t xml:space="preserve">Entomological survey of major vector-borne diseases in geo-ecological and climatic variances in Koshi Province, Nepal. </w:t>
            </w:r>
          </w:p>
        </w:tc>
      </w:tr>
      <w:tr w:rsidR="003E15BC" w14:paraId="7E32F62C" w14:textId="77777777" w:rsidTr="008432F3">
        <w:trPr>
          <w:trHeight w:val="300"/>
        </w:trPr>
        <w:tc>
          <w:tcPr>
            <w:tcW w:w="1510" w:type="dxa"/>
            <w:vMerge/>
          </w:tcPr>
          <w:p w14:paraId="1D3468B5" w14:textId="77777777" w:rsidR="003E15BC" w:rsidRDefault="003E15BC" w:rsidP="00C07A0A">
            <w:pPr>
              <w:rPr>
                <w:rFonts w:ascii="Calibri" w:hAnsi="Calibri" w:cs="Calibri"/>
                <w:b/>
                <w:sz w:val="22"/>
                <w:szCs w:val="22"/>
              </w:rPr>
            </w:pPr>
          </w:p>
        </w:tc>
        <w:tc>
          <w:tcPr>
            <w:tcW w:w="2765" w:type="dxa"/>
          </w:tcPr>
          <w:p w14:paraId="7EA1A843" w14:textId="77777777" w:rsidR="003E15BC" w:rsidRDefault="003E15BC" w:rsidP="00C07A0A">
            <w:pPr>
              <w:pStyle w:val="paragraph"/>
              <w:suppressAutoHyphens/>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 xml:space="preserve">Integrated diseases surveillance and alert system in place for early detection and prevention of </w:t>
            </w:r>
            <w:r>
              <w:rPr>
                <w:rFonts w:ascii="Calibri" w:eastAsiaTheme="majorEastAsia" w:hAnsi="Calibri" w:cs="Calibri"/>
                <w:color w:val="000000" w:themeColor="text1"/>
                <w:sz w:val="22"/>
                <w:szCs w:val="22"/>
              </w:rPr>
              <w:lastRenderedPageBreak/>
              <w:t>climate-sensitive diseases and risks in piloted district.</w:t>
            </w:r>
          </w:p>
        </w:tc>
        <w:tc>
          <w:tcPr>
            <w:tcW w:w="4651" w:type="dxa"/>
          </w:tcPr>
          <w:p w14:paraId="1AC1219B" w14:textId="77777777" w:rsidR="003E15BC" w:rsidRDefault="003E15BC" w:rsidP="00C07A0A">
            <w:pPr>
              <w:pStyle w:val="paragraph"/>
              <w:suppressAutoHyphens/>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lastRenderedPageBreak/>
              <w:t xml:space="preserve">Based on the training reporting table (see </w:t>
            </w:r>
            <w:r>
              <w:rPr>
                <w:rStyle w:val="normaltextrun"/>
                <w:rFonts w:ascii="Calibri" w:eastAsiaTheme="majorEastAsia" w:hAnsi="Calibri" w:cs="Calibri"/>
                <w:b/>
                <w:color w:val="000000" w:themeColor="text1"/>
                <w:sz w:val="22"/>
                <w:szCs w:val="22"/>
              </w:rPr>
              <w:t>Appendix 6</w:t>
            </w:r>
            <w:r>
              <w:rPr>
                <w:rStyle w:val="normaltextrun"/>
                <w:rFonts w:ascii="Calibri" w:eastAsiaTheme="majorEastAsia" w:hAnsi="Calibri" w:cs="Calibri"/>
                <w:color w:val="000000" w:themeColor="text1"/>
                <w:sz w:val="22"/>
                <w:szCs w:val="22"/>
              </w:rPr>
              <w:t>), over 100 staff have been trained against this outcome.</w:t>
            </w:r>
          </w:p>
        </w:tc>
      </w:tr>
      <w:tr w:rsidR="003E15BC" w14:paraId="107312EA" w14:textId="77777777" w:rsidTr="008432F3">
        <w:trPr>
          <w:trHeight w:val="983"/>
        </w:trPr>
        <w:tc>
          <w:tcPr>
            <w:tcW w:w="1510" w:type="dxa"/>
            <w:vMerge w:val="restart"/>
          </w:tcPr>
          <w:p w14:paraId="041ADF0A"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Timor-Leste</w:t>
            </w:r>
          </w:p>
          <w:p w14:paraId="15EB2939" w14:textId="77777777" w:rsidR="003E15BC" w:rsidRDefault="003E15BC"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79993816" w14:textId="77777777" w:rsidR="003E15BC" w:rsidRDefault="003E15BC" w:rsidP="00C07A0A">
            <w:pPr>
              <w:pStyle w:val="paragraph"/>
              <w:suppressAutoHyphens/>
              <w:rPr>
                <w:rStyle w:val="normaltextrun"/>
                <w:rFonts w:ascii="Calibri" w:eastAsiaTheme="majorEastAsia" w:hAnsi="Calibri" w:cs="Calibri"/>
                <w:b/>
                <w:color w:val="000000" w:themeColor="text1"/>
                <w:sz w:val="22"/>
                <w:szCs w:val="22"/>
              </w:rPr>
            </w:pPr>
          </w:p>
        </w:tc>
        <w:tc>
          <w:tcPr>
            <w:tcW w:w="2765" w:type="dxa"/>
          </w:tcPr>
          <w:p w14:paraId="06098FAB" w14:textId="77777777" w:rsidR="003E15BC" w:rsidRDefault="003E15BC" w:rsidP="00C07A0A">
            <w:pPr>
              <w:pStyle w:val="paragraph"/>
              <w:suppressAutoHyphens/>
              <w:spacing w:before="0" w:beforeAutospacing="0" w:after="0" w:afterAutospacing="0"/>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Vulnerability and adaptation assessment conducted for current and future health risks</w:t>
            </w:r>
          </w:p>
          <w:p w14:paraId="37D94759" w14:textId="77777777" w:rsidR="003E15BC" w:rsidRDefault="003E15BC" w:rsidP="00C07A0A">
            <w:pPr>
              <w:pStyle w:val="paragraph"/>
              <w:suppressAutoHyphens/>
              <w:spacing w:before="0" w:beforeAutospacing="0" w:after="0" w:afterAutospacing="0"/>
              <w:rPr>
                <w:rFonts w:ascii="Calibri" w:eastAsiaTheme="majorEastAsia" w:hAnsi="Calibri" w:cs="Calibri"/>
                <w:color w:val="000000" w:themeColor="text1"/>
                <w:sz w:val="22"/>
                <w:szCs w:val="22"/>
              </w:rPr>
            </w:pPr>
          </w:p>
        </w:tc>
        <w:tc>
          <w:tcPr>
            <w:tcW w:w="4651" w:type="dxa"/>
          </w:tcPr>
          <w:p w14:paraId="2592EBF6" w14:textId="32270E62" w:rsidR="003E15BC" w:rsidRDefault="003E15BC" w:rsidP="00C07A0A">
            <w:pPr>
              <w:pStyle w:val="paragraph"/>
              <w:suppressAutoHyphens/>
              <w:rPr>
                <w:rFonts w:ascii="Calibri" w:eastAsia="Calibri" w:hAnsi="Calibri" w:cs="Calibri"/>
                <w:color w:val="000000" w:themeColor="text1"/>
                <w:sz w:val="22"/>
                <w:szCs w:val="22"/>
              </w:rPr>
            </w:pPr>
            <w:r>
              <w:rPr>
                <w:rFonts w:ascii="Calibri" w:eastAsia="Calibri" w:hAnsi="Calibri" w:cs="Calibri"/>
                <w:color w:val="000000" w:themeColor="text1"/>
                <w:sz w:val="22"/>
                <w:szCs w:val="22"/>
              </w:rPr>
              <w:t>A general Vulnerability and Adaptation Assessment (V&amp;A) was completed in 20</w:t>
            </w:r>
            <w:r w:rsidR="00850FA6">
              <w:rPr>
                <w:rFonts w:ascii="Calibri" w:eastAsia="Calibri" w:hAnsi="Calibri" w:cs="Calibri"/>
                <w:color w:val="000000" w:themeColor="text1"/>
                <w:sz w:val="22"/>
                <w:szCs w:val="22"/>
              </w:rPr>
              <w:t>1</w:t>
            </w:r>
            <w:r>
              <w:rPr>
                <w:rFonts w:ascii="Calibri" w:eastAsia="Calibri" w:hAnsi="Calibri" w:cs="Calibri"/>
                <w:color w:val="000000" w:themeColor="text1"/>
                <w:sz w:val="22"/>
                <w:szCs w:val="22"/>
              </w:rPr>
              <w:t xml:space="preserve">9 to inform the current HNAP. Timor-Leste is currently working on a comprehensive V&amp;A for the country and all municipalities. </w:t>
            </w:r>
          </w:p>
        </w:tc>
      </w:tr>
      <w:tr w:rsidR="003E15BC" w14:paraId="11B3BEBC" w14:textId="77777777" w:rsidTr="008432F3">
        <w:trPr>
          <w:trHeight w:val="300"/>
        </w:trPr>
        <w:tc>
          <w:tcPr>
            <w:tcW w:w="1510" w:type="dxa"/>
            <w:vMerge/>
          </w:tcPr>
          <w:p w14:paraId="29A9469E" w14:textId="77777777" w:rsidR="003E15BC" w:rsidRDefault="003E15BC" w:rsidP="00C07A0A">
            <w:pPr>
              <w:rPr>
                <w:rFonts w:ascii="Calibri" w:hAnsi="Calibri" w:cs="Calibri"/>
                <w:sz w:val="22"/>
                <w:szCs w:val="22"/>
              </w:rPr>
            </w:pPr>
          </w:p>
        </w:tc>
        <w:tc>
          <w:tcPr>
            <w:tcW w:w="2765" w:type="dxa"/>
          </w:tcPr>
          <w:p w14:paraId="5E06EA4C" w14:textId="77777777" w:rsidR="003E15BC" w:rsidRDefault="003E15BC" w:rsidP="00C07A0A">
            <w:pPr>
              <w:pStyle w:val="paragraph"/>
              <w:suppressAutoHyphens/>
              <w:rPr>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 xml:space="preserve">Feasibility assessment of developing climate-health early warning system </w:t>
            </w:r>
          </w:p>
        </w:tc>
        <w:tc>
          <w:tcPr>
            <w:tcW w:w="4651" w:type="dxa"/>
          </w:tcPr>
          <w:p w14:paraId="4A5749B7" w14:textId="1F5F9B66" w:rsidR="003E15BC" w:rsidRDefault="003E15BC" w:rsidP="00C07A0A">
            <w:pPr>
              <w:pStyle w:val="paragraph"/>
              <w:suppressAutoHyphens/>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Pilot hampered by lack of historical and current meteorological data. At this stage, the EWARS tool is being piloted at the municipal level for dengue with a MOH EWARS working group in place and health workforces have received EWARS training. There is insufficient data and resources to undertake pilots for other diseases.</w:t>
            </w:r>
          </w:p>
        </w:tc>
      </w:tr>
    </w:tbl>
    <w:p w14:paraId="08522C91" w14:textId="1E1490E4" w:rsidR="0061591F" w:rsidRDefault="0061591F" w:rsidP="00C07A0A">
      <w:pPr>
        <w:rPr>
          <w:rFonts w:ascii="Calibri" w:eastAsiaTheme="majorEastAsia" w:hAnsi="Calibri" w:cs="Calibri"/>
          <w:i/>
          <w:iCs/>
          <w:color w:val="0F4761" w:themeColor="accent1" w:themeShade="BF"/>
          <w:kern w:val="2"/>
          <w:lang w:eastAsia="en-US"/>
          <w14:ligatures w14:val="standardContextual"/>
        </w:rPr>
      </w:pPr>
    </w:p>
    <w:tbl>
      <w:tblPr>
        <w:tblStyle w:val="TableGrid"/>
        <w:tblW w:w="0" w:type="auto"/>
        <w:tblLook w:val="04A0" w:firstRow="1" w:lastRow="0" w:firstColumn="1" w:lastColumn="0" w:noHBand="0" w:noVBand="1"/>
      </w:tblPr>
      <w:tblGrid>
        <w:gridCol w:w="9016"/>
      </w:tblGrid>
      <w:tr w:rsidR="002B060A" w14:paraId="75070F06" w14:textId="77777777" w:rsidTr="001071B4">
        <w:tc>
          <w:tcPr>
            <w:tcW w:w="9016" w:type="dxa"/>
          </w:tcPr>
          <w:p w14:paraId="0259764E" w14:textId="56ACEC5F" w:rsidR="00904313" w:rsidRPr="009E75B3" w:rsidRDefault="00904313"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sidRPr="009E75B3">
              <w:rPr>
                <w:rStyle w:val="normaltextrun"/>
                <w:rFonts w:ascii="Calibri" w:eastAsiaTheme="majorEastAsia" w:hAnsi="Calibri" w:cs="Calibri"/>
                <w:b/>
                <w:bCs/>
                <w:color w:val="000000" w:themeColor="text1"/>
                <w:sz w:val="22"/>
                <w:szCs w:val="22"/>
              </w:rPr>
              <w:t>Case study 1: Piloting EWARS in Bangladesh</w:t>
            </w:r>
          </w:p>
          <w:p w14:paraId="3D1C4389" w14:textId="77777777" w:rsidR="00904313" w:rsidRPr="009E75B3" w:rsidRDefault="00904313" w:rsidP="00C07A0A">
            <w:pPr>
              <w:pStyle w:val="paragraph"/>
              <w:suppressAutoHyphens/>
              <w:spacing w:before="0" w:beforeAutospacing="0" w:after="0" w:afterAutospacing="0"/>
              <w:rPr>
                <w:rFonts w:ascii="Calibri" w:eastAsiaTheme="majorEastAsia" w:hAnsi="Calibri" w:cs="Calibri"/>
                <w:color w:val="000000" w:themeColor="text1"/>
                <w:sz w:val="22"/>
                <w:szCs w:val="22"/>
              </w:rPr>
            </w:pPr>
            <w:r w:rsidRPr="007639F4">
              <w:rPr>
                <w:rFonts w:ascii="Calibri" w:eastAsiaTheme="majorEastAsia" w:hAnsi="Calibri" w:cs="Calibri"/>
                <w:color w:val="000000" w:themeColor="text1"/>
                <w:sz w:val="22"/>
                <w:szCs w:val="22"/>
              </w:rPr>
              <w:t>In a bid to strengthen the surveillance of climate-sensitive diseases, Bangladesh has embarked on a pilot program using the Early Warning, Alert, and Response System (EWARS) tool developed by WHO. The pilot is being conducted across 10 sites focusing on diseases such as Dengue, Cholera, Diarrhoea, and Rotavirus.</w:t>
            </w:r>
          </w:p>
          <w:p w14:paraId="0057B744" w14:textId="77777777" w:rsidR="00904313" w:rsidRPr="007639F4" w:rsidRDefault="00904313" w:rsidP="00C07A0A">
            <w:pPr>
              <w:pStyle w:val="paragraph"/>
              <w:suppressAutoHyphens/>
              <w:spacing w:before="0" w:beforeAutospacing="0" w:after="0" w:afterAutospacing="0"/>
              <w:rPr>
                <w:rFonts w:ascii="Calibri" w:eastAsiaTheme="majorEastAsia" w:hAnsi="Calibri" w:cs="Calibri"/>
                <w:color w:val="000000" w:themeColor="text1"/>
                <w:sz w:val="22"/>
                <w:szCs w:val="22"/>
              </w:rPr>
            </w:pPr>
          </w:p>
          <w:p w14:paraId="401E63AD" w14:textId="77777777" w:rsidR="00904313" w:rsidRPr="009E75B3" w:rsidRDefault="00904313" w:rsidP="00C07A0A">
            <w:pPr>
              <w:pStyle w:val="paragraph"/>
              <w:suppressAutoHyphens/>
              <w:spacing w:before="0" w:beforeAutospacing="0" w:after="0" w:afterAutospacing="0"/>
              <w:rPr>
                <w:rFonts w:ascii="Calibri" w:eastAsiaTheme="majorEastAsia" w:hAnsi="Calibri" w:cs="Calibri"/>
                <w:b/>
                <w:bCs/>
                <w:color w:val="000000" w:themeColor="text1"/>
                <w:sz w:val="22"/>
                <w:szCs w:val="22"/>
              </w:rPr>
            </w:pPr>
            <w:r w:rsidRPr="009E75B3">
              <w:rPr>
                <w:rFonts w:ascii="Calibri" w:eastAsiaTheme="majorEastAsia" w:hAnsi="Calibri" w:cs="Calibri"/>
                <w:b/>
                <w:bCs/>
                <w:color w:val="000000" w:themeColor="text1"/>
                <w:sz w:val="22"/>
                <w:szCs w:val="22"/>
              </w:rPr>
              <w:t>Building a Collaborative Framework</w:t>
            </w:r>
          </w:p>
          <w:p w14:paraId="20BC6CE4" w14:textId="43F86843" w:rsidR="003C5030" w:rsidRDefault="00D2084D" w:rsidP="00C07A0A">
            <w:pPr>
              <w:rPr>
                <w:rFonts w:ascii="Calibri" w:eastAsiaTheme="majorEastAsia" w:hAnsi="Calibri" w:cs="Calibri"/>
                <w:color w:val="000000" w:themeColor="text1"/>
                <w:sz w:val="22"/>
                <w:szCs w:val="22"/>
              </w:rPr>
            </w:pPr>
            <w:r w:rsidRPr="00D2084D">
              <w:rPr>
                <w:rFonts w:ascii="Calibri" w:eastAsiaTheme="majorEastAsia" w:hAnsi="Calibri" w:cs="Calibri"/>
                <w:color w:val="000000" w:themeColor="text1"/>
                <w:sz w:val="22"/>
                <w:szCs w:val="22"/>
              </w:rPr>
              <w:t>The</w:t>
            </w:r>
            <w:r>
              <w:rPr>
                <w:rFonts w:ascii="Calibri" w:eastAsiaTheme="majorEastAsia" w:hAnsi="Calibri" w:cs="Calibri"/>
                <w:color w:val="000000" w:themeColor="text1"/>
                <w:sz w:val="22"/>
                <w:szCs w:val="22"/>
              </w:rPr>
              <w:t xml:space="preserve"> project was supported by strong c</w:t>
            </w:r>
            <w:r w:rsidRPr="00D2084D">
              <w:rPr>
                <w:rFonts w:ascii="Calibri" w:eastAsiaTheme="majorEastAsia" w:hAnsi="Calibri" w:cs="Calibri"/>
                <w:color w:val="000000" w:themeColor="text1"/>
                <w:sz w:val="22"/>
                <w:szCs w:val="22"/>
              </w:rPr>
              <w:t>ollaboratio</w:t>
            </w:r>
            <w:r>
              <w:rPr>
                <w:rFonts w:ascii="Calibri" w:eastAsiaTheme="majorEastAsia" w:hAnsi="Calibri" w:cs="Calibri"/>
                <w:color w:val="000000" w:themeColor="text1"/>
                <w:sz w:val="22"/>
                <w:szCs w:val="22"/>
              </w:rPr>
              <w:t xml:space="preserve">n between key </w:t>
            </w:r>
            <w:r w:rsidRPr="00D2084D">
              <w:rPr>
                <w:rFonts w:ascii="Calibri" w:eastAsiaTheme="majorEastAsia" w:hAnsi="Calibri" w:cs="Calibri"/>
                <w:color w:val="000000" w:themeColor="text1"/>
                <w:sz w:val="22"/>
                <w:szCs w:val="22"/>
              </w:rPr>
              <w:t>stakeholders, including the Institute of Epidemiology Disease Control and Research (IEDCR), Department of Disaster Management (DDM), and WHO.</w:t>
            </w:r>
            <w:r>
              <w:rPr>
                <w:rFonts w:ascii="Calibri" w:eastAsiaTheme="majorEastAsia" w:hAnsi="Calibri" w:cs="Calibri"/>
                <w:color w:val="000000" w:themeColor="text1"/>
                <w:sz w:val="22"/>
                <w:szCs w:val="22"/>
              </w:rPr>
              <w:t xml:space="preserve"> </w:t>
            </w:r>
            <w:r w:rsidR="003C5030" w:rsidRPr="00116214">
              <w:rPr>
                <w:rFonts w:ascii="Calibri" w:eastAsia="Calibri" w:hAnsi="Calibri" w:cs="Calibri"/>
                <w:color w:val="000000" w:themeColor="text1"/>
                <w:sz w:val="22"/>
                <w:szCs w:val="22"/>
              </w:rPr>
              <w:t>Memorand</w:t>
            </w:r>
            <w:r w:rsidR="00F12806" w:rsidRPr="00116214">
              <w:rPr>
                <w:rFonts w:ascii="Calibri" w:eastAsia="Calibri" w:hAnsi="Calibri" w:cs="Calibri"/>
                <w:color w:val="000000" w:themeColor="text1"/>
                <w:sz w:val="22"/>
                <w:szCs w:val="22"/>
              </w:rPr>
              <w:t>a</w:t>
            </w:r>
            <w:r w:rsidR="00F12806">
              <w:rPr>
                <w:rFonts w:ascii="Calibri" w:eastAsiaTheme="majorEastAsia" w:hAnsi="Calibri" w:cs="Calibri"/>
                <w:color w:val="000000" w:themeColor="text1"/>
                <w:sz w:val="22"/>
                <w:szCs w:val="22"/>
              </w:rPr>
              <w:t xml:space="preserve"> </w:t>
            </w:r>
            <w:r w:rsidR="003C5030">
              <w:rPr>
                <w:rFonts w:ascii="Calibri" w:eastAsiaTheme="majorEastAsia" w:hAnsi="Calibri" w:cs="Calibri"/>
                <w:color w:val="000000" w:themeColor="text1"/>
                <w:sz w:val="22"/>
                <w:szCs w:val="22"/>
              </w:rPr>
              <w:t xml:space="preserve">of Understanding </w:t>
            </w:r>
            <w:r w:rsidR="00D41AAC">
              <w:rPr>
                <w:rFonts w:ascii="Calibri" w:eastAsiaTheme="majorEastAsia" w:hAnsi="Calibri" w:cs="Calibri"/>
                <w:color w:val="000000" w:themeColor="text1"/>
                <w:sz w:val="22"/>
                <w:szCs w:val="22"/>
              </w:rPr>
              <w:t xml:space="preserve">(MoUs) </w:t>
            </w:r>
            <w:r w:rsidR="003C5030">
              <w:rPr>
                <w:rFonts w:ascii="Calibri" w:eastAsiaTheme="majorEastAsia" w:hAnsi="Calibri" w:cs="Calibri"/>
                <w:color w:val="000000" w:themeColor="text1"/>
                <w:sz w:val="22"/>
                <w:szCs w:val="22"/>
              </w:rPr>
              <w:t>were negotiated with key cross-sectoral agencies, including</w:t>
            </w:r>
            <w:r w:rsidR="00F12806">
              <w:rPr>
                <w:rFonts w:ascii="Calibri" w:eastAsiaTheme="majorEastAsia" w:hAnsi="Calibri" w:cs="Calibri"/>
                <w:color w:val="000000" w:themeColor="text1"/>
                <w:sz w:val="22"/>
                <w:szCs w:val="22"/>
              </w:rPr>
              <w:t xml:space="preserve"> with DDM and</w:t>
            </w:r>
            <w:r w:rsidR="003C5030">
              <w:rPr>
                <w:rFonts w:ascii="Calibri" w:eastAsiaTheme="majorEastAsia" w:hAnsi="Calibri" w:cs="Calibri"/>
                <w:color w:val="000000" w:themeColor="text1"/>
                <w:sz w:val="22"/>
                <w:szCs w:val="22"/>
              </w:rPr>
              <w:t xml:space="preserve"> the </w:t>
            </w:r>
            <w:r w:rsidRPr="00D2084D">
              <w:rPr>
                <w:rFonts w:ascii="Calibri" w:eastAsiaTheme="majorEastAsia" w:hAnsi="Calibri" w:cs="Calibri"/>
                <w:color w:val="000000" w:themeColor="text1"/>
                <w:sz w:val="22"/>
                <w:szCs w:val="22"/>
              </w:rPr>
              <w:t xml:space="preserve">Bangladesh Meteorological Department (BMD), </w:t>
            </w:r>
            <w:r w:rsidR="003C5030">
              <w:rPr>
                <w:rFonts w:ascii="Calibri" w:eastAsiaTheme="majorEastAsia" w:hAnsi="Calibri" w:cs="Calibri"/>
                <w:color w:val="000000" w:themeColor="text1"/>
                <w:sz w:val="22"/>
                <w:szCs w:val="22"/>
              </w:rPr>
              <w:t>establishing the foundation for data sharing and</w:t>
            </w:r>
            <w:r w:rsidRPr="00D2084D">
              <w:rPr>
                <w:rFonts w:ascii="Calibri" w:eastAsiaTheme="majorEastAsia" w:hAnsi="Calibri" w:cs="Calibri"/>
                <w:color w:val="000000" w:themeColor="text1"/>
                <w:sz w:val="22"/>
                <w:szCs w:val="22"/>
              </w:rPr>
              <w:t xml:space="preserve"> integrated health and climate data analysis. </w:t>
            </w:r>
          </w:p>
          <w:p w14:paraId="5D2F9453" w14:textId="77777777" w:rsidR="00A9366A" w:rsidRDefault="00A9366A" w:rsidP="00C07A0A">
            <w:pPr>
              <w:pStyle w:val="paragraph"/>
              <w:suppressAutoHyphens/>
              <w:spacing w:before="0" w:beforeAutospacing="0" w:after="0" w:afterAutospacing="0"/>
              <w:rPr>
                <w:rFonts w:ascii="Calibri" w:eastAsiaTheme="majorEastAsia" w:hAnsi="Calibri" w:cs="Calibri"/>
                <w:color w:val="000000" w:themeColor="text1"/>
                <w:sz w:val="22"/>
                <w:szCs w:val="22"/>
              </w:rPr>
            </w:pPr>
          </w:p>
          <w:p w14:paraId="445AF06E" w14:textId="495F1462" w:rsidR="00D2084D" w:rsidRPr="00D2084D" w:rsidRDefault="00D2084D" w:rsidP="00C07A0A">
            <w:pPr>
              <w:rPr>
                <w:rFonts w:ascii="Calibri" w:eastAsiaTheme="majorEastAsia" w:hAnsi="Calibri" w:cs="Calibri"/>
                <w:color w:val="000000" w:themeColor="text1"/>
                <w:sz w:val="22"/>
                <w:szCs w:val="22"/>
              </w:rPr>
            </w:pPr>
            <w:r w:rsidRPr="00D2084D">
              <w:rPr>
                <w:rFonts w:ascii="Calibri" w:eastAsiaTheme="majorEastAsia" w:hAnsi="Calibri" w:cs="Calibri"/>
                <w:color w:val="000000" w:themeColor="text1"/>
                <w:sz w:val="22"/>
                <w:szCs w:val="22"/>
              </w:rPr>
              <w:t>Workshops with the Department of Environment, BMD, and the Department of Public Health Engineering</w:t>
            </w:r>
            <w:r w:rsidR="00A9366A">
              <w:rPr>
                <w:rFonts w:ascii="Calibri" w:eastAsiaTheme="majorEastAsia" w:hAnsi="Calibri" w:cs="Calibri"/>
                <w:color w:val="000000" w:themeColor="text1"/>
                <w:sz w:val="22"/>
                <w:szCs w:val="22"/>
              </w:rPr>
              <w:t>, building off regional WHO EWARS guidance,</w:t>
            </w:r>
            <w:r w:rsidRPr="00D2084D">
              <w:rPr>
                <w:rFonts w:ascii="Calibri" w:eastAsiaTheme="majorEastAsia" w:hAnsi="Calibri" w:cs="Calibri"/>
                <w:color w:val="000000" w:themeColor="text1"/>
                <w:sz w:val="22"/>
                <w:szCs w:val="22"/>
              </w:rPr>
              <w:t xml:space="preserve"> led to the development of a climate-informed disease surveillance protocol. These sessions culminated in a comprehensive understanding of how climate data could inform disease tracking and response</w:t>
            </w:r>
            <w:r w:rsidR="00F12806">
              <w:rPr>
                <w:rFonts w:ascii="Calibri" w:eastAsiaTheme="majorEastAsia" w:hAnsi="Calibri" w:cs="Calibri"/>
                <w:color w:val="000000" w:themeColor="text1"/>
                <w:sz w:val="22"/>
                <w:szCs w:val="22"/>
              </w:rPr>
              <w:t>,</w:t>
            </w:r>
            <w:r w:rsidRPr="00D2084D">
              <w:rPr>
                <w:rFonts w:ascii="Calibri" w:eastAsiaTheme="majorEastAsia" w:hAnsi="Calibri" w:cs="Calibri"/>
                <w:color w:val="000000" w:themeColor="text1"/>
                <w:sz w:val="22"/>
                <w:szCs w:val="22"/>
              </w:rPr>
              <w:t xml:space="preserve"> aimed at providing timely outbreak alerts.</w:t>
            </w:r>
            <w:r w:rsidR="00F12806">
              <w:rPr>
                <w:rFonts w:ascii="Calibri" w:eastAsiaTheme="majorEastAsia" w:hAnsi="Calibri" w:cs="Calibri"/>
                <w:color w:val="000000" w:themeColor="text1"/>
                <w:sz w:val="22"/>
                <w:szCs w:val="22"/>
              </w:rPr>
              <w:t xml:space="preserve"> Data </w:t>
            </w:r>
            <w:r w:rsidR="00F12806" w:rsidRPr="00116214">
              <w:rPr>
                <w:rFonts w:ascii="Calibri" w:eastAsia="Calibri" w:hAnsi="Calibri" w:cs="Calibri"/>
                <w:color w:val="000000" w:themeColor="text1"/>
                <w:sz w:val="22"/>
                <w:szCs w:val="22"/>
              </w:rPr>
              <w:t>sharing</w:t>
            </w:r>
            <w:r w:rsidR="00F12806">
              <w:rPr>
                <w:rFonts w:ascii="Calibri" w:eastAsiaTheme="majorEastAsia" w:hAnsi="Calibri" w:cs="Calibri"/>
                <w:color w:val="000000" w:themeColor="text1"/>
                <w:sz w:val="22"/>
                <w:szCs w:val="22"/>
              </w:rPr>
              <w:t xml:space="preserve"> agreements and GEF-funded infrastructure, including a high-powered server for real-time data sharing based at IEDCR, </w:t>
            </w:r>
            <w:r w:rsidR="00CF353E">
              <w:rPr>
                <w:rFonts w:ascii="Calibri" w:eastAsiaTheme="majorEastAsia" w:hAnsi="Calibri" w:cs="Calibri"/>
                <w:color w:val="000000" w:themeColor="text1"/>
                <w:sz w:val="22"/>
                <w:szCs w:val="22"/>
              </w:rPr>
              <w:t xml:space="preserve">has established </w:t>
            </w:r>
            <w:r w:rsidR="0058346E">
              <w:rPr>
                <w:rFonts w:ascii="Calibri" w:eastAsiaTheme="majorEastAsia" w:hAnsi="Calibri" w:cs="Calibri"/>
                <w:color w:val="000000" w:themeColor="text1"/>
                <w:sz w:val="22"/>
                <w:szCs w:val="22"/>
              </w:rPr>
              <w:t>conditions</w:t>
            </w:r>
            <w:r w:rsidR="00CF353E">
              <w:rPr>
                <w:rFonts w:ascii="Calibri" w:eastAsiaTheme="majorEastAsia" w:hAnsi="Calibri" w:cs="Calibri"/>
                <w:color w:val="000000" w:themeColor="text1"/>
                <w:sz w:val="22"/>
                <w:szCs w:val="22"/>
              </w:rPr>
              <w:t xml:space="preserve"> for successful design, implementation and rollout of the EWARS tool</w:t>
            </w:r>
            <w:r w:rsidRPr="00D2084D">
              <w:rPr>
                <w:rFonts w:ascii="Calibri" w:eastAsiaTheme="majorEastAsia" w:hAnsi="Calibri" w:cs="Calibri"/>
                <w:color w:val="000000" w:themeColor="text1"/>
                <w:sz w:val="22"/>
                <w:szCs w:val="22"/>
              </w:rPr>
              <w:t>, with regular training sessions enhancing the capabilities of the IEDCR surveillance team.</w:t>
            </w:r>
          </w:p>
          <w:p w14:paraId="57D7AFE8" w14:textId="77777777" w:rsidR="00904313" w:rsidRPr="009E75B3" w:rsidRDefault="00904313" w:rsidP="00C07A0A">
            <w:pPr>
              <w:pStyle w:val="paragraph"/>
              <w:suppressAutoHyphens/>
              <w:spacing w:before="0" w:beforeAutospacing="0" w:after="0" w:afterAutospacing="0"/>
              <w:rPr>
                <w:rFonts w:ascii="Calibri" w:eastAsiaTheme="majorEastAsia" w:hAnsi="Calibri" w:cs="Calibri"/>
                <w:color w:val="000000" w:themeColor="text1"/>
                <w:sz w:val="22"/>
                <w:szCs w:val="22"/>
              </w:rPr>
            </w:pPr>
          </w:p>
          <w:p w14:paraId="088443DB" w14:textId="77777777" w:rsidR="00904313" w:rsidRPr="009E75B3" w:rsidRDefault="00904313" w:rsidP="00C07A0A">
            <w:pPr>
              <w:pStyle w:val="paragraph"/>
              <w:suppressAutoHyphens/>
              <w:spacing w:before="0" w:beforeAutospacing="0" w:after="0" w:afterAutospacing="0"/>
              <w:rPr>
                <w:rFonts w:ascii="Calibri" w:eastAsiaTheme="majorEastAsia" w:hAnsi="Calibri" w:cs="Calibri"/>
                <w:b/>
                <w:bCs/>
                <w:color w:val="000000" w:themeColor="text1"/>
                <w:sz w:val="22"/>
                <w:szCs w:val="22"/>
              </w:rPr>
            </w:pPr>
            <w:r w:rsidRPr="009E75B3">
              <w:rPr>
                <w:rFonts w:ascii="Calibri" w:eastAsiaTheme="majorEastAsia" w:hAnsi="Calibri" w:cs="Calibri"/>
                <w:b/>
                <w:bCs/>
                <w:color w:val="000000" w:themeColor="text1"/>
                <w:sz w:val="22"/>
                <w:szCs w:val="22"/>
              </w:rPr>
              <w:t>Capacity Building and Training Initiatives</w:t>
            </w:r>
          </w:p>
          <w:p w14:paraId="1047E456" w14:textId="1B12D013" w:rsidR="00B13637" w:rsidRPr="00B13637" w:rsidRDefault="00B13637" w:rsidP="00C07A0A">
            <w:pPr>
              <w:rPr>
                <w:rFonts w:ascii="Calibri" w:eastAsiaTheme="majorEastAsia" w:hAnsi="Calibri" w:cs="Calibri"/>
                <w:color w:val="000000" w:themeColor="text1"/>
                <w:sz w:val="22"/>
                <w:szCs w:val="22"/>
              </w:rPr>
            </w:pPr>
            <w:r w:rsidRPr="00B13637">
              <w:rPr>
                <w:rFonts w:ascii="Calibri" w:eastAsiaTheme="majorEastAsia" w:hAnsi="Calibri" w:cs="Calibri"/>
                <w:color w:val="000000" w:themeColor="text1"/>
                <w:sz w:val="22"/>
                <w:szCs w:val="22"/>
              </w:rPr>
              <w:t>The success of the EWARS tool pilot relied heavily on the capacity building of surveillance staff. The journey began with mapping relevant health and climate surveillance activities and identifying key stakeholders. A significant achievement was the creation of a national guideline and training manual on “Climate-sensitive Disease Surveillance and EWARS”</w:t>
            </w:r>
            <w:r>
              <w:rPr>
                <w:rFonts w:ascii="Calibri" w:eastAsiaTheme="majorEastAsia" w:hAnsi="Calibri" w:cs="Calibri"/>
                <w:color w:val="000000" w:themeColor="text1"/>
                <w:sz w:val="22"/>
                <w:szCs w:val="22"/>
              </w:rPr>
              <w:t>, which is an IEDCR/MOH branded resource</w:t>
            </w:r>
            <w:r w:rsidR="008468C6">
              <w:rPr>
                <w:rFonts w:ascii="Calibri" w:eastAsiaTheme="majorEastAsia" w:hAnsi="Calibri" w:cs="Calibri"/>
                <w:color w:val="000000" w:themeColor="text1"/>
                <w:sz w:val="22"/>
                <w:szCs w:val="22"/>
              </w:rPr>
              <w:t xml:space="preserve">. </w:t>
            </w:r>
            <w:r w:rsidRPr="00B13637">
              <w:rPr>
                <w:rFonts w:ascii="Calibri" w:eastAsiaTheme="majorEastAsia" w:hAnsi="Calibri" w:cs="Calibri"/>
                <w:color w:val="000000" w:themeColor="text1"/>
                <w:sz w:val="22"/>
                <w:szCs w:val="22"/>
              </w:rPr>
              <w:t>The official launch of the EWARS tool pilot was accompanied by continuous training programs focused on enhancing the skills of surveillance staff. These programs emphasi</w:t>
            </w:r>
            <w:r w:rsidR="008468C6">
              <w:rPr>
                <w:rFonts w:ascii="Calibri" w:eastAsiaTheme="majorEastAsia" w:hAnsi="Calibri" w:cs="Calibri"/>
                <w:color w:val="000000" w:themeColor="text1"/>
                <w:sz w:val="22"/>
                <w:szCs w:val="22"/>
              </w:rPr>
              <w:t>s</w:t>
            </w:r>
            <w:r w:rsidRPr="00B13637">
              <w:rPr>
                <w:rFonts w:ascii="Calibri" w:eastAsiaTheme="majorEastAsia" w:hAnsi="Calibri" w:cs="Calibri"/>
                <w:color w:val="000000" w:themeColor="text1"/>
                <w:sz w:val="22"/>
                <w:szCs w:val="22"/>
              </w:rPr>
              <w:t>ed data collection, processing, and integrating climate data with health surveillance.</w:t>
            </w:r>
          </w:p>
          <w:p w14:paraId="39E64E0A" w14:textId="1E8C490C" w:rsidR="00B13637" w:rsidRDefault="00B13637" w:rsidP="00C07A0A">
            <w:pPr>
              <w:pStyle w:val="paragraph"/>
              <w:suppressAutoHyphens/>
              <w:spacing w:before="0" w:beforeAutospacing="0" w:after="0" w:afterAutospacing="0"/>
              <w:rPr>
                <w:rFonts w:ascii="Calibri" w:eastAsiaTheme="majorEastAsia" w:hAnsi="Calibri" w:cs="Calibri"/>
                <w:color w:val="000000" w:themeColor="text1"/>
                <w:sz w:val="22"/>
                <w:szCs w:val="22"/>
              </w:rPr>
            </w:pPr>
            <w:r w:rsidRPr="00B13637">
              <w:rPr>
                <w:rFonts w:ascii="Calibri" w:eastAsiaTheme="majorEastAsia" w:hAnsi="Calibri" w:cs="Calibri"/>
                <w:color w:val="000000" w:themeColor="text1"/>
                <w:sz w:val="22"/>
                <w:szCs w:val="22"/>
              </w:rPr>
              <w:t>Training efforts were further strengthened through regular one-on-one sessions with WHO HQ experts, which bolstered the capabilities of the IEDCR team and laid the groundwork for developing institutional and professional capacity in climate-informed disease surveillance.</w:t>
            </w:r>
          </w:p>
          <w:p w14:paraId="02C29340" w14:textId="29003F97" w:rsidR="00484691" w:rsidRPr="00B13637" w:rsidRDefault="00484691" w:rsidP="00C07A0A">
            <w:pPr>
              <w:pStyle w:val="paragraph"/>
              <w:suppressAutoHyphens/>
              <w:spacing w:before="0" w:beforeAutospacing="0" w:after="0" w:afterAutospacing="0"/>
              <w:rPr>
                <w:rFonts w:ascii="Calibri" w:eastAsiaTheme="majorEastAsia" w:hAnsi="Calibri" w:cs="Calibri"/>
                <w:color w:val="000000" w:themeColor="text1"/>
                <w:sz w:val="22"/>
                <w:szCs w:val="22"/>
              </w:rPr>
            </w:pPr>
            <w:r w:rsidRPr="00484691">
              <w:rPr>
                <w:rFonts w:ascii="Calibri" w:eastAsiaTheme="majorEastAsia" w:hAnsi="Calibri" w:cs="Calibri"/>
                <w:noProof/>
                <w:color w:val="000000" w:themeColor="text1"/>
                <w:sz w:val="22"/>
                <w:szCs w:val="22"/>
              </w:rPr>
              <w:lastRenderedPageBreak/>
              <w:drawing>
                <wp:anchor distT="0" distB="0" distL="114300" distR="114300" simplePos="0" relativeHeight="251658240" behindDoc="1" locked="0" layoutInCell="1" allowOverlap="1" wp14:anchorId="09943A08" wp14:editId="07F83B10">
                  <wp:simplePos x="0" y="0"/>
                  <wp:positionH relativeFrom="column">
                    <wp:posOffset>2540</wp:posOffset>
                  </wp:positionH>
                  <wp:positionV relativeFrom="paragraph">
                    <wp:posOffset>2540</wp:posOffset>
                  </wp:positionV>
                  <wp:extent cx="2338705" cy="3281680"/>
                  <wp:effectExtent l="0" t="0" r="4445" b="0"/>
                  <wp:wrapTight wrapText="bothSides">
                    <wp:wrapPolygon edited="0">
                      <wp:start x="0" y="0"/>
                      <wp:lineTo x="0" y="21441"/>
                      <wp:lineTo x="21465" y="21441"/>
                      <wp:lineTo x="21465" y="0"/>
                      <wp:lineTo x="0" y="0"/>
                    </wp:wrapPolygon>
                  </wp:wrapTight>
                  <wp:docPr id="63644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41143" name=""/>
                          <pic:cNvPicPr/>
                        </pic:nvPicPr>
                        <pic:blipFill>
                          <a:blip r:embed="rId17">
                            <a:extLst>
                              <a:ext uri="{28A0092B-C50C-407E-A947-70E740481C1C}">
                                <a14:useLocalDpi xmlns:a14="http://schemas.microsoft.com/office/drawing/2010/main" val="0"/>
                              </a:ext>
                            </a:extLst>
                          </a:blip>
                          <a:stretch>
                            <a:fillRect/>
                          </a:stretch>
                        </pic:blipFill>
                        <pic:spPr>
                          <a:xfrm>
                            <a:off x="0" y="0"/>
                            <a:ext cx="2338705" cy="3281680"/>
                          </a:xfrm>
                          <a:prstGeom prst="rect">
                            <a:avLst/>
                          </a:prstGeom>
                        </pic:spPr>
                      </pic:pic>
                    </a:graphicData>
                  </a:graphic>
                  <wp14:sizeRelH relativeFrom="margin">
                    <wp14:pctWidth>0</wp14:pctWidth>
                  </wp14:sizeRelH>
                  <wp14:sizeRelV relativeFrom="margin">
                    <wp14:pctHeight>0</wp14:pctHeight>
                  </wp14:sizeRelV>
                </wp:anchor>
              </w:drawing>
            </w:r>
          </w:p>
          <w:p w14:paraId="756B8A94" w14:textId="77777777" w:rsidR="00904313" w:rsidRPr="009E75B3" w:rsidRDefault="00904313" w:rsidP="00C07A0A">
            <w:pPr>
              <w:pStyle w:val="paragraph"/>
              <w:suppressAutoHyphens/>
              <w:spacing w:before="0" w:beforeAutospacing="0" w:after="0" w:afterAutospacing="0"/>
              <w:ind w:left="720"/>
              <w:rPr>
                <w:rFonts w:ascii="Calibri" w:eastAsiaTheme="majorEastAsia" w:hAnsi="Calibri" w:cs="Calibri"/>
                <w:color w:val="000000" w:themeColor="text1"/>
                <w:sz w:val="22"/>
                <w:szCs w:val="22"/>
              </w:rPr>
            </w:pPr>
          </w:p>
          <w:p w14:paraId="39B03F09" w14:textId="77777777" w:rsidR="00904313" w:rsidRPr="009E75B3" w:rsidRDefault="00904313" w:rsidP="00C07A0A">
            <w:pPr>
              <w:pStyle w:val="paragraph"/>
              <w:suppressAutoHyphens/>
              <w:spacing w:before="0" w:beforeAutospacing="0" w:after="0" w:afterAutospacing="0"/>
              <w:rPr>
                <w:rFonts w:ascii="Calibri" w:eastAsiaTheme="majorEastAsia" w:hAnsi="Calibri" w:cs="Calibri"/>
                <w:b/>
                <w:bCs/>
                <w:color w:val="000000" w:themeColor="text1"/>
                <w:sz w:val="22"/>
                <w:szCs w:val="22"/>
              </w:rPr>
            </w:pPr>
            <w:r w:rsidRPr="009E75B3">
              <w:rPr>
                <w:rFonts w:ascii="Calibri" w:eastAsiaTheme="majorEastAsia" w:hAnsi="Calibri" w:cs="Calibri"/>
                <w:b/>
                <w:bCs/>
                <w:color w:val="000000" w:themeColor="text1"/>
                <w:sz w:val="22"/>
                <w:szCs w:val="22"/>
              </w:rPr>
              <w:t>A Path Forward</w:t>
            </w:r>
          </w:p>
          <w:p w14:paraId="75070F05" w14:textId="396F0C12" w:rsidR="002B060A" w:rsidRDefault="00904313" w:rsidP="00C07A0A">
            <w:pPr>
              <w:rPr>
                <w:rStyle w:val="normaltextrun"/>
                <w:rFonts w:ascii="Calibri" w:eastAsiaTheme="majorEastAsia" w:hAnsi="Calibri" w:cs="Calibri"/>
                <w:highlight w:val="yellow"/>
              </w:rPr>
            </w:pPr>
            <w:r w:rsidRPr="009E75B3">
              <w:rPr>
                <w:rFonts w:ascii="Calibri" w:eastAsiaTheme="majorEastAsia" w:hAnsi="Calibri" w:cs="Calibri"/>
                <w:color w:val="000000" w:themeColor="text1"/>
                <w:sz w:val="22"/>
                <w:szCs w:val="22"/>
              </w:rPr>
              <w:t>The pilot of the EWARS tool in Bangladesh represents a significant advancement in integrating climate data with health surveillance. This initiative not only aims to predict and respond to disease outbreaks more effectively but also sets a precedent for other regions facing similar challenges. With ongoing training, strategic data-sharing, and strong collaboration among stakeholders, Bangladesh is on the path to establishing a resilient health system capable of managing the impacts of climate change on public health.</w:t>
            </w:r>
          </w:p>
        </w:tc>
      </w:tr>
    </w:tbl>
    <w:p w14:paraId="73AA2342" w14:textId="11968D65"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75070F08" w14:textId="4DE9CE97" w:rsidR="002B060A" w:rsidRDefault="002B060A" w:rsidP="00C07A0A">
      <w:pPr>
        <w:rPr>
          <w:rFonts w:ascii="Calibri" w:eastAsiaTheme="majorEastAsia" w:hAnsi="Calibri" w:cs="Calibri"/>
          <w:i/>
          <w:iCs/>
          <w:color w:val="0F4761" w:themeColor="accent1" w:themeShade="BF"/>
          <w:kern w:val="2"/>
          <w:lang w:eastAsia="en-US"/>
          <w14:ligatures w14:val="standardContextual"/>
        </w:rPr>
      </w:pPr>
    </w:p>
    <w:p w14:paraId="39188BD8" w14:textId="77777777" w:rsidR="005646BE" w:rsidRDefault="005646BE" w:rsidP="00C07A0A">
      <w:pPr>
        <w:rPr>
          <w:rFonts w:ascii="Calibri" w:eastAsiaTheme="majorEastAsia" w:hAnsi="Calibri" w:cs="Calibri"/>
          <w:i/>
          <w:iCs/>
          <w:color w:val="0F4761" w:themeColor="accent1" w:themeShade="BF"/>
          <w:kern w:val="2"/>
          <w:lang w:eastAsia="en-US"/>
          <w14:ligatures w14:val="standardContextual"/>
        </w:rPr>
      </w:pPr>
      <w:r>
        <w:rPr>
          <w:rFonts w:ascii="Calibri" w:hAnsi="Calibri" w:cs="Calibri"/>
        </w:rPr>
        <w:br w:type="page"/>
      </w:r>
    </w:p>
    <w:p w14:paraId="7099808C" w14:textId="77777777" w:rsidR="00D4474B" w:rsidRDefault="00D4474B" w:rsidP="00C07A0A">
      <w:pPr>
        <w:pStyle w:val="Heading4"/>
        <w:rPr>
          <w:rFonts w:ascii="Calibri" w:hAnsi="Calibri" w:cs="Calibri"/>
        </w:rPr>
      </w:pPr>
      <w:r>
        <w:rPr>
          <w:rFonts w:ascii="Calibri" w:hAnsi="Calibri" w:cs="Calibri"/>
        </w:rPr>
        <w:lastRenderedPageBreak/>
        <w:t>Outcome 3</w:t>
      </w:r>
    </w:p>
    <w:p w14:paraId="077A9035" w14:textId="77777777" w:rsidR="00D4474B" w:rsidRDefault="00D4474B"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3091"/>
        <w:gridCol w:w="3018"/>
        <w:gridCol w:w="2907"/>
      </w:tblGrid>
      <w:tr w:rsidR="00D4474B" w14:paraId="4F012ACB" w14:textId="77777777" w:rsidTr="008432F3">
        <w:tc>
          <w:tcPr>
            <w:tcW w:w="9016" w:type="dxa"/>
            <w:gridSpan w:val="3"/>
            <w:shd w:val="clear" w:color="auto" w:fill="DAE9F7" w:themeFill="text2" w:themeFillTint="1A"/>
          </w:tcPr>
          <w:p w14:paraId="03FAFE79" w14:textId="77777777" w:rsidR="00D4474B" w:rsidRDefault="00D4474B" w:rsidP="00C07A0A">
            <w:pPr>
              <w:pStyle w:val="paragraph"/>
              <w:suppressAutoHyphens/>
              <w:rPr>
                <w:rStyle w:val="normaltextrun"/>
                <w:rFonts w:ascii="Calibri" w:eastAsiaTheme="majorEastAsia" w:hAnsi="Calibri" w:cs="Calibri"/>
                <w:b/>
                <w:color w:val="000000" w:themeColor="text1"/>
                <w:sz w:val="22"/>
                <w:szCs w:val="22"/>
                <w:lang w:val="en-GB"/>
              </w:rPr>
            </w:pPr>
            <w:r>
              <w:rPr>
                <w:rStyle w:val="normaltextrun"/>
                <w:rFonts w:ascii="Calibri" w:eastAsiaTheme="majorEastAsia" w:hAnsi="Calibri" w:cs="Calibri"/>
                <w:b/>
                <w:color w:val="000000" w:themeColor="text1"/>
                <w:sz w:val="22"/>
                <w:szCs w:val="22"/>
              </w:rPr>
              <w:t xml:space="preserve">Outcome 3: </w:t>
            </w:r>
            <w:r>
              <w:rPr>
                <w:rFonts w:ascii="Calibri" w:eastAsiaTheme="majorEastAsia" w:hAnsi="Calibri" w:cs="Calibri"/>
                <w:b/>
                <w:color w:val="000000" w:themeColor="text1"/>
                <w:sz w:val="22"/>
                <w:szCs w:val="22"/>
                <w:lang w:val="en-GB"/>
              </w:rPr>
              <w:t>Climate resilience is enhanced in health service delivery</w:t>
            </w:r>
          </w:p>
        </w:tc>
      </w:tr>
      <w:tr w:rsidR="00D4474B" w14:paraId="7C6A465D" w14:textId="77777777" w:rsidTr="008432F3">
        <w:tc>
          <w:tcPr>
            <w:tcW w:w="3091" w:type="dxa"/>
          </w:tcPr>
          <w:p w14:paraId="7AD3887B" w14:textId="77777777" w:rsidR="00D4474B" w:rsidRDefault="00D4474B"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Indicator </w:t>
            </w:r>
          </w:p>
          <w:p w14:paraId="2027D59D" w14:textId="77777777" w:rsidR="00D4474B" w:rsidRDefault="00D4474B"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3018" w:type="dxa"/>
          </w:tcPr>
          <w:p w14:paraId="333AB67C" w14:textId="77777777" w:rsidR="00D4474B" w:rsidRDefault="00D4474B"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End of Project level and assessment </w:t>
            </w:r>
          </w:p>
        </w:tc>
        <w:tc>
          <w:tcPr>
            <w:tcW w:w="2907" w:type="dxa"/>
          </w:tcPr>
          <w:p w14:paraId="6E7793B4" w14:textId="77777777" w:rsidR="00D4474B" w:rsidRDefault="00D4474B"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Achievement rating </w:t>
            </w:r>
          </w:p>
        </w:tc>
      </w:tr>
      <w:tr w:rsidR="00D4474B" w14:paraId="7834B00A" w14:textId="77777777" w:rsidTr="009534A0">
        <w:trPr>
          <w:trHeight w:val="263"/>
        </w:trPr>
        <w:tc>
          <w:tcPr>
            <w:tcW w:w="3091" w:type="dxa"/>
          </w:tcPr>
          <w:p w14:paraId="141A663C" w14:textId="77777777" w:rsidR="00D4474B" w:rsidRDefault="00D4474B" w:rsidP="00C07A0A">
            <w:pPr>
              <w:pStyle w:val="paragraph"/>
              <w:suppressAutoHyphens/>
              <w:rPr>
                <w:rStyle w:val="normaltextrun"/>
                <w:rFonts w:ascii="Calibri" w:eastAsiaTheme="majorEastAsia" w:hAnsi="Calibri" w:cs="Calibri"/>
                <w:color w:val="000000" w:themeColor="text1"/>
                <w:sz w:val="22"/>
                <w:szCs w:val="22"/>
                <w:lang w:val="en-GB"/>
              </w:rPr>
            </w:pPr>
            <w:r>
              <w:rPr>
                <w:rFonts w:ascii="Calibri" w:eastAsiaTheme="majorEastAsia" w:hAnsi="Calibri" w:cs="Calibri"/>
                <w:b/>
                <w:bCs/>
                <w:color w:val="000000" w:themeColor="text1"/>
                <w:sz w:val="22"/>
                <w:szCs w:val="22"/>
                <w:lang w:val="en-GB"/>
              </w:rPr>
              <w:t xml:space="preserve">Indicator 5: </w:t>
            </w:r>
            <w:r>
              <w:rPr>
                <w:rFonts w:ascii="Calibri" w:eastAsiaTheme="majorEastAsia" w:hAnsi="Calibri" w:cs="Calibri"/>
                <w:color w:val="000000" w:themeColor="text1"/>
                <w:sz w:val="22"/>
                <w:szCs w:val="22"/>
                <w:lang w:val="en-GB"/>
              </w:rPr>
              <w:t>Disease control and prevention programmes are strengthened to account of the effects of climate variability and change.</w:t>
            </w:r>
          </w:p>
        </w:tc>
        <w:tc>
          <w:tcPr>
            <w:tcW w:w="3018" w:type="dxa"/>
          </w:tcPr>
          <w:p w14:paraId="53D0B66E" w14:textId="77777777" w:rsidR="00D4474B" w:rsidRDefault="00D4474B" w:rsidP="00C07A0A">
            <w:pPr>
              <w:rPr>
                <w:rFonts w:ascii="Calibri" w:eastAsiaTheme="majorEastAsia" w:hAnsi="Calibri" w:cs="Calibri"/>
                <w:sz w:val="22"/>
                <w:szCs w:val="22"/>
              </w:rPr>
            </w:pPr>
            <w:r>
              <w:rPr>
                <w:rFonts w:ascii="Calibri" w:hAnsi="Calibri" w:cs="Calibri"/>
                <w:sz w:val="22"/>
                <w:szCs w:val="22"/>
              </w:rPr>
              <w:t>Disease control and prevention programmes strengthened in 5 countries.</w:t>
            </w:r>
          </w:p>
        </w:tc>
        <w:tc>
          <w:tcPr>
            <w:tcW w:w="2907" w:type="dxa"/>
            <w:vMerge w:val="restart"/>
            <w:shd w:val="clear" w:color="auto" w:fill="00B050"/>
          </w:tcPr>
          <w:p w14:paraId="08F3815E" w14:textId="77777777" w:rsidR="00D4474B" w:rsidRDefault="00D4474B"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Achieved - HS</w:t>
            </w:r>
          </w:p>
          <w:p w14:paraId="00B699BE" w14:textId="77777777" w:rsidR="00D4474B" w:rsidRDefault="00D4474B" w:rsidP="00C07A0A">
            <w:pPr>
              <w:pStyle w:val="paragraph"/>
              <w:suppressAutoHyphens/>
              <w:spacing w:before="0" w:after="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 </w:t>
            </w:r>
          </w:p>
        </w:tc>
      </w:tr>
      <w:tr w:rsidR="00D4474B" w14:paraId="036EC2BD" w14:textId="77777777" w:rsidTr="008432F3">
        <w:trPr>
          <w:trHeight w:val="263"/>
        </w:trPr>
        <w:tc>
          <w:tcPr>
            <w:tcW w:w="3091" w:type="dxa"/>
          </w:tcPr>
          <w:p w14:paraId="18525B4F" w14:textId="77777777" w:rsidR="00D4474B" w:rsidRDefault="00D4474B" w:rsidP="00C07A0A">
            <w:pPr>
              <w:pStyle w:val="paragraph"/>
              <w:suppressAutoHyphens/>
              <w:rPr>
                <w:rFonts w:ascii="Calibri" w:eastAsiaTheme="majorEastAsia" w:hAnsi="Calibri" w:cs="Calibri"/>
                <w:color w:val="000000" w:themeColor="text1"/>
                <w:sz w:val="22"/>
                <w:szCs w:val="22"/>
                <w:lang w:val="en-GB"/>
              </w:rPr>
            </w:pPr>
            <w:r>
              <w:rPr>
                <w:rFonts w:ascii="Calibri" w:eastAsiaTheme="majorEastAsia" w:hAnsi="Calibri" w:cs="Calibri"/>
                <w:b/>
                <w:bCs/>
                <w:color w:val="000000" w:themeColor="text1"/>
                <w:sz w:val="22"/>
                <w:szCs w:val="22"/>
                <w:lang w:val="en-GB"/>
              </w:rPr>
              <w:t xml:space="preserve">Indicator 6: </w:t>
            </w:r>
            <w:r>
              <w:rPr>
                <w:rFonts w:ascii="Calibri" w:eastAsiaTheme="majorEastAsia" w:hAnsi="Calibri" w:cs="Calibri"/>
                <w:color w:val="000000" w:themeColor="text1"/>
                <w:sz w:val="22"/>
                <w:szCs w:val="22"/>
                <w:lang w:val="en-GB"/>
              </w:rPr>
              <w:t>Number of direct beneficiaries from enhanced health service delivery.</w:t>
            </w:r>
          </w:p>
          <w:p w14:paraId="2A85A577" w14:textId="77777777" w:rsidR="00D4474B" w:rsidRDefault="00D4474B" w:rsidP="00C07A0A">
            <w:pPr>
              <w:pStyle w:val="paragraph"/>
              <w:suppressAutoHyphens/>
              <w:rPr>
                <w:rFonts w:ascii="Calibri" w:eastAsiaTheme="majorEastAsia" w:hAnsi="Calibri" w:cs="Calibri"/>
                <w:color w:val="000000" w:themeColor="text1"/>
                <w:sz w:val="22"/>
                <w:szCs w:val="22"/>
                <w:lang w:val="en-GB"/>
              </w:rPr>
            </w:pPr>
            <w:r>
              <w:rPr>
                <w:rFonts w:ascii="Calibri" w:eastAsiaTheme="majorEastAsia" w:hAnsi="Calibri" w:cs="Calibri"/>
                <w:color w:val="000000" w:themeColor="text1"/>
                <w:sz w:val="22"/>
                <w:szCs w:val="22"/>
                <w:lang w:val="en-GB"/>
              </w:rPr>
              <w:t>(AMAT 1.1 Indicator 1: number of direct beneficiaries)</w:t>
            </w:r>
          </w:p>
        </w:tc>
        <w:tc>
          <w:tcPr>
            <w:tcW w:w="3018" w:type="dxa"/>
          </w:tcPr>
          <w:p w14:paraId="64298FCF" w14:textId="77777777" w:rsidR="00D4474B" w:rsidRDefault="00D4474B"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100,000</w:t>
            </w:r>
          </w:p>
        </w:tc>
        <w:tc>
          <w:tcPr>
            <w:tcW w:w="2907" w:type="dxa"/>
            <w:vMerge/>
          </w:tcPr>
          <w:p w14:paraId="297EE047" w14:textId="77777777" w:rsidR="00D4474B" w:rsidRDefault="00D4474B"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p>
        </w:tc>
      </w:tr>
    </w:tbl>
    <w:p w14:paraId="4B316FF3" w14:textId="77777777" w:rsidR="00D4474B" w:rsidRDefault="00D4474B"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42A0AC52" w14:textId="0AF9E4D8" w:rsidR="00D4474B" w:rsidRDefault="00D4474B" w:rsidP="00C07A0A">
      <w:pPr>
        <w:pStyle w:val="paragraph"/>
        <w:suppressAutoHyphens/>
        <w:spacing w:before="0" w:beforeAutospacing="0" w:after="0" w:afterAutospacing="0"/>
        <w:contextualSpacing/>
        <w:jc w:val="both"/>
        <w:rPr>
          <w:rStyle w:val="normaltextrun"/>
          <w:rFonts w:ascii="Calibri" w:eastAsiaTheme="majorEastAsia" w:hAnsi="Calibri" w:cs="Calibri"/>
        </w:rPr>
      </w:pPr>
      <w:r>
        <w:rPr>
          <w:rStyle w:val="normaltextrun"/>
          <w:rFonts w:ascii="Calibri" w:eastAsiaTheme="majorEastAsia" w:hAnsi="Calibri" w:cs="Calibri"/>
        </w:rPr>
        <w:t>All countries have supported activities to enhance climate resilience in health service delivery, with innovative demonstration pilots and clear application of national guidelines, tools, standards and training materials (outcome 1) in sub-national and local settings. Significant investments in training and capacity building activities across all countries have strengthened national and sub-national institutional capacity across key agencies, predominantly within MOH departments. Climate change considerations have been mainstreamed and embedded throughout, for example in the development of climate-resilient WSPs in selected provinces across all countries. ‘Train the trainer’ models were particularly useful, allowing for increased capacity at MOH level to deliver and implement ongoing capacity building activities. Although the project did not include formal pre/post assessments on changes in behaviours, knowledge, and attitudes resulting from capacity building activities, several country stakeholders have reported anecdotal improvements in understanding and acceptance of climate change as a critical health issue among participants.</w:t>
      </w:r>
    </w:p>
    <w:p w14:paraId="28FFA6F9" w14:textId="77777777" w:rsidR="00D4474B" w:rsidRDefault="00D4474B" w:rsidP="00C07A0A">
      <w:pPr>
        <w:pStyle w:val="paragraph"/>
        <w:suppressAutoHyphens/>
        <w:spacing w:before="0" w:beforeAutospacing="0" w:after="0" w:afterAutospacing="0"/>
        <w:contextualSpacing/>
        <w:jc w:val="both"/>
        <w:rPr>
          <w:rStyle w:val="normaltextrun"/>
          <w:rFonts w:ascii="Calibri" w:eastAsiaTheme="majorEastAsia" w:hAnsi="Calibri" w:cs="Calibri"/>
        </w:rPr>
      </w:pPr>
    </w:p>
    <w:p w14:paraId="72B5687C" w14:textId="2FCCF921" w:rsidR="00D4474B" w:rsidRDefault="00D4474B" w:rsidP="00C07A0A">
      <w:pPr>
        <w:pStyle w:val="paragraph"/>
        <w:suppressAutoHyphens/>
        <w:spacing w:before="0" w:beforeAutospacing="0" w:after="0" w:afterAutospacing="0"/>
        <w:contextualSpacing/>
        <w:jc w:val="both"/>
        <w:rPr>
          <w:rStyle w:val="normaltextrun"/>
          <w:rFonts w:ascii="Calibri" w:eastAsiaTheme="majorEastAsia" w:hAnsi="Calibri" w:cs="Calibri"/>
        </w:rPr>
      </w:pPr>
      <w:r>
        <w:rPr>
          <w:rStyle w:val="normaltextrun"/>
          <w:rFonts w:ascii="Calibri" w:eastAsiaTheme="majorEastAsia" w:hAnsi="Calibri" w:cs="Calibri"/>
        </w:rPr>
        <w:t xml:space="preserve">Climate-resilient health service delivery interventions have mostly focussed on mainstreaming climate change into WASH, water safety and waste management plans. GEF funds were used to supplement and scale-up existing programs with implementing partners, including through MOH and NGOs (see </w:t>
      </w:r>
      <w:r>
        <w:rPr>
          <w:rStyle w:val="normaltextrun"/>
          <w:rFonts w:ascii="Calibri" w:eastAsiaTheme="majorEastAsia" w:hAnsi="Calibri" w:cs="Calibri"/>
          <w:b/>
          <w:bCs/>
        </w:rPr>
        <w:t>Case Study 2</w:t>
      </w:r>
      <w:r>
        <w:rPr>
          <w:rStyle w:val="normaltextrun"/>
          <w:rFonts w:ascii="Calibri" w:eastAsiaTheme="majorEastAsia" w:hAnsi="Calibri" w:cs="Calibri"/>
        </w:rPr>
        <w:t xml:space="preserve">). While some stakeholders felt the lack of parameters around intervention activities under Outcome 3 made it hard to measure and compare progress across countries, the flexibility to co-design and tailor activities to national context was seen as beneficial by in-country partners. The prominence of WASH activities across all countries may reflect its perception as a </w:t>
      </w:r>
      <w:r>
        <w:rPr>
          <w:rStyle w:val="normaltextrun"/>
          <w:rFonts w:ascii="Calibri" w:eastAsiaTheme="majorEastAsia" w:hAnsi="Calibri" w:cs="Calibri"/>
          <w:i/>
        </w:rPr>
        <w:t>“low hanging fruit</w:t>
      </w:r>
      <w:r>
        <w:rPr>
          <w:rStyle w:val="normaltextrun"/>
          <w:rFonts w:ascii="Calibri" w:eastAsiaTheme="majorEastAsia" w:hAnsi="Calibri" w:cs="Calibri"/>
          <w:i/>
          <w:iCs/>
        </w:rPr>
        <w:t>” (KS#1)</w:t>
      </w:r>
      <w:r w:rsidR="001518F9">
        <w:rPr>
          <w:rStyle w:val="normaltextrun"/>
          <w:rFonts w:ascii="Calibri" w:eastAsiaTheme="majorEastAsia" w:hAnsi="Calibri" w:cs="Calibri"/>
          <w:i/>
          <w:iCs/>
        </w:rPr>
        <w:t xml:space="preserve"> </w:t>
      </w:r>
      <w:r w:rsidR="001518F9">
        <w:rPr>
          <w:rStyle w:val="normaltextrun"/>
          <w:rFonts w:ascii="Calibri" w:eastAsiaTheme="majorEastAsia" w:hAnsi="Calibri" w:cs="Calibri"/>
        </w:rPr>
        <w:t>with potential for clear health outcomes</w:t>
      </w:r>
      <w:r>
        <w:rPr>
          <w:rStyle w:val="normaltextrun"/>
          <w:rFonts w:ascii="Calibri" w:eastAsiaTheme="majorEastAsia" w:hAnsi="Calibri" w:cs="Calibri"/>
        </w:rPr>
        <w:t xml:space="preserve">, and hence an easy area for initial targeting. </w:t>
      </w:r>
    </w:p>
    <w:p w14:paraId="34764892" w14:textId="77777777" w:rsidR="00D4474B" w:rsidRDefault="00D4474B" w:rsidP="00C07A0A">
      <w:pPr>
        <w:pStyle w:val="paragraph"/>
        <w:suppressAutoHyphens/>
        <w:spacing w:before="0" w:beforeAutospacing="0" w:after="0" w:afterAutospacing="0"/>
        <w:contextualSpacing/>
        <w:jc w:val="both"/>
        <w:rPr>
          <w:rStyle w:val="normaltextrun"/>
          <w:rFonts w:ascii="Calibri" w:eastAsiaTheme="majorEastAsia" w:hAnsi="Calibri" w:cs="Calibri"/>
        </w:rPr>
      </w:pPr>
    </w:p>
    <w:p w14:paraId="38CAD5B1" w14:textId="5C1EA2A2" w:rsidR="00D4474B" w:rsidRDefault="00D4474B" w:rsidP="00C07A0A">
      <w:pPr>
        <w:pStyle w:val="paragraph"/>
        <w:suppressAutoHyphens/>
        <w:spacing w:before="0" w:beforeAutospacing="0" w:after="0" w:afterAutospacing="0"/>
        <w:contextualSpacing/>
        <w:jc w:val="both"/>
        <w:rPr>
          <w:rStyle w:val="normaltextrun"/>
          <w:rFonts w:ascii="Calibri" w:eastAsiaTheme="majorEastAsia" w:hAnsi="Calibri" w:cs="Calibri"/>
        </w:rPr>
      </w:pPr>
      <w:r>
        <w:rPr>
          <w:rStyle w:val="normaltextrun"/>
          <w:rFonts w:ascii="Calibri" w:eastAsiaTheme="majorEastAsia" w:hAnsi="Calibri" w:cs="Calibri"/>
        </w:rPr>
        <w:t>Additional guidance and investments may be needed to implement activities towards other domains of the WHO Guidance for Climate Resilient and Environmentally Sustainable Healthcare facilities (CRESH)</w:t>
      </w:r>
      <w:r w:rsidRPr="003445E8">
        <w:rPr>
          <w:rStyle w:val="normaltextrun"/>
          <w:rFonts w:ascii="Calibri" w:eastAsiaTheme="majorEastAsia" w:hAnsi="Calibri" w:cs="Calibri"/>
        </w:rPr>
        <w:t>,</w:t>
      </w:r>
      <w:r>
        <w:rPr>
          <w:rStyle w:val="normaltextrun"/>
          <w:rFonts w:ascii="Calibri" w:eastAsiaTheme="majorEastAsia" w:hAnsi="Calibri" w:cs="Calibri"/>
        </w:rPr>
        <w:t xml:space="preserve"> such as energy and </w:t>
      </w:r>
      <w:r w:rsidR="0080521B">
        <w:rPr>
          <w:rStyle w:val="normaltextrun"/>
          <w:rFonts w:ascii="Calibri" w:eastAsiaTheme="majorEastAsia" w:hAnsi="Calibri" w:cs="Calibri"/>
        </w:rPr>
        <w:t xml:space="preserve">low-carbon </w:t>
      </w:r>
      <w:r>
        <w:rPr>
          <w:rStyle w:val="normaltextrun"/>
          <w:rFonts w:ascii="Calibri" w:eastAsiaTheme="majorEastAsia" w:hAnsi="Calibri" w:cs="Calibri"/>
        </w:rPr>
        <w:t>infrastructure.</w:t>
      </w:r>
      <w:r w:rsidR="000467AB">
        <w:rPr>
          <w:rStyle w:val="normaltextrun"/>
          <w:rFonts w:ascii="Calibri" w:eastAsiaTheme="majorEastAsia" w:hAnsi="Calibri" w:cs="Calibri"/>
        </w:rPr>
        <w:t xml:space="preserve"> </w:t>
      </w:r>
      <w:r w:rsidR="0080521B">
        <w:rPr>
          <w:rStyle w:val="normaltextrun"/>
          <w:rFonts w:ascii="Calibri" w:eastAsiaTheme="majorEastAsia" w:hAnsi="Calibri" w:cs="Calibri"/>
        </w:rPr>
        <w:t xml:space="preserve">While the project had a clear emphasis on building climate-resilient health systems, there were activities and interventions linked to low-carbon and decarbonisation (i.e. mitigation) efforts. </w:t>
      </w:r>
      <w:r>
        <w:rPr>
          <w:rStyle w:val="normaltextrun"/>
          <w:rFonts w:ascii="Calibri" w:eastAsiaTheme="majorEastAsia" w:hAnsi="Calibri" w:cs="Calibri"/>
        </w:rPr>
        <w:t xml:space="preserve"> Several participants noted knowledge gaps on cost-effectiveness and feasibility of integrating low-carbon technologies, especially when gaps are identified through implementation of </w:t>
      </w:r>
      <w:r>
        <w:rPr>
          <w:rStyle w:val="normaltextrun"/>
          <w:rFonts w:ascii="Calibri" w:eastAsiaTheme="majorEastAsia" w:hAnsi="Calibri" w:cs="Calibri"/>
        </w:rPr>
        <w:lastRenderedPageBreak/>
        <w:t>assessment tools (e.g. WASHFIT</w:t>
      </w:r>
      <w:r w:rsidRPr="003445E8">
        <w:rPr>
          <w:rStyle w:val="normaltextrun"/>
          <w:rFonts w:ascii="Calibri" w:eastAsiaTheme="majorEastAsia" w:hAnsi="Calibri" w:cs="Calibri"/>
        </w:rPr>
        <w:t xml:space="preserve">). </w:t>
      </w:r>
      <w:r>
        <w:rPr>
          <w:rStyle w:val="normaltextrun"/>
          <w:rFonts w:ascii="Calibri" w:eastAsiaTheme="majorEastAsia" w:hAnsi="Calibri" w:cs="Calibri"/>
        </w:rPr>
        <w:t xml:space="preserve">Nepal completed baseline assessment of GHG emissions from health sector operations in line with country commitments at COP26, the findings of which will be used to develop national action plan on low carbon health system. Bangladesh supported a consultant using GEF funding to model healthcare greenhouse gas emissions, but further data is required to measure an accurate baseline and inform healthcare decarbonisation plans. </w:t>
      </w:r>
      <w:r w:rsidR="00B60CE3">
        <w:rPr>
          <w:rStyle w:val="normaltextrun"/>
          <w:rFonts w:ascii="Calibri" w:eastAsiaTheme="majorEastAsia" w:hAnsi="Calibri" w:cs="Calibri"/>
        </w:rPr>
        <w:t xml:space="preserve">And Timor-Leste has developed a national CRESH policy and strategy building on WHO guidance. </w:t>
      </w:r>
    </w:p>
    <w:p w14:paraId="5874BA2C" w14:textId="77777777" w:rsidR="00D4474B" w:rsidRDefault="00D4474B" w:rsidP="00C07A0A">
      <w:pPr>
        <w:pStyle w:val="paragraph"/>
        <w:suppressAutoHyphens/>
        <w:spacing w:before="0" w:beforeAutospacing="0" w:after="0" w:afterAutospacing="0"/>
        <w:contextualSpacing/>
        <w:jc w:val="both"/>
        <w:rPr>
          <w:rStyle w:val="normaltextrun"/>
          <w:rFonts w:ascii="Calibri" w:eastAsiaTheme="majorEastAsia" w:hAnsi="Calibri" w:cs="Calibri"/>
        </w:rPr>
      </w:pPr>
    </w:p>
    <w:p w14:paraId="1116FFC8" w14:textId="77777777" w:rsidR="00D4474B" w:rsidRDefault="00D4474B" w:rsidP="00C07A0A">
      <w:pPr>
        <w:pStyle w:val="paragraph"/>
        <w:suppressAutoHyphens/>
        <w:spacing w:before="0" w:beforeAutospacing="0" w:after="0" w:afterAutospacing="0"/>
        <w:contextualSpacing/>
        <w:jc w:val="both"/>
        <w:rPr>
          <w:rStyle w:val="normaltextrun"/>
          <w:rFonts w:ascii="Calibri" w:eastAsiaTheme="majorEastAsia" w:hAnsi="Calibri" w:cs="Calibri"/>
        </w:rPr>
      </w:pPr>
      <w:r>
        <w:rPr>
          <w:rStyle w:val="normaltextrun"/>
          <w:rFonts w:ascii="Calibri" w:eastAsiaTheme="majorEastAsia" w:hAnsi="Calibri" w:cs="Calibri"/>
        </w:rPr>
        <w:t xml:space="preserve">Funding and responsibilities for the ongoing maintenance and operation of interventions remain challenging both during and beyond the project life. Interventions were piloted in government/public healthcare facilities, but gaps in existing resources and opaque distribution of funding through centralised systems were identified as barriers to future implementation. For example, some district level facilities in Bangladesh had limited budget for cleaning and janitorial staff; and healthcare staff in Lao PDR were tasked with multiple responsibilities beyond their typical role, for example to maintain infrastructure such as safe water drinking systems. Local champions (Hospital Directors, Provincial Health managers) have played a critical role in implementing CRESH interventions, creating an enabling environment and supportive culture around ‘clean green’ hospitals and healthcare facilities. Additional support and incentives to maintain standards, for example for safe drinking water and hospital waste management systems, may be required. </w:t>
      </w:r>
    </w:p>
    <w:p w14:paraId="3A5F4E4F" w14:textId="77777777" w:rsidR="00D4474B" w:rsidRDefault="00D4474B" w:rsidP="00C07A0A">
      <w:pPr>
        <w:pStyle w:val="paragraph"/>
        <w:suppressAutoHyphens/>
        <w:spacing w:before="0" w:beforeAutospacing="0" w:after="0" w:afterAutospacing="0"/>
        <w:contextualSpacing/>
        <w:jc w:val="both"/>
        <w:rPr>
          <w:rStyle w:val="normaltextrun"/>
          <w:rFonts w:ascii="Calibri" w:eastAsiaTheme="majorEastAsia" w:hAnsi="Calibri" w:cs="Calibri"/>
        </w:rPr>
      </w:pPr>
    </w:p>
    <w:p w14:paraId="754BFE71" w14:textId="77777777" w:rsidR="00D4474B" w:rsidRDefault="00D4474B" w:rsidP="00C07A0A">
      <w:pPr>
        <w:pStyle w:val="paragraph"/>
        <w:suppressAutoHyphens/>
        <w:spacing w:before="0" w:beforeAutospacing="0" w:after="0" w:afterAutospacing="0"/>
        <w:contextualSpacing/>
        <w:jc w:val="both"/>
        <w:rPr>
          <w:rStyle w:val="normaltextrun"/>
          <w:rFonts w:ascii="Calibri" w:eastAsiaTheme="majorEastAsia" w:hAnsi="Calibri" w:cs="Calibri"/>
        </w:rPr>
      </w:pPr>
      <w:r>
        <w:rPr>
          <w:rStyle w:val="normaltextrun"/>
          <w:rFonts w:ascii="Calibri" w:eastAsiaTheme="majorEastAsia" w:hAnsi="Calibri" w:cs="Calibri"/>
        </w:rPr>
        <w:t xml:space="preserve">The end-of-project target for direct beneficiaries has been met. However, beneficiaries ranged from participants in training activities, communities in pilot project catchment areas, and healthcare personnel. Direct beneficiary definitions were unclear and do not appear to have been revised following recommendations under the MTR. Despite this, the project has likely surpassed the target of 100,000 beneficiaries given the substantial population coverage of some activities. </w:t>
      </w:r>
    </w:p>
    <w:p w14:paraId="75070F2E"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75070F2F" w14:textId="6D7488A1" w:rsidR="002B060A" w:rsidRDefault="006040A7" w:rsidP="00C07A0A">
      <w:pPr>
        <w:pStyle w:val="paragraph"/>
        <w:suppressAutoHyphens/>
        <w:spacing w:before="0" w:beforeAutospacing="0" w:after="0" w:afterAutospacing="0"/>
        <w:rPr>
          <w:rStyle w:val="normaltextrun"/>
          <w:rFonts w:ascii="Calibri" w:eastAsiaTheme="majorEastAsia" w:hAnsi="Calibri" w:cs="Calibri"/>
          <w:b/>
          <w:bCs/>
          <w:i/>
          <w:iCs/>
          <w:color w:val="000000" w:themeColor="text1"/>
        </w:rPr>
      </w:pPr>
      <w:r w:rsidRPr="5A717AC1">
        <w:rPr>
          <w:rStyle w:val="normaltextrun"/>
          <w:rFonts w:ascii="Calibri" w:eastAsiaTheme="majorEastAsia" w:hAnsi="Calibri" w:cs="Calibri"/>
          <w:b/>
          <w:bCs/>
          <w:i/>
          <w:iCs/>
          <w:color w:val="000000" w:themeColor="text1"/>
        </w:rPr>
        <w:t xml:space="preserve">Country-level </w:t>
      </w:r>
      <w:r w:rsidR="060E6ADC" w:rsidRPr="5A717AC1">
        <w:rPr>
          <w:rStyle w:val="normaltextrun"/>
          <w:rFonts w:ascii="Calibri" w:eastAsiaTheme="majorEastAsia" w:hAnsi="Calibri" w:cs="Calibri"/>
          <w:b/>
          <w:bCs/>
          <w:i/>
          <w:iCs/>
          <w:color w:val="000000" w:themeColor="text1"/>
        </w:rPr>
        <w:t>Activities</w:t>
      </w:r>
    </w:p>
    <w:p w14:paraId="75070F30"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9067" w:type="dxa"/>
        <w:tblLook w:val="04A0" w:firstRow="1" w:lastRow="0" w:firstColumn="1" w:lastColumn="0" w:noHBand="0" w:noVBand="1"/>
      </w:tblPr>
      <w:tblGrid>
        <w:gridCol w:w="1510"/>
        <w:gridCol w:w="2760"/>
        <w:gridCol w:w="4797"/>
      </w:tblGrid>
      <w:tr w:rsidR="00C93626" w14:paraId="75070F36" w14:textId="77777777" w:rsidTr="5A717AC1">
        <w:trPr>
          <w:trHeight w:val="300"/>
        </w:trPr>
        <w:tc>
          <w:tcPr>
            <w:tcW w:w="1510" w:type="dxa"/>
            <w:shd w:val="clear" w:color="auto" w:fill="FAE2D5" w:themeFill="accent2" w:themeFillTint="33"/>
          </w:tcPr>
          <w:p w14:paraId="75070F31"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Country </w:t>
            </w:r>
          </w:p>
          <w:p w14:paraId="75070F32"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p>
          <w:p w14:paraId="75070F33"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2760" w:type="dxa"/>
            <w:shd w:val="clear" w:color="auto" w:fill="FAE2D5" w:themeFill="accent2" w:themeFillTint="33"/>
          </w:tcPr>
          <w:p w14:paraId="75070F34"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Country-level outcome indicators </w:t>
            </w:r>
          </w:p>
        </w:tc>
        <w:tc>
          <w:tcPr>
            <w:tcW w:w="4797" w:type="dxa"/>
            <w:shd w:val="clear" w:color="auto" w:fill="FAE2D5" w:themeFill="accent2" w:themeFillTint="33"/>
          </w:tcPr>
          <w:p w14:paraId="75070F35" w14:textId="214D862B" w:rsidR="002B060A" w:rsidRDefault="19884BCB" w:rsidP="00C07A0A">
            <w:pPr>
              <w:pStyle w:val="paragraph"/>
              <w:suppressAutoHyphens/>
              <w:spacing w:before="0" w:beforeAutospacing="0" w:after="0" w:afterAutospacing="0"/>
              <w:rPr>
                <w:rStyle w:val="normaltextrun"/>
                <w:rFonts w:ascii="Calibri" w:eastAsiaTheme="majorEastAsia" w:hAnsi="Calibri" w:cs="Calibri"/>
                <w:b/>
                <w:bCs/>
                <w:color w:val="000000" w:themeColor="text1"/>
                <w:sz w:val="22"/>
                <w:szCs w:val="22"/>
              </w:rPr>
            </w:pPr>
            <w:r w:rsidRPr="5A717AC1">
              <w:rPr>
                <w:rStyle w:val="normaltextrun"/>
                <w:rFonts w:ascii="Calibri" w:eastAsiaTheme="majorEastAsia" w:hAnsi="Calibri" w:cs="Calibri"/>
                <w:b/>
                <w:bCs/>
                <w:color w:val="000000" w:themeColor="text1"/>
                <w:sz w:val="22"/>
                <w:szCs w:val="22"/>
              </w:rPr>
              <w:t xml:space="preserve">Example </w:t>
            </w:r>
            <w:r w:rsidR="006040A7" w:rsidRPr="5A717AC1">
              <w:rPr>
                <w:rStyle w:val="normaltextrun"/>
                <w:rFonts w:ascii="Calibri" w:eastAsiaTheme="majorEastAsia" w:hAnsi="Calibri" w:cs="Calibri"/>
                <w:b/>
                <w:bCs/>
                <w:color w:val="000000" w:themeColor="text1"/>
                <w:sz w:val="22"/>
                <w:szCs w:val="22"/>
              </w:rPr>
              <w:t>Achievement</w:t>
            </w:r>
            <w:r w:rsidR="5F2585E1" w:rsidRPr="5A717AC1">
              <w:rPr>
                <w:rStyle w:val="normaltextrun"/>
                <w:rFonts w:ascii="Calibri" w:eastAsiaTheme="majorEastAsia" w:hAnsi="Calibri" w:cs="Calibri"/>
                <w:b/>
                <w:bCs/>
                <w:color w:val="000000" w:themeColor="text1"/>
                <w:sz w:val="22"/>
                <w:szCs w:val="22"/>
              </w:rPr>
              <w:t>s</w:t>
            </w:r>
          </w:p>
        </w:tc>
      </w:tr>
      <w:tr w:rsidR="00F50398" w14:paraId="75070F3F" w14:textId="77777777" w:rsidTr="5A717AC1">
        <w:trPr>
          <w:trHeight w:val="300"/>
        </w:trPr>
        <w:tc>
          <w:tcPr>
            <w:tcW w:w="1510" w:type="dxa"/>
            <w:vMerge w:val="restart"/>
          </w:tcPr>
          <w:p w14:paraId="0B0CDEBB"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F50398">
              <w:rPr>
                <w:rStyle w:val="normaltextrun"/>
                <w:rFonts w:ascii="Calibri" w:eastAsiaTheme="majorEastAsia" w:hAnsi="Calibri" w:cs="Calibri"/>
                <w:b/>
                <w:color w:val="000000" w:themeColor="text1"/>
                <w:sz w:val="22"/>
                <w:szCs w:val="22"/>
              </w:rPr>
              <w:t xml:space="preserve">Bangladesh </w:t>
            </w:r>
          </w:p>
          <w:p w14:paraId="07C96EB3"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55A8766F"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3AD45D03"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75070F3B"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2760" w:type="dxa"/>
          </w:tcPr>
          <w:p w14:paraId="00010A05"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sidRPr="00F50398">
              <w:rPr>
                <w:rFonts w:ascii="Calibri" w:eastAsiaTheme="majorEastAsia" w:hAnsi="Calibri" w:cs="Calibri"/>
                <w:color w:val="000000" w:themeColor="text1"/>
                <w:sz w:val="22"/>
                <w:szCs w:val="22"/>
              </w:rPr>
              <w:t>Three model climate-resilient health-care centres (Green Hospitals) developed and implemented in selected project areas by 2021</w:t>
            </w:r>
          </w:p>
          <w:p w14:paraId="75070F3D" w14:textId="77777777" w:rsidR="00F50398" w:rsidRPr="00F50398" w:rsidRDefault="00F50398" w:rsidP="00C07A0A">
            <w:pPr>
              <w:pStyle w:val="paragraph"/>
              <w:suppressAutoHyphens/>
              <w:spacing w:before="0" w:beforeAutospacing="0" w:after="0" w:afterAutospacing="0"/>
              <w:rPr>
                <w:rFonts w:ascii="Calibri" w:eastAsiaTheme="majorEastAsia" w:hAnsi="Calibri" w:cs="Calibri"/>
                <w:color w:val="000000" w:themeColor="text1"/>
                <w:sz w:val="22"/>
                <w:szCs w:val="22"/>
              </w:rPr>
            </w:pPr>
          </w:p>
        </w:tc>
        <w:tc>
          <w:tcPr>
            <w:tcW w:w="4797" w:type="dxa"/>
          </w:tcPr>
          <w:p w14:paraId="75070F3E" w14:textId="28B5B621" w:rsidR="00F50398" w:rsidRPr="00F50398" w:rsidRDefault="00F50398" w:rsidP="00C07A0A">
            <w:pPr>
              <w:pStyle w:val="paragraph"/>
              <w:suppressAutoHyphens/>
              <w:spacing w:before="0" w:beforeAutospacing="0" w:after="0" w:afterAutospacing="0" w:line="259" w:lineRule="auto"/>
              <w:rPr>
                <w:rStyle w:val="normaltextrun"/>
                <w:rFonts w:ascii="Calibri" w:eastAsiaTheme="majorEastAsia" w:hAnsi="Calibri" w:cs="Calibri"/>
                <w:color w:val="000000" w:themeColor="text1"/>
                <w:sz w:val="22"/>
                <w:szCs w:val="22"/>
              </w:rPr>
            </w:pPr>
            <w:r w:rsidRPr="00F50398">
              <w:rPr>
                <w:rStyle w:val="normaltextrun"/>
                <w:rFonts w:ascii="Calibri" w:eastAsiaTheme="majorEastAsia" w:hAnsi="Calibri" w:cs="Calibri"/>
                <w:color w:val="000000" w:themeColor="text1"/>
                <w:sz w:val="22"/>
                <w:szCs w:val="22"/>
              </w:rPr>
              <w:t>Building resilient HCFs in this project was completed in Year 3.  In 2022, a climate-informed health emergency preparedness and response plan was developed and in 2023, preparations for a baseline assessment of GHG emissions in healthcare facilities were undertaken.</w:t>
            </w:r>
          </w:p>
        </w:tc>
      </w:tr>
      <w:tr w:rsidR="00F50398" w14:paraId="75070F43" w14:textId="77777777" w:rsidTr="5A717AC1">
        <w:trPr>
          <w:trHeight w:val="1408"/>
        </w:trPr>
        <w:tc>
          <w:tcPr>
            <w:tcW w:w="1510" w:type="dxa"/>
            <w:vMerge/>
          </w:tcPr>
          <w:p w14:paraId="75070F40" w14:textId="77777777" w:rsidR="00F50398" w:rsidRPr="00F50398" w:rsidRDefault="00F50398" w:rsidP="00C07A0A">
            <w:pPr>
              <w:rPr>
                <w:rFonts w:ascii="Calibri" w:hAnsi="Calibri" w:cs="Calibri"/>
                <w:b/>
                <w:sz w:val="22"/>
                <w:szCs w:val="22"/>
              </w:rPr>
            </w:pPr>
          </w:p>
        </w:tc>
        <w:tc>
          <w:tcPr>
            <w:tcW w:w="2760" w:type="dxa"/>
          </w:tcPr>
          <w:p w14:paraId="75070F41" w14:textId="79F7FC67" w:rsidR="00F50398" w:rsidRPr="00F50398" w:rsidRDefault="00F50398" w:rsidP="00C07A0A">
            <w:pPr>
              <w:pStyle w:val="paragraph"/>
              <w:suppressAutoHyphens/>
              <w:spacing w:before="0" w:beforeAutospacing="0" w:after="0" w:afterAutospacing="0"/>
              <w:rPr>
                <w:rFonts w:ascii="Calibri" w:eastAsiaTheme="majorEastAsia" w:hAnsi="Calibri" w:cs="Calibri"/>
                <w:color w:val="000000" w:themeColor="text1"/>
                <w:sz w:val="22"/>
                <w:szCs w:val="22"/>
              </w:rPr>
            </w:pPr>
            <w:r w:rsidRPr="00F50398">
              <w:rPr>
                <w:rFonts w:ascii="Calibri" w:eastAsiaTheme="majorEastAsia" w:hAnsi="Calibri" w:cs="Calibri"/>
                <w:color w:val="000000" w:themeColor="text1"/>
                <w:sz w:val="22"/>
                <w:szCs w:val="22"/>
              </w:rPr>
              <w:t>Percentage of health-care staff trained in treatment and emergency protocols for climate-sensitive diseases within project service area</w:t>
            </w:r>
          </w:p>
        </w:tc>
        <w:tc>
          <w:tcPr>
            <w:tcW w:w="4797" w:type="dxa"/>
          </w:tcPr>
          <w:p w14:paraId="75070F42" w14:textId="0AA82972" w:rsidR="00F50398" w:rsidRPr="00F50398" w:rsidRDefault="00F50398" w:rsidP="00C07A0A">
            <w:pPr>
              <w:pStyle w:val="paragraph"/>
              <w:suppressAutoHyphens/>
              <w:spacing w:before="0" w:beforeAutospacing="0" w:after="0" w:afterAutospacing="0" w:line="259" w:lineRule="auto"/>
              <w:rPr>
                <w:rStyle w:val="normaltextrun"/>
                <w:rFonts w:ascii="Calibri" w:eastAsiaTheme="majorEastAsia" w:hAnsi="Calibri" w:cs="Calibri"/>
                <w:color w:val="000000" w:themeColor="text1"/>
                <w:sz w:val="22"/>
                <w:szCs w:val="22"/>
              </w:rPr>
            </w:pPr>
            <w:r w:rsidRPr="00F50398">
              <w:rPr>
                <w:rStyle w:val="normaltextrun"/>
                <w:rFonts w:ascii="Calibri" w:eastAsiaTheme="majorEastAsia" w:hAnsi="Calibri" w:cs="Calibri"/>
                <w:color w:val="000000" w:themeColor="text1"/>
                <w:sz w:val="22"/>
                <w:szCs w:val="22"/>
              </w:rPr>
              <w:t xml:space="preserve">In 2023, 120 participants (health managers, doctors, nurses, and allied staff) were involved in a training on </w:t>
            </w:r>
            <w:r w:rsidRPr="00F50398">
              <w:rPr>
                <w:rStyle w:val="normaltextrun"/>
                <w:rFonts w:ascii="Calibri" w:eastAsiaTheme="majorEastAsia" w:hAnsi="Calibri" w:cs="Calibri"/>
                <w:i/>
                <w:iCs/>
                <w:color w:val="000000" w:themeColor="text1"/>
                <w:sz w:val="22"/>
                <w:szCs w:val="22"/>
              </w:rPr>
              <w:t>Climate Informed Hospital Emergency Preparedness and Response Plan</w:t>
            </w:r>
            <w:r w:rsidRPr="00F50398">
              <w:rPr>
                <w:rStyle w:val="normaltextrun"/>
                <w:rFonts w:ascii="Calibri" w:eastAsiaTheme="majorEastAsia" w:hAnsi="Calibri" w:cs="Calibri"/>
                <w:color w:val="000000" w:themeColor="text1"/>
                <w:sz w:val="22"/>
                <w:szCs w:val="22"/>
              </w:rPr>
              <w:t xml:space="preserve">. </w:t>
            </w:r>
          </w:p>
        </w:tc>
      </w:tr>
      <w:tr w:rsidR="00F50398" w14:paraId="75070F49" w14:textId="77777777" w:rsidTr="5A717AC1">
        <w:trPr>
          <w:trHeight w:val="300"/>
        </w:trPr>
        <w:tc>
          <w:tcPr>
            <w:tcW w:w="1510" w:type="dxa"/>
            <w:vMerge w:val="restart"/>
          </w:tcPr>
          <w:p w14:paraId="704AA86B"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F50398">
              <w:rPr>
                <w:rStyle w:val="normaltextrun"/>
                <w:rFonts w:ascii="Calibri" w:eastAsiaTheme="majorEastAsia" w:hAnsi="Calibri" w:cs="Calibri"/>
                <w:b/>
                <w:color w:val="000000" w:themeColor="text1"/>
                <w:sz w:val="22"/>
                <w:szCs w:val="22"/>
              </w:rPr>
              <w:t xml:space="preserve">Cambodia </w:t>
            </w:r>
          </w:p>
          <w:p w14:paraId="75070F45"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2760" w:type="dxa"/>
          </w:tcPr>
          <w:p w14:paraId="75070F46" w14:textId="61E036F2" w:rsidR="00F50398" w:rsidRPr="00F50398" w:rsidRDefault="00F50398" w:rsidP="00C07A0A">
            <w:pPr>
              <w:pStyle w:val="paragraph"/>
              <w:suppressAutoHyphens/>
              <w:spacing w:before="0" w:beforeAutospacing="0" w:after="0" w:afterAutospacing="0"/>
              <w:rPr>
                <w:rFonts w:ascii="Calibri" w:eastAsiaTheme="majorEastAsia" w:hAnsi="Calibri" w:cs="Calibri"/>
                <w:color w:val="000000" w:themeColor="text1"/>
                <w:sz w:val="22"/>
                <w:szCs w:val="22"/>
              </w:rPr>
            </w:pPr>
            <w:r w:rsidRPr="00F50398">
              <w:rPr>
                <w:rStyle w:val="normaltextrun"/>
                <w:rFonts w:ascii="Calibri" w:eastAsiaTheme="majorEastAsia" w:hAnsi="Calibri" w:cs="Calibri"/>
                <w:color w:val="000000" w:themeColor="text1"/>
                <w:sz w:val="22"/>
                <w:szCs w:val="22"/>
              </w:rPr>
              <w:t xml:space="preserve">Number of communes reaching target levels in the </w:t>
            </w:r>
            <w:r w:rsidRPr="00F50398">
              <w:rPr>
                <w:rStyle w:val="normaltextrun"/>
                <w:rFonts w:ascii="Calibri" w:eastAsiaTheme="majorEastAsia" w:hAnsi="Calibri" w:cs="Calibri"/>
                <w:color w:val="000000" w:themeColor="text1"/>
                <w:sz w:val="22"/>
                <w:szCs w:val="22"/>
              </w:rPr>
              <w:lastRenderedPageBreak/>
              <w:t>rural water safety planning recognition system</w:t>
            </w:r>
          </w:p>
        </w:tc>
        <w:tc>
          <w:tcPr>
            <w:tcW w:w="4797" w:type="dxa"/>
          </w:tcPr>
          <w:p w14:paraId="71A8C232" w14:textId="77777777" w:rsidR="00F50398" w:rsidRPr="00F50398" w:rsidRDefault="00F50398" w:rsidP="00C07A0A">
            <w:pPr>
              <w:pStyle w:val="paragraph"/>
              <w:suppressAutoHyphens/>
              <w:spacing w:before="0" w:beforeAutospacing="0" w:after="0" w:afterAutospacing="0" w:line="259" w:lineRule="auto"/>
              <w:rPr>
                <w:rStyle w:val="normaltextrun"/>
                <w:rFonts w:ascii="Calibri" w:eastAsiaTheme="majorEastAsia" w:hAnsi="Calibri" w:cs="Calibri"/>
                <w:color w:val="000000" w:themeColor="text1"/>
                <w:sz w:val="22"/>
                <w:szCs w:val="22"/>
              </w:rPr>
            </w:pPr>
            <w:r w:rsidRPr="00F50398">
              <w:rPr>
                <w:rStyle w:val="normaltextrun"/>
                <w:rFonts w:ascii="Calibri" w:eastAsiaTheme="majorEastAsia" w:hAnsi="Calibri" w:cs="Calibri"/>
                <w:color w:val="000000" w:themeColor="text1"/>
                <w:sz w:val="22"/>
                <w:szCs w:val="22"/>
              </w:rPr>
              <w:lastRenderedPageBreak/>
              <w:t>Community t</w:t>
            </w:r>
            <w:r w:rsidRPr="00F50398">
              <w:rPr>
                <w:rStyle w:val="normaltextrun"/>
                <w:rFonts w:ascii="Calibri" w:eastAsiaTheme="majorEastAsia" w:hAnsi="Calibri" w:cs="Calibri"/>
                <w:sz w:val="22"/>
                <w:szCs w:val="22"/>
              </w:rPr>
              <w:t xml:space="preserve">raining and behaviour change programs were implemented in Years 1, 2 and 3, </w:t>
            </w:r>
            <w:r w:rsidRPr="00F50398">
              <w:rPr>
                <w:rStyle w:val="normaltextrun"/>
                <w:rFonts w:ascii="Calibri" w:eastAsiaTheme="majorEastAsia" w:hAnsi="Calibri" w:cs="Calibri"/>
                <w:sz w:val="22"/>
                <w:szCs w:val="22"/>
              </w:rPr>
              <w:lastRenderedPageBreak/>
              <w:t xml:space="preserve">including for dengue and diarrhoeal diseases; and WASH awareness in multiple villages across 3 districts in Rantanakiri. </w:t>
            </w:r>
          </w:p>
          <w:p w14:paraId="75070F48" w14:textId="77777777" w:rsidR="00F50398" w:rsidRPr="00F50398" w:rsidRDefault="00F50398" w:rsidP="00C07A0A">
            <w:pPr>
              <w:pStyle w:val="paragraph"/>
              <w:suppressAutoHyphens/>
              <w:spacing w:before="0" w:beforeAutospacing="0" w:after="0" w:afterAutospacing="0" w:line="259" w:lineRule="auto"/>
              <w:rPr>
                <w:rStyle w:val="normaltextrun"/>
                <w:rFonts w:ascii="Calibri" w:eastAsiaTheme="majorEastAsia" w:hAnsi="Calibri" w:cs="Calibri"/>
                <w:color w:val="000000" w:themeColor="text1"/>
                <w:sz w:val="22"/>
                <w:szCs w:val="22"/>
              </w:rPr>
            </w:pPr>
          </w:p>
        </w:tc>
      </w:tr>
      <w:tr w:rsidR="00F50398" w14:paraId="75070F4E" w14:textId="77777777" w:rsidTr="5A717AC1">
        <w:trPr>
          <w:trHeight w:val="300"/>
        </w:trPr>
        <w:tc>
          <w:tcPr>
            <w:tcW w:w="1510" w:type="dxa"/>
            <w:vMerge/>
          </w:tcPr>
          <w:p w14:paraId="75070F4A" w14:textId="77777777" w:rsidR="00F50398" w:rsidRPr="00F50398" w:rsidRDefault="00F50398" w:rsidP="00C07A0A">
            <w:pPr>
              <w:rPr>
                <w:rFonts w:ascii="Calibri" w:hAnsi="Calibri" w:cs="Calibri"/>
                <w:b/>
                <w:sz w:val="22"/>
                <w:szCs w:val="22"/>
              </w:rPr>
            </w:pPr>
          </w:p>
        </w:tc>
        <w:tc>
          <w:tcPr>
            <w:tcW w:w="2760" w:type="dxa"/>
          </w:tcPr>
          <w:p w14:paraId="722EE1A9"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sidRPr="00F50398">
              <w:rPr>
                <w:rFonts w:ascii="Calibri" w:eastAsiaTheme="majorEastAsia" w:hAnsi="Calibri" w:cs="Calibri"/>
                <w:color w:val="000000" w:themeColor="text1"/>
                <w:sz w:val="22"/>
                <w:szCs w:val="22"/>
              </w:rPr>
              <w:t>Number of health-care facilities with climate-proofed improved water and sanitation facilities</w:t>
            </w:r>
          </w:p>
          <w:p w14:paraId="75070F4C" w14:textId="77777777" w:rsidR="00F50398" w:rsidRPr="00F50398" w:rsidRDefault="00F50398" w:rsidP="00C07A0A">
            <w:pPr>
              <w:pStyle w:val="paragraph"/>
              <w:suppressAutoHyphens/>
              <w:spacing w:before="0" w:beforeAutospacing="0" w:after="0" w:afterAutospacing="0"/>
              <w:rPr>
                <w:rFonts w:ascii="Calibri" w:eastAsia="Calibri" w:hAnsi="Calibri" w:cs="Calibri"/>
                <w:color w:val="000000" w:themeColor="text1"/>
                <w:sz w:val="22"/>
                <w:szCs w:val="22"/>
              </w:rPr>
            </w:pPr>
          </w:p>
        </w:tc>
        <w:tc>
          <w:tcPr>
            <w:tcW w:w="4797" w:type="dxa"/>
          </w:tcPr>
          <w:p w14:paraId="75070F4D" w14:textId="48DD9FE2" w:rsidR="00F50398" w:rsidRPr="00F50398" w:rsidRDefault="00F50398" w:rsidP="00C07A0A">
            <w:pPr>
              <w:pStyle w:val="paragraph"/>
              <w:suppressAutoHyphens/>
              <w:spacing w:before="0" w:beforeAutospacing="0" w:after="0" w:afterAutospacing="0"/>
              <w:jc w:val="both"/>
              <w:rPr>
                <w:rFonts w:ascii="Calibri" w:eastAsia="Calibri" w:hAnsi="Calibri" w:cs="Calibri"/>
                <w:color w:val="000000" w:themeColor="text1"/>
                <w:sz w:val="22"/>
                <w:szCs w:val="22"/>
              </w:rPr>
            </w:pPr>
            <w:r w:rsidRPr="00F50398">
              <w:rPr>
                <w:rFonts w:ascii="Calibri" w:hAnsi="Calibri" w:cs="Calibri"/>
                <w:sz w:val="22"/>
                <w:szCs w:val="22"/>
              </w:rPr>
              <w:t>During</w:t>
            </w:r>
            <w:r w:rsidRPr="00F50398">
              <w:rPr>
                <w:rFonts w:ascii="Calibri" w:eastAsia="Calibri" w:hAnsi="Calibri" w:cs="Calibri"/>
                <w:color w:val="000000" w:themeColor="text1"/>
                <w:sz w:val="22"/>
                <w:szCs w:val="22"/>
              </w:rPr>
              <w:t xml:space="preserve"> Q1 and Q2 2021, CRWSP WASH infrastructure improvement was carried out in 20 HC in three districts. In Year 3, CR-WASH infrastructure improvement was carried out in a further 5 HCF (in addition to the provision of filter replacements). In Year 2, climate resilient water safety plans (CRWSP) for community implementation were developed for 10 health centres in Ratanakiri and have been disseminated to stakeholders and TWGWASH.</w:t>
            </w:r>
          </w:p>
        </w:tc>
      </w:tr>
      <w:tr w:rsidR="00F50398" w14:paraId="75070F52" w14:textId="77777777" w:rsidTr="5A717AC1">
        <w:trPr>
          <w:trHeight w:val="300"/>
        </w:trPr>
        <w:tc>
          <w:tcPr>
            <w:tcW w:w="1510" w:type="dxa"/>
            <w:vMerge w:val="restart"/>
          </w:tcPr>
          <w:p w14:paraId="75070F4F" w14:textId="5F426686"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F50398">
              <w:rPr>
                <w:rStyle w:val="normaltextrun"/>
                <w:rFonts w:ascii="Calibri" w:eastAsiaTheme="majorEastAsia" w:hAnsi="Calibri" w:cs="Calibri"/>
                <w:b/>
                <w:color w:val="000000" w:themeColor="text1"/>
                <w:sz w:val="22"/>
                <w:szCs w:val="22"/>
              </w:rPr>
              <w:t>Lao PDR</w:t>
            </w:r>
          </w:p>
        </w:tc>
        <w:tc>
          <w:tcPr>
            <w:tcW w:w="2760" w:type="dxa"/>
          </w:tcPr>
          <w:p w14:paraId="75070F50" w14:textId="461FF1DD"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sidRPr="00F50398">
              <w:rPr>
                <w:rFonts w:ascii="Calibri" w:eastAsiaTheme="majorEastAsia" w:hAnsi="Calibri" w:cs="Calibri"/>
                <w:color w:val="000000" w:themeColor="text1"/>
                <w:sz w:val="22"/>
                <w:szCs w:val="22"/>
              </w:rPr>
              <w:t>Technical capacity and number of health personnel increased to cope with climate-sensitive health outcomes in selected target sites as indicated by: (The pilot of the Climate-Resilience Water Safety Plan in selected 2 provinces)</w:t>
            </w:r>
          </w:p>
        </w:tc>
        <w:tc>
          <w:tcPr>
            <w:tcW w:w="4797" w:type="dxa"/>
          </w:tcPr>
          <w:p w14:paraId="75070F51" w14:textId="423F5B28" w:rsidR="00F50398" w:rsidRPr="00F50398" w:rsidRDefault="00F50398" w:rsidP="00C07A0A">
            <w:pPr>
              <w:pStyle w:val="paragraph"/>
              <w:suppressAutoHyphens/>
              <w:spacing w:before="0" w:beforeAutospacing="0" w:after="0" w:afterAutospacing="0"/>
              <w:rPr>
                <w:rStyle w:val="normaltextrun"/>
                <w:rFonts w:ascii="Calibri" w:eastAsia="Calibri" w:hAnsi="Calibri" w:cs="Calibri"/>
                <w:color w:val="000000" w:themeColor="text1"/>
                <w:sz w:val="22"/>
                <w:szCs w:val="22"/>
              </w:rPr>
            </w:pPr>
            <w:r w:rsidRPr="00F50398">
              <w:rPr>
                <w:rStyle w:val="normaltextrun"/>
                <w:rFonts w:ascii="Calibri" w:eastAsia="Calibri" w:hAnsi="Calibri" w:cs="Calibri"/>
                <w:color w:val="000000" w:themeColor="text1"/>
                <w:sz w:val="22"/>
                <w:szCs w:val="22"/>
              </w:rPr>
              <w:t xml:space="preserve">A CR WSP was developed and implemented in 2 provinces and 8 district levels (Year 1). WHO provided on site water quality monitoring and surveillance training for the CR WSP teams (Year 2). In 2021, CR WSPs were expanded to 3 southern and 3 northern provinces. </w:t>
            </w:r>
          </w:p>
        </w:tc>
      </w:tr>
      <w:tr w:rsidR="00F50398" w14:paraId="75070F56" w14:textId="77777777" w:rsidTr="5A717AC1">
        <w:trPr>
          <w:trHeight w:val="300"/>
        </w:trPr>
        <w:tc>
          <w:tcPr>
            <w:tcW w:w="1510" w:type="dxa"/>
            <w:vMerge/>
          </w:tcPr>
          <w:p w14:paraId="75070F53" w14:textId="77777777" w:rsidR="00F50398" w:rsidRPr="00F50398" w:rsidRDefault="00F50398" w:rsidP="00C07A0A">
            <w:pPr>
              <w:rPr>
                <w:rFonts w:ascii="Calibri" w:hAnsi="Calibri" w:cs="Calibri"/>
                <w:b/>
                <w:sz w:val="22"/>
                <w:szCs w:val="22"/>
              </w:rPr>
            </w:pPr>
          </w:p>
        </w:tc>
        <w:tc>
          <w:tcPr>
            <w:tcW w:w="2760" w:type="dxa"/>
          </w:tcPr>
          <w:p w14:paraId="75070F54" w14:textId="6C75333B"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sidRPr="00F50398">
              <w:rPr>
                <w:rFonts w:ascii="Calibri" w:eastAsiaTheme="majorEastAsia" w:hAnsi="Calibri" w:cs="Calibri"/>
                <w:color w:val="000000" w:themeColor="text1"/>
                <w:sz w:val="22"/>
                <w:szCs w:val="22"/>
              </w:rPr>
              <w:t>Climate-sensitive management and response plans developed in selected provinces as indicated by: (The finalization of the Disaster Risk Management Plan, WASH FIT, risk assessment and management tool will be introduced in 2 target provincial hospitals.)</w:t>
            </w:r>
          </w:p>
        </w:tc>
        <w:tc>
          <w:tcPr>
            <w:tcW w:w="4797" w:type="dxa"/>
          </w:tcPr>
          <w:p w14:paraId="75070F55" w14:textId="6BEF61DB" w:rsidR="00F50398" w:rsidRPr="00F50398" w:rsidRDefault="00F50398" w:rsidP="00C07A0A">
            <w:pPr>
              <w:rPr>
                <w:rFonts w:ascii="Calibri" w:eastAsia="Calibri" w:hAnsi="Calibri" w:cs="Calibri"/>
                <w:sz w:val="22"/>
                <w:szCs w:val="22"/>
              </w:rPr>
            </w:pPr>
            <w:r w:rsidRPr="00F50398">
              <w:rPr>
                <w:rStyle w:val="normaltextrun"/>
                <w:rFonts w:ascii="Calibri" w:eastAsia="Calibri" w:hAnsi="Calibri" w:cs="Calibri"/>
                <w:color w:val="000000" w:themeColor="text1"/>
                <w:sz w:val="22"/>
                <w:szCs w:val="22"/>
              </w:rPr>
              <w:t>CR-WASH FIT was implemented in 9 district hospitals and one provincial hospital as of 2023. Safe, clean and green hospital interventions implemented in 14 district hospitals in six southern provinces and expanded to central and northern provinces (62 hospitals) with complementary funding support.</w:t>
            </w:r>
          </w:p>
        </w:tc>
      </w:tr>
      <w:tr w:rsidR="00C65A51" w14:paraId="75070F5D" w14:textId="77777777" w:rsidTr="5A717AC1">
        <w:trPr>
          <w:trHeight w:val="300"/>
        </w:trPr>
        <w:tc>
          <w:tcPr>
            <w:tcW w:w="1510" w:type="dxa"/>
            <w:vMerge w:val="restart"/>
          </w:tcPr>
          <w:p w14:paraId="5989FF1A" w14:textId="77777777" w:rsidR="00C65A51" w:rsidRPr="00F50398" w:rsidRDefault="00C65A51" w:rsidP="00C65A51">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F50398">
              <w:rPr>
                <w:rStyle w:val="normaltextrun"/>
                <w:rFonts w:ascii="Calibri" w:eastAsiaTheme="majorEastAsia" w:hAnsi="Calibri" w:cs="Calibri"/>
                <w:b/>
                <w:color w:val="000000" w:themeColor="text1"/>
                <w:sz w:val="22"/>
                <w:szCs w:val="22"/>
              </w:rPr>
              <w:t xml:space="preserve">Nepal </w:t>
            </w:r>
          </w:p>
          <w:p w14:paraId="1E0C5BB1" w14:textId="77777777" w:rsidR="00C65A51" w:rsidRPr="00F50398" w:rsidRDefault="00C65A51" w:rsidP="00C65A51">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75070F59" w14:textId="77777777" w:rsidR="00C65A51" w:rsidRPr="00F50398" w:rsidRDefault="00C65A51" w:rsidP="00C65A51">
            <w:pPr>
              <w:pStyle w:val="paragraph"/>
              <w:suppressAutoHyphens/>
              <w:rPr>
                <w:rStyle w:val="normaltextrun"/>
                <w:rFonts w:ascii="Calibri" w:eastAsiaTheme="majorEastAsia" w:hAnsi="Calibri" w:cs="Calibri"/>
                <w:b/>
                <w:color w:val="000000" w:themeColor="text1"/>
                <w:sz w:val="22"/>
                <w:szCs w:val="22"/>
              </w:rPr>
            </w:pPr>
          </w:p>
        </w:tc>
        <w:tc>
          <w:tcPr>
            <w:tcW w:w="2760" w:type="dxa"/>
          </w:tcPr>
          <w:p w14:paraId="5B266792" w14:textId="77777777" w:rsidR="00C65A51" w:rsidRPr="00F50398" w:rsidRDefault="00C65A51" w:rsidP="00C65A51">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sidRPr="00F50398">
              <w:rPr>
                <w:rFonts w:ascii="Calibri" w:eastAsiaTheme="majorEastAsia" w:hAnsi="Calibri" w:cs="Calibri"/>
                <w:color w:val="000000" w:themeColor="text1"/>
                <w:sz w:val="22"/>
                <w:szCs w:val="22"/>
              </w:rPr>
              <w:t>Number of model climate-resilient health facilities established in selected districts</w:t>
            </w:r>
          </w:p>
          <w:p w14:paraId="75070F5B" w14:textId="77777777" w:rsidR="00C65A51" w:rsidRPr="00F50398" w:rsidRDefault="00C65A51" w:rsidP="00C65A51">
            <w:pPr>
              <w:pStyle w:val="paragraph"/>
              <w:suppressAutoHyphens/>
              <w:rPr>
                <w:rFonts w:ascii="Calibri" w:eastAsiaTheme="majorEastAsia" w:hAnsi="Calibri" w:cs="Calibri"/>
                <w:color w:val="000000" w:themeColor="text1"/>
                <w:sz w:val="22"/>
                <w:szCs w:val="22"/>
              </w:rPr>
            </w:pPr>
          </w:p>
        </w:tc>
        <w:tc>
          <w:tcPr>
            <w:tcW w:w="4797" w:type="dxa"/>
          </w:tcPr>
          <w:p w14:paraId="75070F5C" w14:textId="6725F112" w:rsidR="00C65A51" w:rsidRPr="00AE62B1" w:rsidRDefault="00C65A51" w:rsidP="00C65A51">
            <w:pPr>
              <w:rPr>
                <w:rStyle w:val="normaltextrun"/>
                <w:rFonts w:eastAsia="Calibri"/>
              </w:rPr>
            </w:pPr>
            <w:r w:rsidRPr="00AE62B1">
              <w:rPr>
                <w:rStyle w:val="normaltextrun"/>
                <w:rFonts w:ascii="Calibri" w:eastAsia="Calibri" w:hAnsi="Calibri" w:cs="Calibri"/>
                <w:color w:val="000000" w:themeColor="text1"/>
                <w:sz w:val="22"/>
                <w:szCs w:val="22"/>
              </w:rPr>
              <w:t xml:space="preserve">The concept of climate resilience and environmental sustainability of HCFs has been piloted in three HCFs, each one from hill, </w:t>
            </w:r>
            <w:r w:rsidR="00AE62B1" w:rsidRPr="00AE62B1">
              <w:rPr>
                <w:rStyle w:val="normaltextrun"/>
                <w:rFonts w:ascii="Calibri" w:eastAsia="Calibri" w:hAnsi="Calibri" w:cs="Calibri"/>
                <w:color w:val="000000" w:themeColor="text1"/>
                <w:sz w:val="22"/>
                <w:szCs w:val="22"/>
              </w:rPr>
              <w:t>mountain</w:t>
            </w:r>
            <w:r w:rsidRPr="00AE62B1">
              <w:rPr>
                <w:rStyle w:val="normaltextrun"/>
                <w:rFonts w:ascii="Calibri" w:eastAsia="Calibri" w:hAnsi="Calibri" w:cs="Calibri"/>
                <w:color w:val="000000" w:themeColor="text1"/>
                <w:sz w:val="22"/>
                <w:szCs w:val="22"/>
              </w:rPr>
              <w:t xml:space="preserve"> and terai ecological region. Procurement of supplies for improvement works especially related with healthcare waste management and WASH in three HCFs was carried out. Technical support from WHO on integrating climate resilience and environmental sustainability; and autoclaves have been provided to three HCF in target districts. </w:t>
            </w:r>
            <w:r w:rsidRPr="00AE62B1">
              <w:rPr>
                <w:rStyle w:val="normaltextrun"/>
                <w:rFonts w:eastAsia="Calibri"/>
                <w:color w:val="000000" w:themeColor="text1"/>
              </w:rPr>
              <w:t> </w:t>
            </w:r>
          </w:p>
        </w:tc>
      </w:tr>
      <w:tr w:rsidR="00C65A51" w14:paraId="75070F61" w14:textId="77777777" w:rsidTr="5A717AC1">
        <w:trPr>
          <w:trHeight w:val="300"/>
        </w:trPr>
        <w:tc>
          <w:tcPr>
            <w:tcW w:w="1510" w:type="dxa"/>
            <w:vMerge/>
          </w:tcPr>
          <w:p w14:paraId="75070F5E" w14:textId="77777777" w:rsidR="00C65A51" w:rsidRPr="00F50398" w:rsidRDefault="00C65A51" w:rsidP="00C65A51">
            <w:pPr>
              <w:rPr>
                <w:rFonts w:ascii="Calibri" w:hAnsi="Calibri" w:cs="Calibri"/>
                <w:b/>
                <w:sz w:val="22"/>
                <w:szCs w:val="22"/>
              </w:rPr>
            </w:pPr>
          </w:p>
        </w:tc>
        <w:tc>
          <w:tcPr>
            <w:tcW w:w="2760" w:type="dxa"/>
          </w:tcPr>
          <w:p w14:paraId="75070F5F" w14:textId="3A778ED2" w:rsidR="00C65A51" w:rsidRPr="00F50398" w:rsidRDefault="00C65A51" w:rsidP="00C65A51">
            <w:pPr>
              <w:pStyle w:val="paragraph"/>
              <w:suppressAutoHyphens/>
              <w:rPr>
                <w:rFonts w:ascii="Calibri" w:hAnsi="Calibri" w:cs="Calibri"/>
                <w:sz w:val="22"/>
                <w:szCs w:val="22"/>
              </w:rPr>
            </w:pPr>
            <w:r w:rsidRPr="00F50398">
              <w:rPr>
                <w:rFonts w:ascii="Calibri" w:eastAsia="Calibri" w:hAnsi="Calibri" w:cs="Calibri"/>
                <w:color w:val="000000" w:themeColor="text1"/>
                <w:sz w:val="22"/>
                <w:szCs w:val="22"/>
              </w:rPr>
              <w:t>Number of climate-resilient water safety plans in place focused on reduction in incidence of diarrhoeal diseases in selected districts of Nepal</w:t>
            </w:r>
          </w:p>
        </w:tc>
        <w:tc>
          <w:tcPr>
            <w:tcW w:w="4797" w:type="dxa"/>
          </w:tcPr>
          <w:p w14:paraId="75070F60" w14:textId="2BA5B5DC" w:rsidR="00C65A51" w:rsidRPr="00AE62B1" w:rsidRDefault="00C65A51" w:rsidP="00C65A51">
            <w:pPr>
              <w:rPr>
                <w:rStyle w:val="normaltextrun"/>
                <w:rFonts w:eastAsia="Calibri"/>
              </w:rPr>
            </w:pPr>
            <w:r w:rsidRPr="00AE62B1">
              <w:rPr>
                <w:rStyle w:val="normaltextrun"/>
                <w:rFonts w:ascii="Calibri" w:eastAsia="Calibri" w:hAnsi="Calibri" w:cs="Calibri"/>
                <w:color w:val="000000" w:themeColor="text1"/>
                <w:sz w:val="22"/>
                <w:szCs w:val="22"/>
              </w:rPr>
              <w:t xml:space="preserve">A local agency </w:t>
            </w:r>
            <w:r w:rsidR="00AE62B1" w:rsidRPr="00AE62B1">
              <w:rPr>
                <w:rStyle w:val="normaltextrun"/>
                <w:rFonts w:ascii="Calibri" w:eastAsia="Calibri" w:hAnsi="Calibri" w:cs="Calibri"/>
                <w:color w:val="000000" w:themeColor="text1"/>
                <w:sz w:val="22"/>
                <w:szCs w:val="22"/>
              </w:rPr>
              <w:t xml:space="preserve">completed </w:t>
            </w:r>
            <w:r w:rsidRPr="00AE62B1">
              <w:rPr>
                <w:rStyle w:val="normaltextrun"/>
                <w:rFonts w:ascii="Calibri" w:eastAsia="Calibri" w:hAnsi="Calibri" w:cs="Calibri"/>
                <w:color w:val="000000" w:themeColor="text1"/>
                <w:sz w:val="22"/>
                <w:szCs w:val="22"/>
              </w:rPr>
              <w:t xml:space="preserve">an audit of CR WSP covering 12 water supply projects (representing all seven provinces). More than 30 water supply projects have been trained on developing CR-WSP with supply of water quality test kits to enhance water quality monitoring.  </w:t>
            </w:r>
            <w:r w:rsidRPr="00AE62B1">
              <w:rPr>
                <w:rStyle w:val="normaltextrun"/>
                <w:rFonts w:eastAsia="Calibri"/>
                <w:color w:val="000000" w:themeColor="text1"/>
              </w:rPr>
              <w:t> </w:t>
            </w:r>
          </w:p>
        </w:tc>
      </w:tr>
      <w:tr w:rsidR="00F50398" w14:paraId="75070F68" w14:textId="77777777" w:rsidTr="5A717AC1">
        <w:trPr>
          <w:trHeight w:val="300"/>
        </w:trPr>
        <w:tc>
          <w:tcPr>
            <w:tcW w:w="1510" w:type="dxa"/>
            <w:vMerge w:val="restart"/>
          </w:tcPr>
          <w:p w14:paraId="7D03EEFA"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F50398">
              <w:rPr>
                <w:rStyle w:val="normaltextrun"/>
                <w:rFonts w:ascii="Calibri" w:eastAsiaTheme="majorEastAsia" w:hAnsi="Calibri" w:cs="Calibri"/>
                <w:b/>
                <w:color w:val="000000" w:themeColor="text1"/>
                <w:sz w:val="22"/>
                <w:szCs w:val="22"/>
              </w:rPr>
              <w:lastRenderedPageBreak/>
              <w:t>Timor-Leste</w:t>
            </w:r>
          </w:p>
          <w:p w14:paraId="1AF3FA84"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p w14:paraId="75070F64" w14:textId="77777777" w:rsidR="00F50398" w:rsidRPr="00F50398" w:rsidRDefault="00F50398" w:rsidP="00C07A0A">
            <w:pPr>
              <w:pStyle w:val="paragraph"/>
              <w:suppressAutoHyphens/>
              <w:rPr>
                <w:rStyle w:val="normaltextrun"/>
                <w:rFonts w:ascii="Calibri" w:eastAsiaTheme="majorEastAsia" w:hAnsi="Calibri" w:cs="Calibri"/>
                <w:b/>
                <w:color w:val="000000" w:themeColor="text1"/>
                <w:sz w:val="22"/>
                <w:szCs w:val="22"/>
              </w:rPr>
            </w:pPr>
          </w:p>
        </w:tc>
        <w:tc>
          <w:tcPr>
            <w:tcW w:w="2760" w:type="dxa"/>
          </w:tcPr>
          <w:p w14:paraId="1CDE5094" w14:textId="77777777"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sidRPr="00F50398">
              <w:rPr>
                <w:rFonts w:ascii="Calibri" w:eastAsiaTheme="majorEastAsia" w:hAnsi="Calibri" w:cs="Calibri"/>
                <w:color w:val="000000" w:themeColor="text1"/>
                <w:sz w:val="22"/>
                <w:szCs w:val="22"/>
              </w:rPr>
              <w:t>Disaster management and response plans for health facilities </w:t>
            </w:r>
          </w:p>
          <w:p w14:paraId="75070F66" w14:textId="77777777" w:rsidR="00F50398" w:rsidRPr="00F50398" w:rsidRDefault="00F50398" w:rsidP="00C07A0A">
            <w:pPr>
              <w:pStyle w:val="paragraph"/>
              <w:suppressAutoHyphens/>
              <w:rPr>
                <w:rFonts w:ascii="Calibri" w:eastAsiaTheme="majorEastAsia" w:hAnsi="Calibri" w:cs="Calibri"/>
                <w:color w:val="000000" w:themeColor="text1"/>
                <w:sz w:val="22"/>
                <w:szCs w:val="22"/>
              </w:rPr>
            </w:pPr>
          </w:p>
        </w:tc>
        <w:tc>
          <w:tcPr>
            <w:tcW w:w="4797" w:type="dxa"/>
          </w:tcPr>
          <w:p w14:paraId="75070F67" w14:textId="7AA4F649" w:rsidR="00F50398" w:rsidRPr="00F50398" w:rsidRDefault="00F50398" w:rsidP="00C07A0A">
            <w:pPr>
              <w:pStyle w:val="paragraph"/>
              <w:suppressAutoHyphens/>
              <w:spacing w:line="259" w:lineRule="auto"/>
              <w:rPr>
                <w:rFonts w:ascii="Calibri" w:eastAsia="Calibri" w:hAnsi="Calibri" w:cs="Calibri"/>
                <w:color w:val="000000" w:themeColor="text1"/>
                <w:sz w:val="22"/>
                <w:szCs w:val="22"/>
              </w:rPr>
            </w:pPr>
            <w:r w:rsidRPr="00F50398">
              <w:rPr>
                <w:rStyle w:val="normaltextrun"/>
                <w:rFonts w:ascii="Calibri" w:eastAsiaTheme="majorEastAsia" w:hAnsi="Calibri" w:cs="Calibri"/>
                <w:color w:val="000000" w:themeColor="text1"/>
                <w:sz w:val="22"/>
                <w:szCs w:val="22"/>
              </w:rPr>
              <w:t xml:space="preserve">Trainings, workshops and advocacy activities have been conducted on early dengue management in the wet season, water quality testing and CCH awareness. </w:t>
            </w:r>
            <w:r w:rsidRPr="00F50398">
              <w:rPr>
                <w:rFonts w:ascii="Calibri" w:eastAsiaTheme="majorEastAsia" w:hAnsi="Calibri" w:cs="Calibri"/>
                <w:color w:val="000000" w:themeColor="text1"/>
                <w:sz w:val="22"/>
                <w:szCs w:val="22"/>
                <w:lang w:val="en-GB"/>
              </w:rPr>
              <w:t xml:space="preserve">Three water treatment system have been installed in three municipalities and a solar PV system has been installed in Baucau. In </w:t>
            </w:r>
            <w:r w:rsidRPr="00F50398">
              <w:rPr>
                <w:rStyle w:val="normaltextrun"/>
                <w:rFonts w:ascii="Calibri" w:eastAsiaTheme="majorEastAsia" w:hAnsi="Calibri" w:cs="Calibri"/>
                <w:color w:val="000000" w:themeColor="text1"/>
                <w:sz w:val="22"/>
                <w:szCs w:val="22"/>
              </w:rPr>
              <w:t xml:space="preserve">2023, </w:t>
            </w:r>
            <w:r w:rsidRPr="00F50398">
              <w:rPr>
                <w:rFonts w:ascii="Calibri" w:eastAsia="Calibri" w:hAnsi="Calibri" w:cs="Calibri"/>
                <w:color w:val="000000" w:themeColor="text1"/>
                <w:sz w:val="22"/>
                <w:szCs w:val="22"/>
              </w:rPr>
              <w:t>over 45 officials were trained in the National Training on CRESH led by SEARO.</w:t>
            </w:r>
          </w:p>
        </w:tc>
      </w:tr>
      <w:tr w:rsidR="00F50398" w14:paraId="75070F6C" w14:textId="77777777" w:rsidTr="5A717AC1">
        <w:trPr>
          <w:trHeight w:val="300"/>
        </w:trPr>
        <w:tc>
          <w:tcPr>
            <w:tcW w:w="1510" w:type="dxa"/>
            <w:vMerge/>
          </w:tcPr>
          <w:p w14:paraId="75070F69" w14:textId="77777777" w:rsidR="00F50398" w:rsidRPr="00F50398" w:rsidRDefault="00F50398" w:rsidP="00C07A0A">
            <w:pPr>
              <w:rPr>
                <w:rFonts w:ascii="Calibri" w:hAnsi="Calibri" w:cs="Calibri"/>
                <w:b/>
                <w:sz w:val="22"/>
                <w:szCs w:val="22"/>
              </w:rPr>
            </w:pPr>
          </w:p>
        </w:tc>
        <w:tc>
          <w:tcPr>
            <w:tcW w:w="2760" w:type="dxa"/>
          </w:tcPr>
          <w:p w14:paraId="75070F6A" w14:textId="77A3D832" w:rsidR="00F50398" w:rsidRPr="00F50398" w:rsidRDefault="00F50398"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sidRPr="00F50398">
              <w:rPr>
                <w:rFonts w:ascii="Calibri" w:eastAsiaTheme="majorEastAsia" w:hAnsi="Calibri" w:cs="Calibri"/>
                <w:color w:val="000000" w:themeColor="text1"/>
                <w:sz w:val="22"/>
                <w:szCs w:val="22"/>
              </w:rPr>
              <w:t>Develop a climate-resilient water safety plan</w:t>
            </w:r>
          </w:p>
        </w:tc>
        <w:tc>
          <w:tcPr>
            <w:tcW w:w="4797" w:type="dxa"/>
          </w:tcPr>
          <w:p w14:paraId="75070F6B" w14:textId="0AECFF6F" w:rsidR="00F50398" w:rsidRPr="00F50398" w:rsidRDefault="00F50398" w:rsidP="00C07A0A">
            <w:pPr>
              <w:pStyle w:val="paragraph"/>
              <w:suppressAutoHyphens/>
              <w:rPr>
                <w:rFonts w:ascii="Calibri" w:eastAsia="Calibri" w:hAnsi="Calibri" w:cs="Calibri"/>
                <w:color w:val="000000" w:themeColor="text1"/>
                <w:sz w:val="22"/>
                <w:szCs w:val="22"/>
              </w:rPr>
            </w:pPr>
            <w:r w:rsidRPr="00F50398">
              <w:rPr>
                <w:rFonts w:ascii="Calibri" w:eastAsia="Calibri" w:hAnsi="Calibri" w:cs="Calibri"/>
                <w:color w:val="000000" w:themeColor="text1"/>
                <w:sz w:val="22"/>
                <w:szCs w:val="22"/>
                <w:lang w:val="en-GB"/>
              </w:rPr>
              <w:t xml:space="preserve">The Climate Resilient and Environmentally Sustainable Policy and Strategy and the National Health Care Waste Management Policy have been developed. Additionally, the </w:t>
            </w:r>
            <w:r w:rsidRPr="00F50398">
              <w:rPr>
                <w:rFonts w:ascii="Calibri" w:eastAsia="Calibri" w:hAnsi="Calibri" w:cs="Calibri"/>
                <w:color w:val="000000" w:themeColor="text1"/>
                <w:sz w:val="22"/>
                <w:szCs w:val="22"/>
              </w:rPr>
              <w:t xml:space="preserve">CR-WSP training was conducted with health staff and materials translated into local languages (Year 1-2). Plans were in place to conduct additional training with 30 beneficiaries in 2023, but it is unclear if the WSP was developed and its geographic scope. </w:t>
            </w:r>
          </w:p>
        </w:tc>
      </w:tr>
    </w:tbl>
    <w:p w14:paraId="75070F6D"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9016"/>
      </w:tblGrid>
      <w:tr w:rsidR="00A97668" w14:paraId="788A0DD9" w14:textId="77777777" w:rsidTr="00A97668">
        <w:tc>
          <w:tcPr>
            <w:tcW w:w="9016" w:type="dxa"/>
          </w:tcPr>
          <w:p w14:paraId="174E79FD" w14:textId="0CEE323A" w:rsidR="00A97668" w:rsidRDefault="00A97668"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color w:val="000000" w:themeColor="text1"/>
              </w:rPr>
              <w:t xml:space="preserve">Case study 2: Safe, clean, green </w:t>
            </w:r>
            <w:r w:rsidR="00DB5C39">
              <w:rPr>
                <w:rStyle w:val="normaltextrun"/>
                <w:rFonts w:ascii="Calibri" w:eastAsiaTheme="majorEastAsia" w:hAnsi="Calibri" w:cs="Calibri"/>
                <w:b/>
                <w:color w:val="000000" w:themeColor="text1"/>
              </w:rPr>
              <w:t>c</w:t>
            </w:r>
            <w:r w:rsidR="00DB5C39" w:rsidRPr="00DB5C39">
              <w:rPr>
                <w:rStyle w:val="normaltextrun"/>
                <w:rFonts w:ascii="Calibri" w:eastAsiaTheme="majorEastAsia" w:hAnsi="Calibri" w:cs="Calibri"/>
                <w:b/>
                <w:color w:val="000000" w:themeColor="text1"/>
              </w:rPr>
              <w:t xml:space="preserve">limate-resilient </w:t>
            </w:r>
            <w:r>
              <w:rPr>
                <w:rStyle w:val="normaltextrun"/>
                <w:rFonts w:ascii="Calibri" w:eastAsiaTheme="majorEastAsia" w:hAnsi="Calibri" w:cs="Calibri"/>
                <w:b/>
                <w:color w:val="000000" w:themeColor="text1"/>
              </w:rPr>
              <w:t>hospitals in Lao PDR</w:t>
            </w:r>
          </w:p>
          <w:p w14:paraId="4E05C1CC" w14:textId="57A69E94" w:rsidR="002153C2" w:rsidRPr="002153C2" w:rsidRDefault="00A97668" w:rsidP="00C07A0A">
            <w:pPr>
              <w:pStyle w:val="paragraph"/>
              <w:suppressAutoHyphens/>
              <w:spacing w:beforeAutospacing="0" w:afterAutospacing="0"/>
              <w:rPr>
                <w:rFonts w:ascii="Calibri" w:eastAsiaTheme="majorEastAsia" w:hAnsi="Calibri" w:cs="Calibri"/>
                <w:bCs/>
                <w:color w:val="000000" w:themeColor="text1"/>
                <w:sz w:val="22"/>
                <w:szCs w:val="22"/>
              </w:rPr>
            </w:pPr>
            <w:r w:rsidRPr="008E18C0">
              <w:rPr>
                <w:rFonts w:ascii="Calibri" w:eastAsiaTheme="majorEastAsia" w:hAnsi="Calibri" w:cs="Calibri"/>
                <w:bCs/>
                <w:color w:val="000000" w:themeColor="text1"/>
                <w:sz w:val="22"/>
                <w:szCs w:val="22"/>
              </w:rPr>
              <w:t>Lao</w:t>
            </w:r>
            <w:r>
              <w:rPr>
                <w:rFonts w:ascii="Calibri" w:eastAsiaTheme="majorEastAsia" w:hAnsi="Calibri" w:cs="Calibri"/>
                <w:bCs/>
                <w:color w:val="000000" w:themeColor="text1"/>
                <w:sz w:val="22"/>
                <w:szCs w:val="22"/>
              </w:rPr>
              <w:t xml:space="preserve"> </w:t>
            </w:r>
            <w:r w:rsidRPr="00A97668">
              <w:rPr>
                <w:rFonts w:ascii="Calibri" w:eastAsiaTheme="majorEastAsia" w:hAnsi="Calibri" w:cs="Calibri"/>
                <w:bCs/>
                <w:color w:val="000000" w:themeColor="text1"/>
                <w:sz w:val="22"/>
                <w:szCs w:val="22"/>
              </w:rPr>
              <w:t>PDR</w:t>
            </w:r>
            <w:r w:rsidRPr="008E18C0">
              <w:rPr>
                <w:rFonts w:ascii="Calibri" w:eastAsiaTheme="majorEastAsia" w:hAnsi="Calibri" w:cs="Calibri"/>
                <w:bCs/>
                <w:color w:val="000000" w:themeColor="text1"/>
                <w:sz w:val="22"/>
                <w:szCs w:val="22"/>
              </w:rPr>
              <w:t xml:space="preserve"> integrated Climate Resilient Water Safety Plans (CR</w:t>
            </w:r>
            <w:r w:rsidR="00523326">
              <w:rPr>
                <w:rFonts w:ascii="Calibri" w:eastAsiaTheme="majorEastAsia" w:hAnsi="Calibri" w:cs="Calibri"/>
                <w:bCs/>
                <w:color w:val="000000" w:themeColor="text1"/>
                <w:sz w:val="22"/>
                <w:szCs w:val="22"/>
              </w:rPr>
              <w:t>-</w:t>
            </w:r>
            <w:r w:rsidRPr="008E18C0">
              <w:rPr>
                <w:rFonts w:ascii="Calibri" w:eastAsiaTheme="majorEastAsia" w:hAnsi="Calibri" w:cs="Calibri"/>
                <w:bCs/>
                <w:color w:val="000000" w:themeColor="text1"/>
                <w:sz w:val="22"/>
                <w:szCs w:val="22"/>
              </w:rPr>
              <w:t>WSP) into its existing water safety training programs</w:t>
            </w:r>
            <w:r w:rsidR="008B511E">
              <w:rPr>
                <w:rFonts w:ascii="Calibri" w:eastAsiaTheme="majorEastAsia" w:hAnsi="Calibri" w:cs="Calibri"/>
                <w:bCs/>
                <w:color w:val="000000" w:themeColor="text1"/>
                <w:sz w:val="22"/>
                <w:szCs w:val="22"/>
              </w:rPr>
              <w:t xml:space="preserve">, and adapted the WHO WASH-FIT </w:t>
            </w:r>
            <w:r w:rsidR="00823586">
              <w:rPr>
                <w:rFonts w:ascii="Calibri" w:eastAsiaTheme="majorEastAsia" w:hAnsi="Calibri" w:cs="Calibri"/>
                <w:bCs/>
                <w:color w:val="000000" w:themeColor="text1"/>
                <w:sz w:val="22"/>
                <w:szCs w:val="22"/>
              </w:rPr>
              <w:t>tool</w:t>
            </w:r>
            <w:r w:rsidR="00523326">
              <w:rPr>
                <w:rFonts w:ascii="Calibri" w:eastAsiaTheme="majorEastAsia" w:hAnsi="Calibri" w:cs="Calibri"/>
                <w:bCs/>
                <w:color w:val="000000" w:themeColor="text1"/>
                <w:sz w:val="22"/>
                <w:szCs w:val="22"/>
              </w:rPr>
              <w:t xml:space="preserve"> and autoclave training into a comprehensive and integrated climate resilient and low-carbon healthcare toolkit</w:t>
            </w:r>
            <w:r w:rsidRPr="008E18C0">
              <w:rPr>
                <w:rFonts w:ascii="Calibri" w:eastAsiaTheme="majorEastAsia" w:hAnsi="Calibri" w:cs="Calibri"/>
                <w:bCs/>
                <w:color w:val="000000" w:themeColor="text1"/>
                <w:sz w:val="22"/>
                <w:szCs w:val="22"/>
              </w:rPr>
              <w:t xml:space="preserve">. </w:t>
            </w:r>
            <w:r w:rsidR="002153C2" w:rsidRPr="002153C2">
              <w:rPr>
                <w:rFonts w:ascii="Calibri" w:eastAsiaTheme="majorEastAsia" w:hAnsi="Calibri" w:cs="Calibri"/>
                <w:bCs/>
                <w:color w:val="000000" w:themeColor="text1"/>
                <w:sz w:val="22"/>
                <w:szCs w:val="22"/>
                <w:lang w:val="en-US"/>
              </w:rPr>
              <w:t>190 provincial and district-level water supply staff underwent speciali</w:t>
            </w:r>
            <w:r w:rsidR="00523326">
              <w:rPr>
                <w:rFonts w:ascii="Calibri" w:eastAsiaTheme="majorEastAsia" w:hAnsi="Calibri" w:cs="Calibri"/>
                <w:bCs/>
                <w:color w:val="000000" w:themeColor="text1"/>
                <w:sz w:val="22"/>
                <w:szCs w:val="22"/>
                <w:lang w:val="en-US"/>
              </w:rPr>
              <w:t>s</w:t>
            </w:r>
            <w:r w:rsidR="002153C2" w:rsidRPr="002153C2">
              <w:rPr>
                <w:rFonts w:ascii="Calibri" w:eastAsiaTheme="majorEastAsia" w:hAnsi="Calibri" w:cs="Calibri"/>
                <w:bCs/>
                <w:color w:val="000000" w:themeColor="text1"/>
                <w:sz w:val="22"/>
                <w:szCs w:val="22"/>
                <w:lang w:val="en-US"/>
              </w:rPr>
              <w:t>ed CR-WSP training</w:t>
            </w:r>
            <w:r w:rsidR="00523326">
              <w:rPr>
                <w:rFonts w:ascii="Calibri" w:eastAsiaTheme="majorEastAsia" w:hAnsi="Calibri" w:cs="Calibri"/>
                <w:bCs/>
                <w:color w:val="000000" w:themeColor="text1"/>
                <w:sz w:val="22"/>
                <w:szCs w:val="22"/>
                <w:lang w:val="en-US"/>
              </w:rPr>
              <w:t>. I</w:t>
            </w:r>
            <w:r w:rsidR="001C2E05" w:rsidRPr="002153C2">
              <w:rPr>
                <w:rFonts w:ascii="Calibri" w:eastAsiaTheme="majorEastAsia" w:hAnsi="Calibri" w:cs="Calibri"/>
                <w:bCs/>
                <w:color w:val="000000" w:themeColor="text1"/>
                <w:sz w:val="22"/>
                <w:szCs w:val="22"/>
              </w:rPr>
              <w:t>mplementation</w:t>
            </w:r>
            <w:r w:rsidR="002153C2" w:rsidRPr="002153C2">
              <w:rPr>
                <w:rFonts w:ascii="Calibri" w:eastAsiaTheme="majorEastAsia" w:hAnsi="Calibri" w:cs="Calibri"/>
                <w:bCs/>
                <w:color w:val="000000" w:themeColor="text1"/>
                <w:sz w:val="22"/>
                <w:szCs w:val="22"/>
              </w:rPr>
              <w:t xml:space="preserve"> of CR-WSP </w:t>
            </w:r>
            <w:r w:rsidR="00523326">
              <w:rPr>
                <w:rFonts w:ascii="Calibri" w:eastAsiaTheme="majorEastAsia" w:hAnsi="Calibri" w:cs="Calibri"/>
                <w:bCs/>
                <w:color w:val="000000" w:themeColor="text1"/>
                <w:sz w:val="22"/>
                <w:szCs w:val="22"/>
              </w:rPr>
              <w:t xml:space="preserve">then </w:t>
            </w:r>
            <w:r w:rsidR="002153C2" w:rsidRPr="002153C2">
              <w:rPr>
                <w:rFonts w:ascii="Calibri" w:eastAsiaTheme="majorEastAsia" w:hAnsi="Calibri" w:cs="Calibri"/>
                <w:bCs/>
                <w:color w:val="000000" w:themeColor="text1"/>
                <w:sz w:val="22"/>
                <w:szCs w:val="22"/>
              </w:rPr>
              <w:t>began in two provinces and eight districts, targeting improvements in water quality testing, emergency water treatment, and disease prevention. Despite the constraints imposed by COVID-19 travel restrictions, the program expanded in 2021 to include three southern and three northern provinces, demonstrating resilience and adaptability.</w:t>
            </w:r>
            <w:r w:rsidR="00C310DD">
              <w:rPr>
                <w:rFonts w:ascii="Calibri" w:eastAsiaTheme="majorEastAsia" w:hAnsi="Calibri" w:cs="Calibri"/>
                <w:bCs/>
                <w:color w:val="000000" w:themeColor="text1"/>
                <w:sz w:val="22"/>
                <w:szCs w:val="22"/>
              </w:rPr>
              <w:t xml:space="preserve"> A manual was developed with local experts</w:t>
            </w:r>
            <w:r w:rsidR="003A2A80">
              <w:rPr>
                <w:rFonts w:ascii="Calibri" w:eastAsiaTheme="majorEastAsia" w:hAnsi="Calibri" w:cs="Calibri"/>
                <w:bCs/>
                <w:color w:val="000000" w:themeColor="text1"/>
                <w:sz w:val="22"/>
                <w:szCs w:val="22"/>
              </w:rPr>
              <w:t xml:space="preserve">, </w:t>
            </w:r>
            <w:r w:rsidR="00C310DD">
              <w:rPr>
                <w:rFonts w:ascii="Calibri" w:eastAsiaTheme="majorEastAsia" w:hAnsi="Calibri" w:cs="Calibri"/>
                <w:bCs/>
                <w:color w:val="000000" w:themeColor="text1"/>
                <w:sz w:val="22"/>
                <w:szCs w:val="22"/>
              </w:rPr>
              <w:t xml:space="preserve">and water quality toolkits funded by GEF </w:t>
            </w:r>
            <w:r w:rsidR="003A2A80">
              <w:rPr>
                <w:rFonts w:ascii="Calibri" w:eastAsiaTheme="majorEastAsia" w:hAnsi="Calibri" w:cs="Calibri"/>
                <w:bCs/>
                <w:color w:val="000000" w:themeColor="text1"/>
                <w:sz w:val="22"/>
                <w:szCs w:val="22"/>
              </w:rPr>
              <w:t xml:space="preserve">made available to provincial health </w:t>
            </w:r>
            <w:r w:rsidR="003A2A80" w:rsidRPr="00B0699E">
              <w:rPr>
                <w:rFonts w:ascii="Calibri" w:eastAsiaTheme="majorEastAsia" w:hAnsi="Calibri" w:cs="Calibri"/>
                <w:bCs/>
                <w:color w:val="000000" w:themeColor="text1"/>
                <w:sz w:val="22"/>
                <w:szCs w:val="22"/>
              </w:rPr>
              <w:t>departments</w:t>
            </w:r>
            <w:r w:rsidR="003A2A80">
              <w:rPr>
                <w:rFonts w:ascii="Calibri" w:eastAsiaTheme="majorEastAsia" w:hAnsi="Calibri" w:cs="Calibri"/>
                <w:bCs/>
                <w:color w:val="000000" w:themeColor="text1"/>
                <w:sz w:val="22"/>
                <w:szCs w:val="22"/>
              </w:rPr>
              <w:t xml:space="preserve"> in </w:t>
            </w:r>
            <w:r w:rsidR="002153C2" w:rsidRPr="002153C2">
              <w:rPr>
                <w:rFonts w:ascii="Calibri" w:eastAsiaTheme="majorEastAsia" w:hAnsi="Calibri" w:cs="Calibri"/>
                <w:bCs/>
                <w:color w:val="000000" w:themeColor="text1"/>
                <w:sz w:val="22"/>
                <w:szCs w:val="22"/>
              </w:rPr>
              <w:t>18 provinces, ensuring widespread implementation and impact.</w:t>
            </w:r>
          </w:p>
          <w:p w14:paraId="14BE0D03" w14:textId="39DC9E8B" w:rsidR="00B0699E" w:rsidRDefault="002153C2" w:rsidP="00C07A0A">
            <w:pPr>
              <w:pStyle w:val="paragraph"/>
              <w:suppressAutoHyphens/>
              <w:spacing w:beforeAutospacing="0" w:afterAutospacing="0"/>
              <w:rPr>
                <w:rFonts w:ascii="Calibri" w:eastAsiaTheme="majorEastAsia" w:hAnsi="Calibri" w:cs="Calibri"/>
                <w:bCs/>
                <w:color w:val="000000" w:themeColor="text1"/>
                <w:sz w:val="22"/>
                <w:szCs w:val="22"/>
              </w:rPr>
            </w:pPr>
            <w:r w:rsidRPr="002153C2">
              <w:rPr>
                <w:rFonts w:ascii="Calibri" w:eastAsiaTheme="majorEastAsia" w:hAnsi="Calibri" w:cs="Calibri"/>
                <w:bCs/>
                <w:color w:val="000000" w:themeColor="text1"/>
                <w:sz w:val="22"/>
                <w:szCs w:val="22"/>
              </w:rPr>
              <w:t xml:space="preserve">In parallel, the healthcare sector saw improvements with the procurement of four autoclaves for district hospitals, replacing outdated </w:t>
            </w:r>
            <w:r w:rsidR="00B162ED">
              <w:rPr>
                <w:rFonts w:ascii="Calibri" w:eastAsiaTheme="majorEastAsia" w:hAnsi="Calibri" w:cs="Calibri"/>
                <w:bCs/>
                <w:color w:val="000000" w:themeColor="text1"/>
                <w:sz w:val="22"/>
                <w:szCs w:val="22"/>
              </w:rPr>
              <w:t>GHG</w:t>
            </w:r>
            <w:r w:rsidRPr="002153C2">
              <w:rPr>
                <w:rFonts w:ascii="Calibri" w:eastAsiaTheme="majorEastAsia" w:hAnsi="Calibri" w:cs="Calibri"/>
                <w:bCs/>
                <w:color w:val="000000" w:themeColor="text1"/>
                <w:sz w:val="22"/>
                <w:szCs w:val="22"/>
              </w:rPr>
              <w:t>-intensive incinerators.</w:t>
            </w:r>
            <w:r w:rsidR="003A2A80">
              <w:rPr>
                <w:rFonts w:ascii="Calibri" w:eastAsiaTheme="majorEastAsia" w:hAnsi="Calibri" w:cs="Calibri"/>
                <w:bCs/>
                <w:color w:val="000000" w:themeColor="text1"/>
                <w:sz w:val="22"/>
                <w:szCs w:val="22"/>
              </w:rPr>
              <w:t xml:space="preserve"> A training program and national curricula on autoclave </w:t>
            </w:r>
            <w:r w:rsidR="008B69EC">
              <w:rPr>
                <w:rFonts w:ascii="Calibri" w:eastAsiaTheme="majorEastAsia" w:hAnsi="Calibri" w:cs="Calibri"/>
                <w:bCs/>
                <w:color w:val="000000" w:themeColor="text1"/>
                <w:sz w:val="22"/>
                <w:szCs w:val="22"/>
              </w:rPr>
              <w:t xml:space="preserve">use was developed </w:t>
            </w:r>
            <w:r w:rsidR="000B4540">
              <w:rPr>
                <w:rFonts w:ascii="Calibri" w:eastAsiaTheme="majorEastAsia" w:hAnsi="Calibri" w:cs="Calibri"/>
                <w:bCs/>
                <w:color w:val="000000" w:themeColor="text1"/>
                <w:sz w:val="22"/>
                <w:szCs w:val="22"/>
              </w:rPr>
              <w:t xml:space="preserve">with the Ministry of Health and academic partners. </w:t>
            </w:r>
            <w:r w:rsidRPr="002153C2">
              <w:rPr>
                <w:rFonts w:ascii="Calibri" w:eastAsiaTheme="majorEastAsia" w:hAnsi="Calibri" w:cs="Calibri"/>
                <w:bCs/>
                <w:color w:val="000000" w:themeColor="text1"/>
                <w:sz w:val="22"/>
                <w:szCs w:val="22"/>
              </w:rPr>
              <w:t>Comprehensive training and technical support have been provided to health facilities in Vientiane Capital, Xiengkhuang, and Sekong provinces. Certified training was also extended to autoclave operators and healthcare waste management staff in Champasak, Sekong, and Attapeu provinces.</w:t>
            </w:r>
          </w:p>
          <w:p w14:paraId="27F18BB9" w14:textId="3C64F604" w:rsidR="00A97668" w:rsidRPr="00B0699E" w:rsidRDefault="002153C2" w:rsidP="00C07A0A">
            <w:pPr>
              <w:pStyle w:val="paragraph"/>
              <w:suppressAutoHyphens/>
              <w:spacing w:beforeAutospacing="0" w:afterAutospacing="0"/>
              <w:rPr>
                <w:rFonts w:ascii="Calibri" w:eastAsiaTheme="majorEastAsia" w:hAnsi="Calibri" w:cs="Calibri"/>
                <w:bCs/>
                <w:color w:val="000000" w:themeColor="text1"/>
                <w:sz w:val="22"/>
                <w:szCs w:val="22"/>
              </w:rPr>
            </w:pPr>
            <w:r w:rsidRPr="002153C2">
              <w:rPr>
                <w:rFonts w:ascii="Calibri" w:eastAsiaTheme="majorEastAsia" w:hAnsi="Calibri" w:cs="Calibri"/>
                <w:bCs/>
                <w:color w:val="000000" w:themeColor="text1"/>
                <w:sz w:val="22"/>
                <w:szCs w:val="22"/>
              </w:rPr>
              <w:t>Lao PDR's concerted efforts to integrate climate resilience into water safety, healthcare facilities, and waste management reflect a forward-thinking</w:t>
            </w:r>
            <w:r w:rsidR="00DB5C39">
              <w:rPr>
                <w:rFonts w:ascii="Calibri" w:eastAsiaTheme="majorEastAsia" w:hAnsi="Calibri" w:cs="Calibri"/>
                <w:bCs/>
                <w:color w:val="000000" w:themeColor="text1"/>
                <w:sz w:val="22"/>
                <w:szCs w:val="22"/>
              </w:rPr>
              <w:t xml:space="preserve"> and comprehensive</w:t>
            </w:r>
            <w:r w:rsidRPr="002153C2">
              <w:rPr>
                <w:rFonts w:ascii="Calibri" w:eastAsiaTheme="majorEastAsia" w:hAnsi="Calibri" w:cs="Calibri"/>
                <w:bCs/>
                <w:color w:val="000000" w:themeColor="text1"/>
                <w:sz w:val="22"/>
                <w:szCs w:val="22"/>
              </w:rPr>
              <w:t xml:space="preserve"> approach</w:t>
            </w:r>
            <w:r w:rsidR="00DB5C39">
              <w:rPr>
                <w:rFonts w:ascii="Calibri" w:eastAsiaTheme="majorEastAsia" w:hAnsi="Calibri" w:cs="Calibri"/>
                <w:bCs/>
                <w:color w:val="000000" w:themeColor="text1"/>
                <w:sz w:val="22"/>
                <w:szCs w:val="22"/>
              </w:rPr>
              <w:t xml:space="preserve"> to climate resilient and low-carbon health care facilities, and were packaged together as the ‘safe, clean, </w:t>
            </w:r>
            <w:r w:rsidR="00B162ED">
              <w:rPr>
                <w:rFonts w:ascii="Calibri" w:eastAsiaTheme="majorEastAsia" w:hAnsi="Calibri" w:cs="Calibri"/>
                <w:bCs/>
                <w:color w:val="000000" w:themeColor="text1"/>
                <w:sz w:val="22"/>
                <w:szCs w:val="22"/>
              </w:rPr>
              <w:t>green</w:t>
            </w:r>
            <w:r w:rsidR="00DB5C39">
              <w:rPr>
                <w:rFonts w:ascii="Calibri" w:eastAsiaTheme="majorEastAsia" w:hAnsi="Calibri" w:cs="Calibri"/>
                <w:bCs/>
                <w:color w:val="000000" w:themeColor="text1"/>
                <w:sz w:val="22"/>
                <w:szCs w:val="22"/>
              </w:rPr>
              <w:t xml:space="preserve"> and climate-resilient’ hospital toolkit, translated into local languages</w:t>
            </w:r>
            <w:r w:rsidRPr="002153C2">
              <w:rPr>
                <w:rFonts w:ascii="Calibri" w:eastAsiaTheme="majorEastAsia" w:hAnsi="Calibri" w:cs="Calibri"/>
                <w:bCs/>
                <w:color w:val="000000" w:themeColor="text1"/>
                <w:sz w:val="22"/>
                <w:szCs w:val="22"/>
              </w:rPr>
              <w:t>. These initiatives not only address current environmental and health challenges but also pave the way for a more sustainable and healthier future for the population.</w:t>
            </w:r>
          </w:p>
        </w:tc>
      </w:tr>
    </w:tbl>
    <w:p w14:paraId="387632F0" w14:textId="77777777" w:rsidR="001B77C2" w:rsidRDefault="001B77C2" w:rsidP="00C07A0A">
      <w:pPr>
        <w:rPr>
          <w:rFonts w:ascii="Calibri" w:eastAsiaTheme="majorEastAsia" w:hAnsi="Calibri" w:cs="Calibri"/>
          <w:i/>
          <w:iCs/>
          <w:color w:val="0F4761" w:themeColor="accent1" w:themeShade="BF"/>
          <w:kern w:val="2"/>
          <w:lang w:eastAsia="en-US"/>
          <w14:ligatures w14:val="standardContextual"/>
        </w:rPr>
      </w:pPr>
      <w:r>
        <w:rPr>
          <w:rFonts w:ascii="Calibri" w:hAnsi="Calibri" w:cs="Calibri"/>
        </w:rPr>
        <w:br w:type="page"/>
      </w:r>
    </w:p>
    <w:p w14:paraId="75070F6E" w14:textId="018723D4" w:rsidR="002B060A" w:rsidRDefault="006040A7" w:rsidP="00C07A0A">
      <w:pPr>
        <w:pStyle w:val="Heading4"/>
        <w:rPr>
          <w:rStyle w:val="normaltextrun"/>
          <w:rFonts w:ascii="Calibri" w:hAnsi="Calibri" w:cs="Calibri"/>
        </w:rPr>
      </w:pPr>
      <w:r>
        <w:rPr>
          <w:rFonts w:ascii="Calibri" w:hAnsi="Calibri" w:cs="Calibri"/>
        </w:rPr>
        <w:lastRenderedPageBreak/>
        <w:t>Outcome 4</w:t>
      </w:r>
      <w:r>
        <w:rPr>
          <w:rStyle w:val="normaltextrun"/>
          <w:rFonts w:ascii="Calibri" w:hAnsi="Calibri" w:cs="Calibri"/>
        </w:rPr>
        <w:t>.1</w:t>
      </w:r>
    </w:p>
    <w:p w14:paraId="75070F71"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2756"/>
        <w:gridCol w:w="3060"/>
        <w:gridCol w:w="3200"/>
      </w:tblGrid>
      <w:tr w:rsidR="002B060A" w14:paraId="75070F73" w14:textId="77777777" w:rsidTr="001071B4">
        <w:tc>
          <w:tcPr>
            <w:tcW w:w="9016" w:type="dxa"/>
            <w:gridSpan w:val="3"/>
            <w:shd w:val="clear" w:color="auto" w:fill="DAE9F7" w:themeFill="text2" w:themeFillTint="1A"/>
          </w:tcPr>
          <w:p w14:paraId="75070F72" w14:textId="77777777" w:rsidR="002B060A" w:rsidRDefault="006040A7" w:rsidP="00C07A0A">
            <w:pPr>
              <w:pStyle w:val="paragraph"/>
              <w:suppressAutoHyphens/>
              <w:rPr>
                <w:rStyle w:val="normaltextrun"/>
                <w:rFonts w:ascii="Calibri" w:eastAsiaTheme="majorEastAsia" w:hAnsi="Calibri" w:cs="Calibri"/>
                <w:b/>
                <w:color w:val="000000" w:themeColor="text1"/>
                <w:sz w:val="22"/>
                <w:szCs w:val="22"/>
                <w:lang w:val="en-GB"/>
              </w:rPr>
            </w:pPr>
            <w:r>
              <w:rPr>
                <w:rStyle w:val="normaltextrun"/>
                <w:rFonts w:ascii="Calibri" w:eastAsiaTheme="majorEastAsia" w:hAnsi="Calibri" w:cs="Calibri"/>
                <w:b/>
                <w:color w:val="000000" w:themeColor="text1"/>
                <w:sz w:val="22"/>
                <w:szCs w:val="22"/>
              </w:rPr>
              <w:t xml:space="preserve">Outcome 4.1 </w:t>
            </w:r>
            <w:r>
              <w:rPr>
                <w:rStyle w:val="normaltextrun"/>
                <w:rFonts w:ascii="Calibri" w:eastAsiaTheme="majorEastAsia" w:hAnsi="Calibri" w:cs="Calibri"/>
                <w:b/>
                <w:sz w:val="22"/>
                <w:szCs w:val="22"/>
              </w:rPr>
              <w:t xml:space="preserve">- </w:t>
            </w:r>
            <w:r>
              <w:rPr>
                <w:rFonts w:ascii="Calibri" w:eastAsiaTheme="majorEastAsia" w:hAnsi="Calibri" w:cs="Calibri"/>
                <w:b/>
                <w:color w:val="000000" w:themeColor="text1"/>
                <w:sz w:val="22"/>
                <w:szCs w:val="22"/>
              </w:rPr>
              <w:t>Enhanced regional cooperation and knowledge exchange for promoting scale-up and replication of interventions</w:t>
            </w:r>
          </w:p>
        </w:tc>
      </w:tr>
      <w:tr w:rsidR="002B060A" w14:paraId="75070F78" w14:textId="77777777" w:rsidTr="000C7D30">
        <w:tc>
          <w:tcPr>
            <w:tcW w:w="2756" w:type="dxa"/>
          </w:tcPr>
          <w:p w14:paraId="75070F74"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Indicator </w:t>
            </w:r>
          </w:p>
          <w:p w14:paraId="75070F75"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3060" w:type="dxa"/>
          </w:tcPr>
          <w:p w14:paraId="75070F76"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End of Project level and assessment </w:t>
            </w:r>
          </w:p>
        </w:tc>
        <w:tc>
          <w:tcPr>
            <w:tcW w:w="3200" w:type="dxa"/>
          </w:tcPr>
          <w:p w14:paraId="75070F77" w14:textId="77777777" w:rsidR="002B060A" w:rsidRPr="0038216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38216A">
              <w:rPr>
                <w:rStyle w:val="normaltextrun"/>
                <w:rFonts w:ascii="Calibri" w:eastAsiaTheme="majorEastAsia" w:hAnsi="Calibri" w:cs="Calibri"/>
                <w:b/>
                <w:color w:val="000000" w:themeColor="text1"/>
                <w:sz w:val="22"/>
                <w:szCs w:val="22"/>
              </w:rPr>
              <w:t xml:space="preserve">Achievement rating </w:t>
            </w:r>
          </w:p>
        </w:tc>
      </w:tr>
      <w:tr w:rsidR="000C7D30" w14:paraId="75070F7C" w14:textId="77777777" w:rsidTr="000C7D30">
        <w:trPr>
          <w:trHeight w:val="263"/>
        </w:trPr>
        <w:tc>
          <w:tcPr>
            <w:tcW w:w="2756" w:type="dxa"/>
          </w:tcPr>
          <w:p w14:paraId="75070F79" w14:textId="77777777" w:rsidR="000C7D30" w:rsidRDefault="000C7D30" w:rsidP="00C07A0A">
            <w:pPr>
              <w:pStyle w:val="paragraph"/>
              <w:suppressAutoHyphens/>
              <w:rPr>
                <w:rStyle w:val="normaltextrun"/>
                <w:rFonts w:ascii="Calibri" w:eastAsiaTheme="majorEastAsia" w:hAnsi="Calibri" w:cs="Calibri"/>
                <w:color w:val="000000" w:themeColor="text1"/>
                <w:sz w:val="22"/>
                <w:szCs w:val="22"/>
              </w:rPr>
            </w:pPr>
            <w:r>
              <w:rPr>
                <w:rFonts w:ascii="Calibri" w:eastAsiaTheme="majorEastAsia" w:hAnsi="Calibri" w:cs="Calibri"/>
                <w:b/>
                <w:color w:val="000000" w:themeColor="text1"/>
                <w:sz w:val="22"/>
                <w:szCs w:val="22"/>
              </w:rPr>
              <w:t>Indicator 7:</w:t>
            </w:r>
            <w:r>
              <w:rPr>
                <w:rFonts w:ascii="Calibri" w:eastAsiaTheme="majorEastAsia" w:hAnsi="Calibri" w:cs="Calibri"/>
                <w:color w:val="000000" w:themeColor="text1"/>
                <w:sz w:val="22"/>
                <w:szCs w:val="22"/>
              </w:rPr>
              <w:t xml:space="preserve"> Three regional trainings/meetings organized (Percentage of government stakeholders participated in national review meeting on CC&amp;H)</w:t>
            </w:r>
          </w:p>
        </w:tc>
        <w:tc>
          <w:tcPr>
            <w:tcW w:w="3060" w:type="dxa"/>
          </w:tcPr>
          <w:p w14:paraId="75070F7A" w14:textId="007DAF61" w:rsidR="000C7D30" w:rsidRDefault="000C7D30" w:rsidP="00C07A0A">
            <w:pPr>
              <w:pStyle w:val="paragraph"/>
              <w:suppressAutoHyphens/>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 xml:space="preserve">This target has been achieved and exceeded with multiple regional meetings on climate change and health (building on country experiences) for international south-south collaboration focused on </w:t>
            </w:r>
            <w:r w:rsidR="00467542">
              <w:rPr>
                <w:rFonts w:ascii="Calibri" w:eastAsiaTheme="majorEastAsia" w:hAnsi="Calibri" w:cs="Calibri"/>
                <w:color w:val="000000" w:themeColor="text1"/>
                <w:sz w:val="22"/>
                <w:szCs w:val="22"/>
              </w:rPr>
              <w:t>climate change and health</w:t>
            </w:r>
            <w:r>
              <w:rPr>
                <w:rFonts w:ascii="Calibri" w:eastAsiaTheme="majorEastAsia" w:hAnsi="Calibri" w:cs="Calibri"/>
                <w:color w:val="000000" w:themeColor="text1"/>
                <w:sz w:val="22"/>
                <w:szCs w:val="22"/>
              </w:rPr>
              <w:t xml:space="preserve">. Training and meetings reached an estimated 3,489 participants including MOH and WHO representatives. </w:t>
            </w:r>
          </w:p>
        </w:tc>
        <w:tc>
          <w:tcPr>
            <w:tcW w:w="3200" w:type="dxa"/>
            <w:shd w:val="clear" w:color="auto" w:fill="00B050"/>
          </w:tcPr>
          <w:p w14:paraId="75070F7B" w14:textId="258950F9" w:rsidR="000C7D30" w:rsidRPr="0038216A" w:rsidRDefault="000C7D30"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38216A">
              <w:rPr>
                <w:rStyle w:val="normaltextrun"/>
                <w:rFonts w:ascii="Calibri" w:eastAsiaTheme="majorEastAsia" w:hAnsi="Calibri" w:cs="Calibri"/>
                <w:b/>
                <w:color w:val="000000" w:themeColor="text1"/>
                <w:sz w:val="22"/>
                <w:szCs w:val="22"/>
              </w:rPr>
              <w:t>Achieved - HS</w:t>
            </w:r>
          </w:p>
        </w:tc>
      </w:tr>
    </w:tbl>
    <w:p w14:paraId="75070F7D"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2E2EE8F4" w14:textId="1E455BAA" w:rsidR="000346F0" w:rsidRDefault="000346F0" w:rsidP="00C07A0A">
      <w:pPr>
        <w:jc w:val="both"/>
        <w:rPr>
          <w:rFonts w:ascii="Calibri" w:hAnsi="Calibri" w:cs="Calibri"/>
          <w:color w:val="000000" w:themeColor="text1"/>
        </w:rPr>
      </w:pPr>
      <w:r>
        <w:rPr>
          <w:rFonts w:ascii="Calibri" w:eastAsia="Calibri" w:hAnsi="Calibri" w:cs="Calibri"/>
          <w:color w:val="000000" w:themeColor="text1"/>
        </w:rPr>
        <w:t>The project successfully achieved its end-of-project target, with ongoing work in this area until project completion. Three virtual project board meetings (2020-2022</w:t>
      </w:r>
      <w:r w:rsidRPr="003445E8">
        <w:rPr>
          <w:rFonts w:ascii="Calibri" w:eastAsia="Calibri" w:hAnsi="Calibri" w:cs="Calibri"/>
          <w:color w:val="000000" w:themeColor="text1"/>
        </w:rPr>
        <w:t>)</w:t>
      </w:r>
      <w:r>
        <w:rPr>
          <w:rFonts w:ascii="Calibri" w:eastAsia="Calibri" w:hAnsi="Calibri" w:cs="Calibri"/>
          <w:color w:val="000000" w:themeColor="text1"/>
        </w:rPr>
        <w:t xml:space="preserve">, one face-to-face (F2F, 2023) meeting with regional and CO representatives were held, with a final project board meeting scheduled for 06 August 2024. Training on specific technical activities, including EWARS, autoclaves and WSPs, catalysed implementation and rollout of national-level pilots and interventions (see </w:t>
      </w:r>
      <w:r>
        <w:rPr>
          <w:rFonts w:ascii="Calibri" w:eastAsia="Calibri" w:hAnsi="Calibri" w:cs="Calibri"/>
          <w:b/>
          <w:color w:val="000000" w:themeColor="text1"/>
        </w:rPr>
        <w:t>Appendix 6-7</w:t>
      </w:r>
      <w:r>
        <w:rPr>
          <w:rFonts w:ascii="Calibri" w:eastAsia="Calibri" w:hAnsi="Calibri" w:cs="Calibri"/>
          <w:color w:val="000000" w:themeColor="text1"/>
        </w:rPr>
        <w:t xml:space="preserve"> for full list of trainings and webinars).</w:t>
      </w:r>
      <w:r>
        <w:rPr>
          <w:rFonts w:ascii="Calibri" w:hAnsi="Calibri" w:cs="Calibri"/>
          <w:color w:val="000000" w:themeColor="text1"/>
        </w:rPr>
        <w:t xml:space="preserve"> In addition to this there were a number of regional trainings and meetings</w:t>
      </w:r>
      <w:r w:rsidR="00C82081">
        <w:rPr>
          <w:rFonts w:ascii="Calibri" w:hAnsi="Calibri" w:cs="Calibri"/>
          <w:color w:val="000000" w:themeColor="text1"/>
        </w:rPr>
        <w:t>. F</w:t>
      </w:r>
      <w:r>
        <w:rPr>
          <w:rFonts w:ascii="Calibri" w:hAnsi="Calibri" w:cs="Calibri"/>
          <w:color w:val="000000" w:themeColor="text1"/>
        </w:rPr>
        <w:t>or example, in 2023 WPRO held a Member States consultation on climate resilient and environmentally sustainable health care facilities as well as a Member States consultation on climate resilience WASH in HCFs. The two project countries were able to share their project experiences to broader audiences at these meetings. Similarly, SEARO held multiple regional meetings and activities such as training on WASH and Climate-Resilient Healthcare Facilities and hosted climate change and health days linking to World Health Day and International Women’s Day.</w:t>
      </w:r>
    </w:p>
    <w:p w14:paraId="58ABB5ED" w14:textId="77777777" w:rsidR="000346F0" w:rsidRDefault="000346F0" w:rsidP="00C07A0A">
      <w:pPr>
        <w:jc w:val="both"/>
        <w:rPr>
          <w:rFonts w:ascii="Calibri" w:hAnsi="Calibri" w:cs="Calibri"/>
          <w:color w:val="000000" w:themeColor="text1"/>
        </w:rPr>
      </w:pPr>
    </w:p>
    <w:p w14:paraId="4E6F2468" w14:textId="77777777" w:rsidR="000346F0" w:rsidRDefault="000346F0" w:rsidP="00C07A0A">
      <w:pPr>
        <w:jc w:val="both"/>
        <w:rPr>
          <w:rFonts w:ascii="Calibri" w:eastAsia="Calibri" w:hAnsi="Calibri" w:cs="Calibri"/>
          <w:color w:val="000000" w:themeColor="text1"/>
        </w:rPr>
      </w:pPr>
      <w:r>
        <w:rPr>
          <w:rFonts w:ascii="Calibri" w:hAnsi="Calibri" w:cs="Calibri"/>
          <w:color w:val="000000" w:themeColor="text1"/>
        </w:rPr>
        <w:t xml:space="preserve">Beyond formal training and workshop activities, indirect learnings were accessible via the combined quarterly and annual project reports. </w:t>
      </w:r>
      <w:r>
        <w:rPr>
          <w:rFonts w:ascii="Calibri" w:eastAsia="Calibri" w:hAnsi="Calibri" w:cs="Calibri"/>
          <w:color w:val="000000" w:themeColor="text1"/>
        </w:rPr>
        <w:t xml:space="preserve">Country stakeholders valued the numerous training, networking and knowledge sharing activities and highlighted </w:t>
      </w:r>
      <w:r>
        <w:rPr>
          <w:rFonts w:ascii="Calibri" w:eastAsia="Calibri" w:hAnsi="Calibri" w:cs="Calibri"/>
          <w:i/>
          <w:color w:val="000000" w:themeColor="text1"/>
        </w:rPr>
        <w:t>“very good support from HQ and regional offices</w:t>
      </w:r>
      <w:r>
        <w:rPr>
          <w:rFonts w:ascii="Calibri" w:eastAsia="Calibri" w:hAnsi="Calibri" w:cs="Calibri"/>
          <w:i/>
          <w:iCs/>
          <w:color w:val="000000" w:themeColor="text1"/>
        </w:rPr>
        <w:t>” (KS#2)</w:t>
      </w:r>
      <w:r>
        <w:rPr>
          <w:rFonts w:ascii="Calibri" w:eastAsia="Calibri" w:hAnsi="Calibri" w:cs="Calibri"/>
          <w:color w:val="000000" w:themeColor="text1"/>
        </w:rPr>
        <w:t xml:space="preserve">, including through technical advice and guidance documents. Some noted difficulties in participating in all training and knowledge sharing activities due to competing priorities. In addition, while </w:t>
      </w:r>
      <w:r>
        <w:rPr>
          <w:rFonts w:ascii="Calibri" w:eastAsia="Calibri" w:hAnsi="Calibri" w:cs="Calibri"/>
          <w:i/>
          <w:color w:val="000000" w:themeColor="text1"/>
        </w:rPr>
        <w:t>“climate change has no boundaries</w:t>
      </w:r>
      <w:r>
        <w:rPr>
          <w:rFonts w:ascii="Calibri" w:eastAsia="Calibri" w:hAnsi="Calibri" w:cs="Calibri"/>
          <w:i/>
          <w:iCs/>
          <w:color w:val="000000" w:themeColor="text1"/>
        </w:rPr>
        <w:t>” (KS#3)</w:t>
      </w:r>
      <w:r>
        <w:rPr>
          <w:rFonts w:ascii="Calibri" w:eastAsia="Calibri" w:hAnsi="Calibri" w:cs="Calibri"/>
          <w:color w:val="000000" w:themeColor="text1"/>
        </w:rPr>
        <w:t>, several stakeholders highlighted the different country contexts, including environmental aspects. Hence, it is important to consider the context-specificity of learnings and intervention approaches to ensure they are fit-for-purpose in any future scaling efforts.</w:t>
      </w:r>
    </w:p>
    <w:p w14:paraId="18D4856C" w14:textId="77777777" w:rsidR="000346F0" w:rsidRDefault="000346F0" w:rsidP="00C07A0A">
      <w:pPr>
        <w:jc w:val="both"/>
        <w:rPr>
          <w:rFonts w:ascii="Calibri" w:eastAsia="Calibri" w:hAnsi="Calibri" w:cs="Calibri"/>
          <w:color w:val="000000" w:themeColor="text1"/>
        </w:rPr>
      </w:pPr>
    </w:p>
    <w:p w14:paraId="268F36E6" w14:textId="2B7FE32F" w:rsidR="002B060A" w:rsidRDefault="000346F0" w:rsidP="00C07A0A">
      <w:pPr>
        <w:jc w:val="both"/>
        <w:rPr>
          <w:rFonts w:ascii="Calibri" w:eastAsia="Calibri" w:hAnsi="Calibri" w:cs="Calibri"/>
          <w:color w:val="000000" w:themeColor="text1"/>
        </w:rPr>
      </w:pPr>
      <w:r>
        <w:rPr>
          <w:rFonts w:ascii="Calibri" w:eastAsia="Calibri" w:hAnsi="Calibri" w:cs="Calibri"/>
          <w:color w:val="000000" w:themeColor="text1"/>
        </w:rPr>
        <w:t xml:space="preserve">Participation of MOH stakeholders was sometimes limited by language barriers, but there were numerous additional trainings and workshops held at the national level in local languages (see </w:t>
      </w:r>
      <w:r>
        <w:rPr>
          <w:rFonts w:ascii="Calibri" w:eastAsia="Calibri" w:hAnsi="Calibri" w:cs="Calibri"/>
          <w:b/>
          <w:bCs/>
          <w:color w:val="000000" w:themeColor="text1"/>
        </w:rPr>
        <w:t>Outcome 1</w:t>
      </w:r>
      <w:r>
        <w:rPr>
          <w:rFonts w:ascii="Calibri" w:eastAsia="Calibri" w:hAnsi="Calibri" w:cs="Calibri"/>
          <w:color w:val="000000" w:themeColor="text1"/>
        </w:rPr>
        <w:t xml:space="preserve">). </w:t>
      </w:r>
      <w:r>
        <w:rPr>
          <w:rFonts w:ascii="Calibri" w:hAnsi="Calibri" w:cs="Calibri"/>
          <w:color w:val="000000" w:themeColor="text1"/>
        </w:rPr>
        <w:t xml:space="preserve">Importantly, national stakeholder engagement, ownership and leadership was enabled through participation in regional and global climate and health networks, including the WHO-led Alliance for Transformative Action on Climate and Health </w:t>
      </w:r>
      <w:r>
        <w:rPr>
          <w:rFonts w:ascii="Calibri" w:hAnsi="Calibri" w:cs="Calibri"/>
          <w:color w:val="000000" w:themeColor="text1"/>
        </w:rPr>
        <w:lastRenderedPageBreak/>
        <w:t xml:space="preserve">(ATACH) and UNFCCC Conference of the Parties (COP) meetings. Several stakeholders noted increased engagement and government support following participation of MOH at high-level events. Most project countries are members of ATACH, and case studies developed from project activities were noted as particularly valuable for informing climate-resilience and adaptation interventions in other settings. </w:t>
      </w:r>
    </w:p>
    <w:p w14:paraId="75070F83" w14:textId="77777777" w:rsidR="002B060A" w:rsidRDefault="002B060A" w:rsidP="00C07A0A">
      <w:pPr>
        <w:jc w:val="both"/>
        <w:rPr>
          <w:rFonts w:ascii="Calibri" w:hAnsi="Calibri" w:cs="Calibri"/>
          <w:color w:val="000000"/>
        </w:rPr>
      </w:pPr>
    </w:p>
    <w:p w14:paraId="75070F84" w14:textId="77777777" w:rsidR="002B060A" w:rsidRDefault="006040A7" w:rsidP="00C07A0A">
      <w:pPr>
        <w:pStyle w:val="Heading4"/>
        <w:rPr>
          <w:rStyle w:val="normaltextrun"/>
          <w:rFonts w:ascii="Calibri" w:hAnsi="Calibri" w:cs="Calibri"/>
        </w:rPr>
      </w:pPr>
      <w:r>
        <w:rPr>
          <w:rFonts w:ascii="Calibri" w:hAnsi="Calibri" w:cs="Calibri"/>
        </w:rPr>
        <w:t>Outcome 4</w:t>
      </w:r>
      <w:r>
        <w:rPr>
          <w:rStyle w:val="normaltextrun"/>
          <w:rFonts w:ascii="Calibri" w:hAnsi="Calibri" w:cs="Calibri"/>
        </w:rPr>
        <w:t>.2</w:t>
      </w:r>
    </w:p>
    <w:p w14:paraId="75070F87"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3091"/>
        <w:gridCol w:w="3018"/>
        <w:gridCol w:w="2907"/>
      </w:tblGrid>
      <w:tr w:rsidR="002B060A" w14:paraId="75070F89" w14:textId="77777777" w:rsidTr="001A76D0">
        <w:tc>
          <w:tcPr>
            <w:tcW w:w="9016" w:type="dxa"/>
            <w:gridSpan w:val="3"/>
            <w:shd w:val="clear" w:color="auto" w:fill="DAE9F7" w:themeFill="text2" w:themeFillTint="1A"/>
          </w:tcPr>
          <w:p w14:paraId="75070F88" w14:textId="77777777" w:rsidR="002B060A" w:rsidRDefault="006040A7" w:rsidP="00C07A0A">
            <w:pPr>
              <w:pStyle w:val="paragraph"/>
              <w:suppressAutoHyphens/>
              <w:rPr>
                <w:rStyle w:val="normaltextrun"/>
                <w:rFonts w:ascii="Calibri" w:eastAsiaTheme="majorEastAsia" w:hAnsi="Calibri" w:cs="Calibri"/>
                <w:b/>
                <w:color w:val="000000" w:themeColor="text1"/>
                <w:sz w:val="22"/>
                <w:szCs w:val="22"/>
                <w:lang w:val="en-GB"/>
              </w:rPr>
            </w:pPr>
            <w:r>
              <w:rPr>
                <w:rStyle w:val="normaltextrun"/>
                <w:rFonts w:ascii="Calibri" w:eastAsiaTheme="majorEastAsia" w:hAnsi="Calibri" w:cs="Calibri"/>
                <w:b/>
                <w:color w:val="000000" w:themeColor="text1"/>
                <w:sz w:val="22"/>
                <w:szCs w:val="22"/>
              </w:rPr>
              <w:t xml:space="preserve">Outcome 4.2 </w:t>
            </w:r>
            <w:r>
              <w:rPr>
                <w:rStyle w:val="normaltextrun"/>
                <w:rFonts w:ascii="Calibri" w:eastAsiaTheme="majorEastAsia" w:hAnsi="Calibri" w:cs="Calibri"/>
                <w:b/>
                <w:sz w:val="22"/>
                <w:szCs w:val="22"/>
              </w:rPr>
              <w:t xml:space="preserve">- </w:t>
            </w:r>
            <w:r>
              <w:rPr>
                <w:rFonts w:ascii="Calibri" w:eastAsiaTheme="majorEastAsia" w:hAnsi="Calibri" w:cs="Calibri"/>
                <w:b/>
                <w:color w:val="000000" w:themeColor="text1"/>
                <w:sz w:val="22"/>
                <w:szCs w:val="22"/>
              </w:rPr>
              <w:t>HNAP are effectively integrated into ongoing NAP processes</w:t>
            </w:r>
          </w:p>
        </w:tc>
      </w:tr>
      <w:tr w:rsidR="002B060A" w14:paraId="75070F8E" w14:textId="77777777" w:rsidTr="001A76D0">
        <w:tc>
          <w:tcPr>
            <w:tcW w:w="3091" w:type="dxa"/>
          </w:tcPr>
          <w:p w14:paraId="75070F8A"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Indicator </w:t>
            </w:r>
          </w:p>
          <w:p w14:paraId="75070F8B"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p>
        </w:tc>
        <w:tc>
          <w:tcPr>
            <w:tcW w:w="3018" w:type="dxa"/>
          </w:tcPr>
          <w:p w14:paraId="75070F8C"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End of Project level and assessment </w:t>
            </w:r>
          </w:p>
        </w:tc>
        <w:tc>
          <w:tcPr>
            <w:tcW w:w="2907" w:type="dxa"/>
          </w:tcPr>
          <w:p w14:paraId="75070F8D" w14:textId="77777777" w:rsidR="002B060A" w:rsidRPr="0038216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38216A">
              <w:rPr>
                <w:rStyle w:val="normaltextrun"/>
                <w:rFonts w:ascii="Calibri" w:eastAsiaTheme="majorEastAsia" w:hAnsi="Calibri" w:cs="Calibri"/>
                <w:b/>
                <w:color w:val="000000" w:themeColor="text1"/>
                <w:sz w:val="22"/>
                <w:szCs w:val="22"/>
              </w:rPr>
              <w:t xml:space="preserve">Achievement rating </w:t>
            </w:r>
          </w:p>
        </w:tc>
      </w:tr>
      <w:tr w:rsidR="00C93626" w14:paraId="75070F92" w14:textId="77777777">
        <w:trPr>
          <w:trHeight w:val="263"/>
        </w:trPr>
        <w:tc>
          <w:tcPr>
            <w:tcW w:w="3091" w:type="dxa"/>
          </w:tcPr>
          <w:p w14:paraId="75070F8F" w14:textId="77777777" w:rsidR="002B060A" w:rsidRDefault="006040A7" w:rsidP="00C07A0A">
            <w:pPr>
              <w:pStyle w:val="paragraph"/>
              <w:suppressAutoHyphens/>
              <w:rPr>
                <w:rStyle w:val="normaltextrun"/>
                <w:rFonts w:ascii="Calibri" w:eastAsiaTheme="majorEastAsia" w:hAnsi="Calibri" w:cs="Calibri"/>
                <w:color w:val="000000" w:themeColor="text1"/>
                <w:sz w:val="22"/>
                <w:szCs w:val="22"/>
              </w:rPr>
            </w:pPr>
            <w:r>
              <w:rPr>
                <w:rFonts w:ascii="Calibri" w:eastAsiaTheme="majorEastAsia" w:hAnsi="Calibri" w:cs="Calibri"/>
                <w:b/>
                <w:color w:val="000000" w:themeColor="text1"/>
                <w:sz w:val="22"/>
                <w:szCs w:val="22"/>
              </w:rPr>
              <w:t>Indicator 8:</w:t>
            </w:r>
            <w:r>
              <w:rPr>
                <w:rFonts w:ascii="Calibri" w:eastAsiaTheme="majorEastAsia" w:hAnsi="Calibri" w:cs="Calibri"/>
                <w:color w:val="000000" w:themeColor="text1"/>
                <w:sz w:val="22"/>
                <w:szCs w:val="22"/>
              </w:rPr>
              <w:t xml:space="preserve"> HNAP informed by economic analyses to support integration into the NAP.</w:t>
            </w:r>
          </w:p>
        </w:tc>
        <w:tc>
          <w:tcPr>
            <w:tcW w:w="3018" w:type="dxa"/>
          </w:tcPr>
          <w:p w14:paraId="75070F90" w14:textId="77777777" w:rsidR="002B060A" w:rsidRDefault="006040A7" w:rsidP="00C07A0A">
            <w:pPr>
              <w:pStyle w:val="paragraph"/>
              <w:suppressAutoHyphens/>
              <w:rPr>
                <w:rStyle w:val="normaltextrun"/>
                <w:rFonts w:ascii="Calibri" w:eastAsiaTheme="majorEastAsia" w:hAnsi="Calibri" w:cs="Calibri"/>
                <w:color w:val="000000" w:themeColor="text1"/>
                <w:sz w:val="22"/>
                <w:szCs w:val="22"/>
              </w:rPr>
            </w:pPr>
            <w:r>
              <w:rPr>
                <w:rFonts w:ascii="Calibri" w:eastAsiaTheme="majorEastAsia" w:hAnsi="Calibri" w:cs="Calibri"/>
                <w:color w:val="000000" w:themeColor="text1"/>
                <w:sz w:val="22"/>
                <w:szCs w:val="22"/>
              </w:rPr>
              <w:t xml:space="preserve">5 countries received support to develop climate change and health economic analyses. </w:t>
            </w:r>
          </w:p>
        </w:tc>
        <w:tc>
          <w:tcPr>
            <w:tcW w:w="2907" w:type="dxa"/>
            <w:shd w:val="clear" w:color="auto" w:fill="FFFF00"/>
          </w:tcPr>
          <w:p w14:paraId="75070F91" w14:textId="71DBABA4" w:rsidR="002B060A" w:rsidRPr="0038216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sidRPr="0038216A">
              <w:rPr>
                <w:rStyle w:val="normaltextrun"/>
                <w:rFonts w:ascii="Calibri" w:eastAsiaTheme="majorEastAsia" w:hAnsi="Calibri" w:cs="Calibri"/>
                <w:b/>
                <w:color w:val="000000" w:themeColor="text1"/>
                <w:sz w:val="22"/>
                <w:szCs w:val="22"/>
              </w:rPr>
              <w:t>On track - M</w:t>
            </w:r>
            <w:r w:rsidR="001A5FED" w:rsidRPr="0038216A">
              <w:rPr>
                <w:rStyle w:val="normaltextrun"/>
                <w:rFonts w:ascii="Calibri" w:eastAsiaTheme="majorEastAsia" w:hAnsi="Calibri" w:cs="Calibri"/>
                <w:b/>
                <w:color w:val="000000" w:themeColor="text1"/>
                <w:sz w:val="22"/>
                <w:szCs w:val="22"/>
              </w:rPr>
              <w:t>S</w:t>
            </w:r>
          </w:p>
        </w:tc>
      </w:tr>
    </w:tbl>
    <w:p w14:paraId="75070F93"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75070F94" w14:textId="77777777" w:rsidR="002B060A" w:rsidRDefault="006040A7" w:rsidP="00C07A0A">
      <w:pPr>
        <w:jc w:val="both"/>
        <w:rPr>
          <w:rFonts w:ascii="Calibri" w:eastAsiaTheme="majorEastAsia" w:hAnsi="Calibri" w:cs="Calibri"/>
          <w:color w:val="000000" w:themeColor="text1"/>
        </w:rPr>
      </w:pPr>
      <w:r>
        <w:rPr>
          <w:rFonts w:ascii="Calibri" w:hAnsi="Calibri" w:cs="Calibri"/>
          <w:color w:val="000000" w:themeColor="text1"/>
        </w:rPr>
        <w:t xml:space="preserve">The responsibility for delivering this outcome lay with UNDP under the ProDoc and project governance arrangements. All countries have engaged with UNDP but there has been uneven progress on integrating health across adaptation actions, namely through integration of health into NAPs. This may reflect institutional barriers and differing status of NAP activities and coordination mechanisms across countries. For example, in countries where the HNAP and NAP overlapped, there were significant efforts and opportunities to strengthen intersectoral collaboration and coordination (see </w:t>
      </w:r>
      <w:r>
        <w:rPr>
          <w:rFonts w:ascii="Calibri" w:hAnsi="Calibri" w:cs="Calibri"/>
          <w:b/>
          <w:bCs/>
          <w:color w:val="000000" w:themeColor="text1"/>
        </w:rPr>
        <w:t>Case Study 3</w:t>
      </w:r>
      <w:r>
        <w:rPr>
          <w:rFonts w:ascii="Calibri" w:hAnsi="Calibri" w:cs="Calibri"/>
          <w:color w:val="000000" w:themeColor="text1"/>
        </w:rPr>
        <w:t xml:space="preserve">). In Nepal, the NAP preceded the HNAP and strong synergies were established between the two through intersectoral partnerships. In Bangladesh, the updated HNAP has involved consultation with the Ministry of Environment, Forest and Climate Change, and the MOH was invited to run a stall at the UNFCCC 2024 NAP expo (an annual event for LDCs to facilitate learning and knowledge exchange on NAP formulation and implementation), representing the only health-focussed initiative. In other settings, such as Lao PDR, the HNAP is more advanced than NAP processes, but provides a strong foundation for future integration. </w:t>
      </w:r>
      <w:r>
        <w:rPr>
          <w:rStyle w:val="normaltextrun"/>
          <w:rFonts w:ascii="Calibri" w:eastAsiaTheme="majorEastAsia" w:hAnsi="Calibri" w:cs="Calibri"/>
        </w:rPr>
        <w:t xml:space="preserve">In Cambodia and Timor-Leste, the project facilitated participation of health sector actors within national climate change working groups. </w:t>
      </w:r>
      <w:r>
        <w:rPr>
          <w:rFonts w:ascii="Calibri" w:hAnsi="Calibri" w:cs="Calibri"/>
          <w:color w:val="000000" w:themeColor="text1"/>
        </w:rPr>
        <w:t xml:space="preserve">WHO has acted as a key conduit in all countries for strengthening links with Ministries of Environment/Climate  </w:t>
      </w:r>
    </w:p>
    <w:p w14:paraId="75070F95" w14:textId="77777777" w:rsidR="002B060A" w:rsidRDefault="002B060A" w:rsidP="00C07A0A">
      <w:pPr>
        <w:jc w:val="both"/>
        <w:rPr>
          <w:rFonts w:ascii="Calibri" w:hAnsi="Calibri" w:cs="Calibri"/>
          <w:color w:val="000000" w:themeColor="text1"/>
        </w:rPr>
      </w:pPr>
    </w:p>
    <w:p w14:paraId="75070F96" w14:textId="7207D7C8" w:rsidR="002B060A" w:rsidRDefault="006040A7" w:rsidP="00C07A0A">
      <w:pPr>
        <w:jc w:val="both"/>
        <w:rPr>
          <w:rFonts w:ascii="Calibri" w:hAnsi="Calibri" w:cs="Calibri"/>
          <w:color w:val="000000"/>
        </w:rPr>
      </w:pPr>
      <w:r>
        <w:rPr>
          <w:rFonts w:ascii="Calibri" w:hAnsi="Calibri" w:cs="Calibri"/>
          <w:color w:val="000000" w:themeColor="text1"/>
        </w:rPr>
        <w:t xml:space="preserve">In relation to economic analyses for HNAPs (Indicator 8), a method </w:t>
      </w:r>
      <w:r w:rsidR="001A5FED">
        <w:rPr>
          <w:rFonts w:ascii="Calibri" w:hAnsi="Calibri" w:cs="Calibri"/>
          <w:color w:val="000000" w:themeColor="text1"/>
        </w:rPr>
        <w:t>has been drafted</w:t>
      </w:r>
      <w:r>
        <w:rPr>
          <w:rFonts w:ascii="Calibri" w:hAnsi="Calibri" w:cs="Calibri"/>
          <w:color w:val="000000" w:themeColor="text1"/>
        </w:rPr>
        <w:t xml:space="preserve"> by UNDP to quantify the direct and indirect costs of climate change on health</w:t>
      </w:r>
      <w:r w:rsidR="007805B1">
        <w:rPr>
          <w:rFonts w:ascii="Calibri" w:hAnsi="Calibri" w:cs="Calibri"/>
          <w:color w:val="000000" w:themeColor="text1"/>
        </w:rPr>
        <w:t>, as well as an Institutional Context Analysis</w:t>
      </w:r>
      <w:r>
        <w:rPr>
          <w:rFonts w:ascii="Calibri" w:hAnsi="Calibri" w:cs="Calibri"/>
          <w:color w:val="000000" w:themeColor="text1"/>
        </w:rPr>
        <w:t xml:space="preserve">. </w:t>
      </w:r>
      <w:r w:rsidR="001A5FED">
        <w:rPr>
          <w:rFonts w:ascii="Calibri" w:hAnsi="Calibri" w:cs="Calibri"/>
          <w:color w:val="000000" w:themeColor="text1"/>
        </w:rPr>
        <w:t>UNDP is currently working with Bangladesh to test th</w:t>
      </w:r>
      <w:r w:rsidR="007805B1">
        <w:rPr>
          <w:rFonts w:ascii="Calibri" w:hAnsi="Calibri" w:cs="Calibri"/>
          <w:color w:val="000000" w:themeColor="text1"/>
        </w:rPr>
        <w:t>ese</w:t>
      </w:r>
      <w:r w:rsidR="001A5FED">
        <w:rPr>
          <w:rFonts w:ascii="Calibri" w:hAnsi="Calibri" w:cs="Calibri"/>
          <w:color w:val="000000" w:themeColor="text1"/>
        </w:rPr>
        <w:t xml:space="preserve"> </w:t>
      </w:r>
      <w:r w:rsidR="007805B1">
        <w:rPr>
          <w:rFonts w:ascii="Calibri" w:hAnsi="Calibri" w:cs="Calibri"/>
          <w:color w:val="000000" w:themeColor="text1"/>
        </w:rPr>
        <w:t xml:space="preserve">methods and they will be finalised by UNDP in the next six months. </w:t>
      </w:r>
      <w:r>
        <w:rPr>
          <w:rFonts w:ascii="Calibri" w:hAnsi="Calibri" w:cs="Calibri"/>
          <w:color w:val="000000" w:themeColor="text1"/>
        </w:rPr>
        <w:t xml:space="preserve">It was, however, not possible to verify application or relevance of this to the project. Responsibility for this work largely fell with the UNDP and activities were not sufficiently detailed in reporting documents to be able to evaluate impact. While there was generally good collaboration and coordination between WHO and UNDP at HQ level, staff turnover within COs and unclear in-country implementation plans may have limited progress on this outcome within countries. </w:t>
      </w:r>
    </w:p>
    <w:p w14:paraId="75070F98" w14:textId="54CEB04C" w:rsidR="002B060A" w:rsidRDefault="002B060A" w:rsidP="00C07A0A">
      <w:pPr>
        <w:jc w:val="both"/>
        <w:rPr>
          <w:rFonts w:ascii="Calibri" w:hAnsi="Calibri" w:cs="Calibri"/>
          <w:color w:val="000000"/>
        </w:rPr>
      </w:pPr>
    </w:p>
    <w:tbl>
      <w:tblPr>
        <w:tblStyle w:val="TableGrid"/>
        <w:tblW w:w="0" w:type="auto"/>
        <w:tblLook w:val="04A0" w:firstRow="1" w:lastRow="0" w:firstColumn="1" w:lastColumn="0" w:noHBand="0" w:noVBand="1"/>
      </w:tblPr>
      <w:tblGrid>
        <w:gridCol w:w="9016"/>
      </w:tblGrid>
      <w:tr w:rsidR="002B060A" w14:paraId="75070F9C" w14:textId="77777777" w:rsidTr="001071B4">
        <w:tc>
          <w:tcPr>
            <w:tcW w:w="9016" w:type="dxa"/>
          </w:tcPr>
          <w:p w14:paraId="0D09C6DF" w14:textId="77777777" w:rsidR="002B060A" w:rsidRPr="00023606" w:rsidRDefault="00023606" w:rsidP="00C07A0A">
            <w:pPr>
              <w:pStyle w:val="paragraph"/>
              <w:suppressAutoHyphens/>
              <w:spacing w:before="0" w:beforeAutospacing="0" w:after="0" w:afterAutospacing="0"/>
              <w:rPr>
                <w:rFonts w:ascii="Calibri" w:eastAsiaTheme="majorEastAsia" w:hAnsi="Calibri" w:cs="Calibri"/>
                <w:b/>
                <w:bCs/>
                <w:color w:val="000000" w:themeColor="text1"/>
              </w:rPr>
            </w:pPr>
            <w:r w:rsidRPr="00023606">
              <w:rPr>
                <w:rFonts w:ascii="Calibri" w:eastAsiaTheme="majorEastAsia" w:hAnsi="Calibri" w:cs="Calibri"/>
                <w:b/>
                <w:bCs/>
              </w:rPr>
              <w:t>C</w:t>
            </w:r>
            <w:r w:rsidRPr="00023606">
              <w:rPr>
                <w:rFonts w:ascii="Calibri" w:eastAsiaTheme="majorEastAsia" w:hAnsi="Calibri" w:cs="Calibri"/>
                <w:b/>
                <w:bCs/>
                <w:color w:val="000000" w:themeColor="text1"/>
              </w:rPr>
              <w:t>ase study 3: H-NAP and NAP integration in Nepal</w:t>
            </w:r>
          </w:p>
          <w:p w14:paraId="064F2464" w14:textId="11B40E0E" w:rsidR="00023606" w:rsidRDefault="00023606" w:rsidP="00C07A0A">
            <w:pPr>
              <w:pStyle w:val="paragraph"/>
              <w:suppressAutoHyphens/>
              <w:spacing w:before="0" w:beforeAutospacing="0" w:after="0" w:afterAutospacing="0"/>
              <w:rPr>
                <w:rFonts w:ascii="Calibri" w:eastAsiaTheme="majorEastAsia" w:hAnsi="Calibri" w:cs="Calibri"/>
                <w:color w:val="000000" w:themeColor="text1"/>
              </w:rPr>
            </w:pPr>
            <w:r w:rsidRPr="00E502BC">
              <w:rPr>
                <w:rFonts w:ascii="Calibri" w:eastAsiaTheme="majorEastAsia" w:hAnsi="Calibri" w:cs="Calibri"/>
                <w:color w:val="000000" w:themeColor="text1"/>
              </w:rPr>
              <w:t xml:space="preserve">Nepal is taking significant steps to address the health impacts of climate change. The country’s Health National Adaptation Plan (HNAP) has been integrated into the National Adaptation Plan (NAP) through collaboration with the Ministry of Forests and </w:t>
            </w:r>
            <w:r w:rsidRPr="00E502BC">
              <w:rPr>
                <w:rFonts w:ascii="Calibri" w:eastAsiaTheme="majorEastAsia" w:hAnsi="Calibri" w:cs="Calibri"/>
                <w:color w:val="000000" w:themeColor="text1"/>
              </w:rPr>
              <w:lastRenderedPageBreak/>
              <w:t xml:space="preserve">Environment (MoFE). This integration involved consultative meetings, workshops, and the formation of a technical working </w:t>
            </w:r>
            <w:r w:rsidR="00AF35A8" w:rsidRPr="00E502BC">
              <w:rPr>
                <w:rFonts w:ascii="Calibri" w:eastAsiaTheme="majorEastAsia" w:hAnsi="Calibri" w:cs="Calibri"/>
                <w:color w:val="000000" w:themeColor="text1"/>
              </w:rPr>
              <w:t>group. Published</w:t>
            </w:r>
            <w:r w:rsidRPr="00E502BC">
              <w:rPr>
                <w:rFonts w:ascii="Calibri" w:eastAsiaTheme="majorEastAsia" w:hAnsi="Calibri" w:cs="Calibri"/>
                <w:color w:val="000000" w:themeColor="text1"/>
              </w:rPr>
              <w:t xml:space="preserve"> in 2022, the NAP includes health, drinking water, and sanitation as key areas. It outlines seven priority adaptation programs for this sector, with a budget of 4.75 billion dollars through 2050.</w:t>
            </w:r>
          </w:p>
          <w:p w14:paraId="54EDE830" w14:textId="77777777" w:rsidR="00023606" w:rsidRPr="00E502BC" w:rsidRDefault="00023606" w:rsidP="00C07A0A">
            <w:pPr>
              <w:pStyle w:val="paragraph"/>
              <w:suppressAutoHyphens/>
              <w:spacing w:before="0" w:beforeAutospacing="0" w:after="0" w:afterAutospacing="0"/>
              <w:rPr>
                <w:rFonts w:ascii="Calibri" w:eastAsiaTheme="majorEastAsia" w:hAnsi="Calibri" w:cs="Calibri"/>
                <w:color w:val="000000" w:themeColor="text1"/>
              </w:rPr>
            </w:pPr>
          </w:p>
          <w:p w14:paraId="4BE8FEA8" w14:textId="2C06C3F1" w:rsidR="00023606" w:rsidRDefault="00023606" w:rsidP="00C07A0A">
            <w:pPr>
              <w:pStyle w:val="paragraph"/>
              <w:suppressAutoHyphens/>
              <w:spacing w:before="0" w:beforeAutospacing="0" w:after="0" w:afterAutospacing="0"/>
              <w:rPr>
                <w:rFonts w:ascii="Calibri" w:eastAsiaTheme="majorEastAsia" w:hAnsi="Calibri" w:cs="Calibri"/>
                <w:color w:val="000000" w:themeColor="text1"/>
              </w:rPr>
            </w:pPr>
            <w:r w:rsidRPr="00E502BC">
              <w:rPr>
                <w:rFonts w:ascii="Calibri" w:eastAsiaTheme="majorEastAsia" w:hAnsi="Calibri" w:cs="Calibri"/>
                <w:color w:val="000000" w:themeColor="text1"/>
              </w:rPr>
              <w:t>MoFE also released a report titled ‘Vulnerability and Risk Assessment and Identifying Adaptation Options: Summary for Policy Makers,’ which focuses on health and water, sanitation, and hygiene (WASH). Sectoral reports on health, drinking water, and sanitation have also been finalized.</w:t>
            </w:r>
            <w:r>
              <w:rPr>
                <w:rFonts w:ascii="Calibri" w:eastAsiaTheme="majorEastAsia" w:hAnsi="Calibri" w:cs="Calibri"/>
                <w:color w:val="000000" w:themeColor="text1"/>
              </w:rPr>
              <w:t xml:space="preserve"> </w:t>
            </w:r>
            <w:r w:rsidRPr="00E502BC">
              <w:rPr>
                <w:rFonts w:ascii="Calibri" w:eastAsiaTheme="majorEastAsia" w:hAnsi="Calibri" w:cs="Calibri"/>
                <w:color w:val="000000" w:themeColor="text1"/>
              </w:rPr>
              <w:t>In February 2023, the Ministry of Health and Population (MoHP) released an updated Vulnerability and Adaptation Assessment (VAA) for climate-sensitive diseases and health risks. The HNAP is now being updated in line with Nepal’s commitments at COP26 to build climate-resilient health systems.</w:t>
            </w:r>
          </w:p>
          <w:p w14:paraId="77FFA503" w14:textId="77777777" w:rsidR="00023606" w:rsidRPr="00E502BC" w:rsidRDefault="00023606" w:rsidP="00C07A0A">
            <w:pPr>
              <w:pStyle w:val="paragraph"/>
              <w:suppressAutoHyphens/>
              <w:spacing w:before="0" w:beforeAutospacing="0" w:after="0" w:afterAutospacing="0"/>
              <w:rPr>
                <w:rFonts w:ascii="Calibri" w:eastAsiaTheme="majorEastAsia" w:hAnsi="Calibri" w:cs="Calibri"/>
                <w:color w:val="000000" w:themeColor="text1"/>
              </w:rPr>
            </w:pPr>
          </w:p>
          <w:p w14:paraId="447E5530" w14:textId="77777777" w:rsidR="00023606" w:rsidRPr="00E502BC" w:rsidRDefault="00023606" w:rsidP="00C07A0A">
            <w:pPr>
              <w:pStyle w:val="paragraph"/>
              <w:suppressAutoHyphens/>
              <w:spacing w:before="0" w:beforeAutospacing="0" w:after="0" w:afterAutospacing="0"/>
              <w:rPr>
                <w:rFonts w:ascii="Calibri" w:eastAsiaTheme="majorEastAsia" w:hAnsi="Calibri" w:cs="Calibri"/>
                <w:color w:val="000000" w:themeColor="text1"/>
              </w:rPr>
            </w:pPr>
            <w:r w:rsidRPr="00E502BC">
              <w:rPr>
                <w:rFonts w:ascii="Calibri" w:eastAsiaTheme="majorEastAsia" w:hAnsi="Calibri" w:cs="Calibri"/>
                <w:color w:val="000000" w:themeColor="text1"/>
              </w:rPr>
              <w:t>Climate change issues are included in the Nepal Health Sector-Strategic Plan (NHSSP) 2023-2030, which emphasizes a multi-sectoral response to health impacts of climate change. Key objectives include:</w:t>
            </w:r>
          </w:p>
          <w:p w14:paraId="3D96EA54" w14:textId="77777777" w:rsidR="00023606" w:rsidRPr="00E502BC" w:rsidRDefault="00023606" w:rsidP="00C07A0A">
            <w:pPr>
              <w:pStyle w:val="paragraph"/>
              <w:numPr>
                <w:ilvl w:val="0"/>
                <w:numId w:val="51"/>
              </w:numPr>
              <w:suppressAutoHyphens/>
              <w:spacing w:before="0" w:beforeAutospacing="0" w:after="0" w:afterAutospacing="0"/>
              <w:rPr>
                <w:rFonts w:ascii="Calibri" w:eastAsiaTheme="majorEastAsia" w:hAnsi="Calibri" w:cs="Calibri"/>
                <w:color w:val="000000" w:themeColor="text1"/>
              </w:rPr>
            </w:pPr>
            <w:r w:rsidRPr="00E502BC">
              <w:rPr>
                <w:rFonts w:ascii="Calibri" w:eastAsiaTheme="majorEastAsia" w:hAnsi="Calibri" w:cs="Calibri"/>
                <w:color w:val="000000" w:themeColor="text1"/>
              </w:rPr>
              <w:t>Addressing health impacts of climate change through adaptation plans and standards.</w:t>
            </w:r>
          </w:p>
          <w:p w14:paraId="61A874D3" w14:textId="77777777" w:rsidR="00023606" w:rsidRPr="00E502BC" w:rsidRDefault="00023606" w:rsidP="00C07A0A">
            <w:pPr>
              <w:pStyle w:val="paragraph"/>
              <w:numPr>
                <w:ilvl w:val="0"/>
                <w:numId w:val="51"/>
              </w:numPr>
              <w:suppressAutoHyphens/>
              <w:spacing w:before="0" w:beforeAutospacing="0" w:after="0" w:afterAutospacing="0"/>
              <w:rPr>
                <w:rFonts w:ascii="Calibri" w:eastAsiaTheme="majorEastAsia" w:hAnsi="Calibri" w:cs="Calibri"/>
                <w:color w:val="000000" w:themeColor="text1"/>
              </w:rPr>
            </w:pPr>
            <w:r w:rsidRPr="00E502BC">
              <w:rPr>
                <w:rFonts w:ascii="Calibri" w:eastAsiaTheme="majorEastAsia" w:hAnsi="Calibri" w:cs="Calibri"/>
                <w:color w:val="000000" w:themeColor="text1"/>
              </w:rPr>
              <w:t>Institutionalizing systems to manage health impacts of development projects and industrial operations.</w:t>
            </w:r>
          </w:p>
          <w:p w14:paraId="2A784CDE" w14:textId="77777777" w:rsidR="00023606" w:rsidRDefault="00023606" w:rsidP="00C07A0A">
            <w:pPr>
              <w:pStyle w:val="paragraph"/>
              <w:suppressAutoHyphens/>
              <w:spacing w:before="0" w:beforeAutospacing="0" w:after="0" w:afterAutospacing="0"/>
              <w:rPr>
                <w:rFonts w:ascii="Calibri" w:eastAsiaTheme="majorEastAsia" w:hAnsi="Calibri" w:cs="Calibri"/>
                <w:color w:val="000000" w:themeColor="text1"/>
              </w:rPr>
            </w:pPr>
          </w:p>
          <w:p w14:paraId="2F7C2BB7" w14:textId="6142D045" w:rsidR="00023606" w:rsidRDefault="00023606"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r w:rsidRPr="00E502BC">
              <w:rPr>
                <w:rFonts w:ascii="Calibri" w:eastAsiaTheme="majorEastAsia" w:hAnsi="Calibri" w:cs="Calibri"/>
                <w:color w:val="000000" w:themeColor="text1"/>
              </w:rPr>
              <w:t xml:space="preserve">With support from WHO, the Ministry of Health and Population has released the updated HNAP for 2024-2030, reaffirming Nepal’s </w:t>
            </w:r>
            <w:r>
              <w:rPr>
                <w:rFonts w:ascii="Calibri" w:eastAsiaTheme="majorEastAsia" w:hAnsi="Calibri" w:cs="Calibri"/>
                <w:color w:val="000000" w:themeColor="text1"/>
              </w:rPr>
              <w:t>C</w:t>
            </w:r>
            <w:r w:rsidRPr="00023606">
              <w:rPr>
                <w:rFonts w:ascii="Calibri" w:eastAsiaTheme="majorEastAsia" w:hAnsi="Calibri" w:cs="Calibri"/>
                <w:color w:val="000000" w:themeColor="text1"/>
              </w:rPr>
              <w:t xml:space="preserve">OP26 </w:t>
            </w:r>
            <w:r w:rsidRPr="00E502BC">
              <w:rPr>
                <w:rFonts w:ascii="Calibri" w:eastAsiaTheme="majorEastAsia" w:hAnsi="Calibri" w:cs="Calibri"/>
                <w:color w:val="000000" w:themeColor="text1"/>
              </w:rPr>
              <w:t>commitment to building a climate-resilient health system.</w:t>
            </w:r>
          </w:p>
          <w:p w14:paraId="75070F9B" w14:textId="5CF819CD" w:rsidR="00023606" w:rsidRPr="00023606" w:rsidRDefault="00023606" w:rsidP="00C07A0A">
            <w:pPr>
              <w:pStyle w:val="paragraph"/>
              <w:suppressAutoHyphens/>
              <w:spacing w:before="0" w:beforeAutospacing="0" w:after="0" w:afterAutospacing="0"/>
              <w:rPr>
                <w:rFonts w:ascii="Calibri" w:hAnsi="Calibri" w:cs="Calibri"/>
                <w:b/>
                <w:bCs/>
                <w:color w:val="000000"/>
              </w:rPr>
            </w:pPr>
          </w:p>
        </w:tc>
      </w:tr>
    </w:tbl>
    <w:p w14:paraId="75070F9D" w14:textId="77777777" w:rsidR="002B060A" w:rsidRDefault="002B060A" w:rsidP="00C07A0A">
      <w:pPr>
        <w:jc w:val="both"/>
        <w:rPr>
          <w:rFonts w:ascii="Calibri" w:hAnsi="Calibri" w:cs="Calibri"/>
          <w:color w:val="000000"/>
        </w:rPr>
      </w:pPr>
    </w:p>
    <w:p w14:paraId="1156CFCB" w14:textId="77777777" w:rsidR="00023606" w:rsidRDefault="00023606" w:rsidP="00C07A0A">
      <w:pPr>
        <w:rPr>
          <w:rStyle w:val="eop"/>
          <w:rFonts w:ascii="Calibri" w:eastAsiaTheme="majorEastAsia" w:hAnsi="Calibri" w:cs="Calibri"/>
          <w:b/>
          <w:color w:val="0F4761" w:themeColor="accent1" w:themeShade="BF"/>
          <w:kern w:val="2"/>
          <w:sz w:val="28"/>
          <w:szCs w:val="28"/>
          <w:lang w:eastAsia="en-US"/>
          <w14:ligatures w14:val="standardContextual"/>
        </w:rPr>
      </w:pPr>
      <w:r>
        <w:rPr>
          <w:rStyle w:val="eop"/>
          <w:rFonts w:ascii="Calibri" w:hAnsi="Calibri" w:cs="Calibri"/>
          <w:b/>
        </w:rPr>
        <w:br w:type="page"/>
      </w:r>
    </w:p>
    <w:p w14:paraId="75070F9E" w14:textId="26046300" w:rsidR="002B060A" w:rsidRDefault="006040A7" w:rsidP="00C07A0A">
      <w:pPr>
        <w:pStyle w:val="Heading3"/>
        <w:numPr>
          <w:ilvl w:val="1"/>
          <w:numId w:val="29"/>
        </w:numPr>
        <w:rPr>
          <w:rStyle w:val="eop"/>
          <w:rFonts w:ascii="Calibri" w:hAnsi="Calibri" w:cs="Calibri"/>
          <w:b/>
        </w:rPr>
      </w:pPr>
      <w:bookmarkStart w:id="28" w:name="_Toc173429979"/>
      <w:r>
        <w:rPr>
          <w:rStyle w:val="eop"/>
          <w:rFonts w:ascii="Calibri" w:hAnsi="Calibri" w:cs="Calibri"/>
          <w:b/>
        </w:rPr>
        <w:lastRenderedPageBreak/>
        <w:t>Project Implementation and Execution</w:t>
      </w:r>
      <w:bookmarkEnd w:id="28"/>
    </w:p>
    <w:p w14:paraId="75070F9F" w14:textId="77777777" w:rsidR="002B060A" w:rsidRDefault="002B060A" w:rsidP="00C07A0A">
      <w:pPr>
        <w:rPr>
          <w:rFonts w:ascii="Calibri" w:eastAsiaTheme="minorEastAsia" w:hAnsi="Calibri" w:cs="Calibri"/>
          <w:lang w:eastAsia="en-US"/>
        </w:rPr>
      </w:pPr>
    </w:p>
    <w:tbl>
      <w:tblPr>
        <w:tblStyle w:val="TableGrid"/>
        <w:tblW w:w="0" w:type="auto"/>
        <w:tblLook w:val="04A0" w:firstRow="1" w:lastRow="0" w:firstColumn="1" w:lastColumn="0" w:noHBand="0" w:noVBand="1"/>
      </w:tblPr>
      <w:tblGrid>
        <w:gridCol w:w="6799"/>
        <w:gridCol w:w="2217"/>
      </w:tblGrid>
      <w:tr w:rsidR="002B060A" w14:paraId="75070FA1" w14:textId="77777777" w:rsidTr="001071B4">
        <w:tc>
          <w:tcPr>
            <w:tcW w:w="9016" w:type="dxa"/>
            <w:gridSpan w:val="2"/>
            <w:shd w:val="clear" w:color="auto" w:fill="DAE9F7" w:themeFill="text2" w:themeFillTint="1A"/>
          </w:tcPr>
          <w:p w14:paraId="75070FA0" w14:textId="77777777" w:rsidR="002B060A" w:rsidRDefault="006040A7" w:rsidP="00C07A0A">
            <w:pPr>
              <w:rPr>
                <w:rFonts w:ascii="Calibri" w:eastAsiaTheme="minorEastAsia" w:hAnsi="Calibri" w:cs="Calibri"/>
                <w:b/>
                <w:lang w:eastAsia="en-US"/>
              </w:rPr>
            </w:pPr>
            <w:r>
              <w:rPr>
                <w:rFonts w:ascii="Calibri" w:eastAsiaTheme="minorEastAsia" w:hAnsi="Calibri" w:cs="Calibri"/>
                <w:b/>
                <w:lang w:eastAsia="en-US"/>
              </w:rPr>
              <w:t xml:space="preserve">Implementing and executing agency </w:t>
            </w:r>
          </w:p>
        </w:tc>
      </w:tr>
      <w:tr w:rsidR="002B060A" w14:paraId="75070FA4" w14:textId="77777777" w:rsidTr="001071B4">
        <w:tc>
          <w:tcPr>
            <w:tcW w:w="6799" w:type="dxa"/>
          </w:tcPr>
          <w:p w14:paraId="75070FA2" w14:textId="77777777" w:rsidR="002B060A" w:rsidRDefault="006040A7" w:rsidP="00C07A0A">
            <w:pPr>
              <w:rPr>
                <w:rFonts w:ascii="Calibri" w:eastAsiaTheme="minorEastAsia" w:hAnsi="Calibri" w:cs="Calibri"/>
                <w:lang w:eastAsia="en-US"/>
              </w:rPr>
            </w:pPr>
            <w:r>
              <w:rPr>
                <w:rFonts w:ascii="Calibri" w:eastAsiaTheme="minorEastAsia" w:hAnsi="Calibri" w:cs="Calibri"/>
                <w:lang w:eastAsia="en-US"/>
              </w:rPr>
              <w:t xml:space="preserve">Quality of UNDP/WHO implementation oversight </w:t>
            </w:r>
          </w:p>
        </w:tc>
        <w:tc>
          <w:tcPr>
            <w:tcW w:w="2217" w:type="dxa"/>
            <w:vMerge w:val="restart"/>
          </w:tcPr>
          <w:p w14:paraId="75070FA3" w14:textId="77777777" w:rsidR="002B060A" w:rsidRDefault="006040A7" w:rsidP="00C07A0A">
            <w:pPr>
              <w:rPr>
                <w:rFonts w:ascii="Calibri" w:eastAsiaTheme="minorEastAsia" w:hAnsi="Calibri" w:cs="Calibri"/>
                <w:lang w:eastAsia="en-US"/>
              </w:rPr>
            </w:pPr>
            <w:r>
              <w:rPr>
                <w:rFonts w:ascii="Calibri" w:eastAsiaTheme="minorEastAsia" w:hAnsi="Calibri" w:cs="Calibri"/>
                <w:lang w:eastAsia="en-US"/>
              </w:rPr>
              <w:t>S</w:t>
            </w:r>
          </w:p>
        </w:tc>
      </w:tr>
      <w:tr w:rsidR="002B060A" w14:paraId="75070FA7" w14:textId="77777777" w:rsidTr="001071B4">
        <w:tc>
          <w:tcPr>
            <w:tcW w:w="6799" w:type="dxa"/>
          </w:tcPr>
          <w:p w14:paraId="75070FA5" w14:textId="77777777" w:rsidR="002B060A" w:rsidRDefault="006040A7" w:rsidP="00C07A0A">
            <w:pPr>
              <w:rPr>
                <w:rFonts w:ascii="Calibri" w:eastAsiaTheme="minorEastAsia" w:hAnsi="Calibri" w:cs="Calibri"/>
                <w:lang w:eastAsia="en-US"/>
              </w:rPr>
            </w:pPr>
            <w:r>
              <w:rPr>
                <w:rFonts w:ascii="Calibri" w:eastAsiaTheme="minorEastAsia" w:hAnsi="Calibri" w:cs="Calibri"/>
                <w:lang w:eastAsia="en-US"/>
              </w:rPr>
              <w:t>Quality of implementing partner execution</w:t>
            </w:r>
          </w:p>
        </w:tc>
        <w:tc>
          <w:tcPr>
            <w:tcW w:w="2217" w:type="dxa"/>
            <w:vMerge/>
          </w:tcPr>
          <w:p w14:paraId="75070FA6" w14:textId="77777777" w:rsidR="002B060A" w:rsidRDefault="002B060A" w:rsidP="00C07A0A">
            <w:pPr>
              <w:rPr>
                <w:rFonts w:ascii="Calibri" w:eastAsiaTheme="minorEastAsia" w:hAnsi="Calibri" w:cs="Calibri"/>
                <w:lang w:eastAsia="en-US"/>
              </w:rPr>
            </w:pPr>
          </w:p>
        </w:tc>
      </w:tr>
      <w:tr w:rsidR="002B060A" w14:paraId="75070FAA" w14:textId="77777777" w:rsidTr="001071B4">
        <w:tc>
          <w:tcPr>
            <w:tcW w:w="6799" w:type="dxa"/>
          </w:tcPr>
          <w:p w14:paraId="75070FA8" w14:textId="77777777" w:rsidR="002B060A" w:rsidRDefault="006040A7" w:rsidP="00C07A0A">
            <w:pPr>
              <w:rPr>
                <w:rFonts w:ascii="Calibri" w:eastAsiaTheme="minorEastAsia" w:hAnsi="Calibri" w:cs="Calibri"/>
                <w:lang w:eastAsia="en-US"/>
              </w:rPr>
            </w:pPr>
            <w:r>
              <w:rPr>
                <w:rFonts w:ascii="Calibri" w:eastAsiaTheme="minorEastAsia" w:hAnsi="Calibri" w:cs="Calibri"/>
                <w:lang w:eastAsia="en-US"/>
              </w:rPr>
              <w:t>Overall quality of implementation/execution</w:t>
            </w:r>
          </w:p>
        </w:tc>
        <w:tc>
          <w:tcPr>
            <w:tcW w:w="2217" w:type="dxa"/>
            <w:vMerge/>
          </w:tcPr>
          <w:p w14:paraId="75070FA9" w14:textId="77777777" w:rsidR="002B060A" w:rsidRDefault="002B060A" w:rsidP="00C07A0A">
            <w:pPr>
              <w:rPr>
                <w:rFonts w:ascii="Calibri" w:eastAsiaTheme="minorEastAsia" w:hAnsi="Calibri" w:cs="Calibri"/>
                <w:lang w:eastAsia="en-US"/>
              </w:rPr>
            </w:pPr>
          </w:p>
        </w:tc>
      </w:tr>
    </w:tbl>
    <w:p w14:paraId="75070FAB" w14:textId="77777777" w:rsidR="002B060A" w:rsidRDefault="002B060A" w:rsidP="00C07A0A">
      <w:pPr>
        <w:rPr>
          <w:rFonts w:ascii="Calibri" w:eastAsiaTheme="minorEastAsia" w:hAnsi="Calibri" w:cs="Calibri"/>
          <w:lang w:eastAsia="en-US"/>
        </w:rPr>
      </w:pPr>
    </w:p>
    <w:p w14:paraId="6965184C" w14:textId="77777777" w:rsidR="004673FD" w:rsidRDefault="004673FD" w:rsidP="00C07A0A">
      <w:pPr>
        <w:pStyle w:val="Heading4"/>
        <w:rPr>
          <w:rStyle w:val="normaltextrun"/>
          <w:rFonts w:ascii="Calibri" w:hAnsi="Calibri" w:cs="Calibri"/>
        </w:rPr>
      </w:pPr>
      <w:r>
        <w:rPr>
          <w:rFonts w:ascii="Calibri" w:hAnsi="Calibri" w:cs="Calibri"/>
        </w:rPr>
        <w:t xml:space="preserve">Adaptive Management and Implementation </w:t>
      </w:r>
    </w:p>
    <w:p w14:paraId="66620A0D" w14:textId="77777777" w:rsidR="004673FD" w:rsidRDefault="004673FD" w:rsidP="00C07A0A">
      <w:pPr>
        <w:jc w:val="both"/>
        <w:rPr>
          <w:rFonts w:ascii="Calibri" w:hAnsi="Calibri" w:cs="Calibri"/>
          <w:color w:val="000000"/>
        </w:rPr>
      </w:pPr>
      <w:r w:rsidRPr="00CB0E8D">
        <w:rPr>
          <w:rFonts w:ascii="Calibri" w:hAnsi="Calibri"/>
          <w:color w:val="000000"/>
        </w:rPr>
        <w:t xml:space="preserve">Project implementation has been successful, with positive achievements at all levels across stakeholder engagement, activity execution, project management and governance systems. HQ, regional and country teams worked to adapt activities and management processes throughout to respond to external drivers and implement variations where needed, including during the COVID-19 pandemic. </w:t>
      </w:r>
    </w:p>
    <w:p w14:paraId="5A288AE2" w14:textId="77777777" w:rsidR="004673FD" w:rsidRDefault="004673FD" w:rsidP="00C07A0A">
      <w:pPr>
        <w:jc w:val="both"/>
        <w:rPr>
          <w:rFonts w:ascii="Calibri" w:hAnsi="Calibri" w:cs="Calibri"/>
          <w:color w:val="000000"/>
        </w:rPr>
      </w:pPr>
    </w:p>
    <w:p w14:paraId="6064EB19" w14:textId="59DF9014" w:rsidR="004673FD" w:rsidRDefault="00567C05" w:rsidP="00C07A0A">
      <w:pPr>
        <w:pStyle w:val="Heading4"/>
        <w:rPr>
          <w:rFonts w:ascii="Calibri" w:hAnsi="Calibri" w:cs="Calibri"/>
        </w:rPr>
      </w:pPr>
      <w:r>
        <w:rPr>
          <w:rFonts w:ascii="Calibri" w:hAnsi="Calibri" w:cs="Calibri"/>
        </w:rPr>
        <w:t>Execution and stakeholder engagement</w:t>
      </w:r>
    </w:p>
    <w:p w14:paraId="1A9C069C" w14:textId="0F3E832E" w:rsidR="004673FD" w:rsidRDefault="004673FD" w:rsidP="00C07A0A">
      <w:pPr>
        <w:jc w:val="both"/>
        <w:rPr>
          <w:rStyle w:val="normaltextrun"/>
          <w:rFonts w:ascii="Calibri" w:eastAsiaTheme="majorEastAsia" w:hAnsi="Calibri" w:cs="Calibri"/>
          <w:color w:val="000000" w:themeColor="text1"/>
        </w:rPr>
      </w:pPr>
      <w:r>
        <w:rPr>
          <w:rStyle w:val="normaltextrun"/>
          <w:rFonts w:ascii="Calibri" w:eastAsiaTheme="majorEastAsia" w:hAnsi="Calibri" w:cs="Calibri"/>
          <w:b/>
          <w:color w:val="000000" w:themeColor="text1"/>
        </w:rPr>
        <w:t>National:</w:t>
      </w:r>
      <w:r>
        <w:rPr>
          <w:rStyle w:val="normaltextrun"/>
          <w:rFonts w:ascii="Calibri" w:eastAsiaTheme="majorEastAsia" w:hAnsi="Calibri" w:cs="Calibri"/>
          <w:color w:val="000000" w:themeColor="text1"/>
        </w:rPr>
        <w:t xml:space="preserve"> The project established effective stakeholder engagement, coordination and partnership systems in national contexts. The broad flexibility to tailor and co-design country-level activities under Outcomes 1-3 enabled alignment with national and sub-national stakeholder needs and priorities.  Project steering committees/TWGs were established in all countries with strong MOH representation and participation. Initially, these groups were focussed on project activities but the findings from the evaluation indicate that there has been a successful evolution of responsibilities for broader HNAP/climate and health activities. One national stakeholder highlighted the climate leadership and advocacy this has facilitated within MOH, having worked hard to “</w:t>
      </w:r>
      <w:r>
        <w:rPr>
          <w:rStyle w:val="normaltextrun"/>
          <w:rFonts w:ascii="Calibri" w:eastAsiaTheme="majorEastAsia" w:hAnsi="Calibri" w:cs="Calibri"/>
          <w:i/>
          <w:iCs/>
          <w:color w:val="000000" w:themeColor="text1"/>
        </w:rPr>
        <w:t>influence areas of government that are usually beyond their remit of sphere of influence</w:t>
      </w:r>
      <w:r>
        <w:rPr>
          <w:rStyle w:val="normaltextrun"/>
          <w:rFonts w:ascii="Calibri" w:eastAsiaTheme="majorEastAsia" w:hAnsi="Calibri" w:cs="Calibri"/>
          <w:color w:val="000000" w:themeColor="text1"/>
        </w:rPr>
        <w:t xml:space="preserve">” </w:t>
      </w:r>
      <w:r>
        <w:rPr>
          <w:rStyle w:val="normaltextrun"/>
          <w:rFonts w:ascii="Calibri" w:eastAsiaTheme="majorEastAsia" w:hAnsi="Calibri" w:cs="Calibri"/>
          <w:i/>
          <w:color w:val="000000" w:themeColor="text1"/>
        </w:rPr>
        <w:t>(KS#4).</w:t>
      </w:r>
      <w:r>
        <w:rPr>
          <w:rStyle w:val="normaltextrun"/>
          <w:rFonts w:ascii="Calibri" w:eastAsiaTheme="majorEastAsia" w:hAnsi="Calibri" w:cs="Calibri"/>
          <w:color w:val="000000" w:themeColor="text1"/>
        </w:rPr>
        <w:t xml:space="preserve"> </w:t>
      </w:r>
      <w:r w:rsidR="000D51F1">
        <w:rPr>
          <w:rStyle w:val="normaltextrun"/>
          <w:rFonts w:ascii="Calibri" w:eastAsiaTheme="majorEastAsia" w:hAnsi="Calibri" w:cs="Calibri"/>
          <w:color w:val="000000" w:themeColor="text1"/>
        </w:rPr>
        <w:t>L</w:t>
      </w:r>
      <w:r w:rsidRPr="003445E8">
        <w:rPr>
          <w:rStyle w:val="normaltextrun"/>
          <w:rFonts w:ascii="Calibri" w:eastAsiaTheme="majorEastAsia" w:hAnsi="Calibri" w:cs="Calibri"/>
          <w:color w:val="000000" w:themeColor="text1"/>
        </w:rPr>
        <w:t>onger</w:t>
      </w:r>
      <w:r>
        <w:rPr>
          <w:rStyle w:val="normaltextrun"/>
          <w:rFonts w:ascii="Calibri" w:eastAsiaTheme="majorEastAsia" w:hAnsi="Calibri" w:cs="Calibri"/>
          <w:color w:val="000000" w:themeColor="text1"/>
        </w:rPr>
        <w:t>-term implementation under these groups requires continued support for project activities and, although not guaranteed or budgeted in all countries, the GEF project outcomes provide a solid foundation for funding proposals</w:t>
      </w:r>
      <w:r w:rsidRPr="7724665A">
        <w:rPr>
          <w:rStyle w:val="normaltextrun"/>
          <w:rFonts w:ascii="Calibri" w:eastAsiaTheme="majorEastAsia" w:hAnsi="Calibri" w:cs="Calibri"/>
          <w:color w:val="000000" w:themeColor="text1"/>
        </w:rPr>
        <w:t xml:space="preserve"> and advocacy for the increased availability of international climate finance of health. </w:t>
      </w:r>
    </w:p>
    <w:p w14:paraId="6EB6510E" w14:textId="77777777" w:rsidR="004673FD" w:rsidRDefault="004673FD" w:rsidP="00C07A0A">
      <w:pPr>
        <w:jc w:val="both"/>
        <w:rPr>
          <w:rStyle w:val="normaltextrun"/>
          <w:rFonts w:ascii="Calibri" w:eastAsiaTheme="majorEastAsia" w:hAnsi="Calibri" w:cs="Calibri"/>
          <w:color w:val="000000" w:themeColor="text1"/>
        </w:rPr>
      </w:pPr>
    </w:p>
    <w:p w14:paraId="635083BD" w14:textId="77777777" w:rsidR="004673FD" w:rsidRDefault="004673FD" w:rsidP="00C07A0A">
      <w:pPr>
        <w:jc w:val="both"/>
        <w:rPr>
          <w:rStyle w:val="normaltextrun"/>
          <w:rFonts w:ascii="Calibri" w:eastAsiaTheme="majorEastAsia" w:hAnsi="Calibri" w:cs="Calibri"/>
          <w:color w:val="000000" w:themeColor="text1"/>
        </w:rPr>
      </w:pPr>
      <w:r>
        <w:rPr>
          <w:rStyle w:val="normaltextrun"/>
          <w:rFonts w:ascii="Calibri" w:eastAsiaTheme="majorEastAsia" w:hAnsi="Calibri" w:cs="Calibri"/>
          <w:color w:val="000000" w:themeColor="text1"/>
        </w:rPr>
        <w:t xml:space="preserve">The project was described as encouraging </w:t>
      </w:r>
      <w:r>
        <w:rPr>
          <w:rStyle w:val="normaltextrun"/>
          <w:rFonts w:ascii="Calibri" w:eastAsiaTheme="majorEastAsia" w:hAnsi="Calibri" w:cs="Calibri"/>
          <w:i/>
          <w:color w:val="000000" w:themeColor="text1"/>
        </w:rPr>
        <w:t xml:space="preserve">"multi-sectoral engagement" </w:t>
      </w:r>
      <w:r>
        <w:rPr>
          <w:rStyle w:val="normaltextrun"/>
          <w:rFonts w:ascii="Calibri" w:eastAsiaTheme="majorEastAsia" w:hAnsi="Calibri" w:cs="Calibri"/>
          <w:i/>
          <w:iCs/>
          <w:color w:val="000000" w:themeColor="text1"/>
        </w:rPr>
        <w:t xml:space="preserve">(KS#5) </w:t>
      </w:r>
      <w:r>
        <w:rPr>
          <w:rStyle w:val="normaltextrun"/>
          <w:rFonts w:ascii="Calibri" w:eastAsiaTheme="majorEastAsia" w:hAnsi="Calibri" w:cs="Calibri"/>
          <w:color w:val="000000" w:themeColor="text1"/>
        </w:rPr>
        <w:t xml:space="preserve">within countries between MOH and other Ministries, which is an important foundation for future efforts to integrate health and climate adaptation actions. Governance structures such as MOUs for data sharing and collaboration towards integrated surveillance systems have been established and will continue beyond the life of the project, enabling sustainability and ongoing impact. </w:t>
      </w:r>
    </w:p>
    <w:p w14:paraId="22DADB07" w14:textId="77777777" w:rsidR="004673FD" w:rsidRDefault="004673FD" w:rsidP="00C07A0A">
      <w:pPr>
        <w:jc w:val="both"/>
        <w:rPr>
          <w:rStyle w:val="normaltextrun"/>
          <w:rFonts w:ascii="Calibri" w:eastAsiaTheme="majorEastAsia" w:hAnsi="Calibri" w:cs="Calibri"/>
          <w:color w:val="000000" w:themeColor="text1"/>
        </w:rPr>
      </w:pPr>
    </w:p>
    <w:p w14:paraId="41116E90" w14:textId="77777777" w:rsidR="004673FD" w:rsidRDefault="004673FD" w:rsidP="00C07A0A">
      <w:pPr>
        <w:jc w:val="both"/>
        <w:rPr>
          <w:rStyle w:val="normaltextrun"/>
          <w:rFonts w:ascii="Calibri" w:eastAsiaTheme="majorEastAsia" w:hAnsi="Calibri" w:cs="Calibri"/>
          <w:color w:val="000000" w:themeColor="text1"/>
        </w:rPr>
      </w:pPr>
      <w:r>
        <w:rPr>
          <w:rStyle w:val="normaltextrun"/>
          <w:rFonts w:ascii="Calibri" w:eastAsiaTheme="majorEastAsia" w:hAnsi="Calibri" w:cs="Calibri"/>
          <w:b/>
          <w:color w:val="000000" w:themeColor="text1"/>
        </w:rPr>
        <w:t>Implementing partner execution</w:t>
      </w:r>
      <w:r>
        <w:rPr>
          <w:rStyle w:val="normaltextrun"/>
          <w:rFonts w:ascii="Calibri" w:eastAsiaTheme="majorEastAsia" w:hAnsi="Calibri" w:cs="Calibri"/>
          <w:color w:val="000000" w:themeColor="text1"/>
        </w:rPr>
        <w:t xml:space="preserve">: The WHO CO have leveraged their well-established institutional networks with MOH to support successful implementation of project activities. Multiple MOH stakeholders highlighted strong partnerships with WHO and appreciation that GEF funds could be targeted towards locally-driven priorities and activities under country-level outcomes through Direct Financial Contributions (DFC). </w:t>
      </w:r>
    </w:p>
    <w:p w14:paraId="54CB6E0B" w14:textId="77777777" w:rsidR="004673FD" w:rsidRDefault="004673FD" w:rsidP="00C07A0A">
      <w:pPr>
        <w:jc w:val="both"/>
        <w:rPr>
          <w:rStyle w:val="normaltextrun"/>
          <w:rFonts w:ascii="Calibri" w:eastAsiaTheme="majorEastAsia" w:hAnsi="Calibri" w:cs="Calibri"/>
          <w:color w:val="000000" w:themeColor="text1"/>
        </w:rPr>
      </w:pPr>
    </w:p>
    <w:p w14:paraId="1B496CC5" w14:textId="66267FA7" w:rsidR="004673FD" w:rsidRDefault="004673FD" w:rsidP="00C07A0A">
      <w:pPr>
        <w:jc w:val="both"/>
        <w:rPr>
          <w:rStyle w:val="normaltextrun"/>
          <w:rFonts w:ascii="Calibri" w:eastAsiaTheme="majorEastAsia" w:hAnsi="Calibri" w:cs="Calibri"/>
          <w:color w:val="000000" w:themeColor="text1"/>
        </w:rPr>
      </w:pPr>
      <w:r>
        <w:rPr>
          <w:rStyle w:val="normaltextrun"/>
          <w:rFonts w:ascii="Calibri" w:eastAsiaTheme="majorEastAsia" w:hAnsi="Calibri" w:cs="Calibri"/>
          <w:b/>
          <w:color w:val="000000" w:themeColor="text1"/>
        </w:rPr>
        <w:t>UNDP/WHO engagement and oversight:</w:t>
      </w:r>
      <w:r>
        <w:rPr>
          <w:rStyle w:val="normaltextrun"/>
          <w:rFonts w:ascii="Calibri" w:eastAsiaTheme="majorEastAsia" w:hAnsi="Calibri" w:cs="Calibri"/>
          <w:color w:val="000000" w:themeColor="text1"/>
        </w:rPr>
        <w:t xml:space="preserve"> Overall coordination between UNDP and WHO was supported by annual project board meetings and reporting cycles which enabled joint learning and implementation monitoring. COs were supported by RO and HQ teams to manage implementation challenges and reporting needs. The evaluation found that there was </w:t>
      </w:r>
      <w:r>
        <w:rPr>
          <w:rStyle w:val="normaltextrun"/>
          <w:rFonts w:ascii="Calibri" w:eastAsiaTheme="majorEastAsia" w:hAnsi="Calibri" w:cs="Calibri"/>
          <w:color w:val="000000" w:themeColor="text1"/>
        </w:rPr>
        <w:lastRenderedPageBreak/>
        <w:t>inconsistent engagement with UNDP within countries, beyond general input and invitations to relevant consultation meetings, potentially reflecting UNDP CO staff turnover (which was identified as a challenge during the MTR). Some countries described good coordination with UNDP COs but there was a general lack of clarity about implementation priorities, particularly under Outcome 4.2. This may have limited progress on integration of HNAPs with NAP processes, especially given Outcome 4 was not otherwise embedded in country-level results frameworks or activities.</w:t>
      </w:r>
    </w:p>
    <w:p w14:paraId="75070FB7" w14:textId="77777777" w:rsidR="002B060A" w:rsidRDefault="002B060A" w:rsidP="00C07A0A">
      <w:pPr>
        <w:jc w:val="both"/>
        <w:rPr>
          <w:rStyle w:val="normaltextrun"/>
          <w:rFonts w:ascii="Calibri" w:eastAsiaTheme="majorEastAsia" w:hAnsi="Calibri" w:cs="Calibri"/>
          <w:color w:val="000000" w:themeColor="text1"/>
        </w:rPr>
      </w:pPr>
    </w:p>
    <w:p w14:paraId="75070FB8" w14:textId="77777777" w:rsidR="002B060A" w:rsidRDefault="006040A7" w:rsidP="00C07A0A">
      <w:pPr>
        <w:pStyle w:val="Heading4"/>
        <w:rPr>
          <w:rFonts w:ascii="Calibri" w:hAnsi="Calibri" w:cs="Calibri"/>
        </w:rPr>
      </w:pPr>
      <w:r>
        <w:rPr>
          <w:rFonts w:ascii="Calibri" w:hAnsi="Calibri" w:cs="Calibri"/>
        </w:rPr>
        <w:t>Project Finance and Co-finance </w:t>
      </w:r>
    </w:p>
    <w:p w14:paraId="75070FB9" w14:textId="77777777" w:rsidR="002B060A" w:rsidRDefault="006040A7" w:rsidP="00C07A0A">
      <w:pPr>
        <w:jc w:val="both"/>
        <w:rPr>
          <w:rStyle w:val="normaltextrun"/>
          <w:rFonts w:ascii="Calibri" w:eastAsiaTheme="majorEastAsia" w:hAnsi="Calibri" w:cs="Calibri"/>
        </w:rPr>
      </w:pPr>
      <w:r>
        <w:rPr>
          <w:rStyle w:val="normaltextrun"/>
          <w:rFonts w:ascii="Calibri" w:eastAsiaTheme="majorEastAsia" w:hAnsi="Calibri" w:cs="Calibri"/>
        </w:rPr>
        <w:t xml:space="preserve">Based on available expenditure data, the project appears to have underspent across all budget components (see </w:t>
      </w:r>
      <w:r>
        <w:rPr>
          <w:rStyle w:val="normaltextrun"/>
          <w:rFonts w:ascii="Calibri" w:eastAsiaTheme="majorEastAsia" w:hAnsi="Calibri" w:cs="Calibri"/>
          <w:b/>
        </w:rPr>
        <w:t>Table 4</w:t>
      </w:r>
      <w:r>
        <w:rPr>
          <w:rStyle w:val="normaltextrun"/>
          <w:rFonts w:ascii="Calibri" w:eastAsiaTheme="majorEastAsia" w:hAnsi="Calibri" w:cs="Calibri"/>
        </w:rPr>
        <w:t xml:space="preserve">). The TE overlapped with the final reporting period (23/24 Financial Year) and hence acquittal information for the final 12-month implementation period was not available for inclusion in the TE report. </w:t>
      </w:r>
    </w:p>
    <w:p w14:paraId="75070FBA" w14:textId="77777777" w:rsidR="002B060A" w:rsidRDefault="002B060A" w:rsidP="00C07A0A">
      <w:pPr>
        <w:jc w:val="both"/>
        <w:rPr>
          <w:rStyle w:val="normaltextrun"/>
          <w:rFonts w:ascii="Calibri" w:eastAsiaTheme="majorEastAsia" w:hAnsi="Calibri" w:cs="Calibri"/>
        </w:rPr>
      </w:pPr>
    </w:p>
    <w:p w14:paraId="75070FBB" w14:textId="1B46EEDD" w:rsidR="002B060A" w:rsidRDefault="006040A7" w:rsidP="00C07A0A">
      <w:pPr>
        <w:jc w:val="both"/>
        <w:rPr>
          <w:rStyle w:val="normaltextrun"/>
          <w:rFonts w:ascii="Calibri" w:eastAsiaTheme="majorEastAsia" w:hAnsi="Calibri" w:cs="Calibri"/>
        </w:rPr>
      </w:pPr>
      <w:r>
        <w:rPr>
          <w:rStyle w:val="normaltextrun"/>
          <w:rFonts w:ascii="Calibri" w:eastAsiaTheme="majorEastAsia" w:hAnsi="Calibri" w:cs="Calibri"/>
        </w:rPr>
        <w:t xml:space="preserve">Regardless of final acquittal status, the project had accrued a significant underspend at commencement of the final year (&gt;45% as of July 2023). Expenditure rate also appears to have varied across outcome and project management activities, with Project Management Unit (PMU) fund utilisation </w:t>
      </w:r>
      <w:r w:rsidR="001D1395">
        <w:rPr>
          <w:rStyle w:val="normaltextrun"/>
          <w:rFonts w:ascii="Calibri" w:eastAsiaTheme="majorEastAsia" w:hAnsi="Calibri" w:cs="Calibri"/>
        </w:rPr>
        <w:t xml:space="preserve">rate </w:t>
      </w:r>
      <w:r>
        <w:rPr>
          <w:rStyle w:val="normaltextrun"/>
          <w:rFonts w:ascii="Calibri" w:eastAsiaTheme="majorEastAsia" w:hAnsi="Calibri" w:cs="Calibri"/>
        </w:rPr>
        <w:t>the lowest overall. This may partly reflect initial commencement and COVID-19 related implementation delays and significant in-kind investments (</w:t>
      </w:r>
      <w:r>
        <w:rPr>
          <w:rStyle w:val="normaltextrun"/>
          <w:rFonts w:ascii="Calibri" w:eastAsiaTheme="majorEastAsia" w:hAnsi="Calibri" w:cs="Calibri"/>
          <w:b/>
          <w:bCs/>
        </w:rPr>
        <w:t>Table 5</w:t>
      </w:r>
      <w:r>
        <w:rPr>
          <w:rStyle w:val="normaltextrun"/>
          <w:rFonts w:ascii="Calibri" w:eastAsiaTheme="majorEastAsia" w:hAnsi="Calibri" w:cs="Calibri"/>
        </w:rPr>
        <w:t xml:space="preserve">). The most recent annual report and stakeholder interviews indicate significant acceleration was planned for the final year of implementation and that the multi-year project budget is on-track for full acquittal, but this was not possible to verify independently.  </w:t>
      </w:r>
    </w:p>
    <w:p w14:paraId="75070FBC"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75070FBD"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color w:val="000000" w:themeColor="text1"/>
        </w:rPr>
        <w:t xml:space="preserve">Table 4.  Project Finance </w:t>
      </w:r>
    </w:p>
    <w:p w14:paraId="75070FBE"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b/>
          <w:color w:val="156082" w:themeColor="accent1"/>
        </w:rPr>
      </w:pPr>
    </w:p>
    <w:tbl>
      <w:tblPr>
        <w:tblStyle w:val="TableGrid"/>
        <w:tblW w:w="0" w:type="auto"/>
        <w:tblLook w:val="04A0" w:firstRow="1" w:lastRow="0" w:firstColumn="1" w:lastColumn="0" w:noHBand="0" w:noVBand="1"/>
      </w:tblPr>
      <w:tblGrid>
        <w:gridCol w:w="1803"/>
        <w:gridCol w:w="1803"/>
        <w:gridCol w:w="1803"/>
        <w:gridCol w:w="1803"/>
        <w:gridCol w:w="1804"/>
      </w:tblGrid>
      <w:tr w:rsidR="00CB0E8D" w14:paraId="75070FC4" w14:textId="77777777" w:rsidTr="000440B5">
        <w:tc>
          <w:tcPr>
            <w:tcW w:w="1803" w:type="dxa"/>
            <w:shd w:val="clear" w:color="auto" w:fill="DAE9F7" w:themeFill="text2" w:themeFillTint="1A"/>
          </w:tcPr>
          <w:p w14:paraId="75070FBF"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b/>
                <w:color w:val="156082" w:themeColor="accent1"/>
                <w:sz w:val="22"/>
                <w:szCs w:val="22"/>
              </w:rPr>
            </w:pPr>
          </w:p>
        </w:tc>
        <w:tc>
          <w:tcPr>
            <w:tcW w:w="1803" w:type="dxa"/>
            <w:shd w:val="clear" w:color="auto" w:fill="DAE9F7" w:themeFill="text2" w:themeFillTint="1A"/>
          </w:tcPr>
          <w:p w14:paraId="75070FC0"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Fonts w:ascii="Calibri" w:eastAsiaTheme="majorEastAsia" w:hAnsi="Calibri" w:cs="Calibri"/>
                <w:b/>
                <w:color w:val="000000" w:themeColor="text1"/>
                <w:sz w:val="22"/>
                <w:szCs w:val="22"/>
              </w:rPr>
              <w:t>Budget amount (USD) (total for 4 years)</w:t>
            </w:r>
          </w:p>
        </w:tc>
        <w:tc>
          <w:tcPr>
            <w:tcW w:w="1803" w:type="dxa"/>
            <w:shd w:val="clear" w:color="auto" w:fill="DAE9F7" w:themeFill="text2" w:themeFillTint="1A"/>
          </w:tcPr>
          <w:p w14:paraId="75070FC1"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Fonts w:ascii="Calibri" w:eastAsiaTheme="majorEastAsia" w:hAnsi="Calibri" w:cs="Calibri"/>
                <w:b/>
                <w:color w:val="000000" w:themeColor="text1"/>
                <w:sz w:val="22"/>
                <w:szCs w:val="22"/>
              </w:rPr>
              <w:t>Expenditure (USD) (As 30 June 2021) - MTR</w:t>
            </w:r>
          </w:p>
        </w:tc>
        <w:tc>
          <w:tcPr>
            <w:tcW w:w="1803" w:type="dxa"/>
            <w:shd w:val="clear" w:color="auto" w:fill="DAE9F7" w:themeFill="text2" w:themeFillTint="1A"/>
          </w:tcPr>
          <w:p w14:paraId="75070FC2"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Fonts w:ascii="Calibri" w:eastAsiaTheme="majorEastAsia" w:hAnsi="Calibri" w:cs="Calibri"/>
                <w:b/>
                <w:color w:val="000000" w:themeColor="text1"/>
                <w:sz w:val="22"/>
                <w:szCs w:val="22"/>
              </w:rPr>
              <w:t>Expenditure (USD) (As 30 June 2023)</w:t>
            </w:r>
          </w:p>
        </w:tc>
        <w:tc>
          <w:tcPr>
            <w:tcW w:w="1804" w:type="dxa"/>
            <w:shd w:val="clear" w:color="auto" w:fill="DAE9F7" w:themeFill="text2" w:themeFillTint="1A"/>
          </w:tcPr>
          <w:p w14:paraId="75070FC3"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Fonts w:ascii="Calibri" w:eastAsiaTheme="majorEastAsia" w:hAnsi="Calibri" w:cs="Calibri"/>
                <w:b/>
                <w:color w:val="000000" w:themeColor="text1"/>
                <w:sz w:val="22"/>
                <w:szCs w:val="22"/>
              </w:rPr>
              <w:t>Budget spent (%) (as of 30 June 2023)</w:t>
            </w:r>
          </w:p>
        </w:tc>
      </w:tr>
      <w:tr w:rsidR="002B060A" w14:paraId="75070FCA" w14:textId="77777777" w:rsidTr="000440B5">
        <w:tc>
          <w:tcPr>
            <w:tcW w:w="1803" w:type="dxa"/>
          </w:tcPr>
          <w:p w14:paraId="75070FC5"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 xml:space="preserve">Outcome 1 </w:t>
            </w:r>
          </w:p>
        </w:tc>
        <w:tc>
          <w:tcPr>
            <w:tcW w:w="1803" w:type="dxa"/>
          </w:tcPr>
          <w:p w14:paraId="75070FC6"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1,907,403</w:t>
            </w:r>
          </w:p>
        </w:tc>
        <w:tc>
          <w:tcPr>
            <w:tcW w:w="1803" w:type="dxa"/>
          </w:tcPr>
          <w:p w14:paraId="75070FC7"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690,301</w:t>
            </w:r>
          </w:p>
        </w:tc>
        <w:tc>
          <w:tcPr>
            <w:tcW w:w="1803" w:type="dxa"/>
          </w:tcPr>
          <w:p w14:paraId="75070FC8"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1,227,838</w:t>
            </w:r>
          </w:p>
        </w:tc>
        <w:tc>
          <w:tcPr>
            <w:tcW w:w="1804" w:type="dxa"/>
          </w:tcPr>
          <w:p w14:paraId="75070FC9"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64.37%</w:t>
            </w:r>
          </w:p>
        </w:tc>
      </w:tr>
      <w:tr w:rsidR="002B060A" w14:paraId="75070FD0" w14:textId="77777777" w:rsidTr="000440B5">
        <w:tc>
          <w:tcPr>
            <w:tcW w:w="1803" w:type="dxa"/>
          </w:tcPr>
          <w:p w14:paraId="75070FCB"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Outcome 2</w:t>
            </w:r>
          </w:p>
        </w:tc>
        <w:tc>
          <w:tcPr>
            <w:tcW w:w="1803" w:type="dxa"/>
          </w:tcPr>
          <w:p w14:paraId="75070FCC"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2,032,893</w:t>
            </w:r>
          </w:p>
        </w:tc>
        <w:tc>
          <w:tcPr>
            <w:tcW w:w="1803" w:type="dxa"/>
          </w:tcPr>
          <w:p w14:paraId="75070FCD"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425,911</w:t>
            </w:r>
          </w:p>
        </w:tc>
        <w:tc>
          <w:tcPr>
            <w:tcW w:w="1803" w:type="dxa"/>
          </w:tcPr>
          <w:p w14:paraId="75070FCE"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700,635</w:t>
            </w:r>
          </w:p>
        </w:tc>
        <w:tc>
          <w:tcPr>
            <w:tcW w:w="1804" w:type="dxa"/>
          </w:tcPr>
          <w:p w14:paraId="75070FCF"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34.46%</w:t>
            </w:r>
          </w:p>
        </w:tc>
      </w:tr>
      <w:tr w:rsidR="002B060A" w14:paraId="75070FD6" w14:textId="77777777" w:rsidTr="000440B5">
        <w:tc>
          <w:tcPr>
            <w:tcW w:w="1803" w:type="dxa"/>
          </w:tcPr>
          <w:p w14:paraId="75070FD1"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Outcome 3</w:t>
            </w:r>
          </w:p>
        </w:tc>
        <w:tc>
          <w:tcPr>
            <w:tcW w:w="1803" w:type="dxa"/>
          </w:tcPr>
          <w:p w14:paraId="75070FD2"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3,039,704</w:t>
            </w:r>
          </w:p>
        </w:tc>
        <w:tc>
          <w:tcPr>
            <w:tcW w:w="1803" w:type="dxa"/>
          </w:tcPr>
          <w:p w14:paraId="75070FD3"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817,894</w:t>
            </w:r>
          </w:p>
        </w:tc>
        <w:tc>
          <w:tcPr>
            <w:tcW w:w="1803" w:type="dxa"/>
          </w:tcPr>
          <w:p w14:paraId="75070FD4"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1,458,681</w:t>
            </w:r>
          </w:p>
        </w:tc>
        <w:tc>
          <w:tcPr>
            <w:tcW w:w="1804" w:type="dxa"/>
          </w:tcPr>
          <w:p w14:paraId="75070FD5"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47.99%</w:t>
            </w:r>
          </w:p>
        </w:tc>
      </w:tr>
      <w:tr w:rsidR="002B060A" w14:paraId="75070FDC" w14:textId="77777777" w:rsidTr="000440B5">
        <w:tc>
          <w:tcPr>
            <w:tcW w:w="1803" w:type="dxa"/>
          </w:tcPr>
          <w:p w14:paraId="75070FD7"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Outcome 4.1</w:t>
            </w:r>
          </w:p>
        </w:tc>
        <w:tc>
          <w:tcPr>
            <w:tcW w:w="1803" w:type="dxa"/>
            <w:vMerge w:val="restart"/>
          </w:tcPr>
          <w:p w14:paraId="75070FD8"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1,200,000</w:t>
            </w:r>
          </w:p>
        </w:tc>
        <w:tc>
          <w:tcPr>
            <w:tcW w:w="1803" w:type="dxa"/>
          </w:tcPr>
          <w:p w14:paraId="75070FD9"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496,116</w:t>
            </w:r>
          </w:p>
        </w:tc>
        <w:tc>
          <w:tcPr>
            <w:tcW w:w="1803" w:type="dxa"/>
            <w:vMerge w:val="restart"/>
          </w:tcPr>
          <w:p w14:paraId="75070FDA"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742,533</w:t>
            </w:r>
          </w:p>
        </w:tc>
        <w:tc>
          <w:tcPr>
            <w:tcW w:w="1804" w:type="dxa"/>
            <w:vMerge w:val="restart"/>
          </w:tcPr>
          <w:p w14:paraId="75070FDB"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61.88%</w:t>
            </w:r>
          </w:p>
        </w:tc>
      </w:tr>
      <w:tr w:rsidR="002B060A" w14:paraId="75070FE2" w14:textId="77777777" w:rsidTr="000440B5">
        <w:tc>
          <w:tcPr>
            <w:tcW w:w="1803" w:type="dxa"/>
          </w:tcPr>
          <w:p w14:paraId="75070FDD"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Outcome 4.2</w:t>
            </w:r>
          </w:p>
        </w:tc>
        <w:tc>
          <w:tcPr>
            <w:tcW w:w="1803" w:type="dxa"/>
            <w:vMerge/>
          </w:tcPr>
          <w:p w14:paraId="75070FDE"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p>
        </w:tc>
        <w:tc>
          <w:tcPr>
            <w:tcW w:w="1803" w:type="dxa"/>
          </w:tcPr>
          <w:p w14:paraId="75070FDF"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51,504</w:t>
            </w:r>
          </w:p>
        </w:tc>
        <w:tc>
          <w:tcPr>
            <w:tcW w:w="1803" w:type="dxa"/>
            <w:vMerge/>
          </w:tcPr>
          <w:p w14:paraId="75070FE0"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p>
        </w:tc>
        <w:tc>
          <w:tcPr>
            <w:tcW w:w="1804" w:type="dxa"/>
            <w:vMerge/>
          </w:tcPr>
          <w:p w14:paraId="75070FE1"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p>
        </w:tc>
      </w:tr>
      <w:tr w:rsidR="002B060A" w14:paraId="75070FE8" w14:textId="77777777" w:rsidTr="000440B5">
        <w:tc>
          <w:tcPr>
            <w:tcW w:w="1803" w:type="dxa"/>
          </w:tcPr>
          <w:p w14:paraId="75070FE3"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 xml:space="preserve">PMU </w:t>
            </w:r>
          </w:p>
        </w:tc>
        <w:tc>
          <w:tcPr>
            <w:tcW w:w="1803" w:type="dxa"/>
          </w:tcPr>
          <w:p w14:paraId="75070FE4"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416,000</w:t>
            </w:r>
          </w:p>
        </w:tc>
        <w:tc>
          <w:tcPr>
            <w:tcW w:w="1803" w:type="dxa"/>
          </w:tcPr>
          <w:p w14:paraId="75070FE5"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24,253</w:t>
            </w:r>
          </w:p>
        </w:tc>
        <w:tc>
          <w:tcPr>
            <w:tcW w:w="1803" w:type="dxa"/>
          </w:tcPr>
          <w:p w14:paraId="75070FE6"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131,324</w:t>
            </w:r>
          </w:p>
        </w:tc>
        <w:tc>
          <w:tcPr>
            <w:tcW w:w="1804" w:type="dxa"/>
          </w:tcPr>
          <w:p w14:paraId="75070FE7"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31.57%</w:t>
            </w:r>
          </w:p>
        </w:tc>
      </w:tr>
      <w:tr w:rsidR="00CB0E8D" w14:paraId="75070FEE" w14:textId="77777777" w:rsidTr="000440B5">
        <w:tc>
          <w:tcPr>
            <w:tcW w:w="1803" w:type="dxa"/>
            <w:shd w:val="clear" w:color="auto" w:fill="FFFFFF" w:themeFill="background1"/>
          </w:tcPr>
          <w:p w14:paraId="75070FE9"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PSC</w:t>
            </w:r>
          </w:p>
        </w:tc>
        <w:tc>
          <w:tcPr>
            <w:tcW w:w="1803" w:type="dxa"/>
            <w:shd w:val="clear" w:color="auto" w:fill="FFFFFF" w:themeFill="background1"/>
          </w:tcPr>
          <w:p w14:paraId="75070FEA"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156082" w:themeColor="accent1"/>
                <w:sz w:val="22"/>
                <w:szCs w:val="22"/>
              </w:rPr>
            </w:pPr>
            <w:r>
              <w:rPr>
                <w:rStyle w:val="normaltextrun"/>
                <w:rFonts w:ascii="Calibri" w:eastAsiaTheme="majorEastAsia" w:hAnsi="Calibri" w:cs="Calibri"/>
                <w:color w:val="000000" w:themeColor="text1"/>
                <w:sz w:val="22"/>
                <w:szCs w:val="22"/>
              </w:rPr>
              <w:t>-</w:t>
            </w:r>
          </w:p>
        </w:tc>
        <w:tc>
          <w:tcPr>
            <w:tcW w:w="1803" w:type="dxa"/>
            <w:shd w:val="clear" w:color="auto" w:fill="FFFFFF" w:themeFill="background1"/>
          </w:tcPr>
          <w:p w14:paraId="75070FEB"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67,492</w:t>
            </w:r>
          </w:p>
        </w:tc>
        <w:tc>
          <w:tcPr>
            <w:tcW w:w="1803" w:type="dxa"/>
            <w:shd w:val="clear" w:color="auto" w:fill="FFFFFF" w:themeFill="background1"/>
          </w:tcPr>
          <w:p w14:paraId="75070FEC"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color w:val="000000" w:themeColor="text1"/>
                <w:sz w:val="22"/>
                <w:szCs w:val="22"/>
              </w:rPr>
            </w:pPr>
            <w:r>
              <w:rPr>
                <w:rStyle w:val="normaltextrun"/>
                <w:rFonts w:ascii="Calibri" w:eastAsiaTheme="majorEastAsia" w:hAnsi="Calibri" w:cs="Calibri"/>
                <w:color w:val="000000" w:themeColor="text1"/>
                <w:sz w:val="22"/>
                <w:szCs w:val="22"/>
              </w:rPr>
              <w:t>343,236</w:t>
            </w:r>
          </w:p>
        </w:tc>
        <w:tc>
          <w:tcPr>
            <w:tcW w:w="1804" w:type="dxa"/>
            <w:shd w:val="clear" w:color="auto" w:fill="FFFFFF" w:themeFill="background1"/>
          </w:tcPr>
          <w:p w14:paraId="75070FED"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156082" w:themeColor="accent1"/>
                <w:sz w:val="22"/>
                <w:szCs w:val="22"/>
              </w:rPr>
            </w:pPr>
          </w:p>
        </w:tc>
      </w:tr>
      <w:tr w:rsidR="00CB0E8D" w14:paraId="75070FF4" w14:textId="77777777" w:rsidTr="000440B5">
        <w:tc>
          <w:tcPr>
            <w:tcW w:w="1803" w:type="dxa"/>
            <w:shd w:val="clear" w:color="auto" w:fill="D1D1D1" w:themeFill="background2" w:themeFillShade="E6"/>
          </w:tcPr>
          <w:p w14:paraId="75070FEF"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 xml:space="preserve">Project Total </w:t>
            </w:r>
          </w:p>
        </w:tc>
        <w:tc>
          <w:tcPr>
            <w:tcW w:w="1803" w:type="dxa"/>
            <w:shd w:val="clear" w:color="auto" w:fill="D1D1D1" w:themeFill="background2" w:themeFillShade="E6"/>
          </w:tcPr>
          <w:p w14:paraId="75070FF0"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156082" w:themeColor="accent1"/>
                <w:sz w:val="22"/>
                <w:szCs w:val="22"/>
              </w:rPr>
            </w:pPr>
            <w:r>
              <w:rPr>
                <w:rStyle w:val="normaltextrun"/>
                <w:rFonts w:ascii="Calibri" w:eastAsiaTheme="majorEastAsia" w:hAnsi="Calibri" w:cs="Calibri"/>
                <w:b/>
                <w:color w:val="000000" w:themeColor="text1"/>
                <w:sz w:val="22"/>
                <w:szCs w:val="22"/>
              </w:rPr>
              <w:t>8,596,000</w:t>
            </w:r>
          </w:p>
        </w:tc>
        <w:tc>
          <w:tcPr>
            <w:tcW w:w="1803" w:type="dxa"/>
            <w:shd w:val="clear" w:color="auto" w:fill="D1D1D1" w:themeFill="background2" w:themeFillShade="E6"/>
          </w:tcPr>
          <w:p w14:paraId="75070FF1"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2,506,258</w:t>
            </w:r>
          </w:p>
        </w:tc>
        <w:tc>
          <w:tcPr>
            <w:tcW w:w="1803" w:type="dxa"/>
            <w:shd w:val="clear" w:color="auto" w:fill="D1D1D1" w:themeFill="background2" w:themeFillShade="E6"/>
          </w:tcPr>
          <w:p w14:paraId="75070FF2"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4,604,247</w:t>
            </w:r>
          </w:p>
        </w:tc>
        <w:tc>
          <w:tcPr>
            <w:tcW w:w="1804" w:type="dxa"/>
            <w:shd w:val="clear" w:color="auto" w:fill="D1D1D1" w:themeFill="background2" w:themeFillShade="E6"/>
          </w:tcPr>
          <w:p w14:paraId="75070FF3"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53.56%</w:t>
            </w:r>
          </w:p>
        </w:tc>
      </w:tr>
    </w:tbl>
    <w:p w14:paraId="75070FF5"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156082" w:themeColor="accent1"/>
        </w:rPr>
      </w:pPr>
    </w:p>
    <w:p w14:paraId="75070FF6"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75070FF7" w14:textId="77777777" w:rsidR="002B060A" w:rsidRDefault="006040A7" w:rsidP="00C07A0A">
      <w:pPr>
        <w:pStyle w:val="paragraph"/>
        <w:suppressAutoHyphens/>
        <w:spacing w:before="0" w:beforeAutospacing="0" w:after="0" w:afterAutospacing="0"/>
        <w:rPr>
          <w:rStyle w:val="normaltextrun"/>
          <w:rFonts w:ascii="Calibri" w:eastAsiaTheme="majorEastAsia" w:hAnsi="Calibri" w:cs="Calibri"/>
          <w:b/>
          <w:color w:val="000000" w:themeColor="text1"/>
        </w:rPr>
      </w:pPr>
      <w:r>
        <w:rPr>
          <w:rStyle w:val="normaltextrun"/>
          <w:rFonts w:ascii="Calibri" w:eastAsiaTheme="majorEastAsia" w:hAnsi="Calibri" w:cs="Calibri"/>
          <w:b/>
          <w:color w:val="000000" w:themeColor="text1"/>
        </w:rPr>
        <w:t xml:space="preserve">Table 5. Project Co-Finance </w:t>
      </w:r>
    </w:p>
    <w:p w14:paraId="75070FF8"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b/>
          <w:color w:val="156082" w:themeColor="accent1"/>
        </w:rPr>
      </w:pPr>
    </w:p>
    <w:tbl>
      <w:tblPr>
        <w:tblW w:w="906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8"/>
        <w:gridCol w:w="1843"/>
        <w:gridCol w:w="1134"/>
        <w:gridCol w:w="1276"/>
        <w:gridCol w:w="1275"/>
        <w:gridCol w:w="1134"/>
        <w:gridCol w:w="1134"/>
      </w:tblGrid>
      <w:tr w:rsidR="00C93626" w14:paraId="75071000"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75070FF9" w14:textId="77777777" w:rsidR="002B060A" w:rsidRDefault="006040A7" w:rsidP="00C07A0A">
            <w:pPr>
              <w:spacing w:beforeAutospacing="1" w:afterAutospacing="1"/>
              <w:textAlignment w:val="baseline"/>
              <w:rPr>
                <w:rFonts w:ascii="Calibri" w:hAnsi="Calibri" w:cs="Calibri"/>
                <w:b/>
                <w:color w:val="000000" w:themeColor="text1"/>
                <w:sz w:val="20"/>
                <w:szCs w:val="20"/>
              </w:rPr>
            </w:pPr>
            <w:r>
              <w:rPr>
                <w:rFonts w:ascii="Calibri" w:hAnsi="Calibri" w:cs="Calibri"/>
                <w:b/>
                <w:color w:val="000000" w:themeColor="text1"/>
                <w:sz w:val="20"/>
                <w:szCs w:val="20"/>
              </w:rPr>
              <w:t>Sources of co-financing  </w:t>
            </w:r>
          </w:p>
        </w:tc>
        <w:tc>
          <w:tcPr>
            <w:tcW w:w="1843"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75070FFA" w14:textId="77777777" w:rsidR="002B060A" w:rsidRDefault="006040A7" w:rsidP="00C07A0A">
            <w:pPr>
              <w:spacing w:beforeAutospacing="1" w:afterAutospacing="1"/>
              <w:textAlignment w:val="baseline"/>
              <w:rPr>
                <w:rFonts w:ascii="Calibri" w:hAnsi="Calibri" w:cs="Calibri"/>
                <w:b/>
                <w:color w:val="000000" w:themeColor="text1"/>
                <w:sz w:val="20"/>
                <w:szCs w:val="20"/>
              </w:rPr>
            </w:pPr>
            <w:r>
              <w:rPr>
                <w:rFonts w:ascii="Calibri" w:hAnsi="Calibri" w:cs="Calibri"/>
                <w:b/>
                <w:color w:val="000000" w:themeColor="text1"/>
                <w:sz w:val="20"/>
                <w:szCs w:val="20"/>
              </w:rPr>
              <w:t>Name of co-financer </w:t>
            </w:r>
          </w:p>
        </w:tc>
        <w:tc>
          <w:tcPr>
            <w:tcW w:w="1134"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75070FFB" w14:textId="77777777" w:rsidR="002B060A" w:rsidRDefault="006040A7" w:rsidP="00C07A0A">
            <w:pPr>
              <w:spacing w:beforeAutospacing="1" w:afterAutospacing="1"/>
              <w:textAlignment w:val="baseline"/>
              <w:rPr>
                <w:rFonts w:ascii="Calibri" w:hAnsi="Calibri" w:cs="Calibri"/>
                <w:b/>
                <w:color w:val="000000" w:themeColor="text1"/>
                <w:sz w:val="20"/>
                <w:szCs w:val="20"/>
              </w:rPr>
            </w:pPr>
            <w:r>
              <w:rPr>
                <w:rFonts w:ascii="Calibri" w:hAnsi="Calibri" w:cs="Calibri"/>
                <w:b/>
                <w:color w:val="000000" w:themeColor="text1"/>
                <w:sz w:val="20"/>
                <w:szCs w:val="20"/>
              </w:rPr>
              <w:t>Type of Co-financer  </w:t>
            </w:r>
          </w:p>
        </w:tc>
        <w:tc>
          <w:tcPr>
            <w:tcW w:w="1276"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75070FFC" w14:textId="77777777" w:rsidR="002B060A" w:rsidRDefault="006040A7" w:rsidP="00C07A0A">
            <w:pPr>
              <w:spacing w:beforeAutospacing="1" w:afterAutospacing="1"/>
              <w:textAlignment w:val="baseline"/>
              <w:rPr>
                <w:rFonts w:ascii="Calibri" w:hAnsi="Calibri" w:cs="Calibri"/>
                <w:b/>
                <w:color w:val="000000" w:themeColor="text1"/>
                <w:sz w:val="20"/>
                <w:szCs w:val="20"/>
              </w:rPr>
            </w:pPr>
            <w:r>
              <w:rPr>
                <w:rFonts w:ascii="Calibri" w:hAnsi="Calibri" w:cs="Calibri"/>
                <w:b/>
                <w:color w:val="000000" w:themeColor="text1"/>
                <w:sz w:val="20"/>
                <w:szCs w:val="20"/>
              </w:rPr>
              <w:t>Amount committed at commencement  </w:t>
            </w:r>
          </w:p>
        </w:tc>
        <w:tc>
          <w:tcPr>
            <w:tcW w:w="1275"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75070FFD" w14:textId="77777777" w:rsidR="002B060A" w:rsidRDefault="006040A7" w:rsidP="00C07A0A">
            <w:pPr>
              <w:spacing w:beforeAutospacing="1" w:afterAutospacing="1"/>
              <w:textAlignment w:val="baseline"/>
              <w:rPr>
                <w:rFonts w:ascii="Calibri" w:hAnsi="Calibri" w:cs="Calibri"/>
                <w:b/>
                <w:color w:val="000000" w:themeColor="text1"/>
                <w:sz w:val="20"/>
                <w:szCs w:val="20"/>
              </w:rPr>
            </w:pPr>
            <w:r>
              <w:rPr>
                <w:rFonts w:ascii="Calibri" w:hAnsi="Calibri" w:cs="Calibri"/>
                <w:b/>
                <w:color w:val="000000" w:themeColor="text1"/>
                <w:sz w:val="20"/>
                <w:szCs w:val="20"/>
              </w:rPr>
              <w:t>Actual amount contributed at MTR </w:t>
            </w:r>
          </w:p>
        </w:tc>
        <w:tc>
          <w:tcPr>
            <w:tcW w:w="1134"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75070FFE" w14:textId="77777777" w:rsidR="002B060A" w:rsidRDefault="006040A7" w:rsidP="00C07A0A">
            <w:pPr>
              <w:spacing w:beforeAutospacing="1" w:afterAutospacing="1"/>
              <w:textAlignment w:val="baseline"/>
              <w:rPr>
                <w:rFonts w:ascii="Calibri" w:hAnsi="Calibri" w:cs="Calibri"/>
                <w:b/>
                <w:color w:val="000000" w:themeColor="text1"/>
                <w:sz w:val="20"/>
                <w:szCs w:val="20"/>
              </w:rPr>
            </w:pPr>
            <w:r>
              <w:rPr>
                <w:rFonts w:ascii="Calibri" w:hAnsi="Calibri" w:cs="Calibri"/>
                <w:b/>
                <w:color w:val="000000" w:themeColor="text1"/>
                <w:sz w:val="20"/>
                <w:szCs w:val="20"/>
              </w:rPr>
              <w:t>How much was spent as of June 2023 </w:t>
            </w:r>
          </w:p>
        </w:tc>
        <w:tc>
          <w:tcPr>
            <w:tcW w:w="1134" w:type="dxa"/>
            <w:tcBorders>
              <w:top w:val="single" w:sz="6" w:space="0" w:color="auto"/>
              <w:left w:val="single" w:sz="6" w:space="0" w:color="auto"/>
              <w:bottom w:val="single" w:sz="6" w:space="0" w:color="auto"/>
              <w:right w:val="single" w:sz="6" w:space="0" w:color="auto"/>
            </w:tcBorders>
            <w:shd w:val="clear" w:color="auto" w:fill="DAE9F7" w:themeFill="text2" w:themeFillTint="1A"/>
            <w:hideMark/>
          </w:tcPr>
          <w:p w14:paraId="75070FFF" w14:textId="77777777" w:rsidR="002B060A" w:rsidRDefault="006040A7" w:rsidP="00C07A0A">
            <w:pPr>
              <w:spacing w:beforeAutospacing="1" w:afterAutospacing="1"/>
              <w:textAlignment w:val="baseline"/>
              <w:rPr>
                <w:rFonts w:ascii="Calibri" w:hAnsi="Calibri" w:cs="Calibri"/>
                <w:b/>
                <w:color w:val="000000" w:themeColor="text1"/>
                <w:sz w:val="20"/>
                <w:szCs w:val="20"/>
              </w:rPr>
            </w:pPr>
            <w:r>
              <w:rPr>
                <w:rFonts w:ascii="Calibri" w:hAnsi="Calibri" w:cs="Calibri"/>
                <w:b/>
                <w:color w:val="000000" w:themeColor="text1"/>
                <w:sz w:val="20"/>
                <w:szCs w:val="20"/>
              </w:rPr>
              <w:t>% spent of amount committed </w:t>
            </w:r>
          </w:p>
        </w:tc>
      </w:tr>
      <w:tr w:rsidR="00CB0E8D" w14:paraId="75071008"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4773C03F" w14:textId="618CCF2F" w:rsidR="002B060A" w:rsidRDefault="380355C1" w:rsidP="00C07A0A">
            <w:pPr>
              <w:spacing w:beforeAutospacing="1" w:afterAutospacing="1"/>
              <w:textAlignment w:val="baseline"/>
              <w:rPr>
                <w:rFonts w:ascii="Calibri" w:hAnsi="Calibri" w:cs="Calibri"/>
                <w:color w:val="000000" w:themeColor="text1"/>
                <w:sz w:val="20"/>
                <w:szCs w:val="20"/>
              </w:rPr>
            </w:pPr>
            <w:r w:rsidRPr="5A717AC1">
              <w:rPr>
                <w:rFonts w:ascii="Calibri" w:hAnsi="Calibri" w:cs="Calibri"/>
                <w:color w:val="000000" w:themeColor="text1"/>
                <w:sz w:val="20"/>
                <w:szCs w:val="20"/>
              </w:rPr>
              <w:t xml:space="preserve">Recipient </w:t>
            </w:r>
          </w:p>
          <w:p w14:paraId="75071001" w14:textId="5793652F" w:rsidR="002B060A" w:rsidRDefault="380355C1" w:rsidP="00C07A0A">
            <w:pPr>
              <w:spacing w:beforeAutospacing="1" w:afterAutospacing="1"/>
              <w:textAlignment w:val="baseline"/>
              <w:rPr>
                <w:rFonts w:ascii="Calibri" w:hAnsi="Calibri" w:cs="Calibri"/>
                <w:color w:val="000000" w:themeColor="text1"/>
                <w:sz w:val="20"/>
                <w:szCs w:val="20"/>
              </w:rPr>
            </w:pPr>
            <w:r w:rsidRPr="5A717AC1">
              <w:rPr>
                <w:rFonts w:ascii="Calibri" w:hAnsi="Calibri" w:cs="Calibri"/>
                <w:color w:val="000000" w:themeColor="text1"/>
                <w:sz w:val="20"/>
                <w:szCs w:val="20"/>
              </w:rPr>
              <w:t>country</w:t>
            </w:r>
            <w:r w:rsidR="006040A7" w:rsidRPr="5A717AC1">
              <w:rPr>
                <w:rFonts w:ascii="Calibri" w:hAnsi="Calibri" w:cs="Calibri"/>
                <w:color w:val="000000" w:themeColor="text1"/>
                <w:sz w:val="20"/>
                <w:szCs w:val="20"/>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02"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xml:space="preserve">Bangladesh National Government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03"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04" w14:textId="2EF3A73C"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shd w:val="clear" w:color="auto" w:fill="FFFFFF"/>
              </w:rPr>
              <w:t>5</w:t>
            </w:r>
            <w:r w:rsidR="5030D8EB">
              <w:rPr>
                <w:rFonts w:ascii="Calibri" w:hAnsi="Calibri" w:cs="Calibri"/>
                <w:color w:val="000000" w:themeColor="text1"/>
                <w:sz w:val="20"/>
                <w:szCs w:val="20"/>
                <w:shd w:val="clear" w:color="auto" w:fill="FFFFFF"/>
              </w:rPr>
              <w:t>,</w:t>
            </w:r>
            <w:r>
              <w:rPr>
                <w:rFonts w:ascii="Calibri" w:hAnsi="Calibri" w:cs="Calibri"/>
                <w:color w:val="000000" w:themeColor="text1"/>
                <w:sz w:val="20"/>
                <w:szCs w:val="20"/>
                <w:shd w:val="clear" w:color="auto" w:fill="FFFFFF"/>
              </w:rPr>
              <w:t>300</w:t>
            </w:r>
            <w:r w:rsidR="11694A56">
              <w:rPr>
                <w:rFonts w:ascii="Calibri" w:hAnsi="Calibri" w:cs="Calibri"/>
                <w:color w:val="000000" w:themeColor="text1"/>
                <w:sz w:val="20"/>
                <w:szCs w:val="20"/>
                <w:shd w:val="clear" w:color="auto" w:fill="FFFFFF"/>
              </w:rPr>
              <w:t>,</w:t>
            </w:r>
            <w:r>
              <w:rPr>
                <w:rFonts w:ascii="Calibri" w:hAnsi="Calibri" w:cs="Calibri"/>
                <w:color w:val="000000" w:themeColor="text1"/>
                <w:sz w:val="20"/>
                <w:szCs w:val="20"/>
                <w:shd w:val="clear" w:color="auto" w:fill="FFFFFF"/>
              </w:rPr>
              <w:t>000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05"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shd w:val="clear" w:color="auto" w:fill="FFFFFF"/>
              </w:rPr>
              <w:t>2,226,000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06"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3,710,000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07"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70%</w:t>
            </w:r>
          </w:p>
        </w:tc>
      </w:tr>
      <w:tr w:rsidR="00CB0E8D" w14:paraId="75071010"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09"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lastRenderedPageBreak/>
              <w:t xml:space="preserve">Recipient country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0A"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xml:space="preserve">Cambodia National Government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0B"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Grant</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0C"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2,500,000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0D"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1,050,000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0E"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2,500,000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0F"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100%</w:t>
            </w:r>
          </w:p>
        </w:tc>
      </w:tr>
      <w:tr w:rsidR="00CB0E8D" w14:paraId="75071018"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11"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Recipient country</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12"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xml:space="preserve"> Lao PDR National Government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13"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14"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2,385,200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15"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1,001,784</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16"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1,640,284</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17"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68.77%</w:t>
            </w:r>
          </w:p>
        </w:tc>
      </w:tr>
      <w:tr w:rsidR="00CB0E8D" w14:paraId="75071020"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19"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Recipient country</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1A"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xml:space="preserve">Myanmar National Government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1B"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1C"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3,000,000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1D"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1,260,000</w:t>
            </w:r>
          </w:p>
        </w:tc>
        <w:tc>
          <w:tcPr>
            <w:tcW w:w="1134" w:type="dxa"/>
            <w:tcBorders>
              <w:top w:val="single" w:sz="6" w:space="0" w:color="auto"/>
              <w:left w:val="single" w:sz="6" w:space="0" w:color="auto"/>
              <w:bottom w:val="single" w:sz="6" w:space="0" w:color="auto"/>
              <w:right w:val="single" w:sz="6" w:space="0" w:color="auto"/>
            </w:tcBorders>
            <w:shd w:val="clear" w:color="auto" w:fill="E8E8E8" w:themeFill="background2"/>
            <w:hideMark/>
          </w:tcPr>
          <w:p w14:paraId="7507101E"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NA</w:t>
            </w:r>
          </w:p>
        </w:tc>
        <w:tc>
          <w:tcPr>
            <w:tcW w:w="1134" w:type="dxa"/>
            <w:tcBorders>
              <w:top w:val="single" w:sz="6" w:space="0" w:color="auto"/>
              <w:left w:val="single" w:sz="6" w:space="0" w:color="auto"/>
              <w:bottom w:val="single" w:sz="6" w:space="0" w:color="auto"/>
              <w:right w:val="single" w:sz="6" w:space="0" w:color="auto"/>
            </w:tcBorders>
            <w:shd w:val="clear" w:color="auto" w:fill="E8E8E8" w:themeFill="background2"/>
            <w:hideMark/>
          </w:tcPr>
          <w:p w14:paraId="7507101F"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NA </w:t>
            </w:r>
          </w:p>
        </w:tc>
      </w:tr>
      <w:tr w:rsidR="00CB0E8D" w14:paraId="75071028"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21"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Recipient country</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22"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xml:space="preserve">Nepal National Government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23"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24"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3,300,000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25"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1,386,000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26"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2,669,000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27"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80.88%</w:t>
            </w:r>
          </w:p>
        </w:tc>
      </w:tr>
      <w:tr w:rsidR="00CB0E8D" w14:paraId="75071030"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29"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Recipient country</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2A"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Timor-Leste</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2B"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2C"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1,500,000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2D"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630,000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2E"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1,120,632</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2F"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74.71%</w:t>
            </w:r>
          </w:p>
        </w:tc>
      </w:tr>
      <w:tr w:rsidR="00CB0E8D" w14:paraId="75071038"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31"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Other</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32"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Bangladesh WHO Country Office</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33"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34"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700,000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35"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294,000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36"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608,825</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37"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86.97%</w:t>
            </w:r>
          </w:p>
        </w:tc>
      </w:tr>
      <w:tr w:rsidR="00CB0E8D" w14:paraId="75071040"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39"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Other</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3A"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Lao PDR WHO Country Office</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3B"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3C"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1,036,400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3D"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435,288</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3E"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849,400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3F"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81.96%</w:t>
            </w:r>
          </w:p>
        </w:tc>
      </w:tr>
      <w:tr w:rsidR="00CB0E8D" w14:paraId="75071048"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41"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Other</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42"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Nepal WHO Country Office</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43"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44"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700,000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45"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294,000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46"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630,000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47"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90%</w:t>
            </w:r>
          </w:p>
        </w:tc>
      </w:tr>
      <w:tr w:rsidR="00CB0E8D" w14:paraId="75071050" w14:textId="77777777" w:rsidTr="5A717AC1">
        <w:trPr>
          <w:trHeight w:val="28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49"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Other</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4A"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Timor-Leste WHO Country Office</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4B"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4C"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240,000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4D"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100,800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4E"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210,000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4F"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87.50%</w:t>
            </w:r>
          </w:p>
        </w:tc>
      </w:tr>
      <w:tr w:rsidR="00CB0E8D" w14:paraId="75071058" w14:textId="77777777" w:rsidTr="5A717AC1">
        <w:trPr>
          <w:trHeight w:val="55"/>
        </w:trPr>
        <w:tc>
          <w:tcPr>
            <w:tcW w:w="1268" w:type="dxa"/>
            <w:tcBorders>
              <w:top w:val="single" w:sz="6" w:space="0" w:color="auto"/>
              <w:left w:val="single" w:sz="6" w:space="0" w:color="auto"/>
              <w:bottom w:val="single" w:sz="6" w:space="0" w:color="auto"/>
              <w:right w:val="single" w:sz="6" w:space="0" w:color="auto"/>
            </w:tcBorders>
            <w:shd w:val="clear" w:color="auto" w:fill="auto"/>
            <w:hideMark/>
          </w:tcPr>
          <w:p w14:paraId="75071051"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Other</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5071052"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WHO HQ and Regional Offices</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53"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In-kind</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5071054"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6,400,000</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5071055"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2,688,000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56"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4,737,378</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5071057"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74%</w:t>
            </w:r>
          </w:p>
        </w:tc>
      </w:tr>
      <w:tr w:rsidR="00CB0E8D" w14:paraId="7507105E" w14:textId="77777777" w:rsidTr="5A717AC1">
        <w:trPr>
          <w:trHeight w:val="285"/>
        </w:trPr>
        <w:tc>
          <w:tcPr>
            <w:tcW w:w="4245" w:type="dxa"/>
            <w:gridSpan w:val="3"/>
            <w:tcBorders>
              <w:top w:val="single" w:sz="6" w:space="0" w:color="auto"/>
              <w:left w:val="single" w:sz="6" w:space="0" w:color="auto"/>
              <w:bottom w:val="single" w:sz="6" w:space="0" w:color="auto"/>
              <w:right w:val="single" w:sz="6" w:space="0" w:color="auto"/>
            </w:tcBorders>
            <w:shd w:val="clear" w:color="auto" w:fill="D1D1D1" w:themeFill="background2" w:themeFillShade="E6"/>
          </w:tcPr>
          <w:p w14:paraId="75071059"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 xml:space="preserve">TOTAL </w:t>
            </w:r>
          </w:p>
        </w:tc>
        <w:tc>
          <w:tcPr>
            <w:tcW w:w="1276" w:type="dxa"/>
            <w:tcBorders>
              <w:top w:val="single" w:sz="6" w:space="0" w:color="auto"/>
              <w:left w:val="single" w:sz="6" w:space="0" w:color="auto"/>
              <w:bottom w:val="single" w:sz="6" w:space="0" w:color="auto"/>
              <w:right w:val="single" w:sz="6" w:space="0" w:color="auto"/>
            </w:tcBorders>
            <w:shd w:val="clear" w:color="auto" w:fill="D1D1D1" w:themeFill="background2" w:themeFillShade="E6"/>
          </w:tcPr>
          <w:p w14:paraId="7507105A"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27,061,600</w:t>
            </w:r>
          </w:p>
        </w:tc>
        <w:tc>
          <w:tcPr>
            <w:tcW w:w="1275" w:type="dxa"/>
            <w:tcBorders>
              <w:top w:val="single" w:sz="6" w:space="0" w:color="auto"/>
              <w:left w:val="single" w:sz="6" w:space="0" w:color="auto"/>
              <w:bottom w:val="single" w:sz="6" w:space="0" w:color="auto"/>
              <w:right w:val="single" w:sz="6" w:space="0" w:color="auto"/>
            </w:tcBorders>
            <w:shd w:val="clear" w:color="auto" w:fill="D1D1D1" w:themeFill="background2" w:themeFillShade="E6"/>
          </w:tcPr>
          <w:p w14:paraId="7507105B" w14:textId="77777777" w:rsidR="002B060A" w:rsidRDefault="002B060A" w:rsidP="00C07A0A">
            <w:pPr>
              <w:spacing w:beforeAutospacing="1" w:afterAutospacing="1"/>
              <w:textAlignment w:val="baseline"/>
              <w:rPr>
                <w:rFonts w:ascii="Calibri" w:hAnsi="Calibri" w:cs="Calibri"/>
                <w:color w:val="000000" w:themeColor="text1"/>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D1D1D1" w:themeFill="background2" w:themeFillShade="E6"/>
          </w:tcPr>
          <w:p w14:paraId="7507105C"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18,675,519</w:t>
            </w:r>
          </w:p>
        </w:tc>
        <w:tc>
          <w:tcPr>
            <w:tcW w:w="1134" w:type="dxa"/>
            <w:tcBorders>
              <w:top w:val="single" w:sz="6" w:space="0" w:color="auto"/>
              <w:left w:val="single" w:sz="6" w:space="0" w:color="auto"/>
              <w:bottom w:val="single" w:sz="6" w:space="0" w:color="auto"/>
              <w:right w:val="single" w:sz="6" w:space="0" w:color="auto"/>
            </w:tcBorders>
            <w:shd w:val="clear" w:color="auto" w:fill="D1D1D1" w:themeFill="background2" w:themeFillShade="E6"/>
          </w:tcPr>
          <w:p w14:paraId="7507105D" w14:textId="77777777" w:rsidR="002B060A" w:rsidRDefault="006040A7" w:rsidP="00C07A0A">
            <w:pPr>
              <w:spacing w:beforeAutospacing="1" w:afterAutospacing="1"/>
              <w:textAlignment w:val="baseline"/>
              <w:rPr>
                <w:rFonts w:ascii="Calibri" w:hAnsi="Calibri" w:cs="Calibri"/>
                <w:color w:val="000000" w:themeColor="text1"/>
                <w:sz w:val="20"/>
                <w:szCs w:val="20"/>
              </w:rPr>
            </w:pPr>
            <w:r>
              <w:rPr>
                <w:rFonts w:ascii="Calibri" w:hAnsi="Calibri" w:cs="Calibri"/>
                <w:color w:val="000000" w:themeColor="text1"/>
                <w:sz w:val="20"/>
                <w:szCs w:val="20"/>
              </w:rPr>
              <w:t>69.01%</w:t>
            </w:r>
          </w:p>
        </w:tc>
      </w:tr>
    </w:tbl>
    <w:p w14:paraId="7507105F"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156082" w:themeColor="accent1"/>
        </w:rPr>
      </w:pPr>
    </w:p>
    <w:p w14:paraId="2B8CA08F" w14:textId="69A8DC49" w:rsidR="009A11D4" w:rsidRDefault="009A11D4" w:rsidP="00C07A0A">
      <w:pPr>
        <w:jc w:val="both"/>
        <w:rPr>
          <w:rStyle w:val="normaltextrun"/>
          <w:rFonts w:ascii="Calibri" w:eastAsiaTheme="majorEastAsia" w:hAnsi="Calibri" w:cs="Calibri"/>
        </w:rPr>
      </w:pPr>
      <w:r>
        <w:rPr>
          <w:rStyle w:val="normaltextrun"/>
          <w:rFonts w:ascii="Calibri" w:eastAsiaTheme="majorEastAsia" w:hAnsi="Calibri" w:cs="Calibri"/>
        </w:rPr>
        <w:t>While project stakeholders generally viewed the project activities as being sufficiently well-resourced financially, there was a perceived imbalance between budget for project staff within health service delivery agencies (namely MOH</w:t>
      </w:r>
      <w:r w:rsidR="00855924">
        <w:rPr>
          <w:rStyle w:val="normaltextrun"/>
          <w:rFonts w:ascii="Calibri" w:eastAsiaTheme="majorEastAsia" w:hAnsi="Calibri" w:cs="Calibri"/>
        </w:rPr>
        <w:t>, WHO</w:t>
      </w:r>
      <w:r>
        <w:rPr>
          <w:rStyle w:val="normaltextrun"/>
          <w:rFonts w:ascii="Calibri" w:eastAsiaTheme="majorEastAsia" w:hAnsi="Calibri" w:cs="Calibri"/>
        </w:rPr>
        <w:t xml:space="preserve"> and healthcare partners), compared to short-term consultancies, which was similarly recognised in the MTR. This may reflect GEF funding restrictions, which we understand excluded ongoing human resource funding for dedicated positions within Government agencies</w:t>
      </w:r>
      <w:r w:rsidR="00C66A8E">
        <w:rPr>
          <w:rStyle w:val="normaltextrun"/>
          <w:rFonts w:ascii="Calibri" w:eastAsiaTheme="majorEastAsia" w:hAnsi="Calibri" w:cs="Calibri"/>
        </w:rPr>
        <w:t>, and given the original project design included substantial co-financing commitments often to support staff within government agencies</w:t>
      </w:r>
      <w:r>
        <w:rPr>
          <w:rStyle w:val="normaltextrun"/>
          <w:rFonts w:ascii="Calibri" w:eastAsiaTheme="majorEastAsia" w:hAnsi="Calibri" w:cs="Calibri"/>
        </w:rPr>
        <w:t xml:space="preserve">. While consultancies were necessary to address technical gaps, implementation was often driven by core/ongoing staff (e.g. in MOH or sub-national government agencies), who may have benefitted from greater and more sustainable investment in human resources. Furthermore, the funds did enable several implementation activities for initial demonstration pilots, but expansion and replication of successful activities was limited by the project timeframe. Some countries have leveraged the project for additional funding proposals, but progress in securing additional finance has been uneven. These issues are described further in </w:t>
      </w:r>
      <w:r>
        <w:rPr>
          <w:rStyle w:val="normaltextrun"/>
          <w:rFonts w:ascii="Calibri" w:eastAsiaTheme="majorEastAsia" w:hAnsi="Calibri" w:cs="Calibri"/>
          <w:b/>
        </w:rPr>
        <w:t xml:space="preserve">Section </w:t>
      </w:r>
      <w:r>
        <w:rPr>
          <w:rStyle w:val="normaltextrun"/>
          <w:rFonts w:ascii="Calibri" w:eastAsiaTheme="majorEastAsia" w:hAnsi="Calibri" w:cs="Calibri"/>
          <w:b/>
          <w:bCs/>
        </w:rPr>
        <w:t>5.6</w:t>
      </w:r>
      <w:r>
        <w:rPr>
          <w:rStyle w:val="normaltextrun"/>
          <w:rFonts w:ascii="Calibri" w:eastAsiaTheme="majorEastAsia" w:hAnsi="Calibri" w:cs="Calibri"/>
          <w:b/>
        </w:rPr>
        <w:t>: Sustainability</w:t>
      </w:r>
      <w:r>
        <w:rPr>
          <w:rStyle w:val="normaltextrun"/>
          <w:rFonts w:ascii="Calibri" w:eastAsiaTheme="majorEastAsia" w:hAnsi="Calibri" w:cs="Calibri"/>
        </w:rPr>
        <w:t xml:space="preserve">. </w:t>
      </w:r>
    </w:p>
    <w:p w14:paraId="4CF8495E" w14:textId="77777777" w:rsidR="009A11D4" w:rsidRDefault="009A11D4" w:rsidP="00C07A0A">
      <w:pPr>
        <w:rPr>
          <w:rStyle w:val="normaltextrun"/>
          <w:rFonts w:ascii="Calibri" w:eastAsiaTheme="majorEastAsia" w:hAnsi="Calibri" w:cs="Calibri"/>
          <w:color w:val="156082" w:themeColor="accent1"/>
        </w:rPr>
      </w:pPr>
      <w:r w:rsidRPr="00CB0E8D">
        <w:rPr>
          <w:rStyle w:val="normaltextrun"/>
          <w:rFonts w:ascii="Calibri" w:hAnsi="Calibri"/>
          <w:color w:val="156082" w:themeColor="accent1"/>
        </w:rPr>
        <w:br w:type="page"/>
      </w:r>
    </w:p>
    <w:p w14:paraId="75071062"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156082" w:themeColor="accent1"/>
        </w:rPr>
      </w:pPr>
    </w:p>
    <w:p w14:paraId="75071063" w14:textId="06F506E1" w:rsidR="002B060A" w:rsidRDefault="006040A7" w:rsidP="00C07A0A">
      <w:pPr>
        <w:pStyle w:val="Heading3"/>
        <w:numPr>
          <w:ilvl w:val="1"/>
          <w:numId w:val="29"/>
        </w:numPr>
        <w:rPr>
          <w:rStyle w:val="eop"/>
          <w:rFonts w:ascii="Calibri" w:hAnsi="Calibri" w:cs="Calibri"/>
          <w:b/>
        </w:rPr>
      </w:pPr>
      <w:bookmarkStart w:id="29" w:name="_Toc173429980"/>
      <w:r>
        <w:rPr>
          <w:rStyle w:val="eop"/>
          <w:rFonts w:ascii="Calibri" w:hAnsi="Calibri" w:cs="Calibri"/>
          <w:b/>
        </w:rPr>
        <w:t>Monitoring</w:t>
      </w:r>
      <w:r w:rsidR="00FF38D4">
        <w:rPr>
          <w:rStyle w:val="eop"/>
          <w:rFonts w:ascii="Calibri" w:hAnsi="Calibri" w:cs="Calibri"/>
          <w:b/>
        </w:rPr>
        <w:t>, Evaluation and Risk Management</w:t>
      </w:r>
      <w:bookmarkEnd w:id="29"/>
    </w:p>
    <w:tbl>
      <w:tblPr>
        <w:tblStyle w:val="TableGrid"/>
        <w:tblW w:w="0" w:type="auto"/>
        <w:tblLook w:val="04A0" w:firstRow="1" w:lastRow="0" w:firstColumn="1" w:lastColumn="0" w:noHBand="0" w:noVBand="1"/>
      </w:tblPr>
      <w:tblGrid>
        <w:gridCol w:w="6799"/>
        <w:gridCol w:w="2217"/>
      </w:tblGrid>
      <w:tr w:rsidR="002B060A" w14:paraId="75071065" w14:textId="77777777" w:rsidTr="001071B4">
        <w:tc>
          <w:tcPr>
            <w:tcW w:w="9016" w:type="dxa"/>
            <w:gridSpan w:val="2"/>
            <w:shd w:val="clear" w:color="auto" w:fill="DAE9F7" w:themeFill="text2" w:themeFillTint="1A"/>
          </w:tcPr>
          <w:p w14:paraId="75071064" w14:textId="77777777" w:rsidR="002B060A" w:rsidRDefault="006040A7" w:rsidP="00C07A0A">
            <w:pPr>
              <w:rPr>
                <w:rFonts w:ascii="Calibri" w:eastAsiaTheme="minorEastAsia" w:hAnsi="Calibri" w:cs="Calibri"/>
                <w:b/>
                <w:lang w:eastAsia="en-US"/>
              </w:rPr>
            </w:pPr>
            <w:r>
              <w:rPr>
                <w:rFonts w:ascii="Calibri" w:eastAsiaTheme="minorEastAsia" w:hAnsi="Calibri" w:cs="Calibri"/>
                <w:b/>
                <w:lang w:eastAsia="en-US"/>
              </w:rPr>
              <w:t>Monitoring and Evaluation systems</w:t>
            </w:r>
          </w:p>
        </w:tc>
      </w:tr>
      <w:tr w:rsidR="002B060A" w14:paraId="75071068" w14:textId="77777777" w:rsidTr="001071B4">
        <w:tc>
          <w:tcPr>
            <w:tcW w:w="6799" w:type="dxa"/>
          </w:tcPr>
          <w:p w14:paraId="75071066" w14:textId="77777777" w:rsidR="002B060A" w:rsidRDefault="006040A7" w:rsidP="00C07A0A">
            <w:pPr>
              <w:rPr>
                <w:rFonts w:ascii="Calibri" w:eastAsiaTheme="minorEastAsia" w:hAnsi="Calibri" w:cs="Calibri"/>
                <w:lang w:eastAsia="en-US"/>
              </w:rPr>
            </w:pPr>
            <w:r>
              <w:rPr>
                <w:rFonts w:ascii="Calibri" w:eastAsiaTheme="minorEastAsia" w:hAnsi="Calibri" w:cs="Calibri"/>
                <w:lang w:eastAsia="en-US"/>
              </w:rPr>
              <w:t>Design at entry</w:t>
            </w:r>
          </w:p>
        </w:tc>
        <w:tc>
          <w:tcPr>
            <w:tcW w:w="2217" w:type="dxa"/>
            <w:vMerge w:val="restart"/>
          </w:tcPr>
          <w:p w14:paraId="75071067" w14:textId="77777777" w:rsidR="002B060A" w:rsidRDefault="006040A7" w:rsidP="00C07A0A">
            <w:pPr>
              <w:rPr>
                <w:rFonts w:ascii="Calibri" w:eastAsiaTheme="minorEastAsia" w:hAnsi="Calibri" w:cs="Calibri"/>
                <w:lang w:eastAsia="en-US"/>
              </w:rPr>
            </w:pPr>
            <w:r>
              <w:rPr>
                <w:rFonts w:ascii="Calibri" w:eastAsiaTheme="minorEastAsia" w:hAnsi="Calibri" w:cs="Calibri"/>
                <w:lang w:eastAsia="en-US"/>
              </w:rPr>
              <w:t>S</w:t>
            </w:r>
          </w:p>
        </w:tc>
      </w:tr>
      <w:tr w:rsidR="002B060A" w14:paraId="7507106B" w14:textId="77777777" w:rsidTr="001071B4">
        <w:tc>
          <w:tcPr>
            <w:tcW w:w="6799" w:type="dxa"/>
          </w:tcPr>
          <w:p w14:paraId="75071069" w14:textId="77777777" w:rsidR="002B060A" w:rsidRDefault="006040A7" w:rsidP="00C07A0A">
            <w:pPr>
              <w:rPr>
                <w:rFonts w:ascii="Calibri" w:eastAsiaTheme="minorEastAsia" w:hAnsi="Calibri" w:cs="Calibri"/>
                <w:lang w:eastAsia="en-US"/>
              </w:rPr>
            </w:pPr>
            <w:r>
              <w:rPr>
                <w:rFonts w:ascii="Calibri" w:eastAsiaTheme="minorEastAsia" w:hAnsi="Calibri" w:cs="Calibri"/>
                <w:lang w:eastAsia="en-US"/>
              </w:rPr>
              <w:t>Implementation</w:t>
            </w:r>
          </w:p>
        </w:tc>
        <w:tc>
          <w:tcPr>
            <w:tcW w:w="2217" w:type="dxa"/>
            <w:vMerge/>
          </w:tcPr>
          <w:p w14:paraId="7507106A" w14:textId="77777777" w:rsidR="002B060A" w:rsidRDefault="002B060A" w:rsidP="00C07A0A">
            <w:pPr>
              <w:rPr>
                <w:rFonts w:ascii="Calibri" w:eastAsiaTheme="minorEastAsia" w:hAnsi="Calibri" w:cs="Calibri"/>
                <w:lang w:eastAsia="en-US"/>
              </w:rPr>
            </w:pPr>
          </w:p>
        </w:tc>
      </w:tr>
      <w:tr w:rsidR="002B060A" w14:paraId="7507106E" w14:textId="77777777" w:rsidTr="001071B4">
        <w:tc>
          <w:tcPr>
            <w:tcW w:w="6799" w:type="dxa"/>
          </w:tcPr>
          <w:p w14:paraId="7507106C" w14:textId="77777777" w:rsidR="002B060A" w:rsidRDefault="006040A7" w:rsidP="00C07A0A">
            <w:pPr>
              <w:rPr>
                <w:rFonts w:ascii="Calibri" w:eastAsiaTheme="minorEastAsia" w:hAnsi="Calibri" w:cs="Calibri"/>
                <w:lang w:eastAsia="en-US"/>
              </w:rPr>
            </w:pPr>
            <w:r>
              <w:rPr>
                <w:rFonts w:ascii="Calibri" w:eastAsiaTheme="minorEastAsia" w:hAnsi="Calibri" w:cs="Calibri"/>
                <w:lang w:eastAsia="en-US"/>
              </w:rPr>
              <w:t xml:space="preserve">Overall assessment </w:t>
            </w:r>
          </w:p>
        </w:tc>
        <w:tc>
          <w:tcPr>
            <w:tcW w:w="2217" w:type="dxa"/>
            <w:vMerge/>
          </w:tcPr>
          <w:p w14:paraId="7507106D" w14:textId="77777777" w:rsidR="002B060A" w:rsidRDefault="002B060A" w:rsidP="00C07A0A">
            <w:pPr>
              <w:rPr>
                <w:rFonts w:ascii="Calibri" w:eastAsiaTheme="minorEastAsia" w:hAnsi="Calibri" w:cs="Calibri"/>
                <w:lang w:eastAsia="en-US"/>
              </w:rPr>
            </w:pPr>
          </w:p>
        </w:tc>
      </w:tr>
    </w:tbl>
    <w:p w14:paraId="7507106F" w14:textId="77777777" w:rsidR="002B060A" w:rsidRDefault="002B060A" w:rsidP="00C07A0A">
      <w:pPr>
        <w:pStyle w:val="paragraph"/>
        <w:suppressAutoHyphens/>
        <w:spacing w:before="0" w:beforeAutospacing="0" w:after="0" w:afterAutospacing="0"/>
        <w:rPr>
          <w:rStyle w:val="eop"/>
          <w:rFonts w:ascii="Calibri" w:eastAsiaTheme="majorEastAsia" w:hAnsi="Calibri" w:cs="Calibri"/>
          <w:color w:val="000000" w:themeColor="text1"/>
          <w:sz w:val="22"/>
          <w:szCs w:val="22"/>
        </w:rPr>
      </w:pPr>
    </w:p>
    <w:p w14:paraId="6EB20B0F" w14:textId="6390E196" w:rsidR="00FF38D4" w:rsidRDefault="00FF38D4" w:rsidP="00C07A0A">
      <w:pPr>
        <w:jc w:val="both"/>
        <w:rPr>
          <w:rStyle w:val="normaltextrun"/>
          <w:rFonts w:ascii="Calibri" w:eastAsiaTheme="majorEastAsia" w:hAnsi="Calibri" w:cs="Calibri"/>
        </w:rPr>
      </w:pPr>
      <w:r>
        <w:rPr>
          <w:rFonts w:ascii="Calibri" w:eastAsiaTheme="majorEastAsia" w:hAnsi="Calibri" w:cs="Calibri"/>
          <w:lang w:val="en-GB"/>
        </w:rPr>
        <w:t xml:space="preserve">Given that the GEF reporting structure only required reporting on the project level indicators, </w:t>
      </w:r>
      <w:r w:rsidR="001B77C2">
        <w:rPr>
          <w:rStyle w:val="normaltextrun"/>
          <w:rFonts w:ascii="Calibri" w:eastAsiaTheme="majorEastAsia" w:hAnsi="Calibri" w:cs="Calibri"/>
        </w:rPr>
        <w:t>country</w:t>
      </w:r>
      <w:r>
        <w:rPr>
          <w:rStyle w:val="normaltextrun"/>
          <w:rFonts w:ascii="Calibri" w:eastAsiaTheme="majorEastAsia" w:hAnsi="Calibri" w:cs="Calibri"/>
        </w:rPr>
        <w:t xml:space="preserve">-level outcome indicators and targets defined in national results frameworks at project outset were tracked inconsistently and </w:t>
      </w:r>
      <w:r w:rsidRPr="003445E8">
        <w:rPr>
          <w:rStyle w:val="normaltextrun"/>
          <w:rFonts w:ascii="Calibri" w:eastAsiaTheme="majorEastAsia" w:hAnsi="Calibri" w:cs="Calibri"/>
        </w:rPr>
        <w:t xml:space="preserve">were not reflected in quarterly/annual reports. </w:t>
      </w:r>
      <w:r>
        <w:rPr>
          <w:rStyle w:val="normaltextrun"/>
          <w:rFonts w:ascii="Calibri" w:eastAsiaTheme="majorEastAsia" w:hAnsi="Calibri" w:cs="Calibri"/>
          <w:color w:val="000000"/>
        </w:rPr>
        <w:t>Although this reporting structure is understandable given the diversity of activities and heterogenous interventions at national level, it made it difficult to determine the extent to which country-level indicators/targets were feasible and appropriate to national contexts</w:t>
      </w:r>
      <w:r>
        <w:rPr>
          <w:rStyle w:val="normaltextrun"/>
          <w:rFonts w:ascii="Calibri" w:eastAsiaTheme="majorEastAsia" w:hAnsi="Calibri" w:cs="Calibri"/>
        </w:rPr>
        <w:t xml:space="preserve">. </w:t>
      </w:r>
    </w:p>
    <w:p w14:paraId="3F5F325D" w14:textId="77777777" w:rsidR="00FF38D4" w:rsidRDefault="00FF38D4" w:rsidP="00C07A0A">
      <w:pPr>
        <w:jc w:val="both"/>
        <w:rPr>
          <w:rStyle w:val="normaltextrun"/>
          <w:rFonts w:ascii="Calibri" w:eastAsiaTheme="majorEastAsia" w:hAnsi="Calibri" w:cs="Calibri"/>
        </w:rPr>
      </w:pPr>
    </w:p>
    <w:p w14:paraId="421BF3A0" w14:textId="77777777" w:rsidR="00FF38D4" w:rsidRDefault="00FF38D4" w:rsidP="00C07A0A">
      <w:pPr>
        <w:jc w:val="both"/>
        <w:rPr>
          <w:rStyle w:val="normaltextrun"/>
          <w:rFonts w:ascii="Calibri" w:eastAsiaTheme="majorEastAsia" w:hAnsi="Calibri" w:cs="Calibri"/>
        </w:rPr>
      </w:pPr>
      <w:r>
        <w:rPr>
          <w:rStyle w:val="normaltextrun"/>
          <w:rFonts w:ascii="Calibri" w:eastAsiaTheme="majorEastAsia" w:hAnsi="Calibri" w:cs="Calibri"/>
        </w:rPr>
        <w:t xml:space="preserve">Furthermore, inconsistent beneficiary definitions and potential deficiencies with monitoring gender mainstreaming do not appear to have been adequately addressed following the MTR. The Project Teams disaggregated participant data by gender where possible, and technical support was provided to improve gender V&amp;A analysis. But it was not possible to assess the extent to which these activities resulted in ‘gender mainstreaming’, which may reflect unclear focus within the broader project design. M&amp;E indicators for environmental sustainability and community engagement activities were also unclear, and hence reporting systems may not have adequately captured these impacts. </w:t>
      </w:r>
    </w:p>
    <w:p w14:paraId="455E12CC" w14:textId="77777777" w:rsidR="00FF38D4" w:rsidRDefault="00FF38D4" w:rsidP="00C07A0A">
      <w:pPr>
        <w:jc w:val="both"/>
        <w:rPr>
          <w:rStyle w:val="normaltextrun"/>
          <w:rFonts w:ascii="Calibri" w:eastAsiaTheme="majorEastAsia" w:hAnsi="Calibri" w:cs="Calibri"/>
        </w:rPr>
      </w:pPr>
    </w:p>
    <w:p w14:paraId="4503F580" w14:textId="77777777" w:rsidR="00FF38D4" w:rsidRDefault="00FF38D4" w:rsidP="00C07A0A">
      <w:pPr>
        <w:jc w:val="both"/>
        <w:rPr>
          <w:rStyle w:val="normaltextrun"/>
          <w:rFonts w:ascii="Calibri" w:eastAsiaTheme="majorEastAsia" w:hAnsi="Calibri" w:cs="Calibri"/>
        </w:rPr>
      </w:pPr>
      <w:r>
        <w:rPr>
          <w:rStyle w:val="normaltextrun"/>
          <w:rFonts w:ascii="Calibri" w:eastAsiaTheme="majorEastAsia" w:hAnsi="Calibri" w:cs="Calibri"/>
        </w:rPr>
        <w:t xml:space="preserve">Finally, the project did not include measurement of pre/post intervention data, for example on knowledge, attitudes and practices of target stakeholders in relation to climate change and health training and capacity building activities; or impacts of health service and integrated surveillance interventions on climate-sensitive health issues. These were likely beyond scope of the program design but could have contributed useful validation and implementation evidence to support advocacy and replication. </w:t>
      </w:r>
    </w:p>
    <w:p w14:paraId="43EDFDBA" w14:textId="77777777" w:rsidR="00FF38D4" w:rsidRDefault="00FF38D4" w:rsidP="00C07A0A">
      <w:pPr>
        <w:jc w:val="both"/>
        <w:rPr>
          <w:rStyle w:val="normaltextrun"/>
          <w:rFonts w:ascii="Calibri" w:hAnsi="Calibri" w:cs="Calibri"/>
        </w:rPr>
      </w:pPr>
    </w:p>
    <w:p w14:paraId="1C2B9453" w14:textId="77777777" w:rsidR="00FF38D4" w:rsidRDefault="00FF38D4" w:rsidP="00C07A0A">
      <w:pPr>
        <w:pStyle w:val="Heading4"/>
        <w:rPr>
          <w:rFonts w:ascii="Calibri" w:hAnsi="Calibri" w:cs="Calibri"/>
        </w:rPr>
      </w:pPr>
      <w:r>
        <w:rPr>
          <w:rFonts w:ascii="Calibri" w:hAnsi="Calibri" w:cs="Calibri"/>
        </w:rPr>
        <w:t>Knowledge Management and Learning </w:t>
      </w:r>
    </w:p>
    <w:p w14:paraId="4EE60021" w14:textId="77777777" w:rsidR="00FF38D4" w:rsidRDefault="00FF38D4" w:rsidP="00C07A0A">
      <w:pPr>
        <w:jc w:val="both"/>
        <w:rPr>
          <w:rFonts w:ascii="Calibri" w:hAnsi="Calibri" w:cs="Calibri"/>
        </w:rPr>
      </w:pPr>
      <w:r>
        <w:rPr>
          <w:rStyle w:val="normaltextrun"/>
          <w:rFonts w:ascii="Calibri" w:eastAsiaTheme="majorEastAsia" w:hAnsi="Calibri" w:cs="Calibri"/>
        </w:rPr>
        <w:t xml:space="preserve">The project emphasised platforms for knowledge exchange and networking among stakeholders. This included regional workshops, conferences, and forums where participants could share experiences, discuss challenges, and develop collaborative solutions. </w:t>
      </w:r>
      <w:r>
        <w:rPr>
          <w:rFonts w:ascii="Calibri" w:hAnsi="Calibri" w:cs="Calibri"/>
        </w:rPr>
        <w:t xml:space="preserve">Good communication channels and existing institutional knowledge supported project management and implementation and helped address continuity and staff turnover challenges that were identified as gaps during the MTR. </w:t>
      </w:r>
    </w:p>
    <w:p w14:paraId="689FD2DE" w14:textId="77777777" w:rsidR="00FF38D4" w:rsidRDefault="00FF38D4" w:rsidP="00C07A0A">
      <w:pPr>
        <w:jc w:val="both"/>
        <w:rPr>
          <w:rFonts w:ascii="Calibri" w:hAnsi="Calibri" w:cs="Calibri"/>
        </w:rPr>
      </w:pPr>
    </w:p>
    <w:p w14:paraId="56698988" w14:textId="77777777" w:rsidR="00FF38D4" w:rsidRDefault="00FF38D4" w:rsidP="00C07A0A">
      <w:pPr>
        <w:jc w:val="both"/>
        <w:rPr>
          <w:rFonts w:ascii="Calibri" w:hAnsi="Calibri" w:cs="Calibri"/>
        </w:rPr>
      </w:pPr>
      <w:r>
        <w:rPr>
          <w:rFonts w:ascii="Calibri" w:hAnsi="Calibri" w:cs="Calibri"/>
        </w:rPr>
        <w:t xml:space="preserve">For example, several country stakeholders highlighted the value of regional and global training workshops on EWARS, WSPs and SOPs for climate-sensitive diseases, including follow-up webinars and training, which provided demonstration examples and informed national surveillance system planning and training activities. </w:t>
      </w:r>
    </w:p>
    <w:p w14:paraId="29CDFC0D" w14:textId="77777777" w:rsidR="00FF38D4" w:rsidRDefault="00FF38D4" w:rsidP="00C07A0A">
      <w:pPr>
        <w:jc w:val="both"/>
        <w:rPr>
          <w:rFonts w:ascii="Calibri" w:hAnsi="Calibri" w:cs="Calibri"/>
        </w:rPr>
      </w:pPr>
    </w:p>
    <w:p w14:paraId="5E4B49CD" w14:textId="77777777" w:rsidR="00FF38D4" w:rsidRDefault="00FF38D4" w:rsidP="00C07A0A">
      <w:pPr>
        <w:pStyle w:val="Heading4"/>
        <w:rPr>
          <w:rFonts w:ascii="Calibri" w:hAnsi="Calibri" w:cs="Calibri"/>
        </w:rPr>
      </w:pPr>
      <w:r>
        <w:rPr>
          <w:rFonts w:ascii="Calibri" w:hAnsi="Calibri" w:cs="Calibri"/>
        </w:rPr>
        <w:lastRenderedPageBreak/>
        <w:t>Risk Management, including Social and Environmental Standards (Safeguards) </w:t>
      </w:r>
    </w:p>
    <w:p w14:paraId="095B1777" w14:textId="2328534B" w:rsidR="00FF38D4" w:rsidRDefault="00FF38D4" w:rsidP="00C07A0A">
      <w:pPr>
        <w:jc w:val="both"/>
        <w:rPr>
          <w:rStyle w:val="normaltextrun"/>
          <w:rFonts w:ascii="Calibri" w:eastAsiaTheme="majorEastAsia" w:hAnsi="Calibri" w:cs="Calibri"/>
        </w:rPr>
      </w:pPr>
      <w:r>
        <w:rPr>
          <w:rStyle w:val="normaltextrun"/>
          <w:rFonts w:ascii="Calibri" w:eastAsiaTheme="majorEastAsia" w:hAnsi="Calibri" w:cs="Calibri"/>
        </w:rPr>
        <w:t>Risks were adequately managed through standard reporting and monitoring systems. RO and HQ support was especially valued by CO staff, particularly when staffing arrangements were relatively consistent and teams were able to build trusting relationships and communication channels to address any challenges to traction.</w:t>
      </w:r>
    </w:p>
    <w:p w14:paraId="069FE97B" w14:textId="77777777" w:rsidR="00FF38D4" w:rsidRDefault="00FF38D4" w:rsidP="00C07A0A">
      <w:pPr>
        <w:jc w:val="both"/>
        <w:rPr>
          <w:rStyle w:val="normaltextrun"/>
          <w:rFonts w:ascii="Calibri" w:eastAsiaTheme="majorEastAsia" w:hAnsi="Calibri" w:cs="Calibri"/>
        </w:rPr>
      </w:pPr>
    </w:p>
    <w:p w14:paraId="3FCCBE78" w14:textId="77777777" w:rsidR="00FF38D4" w:rsidRDefault="00FF38D4" w:rsidP="00C07A0A">
      <w:pPr>
        <w:jc w:val="both"/>
        <w:rPr>
          <w:rStyle w:val="normaltextrun"/>
          <w:rFonts w:ascii="Calibri" w:eastAsiaTheme="majorEastAsia" w:hAnsi="Calibri" w:cs="Calibri"/>
        </w:rPr>
      </w:pPr>
      <w:r>
        <w:rPr>
          <w:rStyle w:val="normaltextrun"/>
          <w:rFonts w:ascii="Calibri" w:eastAsiaTheme="majorEastAsia" w:hAnsi="Calibri" w:cs="Calibri"/>
        </w:rPr>
        <w:t xml:space="preserve">Major external risks, such as political and security instability, were appropriately managed by WHO and UNDP, with structures such as the International Project Board and strong existing governance through WHO CO systems, established and effective throughout the project. No red flags were raised by any stakeholders in relation to risk management. </w:t>
      </w:r>
    </w:p>
    <w:p w14:paraId="75071081" w14:textId="77777777" w:rsidR="002B060A" w:rsidRDefault="002B060A" w:rsidP="00C07A0A">
      <w:pPr>
        <w:jc w:val="both"/>
        <w:rPr>
          <w:rStyle w:val="normaltextrun"/>
          <w:rFonts w:ascii="Calibri" w:eastAsiaTheme="majorEastAsia" w:hAnsi="Calibri" w:cs="Calibri"/>
        </w:rPr>
      </w:pPr>
    </w:p>
    <w:p w14:paraId="75071082" w14:textId="77777777" w:rsidR="002B060A" w:rsidRDefault="006040A7" w:rsidP="00C07A0A">
      <w:pPr>
        <w:pStyle w:val="Heading3"/>
        <w:numPr>
          <w:ilvl w:val="1"/>
          <w:numId w:val="29"/>
        </w:numPr>
        <w:rPr>
          <w:rStyle w:val="eop"/>
          <w:rFonts w:ascii="Calibri" w:hAnsi="Calibri" w:cs="Calibri"/>
          <w:b/>
        </w:rPr>
      </w:pPr>
      <w:bookmarkStart w:id="30" w:name="_Toc173429981"/>
      <w:r>
        <w:rPr>
          <w:rStyle w:val="eop"/>
          <w:rFonts w:ascii="Calibri" w:hAnsi="Calibri" w:cs="Calibri"/>
          <w:b/>
        </w:rPr>
        <w:t>Cross-Cutting criteria and Findings</w:t>
      </w:r>
      <w:bookmarkEnd w:id="30"/>
    </w:p>
    <w:p w14:paraId="75071083" w14:textId="77777777" w:rsidR="002B060A" w:rsidRDefault="006040A7" w:rsidP="00C07A0A">
      <w:pPr>
        <w:pStyle w:val="Heading4"/>
        <w:rPr>
          <w:rFonts w:ascii="Calibri" w:hAnsi="Calibri" w:cs="Calibri"/>
        </w:rPr>
      </w:pPr>
      <w:r>
        <w:rPr>
          <w:rFonts w:ascii="Calibri" w:hAnsi="Calibri" w:cs="Calibri"/>
        </w:rPr>
        <w:t xml:space="preserve">Relevance, Coherence and Efficiency </w:t>
      </w:r>
    </w:p>
    <w:tbl>
      <w:tblPr>
        <w:tblStyle w:val="TableGrid"/>
        <w:tblW w:w="0" w:type="auto"/>
        <w:tblLook w:val="04A0" w:firstRow="1" w:lastRow="0" w:firstColumn="1" w:lastColumn="0" w:noHBand="0" w:noVBand="1"/>
      </w:tblPr>
      <w:tblGrid>
        <w:gridCol w:w="8075"/>
        <w:gridCol w:w="941"/>
      </w:tblGrid>
      <w:tr w:rsidR="00C93626" w14:paraId="75071086" w14:textId="77777777">
        <w:tc>
          <w:tcPr>
            <w:tcW w:w="8075" w:type="dxa"/>
            <w:shd w:val="clear" w:color="auto" w:fill="DAE9F7" w:themeFill="text2" w:themeFillTint="1A"/>
          </w:tcPr>
          <w:p w14:paraId="75071084" w14:textId="77777777" w:rsidR="002B060A" w:rsidRDefault="006040A7" w:rsidP="00C07A0A">
            <w:pPr>
              <w:spacing w:after="120" w:line="276" w:lineRule="auto"/>
              <w:jc w:val="both"/>
              <w:rPr>
                <w:rFonts w:ascii="Calibri" w:eastAsiaTheme="minorEastAsia" w:hAnsi="Calibri" w:cs="Calibri"/>
                <w:b/>
                <w:color w:val="000000" w:themeColor="text1"/>
                <w:sz w:val="22"/>
                <w:szCs w:val="22"/>
              </w:rPr>
            </w:pPr>
            <w:r>
              <w:rPr>
                <w:rFonts w:ascii="Calibri" w:eastAsiaTheme="minorEastAsia" w:hAnsi="Calibri" w:cs="Calibri"/>
                <w:b/>
                <w:color w:val="000000" w:themeColor="text1"/>
                <w:sz w:val="22"/>
                <w:szCs w:val="22"/>
              </w:rPr>
              <w:t>Criteria description</w:t>
            </w:r>
          </w:p>
        </w:tc>
        <w:tc>
          <w:tcPr>
            <w:tcW w:w="941" w:type="dxa"/>
            <w:shd w:val="clear" w:color="auto" w:fill="DAE9F7" w:themeFill="text2" w:themeFillTint="1A"/>
          </w:tcPr>
          <w:p w14:paraId="75071085" w14:textId="77777777" w:rsidR="002B060A" w:rsidRDefault="006040A7" w:rsidP="00C07A0A">
            <w:pPr>
              <w:spacing w:after="120" w:line="276" w:lineRule="auto"/>
              <w:jc w:val="both"/>
              <w:rPr>
                <w:rFonts w:ascii="Calibri" w:eastAsiaTheme="minorEastAsia" w:hAnsi="Calibri" w:cs="Calibri"/>
                <w:b/>
                <w:color w:val="000000" w:themeColor="text1"/>
                <w:sz w:val="22"/>
                <w:szCs w:val="22"/>
              </w:rPr>
            </w:pPr>
            <w:r>
              <w:rPr>
                <w:rFonts w:ascii="Calibri" w:eastAsiaTheme="minorEastAsia" w:hAnsi="Calibri" w:cs="Calibri"/>
                <w:b/>
                <w:color w:val="000000" w:themeColor="text1"/>
                <w:sz w:val="22"/>
                <w:szCs w:val="22"/>
              </w:rPr>
              <w:t xml:space="preserve">Rating </w:t>
            </w:r>
          </w:p>
        </w:tc>
      </w:tr>
      <w:tr w:rsidR="002B060A" w14:paraId="75071089" w14:textId="77777777" w:rsidTr="001071B4">
        <w:tc>
          <w:tcPr>
            <w:tcW w:w="8075" w:type="dxa"/>
          </w:tcPr>
          <w:p w14:paraId="75071087" w14:textId="77777777" w:rsidR="002B060A" w:rsidRDefault="006040A7" w:rsidP="00C07A0A">
            <w:pPr>
              <w:spacing w:after="120" w:line="276" w:lineRule="auto"/>
              <w:jc w:val="both"/>
              <w:rPr>
                <w:rFonts w:ascii="Calibri" w:eastAsiaTheme="minorEastAsia" w:hAnsi="Calibri" w:cs="Calibri"/>
                <w:color w:val="000000" w:themeColor="text1"/>
                <w:sz w:val="22"/>
                <w:szCs w:val="22"/>
              </w:rPr>
            </w:pPr>
            <w:r>
              <w:rPr>
                <w:rFonts w:ascii="Calibri" w:eastAsiaTheme="minorEastAsia" w:hAnsi="Calibri" w:cs="Calibri"/>
                <w:b/>
                <w:color w:val="000000" w:themeColor="text1"/>
                <w:sz w:val="22"/>
                <w:szCs w:val="22"/>
              </w:rPr>
              <w:t>Relevance:</w:t>
            </w:r>
            <w:r>
              <w:rPr>
                <w:rFonts w:ascii="Calibri" w:eastAsiaTheme="minorEastAsia" w:hAnsi="Calibri" w:cs="Calibri"/>
                <w:color w:val="000000" w:themeColor="text1"/>
                <w:sz w:val="22"/>
                <w:szCs w:val="22"/>
              </w:rPr>
              <w:t xml:space="preserve"> How does the project relate to the main objectives of the GEF Focal area, and to the environment and development priorities at the local, regional and national level?</w:t>
            </w:r>
          </w:p>
        </w:tc>
        <w:tc>
          <w:tcPr>
            <w:tcW w:w="941" w:type="dxa"/>
          </w:tcPr>
          <w:p w14:paraId="75071088" w14:textId="5D101759" w:rsidR="002B060A" w:rsidRDefault="006040A7" w:rsidP="00C07A0A">
            <w:pPr>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S</w:t>
            </w:r>
          </w:p>
        </w:tc>
      </w:tr>
      <w:tr w:rsidR="002B060A" w14:paraId="7507108C" w14:textId="77777777" w:rsidTr="001071B4">
        <w:tc>
          <w:tcPr>
            <w:tcW w:w="8075" w:type="dxa"/>
          </w:tcPr>
          <w:p w14:paraId="7507108A" w14:textId="77777777" w:rsidR="002B060A" w:rsidRDefault="006040A7" w:rsidP="00C07A0A">
            <w:pPr>
              <w:spacing w:after="120" w:line="276" w:lineRule="auto"/>
              <w:jc w:val="both"/>
              <w:rPr>
                <w:rFonts w:ascii="Calibri" w:eastAsiaTheme="minorEastAsia" w:hAnsi="Calibri" w:cs="Calibri"/>
                <w:color w:val="000000" w:themeColor="text1"/>
                <w:sz w:val="22"/>
                <w:szCs w:val="22"/>
              </w:rPr>
            </w:pPr>
            <w:r>
              <w:rPr>
                <w:rFonts w:ascii="Calibri" w:eastAsiaTheme="minorEastAsia" w:hAnsi="Calibri" w:cs="Calibri"/>
                <w:b/>
                <w:bCs/>
                <w:color w:val="000000" w:themeColor="text1"/>
                <w:sz w:val="22"/>
                <w:szCs w:val="22"/>
              </w:rPr>
              <w:t>Coherence:</w:t>
            </w:r>
            <w:r>
              <w:rPr>
                <w:rFonts w:ascii="Calibri" w:eastAsiaTheme="minorEastAsia" w:hAnsi="Calibri" w:cs="Calibri"/>
                <w:color w:val="000000" w:themeColor="text1"/>
                <w:sz w:val="22"/>
                <w:szCs w:val="22"/>
              </w:rPr>
              <w:t xml:space="preserve"> To what extent did the project align with national country context (external coherence) and were project activities aligned with the project’s theory of change</w:t>
            </w:r>
          </w:p>
        </w:tc>
        <w:tc>
          <w:tcPr>
            <w:tcW w:w="941" w:type="dxa"/>
          </w:tcPr>
          <w:p w14:paraId="7507108B" w14:textId="77777777" w:rsidR="002B060A" w:rsidRDefault="006040A7" w:rsidP="00C07A0A">
            <w:pPr>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HS</w:t>
            </w:r>
          </w:p>
        </w:tc>
      </w:tr>
      <w:tr w:rsidR="002B060A" w14:paraId="7507108F" w14:textId="77777777" w:rsidTr="001071B4">
        <w:tc>
          <w:tcPr>
            <w:tcW w:w="8075" w:type="dxa"/>
          </w:tcPr>
          <w:p w14:paraId="7507108D" w14:textId="77777777" w:rsidR="002B060A" w:rsidRDefault="006040A7" w:rsidP="00C07A0A">
            <w:pPr>
              <w:spacing w:after="120" w:line="276" w:lineRule="auto"/>
              <w:jc w:val="both"/>
              <w:rPr>
                <w:rFonts w:ascii="Calibri" w:eastAsiaTheme="minorEastAsia" w:hAnsi="Calibri" w:cs="Calibri"/>
                <w:color w:val="000000" w:themeColor="text1"/>
                <w:sz w:val="22"/>
                <w:szCs w:val="22"/>
              </w:rPr>
            </w:pPr>
            <w:r>
              <w:rPr>
                <w:rFonts w:ascii="Calibri" w:eastAsiaTheme="minorEastAsia" w:hAnsi="Calibri" w:cs="Calibri"/>
                <w:b/>
                <w:bCs/>
                <w:color w:val="000000" w:themeColor="text1"/>
                <w:sz w:val="22"/>
                <w:szCs w:val="22"/>
              </w:rPr>
              <w:t>Efficiency:</w:t>
            </w:r>
            <w:r>
              <w:rPr>
                <w:rFonts w:ascii="Calibri" w:eastAsiaTheme="minorEastAsia" w:hAnsi="Calibri" w:cs="Calibri"/>
                <w:color w:val="000000" w:themeColor="text1"/>
                <w:sz w:val="22"/>
                <w:szCs w:val="22"/>
              </w:rPr>
              <w:t xml:space="preserve"> Was the project implemented efficiently, in line with international and national norms and standards?</w:t>
            </w:r>
          </w:p>
        </w:tc>
        <w:tc>
          <w:tcPr>
            <w:tcW w:w="941" w:type="dxa"/>
          </w:tcPr>
          <w:p w14:paraId="7507108E" w14:textId="77777777" w:rsidR="002B060A" w:rsidRDefault="006040A7" w:rsidP="00C07A0A">
            <w:pPr>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HS</w:t>
            </w:r>
          </w:p>
        </w:tc>
      </w:tr>
    </w:tbl>
    <w:p w14:paraId="75071090" w14:textId="77777777" w:rsidR="002B060A" w:rsidRDefault="002B060A" w:rsidP="00C07A0A">
      <w:pPr>
        <w:jc w:val="both"/>
        <w:rPr>
          <w:rFonts w:ascii="Calibri" w:eastAsiaTheme="majorEastAsia" w:hAnsi="Calibri" w:cs="Calibri"/>
          <w:color w:val="000000" w:themeColor="text1"/>
        </w:rPr>
      </w:pPr>
    </w:p>
    <w:p w14:paraId="75071091" w14:textId="77777777" w:rsidR="002B060A" w:rsidRDefault="006040A7" w:rsidP="00C07A0A">
      <w:pPr>
        <w:jc w:val="both"/>
        <w:rPr>
          <w:rStyle w:val="normaltextrun"/>
          <w:rFonts w:ascii="Calibri" w:eastAsiaTheme="majorEastAsia" w:hAnsi="Calibri" w:cs="Calibri"/>
          <w:b/>
          <w:bCs/>
          <w:i/>
          <w:iCs/>
        </w:rPr>
      </w:pPr>
      <w:r>
        <w:rPr>
          <w:rStyle w:val="normaltextrun"/>
          <w:rFonts w:ascii="Calibri" w:eastAsiaTheme="majorEastAsia" w:hAnsi="Calibri" w:cs="Calibri"/>
          <w:b/>
          <w:bCs/>
          <w:i/>
          <w:iCs/>
        </w:rPr>
        <w:t xml:space="preserve">National-Level </w:t>
      </w:r>
    </w:p>
    <w:p w14:paraId="75071092" w14:textId="77777777" w:rsidR="002B060A" w:rsidRDefault="006040A7" w:rsidP="00C07A0A">
      <w:pPr>
        <w:jc w:val="both"/>
        <w:rPr>
          <w:rStyle w:val="normaltextrun"/>
          <w:rFonts w:ascii="Calibri" w:eastAsiaTheme="majorEastAsia" w:hAnsi="Calibri" w:cs="Calibri"/>
        </w:rPr>
      </w:pPr>
      <w:r>
        <w:rPr>
          <w:rStyle w:val="normaltextrun"/>
          <w:rFonts w:ascii="Calibri" w:eastAsiaTheme="majorEastAsia" w:hAnsi="Calibri" w:cs="Calibri"/>
        </w:rPr>
        <w:t xml:space="preserve">The project was clearly aligned with the national health and development priorities of each country, with several MOH stakeholders reporting a positive correlation between the project and national health and climate priorities. For example, in Lao PDR the project was </w:t>
      </w:r>
      <w:r>
        <w:rPr>
          <w:rStyle w:val="normaltextrun"/>
          <w:rFonts w:ascii="Calibri" w:eastAsiaTheme="majorEastAsia" w:hAnsi="Calibri" w:cs="Calibri"/>
          <w:i/>
        </w:rPr>
        <w:t>“very well aligned with national strategy and action plan of the MOH”</w:t>
      </w:r>
      <w:r>
        <w:rPr>
          <w:rStyle w:val="normaltextrun"/>
          <w:rFonts w:ascii="Calibri" w:eastAsiaTheme="majorEastAsia" w:hAnsi="Calibri" w:cs="Calibri"/>
        </w:rPr>
        <w:t xml:space="preserve"> </w:t>
      </w:r>
      <w:r>
        <w:rPr>
          <w:rStyle w:val="normaltextrun"/>
          <w:rFonts w:ascii="Calibri" w:eastAsiaTheme="majorEastAsia" w:hAnsi="Calibri" w:cs="Calibri"/>
          <w:i/>
        </w:rPr>
        <w:t>(KS#</w:t>
      </w:r>
      <w:r>
        <w:rPr>
          <w:rStyle w:val="normaltextrun"/>
          <w:rFonts w:ascii="Calibri" w:eastAsiaTheme="majorEastAsia" w:hAnsi="Calibri" w:cs="Calibri"/>
          <w:i/>
          <w:iCs/>
        </w:rPr>
        <w:t>6</w:t>
      </w:r>
      <w:r>
        <w:rPr>
          <w:rStyle w:val="normaltextrun"/>
          <w:rFonts w:ascii="Calibri" w:eastAsiaTheme="majorEastAsia" w:hAnsi="Calibri" w:cs="Calibri"/>
          <w:i/>
        </w:rPr>
        <w:t>)</w:t>
      </w:r>
      <w:r>
        <w:rPr>
          <w:rStyle w:val="normaltextrun"/>
          <w:rFonts w:ascii="Calibri" w:eastAsiaTheme="majorEastAsia" w:hAnsi="Calibri" w:cs="Calibri"/>
        </w:rPr>
        <w:t xml:space="preserve">, which facilitated collaboration and commitment of in-kind resources. In all countries, HNAP development was led by MOH stakeholders, supporting alignment with national priorities and policy frameworks. </w:t>
      </w:r>
    </w:p>
    <w:p w14:paraId="75071093" w14:textId="77777777" w:rsidR="002B060A" w:rsidRDefault="002B060A" w:rsidP="00C07A0A">
      <w:pPr>
        <w:jc w:val="both"/>
        <w:rPr>
          <w:rStyle w:val="normaltextrun"/>
          <w:rFonts w:ascii="Calibri" w:eastAsiaTheme="majorEastAsia" w:hAnsi="Calibri" w:cs="Calibri"/>
        </w:rPr>
      </w:pPr>
    </w:p>
    <w:p w14:paraId="75071094" w14:textId="71A1B0AC" w:rsidR="002B060A" w:rsidRDefault="006040A7" w:rsidP="00C07A0A">
      <w:pPr>
        <w:jc w:val="both"/>
        <w:rPr>
          <w:rStyle w:val="normaltextrun"/>
          <w:rFonts w:ascii="Calibri" w:eastAsiaTheme="majorEastAsia" w:hAnsi="Calibri" w:cs="Calibri"/>
        </w:rPr>
      </w:pPr>
      <w:r>
        <w:rPr>
          <w:rStyle w:val="normaltextrun"/>
          <w:rFonts w:ascii="Calibri" w:eastAsiaTheme="majorEastAsia" w:hAnsi="Calibri" w:cs="Calibri"/>
        </w:rPr>
        <w:t xml:space="preserve">While activities were clearly aligned to and informed health/development priorities, it was difficult to ascertain the extent to which </w:t>
      </w:r>
      <w:r w:rsidR="00FC2856">
        <w:rPr>
          <w:rStyle w:val="normaltextrun"/>
          <w:rFonts w:ascii="Calibri" w:eastAsiaTheme="majorEastAsia" w:hAnsi="Calibri" w:cs="Calibri"/>
        </w:rPr>
        <w:t xml:space="preserve">broader </w:t>
      </w:r>
      <w:r>
        <w:rPr>
          <w:rStyle w:val="normaltextrun"/>
          <w:rFonts w:ascii="Calibri" w:eastAsiaTheme="majorEastAsia" w:hAnsi="Calibri" w:cs="Calibri"/>
        </w:rPr>
        <w:t>‘environment priorities’ were addressed by the project. As discussed in stakeholder engagement (</w:t>
      </w:r>
      <w:r>
        <w:rPr>
          <w:rStyle w:val="normaltextrun"/>
          <w:rFonts w:ascii="Calibri" w:eastAsiaTheme="majorEastAsia" w:hAnsi="Calibri" w:cs="Calibri"/>
          <w:b/>
          <w:bCs/>
        </w:rPr>
        <w:t>section 5.3</w:t>
      </w:r>
      <w:r>
        <w:rPr>
          <w:rStyle w:val="normaltextrun"/>
          <w:rFonts w:ascii="Calibri" w:eastAsiaTheme="majorEastAsia" w:hAnsi="Calibri" w:cs="Calibri"/>
        </w:rPr>
        <w:t xml:space="preserve">), the project did facilitate multi-sectoral coordination between health and health determining sectors. And there were illustrative examples of collaboration, particularly in relation to integrated surveillance system pilots. As one stakeholder noted, </w:t>
      </w:r>
      <w:r>
        <w:rPr>
          <w:rStyle w:val="normaltextrun"/>
          <w:rFonts w:ascii="Calibri" w:eastAsiaTheme="majorEastAsia" w:hAnsi="Calibri" w:cs="Calibri"/>
          <w:i/>
        </w:rPr>
        <w:t>“when departments start talking, they can share ideas and identify solutions that benefit all” (KS#</w:t>
      </w:r>
      <w:r>
        <w:rPr>
          <w:rStyle w:val="normaltextrun"/>
          <w:rFonts w:ascii="Calibri" w:eastAsiaTheme="majorEastAsia" w:hAnsi="Calibri" w:cs="Calibri"/>
          <w:i/>
          <w:iCs/>
        </w:rPr>
        <w:t>7</w:t>
      </w:r>
      <w:r>
        <w:rPr>
          <w:rStyle w:val="normaltextrun"/>
          <w:rFonts w:ascii="Calibri" w:eastAsiaTheme="majorEastAsia" w:hAnsi="Calibri" w:cs="Calibri"/>
          <w:i/>
        </w:rPr>
        <w:t>).</w:t>
      </w:r>
      <w:r>
        <w:rPr>
          <w:rStyle w:val="normaltextrun"/>
          <w:rFonts w:ascii="Calibri" w:eastAsiaTheme="majorEastAsia" w:hAnsi="Calibri" w:cs="Calibri"/>
        </w:rPr>
        <w:t xml:space="preserve"> </w:t>
      </w:r>
    </w:p>
    <w:p w14:paraId="75071095" w14:textId="77777777" w:rsidR="002B060A" w:rsidRDefault="002B060A" w:rsidP="00C07A0A">
      <w:pPr>
        <w:jc w:val="both"/>
        <w:rPr>
          <w:rStyle w:val="normaltextrun"/>
          <w:rFonts w:ascii="Calibri" w:eastAsiaTheme="majorEastAsia" w:hAnsi="Calibri" w:cs="Calibri"/>
        </w:rPr>
      </w:pPr>
    </w:p>
    <w:p w14:paraId="721C5097" w14:textId="77777777" w:rsidR="00BF5CD4" w:rsidRDefault="00BF5CD4" w:rsidP="00C07A0A">
      <w:pPr>
        <w:rPr>
          <w:rFonts w:ascii="Calibri" w:hAnsi="Calibri" w:cs="Calibri"/>
          <w:b/>
          <w:i/>
        </w:rPr>
      </w:pPr>
      <w:r>
        <w:rPr>
          <w:rStyle w:val="normaltextrun"/>
          <w:rFonts w:ascii="Calibri" w:eastAsiaTheme="majorEastAsia" w:hAnsi="Calibri" w:cs="Calibri"/>
          <w:b/>
          <w:i/>
          <w:color w:val="000000" w:themeColor="text1"/>
        </w:rPr>
        <w:t xml:space="preserve">Regional and International </w:t>
      </w:r>
      <w:r>
        <w:rPr>
          <w:rStyle w:val="normaltextrun"/>
          <w:rFonts w:ascii="Calibri" w:eastAsiaTheme="majorEastAsia" w:hAnsi="Calibri" w:cs="Calibri"/>
          <w:b/>
          <w:bCs/>
          <w:i/>
          <w:iCs/>
          <w:color w:val="000000" w:themeColor="text1"/>
        </w:rPr>
        <w:t xml:space="preserve">Level </w:t>
      </w:r>
    </w:p>
    <w:p w14:paraId="75071098" w14:textId="6C3B2F69" w:rsidR="002B060A" w:rsidRDefault="00BF5CD4" w:rsidP="00C07A0A">
      <w:pPr>
        <w:jc w:val="both"/>
        <w:rPr>
          <w:rFonts w:ascii="Calibri" w:eastAsiaTheme="majorEastAsia" w:hAnsi="Calibri" w:cs="Calibri"/>
          <w:bCs/>
        </w:rPr>
      </w:pPr>
      <w:r>
        <w:rPr>
          <w:rFonts w:ascii="Calibri" w:eastAsiaTheme="majorEastAsia" w:hAnsi="Calibri" w:cs="Calibri"/>
          <w:bCs/>
        </w:rPr>
        <w:t xml:space="preserve">The initiative demonstrated alignment with regional frameworks </w:t>
      </w:r>
      <w:r>
        <w:rPr>
          <w:rStyle w:val="normaltextrun"/>
        </w:rPr>
        <w:t>such</w:t>
      </w:r>
      <w:r>
        <w:rPr>
          <w:rFonts w:ascii="Calibri" w:eastAsiaTheme="majorEastAsia" w:hAnsi="Calibri" w:cs="Calibri"/>
          <w:bCs/>
        </w:rPr>
        <w:t xml:space="preserve"> as the M</w:t>
      </w:r>
      <w:r w:rsidRPr="00013A2F">
        <w:rPr>
          <w:rFonts w:ascii="Calibri" w:eastAsiaTheme="majorEastAsia" w:hAnsi="Calibri" w:cs="Calibri"/>
          <w:bCs/>
        </w:rPr>
        <w:t>al</w:t>
      </w:r>
      <w:r>
        <w:rPr>
          <w:rFonts w:ascii="Calibri" w:eastAsiaTheme="majorEastAsia" w:hAnsi="Calibri" w:cs="Calibri"/>
          <w:bCs/>
        </w:rPr>
        <w:t xml:space="preserve">e Declaration on Building Health System Resilience to Climate Change </w:t>
      </w:r>
      <w:r w:rsidR="00E8747F">
        <w:rPr>
          <w:rFonts w:ascii="Calibri" w:eastAsiaTheme="majorEastAsia" w:hAnsi="Calibri" w:cs="Calibri"/>
          <w:bCs/>
        </w:rPr>
        <w:t>(e</w:t>
      </w:r>
      <w:r w:rsidR="00FC2D06">
        <w:rPr>
          <w:rFonts w:ascii="Calibri" w:eastAsiaTheme="majorEastAsia" w:hAnsi="Calibri" w:cs="Calibri"/>
          <w:bCs/>
        </w:rPr>
        <w:t>ndorsed by  all SEAR member states in Male, Maldives</w:t>
      </w:r>
      <w:r>
        <w:rPr>
          <w:rFonts w:ascii="Calibri" w:eastAsiaTheme="majorEastAsia" w:hAnsi="Calibri" w:cs="Calibri"/>
          <w:bCs/>
        </w:rPr>
        <w:t xml:space="preserve">) and WHO Operational Framework for Building Climate resilient and Low Carbon Health Systems. Climate change is also clearly identified as a priority in WHO work plans at regional and HQ levels, increasing relevance and potential for disseminating project </w:t>
      </w:r>
      <w:r>
        <w:rPr>
          <w:rFonts w:ascii="Calibri" w:eastAsiaTheme="majorEastAsia" w:hAnsi="Calibri" w:cs="Calibri"/>
          <w:bCs/>
        </w:rPr>
        <w:lastRenderedPageBreak/>
        <w:t>achievements. Stakeholders also agreed the project was aligned with climate and health priorities in UNDP’s strategic plan, promoting an integrated approach across ministries and stakeholders</w:t>
      </w:r>
      <w:r w:rsidR="00E8747F">
        <w:rPr>
          <w:rFonts w:ascii="Calibri" w:eastAsiaTheme="majorEastAsia" w:hAnsi="Calibri" w:cs="Calibri"/>
          <w:bCs/>
        </w:rPr>
        <w:t>.</w:t>
      </w:r>
    </w:p>
    <w:p w14:paraId="7507109D" w14:textId="77777777" w:rsidR="002B060A" w:rsidRDefault="002B060A" w:rsidP="00C07A0A">
      <w:pPr>
        <w:jc w:val="both"/>
        <w:rPr>
          <w:rFonts w:ascii="Calibri" w:eastAsiaTheme="majorEastAsia" w:hAnsi="Calibri" w:cs="Calibri"/>
          <w:bCs/>
        </w:rPr>
      </w:pPr>
    </w:p>
    <w:p w14:paraId="7507109E" w14:textId="77777777" w:rsidR="002B060A" w:rsidRDefault="006040A7" w:rsidP="00C07A0A">
      <w:pPr>
        <w:pStyle w:val="Heading4"/>
        <w:rPr>
          <w:rFonts w:ascii="Calibri" w:hAnsi="Calibri" w:cs="Calibri"/>
        </w:rPr>
      </w:pPr>
      <w:r>
        <w:rPr>
          <w:rFonts w:ascii="Calibri" w:hAnsi="Calibri" w:cs="Calibri"/>
        </w:rPr>
        <w:t>Effectiveness</w:t>
      </w:r>
    </w:p>
    <w:tbl>
      <w:tblPr>
        <w:tblStyle w:val="TableGrid"/>
        <w:tblW w:w="0" w:type="auto"/>
        <w:tblLook w:val="04A0" w:firstRow="1" w:lastRow="0" w:firstColumn="1" w:lastColumn="0" w:noHBand="0" w:noVBand="1"/>
      </w:tblPr>
      <w:tblGrid>
        <w:gridCol w:w="8075"/>
        <w:gridCol w:w="941"/>
      </w:tblGrid>
      <w:tr w:rsidR="002B060A" w14:paraId="750710A1" w14:textId="77777777" w:rsidTr="001071B4">
        <w:tc>
          <w:tcPr>
            <w:tcW w:w="8075" w:type="dxa"/>
            <w:shd w:val="clear" w:color="auto" w:fill="DAE9F7" w:themeFill="text2" w:themeFillTint="1A"/>
          </w:tcPr>
          <w:p w14:paraId="7507109F" w14:textId="77777777" w:rsidR="002B060A" w:rsidRDefault="006040A7" w:rsidP="00C07A0A">
            <w:pPr>
              <w:spacing w:after="120" w:line="276" w:lineRule="auto"/>
              <w:jc w:val="both"/>
              <w:rPr>
                <w:rFonts w:ascii="Calibri" w:eastAsiaTheme="minorEastAsia" w:hAnsi="Calibri" w:cs="Calibri"/>
                <w:b/>
                <w:color w:val="000000" w:themeColor="text1"/>
                <w:sz w:val="22"/>
                <w:szCs w:val="22"/>
              </w:rPr>
            </w:pPr>
            <w:r>
              <w:rPr>
                <w:rFonts w:ascii="Calibri" w:eastAsiaTheme="minorEastAsia" w:hAnsi="Calibri" w:cs="Calibri"/>
                <w:b/>
                <w:color w:val="000000" w:themeColor="text1"/>
                <w:sz w:val="22"/>
                <w:szCs w:val="22"/>
              </w:rPr>
              <w:t>Criteria description</w:t>
            </w:r>
          </w:p>
        </w:tc>
        <w:tc>
          <w:tcPr>
            <w:tcW w:w="941" w:type="dxa"/>
            <w:shd w:val="clear" w:color="auto" w:fill="DAE9F7" w:themeFill="text2" w:themeFillTint="1A"/>
          </w:tcPr>
          <w:p w14:paraId="750710A0" w14:textId="77777777" w:rsidR="002B060A" w:rsidRDefault="006040A7" w:rsidP="00C07A0A">
            <w:pPr>
              <w:spacing w:after="120" w:line="276" w:lineRule="auto"/>
              <w:jc w:val="both"/>
              <w:rPr>
                <w:rFonts w:ascii="Calibri" w:eastAsiaTheme="minorEastAsia" w:hAnsi="Calibri" w:cs="Calibri"/>
                <w:b/>
                <w:color w:val="000000" w:themeColor="text1"/>
                <w:sz w:val="22"/>
                <w:szCs w:val="22"/>
              </w:rPr>
            </w:pPr>
            <w:r>
              <w:rPr>
                <w:rFonts w:ascii="Calibri" w:eastAsiaTheme="minorEastAsia" w:hAnsi="Calibri" w:cs="Calibri"/>
                <w:b/>
                <w:color w:val="000000" w:themeColor="text1"/>
                <w:sz w:val="22"/>
                <w:szCs w:val="22"/>
              </w:rPr>
              <w:t xml:space="preserve">Rating </w:t>
            </w:r>
          </w:p>
        </w:tc>
      </w:tr>
      <w:tr w:rsidR="002B060A" w14:paraId="750710A4" w14:textId="77777777" w:rsidTr="001071B4">
        <w:tc>
          <w:tcPr>
            <w:tcW w:w="8075" w:type="dxa"/>
          </w:tcPr>
          <w:p w14:paraId="750710A2" w14:textId="77777777" w:rsidR="002B060A" w:rsidRDefault="006040A7" w:rsidP="00C07A0A">
            <w:pPr>
              <w:spacing w:after="120" w:line="276" w:lineRule="auto"/>
              <w:jc w:val="both"/>
              <w:rPr>
                <w:rFonts w:ascii="Calibri" w:eastAsiaTheme="minorEastAsia" w:hAnsi="Calibri" w:cs="Calibri"/>
                <w:color w:val="000000" w:themeColor="text1"/>
                <w:sz w:val="22"/>
                <w:szCs w:val="22"/>
              </w:rPr>
            </w:pPr>
            <w:r>
              <w:rPr>
                <w:rFonts w:ascii="Calibri" w:eastAsiaTheme="minorEastAsia" w:hAnsi="Calibri" w:cs="Calibri"/>
                <w:b/>
                <w:color w:val="000000" w:themeColor="text1"/>
                <w:sz w:val="22"/>
                <w:szCs w:val="22"/>
              </w:rPr>
              <w:t>Effectiveness:</w:t>
            </w:r>
            <w:r>
              <w:rPr>
                <w:rFonts w:ascii="Calibri" w:eastAsiaTheme="minorEastAsia" w:hAnsi="Calibri" w:cs="Calibri"/>
                <w:color w:val="000000" w:themeColor="text1"/>
                <w:sz w:val="22"/>
                <w:szCs w:val="22"/>
              </w:rPr>
              <w:t xml:space="preserve"> To what extent have the expected outcomes and objectives of the project been achieved?</w:t>
            </w:r>
          </w:p>
        </w:tc>
        <w:tc>
          <w:tcPr>
            <w:tcW w:w="941" w:type="dxa"/>
          </w:tcPr>
          <w:p w14:paraId="750710A3" w14:textId="77777777" w:rsidR="002B060A" w:rsidRDefault="006040A7" w:rsidP="00C07A0A">
            <w:pPr>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HS</w:t>
            </w:r>
          </w:p>
        </w:tc>
      </w:tr>
    </w:tbl>
    <w:p w14:paraId="750710A5"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750710A6" w14:textId="77777777" w:rsidR="002B060A" w:rsidRDefault="006040A7" w:rsidP="00C07A0A">
      <w:pPr>
        <w:jc w:val="both"/>
        <w:rPr>
          <w:rStyle w:val="normaltextrun"/>
          <w:rFonts w:ascii="Calibri" w:eastAsiaTheme="majorEastAsia" w:hAnsi="Calibri" w:cs="Calibri"/>
        </w:rPr>
      </w:pPr>
      <w:r>
        <w:rPr>
          <w:rStyle w:val="normaltextrun"/>
          <w:rFonts w:ascii="Calibri" w:eastAsiaTheme="majorEastAsia" w:hAnsi="Calibri" w:cs="Calibri"/>
        </w:rPr>
        <w:t xml:space="preserve">As described in </w:t>
      </w:r>
      <w:r>
        <w:rPr>
          <w:rStyle w:val="normaltextrun"/>
          <w:rFonts w:ascii="Calibri" w:eastAsiaTheme="majorEastAsia" w:hAnsi="Calibri" w:cs="Calibri"/>
          <w:b/>
          <w:bCs/>
        </w:rPr>
        <w:t>section 5.2</w:t>
      </w:r>
      <w:r>
        <w:rPr>
          <w:rStyle w:val="normaltextrun"/>
          <w:rFonts w:ascii="Calibri" w:eastAsiaTheme="majorEastAsia" w:hAnsi="Calibri" w:cs="Calibri"/>
        </w:rPr>
        <w:t xml:space="preserve">, the project has effectively delivered its overarching objectives, and has achieved or is on track to achieve all overarching outcomes.  </w:t>
      </w:r>
    </w:p>
    <w:p w14:paraId="750710A7" w14:textId="77777777" w:rsidR="002B060A" w:rsidRDefault="002B060A" w:rsidP="00C07A0A">
      <w:pPr>
        <w:rPr>
          <w:rFonts w:ascii="Calibri" w:hAnsi="Calibri" w:cs="Calibri"/>
          <w:lang w:val="en-US" w:eastAsia="en-US"/>
        </w:rPr>
      </w:pPr>
    </w:p>
    <w:p w14:paraId="750710A8" w14:textId="77777777" w:rsidR="002B060A" w:rsidRDefault="006040A7" w:rsidP="00C07A0A">
      <w:pPr>
        <w:pStyle w:val="Heading4"/>
        <w:rPr>
          <w:rFonts w:ascii="Calibri" w:hAnsi="Calibri" w:cs="Calibri"/>
        </w:rPr>
      </w:pPr>
      <w:r>
        <w:rPr>
          <w:rFonts w:ascii="Calibri" w:hAnsi="Calibri" w:cs="Calibri"/>
        </w:rPr>
        <w:t>Gender equality and women’s empowerment</w:t>
      </w:r>
    </w:p>
    <w:p w14:paraId="750710A9" w14:textId="3596B5B9" w:rsidR="002B060A" w:rsidRDefault="7CCC5B56" w:rsidP="00C07A0A">
      <w:pPr>
        <w:jc w:val="both"/>
        <w:rPr>
          <w:rFonts w:ascii="Calibri" w:eastAsiaTheme="majorEastAsia" w:hAnsi="Calibri" w:cs="Calibri"/>
          <w:color w:val="000000" w:themeColor="text1"/>
        </w:rPr>
      </w:pPr>
      <w:r w:rsidRPr="7CCC5B56">
        <w:rPr>
          <w:rFonts w:ascii="Calibri" w:eastAsiaTheme="majorEastAsia" w:hAnsi="Calibri" w:cs="Calibri"/>
          <w:color w:val="000000" w:themeColor="text1"/>
        </w:rPr>
        <w:t xml:space="preserve">Advancing gender equality and women’s empowerment was identified as a significant objective in the project design. Gender issues were considered across project activities by all countries and measured through collection of sex-disaggregated data for climate-sensitive health risks and capacity </w:t>
      </w:r>
      <w:r w:rsidRPr="7CCC5B56">
        <w:rPr>
          <w:rFonts w:ascii="Calibri" w:eastAsiaTheme="majorEastAsia" w:hAnsi="Calibri" w:cs="Calibri"/>
        </w:rPr>
        <w:t>development</w:t>
      </w:r>
      <w:r w:rsidRPr="7CCC5B56">
        <w:rPr>
          <w:rFonts w:ascii="Calibri" w:eastAsiaTheme="majorEastAsia" w:hAnsi="Calibri" w:cs="Calibri"/>
          <w:color w:val="000000" w:themeColor="text1"/>
        </w:rPr>
        <w:t xml:space="preserve"> activities as much as possible. WHO HQ contracted a gender expert who developed a draft Gender Analysis toolkit for V&amp;A assessments and supported countries in conducting gender analyses.</w:t>
      </w:r>
      <w:r w:rsidR="00312921" w:rsidRPr="00312921">
        <w:rPr>
          <w:rFonts w:ascii="Calibri" w:eastAsiaTheme="majorEastAsia" w:hAnsi="Calibri" w:cs="Calibri"/>
          <w:color w:val="000000" w:themeColor="text1"/>
        </w:rPr>
        <w:t xml:space="preserve"> </w:t>
      </w:r>
      <w:r w:rsidR="00312921" w:rsidRPr="7CCC5B56">
        <w:rPr>
          <w:rFonts w:ascii="Calibri" w:eastAsiaTheme="majorEastAsia" w:hAnsi="Calibri" w:cs="Calibri"/>
          <w:color w:val="000000" w:themeColor="text1"/>
        </w:rPr>
        <w:t>The</w:t>
      </w:r>
      <w:r w:rsidR="00312921">
        <w:rPr>
          <w:rFonts w:ascii="Calibri" w:eastAsiaTheme="majorEastAsia" w:hAnsi="Calibri" w:cs="Calibri"/>
          <w:color w:val="000000" w:themeColor="text1"/>
        </w:rPr>
        <w:t xml:space="preserve"> draft toolkit was circulated </w:t>
      </w:r>
      <w:r w:rsidR="00871650">
        <w:rPr>
          <w:rFonts w:ascii="Calibri" w:eastAsiaTheme="majorEastAsia" w:hAnsi="Calibri" w:cs="Calibri"/>
          <w:color w:val="000000" w:themeColor="text1"/>
        </w:rPr>
        <w:t xml:space="preserve">to </w:t>
      </w:r>
      <w:r w:rsidR="00312921">
        <w:rPr>
          <w:rFonts w:ascii="Calibri" w:eastAsiaTheme="majorEastAsia" w:hAnsi="Calibri" w:cs="Calibri"/>
          <w:color w:val="000000" w:themeColor="text1"/>
        </w:rPr>
        <w:t xml:space="preserve">project teams in countries for information and comment, </w:t>
      </w:r>
      <w:r w:rsidR="00312921" w:rsidRPr="1E96F1B7">
        <w:rPr>
          <w:rFonts w:ascii="Calibri" w:eastAsiaTheme="majorEastAsia" w:hAnsi="Calibri" w:cs="Calibri"/>
          <w:color w:val="000000" w:themeColor="text1"/>
        </w:rPr>
        <w:t>and</w:t>
      </w:r>
      <w:r w:rsidR="00312921" w:rsidRPr="7CCC5B56">
        <w:rPr>
          <w:rFonts w:ascii="Calibri" w:eastAsiaTheme="majorEastAsia" w:hAnsi="Calibri" w:cs="Calibri"/>
          <w:color w:val="000000" w:themeColor="text1"/>
        </w:rPr>
        <w:t xml:space="preserve"> is expected to be published </w:t>
      </w:r>
      <w:r w:rsidR="00CB4424">
        <w:rPr>
          <w:rFonts w:ascii="Calibri" w:eastAsiaTheme="majorEastAsia" w:hAnsi="Calibri" w:cs="Calibri"/>
          <w:color w:val="000000" w:themeColor="text1"/>
        </w:rPr>
        <w:t>in</w:t>
      </w:r>
      <w:r w:rsidR="00312921" w:rsidRPr="7CCC5B56">
        <w:rPr>
          <w:rFonts w:ascii="Calibri" w:eastAsiaTheme="majorEastAsia" w:hAnsi="Calibri" w:cs="Calibri"/>
          <w:color w:val="000000" w:themeColor="text1"/>
        </w:rPr>
        <w:t xml:space="preserve"> 2024</w:t>
      </w:r>
      <w:r w:rsidRPr="7CCC5B56">
        <w:rPr>
          <w:rFonts w:ascii="Calibri" w:eastAsiaTheme="majorEastAsia" w:hAnsi="Calibri" w:cs="Calibri"/>
          <w:color w:val="000000" w:themeColor="text1"/>
        </w:rPr>
        <w:t>. Given the timing, the potential of the toolkit to inform the project is therefore limited, however it should be a helpful resource for future climate and health-related activities.</w:t>
      </w:r>
    </w:p>
    <w:p w14:paraId="750710AA" w14:textId="77777777" w:rsidR="002B060A" w:rsidRDefault="002B060A" w:rsidP="00C07A0A">
      <w:pPr>
        <w:pStyle w:val="paragraph"/>
        <w:suppressAutoHyphens/>
        <w:spacing w:before="0" w:beforeAutospacing="0" w:after="0" w:afterAutospacing="0"/>
        <w:jc w:val="both"/>
        <w:rPr>
          <w:rFonts w:ascii="Calibri" w:eastAsiaTheme="majorEastAsia" w:hAnsi="Calibri" w:cs="Calibri"/>
          <w:b/>
          <w:i/>
          <w:color w:val="000000" w:themeColor="text1"/>
        </w:rPr>
      </w:pPr>
    </w:p>
    <w:p w14:paraId="750710AB" w14:textId="77777777" w:rsidR="002B060A" w:rsidRDefault="006040A7" w:rsidP="00C07A0A">
      <w:pPr>
        <w:pStyle w:val="paragraph"/>
        <w:suppressAutoHyphens/>
        <w:spacing w:before="0" w:beforeAutospacing="0" w:after="0" w:afterAutospacing="0"/>
        <w:jc w:val="both"/>
        <w:rPr>
          <w:rStyle w:val="normaltextrun"/>
          <w:rFonts w:ascii="Calibri" w:eastAsiaTheme="majorEastAsia" w:hAnsi="Calibri" w:cs="Calibri"/>
          <w:b/>
          <w:color w:val="000000" w:themeColor="text1"/>
        </w:rPr>
      </w:pPr>
      <w:r>
        <w:rPr>
          <w:rFonts w:ascii="Calibri" w:eastAsiaTheme="majorEastAsia" w:hAnsi="Calibri" w:cs="Calibri"/>
          <w:b/>
          <w:i/>
          <w:color w:val="000000" w:themeColor="text1"/>
        </w:rPr>
        <w:t>Country-Level Activities</w:t>
      </w:r>
    </w:p>
    <w:p w14:paraId="750710AC"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tbl>
      <w:tblPr>
        <w:tblStyle w:val="TableGrid"/>
        <w:tblW w:w="0" w:type="auto"/>
        <w:tblLook w:val="04A0" w:firstRow="1" w:lastRow="0" w:firstColumn="1" w:lastColumn="0" w:noHBand="0" w:noVBand="1"/>
      </w:tblPr>
      <w:tblGrid>
        <w:gridCol w:w="1413"/>
        <w:gridCol w:w="7603"/>
      </w:tblGrid>
      <w:tr w:rsidR="004778D4" w14:paraId="246BB07A" w14:textId="77777777" w:rsidTr="008432F3">
        <w:tc>
          <w:tcPr>
            <w:tcW w:w="1413" w:type="dxa"/>
          </w:tcPr>
          <w:p w14:paraId="419EB7B5" w14:textId="77777777" w:rsidR="004778D4" w:rsidRDefault="004778D4"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Bangladesh</w:t>
            </w:r>
          </w:p>
        </w:tc>
        <w:tc>
          <w:tcPr>
            <w:tcW w:w="7603" w:type="dxa"/>
          </w:tcPr>
          <w:p w14:paraId="00FA7BCA" w14:textId="77777777" w:rsidR="004778D4" w:rsidRDefault="004778D4" w:rsidP="00C07A0A">
            <w:pPr>
              <w:pStyle w:val="paragraph"/>
              <w:suppressAutoHyphens/>
              <w:jc w:val="both"/>
              <w:rPr>
                <w:rFonts w:ascii="Calibri" w:eastAsiaTheme="majorEastAsia" w:hAnsi="Calibri" w:cs="Calibri"/>
                <w:color w:val="000000" w:themeColor="text1"/>
                <w:sz w:val="22"/>
                <w:szCs w:val="22"/>
                <w:lang w:val="en-US"/>
              </w:rPr>
            </w:pPr>
            <w:r>
              <w:rPr>
                <w:rFonts w:ascii="Calibri" w:hAnsi="Calibri" w:cs="Calibri"/>
                <w:sz w:val="22"/>
                <w:szCs w:val="22"/>
              </w:rPr>
              <w:t xml:space="preserve">Completed a sex-disaggregated health vulnerability and adaptation assessment in 2022. Female participation was encouraged in meetings, workshops, and trainings. </w:t>
            </w:r>
            <w:r>
              <w:rPr>
                <w:rFonts w:ascii="Calibri" w:eastAsiaTheme="majorEastAsia" w:hAnsi="Calibri" w:cs="Calibri"/>
                <w:color w:val="000000" w:themeColor="text1"/>
                <w:sz w:val="22"/>
                <w:szCs w:val="22"/>
                <w:lang w:val="en-GB"/>
              </w:rPr>
              <w:t xml:space="preserve">It was noted during interviews that local partners embedded gender and disability inclusion in the program to upgrade WASH and waste management in 8 HCF, including establishing female lavatories and accessibility support. Interview data also highlighted however that throughout the project duration, </w:t>
            </w:r>
            <w:r>
              <w:rPr>
                <w:rFonts w:ascii="Calibri" w:eastAsiaTheme="majorEastAsia" w:hAnsi="Calibri" w:cs="Calibri"/>
                <w:i/>
                <w:color w:val="000000" w:themeColor="text1"/>
                <w:sz w:val="22"/>
                <w:szCs w:val="22"/>
                <w:lang w:val="en-GB"/>
              </w:rPr>
              <w:t xml:space="preserve">"it was difficult to target women's empowerment" </w:t>
            </w:r>
            <w:r>
              <w:rPr>
                <w:rFonts w:ascii="Calibri" w:eastAsiaTheme="majorEastAsia" w:hAnsi="Calibri" w:cs="Calibri"/>
                <w:i/>
                <w:iCs/>
                <w:color w:val="000000" w:themeColor="text1"/>
                <w:sz w:val="22"/>
                <w:szCs w:val="22"/>
                <w:lang w:val="en-GB"/>
              </w:rPr>
              <w:t>(KS#8)</w:t>
            </w:r>
            <w:r>
              <w:rPr>
                <w:rFonts w:ascii="Calibri" w:eastAsiaTheme="majorEastAsia" w:hAnsi="Calibri" w:cs="Calibri"/>
                <w:color w:val="000000" w:themeColor="text1"/>
                <w:sz w:val="22"/>
                <w:szCs w:val="22"/>
                <w:lang w:val="en-GB"/>
              </w:rPr>
              <w:t xml:space="preserve"> and those in senior MoH roles were occupied by men, which therefore leads to an under-representation of women at senior level. </w:t>
            </w:r>
          </w:p>
        </w:tc>
      </w:tr>
      <w:tr w:rsidR="004778D4" w14:paraId="4EC0A653" w14:textId="77777777" w:rsidTr="008432F3">
        <w:tc>
          <w:tcPr>
            <w:tcW w:w="1413" w:type="dxa"/>
          </w:tcPr>
          <w:p w14:paraId="525E05B9" w14:textId="77777777" w:rsidR="004778D4" w:rsidRDefault="004778D4"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Cambodia</w:t>
            </w:r>
          </w:p>
        </w:tc>
        <w:tc>
          <w:tcPr>
            <w:tcW w:w="7603" w:type="dxa"/>
          </w:tcPr>
          <w:p w14:paraId="7C0E6188" w14:textId="77777777" w:rsidR="004778D4" w:rsidRDefault="004778D4" w:rsidP="00C07A0A">
            <w:pPr>
              <w:spacing w:before="100" w:beforeAutospacing="1" w:after="100" w:afterAutospacing="1"/>
              <w:rPr>
                <w:rFonts w:ascii="Calibri" w:hAnsi="Calibri" w:cs="Calibri"/>
                <w:sz w:val="22"/>
                <w:szCs w:val="22"/>
                <w:lang w:eastAsia="en-AU"/>
              </w:rPr>
            </w:pPr>
            <w:r>
              <w:rPr>
                <w:rFonts w:ascii="Calibri" w:hAnsi="Calibri" w:cs="Calibri"/>
                <w:sz w:val="22"/>
                <w:szCs w:val="22"/>
                <w:lang w:eastAsia="en-AU"/>
              </w:rPr>
              <w:t xml:space="preserve">Launched an updated sex-disaggregated National and Provincial V&amp;A Assessments report in March 2019. Gender equality was included in the national and sub-national Technical Working Groups. The WASH assessment included gender-specific questions, and water treatment installations aimed to assist female community members responsible for water collection. </w:t>
            </w:r>
            <w:r>
              <w:rPr>
                <w:rFonts w:ascii="Calibri" w:eastAsiaTheme="majorEastAsia" w:hAnsi="Calibri" w:cs="Calibri"/>
                <w:color w:val="000000" w:themeColor="text1"/>
                <w:sz w:val="22"/>
                <w:szCs w:val="22"/>
                <w:lang w:val="en-GB"/>
              </w:rPr>
              <w:t xml:space="preserve">Female healthcare staff ratio at trainings was provided within the reports and it was noted during interviews that </w:t>
            </w:r>
            <w:r>
              <w:rPr>
                <w:rFonts w:ascii="Calibri" w:eastAsiaTheme="majorEastAsia" w:hAnsi="Calibri" w:cs="Calibri"/>
                <w:color w:val="000000" w:themeColor="text1"/>
                <w:sz w:val="22"/>
                <w:szCs w:val="22"/>
                <w:lang w:val="en-US"/>
              </w:rPr>
              <w:t>gender awareness is also being raised at the community level.</w:t>
            </w:r>
          </w:p>
        </w:tc>
      </w:tr>
      <w:tr w:rsidR="004778D4" w14:paraId="16AF4D51" w14:textId="77777777" w:rsidTr="008432F3">
        <w:tc>
          <w:tcPr>
            <w:tcW w:w="1413" w:type="dxa"/>
          </w:tcPr>
          <w:p w14:paraId="4FB9AB2C" w14:textId="77777777" w:rsidR="004778D4" w:rsidRDefault="004778D4"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Lao PDR</w:t>
            </w:r>
          </w:p>
        </w:tc>
        <w:tc>
          <w:tcPr>
            <w:tcW w:w="7603" w:type="dxa"/>
          </w:tcPr>
          <w:p w14:paraId="20E89BD7" w14:textId="77777777" w:rsidR="004778D4" w:rsidRDefault="004778D4" w:rsidP="00C07A0A">
            <w:pPr>
              <w:pStyle w:val="paragraph"/>
              <w:suppressAutoHyphens/>
              <w:rPr>
                <w:rFonts w:ascii="Calibri" w:eastAsiaTheme="majorEastAsia" w:hAnsi="Calibri" w:cs="Calibri"/>
                <w:sz w:val="22"/>
                <w:szCs w:val="22"/>
                <w:lang w:val="en-GB"/>
              </w:rPr>
            </w:pPr>
            <w:r>
              <w:rPr>
                <w:rFonts w:ascii="Calibri" w:hAnsi="Calibri" w:cs="Calibri"/>
                <w:sz w:val="22"/>
                <w:szCs w:val="22"/>
              </w:rPr>
              <w:t>Gender was integrated into WHO's climate change and health training modules and community educational materials. These efforts aimed to increase understanding of gender norms and encourage addressing gender and equity issues.</w:t>
            </w:r>
          </w:p>
        </w:tc>
      </w:tr>
      <w:tr w:rsidR="004778D4" w14:paraId="2AB31B34" w14:textId="77777777" w:rsidTr="008432F3">
        <w:tc>
          <w:tcPr>
            <w:tcW w:w="1413" w:type="dxa"/>
          </w:tcPr>
          <w:p w14:paraId="5E35D778" w14:textId="77777777" w:rsidR="004778D4" w:rsidRDefault="004778D4"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t>Nepal</w:t>
            </w:r>
          </w:p>
        </w:tc>
        <w:tc>
          <w:tcPr>
            <w:tcW w:w="7603" w:type="dxa"/>
          </w:tcPr>
          <w:p w14:paraId="5297F587" w14:textId="77777777" w:rsidR="004778D4" w:rsidRDefault="004778D4" w:rsidP="00C07A0A">
            <w:pPr>
              <w:pStyle w:val="paragraph"/>
              <w:suppressAutoHyphens/>
              <w:rPr>
                <w:rFonts w:ascii="Calibri" w:eastAsiaTheme="majorEastAsia" w:hAnsi="Calibri" w:cs="Calibri"/>
                <w:color w:val="000000" w:themeColor="text1"/>
                <w:sz w:val="22"/>
                <w:szCs w:val="22"/>
                <w:lang w:val="en-GB"/>
              </w:rPr>
            </w:pPr>
            <w:r>
              <w:rPr>
                <w:rFonts w:ascii="Calibri" w:hAnsi="Calibri" w:cs="Calibri"/>
                <w:sz w:val="22"/>
                <w:szCs w:val="22"/>
              </w:rPr>
              <w:t xml:space="preserve">Emphasised gender balance in all project activities, including participant selection for trainings and meetings. Efforts to maximise women's participation were noted, </w:t>
            </w:r>
            <w:r>
              <w:rPr>
                <w:rFonts w:ascii="Calibri" w:hAnsi="Calibri" w:cs="Calibri"/>
                <w:sz w:val="22"/>
                <w:szCs w:val="22"/>
              </w:rPr>
              <w:lastRenderedPageBreak/>
              <w:t>and recommendations from a gender integration review in V&amp;A assessments were implemented.</w:t>
            </w:r>
          </w:p>
        </w:tc>
      </w:tr>
      <w:tr w:rsidR="004778D4" w14:paraId="2035776A" w14:textId="77777777" w:rsidTr="008432F3">
        <w:tc>
          <w:tcPr>
            <w:tcW w:w="1413" w:type="dxa"/>
          </w:tcPr>
          <w:p w14:paraId="34276798" w14:textId="77777777" w:rsidR="004778D4" w:rsidRDefault="004778D4" w:rsidP="00C07A0A">
            <w:pPr>
              <w:pStyle w:val="paragraph"/>
              <w:suppressAutoHyphens/>
              <w:spacing w:before="0" w:beforeAutospacing="0" w:after="0" w:afterAutospacing="0"/>
              <w:rPr>
                <w:rStyle w:val="normaltextrun"/>
                <w:rFonts w:ascii="Calibri" w:eastAsiaTheme="majorEastAsia" w:hAnsi="Calibri" w:cs="Calibri"/>
                <w:b/>
                <w:color w:val="000000" w:themeColor="text1"/>
                <w:sz w:val="22"/>
                <w:szCs w:val="22"/>
              </w:rPr>
            </w:pPr>
            <w:r>
              <w:rPr>
                <w:rStyle w:val="normaltextrun"/>
                <w:rFonts w:ascii="Calibri" w:eastAsiaTheme="majorEastAsia" w:hAnsi="Calibri" w:cs="Calibri"/>
                <w:b/>
                <w:color w:val="000000" w:themeColor="text1"/>
                <w:sz w:val="22"/>
                <w:szCs w:val="22"/>
              </w:rPr>
              <w:lastRenderedPageBreak/>
              <w:t xml:space="preserve">Timor-Leste </w:t>
            </w:r>
          </w:p>
        </w:tc>
        <w:tc>
          <w:tcPr>
            <w:tcW w:w="7603" w:type="dxa"/>
          </w:tcPr>
          <w:p w14:paraId="66BDF38E" w14:textId="40B9AC51" w:rsidR="004778D4" w:rsidRDefault="004778D4" w:rsidP="00C07A0A">
            <w:pPr>
              <w:pStyle w:val="pf0"/>
              <w:suppressAutoHyphens/>
              <w:rPr>
                <w:rFonts w:ascii="Calibri" w:hAnsi="Calibri" w:cs="Calibri"/>
                <w:sz w:val="20"/>
                <w:szCs w:val="20"/>
              </w:rPr>
            </w:pPr>
            <w:r>
              <w:rPr>
                <w:rFonts w:ascii="Calibri" w:hAnsi="Calibri" w:cs="Calibri"/>
                <w:sz w:val="22"/>
                <w:szCs w:val="22"/>
              </w:rPr>
              <w:t>Gender considerations were a high priority. All MoH staff in the environmental health division are women, and 50% of workshop and training participants were women. However, most directors were male. A TOR for the V&amp;A consultancy was developed in year 3 of the project and included inputs from the HQ gender expert consultant.</w:t>
            </w:r>
            <w:r w:rsidRPr="00CB0E8D">
              <w:rPr>
                <w:rFonts w:ascii="Calibri" w:hAnsi="Calibri"/>
                <w:sz w:val="18"/>
                <w:shd w:val="clear" w:color="auto" w:fill="FFFFFF"/>
              </w:rPr>
              <w:t xml:space="preserve"> </w:t>
            </w:r>
            <w:r>
              <w:rPr>
                <w:rFonts w:ascii="Calibri" w:hAnsi="Calibri" w:cs="Calibri"/>
                <w:sz w:val="22"/>
                <w:szCs w:val="22"/>
              </w:rPr>
              <w:t>The sub-national V&amp;A has now been developed with inclusion of sex-disaggregation for vulnerable populations</w:t>
            </w:r>
            <w:r>
              <w:rPr>
                <w:rFonts w:ascii="Calibri" w:hAnsi="Calibri" w:cs="Calibri"/>
                <w:sz w:val="18"/>
                <w:szCs w:val="18"/>
                <w:shd w:val="clear" w:color="auto" w:fill="FFFFFF"/>
              </w:rPr>
              <w:t xml:space="preserve"> </w:t>
            </w:r>
          </w:p>
        </w:tc>
      </w:tr>
    </w:tbl>
    <w:p w14:paraId="21818573" w14:textId="2E14790B" w:rsidR="00D21489" w:rsidRDefault="00D21489" w:rsidP="00C07A0A">
      <w:pPr>
        <w:pStyle w:val="paragraph"/>
        <w:suppressAutoHyphens/>
        <w:jc w:val="both"/>
        <w:rPr>
          <w:rFonts w:ascii="Calibri" w:hAnsi="Calibri" w:cs="Calibri"/>
          <w:color w:val="000000"/>
          <w:shd w:val="clear" w:color="auto" w:fill="FFFFFF"/>
        </w:rPr>
      </w:pPr>
      <w:r>
        <w:rPr>
          <w:rFonts w:ascii="Calibri" w:eastAsiaTheme="majorEastAsia" w:hAnsi="Calibri" w:cs="Calibri"/>
          <w:color w:val="000000" w:themeColor="text1"/>
          <w:lang w:val="en-GB"/>
        </w:rPr>
        <w:t xml:space="preserve">Overall, although gender issues were a focus and considered by all project countries, it was also evident throughout the interviews that more consideration of gender in the project was needed. Additionally, it was highlighted that the gender focus for this project was </w:t>
      </w:r>
      <w:r>
        <w:rPr>
          <w:rFonts w:ascii="Calibri" w:eastAsiaTheme="majorEastAsia" w:hAnsi="Calibri" w:cs="Calibri"/>
          <w:i/>
          <w:color w:val="000000" w:themeColor="text1"/>
          <w:lang w:val="en-GB"/>
        </w:rPr>
        <w:t xml:space="preserve">"not very clear, specifically on how to target" </w:t>
      </w:r>
      <w:r>
        <w:rPr>
          <w:rFonts w:ascii="Calibri" w:eastAsiaTheme="majorEastAsia" w:hAnsi="Calibri" w:cs="Calibri"/>
          <w:i/>
          <w:iCs/>
          <w:color w:val="000000" w:themeColor="text1"/>
          <w:lang w:val="en-GB"/>
        </w:rPr>
        <w:t xml:space="preserve">(KS#9) </w:t>
      </w:r>
      <w:r>
        <w:rPr>
          <w:rFonts w:ascii="Calibri" w:eastAsiaTheme="majorEastAsia" w:hAnsi="Calibri" w:cs="Calibri"/>
          <w:color w:val="000000" w:themeColor="text1"/>
          <w:lang w:val="en-GB"/>
        </w:rPr>
        <w:t xml:space="preserve">and that </w:t>
      </w:r>
      <w:r>
        <w:rPr>
          <w:rFonts w:ascii="Calibri" w:eastAsiaTheme="majorEastAsia" w:hAnsi="Calibri" w:cs="Calibri"/>
          <w:i/>
          <w:color w:val="000000" w:themeColor="text1"/>
          <w:lang w:val="en-GB"/>
        </w:rPr>
        <w:t>"some gender reporting [not just this project], is based on attendance, does not necessarily represent empowerment</w:t>
      </w:r>
      <w:r>
        <w:rPr>
          <w:rFonts w:ascii="Calibri" w:eastAsiaTheme="majorEastAsia" w:hAnsi="Calibri" w:cs="Calibri"/>
          <w:i/>
          <w:iCs/>
          <w:color w:val="000000" w:themeColor="text1"/>
          <w:lang w:val="en-GB"/>
        </w:rPr>
        <w:t>" (KS#10)</w:t>
      </w:r>
      <w:r>
        <w:rPr>
          <w:rFonts w:ascii="Calibri" w:eastAsiaTheme="majorEastAsia" w:hAnsi="Calibri" w:cs="Calibri"/>
          <w:color w:val="000000" w:themeColor="text1"/>
          <w:lang w:val="en-GB"/>
        </w:rPr>
        <w:t xml:space="preserve"> </w:t>
      </w:r>
      <w:r w:rsidRPr="00CB0E8D">
        <w:rPr>
          <w:rFonts w:ascii="Calibri" w:hAnsi="Calibri"/>
          <w:color w:val="000000"/>
          <w:shd w:val="clear" w:color="auto" w:fill="FFFFFF"/>
        </w:rPr>
        <w:t xml:space="preserve">Furthermore, it was suggested that improvements could have been made in the enhancement of the M&amp;E to assess the extent to which activities addressed gender-related outcomes. </w:t>
      </w:r>
    </w:p>
    <w:p w14:paraId="750710BD" w14:textId="77777777" w:rsidR="002B060A" w:rsidRDefault="006040A7" w:rsidP="00C07A0A">
      <w:pPr>
        <w:pStyle w:val="paragraph"/>
        <w:suppressAutoHyphens/>
        <w:jc w:val="both"/>
        <w:rPr>
          <w:rFonts w:ascii="Calibri" w:hAnsi="Calibri" w:cs="Calibri"/>
          <w:color w:val="000000" w:themeColor="text1"/>
        </w:rPr>
      </w:pPr>
      <w:r w:rsidRPr="00CB0E8D">
        <w:rPr>
          <w:rFonts w:ascii="Calibri" w:hAnsi="Calibri"/>
          <w:color w:val="000000"/>
          <w:shd w:val="clear" w:color="auto" w:fill="FFFFFF"/>
        </w:rPr>
        <w:t>Desktop review and stakeholder interviews indicate</w:t>
      </w:r>
      <w:r>
        <w:rPr>
          <w:rFonts w:ascii="Calibri" w:eastAsiaTheme="majorEastAsia" w:hAnsi="Calibri" w:cs="Calibri"/>
          <w:color w:val="000000" w:themeColor="text1"/>
          <w:lang w:val="en-GB"/>
        </w:rPr>
        <w:t xml:space="preserve"> that gender equality and community empowerment were reasonably considered across project activities by all countries. This aligned with the MTR findings, which highlighted most countries have been successful in integrating gender mainstreaming approaches into project </w:t>
      </w:r>
      <w:r>
        <w:rPr>
          <w:rFonts w:ascii="Calibri" w:eastAsia="Calibri" w:hAnsi="Calibri" w:cs="Calibri"/>
          <w:color w:val="000000" w:themeColor="text1"/>
          <w:lang w:val="en-GB"/>
        </w:rPr>
        <w:t>activities, including inclusion of women’s groups at community levels and female leadership for project implementation, as well as incorporating relevant policies (e.g., WHO’s Gender Policy). However, definitions and approaches to advancing and measuring gender mainstreaming across the program were unclear and could be strengthened.</w:t>
      </w:r>
    </w:p>
    <w:p w14:paraId="750710BE" w14:textId="77777777" w:rsidR="002B060A" w:rsidRDefault="006040A7" w:rsidP="00C07A0A">
      <w:pPr>
        <w:pStyle w:val="Heading3"/>
        <w:numPr>
          <w:ilvl w:val="1"/>
          <w:numId w:val="29"/>
        </w:numPr>
        <w:rPr>
          <w:rStyle w:val="eop"/>
          <w:rFonts w:ascii="Calibri" w:hAnsi="Calibri" w:cs="Calibri"/>
          <w:b/>
        </w:rPr>
      </w:pPr>
      <w:bookmarkStart w:id="31" w:name="_Toc173429982"/>
      <w:r>
        <w:rPr>
          <w:rStyle w:val="eop"/>
          <w:rFonts w:ascii="Calibri" w:hAnsi="Calibri" w:cs="Calibri"/>
          <w:b/>
        </w:rPr>
        <w:t>Sustainability and Impact</w:t>
      </w:r>
      <w:bookmarkEnd w:id="31"/>
    </w:p>
    <w:tbl>
      <w:tblPr>
        <w:tblStyle w:val="TableGrid"/>
        <w:tblW w:w="0" w:type="auto"/>
        <w:tblLook w:val="04A0" w:firstRow="1" w:lastRow="0" w:firstColumn="1" w:lastColumn="0" w:noHBand="0" w:noVBand="1"/>
      </w:tblPr>
      <w:tblGrid>
        <w:gridCol w:w="6941"/>
        <w:gridCol w:w="2075"/>
      </w:tblGrid>
      <w:tr w:rsidR="002B060A" w14:paraId="750710C1" w14:textId="77777777" w:rsidTr="001071B4">
        <w:tc>
          <w:tcPr>
            <w:tcW w:w="6941" w:type="dxa"/>
            <w:shd w:val="clear" w:color="auto" w:fill="DAE9F7" w:themeFill="text2" w:themeFillTint="1A"/>
          </w:tcPr>
          <w:p w14:paraId="750710BF" w14:textId="77777777" w:rsidR="002B060A" w:rsidRDefault="006040A7" w:rsidP="00C07A0A">
            <w:pPr>
              <w:spacing w:after="120" w:line="276" w:lineRule="auto"/>
              <w:jc w:val="both"/>
              <w:rPr>
                <w:rFonts w:ascii="Calibri" w:eastAsiaTheme="minorEastAsia" w:hAnsi="Calibri" w:cs="Calibri"/>
                <w:b/>
                <w:color w:val="000000" w:themeColor="text1"/>
                <w:sz w:val="22"/>
                <w:szCs w:val="22"/>
              </w:rPr>
            </w:pPr>
            <w:r>
              <w:rPr>
                <w:rFonts w:ascii="Calibri" w:eastAsiaTheme="minorEastAsia" w:hAnsi="Calibri" w:cs="Calibri"/>
                <w:b/>
                <w:color w:val="000000" w:themeColor="text1"/>
                <w:sz w:val="22"/>
                <w:szCs w:val="22"/>
              </w:rPr>
              <w:t xml:space="preserve">Sustainability Criteria </w:t>
            </w:r>
          </w:p>
        </w:tc>
        <w:tc>
          <w:tcPr>
            <w:tcW w:w="2075" w:type="dxa"/>
            <w:shd w:val="clear" w:color="auto" w:fill="DAE9F7" w:themeFill="text2" w:themeFillTint="1A"/>
          </w:tcPr>
          <w:p w14:paraId="750710C0" w14:textId="77777777" w:rsidR="002B060A" w:rsidRDefault="006040A7" w:rsidP="00C07A0A">
            <w:pPr>
              <w:spacing w:after="120" w:line="276" w:lineRule="auto"/>
              <w:jc w:val="both"/>
              <w:rPr>
                <w:rFonts w:ascii="Calibri" w:eastAsiaTheme="minorEastAsia" w:hAnsi="Calibri" w:cs="Calibri"/>
                <w:b/>
                <w:color w:val="000000" w:themeColor="text1"/>
                <w:sz w:val="22"/>
                <w:szCs w:val="22"/>
              </w:rPr>
            </w:pPr>
            <w:r>
              <w:rPr>
                <w:rFonts w:ascii="Calibri" w:eastAsiaTheme="minorEastAsia" w:hAnsi="Calibri" w:cs="Calibri"/>
                <w:b/>
                <w:color w:val="000000" w:themeColor="text1"/>
                <w:sz w:val="22"/>
                <w:szCs w:val="22"/>
              </w:rPr>
              <w:t xml:space="preserve">Rating </w:t>
            </w:r>
          </w:p>
        </w:tc>
      </w:tr>
      <w:tr w:rsidR="002B060A" w14:paraId="750710C4" w14:textId="77777777" w:rsidTr="001071B4">
        <w:trPr>
          <w:trHeight w:val="453"/>
        </w:trPr>
        <w:tc>
          <w:tcPr>
            <w:tcW w:w="6941" w:type="dxa"/>
          </w:tcPr>
          <w:p w14:paraId="750710C2" w14:textId="77777777" w:rsidR="002B060A" w:rsidRDefault="006040A7" w:rsidP="00C07A0A">
            <w:pPr>
              <w:spacing w:after="120" w:line="276" w:lineRule="auto"/>
              <w:jc w:val="both"/>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Financial and socioeconomic</w:t>
            </w:r>
          </w:p>
        </w:tc>
        <w:tc>
          <w:tcPr>
            <w:tcW w:w="2075" w:type="dxa"/>
          </w:tcPr>
          <w:p w14:paraId="750710C3" w14:textId="2457B998" w:rsidR="002B060A" w:rsidRDefault="00440A4B" w:rsidP="00C07A0A">
            <w:pPr>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ML</w:t>
            </w:r>
          </w:p>
        </w:tc>
      </w:tr>
      <w:tr w:rsidR="002B060A" w14:paraId="750710C7" w14:textId="77777777" w:rsidTr="001071B4">
        <w:tc>
          <w:tcPr>
            <w:tcW w:w="6941" w:type="dxa"/>
          </w:tcPr>
          <w:p w14:paraId="750710C5" w14:textId="77777777" w:rsidR="002B060A" w:rsidRDefault="006040A7" w:rsidP="00C07A0A">
            <w:pPr>
              <w:spacing w:after="120" w:line="276" w:lineRule="auto"/>
              <w:jc w:val="both"/>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Institutional framework and governances</w:t>
            </w:r>
          </w:p>
        </w:tc>
        <w:tc>
          <w:tcPr>
            <w:tcW w:w="2075" w:type="dxa"/>
          </w:tcPr>
          <w:p w14:paraId="750710C6" w14:textId="77777777" w:rsidR="002B060A" w:rsidRDefault="006040A7" w:rsidP="00C07A0A">
            <w:pPr>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ML</w:t>
            </w:r>
          </w:p>
        </w:tc>
      </w:tr>
      <w:tr w:rsidR="002B060A" w14:paraId="750710CA" w14:textId="77777777" w:rsidTr="001071B4">
        <w:tc>
          <w:tcPr>
            <w:tcW w:w="6941" w:type="dxa"/>
          </w:tcPr>
          <w:p w14:paraId="750710C8" w14:textId="77777777" w:rsidR="002B060A" w:rsidRDefault="006040A7" w:rsidP="00C07A0A">
            <w:pPr>
              <w:spacing w:after="120" w:line="276" w:lineRule="auto"/>
              <w:jc w:val="both"/>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Environmental</w:t>
            </w:r>
          </w:p>
        </w:tc>
        <w:tc>
          <w:tcPr>
            <w:tcW w:w="2075" w:type="dxa"/>
          </w:tcPr>
          <w:p w14:paraId="750710C9" w14:textId="77777777" w:rsidR="002B060A" w:rsidRDefault="006040A7" w:rsidP="00C07A0A">
            <w:pPr>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 xml:space="preserve">Not assessed </w:t>
            </w:r>
          </w:p>
        </w:tc>
      </w:tr>
      <w:tr w:rsidR="002B060A" w14:paraId="750710CD" w14:textId="77777777" w:rsidTr="001071B4">
        <w:tc>
          <w:tcPr>
            <w:tcW w:w="6941" w:type="dxa"/>
          </w:tcPr>
          <w:p w14:paraId="750710CB" w14:textId="77777777" w:rsidR="002B060A" w:rsidRDefault="006040A7" w:rsidP="00C07A0A">
            <w:pPr>
              <w:spacing w:after="120" w:line="276" w:lineRule="auto"/>
              <w:jc w:val="both"/>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Overall likelihood</w:t>
            </w:r>
          </w:p>
        </w:tc>
        <w:tc>
          <w:tcPr>
            <w:tcW w:w="2075" w:type="dxa"/>
          </w:tcPr>
          <w:p w14:paraId="750710CC" w14:textId="77777777" w:rsidR="002B060A" w:rsidRDefault="006040A7" w:rsidP="00C07A0A">
            <w:pPr>
              <w:rPr>
                <w:rFonts w:ascii="Calibri" w:eastAsiaTheme="minorEastAsia" w:hAnsi="Calibri" w:cs="Calibri"/>
                <w:color w:val="000000" w:themeColor="text1"/>
                <w:sz w:val="22"/>
                <w:szCs w:val="22"/>
              </w:rPr>
            </w:pPr>
            <w:r>
              <w:rPr>
                <w:rFonts w:ascii="Calibri" w:eastAsiaTheme="minorEastAsia" w:hAnsi="Calibri" w:cs="Calibri"/>
                <w:color w:val="000000" w:themeColor="text1"/>
                <w:sz w:val="22"/>
                <w:szCs w:val="22"/>
              </w:rPr>
              <w:t>ML</w:t>
            </w:r>
          </w:p>
        </w:tc>
      </w:tr>
      <w:tr w:rsidR="002B060A" w14:paraId="750710CF" w14:textId="77777777" w:rsidTr="001071B4">
        <w:tc>
          <w:tcPr>
            <w:tcW w:w="9016" w:type="dxa"/>
            <w:gridSpan w:val="2"/>
          </w:tcPr>
          <w:p w14:paraId="750710CE" w14:textId="77777777" w:rsidR="002B060A" w:rsidRDefault="006040A7" w:rsidP="00C07A0A">
            <w:pPr>
              <w:rPr>
                <w:rFonts w:ascii="Calibri" w:eastAsiaTheme="minorEastAsia" w:hAnsi="Calibri" w:cs="Calibri"/>
                <w:color w:val="000000" w:themeColor="text1"/>
                <w:sz w:val="22"/>
                <w:szCs w:val="22"/>
              </w:rPr>
            </w:pPr>
            <w:r>
              <w:rPr>
                <w:rStyle w:val="cf01"/>
                <w:rFonts w:ascii="Calibri" w:eastAsiaTheme="majorEastAsia" w:hAnsi="Calibri" w:cs="Calibri"/>
              </w:rPr>
              <w:t>Sustainability is rated on a different 6-point scale: 6=Highly Likely (HL), 5-Likely (L), 4=Moderately Likely (ML), 3=Moderately Unlikely (MU), 2=Unlikely (U), 1=Highly Unlikely (HU)</w:t>
            </w:r>
          </w:p>
        </w:tc>
      </w:tr>
    </w:tbl>
    <w:p w14:paraId="750710D0" w14:textId="77777777" w:rsidR="002B060A" w:rsidRDefault="006040A7" w:rsidP="00C07A0A">
      <w:pPr>
        <w:pStyle w:val="Heading4"/>
        <w:spacing w:before="240"/>
        <w:rPr>
          <w:rFonts w:ascii="Calibri" w:hAnsi="Calibri" w:cs="Calibri"/>
        </w:rPr>
      </w:pPr>
      <w:r>
        <w:rPr>
          <w:rFonts w:ascii="Calibri" w:hAnsi="Calibri" w:cs="Calibri"/>
        </w:rPr>
        <w:t>Financial, socio-economic and institutional</w:t>
      </w:r>
    </w:p>
    <w:p w14:paraId="750710D1" w14:textId="71C6474E" w:rsidR="002B060A" w:rsidRDefault="006040A7" w:rsidP="00C07A0A">
      <w:pPr>
        <w:pStyle w:val="paragraph"/>
        <w:suppressAutoHyphens/>
        <w:spacing w:before="0" w:beforeAutospacing="0"/>
        <w:jc w:val="both"/>
        <w:rPr>
          <w:rFonts w:ascii="Calibri" w:hAnsi="Calibri" w:cs="Calibri"/>
          <w:color w:val="000000"/>
          <w:shd w:val="clear" w:color="auto" w:fill="FFFFFF"/>
        </w:rPr>
      </w:pPr>
      <w:r w:rsidRPr="00CB0E8D">
        <w:rPr>
          <w:rFonts w:ascii="Calibri" w:hAnsi="Calibri"/>
          <w:color w:val="000000"/>
          <w:shd w:val="clear" w:color="auto" w:fill="FFFFFF"/>
        </w:rPr>
        <w:t>Evaluation findings indicate that the longer-term impact and financial sustainability of project activities is likely to face mixed success and will vary between countries. Several activities have achieved substantial country buy-in, particularly from key implementing departments within MOH. Institutional capacity has been strengthened through training and capacity building investments and there is a high degree of country ownership over core policy frameworks, including HNAPs and national guidelines and standards for climate change and health. HNAPs were described by key stakeholders as inherently sustainable as they are MOH owned policy frameworks that provide clear identification and prioritisation of climate-</w:t>
      </w:r>
      <w:r w:rsidRPr="00CB0E8D">
        <w:rPr>
          <w:rFonts w:ascii="Calibri" w:hAnsi="Calibri"/>
          <w:color w:val="000000"/>
          <w:shd w:val="clear" w:color="auto" w:fill="FFFFFF"/>
        </w:rPr>
        <w:lastRenderedPageBreak/>
        <w:t>related health adaptation actions.</w:t>
      </w:r>
      <w:r w:rsidR="0071612D">
        <w:rPr>
          <w:rFonts w:ascii="Calibri" w:hAnsi="Calibri"/>
          <w:color w:val="000000"/>
          <w:shd w:val="clear" w:color="auto" w:fill="FFFFFF"/>
        </w:rPr>
        <w:t xml:space="preserve"> </w:t>
      </w:r>
      <w:r w:rsidR="00D21489">
        <w:rPr>
          <w:rFonts w:ascii="Calibri" w:hAnsi="Calibri"/>
          <w:color w:val="000000"/>
          <w:shd w:val="clear" w:color="auto" w:fill="FFFFFF"/>
        </w:rPr>
        <w:t xml:space="preserve">All project countries, with the exception of Cambodia and Myanmar, </w:t>
      </w:r>
      <w:r w:rsidR="00CD5CB3">
        <w:rPr>
          <w:rFonts w:ascii="Calibri" w:hAnsi="Calibri"/>
          <w:color w:val="000000"/>
          <w:shd w:val="clear" w:color="auto" w:fill="FFFFFF"/>
        </w:rPr>
        <w:t>committed at Ministry of Health level to the CO26 health commitments on climate resilient and low carbon sustainable health systems</w:t>
      </w:r>
      <w:r w:rsidR="00D21489">
        <w:rPr>
          <w:rFonts w:ascii="Calibri" w:hAnsi="Calibri"/>
          <w:color w:val="000000"/>
          <w:shd w:val="clear" w:color="auto" w:fill="FFFFFF"/>
        </w:rPr>
        <w:t>.</w:t>
      </w:r>
      <w:r w:rsidR="00D21489" w:rsidRPr="00CB0E8D">
        <w:rPr>
          <w:rFonts w:ascii="Calibri" w:hAnsi="Calibri"/>
          <w:color w:val="000000"/>
          <w:shd w:val="clear" w:color="auto" w:fill="FFFFFF"/>
        </w:rPr>
        <w:t xml:space="preserve"> </w:t>
      </w:r>
      <w:r w:rsidRPr="00CB0E8D">
        <w:rPr>
          <w:rFonts w:ascii="Calibri" w:hAnsi="Calibri"/>
          <w:color w:val="000000"/>
          <w:shd w:val="clear" w:color="auto" w:fill="FFFFFF"/>
        </w:rPr>
        <w:t xml:space="preserve">This country-level ownership is fundamental to sustained efforts, but there are many other factors to consider, including capacity and continued financial support. </w:t>
      </w:r>
    </w:p>
    <w:p w14:paraId="750710D2" w14:textId="77777777" w:rsidR="002B060A" w:rsidRDefault="006040A7" w:rsidP="00C07A0A">
      <w:pPr>
        <w:pStyle w:val="paragraph"/>
        <w:suppressAutoHyphens/>
        <w:jc w:val="both"/>
        <w:rPr>
          <w:rFonts w:ascii="Calibri" w:hAnsi="Calibri" w:cs="Calibri"/>
          <w:color w:val="000000"/>
          <w:shd w:val="clear" w:color="auto" w:fill="FFFFFF"/>
        </w:rPr>
      </w:pPr>
      <w:r w:rsidRPr="00CB0E8D">
        <w:rPr>
          <w:rFonts w:ascii="Calibri" w:hAnsi="Calibri"/>
          <w:color w:val="000000"/>
          <w:shd w:val="clear" w:color="auto" w:fill="FFFFFF"/>
        </w:rPr>
        <w:t xml:space="preserve">The focus on building institutional capacity at national and regional levels is crucial for sustained impact, as a cohort of national and sub-national policymakers and practitioners have now received training and guidance to implement climate-resilient health system interventions. Several MOH stakeholders noted that training and guidelines have been integrated within national curricula and training programmes, hence will continue beyond the project. Refresher training to update and expand skills will be needed in future, particularly for new staff and to keep up-to-date with the latest methods and guidance for climate and health activities. The impact of these capacity development activities is important to monitor and evaluate, particularly to inform future priorities, target audiences and investments. </w:t>
      </w:r>
    </w:p>
    <w:p w14:paraId="6C8B3F03" w14:textId="4CCB14E2" w:rsidR="639E86A9" w:rsidRDefault="006040A7" w:rsidP="00F21D72">
      <w:pPr>
        <w:pStyle w:val="paragraph"/>
        <w:suppressAutoHyphens/>
        <w:jc w:val="both"/>
        <w:rPr>
          <w:rFonts w:ascii="Calibri" w:hAnsi="Calibri"/>
          <w:i/>
          <w:iCs/>
          <w:color w:val="000000" w:themeColor="text1"/>
        </w:rPr>
      </w:pPr>
      <w:r w:rsidRPr="00CB0E8D">
        <w:rPr>
          <w:rFonts w:ascii="Calibri" w:hAnsi="Calibri"/>
          <w:color w:val="000000"/>
          <w:shd w:val="clear" w:color="auto" w:fill="FFFFFF"/>
        </w:rPr>
        <w:t>The project has laid strong foundations through demonstration pilots for integrated surveillance systems and climate-resilient health service interventions (especially WASH and waste management)</w:t>
      </w:r>
      <w:r w:rsidR="008A0CEB">
        <w:rPr>
          <w:rFonts w:ascii="Calibri" w:hAnsi="Calibri"/>
          <w:color w:val="000000"/>
          <w:shd w:val="clear" w:color="auto" w:fill="FFFFFF"/>
        </w:rPr>
        <w:t xml:space="preserve">. </w:t>
      </w:r>
      <w:r w:rsidR="00DC2919">
        <w:rPr>
          <w:rFonts w:ascii="Calibri" w:hAnsi="Calibri"/>
          <w:color w:val="000000"/>
          <w:shd w:val="clear" w:color="auto" w:fill="FFFFFF"/>
        </w:rPr>
        <w:t xml:space="preserve">Ongoing technical support from WHO HQ will also be provided for some activities, </w:t>
      </w:r>
      <w:r w:rsidR="00B404D7" w:rsidRPr="639E86A9">
        <w:rPr>
          <w:rFonts w:ascii="Calibri" w:hAnsi="Calibri"/>
          <w:color w:val="000000" w:themeColor="text1"/>
        </w:rPr>
        <w:t xml:space="preserve">including </w:t>
      </w:r>
      <w:r w:rsidR="00DC2919">
        <w:rPr>
          <w:rFonts w:ascii="Calibri" w:hAnsi="Calibri"/>
          <w:color w:val="000000"/>
          <w:shd w:val="clear" w:color="auto" w:fill="FFFFFF"/>
        </w:rPr>
        <w:t>integrated surveillance systems</w:t>
      </w:r>
      <w:r w:rsidR="00DC2919" w:rsidRPr="00CB0E8D">
        <w:rPr>
          <w:rFonts w:ascii="Calibri" w:hAnsi="Calibri"/>
          <w:color w:val="000000"/>
          <w:shd w:val="clear" w:color="auto" w:fill="FFFFFF"/>
        </w:rPr>
        <w:t xml:space="preserve">. </w:t>
      </w:r>
      <w:r w:rsidRPr="00CB0E8D">
        <w:rPr>
          <w:rFonts w:ascii="Calibri" w:hAnsi="Calibri"/>
          <w:color w:val="000000"/>
          <w:shd w:val="clear" w:color="auto" w:fill="FFFFFF"/>
        </w:rPr>
        <w:t xml:space="preserve">However, sustainability in some countries may be at greater risk due to lack of clear transition plans or alternate funding sources: </w:t>
      </w:r>
      <w:r w:rsidRPr="00CB0E8D">
        <w:rPr>
          <w:rFonts w:ascii="Calibri" w:hAnsi="Calibri"/>
          <w:i/>
          <w:color w:val="000000"/>
          <w:shd w:val="clear" w:color="auto" w:fill="FFFFFF"/>
        </w:rPr>
        <w:t>“where there is funding and political will, projects will continue” (KS#11).</w:t>
      </w:r>
      <w:r w:rsidRPr="00CB0E8D">
        <w:rPr>
          <w:rFonts w:ascii="Calibri" w:hAnsi="Calibri"/>
          <w:color w:val="000000"/>
          <w:shd w:val="clear" w:color="auto" w:fill="FFFFFF"/>
        </w:rPr>
        <w:t xml:space="preserve"> Ongoing advocacy and support may be needed to promote the evidence and resources generated by the GEF project. If there is a substantial gap between the project ending and additional funding – either from government or external sources – resumption and scale-up will likely be challenging: </w:t>
      </w:r>
      <w:r w:rsidRPr="00CB0E8D">
        <w:rPr>
          <w:rFonts w:ascii="Calibri" w:hAnsi="Calibri"/>
          <w:i/>
          <w:color w:val="000000"/>
          <w:shd w:val="clear" w:color="auto" w:fill="FFFFFF"/>
        </w:rPr>
        <w:t>“With a project in place, it’s a lot easier to advocate for government support” (KS#12)</w:t>
      </w:r>
      <w:r w:rsidRPr="00CB0E8D">
        <w:rPr>
          <w:rFonts w:ascii="Calibri" w:hAnsi="Calibri"/>
          <w:color w:val="000000"/>
          <w:shd w:val="clear" w:color="auto" w:fill="FFFFFF"/>
        </w:rPr>
        <w:t>.</w:t>
      </w:r>
    </w:p>
    <w:p w14:paraId="750710D5" w14:textId="3E83EA2B" w:rsidR="002B060A" w:rsidRDefault="006040A7" w:rsidP="00C07A0A">
      <w:pPr>
        <w:pStyle w:val="paragraph"/>
        <w:suppressAutoHyphens/>
        <w:jc w:val="both"/>
        <w:rPr>
          <w:rFonts w:ascii="Calibri" w:hAnsi="Calibri" w:cs="Calibri"/>
          <w:color w:val="000000"/>
          <w:shd w:val="clear" w:color="auto" w:fill="FFFFFF"/>
        </w:rPr>
      </w:pPr>
      <w:r w:rsidRPr="00CB0E8D">
        <w:rPr>
          <w:rFonts w:ascii="Calibri" w:hAnsi="Calibri"/>
          <w:color w:val="000000"/>
          <w:shd w:val="clear" w:color="auto" w:fill="FFFFFF"/>
        </w:rPr>
        <w:t>The evaluation findings indicate that overall sustainability may be hampered by systemic challenges, including staff turnover within key agencies, limited funding and accountability mechanisms for HNAP implementation, and competing priorities across both health and broader climate/environment sectors. In some countries, there was a lack of clarity about transition plan responsibilities and whether additional support from WHO will be provided for resource mobilisation efforts. It is reasonable to expect that one logical subsequent step from this project is the development of further funding proposals, including to the Green Climate Fund (GCF). Some countries have begun drafting proposals, such as GCF concept notes, but the evaluation findings indicate that technical guidance is needed to navigate such complex climate finance systems. Some technical resources and funding are being allocated via other WHO mechanisms</w:t>
      </w:r>
      <w:r w:rsidR="00D45EF6">
        <w:rPr>
          <w:rFonts w:ascii="Calibri" w:hAnsi="Calibri"/>
          <w:color w:val="000000"/>
          <w:shd w:val="clear" w:color="auto" w:fill="FFFFFF"/>
        </w:rPr>
        <w:t xml:space="preserve"> and </w:t>
      </w:r>
      <w:r w:rsidR="00155A54">
        <w:rPr>
          <w:rFonts w:ascii="Calibri" w:hAnsi="Calibri"/>
          <w:color w:val="000000"/>
          <w:shd w:val="clear" w:color="auto" w:fill="FFFFFF"/>
        </w:rPr>
        <w:t xml:space="preserve">there is a strong foundation </w:t>
      </w:r>
      <w:r w:rsidR="000B0523">
        <w:rPr>
          <w:rFonts w:ascii="Calibri" w:hAnsi="Calibri"/>
          <w:color w:val="000000"/>
          <w:shd w:val="clear" w:color="auto" w:fill="FFFFFF"/>
        </w:rPr>
        <w:t>for further funding proposals based on the project outputs</w:t>
      </w:r>
      <w:r w:rsidR="00F97489">
        <w:rPr>
          <w:rFonts w:ascii="Calibri" w:hAnsi="Calibri"/>
          <w:color w:val="000000"/>
          <w:shd w:val="clear" w:color="auto" w:fill="FFFFFF"/>
        </w:rPr>
        <w:t>, given their</w:t>
      </w:r>
      <w:r w:rsidR="0068450C">
        <w:rPr>
          <w:rFonts w:ascii="Calibri" w:hAnsi="Calibri"/>
          <w:color w:val="000000"/>
          <w:shd w:val="clear" w:color="auto" w:fill="FFFFFF"/>
        </w:rPr>
        <w:t xml:space="preserve"> strategic</w:t>
      </w:r>
      <w:r w:rsidR="00F97489">
        <w:rPr>
          <w:rFonts w:ascii="Calibri" w:hAnsi="Calibri"/>
          <w:color w:val="000000"/>
          <w:shd w:val="clear" w:color="auto" w:fill="FFFFFF"/>
        </w:rPr>
        <w:t xml:space="preserve"> alignment with global initiatives such as ATACH and the COP28 health declaration</w:t>
      </w:r>
      <w:r w:rsidR="00292AFA">
        <w:rPr>
          <w:rFonts w:ascii="Calibri" w:hAnsi="Calibri"/>
          <w:color w:val="000000"/>
          <w:shd w:val="clear" w:color="auto" w:fill="FFFFFF"/>
        </w:rPr>
        <w:t>. B</w:t>
      </w:r>
      <w:r w:rsidRPr="00CB0E8D">
        <w:rPr>
          <w:rFonts w:ascii="Calibri" w:hAnsi="Calibri"/>
          <w:color w:val="000000"/>
          <w:shd w:val="clear" w:color="auto" w:fill="FFFFFF"/>
        </w:rPr>
        <w:t>ut it is unclear to what extent these will link and potentially extend this GEF program of work.</w:t>
      </w:r>
      <w:r w:rsidR="00D45EF6">
        <w:rPr>
          <w:rFonts w:ascii="Calibri" w:hAnsi="Calibri"/>
          <w:color w:val="000000"/>
          <w:shd w:val="clear" w:color="auto" w:fill="FFFFFF"/>
        </w:rPr>
        <w:t xml:space="preserve"> </w:t>
      </w:r>
      <w:r w:rsidRPr="00CB0E8D">
        <w:rPr>
          <w:rFonts w:ascii="Calibri" w:hAnsi="Calibri"/>
          <w:color w:val="000000"/>
          <w:shd w:val="clear" w:color="auto" w:fill="FFFFFF"/>
        </w:rPr>
        <w:t xml:space="preserve">Learnings from countries that have successfully leveraged the project for additional funding could be documented and promoted to inform proposals elsewhere. </w:t>
      </w:r>
    </w:p>
    <w:p w14:paraId="1911DAB8" w14:textId="77777777" w:rsidR="004B2105" w:rsidRDefault="004B2105" w:rsidP="00C07A0A">
      <w:pPr>
        <w:pStyle w:val="Heading4"/>
        <w:spacing w:before="240"/>
        <w:rPr>
          <w:rFonts w:ascii="Calibri" w:hAnsi="Calibri" w:cs="Calibri"/>
        </w:rPr>
      </w:pPr>
      <w:r>
        <w:rPr>
          <w:rFonts w:ascii="Calibri" w:hAnsi="Calibri" w:cs="Calibri"/>
        </w:rPr>
        <w:lastRenderedPageBreak/>
        <w:t xml:space="preserve">Environmental </w:t>
      </w:r>
    </w:p>
    <w:p w14:paraId="5D008761" w14:textId="1273251C" w:rsidR="004B2105" w:rsidRDefault="004B2105" w:rsidP="00C07A0A">
      <w:pPr>
        <w:pStyle w:val="paragraph"/>
        <w:suppressAutoHyphens/>
        <w:spacing w:before="0" w:beforeAutospacing="0"/>
        <w:jc w:val="both"/>
        <w:rPr>
          <w:rStyle w:val="normaltextrun"/>
          <w:rFonts w:ascii="Calibri" w:hAnsi="Calibri" w:cs="Calibri"/>
          <w:i/>
          <w:color w:val="000000"/>
          <w:shd w:val="clear" w:color="auto" w:fill="FFFFFF"/>
        </w:rPr>
      </w:pPr>
      <w:r w:rsidRPr="00CB0E8D">
        <w:rPr>
          <w:rFonts w:ascii="Calibri" w:hAnsi="Calibri"/>
          <w:color w:val="000000"/>
          <w:shd w:val="clear" w:color="auto" w:fill="FFFFFF"/>
        </w:rPr>
        <w:t xml:space="preserve">It was not possible to assess the extent to which the project contributed to reducing environmental stress and/or improved ecological status. This may reflect the project activities not fitting neatly within standard GEF environmental indicators, or due to the health-focussed nature of several activities. There </w:t>
      </w:r>
      <w:r>
        <w:rPr>
          <w:rFonts w:ascii="Calibri" w:hAnsi="Calibri"/>
          <w:color w:val="000000"/>
          <w:shd w:val="clear" w:color="auto" w:fill="FFFFFF"/>
        </w:rPr>
        <w:t>are likely</w:t>
      </w:r>
      <w:r w:rsidRPr="00CB0E8D">
        <w:rPr>
          <w:rFonts w:ascii="Calibri" w:hAnsi="Calibri"/>
          <w:color w:val="000000"/>
          <w:shd w:val="clear" w:color="auto" w:fill="FFFFFF"/>
        </w:rPr>
        <w:t xml:space="preserve"> indirect, downstream benefits from interventions that focussed on environmental determinants of health, such as improving water quality and supply, and healthcare waste management, but these were not measured or tracked consistently. </w:t>
      </w:r>
    </w:p>
    <w:p w14:paraId="78567977" w14:textId="77777777" w:rsidR="004B2105" w:rsidRDefault="004B2105" w:rsidP="00C07A0A">
      <w:pPr>
        <w:pStyle w:val="Heading4"/>
        <w:spacing w:before="240"/>
        <w:rPr>
          <w:rFonts w:ascii="Calibri" w:hAnsi="Calibri" w:cs="Calibri"/>
        </w:rPr>
      </w:pPr>
      <w:r>
        <w:rPr>
          <w:rFonts w:ascii="Calibri" w:hAnsi="Calibri" w:cs="Calibri"/>
        </w:rPr>
        <w:t>GEF Additionality and Catalytic/Replication Effect </w:t>
      </w:r>
    </w:p>
    <w:p w14:paraId="287EB348" w14:textId="4F0449D6" w:rsidR="004B2105" w:rsidRDefault="004B2105" w:rsidP="00C07A0A">
      <w:pPr>
        <w:pStyle w:val="paragraph"/>
        <w:suppressAutoHyphens/>
        <w:spacing w:before="0" w:beforeAutospacing="0"/>
        <w:jc w:val="both"/>
        <w:rPr>
          <w:rFonts w:ascii="Calibri" w:hAnsi="Calibri" w:cs="Calibri"/>
        </w:rPr>
      </w:pPr>
      <w:r>
        <w:rPr>
          <w:rFonts w:ascii="Calibri" w:hAnsi="Calibri" w:cs="Calibri"/>
        </w:rPr>
        <w:t xml:space="preserve">The evaluation findings indicate that GEF </w:t>
      </w:r>
      <w:r w:rsidRPr="00CB0E8D">
        <w:rPr>
          <w:rFonts w:ascii="Calibri" w:hAnsi="Calibri"/>
          <w:color w:val="000000"/>
          <w:shd w:val="clear" w:color="auto" w:fill="FFFFFF"/>
        </w:rPr>
        <w:t>funding</w:t>
      </w:r>
      <w:r>
        <w:rPr>
          <w:rFonts w:ascii="Calibri" w:hAnsi="Calibri" w:cs="Calibri"/>
        </w:rPr>
        <w:t xml:space="preserve"> was critical to catalysing progress on climate-related health adaptation actions in the project countries. Several national stakeholders indicated that HNAPs and V&amp;A assessments would likely not have progressed in the project countries without GEF funds, as MOH otherwise have limited operational funds and many competing priorities. GEF further catalysed leadership, national ownership and political buy-in within MOH, including enabling participation at high-level events such as the COPs and commitment to COP26 health commitments. UNDP stakeholders reported that lessons from the project had been useful for the inception of a similar GEF LDCF initiative being delivered in the Pacific. It was reported  that the project had enhanced UNDP’s understanding of climate links for future health initiatives, thereby supporting scale up in different geographical contexts. As such, the project can be considered as successful in supporting socio-economic and institutional additionality</w:t>
      </w:r>
      <w:r w:rsidR="006C2B70">
        <w:rPr>
          <w:rFonts w:ascii="Calibri" w:hAnsi="Calibri" w:cs="Calibri"/>
        </w:rPr>
        <w:t>,</w:t>
      </w:r>
      <w:r>
        <w:rPr>
          <w:rFonts w:ascii="Calibri" w:hAnsi="Calibri" w:cs="Calibri"/>
        </w:rPr>
        <w:t xml:space="preserve"> and</w:t>
      </w:r>
      <w:r w:rsidR="003F009B">
        <w:rPr>
          <w:rFonts w:ascii="Calibri" w:hAnsi="Calibri" w:cs="Calibri"/>
        </w:rPr>
        <w:t xml:space="preserve"> </w:t>
      </w:r>
      <w:r>
        <w:rPr>
          <w:rFonts w:ascii="Calibri" w:hAnsi="Calibri" w:cs="Calibri"/>
        </w:rPr>
        <w:t>catalytic for other funding proposals</w:t>
      </w:r>
      <w:r w:rsidR="000329DD">
        <w:rPr>
          <w:rFonts w:ascii="Calibri" w:hAnsi="Calibri" w:cs="Calibri"/>
        </w:rPr>
        <w:t xml:space="preserve"> in project countries</w:t>
      </w:r>
      <w:r w:rsidR="001E7000">
        <w:rPr>
          <w:rFonts w:ascii="Calibri" w:hAnsi="Calibri" w:cs="Calibri"/>
        </w:rPr>
        <w:t xml:space="preserve">. </w:t>
      </w:r>
      <w:r w:rsidR="002F0372">
        <w:rPr>
          <w:rFonts w:ascii="Calibri" w:hAnsi="Calibri" w:cs="Calibri"/>
        </w:rPr>
        <w:t xml:space="preserve"> </w:t>
      </w:r>
    </w:p>
    <w:p w14:paraId="78BF02E3" w14:textId="77777777" w:rsidR="002B060A" w:rsidRDefault="006040A7" w:rsidP="00C07A0A">
      <w:pPr>
        <w:pStyle w:val="paragraph"/>
        <w:suppressAutoHyphens/>
        <w:spacing w:before="0" w:beforeAutospacing="0"/>
        <w:jc w:val="both"/>
        <w:rPr>
          <w:rFonts w:ascii="Calibri" w:hAnsi="Calibri" w:cs="Calibri"/>
        </w:rPr>
      </w:pPr>
      <w:r>
        <w:rPr>
          <w:rFonts w:ascii="Calibri" w:hAnsi="Calibri" w:cs="Calibri"/>
        </w:rPr>
        <w:t xml:space="preserve">However, the added value of integrating climate/environmental considerations into some project activities, such as WASH and waste management, was not well articulated or evidenced in the outcomes. While these domains are represented in the WHO Operational Framework and CRESH Guidelines, links to specific GEF/UNDP environmental benefits could have been more clearly defined. This may reflect institutional and design constraints and the need for greater knowledge sharing, particularly in relation to climate adaptation and finance, between UNDP and WHO. </w:t>
      </w:r>
    </w:p>
    <w:p w14:paraId="5C481117" w14:textId="77777777" w:rsidR="00154010" w:rsidRPr="003445E8" w:rsidRDefault="00154010" w:rsidP="00C07A0A">
      <w:pPr>
        <w:pStyle w:val="paragraph"/>
        <w:suppressAutoHyphens/>
        <w:spacing w:before="0" w:beforeAutospacing="0"/>
        <w:jc w:val="both"/>
        <w:rPr>
          <w:rFonts w:ascii="Calibri" w:hAnsi="Calibri" w:cs="Calibri"/>
        </w:rPr>
      </w:pPr>
    </w:p>
    <w:p w14:paraId="750710E0" w14:textId="77777777" w:rsidR="002B060A" w:rsidRPr="00CB0E8D" w:rsidRDefault="002B060A" w:rsidP="00C07A0A">
      <w:pPr>
        <w:rPr>
          <w:rStyle w:val="normaltextrun"/>
          <w:rFonts w:ascii="Calibri" w:hAnsi="Calibri"/>
          <w:b/>
          <w:color w:val="094183"/>
          <w:kern w:val="2"/>
          <w:sz w:val="32"/>
          <w:highlight w:val="lightGray"/>
          <w14:ligatures w14:val="standardContextual"/>
        </w:rPr>
        <w:sectPr w:rsidR="002B060A" w:rsidRPr="00CB0E8D" w:rsidSect="008C3AA3">
          <w:headerReference w:type="default" r:id="rId18"/>
          <w:footerReference w:type="default" r:id="rId19"/>
          <w:headerReference w:type="first" r:id="rId20"/>
          <w:footerReference w:type="first" r:id="rId21"/>
          <w:pgSz w:w="11906" w:h="16838"/>
          <w:pgMar w:top="1440" w:right="1440" w:bottom="1440" w:left="1440" w:header="708" w:footer="680" w:gutter="0"/>
          <w:cols w:space="708"/>
          <w:docGrid w:linePitch="360"/>
        </w:sectPr>
      </w:pPr>
    </w:p>
    <w:p w14:paraId="18D2F2A0" w14:textId="128B0CAC" w:rsidR="002B060A" w:rsidRDefault="006040A7" w:rsidP="00C07A0A">
      <w:pPr>
        <w:pStyle w:val="Heading2"/>
        <w:numPr>
          <w:ilvl w:val="0"/>
          <w:numId w:val="29"/>
        </w:numPr>
        <w:rPr>
          <w:rStyle w:val="normaltextrun"/>
          <w:rFonts w:ascii="Calibri" w:hAnsi="Calibri" w:cs="Calibri"/>
          <w:b/>
          <w:color w:val="094183"/>
        </w:rPr>
      </w:pPr>
      <w:bookmarkStart w:id="32" w:name="_Toc173429983"/>
      <w:r w:rsidRPr="00CB0E8D">
        <w:rPr>
          <w:rStyle w:val="normaltextrun"/>
          <w:rFonts w:ascii="Calibri" w:hAnsi="Calibri"/>
          <w:b/>
          <w:color w:val="094183"/>
        </w:rPr>
        <w:lastRenderedPageBreak/>
        <w:t xml:space="preserve">Key Findings and </w:t>
      </w:r>
      <w:r>
        <w:rPr>
          <w:rStyle w:val="normaltextrun"/>
          <w:rFonts w:ascii="Calibri" w:hAnsi="Calibri" w:cs="Calibri"/>
          <w:b/>
          <w:color w:val="094183"/>
        </w:rPr>
        <w:t>Conclusions</w:t>
      </w:r>
      <w:bookmarkEnd w:id="32"/>
      <w:r>
        <w:rPr>
          <w:rStyle w:val="normaltextrun"/>
          <w:rFonts w:ascii="Calibri" w:hAnsi="Calibri" w:cs="Calibri"/>
          <w:b/>
          <w:color w:val="094183"/>
        </w:rPr>
        <w:t xml:space="preserve"> </w:t>
      </w:r>
    </w:p>
    <w:p w14:paraId="750710E2" w14:textId="77777777" w:rsidR="002B060A" w:rsidRDefault="006040A7" w:rsidP="00C07A0A">
      <w:pPr>
        <w:pStyle w:val="Heading3"/>
        <w:numPr>
          <w:ilvl w:val="1"/>
          <w:numId w:val="29"/>
        </w:numPr>
        <w:rPr>
          <w:rStyle w:val="eop"/>
          <w:rFonts w:ascii="Calibri" w:hAnsi="Calibri" w:cs="Calibri"/>
          <w:b/>
        </w:rPr>
      </w:pPr>
      <w:bookmarkStart w:id="33" w:name="_Toc173429984"/>
      <w:r>
        <w:rPr>
          <w:rStyle w:val="eop"/>
          <w:rFonts w:ascii="Calibri" w:hAnsi="Calibri" w:cs="Calibri"/>
          <w:b/>
        </w:rPr>
        <w:t>Overall progress</w:t>
      </w:r>
      <w:bookmarkEnd w:id="33"/>
    </w:p>
    <w:p w14:paraId="273C9B74" w14:textId="4AC9B6CC" w:rsidR="00836611" w:rsidRPr="00FE69AB" w:rsidRDefault="00836611" w:rsidP="00C07A0A">
      <w:pPr>
        <w:jc w:val="both"/>
        <w:rPr>
          <w:rStyle w:val="eop"/>
          <w:rFonts w:ascii="Calibri" w:eastAsiaTheme="majorEastAsia" w:hAnsi="Calibri" w:cs="Calibri"/>
          <w:color w:val="000000" w:themeColor="text1"/>
        </w:rPr>
      </w:pPr>
      <w:r w:rsidRPr="00FE69AB">
        <w:rPr>
          <w:rStyle w:val="eop"/>
          <w:rFonts w:ascii="Calibri" w:eastAsiaTheme="majorEastAsia" w:hAnsi="Calibri" w:cs="Calibri"/>
          <w:b/>
          <w:color w:val="000000" w:themeColor="text1"/>
        </w:rPr>
        <w:t>Objective:</w:t>
      </w:r>
      <w:r w:rsidRPr="00FE69AB">
        <w:rPr>
          <w:rStyle w:val="eop"/>
          <w:rFonts w:ascii="Calibri" w:eastAsiaTheme="majorEastAsia" w:hAnsi="Calibri" w:cs="Calibri"/>
          <w:color w:val="000000" w:themeColor="text1"/>
        </w:rPr>
        <w:t xml:space="preserve"> All countries have successfully implemented activities to increase the adaptive capacity of national health systems, institutions and sub-national actors to respond to climate-sensitive health risks. HNAPs have been completed and endorsed in all countries, with some now undergoing review and update. National HNAP coordination mechanisms, such as Technical Working Groups (TWG), have been established with MOH representation but longer-term workplans or responsibilities of these groups beyond the life of the project are unclear. Funding and accountability for HNAP implementation is a sustainability challenge, although some countries have secured additional funding to mitigate these risks and it is likely that further funding</w:t>
      </w:r>
      <w:r w:rsidR="00557C65">
        <w:rPr>
          <w:rStyle w:val="eop"/>
          <w:rFonts w:ascii="Calibri" w:eastAsiaTheme="majorEastAsia" w:hAnsi="Calibri" w:cs="Calibri"/>
          <w:color w:val="000000" w:themeColor="text1"/>
        </w:rPr>
        <w:t xml:space="preserve"> proposals will be submitted </w:t>
      </w:r>
      <w:r w:rsidRPr="00FE69AB">
        <w:rPr>
          <w:rStyle w:val="eop"/>
          <w:rFonts w:ascii="Calibri" w:eastAsiaTheme="majorEastAsia" w:hAnsi="Calibri" w:cs="Calibri"/>
          <w:color w:val="000000" w:themeColor="text1"/>
        </w:rPr>
        <w:t>by other countries.</w:t>
      </w:r>
    </w:p>
    <w:p w14:paraId="5B2478EC" w14:textId="77777777" w:rsidR="00836611" w:rsidRDefault="00836611" w:rsidP="00C07A0A">
      <w:pPr>
        <w:pStyle w:val="paragraph"/>
        <w:suppressAutoHyphens/>
        <w:jc w:val="both"/>
        <w:rPr>
          <w:rStyle w:val="eop"/>
          <w:rFonts w:ascii="Calibri" w:eastAsiaTheme="majorEastAsia" w:hAnsi="Calibri" w:cs="Calibri"/>
          <w:color w:val="000000" w:themeColor="text1"/>
        </w:rPr>
      </w:pPr>
      <w:r>
        <w:rPr>
          <w:rStyle w:val="eop"/>
          <w:rFonts w:ascii="Calibri" w:eastAsiaTheme="majorEastAsia" w:hAnsi="Calibri" w:cs="Calibri"/>
          <w:b/>
          <w:color w:val="000000" w:themeColor="text1"/>
        </w:rPr>
        <w:t>Outcome 1:</w:t>
      </w:r>
      <w:r>
        <w:rPr>
          <w:rStyle w:val="eop"/>
          <w:rFonts w:ascii="Calibri" w:eastAsiaTheme="majorEastAsia" w:hAnsi="Calibri" w:cs="Calibri"/>
          <w:color w:val="000000" w:themeColor="text1"/>
        </w:rPr>
        <w:t xml:space="preserve"> Institutional capacity has been enhanced in all countries through the development and finalisation of context-specific guidelines, tools, and standards. Global and regional technical guidelines have been effectively adapted to national contexts, with significant government ownership and rollout through national and sub-national training and capacity-building activities. While long-term sustainability and implementation may depend on funding, several countries have successfully integrated climate change considerations into </w:t>
      </w:r>
      <w:r w:rsidRPr="7724665A">
        <w:rPr>
          <w:rFonts w:ascii="Calibri" w:eastAsia="Calibri" w:hAnsi="Calibri" w:cs="Calibri"/>
        </w:rPr>
        <w:t>higher education and the continuation of education curriculum</w:t>
      </w:r>
      <w:r w:rsidRPr="7724665A">
        <w:rPr>
          <w:rStyle w:val="eop"/>
          <w:rFonts w:ascii="Calibri" w:eastAsiaTheme="majorEastAsia" w:hAnsi="Calibri" w:cs="Calibri"/>
          <w:color w:val="000000" w:themeColor="text1"/>
        </w:rPr>
        <w:t xml:space="preserve"> along with </w:t>
      </w:r>
      <w:r>
        <w:rPr>
          <w:rStyle w:val="eop"/>
          <w:rFonts w:ascii="Calibri" w:eastAsiaTheme="majorEastAsia" w:hAnsi="Calibri" w:cs="Calibri"/>
          <w:color w:val="000000" w:themeColor="text1"/>
        </w:rPr>
        <w:t>key policy frameworks, such as national health plans, which enables ongoing advocacy and accountability.</w:t>
      </w:r>
    </w:p>
    <w:p w14:paraId="213FD006" w14:textId="0AAAA5FA" w:rsidR="00836611" w:rsidRPr="00FE69AB" w:rsidRDefault="00836611" w:rsidP="00C07A0A">
      <w:pPr>
        <w:jc w:val="both"/>
        <w:rPr>
          <w:rStyle w:val="eop"/>
          <w:rFonts w:ascii="Calibri" w:eastAsiaTheme="majorEastAsia" w:hAnsi="Calibri" w:cs="Calibri"/>
          <w:color w:val="000000" w:themeColor="text1"/>
        </w:rPr>
      </w:pPr>
      <w:r w:rsidRPr="00FE69AB">
        <w:rPr>
          <w:rStyle w:val="eop"/>
          <w:rFonts w:ascii="Calibri" w:eastAsiaTheme="majorEastAsia" w:hAnsi="Calibri" w:cs="Calibri"/>
          <w:b/>
          <w:color w:val="000000" w:themeColor="text1"/>
        </w:rPr>
        <w:t>Outcome 2:</w:t>
      </w:r>
      <w:r w:rsidRPr="00FE69AB">
        <w:rPr>
          <w:rStyle w:val="eop"/>
          <w:rFonts w:ascii="Calibri" w:eastAsiaTheme="majorEastAsia" w:hAnsi="Calibri" w:cs="Calibri"/>
          <w:color w:val="000000" w:themeColor="text1"/>
        </w:rPr>
        <w:t xml:space="preserve"> V&amp;A assessments have been completed in all countries, with results directly informing HNAP review and updates in </w:t>
      </w:r>
      <w:r w:rsidR="00200AA6">
        <w:rPr>
          <w:rStyle w:val="eop"/>
          <w:rFonts w:ascii="Calibri" w:eastAsiaTheme="majorEastAsia" w:hAnsi="Calibri" w:cs="Calibri"/>
          <w:color w:val="000000" w:themeColor="text1"/>
        </w:rPr>
        <w:t>project</w:t>
      </w:r>
      <w:r w:rsidRPr="00FE69AB">
        <w:rPr>
          <w:rStyle w:val="eop"/>
          <w:rFonts w:ascii="Calibri" w:eastAsiaTheme="majorEastAsia" w:hAnsi="Calibri" w:cs="Calibri"/>
          <w:color w:val="000000" w:themeColor="text1"/>
        </w:rPr>
        <w:t xml:space="preserve"> countries. All countries have developed and piloted integrated climate-sensitive disease surveillance systems, but there has been uneven progress on wider rollout and scale-up, reflecting the diverse and varying contexts across countries. Availability of high-quality data hampered timely development and integration of surveillance systems in some settings.  </w:t>
      </w:r>
    </w:p>
    <w:p w14:paraId="281C4B4D" w14:textId="77777777" w:rsidR="00836611" w:rsidRPr="00FE69AB" w:rsidRDefault="00836611" w:rsidP="00C07A0A">
      <w:pPr>
        <w:jc w:val="both"/>
        <w:rPr>
          <w:rStyle w:val="eop"/>
          <w:rFonts w:ascii="Calibri" w:eastAsiaTheme="majorEastAsia" w:hAnsi="Calibri" w:cs="Calibri"/>
          <w:color w:val="000000" w:themeColor="text1"/>
        </w:rPr>
      </w:pPr>
    </w:p>
    <w:p w14:paraId="608189A2" w14:textId="77777777" w:rsidR="00836611" w:rsidRPr="00FE69AB" w:rsidRDefault="00836611" w:rsidP="00C07A0A">
      <w:pPr>
        <w:jc w:val="both"/>
        <w:rPr>
          <w:rStyle w:val="eop"/>
          <w:rFonts w:ascii="Calibri" w:eastAsiaTheme="majorEastAsia" w:hAnsi="Calibri" w:cs="Calibri"/>
          <w:color w:val="000000" w:themeColor="text1"/>
        </w:rPr>
      </w:pPr>
      <w:r w:rsidRPr="00FE69AB">
        <w:rPr>
          <w:rStyle w:val="eop"/>
          <w:rFonts w:ascii="Calibri" w:eastAsiaTheme="majorEastAsia" w:hAnsi="Calibri" w:cs="Calibri"/>
          <w:b/>
          <w:color w:val="000000" w:themeColor="text1"/>
        </w:rPr>
        <w:t>Outcome 3:</w:t>
      </w:r>
      <w:r w:rsidRPr="00FE69AB">
        <w:rPr>
          <w:rStyle w:val="eop"/>
          <w:rFonts w:ascii="Calibri" w:eastAsiaTheme="majorEastAsia" w:hAnsi="Calibri" w:cs="Calibri"/>
          <w:color w:val="000000" w:themeColor="text1"/>
        </w:rPr>
        <w:t xml:space="preserve"> All countries have supported activities to enhance climate resilience in health service delivery, with innovative demonstration pilots and clear application of national guidelines, tools, standards and training materials (outcome 1) in sub-national and local settings. These efforts primarily focus on WASH and waste management, and additional investment may be needed to address other aspects of low-carbon and climate-resilient health service delivery. The flexibility to co-design and tailor activities to local contexts has been beneficial, but variation in intervention approaches and unclear beneficiary definitions hinder comparison and indicator measurement. Funding and responsibilities for the ongoing maintenance and operation of interventions remain challenging.</w:t>
      </w:r>
    </w:p>
    <w:p w14:paraId="648A02B0" w14:textId="77777777" w:rsidR="00836611" w:rsidRDefault="00836611" w:rsidP="00C07A0A">
      <w:pPr>
        <w:pStyle w:val="NormalWeb"/>
        <w:jc w:val="both"/>
        <w:rPr>
          <w:rFonts w:ascii="Calibri" w:hAnsi="Calibri" w:cs="Calibri"/>
          <w:sz w:val="32"/>
          <w:szCs w:val="32"/>
          <w:lang w:val="en-AU" w:eastAsia="en-AU"/>
        </w:rPr>
      </w:pPr>
      <w:r>
        <w:rPr>
          <w:rStyle w:val="eop"/>
          <w:rFonts w:ascii="Calibri" w:eastAsiaTheme="majorEastAsia" w:hAnsi="Calibri" w:cs="Calibri"/>
          <w:b/>
          <w:color w:val="000000" w:themeColor="text1"/>
          <w:lang w:eastAsia="en-GB"/>
        </w:rPr>
        <w:t>Outcome 4.1</w:t>
      </w:r>
      <w:r>
        <w:rPr>
          <w:rStyle w:val="eop"/>
          <w:rFonts w:ascii="Calibri" w:eastAsiaTheme="majorEastAsia" w:hAnsi="Calibri" w:cs="Calibri"/>
          <w:b/>
          <w:color w:val="000000" w:themeColor="text1"/>
        </w:rPr>
        <w:t>:</w:t>
      </w:r>
      <w:r>
        <w:rPr>
          <w:rStyle w:val="eop"/>
          <w:rFonts w:ascii="Calibri" w:eastAsiaTheme="majorEastAsia" w:hAnsi="Calibri" w:cs="Calibri"/>
          <w:color w:val="000000" w:themeColor="text1"/>
        </w:rPr>
        <w:t xml:space="preserve"> </w:t>
      </w:r>
      <w:r>
        <w:rPr>
          <w:rStyle w:val="eop"/>
          <w:rFonts w:ascii="Calibri" w:eastAsiaTheme="majorEastAsia" w:hAnsi="Calibri" w:cs="Calibri"/>
          <w:color w:val="000000" w:themeColor="text1"/>
          <w:lang w:val="en-AU" w:eastAsia="en-GB"/>
        </w:rPr>
        <w:t xml:space="preserve">The project significantly enhanced regional cooperation and knowledge exchange between WHO and MOH stakeholders by leveraging virtual activities during the COVID-19 pandemic and organising face-to-face learning opportunities when safe and feasible. These interactions, highly valued for their depth and engagement, facilitated continuous communication and the dissemination of best practices despite global challenges. Participation in regional and global climate and health forums, such as ATACH and COP health </w:t>
      </w:r>
      <w:r>
        <w:rPr>
          <w:rStyle w:val="eop"/>
          <w:rFonts w:ascii="Calibri" w:eastAsiaTheme="majorEastAsia" w:hAnsi="Calibri" w:cs="Calibri"/>
          <w:color w:val="000000" w:themeColor="text1"/>
          <w:lang w:val="en-AU" w:eastAsia="en-GB"/>
        </w:rPr>
        <w:lastRenderedPageBreak/>
        <w:t>networks, further bolstered institutional leadership and country ownership. These forums provided platforms for sharing insights, engaging in policy dialogue, and fostering collaborative solutions, thereby strengthening the capacity of countries to address public health challenges effectively and sustainably.</w:t>
      </w:r>
    </w:p>
    <w:p w14:paraId="1D95F6ED" w14:textId="77777777" w:rsidR="00836611" w:rsidRDefault="00836611" w:rsidP="00C07A0A">
      <w:pPr>
        <w:pStyle w:val="NormalWeb"/>
        <w:jc w:val="both"/>
        <w:rPr>
          <w:rStyle w:val="eop"/>
          <w:rFonts w:ascii="Calibri" w:eastAsiaTheme="majorEastAsia" w:hAnsi="Calibri" w:cs="Calibri"/>
          <w:color w:val="000000" w:themeColor="text1"/>
          <w:lang w:val="en-AU" w:eastAsia="en-GB"/>
        </w:rPr>
      </w:pPr>
      <w:r>
        <w:rPr>
          <w:rStyle w:val="eop"/>
          <w:rFonts w:ascii="Calibri" w:eastAsiaTheme="majorEastAsia" w:hAnsi="Calibri" w:cs="Calibri"/>
          <w:b/>
          <w:color w:val="000000" w:themeColor="text1"/>
        </w:rPr>
        <w:t>Outcome 4.2:</w:t>
      </w:r>
      <w:r>
        <w:rPr>
          <w:rStyle w:val="eop"/>
          <w:rFonts w:ascii="Calibri" w:eastAsiaTheme="majorEastAsia" w:hAnsi="Calibri" w:cs="Calibri"/>
          <w:color w:val="000000" w:themeColor="text1"/>
        </w:rPr>
        <w:t xml:space="preserve"> </w:t>
      </w:r>
      <w:r>
        <w:rPr>
          <w:rStyle w:val="eop"/>
          <w:rFonts w:ascii="Calibri" w:eastAsiaTheme="majorEastAsia" w:hAnsi="Calibri" w:cs="Calibri"/>
          <w:color w:val="000000" w:themeColor="text1"/>
          <w:lang w:val="en-AU" w:eastAsia="en-GB"/>
        </w:rPr>
        <w:t xml:space="preserve">All countries have shown varying degrees of progress in integrating health into climate adaptation actions. </w:t>
      </w:r>
      <w:r>
        <w:rPr>
          <w:rStyle w:val="eop"/>
          <w:rFonts w:ascii="Calibri" w:eastAsiaTheme="majorEastAsia" w:hAnsi="Calibri" w:cs="Calibri"/>
          <w:color w:val="000000" w:themeColor="text1"/>
          <w:lang w:eastAsia="en-GB"/>
        </w:rPr>
        <w:t>T</w:t>
      </w:r>
      <w:r>
        <w:rPr>
          <w:rStyle w:val="eop"/>
          <w:rFonts w:ascii="Calibri" w:eastAsiaTheme="majorEastAsia" w:hAnsi="Calibri" w:cs="Calibri"/>
          <w:color w:val="000000" w:themeColor="text1"/>
          <w:lang w:val="en-AU" w:eastAsia="en-GB"/>
        </w:rPr>
        <w:t>he project has generally facilitated stronger intersectoral collaboration and coordination between the health and environment/climate sectors, however formalisation through institutional partnerships and implementation plans have varied. A methodology is being developed to quantify the direct and indirect costs of climate change on health to inform adaptation actions. However, its application and relevance to the project could not be verified at this stage. Notably, some countries have made significant strides in integrating health components into NAPs, serving as a model of good practice which may provide valuable lessons and frameworks that other countries can emulate.</w:t>
      </w:r>
    </w:p>
    <w:p w14:paraId="030A6C69" w14:textId="0AC2A18E" w:rsidR="002C08BB" w:rsidRDefault="002C08BB" w:rsidP="00C07A0A">
      <w:pPr>
        <w:pStyle w:val="Heading3"/>
        <w:numPr>
          <w:ilvl w:val="1"/>
          <w:numId w:val="29"/>
        </w:numPr>
        <w:rPr>
          <w:rStyle w:val="eop"/>
          <w:rFonts w:ascii="Calibri" w:hAnsi="Calibri" w:cs="Calibri"/>
          <w:b/>
        </w:rPr>
      </w:pPr>
      <w:bookmarkStart w:id="34" w:name="_Toc173429985"/>
      <w:r>
        <w:rPr>
          <w:rStyle w:val="eop"/>
          <w:rFonts w:ascii="Calibri" w:hAnsi="Calibri" w:cs="Calibri"/>
          <w:b/>
        </w:rPr>
        <w:t>Lessons Learned</w:t>
      </w:r>
      <w:bookmarkEnd w:id="34"/>
    </w:p>
    <w:p w14:paraId="41EDB43D" w14:textId="77777777" w:rsidR="002B060A" w:rsidRPr="00FE69AB" w:rsidRDefault="006040A7" w:rsidP="00C07A0A">
      <w:pPr>
        <w:pStyle w:val="Heading4"/>
        <w:spacing w:before="240"/>
      </w:pPr>
      <w:r w:rsidRPr="00FE69AB">
        <w:t>Successes and Strengths</w:t>
      </w:r>
    </w:p>
    <w:p w14:paraId="57285590" w14:textId="77777777" w:rsidR="002B060A" w:rsidRDefault="006040A7" w:rsidP="00C07A0A">
      <w:pPr>
        <w:jc w:val="both"/>
        <w:rPr>
          <w:rFonts w:ascii="Calibri" w:eastAsiaTheme="majorEastAsia" w:hAnsi="Calibri" w:cs="Calibri"/>
          <w:lang w:eastAsia="en-US"/>
        </w:rPr>
      </w:pPr>
      <w:r>
        <w:rPr>
          <w:rFonts w:ascii="Calibri" w:eastAsiaTheme="majorEastAsia" w:hAnsi="Calibri" w:cs="Calibri"/>
          <w:b/>
          <w:lang w:eastAsia="en-US"/>
        </w:rPr>
        <w:t xml:space="preserve">Institutional collaboration and coordination: </w:t>
      </w:r>
      <w:r>
        <w:rPr>
          <w:rFonts w:ascii="Calibri" w:eastAsiaTheme="majorEastAsia" w:hAnsi="Calibri" w:cs="Calibri"/>
          <w:lang w:eastAsia="en-US"/>
        </w:rPr>
        <w:t xml:space="preserve">The project successfully integrated and embedded climate adaptation within health sector plans across target countries. Notably, effective partnerships with MOH and health-determining sectors informed HNAPs in all countries, with some progressing the integration of health priorities across broader climate and adaptation plans (NAPs). Several stakeholders reported stronger ties with relevant Ministries, particularly in Environment/Climate and Meteorology sectors, with piloting of EWARS and integrated surveillance systems a strong achievement. </w:t>
      </w:r>
    </w:p>
    <w:p w14:paraId="41675825" w14:textId="77777777" w:rsidR="002B060A" w:rsidRDefault="002B060A" w:rsidP="00C07A0A">
      <w:pPr>
        <w:jc w:val="both"/>
        <w:rPr>
          <w:rFonts w:ascii="Calibri" w:eastAsiaTheme="majorEastAsia" w:hAnsi="Calibri" w:cs="Calibri"/>
          <w:lang w:eastAsia="en-US"/>
        </w:rPr>
      </w:pPr>
    </w:p>
    <w:p w14:paraId="34AD4D52" w14:textId="77777777" w:rsidR="002B060A" w:rsidRDefault="006040A7" w:rsidP="00C07A0A">
      <w:pPr>
        <w:jc w:val="both"/>
        <w:rPr>
          <w:rFonts w:ascii="Calibri" w:eastAsiaTheme="majorEastAsia" w:hAnsi="Calibri" w:cs="Calibri"/>
          <w:lang w:eastAsia="en-US"/>
        </w:rPr>
      </w:pPr>
      <w:r>
        <w:rPr>
          <w:rFonts w:ascii="Calibri" w:eastAsiaTheme="majorEastAsia" w:hAnsi="Calibri" w:cs="Calibri"/>
          <w:b/>
          <w:lang w:eastAsia="en-US"/>
        </w:rPr>
        <w:t xml:space="preserve">Adaptive management and strategic relevance: </w:t>
      </w:r>
      <w:r>
        <w:rPr>
          <w:rFonts w:ascii="Calibri" w:eastAsiaTheme="majorEastAsia" w:hAnsi="Calibri" w:cs="Calibri"/>
          <w:lang w:eastAsia="en-US"/>
        </w:rPr>
        <w:t xml:space="preserve">Project teams successfully navigated external volatility, notably the COVID-19 pandemic and the decision to terminate activities in Myanmar. The project was supported by strong governance and stakeholder engagement systems that enabled activities to be tailored to diverse national contexts following common overall outcomes. Several stakeholders noted the continued value, relevance, and alignment of the project with national and international climate and health priorities. The prominence and value of the project only increased with growing awareness and evidence of climate-related health risks and impacts globally. </w:t>
      </w:r>
    </w:p>
    <w:p w14:paraId="777C205F" w14:textId="77777777" w:rsidR="002B060A" w:rsidRDefault="002B060A" w:rsidP="00C07A0A">
      <w:pPr>
        <w:rPr>
          <w:rFonts w:ascii="Calibri" w:eastAsiaTheme="majorEastAsia" w:hAnsi="Calibri" w:cs="Calibri"/>
          <w:lang w:eastAsia="en-US"/>
        </w:rPr>
      </w:pPr>
    </w:p>
    <w:p w14:paraId="6FF2D7B1" w14:textId="77777777" w:rsidR="002B060A" w:rsidRDefault="006040A7" w:rsidP="00C07A0A">
      <w:pPr>
        <w:jc w:val="both"/>
        <w:rPr>
          <w:rFonts w:ascii="Calibri" w:hAnsi="Calibri" w:cs="Calibri"/>
        </w:rPr>
      </w:pPr>
      <w:r>
        <w:rPr>
          <w:rFonts w:ascii="Calibri" w:eastAsiaTheme="majorEastAsia" w:hAnsi="Calibri" w:cs="Calibri"/>
          <w:b/>
          <w:lang w:eastAsia="en-US"/>
        </w:rPr>
        <w:t xml:space="preserve">Country ownership, flexibility and co-design: </w:t>
      </w:r>
      <w:r>
        <w:rPr>
          <w:rFonts w:ascii="Calibri" w:eastAsiaTheme="majorEastAsia" w:hAnsi="Calibri" w:cs="Calibri"/>
          <w:lang w:eastAsia="en-US"/>
        </w:rPr>
        <w:t>Strong partnerships between WHO and implementing agencies and the flexibility of GEF funds enabled participatory co-</w:t>
      </w:r>
      <w:r>
        <w:rPr>
          <w:rStyle w:val="normaltextrun"/>
          <w:rFonts w:ascii="Calibri" w:eastAsiaTheme="majorEastAsia" w:hAnsi="Calibri" w:cs="Calibri"/>
          <w:color w:val="000000" w:themeColor="text1"/>
        </w:rPr>
        <w:t>design</w:t>
      </w:r>
      <w:r>
        <w:rPr>
          <w:rFonts w:ascii="Calibri" w:eastAsiaTheme="majorEastAsia" w:hAnsi="Calibri" w:cs="Calibri"/>
          <w:lang w:eastAsia="en-US"/>
        </w:rPr>
        <w:t xml:space="preserve"> of project activities and outputs. There was good evidence of government ownership over core policy documents (HNAPs) and related tools, guidelines and standards (E.g. EWARS, WASH and waste management SOPs). </w:t>
      </w:r>
      <w:r>
        <w:rPr>
          <w:rFonts w:ascii="Calibri" w:hAnsi="Calibri" w:cs="Calibri"/>
        </w:rPr>
        <w:t xml:space="preserve">Flexibility to target GEF funds (through Direct Financial Contributions and co-designed workplans) to supplement existing activities and/or target innovative pilot interventions and ability to tailor activities under each outcome to national priorities were highlighted as strengths. </w:t>
      </w:r>
    </w:p>
    <w:p w14:paraId="524992D1" w14:textId="77777777" w:rsidR="002B060A" w:rsidRDefault="002B060A" w:rsidP="00C07A0A">
      <w:pPr>
        <w:rPr>
          <w:rFonts w:ascii="Calibri" w:eastAsiaTheme="majorEastAsia" w:hAnsi="Calibri" w:cs="Calibri"/>
          <w:lang w:eastAsia="en-US"/>
        </w:rPr>
      </w:pPr>
    </w:p>
    <w:p w14:paraId="2222354D" w14:textId="58EA88B5" w:rsidR="00AE236C" w:rsidRDefault="00AE236C" w:rsidP="00C07A0A">
      <w:pPr>
        <w:jc w:val="both"/>
        <w:rPr>
          <w:rFonts w:ascii="Calibri" w:eastAsiaTheme="majorEastAsia" w:hAnsi="Calibri" w:cs="Calibri"/>
          <w:lang w:eastAsia="en-US"/>
        </w:rPr>
      </w:pPr>
      <w:r>
        <w:rPr>
          <w:rFonts w:ascii="Calibri" w:eastAsiaTheme="majorEastAsia" w:hAnsi="Calibri" w:cs="Calibri"/>
          <w:b/>
          <w:lang w:eastAsia="en-US"/>
        </w:rPr>
        <w:t xml:space="preserve">Evidence base for climate and health: </w:t>
      </w:r>
      <w:r>
        <w:rPr>
          <w:rFonts w:ascii="Calibri" w:eastAsiaTheme="majorEastAsia" w:hAnsi="Calibri" w:cs="Calibri"/>
          <w:lang w:eastAsia="en-US"/>
        </w:rPr>
        <w:t xml:space="preserve">The project addressed critical knowledge gaps by investing in updated V&amp;A assessments and HNAPs for all countries. Results directly informed </w:t>
      </w:r>
      <w:r w:rsidRPr="00AE236C">
        <w:rPr>
          <w:rFonts w:ascii="Calibri" w:eastAsiaTheme="majorEastAsia" w:hAnsi="Calibri" w:cs="Calibri"/>
          <w:lang w:eastAsia="en-US"/>
        </w:rPr>
        <w:lastRenderedPageBreak/>
        <w:t>HNAP updates</w:t>
      </w:r>
      <w:r>
        <w:rPr>
          <w:rFonts w:ascii="Calibri" w:eastAsiaTheme="majorEastAsia" w:hAnsi="Calibri" w:cs="Calibri"/>
          <w:lang w:eastAsia="en-US"/>
        </w:rPr>
        <w:t xml:space="preserve"> in several countries and provided a critical evidence base for future adaptation planning. </w:t>
      </w:r>
    </w:p>
    <w:p w14:paraId="156386C5" w14:textId="77777777" w:rsidR="00AE236C" w:rsidRDefault="00AE236C" w:rsidP="00C07A0A">
      <w:pPr>
        <w:rPr>
          <w:rFonts w:ascii="Calibri" w:eastAsiaTheme="majorEastAsia" w:hAnsi="Calibri" w:cs="Calibri"/>
          <w:lang w:eastAsia="en-US"/>
        </w:rPr>
      </w:pPr>
    </w:p>
    <w:p w14:paraId="2635E519" w14:textId="77777777" w:rsidR="00AE236C" w:rsidRDefault="00AE236C" w:rsidP="00C07A0A">
      <w:pPr>
        <w:jc w:val="both"/>
        <w:rPr>
          <w:rFonts w:ascii="Calibri" w:eastAsiaTheme="majorEastAsia" w:hAnsi="Calibri" w:cs="Calibri"/>
        </w:rPr>
      </w:pPr>
      <w:r>
        <w:rPr>
          <w:rStyle w:val="normaltextrun"/>
          <w:rFonts w:ascii="Calibri" w:eastAsiaTheme="majorEastAsia" w:hAnsi="Calibri" w:cs="Calibri"/>
          <w:b/>
          <w:bCs/>
          <w:color w:val="000000" w:themeColor="text1"/>
        </w:rPr>
        <w:t xml:space="preserve">Capacity building and knowledge sharing: </w:t>
      </w:r>
      <w:r>
        <w:rPr>
          <w:rFonts w:ascii="Calibri" w:eastAsiaTheme="majorEastAsia" w:hAnsi="Calibri" w:cs="Calibri"/>
          <w:lang w:eastAsia="en-US"/>
        </w:rPr>
        <w:t xml:space="preserve">Various climate and health guidelines and policies were developed, including for healthcare workers and policymakers. Stakeholders observed improved knowledge, attitudes, and capacity within implementing agencies to address climate-related health risks and impacts through training and developing national-level guidelines, standards, </w:t>
      </w:r>
      <w:r>
        <w:rPr>
          <w:rStyle w:val="normaltextrun"/>
          <w:rFonts w:ascii="Calibri" w:eastAsiaTheme="majorEastAsia" w:hAnsi="Calibri" w:cs="Calibri"/>
          <w:color w:val="000000" w:themeColor="text1"/>
        </w:rPr>
        <w:t>and</w:t>
      </w:r>
      <w:r>
        <w:rPr>
          <w:rFonts w:ascii="Calibri" w:eastAsiaTheme="majorEastAsia" w:hAnsi="Calibri" w:cs="Calibri"/>
          <w:lang w:eastAsia="en-US"/>
        </w:rPr>
        <w:t xml:space="preserve"> tools. The</w:t>
      </w:r>
      <w:r>
        <w:rPr>
          <w:rFonts w:ascii="Calibri" w:hAnsi="Calibri" w:cs="Calibri"/>
        </w:rPr>
        <w:t xml:space="preserve"> </w:t>
      </w:r>
      <w:r>
        <w:rPr>
          <w:rFonts w:ascii="Calibri" w:eastAsiaTheme="majorEastAsia" w:hAnsi="Calibri" w:cs="Calibri"/>
          <w:lang w:eastAsia="en-US"/>
        </w:rPr>
        <w:t>project deepened the understanding and recognition of climate change as a driver of health issues across all countries, and enabled identification of practical interventions and responses by leveraging regional and global guidance (see Outcome 1).</w:t>
      </w:r>
      <w:r>
        <w:rPr>
          <w:rFonts w:ascii="Calibri" w:hAnsi="Calibri" w:cs="Calibri"/>
        </w:rPr>
        <w:t xml:space="preserve"> </w:t>
      </w:r>
    </w:p>
    <w:p w14:paraId="7CA2A607" w14:textId="77777777" w:rsidR="00AE236C" w:rsidRDefault="00AE236C" w:rsidP="00C07A0A">
      <w:pPr>
        <w:rPr>
          <w:rFonts w:ascii="Calibri" w:eastAsiaTheme="majorEastAsia" w:hAnsi="Calibri" w:cs="Calibri"/>
          <w:lang w:eastAsia="en-US"/>
        </w:rPr>
      </w:pPr>
    </w:p>
    <w:p w14:paraId="19B1A6EC" w14:textId="45751979" w:rsidR="002B060A" w:rsidRDefault="006040A7" w:rsidP="00C07A0A">
      <w:pPr>
        <w:jc w:val="both"/>
        <w:rPr>
          <w:rFonts w:ascii="Calibri" w:hAnsi="Calibri" w:cs="Calibri"/>
        </w:rPr>
      </w:pPr>
      <w:r>
        <w:rPr>
          <w:rFonts w:ascii="Calibri" w:eastAsiaTheme="majorEastAsia" w:hAnsi="Calibri" w:cs="Calibri"/>
          <w:b/>
          <w:bCs/>
          <w:lang w:eastAsia="en-US"/>
        </w:rPr>
        <w:t xml:space="preserve">Holistic demonstration projects: </w:t>
      </w:r>
      <w:r>
        <w:rPr>
          <w:rFonts w:ascii="Calibri" w:eastAsiaTheme="majorEastAsia" w:hAnsi="Calibri" w:cs="Calibri"/>
          <w:lang w:eastAsia="en-US"/>
        </w:rPr>
        <w:t xml:space="preserve">GEF </w:t>
      </w:r>
      <w:r w:rsidR="00CD5359" w:rsidRPr="003445E8">
        <w:rPr>
          <w:rFonts w:ascii="Calibri" w:eastAsiaTheme="majorEastAsia" w:hAnsi="Calibri" w:cs="Calibri"/>
          <w:lang w:eastAsia="en-US"/>
        </w:rPr>
        <w:t>f</w:t>
      </w:r>
      <w:r w:rsidR="0098684E">
        <w:rPr>
          <w:rFonts w:ascii="Calibri" w:eastAsiaTheme="majorEastAsia" w:hAnsi="Calibri" w:cs="Calibri"/>
          <w:lang w:eastAsia="en-US"/>
        </w:rPr>
        <w:t>unds</w:t>
      </w:r>
      <w:r>
        <w:rPr>
          <w:rFonts w:ascii="Calibri" w:eastAsiaTheme="majorEastAsia" w:hAnsi="Calibri" w:cs="Calibri"/>
          <w:lang w:eastAsia="en-US"/>
        </w:rPr>
        <w:t xml:space="preserve"> were critical for enabling proof-of-concept and innovative interventions that supported HNAP implementation. Several of these interventions (mostly under Outcome 3) were ‘holistic’ approaches, combining top-down national guidance and policy commitment (often aligned with regional and international best practice, such as EWARS and WSP), with grassroots interventions to improve climate-resilience of healthcare facilities. The combination of policy standards and technical guidelines with implementation on the ground was critical for building broad support at </w:t>
      </w:r>
      <w:r>
        <w:rPr>
          <w:rStyle w:val="normaltextrun"/>
          <w:rFonts w:ascii="Calibri" w:eastAsiaTheme="majorEastAsia" w:hAnsi="Calibri" w:cs="Calibri"/>
          <w:color w:val="000000" w:themeColor="text1"/>
        </w:rPr>
        <w:t>national</w:t>
      </w:r>
      <w:r>
        <w:rPr>
          <w:rFonts w:ascii="Calibri" w:eastAsiaTheme="majorEastAsia" w:hAnsi="Calibri" w:cs="Calibri"/>
          <w:lang w:eastAsia="en-US"/>
        </w:rPr>
        <w:t xml:space="preserve"> and sub-national levels, and strong foundations were </w:t>
      </w:r>
      <w:r>
        <w:rPr>
          <w:rFonts w:ascii="Calibri" w:hAnsi="Calibri" w:cs="Calibri"/>
        </w:rPr>
        <w:t xml:space="preserve">established on successful intervention approaches that can be leveraged for future funding. </w:t>
      </w:r>
    </w:p>
    <w:p w14:paraId="4F5D62E2" w14:textId="77777777" w:rsidR="002B060A" w:rsidRDefault="002B060A" w:rsidP="00C07A0A">
      <w:pPr>
        <w:jc w:val="both"/>
        <w:rPr>
          <w:rFonts w:ascii="Calibri" w:hAnsi="Calibri" w:cs="Calibri"/>
        </w:rPr>
      </w:pPr>
    </w:p>
    <w:p w14:paraId="4CA745F4" w14:textId="77777777" w:rsidR="002B060A" w:rsidRDefault="006040A7" w:rsidP="00C07A0A">
      <w:pPr>
        <w:jc w:val="both"/>
        <w:rPr>
          <w:rFonts w:ascii="Calibri" w:eastAsiaTheme="majorEastAsia" w:hAnsi="Calibri" w:cs="Calibri"/>
          <w:lang w:eastAsia="en-US"/>
        </w:rPr>
      </w:pPr>
      <w:r>
        <w:rPr>
          <w:rFonts w:ascii="Calibri" w:eastAsiaTheme="majorEastAsia" w:hAnsi="Calibri" w:cs="Calibri"/>
          <w:b/>
          <w:bCs/>
          <w:lang w:eastAsia="en-US"/>
        </w:rPr>
        <w:t xml:space="preserve">Leadership and institutional champions: </w:t>
      </w:r>
      <w:r>
        <w:rPr>
          <w:rFonts w:ascii="Calibri" w:eastAsiaTheme="majorEastAsia" w:hAnsi="Calibri" w:cs="Calibri"/>
          <w:lang w:eastAsia="en-US"/>
        </w:rPr>
        <w:t xml:space="preserve">Profiling the project at major national, regional, and global climate and health forums catalysed government buy-in and support. MOH is now viewed as a driving engine for climate change and health across several project countries, and representations at ATACH and COP meetings elevated the project as an exemplar for other countries and regions. The project successfully leveraged growing global momentum to address the nexus of climate change and health, highlighting increased relevance and value of integrated adaptation responses and practical intervention examples. </w:t>
      </w:r>
    </w:p>
    <w:p w14:paraId="420201D3" w14:textId="3E47852F" w:rsidR="002B060A" w:rsidRPr="00FE69AB" w:rsidRDefault="006040A7" w:rsidP="00C07A0A">
      <w:pPr>
        <w:pStyle w:val="Heading4"/>
        <w:spacing w:before="240"/>
      </w:pPr>
      <w:r w:rsidRPr="00FE69AB">
        <w:t>Challenges and Barriers</w:t>
      </w:r>
    </w:p>
    <w:p w14:paraId="258AA9E2" w14:textId="77777777" w:rsidR="002B060A" w:rsidRDefault="006040A7" w:rsidP="00C07A0A">
      <w:pPr>
        <w:jc w:val="both"/>
        <w:rPr>
          <w:rStyle w:val="normaltextrun"/>
          <w:rFonts w:ascii="Calibri" w:eastAsiaTheme="majorEastAsia" w:hAnsi="Calibri" w:cs="Calibri"/>
          <w:color w:val="000000" w:themeColor="text1"/>
        </w:rPr>
      </w:pPr>
      <w:r>
        <w:rPr>
          <w:rStyle w:val="normaltextrun"/>
          <w:rFonts w:ascii="Calibri" w:eastAsiaTheme="majorEastAsia" w:hAnsi="Calibri" w:cs="Calibri"/>
          <w:b/>
          <w:bCs/>
          <w:color w:val="000000" w:themeColor="text1"/>
        </w:rPr>
        <w:t xml:space="preserve">COVID 19 and inception delays: </w:t>
      </w:r>
      <w:r>
        <w:rPr>
          <w:rStyle w:val="normaltextrun"/>
          <w:rFonts w:ascii="Calibri" w:eastAsiaTheme="majorEastAsia" w:hAnsi="Calibri" w:cs="Calibri"/>
          <w:color w:val="000000" w:themeColor="text1"/>
        </w:rPr>
        <w:t xml:space="preserve">Project commencement was delayed by negotiations and establishment of project governance structures between WHO </w:t>
      </w:r>
      <w:r>
        <w:rPr>
          <w:rFonts w:ascii="Calibri" w:hAnsi="Calibri" w:cs="Calibri"/>
          <w:color w:val="000000"/>
        </w:rPr>
        <w:t>and</w:t>
      </w:r>
      <w:r>
        <w:rPr>
          <w:rStyle w:val="normaltextrun"/>
          <w:rFonts w:ascii="Calibri" w:eastAsiaTheme="majorEastAsia" w:hAnsi="Calibri" w:cs="Calibri"/>
          <w:color w:val="000000" w:themeColor="text1"/>
        </w:rPr>
        <w:t xml:space="preserve"> UNDP. As documented in the MTR, the project then faced additional implementation challenges due to the increasing impact of the COVID-19 pandemic and re-deployment of several MOH teams to emergency pandemic response efforts. Despite this, the project teams successfully navigated these challenges and demonstrated a high degree of adaptive capacity, for example by pivoting to virtual activities and prioritising HCF interventions that promoted COVID-19 infection prevention and control, such as hand-washing facilities. An 18-month no-cost extension helped compensate for initial delays, enabling the successful delivery of most project outcomes and output indicators.</w:t>
      </w:r>
    </w:p>
    <w:p w14:paraId="53A4190B"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5961A1F2" w14:textId="4656BCCB" w:rsidR="002B060A" w:rsidRDefault="006040A7" w:rsidP="00C07A0A">
      <w:pPr>
        <w:jc w:val="both"/>
        <w:rPr>
          <w:rStyle w:val="normaltextrun"/>
          <w:rFonts w:ascii="Calibri" w:eastAsiaTheme="majorEastAsia" w:hAnsi="Calibri" w:cs="Calibri"/>
          <w:color w:val="000000" w:themeColor="text1"/>
        </w:rPr>
      </w:pPr>
      <w:r>
        <w:rPr>
          <w:rStyle w:val="normaltextrun"/>
          <w:rFonts w:ascii="Calibri" w:eastAsiaTheme="majorEastAsia" w:hAnsi="Calibri" w:cs="Calibri"/>
          <w:b/>
          <w:bCs/>
          <w:color w:val="000000" w:themeColor="text1"/>
        </w:rPr>
        <w:t xml:space="preserve">Staff turnover and technical capacity: </w:t>
      </w:r>
      <w:r>
        <w:rPr>
          <w:rStyle w:val="normaltextrun"/>
          <w:rFonts w:ascii="Calibri" w:eastAsiaTheme="majorEastAsia" w:hAnsi="Calibri" w:cs="Calibri"/>
          <w:color w:val="000000" w:themeColor="text1"/>
        </w:rPr>
        <w:t xml:space="preserve">Several countries faced set-backs due to staff turnover within key operational partners, which impacted institutional knowledge, continuity, and ability to progress key initiatives. These changes, influenced by external factors like government restructures and COVID-19 redeployments, were mitigated through capacity building in various domains via training and development of national tools and guidelines. </w:t>
      </w:r>
      <w:r>
        <w:rPr>
          <w:rStyle w:val="normaltextrun"/>
          <w:rFonts w:ascii="Calibri" w:eastAsiaTheme="majorEastAsia" w:hAnsi="Calibri" w:cs="Calibri"/>
          <w:color w:val="000000" w:themeColor="text1"/>
        </w:rPr>
        <w:lastRenderedPageBreak/>
        <w:t>While hiring consultants addressed some capability gaps, it posed challenges for knowledge retention and sustainability due to short-term engagements and reliance on international experts. Robust reporting systems for general and regular monitoring (e.g. quarterly reports)  coordinated by WHO ROs and HQ helped retain institutional knowledge, yet more targeted support was needed for project teams in specific climate and environmental aspects, such as accessing climate finance and quantifying cost/benefits of climate change and health interventions</w:t>
      </w:r>
      <w:r w:rsidR="007A3394">
        <w:rPr>
          <w:rStyle w:val="normaltextrun"/>
          <w:rFonts w:ascii="Calibri" w:eastAsiaTheme="majorEastAsia" w:hAnsi="Calibri" w:cs="Calibri"/>
          <w:color w:val="000000" w:themeColor="text1"/>
        </w:rPr>
        <w:t>, which was part of Outcome 4.2</w:t>
      </w:r>
      <w:r>
        <w:rPr>
          <w:rStyle w:val="normaltextrun"/>
          <w:rFonts w:ascii="Calibri" w:eastAsiaTheme="majorEastAsia" w:hAnsi="Calibri" w:cs="Calibri"/>
          <w:color w:val="000000" w:themeColor="text1"/>
        </w:rPr>
        <w:t xml:space="preserve">. </w:t>
      </w:r>
    </w:p>
    <w:p w14:paraId="332E3AC6" w14:textId="77777777" w:rsidR="002B060A" w:rsidRDefault="002B060A" w:rsidP="00C07A0A">
      <w:pPr>
        <w:jc w:val="both"/>
        <w:rPr>
          <w:rStyle w:val="normaltextrun"/>
          <w:rFonts w:ascii="Calibri" w:eastAsiaTheme="majorEastAsia" w:hAnsi="Calibri" w:cs="Calibri"/>
          <w:b/>
          <w:color w:val="000000" w:themeColor="text1"/>
        </w:rPr>
      </w:pPr>
    </w:p>
    <w:p w14:paraId="750710FD" w14:textId="5C2B6996" w:rsidR="002B060A" w:rsidRDefault="002E19D9" w:rsidP="00C07A0A">
      <w:pPr>
        <w:jc w:val="both"/>
        <w:rPr>
          <w:rStyle w:val="normaltextrun"/>
          <w:rFonts w:ascii="Calibri" w:eastAsiaTheme="majorEastAsia" w:hAnsi="Calibri" w:cs="Calibri"/>
          <w:color w:val="000000" w:themeColor="text1"/>
        </w:rPr>
      </w:pPr>
      <w:r>
        <w:rPr>
          <w:rStyle w:val="normaltextrun"/>
          <w:rFonts w:ascii="Calibri" w:eastAsiaTheme="majorEastAsia" w:hAnsi="Calibri" w:cs="Calibri"/>
          <w:b/>
          <w:bCs/>
          <w:color w:val="000000" w:themeColor="text1"/>
        </w:rPr>
        <w:t>Ensuring that interventions are</w:t>
      </w:r>
      <w:r w:rsidR="006040A7" w:rsidRPr="64A51F1F">
        <w:rPr>
          <w:rStyle w:val="normaltextrun"/>
          <w:rFonts w:ascii="Calibri" w:eastAsiaTheme="majorEastAsia" w:hAnsi="Calibri" w:cs="Calibri"/>
          <w:b/>
          <w:bCs/>
          <w:color w:val="000000" w:themeColor="text1"/>
        </w:rPr>
        <w:t xml:space="preserve"> climate-informed: </w:t>
      </w:r>
      <w:r w:rsidR="00257CF6" w:rsidRPr="008432F3">
        <w:rPr>
          <w:rStyle w:val="normaltextrun"/>
          <w:rFonts w:ascii="Calibri" w:eastAsiaTheme="majorEastAsia" w:hAnsi="Calibri" w:cs="Calibri"/>
          <w:color w:val="000000" w:themeColor="text1"/>
        </w:rPr>
        <w:t xml:space="preserve">Given that HNAPs are a critical </w:t>
      </w:r>
      <w:r w:rsidR="00574166" w:rsidRPr="008432F3">
        <w:rPr>
          <w:rStyle w:val="normaltextrun"/>
          <w:rFonts w:ascii="Calibri" w:eastAsiaTheme="majorEastAsia" w:hAnsi="Calibri" w:cs="Calibri"/>
          <w:color w:val="000000" w:themeColor="text1"/>
        </w:rPr>
        <w:t>step</w:t>
      </w:r>
      <w:r w:rsidR="00CA1ABE" w:rsidRPr="008432F3">
        <w:rPr>
          <w:rStyle w:val="normaltextrun"/>
          <w:rFonts w:ascii="Calibri" w:eastAsiaTheme="majorEastAsia" w:hAnsi="Calibri" w:cs="Calibri"/>
          <w:color w:val="000000" w:themeColor="text1"/>
        </w:rPr>
        <w:t xml:space="preserve"> </w:t>
      </w:r>
      <w:r w:rsidR="00574166" w:rsidRPr="008432F3">
        <w:rPr>
          <w:rStyle w:val="normaltextrun"/>
          <w:rFonts w:ascii="Calibri" w:eastAsiaTheme="majorEastAsia" w:hAnsi="Calibri" w:cs="Calibri"/>
          <w:color w:val="000000" w:themeColor="text1"/>
        </w:rPr>
        <w:t>in</w:t>
      </w:r>
      <w:r w:rsidR="00CA1ABE" w:rsidRPr="008432F3">
        <w:rPr>
          <w:rStyle w:val="normaltextrun"/>
          <w:rFonts w:ascii="Calibri" w:eastAsiaTheme="majorEastAsia" w:hAnsi="Calibri" w:cs="Calibri"/>
          <w:color w:val="000000" w:themeColor="text1"/>
        </w:rPr>
        <w:t xml:space="preserve"> </w:t>
      </w:r>
      <w:r w:rsidR="00D00CE1" w:rsidRPr="008432F3">
        <w:rPr>
          <w:rStyle w:val="normaltextrun"/>
          <w:rFonts w:ascii="Calibri" w:eastAsiaTheme="majorEastAsia" w:hAnsi="Calibri" w:cs="Calibri"/>
          <w:color w:val="000000" w:themeColor="text1"/>
        </w:rPr>
        <w:t>identify</w:t>
      </w:r>
      <w:r w:rsidR="00574166" w:rsidRPr="008432F3">
        <w:rPr>
          <w:rStyle w:val="normaltextrun"/>
          <w:rFonts w:ascii="Calibri" w:eastAsiaTheme="majorEastAsia" w:hAnsi="Calibri" w:cs="Calibri"/>
          <w:color w:val="000000" w:themeColor="text1"/>
        </w:rPr>
        <w:t>ing</w:t>
      </w:r>
      <w:r w:rsidR="00D00CE1" w:rsidRPr="008432F3">
        <w:rPr>
          <w:rStyle w:val="normaltextrun"/>
          <w:rFonts w:ascii="Calibri" w:eastAsiaTheme="majorEastAsia" w:hAnsi="Calibri" w:cs="Calibri"/>
          <w:color w:val="000000" w:themeColor="text1"/>
        </w:rPr>
        <w:t xml:space="preserve"> priority climate adaptation activities</w:t>
      </w:r>
      <w:r w:rsidR="003A246C" w:rsidRPr="008432F3">
        <w:rPr>
          <w:rStyle w:val="normaltextrun"/>
          <w:rFonts w:ascii="Calibri" w:eastAsiaTheme="majorEastAsia" w:hAnsi="Calibri" w:cs="Calibri"/>
          <w:color w:val="000000" w:themeColor="text1"/>
        </w:rPr>
        <w:t xml:space="preserve">, </w:t>
      </w:r>
      <w:r w:rsidR="00584121" w:rsidRPr="004E4A95">
        <w:rPr>
          <w:rStyle w:val="normaltextrun"/>
          <w:rFonts w:ascii="Calibri" w:eastAsiaTheme="majorEastAsia" w:hAnsi="Calibri" w:cs="Calibri"/>
          <w:color w:val="000000" w:themeColor="text1"/>
        </w:rPr>
        <w:t>p</w:t>
      </w:r>
      <w:r w:rsidR="00584121">
        <w:rPr>
          <w:rStyle w:val="normaltextrun"/>
          <w:rFonts w:ascii="Calibri" w:eastAsiaTheme="majorEastAsia" w:hAnsi="Calibri" w:cs="Calibri"/>
          <w:color w:val="000000" w:themeColor="text1"/>
        </w:rPr>
        <w:t xml:space="preserve">roject </w:t>
      </w:r>
      <w:r w:rsidR="006040A7" w:rsidRPr="64A51F1F">
        <w:rPr>
          <w:rStyle w:val="normaltextrun"/>
          <w:rFonts w:ascii="Calibri" w:eastAsiaTheme="majorEastAsia" w:hAnsi="Calibri" w:cs="Calibri"/>
          <w:color w:val="000000" w:themeColor="text1"/>
        </w:rPr>
        <w:t xml:space="preserve"> activities implemented under Outcome 3 </w:t>
      </w:r>
      <w:r w:rsidR="78A6409B" w:rsidRPr="64A51F1F">
        <w:rPr>
          <w:rStyle w:val="normaltextrun"/>
          <w:rFonts w:ascii="Calibri" w:eastAsiaTheme="majorEastAsia" w:hAnsi="Calibri" w:cs="Calibri"/>
          <w:color w:val="000000" w:themeColor="text1"/>
        </w:rPr>
        <w:t>could have been more clearly linked to the HNAP in each country.</w:t>
      </w:r>
      <w:r w:rsidR="006040A7" w:rsidRPr="64A51F1F">
        <w:rPr>
          <w:rStyle w:val="normaltextrun"/>
          <w:rFonts w:ascii="Calibri" w:eastAsiaTheme="majorEastAsia" w:hAnsi="Calibri" w:cs="Calibri"/>
          <w:color w:val="000000" w:themeColor="text1"/>
        </w:rPr>
        <w:t xml:space="preserve"> </w:t>
      </w:r>
      <w:r w:rsidR="00870AA8">
        <w:rPr>
          <w:rStyle w:val="normaltextrun"/>
          <w:rFonts w:ascii="Calibri" w:eastAsiaTheme="majorEastAsia" w:hAnsi="Calibri" w:cs="Calibri"/>
          <w:color w:val="000000" w:themeColor="text1"/>
        </w:rPr>
        <w:t>HNAP</w:t>
      </w:r>
      <w:r w:rsidR="000D17C8">
        <w:rPr>
          <w:rStyle w:val="normaltextrun"/>
          <w:rFonts w:ascii="Calibri" w:eastAsiaTheme="majorEastAsia" w:hAnsi="Calibri" w:cs="Calibri"/>
          <w:color w:val="000000" w:themeColor="text1"/>
        </w:rPr>
        <w:t>s are</w:t>
      </w:r>
      <w:r w:rsidR="00870AA8">
        <w:rPr>
          <w:rStyle w:val="normaltextrun"/>
          <w:rFonts w:ascii="Calibri" w:eastAsiaTheme="majorEastAsia" w:hAnsi="Calibri" w:cs="Calibri"/>
          <w:color w:val="000000" w:themeColor="text1"/>
        </w:rPr>
        <w:t xml:space="preserve"> </w:t>
      </w:r>
      <w:r w:rsidR="00CE4081">
        <w:rPr>
          <w:rStyle w:val="normaltextrun"/>
          <w:rFonts w:ascii="Calibri" w:eastAsiaTheme="majorEastAsia" w:hAnsi="Calibri" w:cs="Calibri"/>
          <w:color w:val="000000" w:themeColor="text1"/>
        </w:rPr>
        <w:t xml:space="preserve">likely to be </w:t>
      </w:r>
      <w:r w:rsidR="00451F85">
        <w:rPr>
          <w:rStyle w:val="normaltextrun"/>
          <w:rFonts w:ascii="Calibri" w:eastAsiaTheme="majorEastAsia" w:hAnsi="Calibri" w:cs="Calibri"/>
          <w:color w:val="000000" w:themeColor="text1"/>
        </w:rPr>
        <w:t xml:space="preserve">more sustainable </w:t>
      </w:r>
      <w:r w:rsidR="008B4838">
        <w:rPr>
          <w:rStyle w:val="normaltextrun"/>
          <w:rFonts w:ascii="Calibri" w:eastAsiaTheme="majorEastAsia" w:hAnsi="Calibri" w:cs="Calibri"/>
          <w:color w:val="000000" w:themeColor="text1"/>
        </w:rPr>
        <w:t>with</w:t>
      </w:r>
      <w:r w:rsidR="00451F85">
        <w:rPr>
          <w:rStyle w:val="normaltextrun"/>
          <w:rFonts w:ascii="Calibri" w:eastAsiaTheme="majorEastAsia" w:hAnsi="Calibri" w:cs="Calibri"/>
          <w:color w:val="000000" w:themeColor="text1"/>
        </w:rPr>
        <w:t xml:space="preserve"> </w:t>
      </w:r>
      <w:r w:rsidR="006F3F57">
        <w:rPr>
          <w:rStyle w:val="normaltextrun"/>
          <w:rFonts w:ascii="Calibri" w:eastAsiaTheme="majorEastAsia" w:hAnsi="Calibri" w:cs="Calibri"/>
          <w:color w:val="000000" w:themeColor="text1"/>
        </w:rPr>
        <w:t xml:space="preserve">longer-term gains if local teams are </w:t>
      </w:r>
      <w:r w:rsidR="00DB565E">
        <w:rPr>
          <w:rStyle w:val="normaltextrun"/>
          <w:rFonts w:ascii="Calibri" w:eastAsiaTheme="majorEastAsia" w:hAnsi="Calibri" w:cs="Calibri"/>
          <w:color w:val="000000" w:themeColor="text1"/>
        </w:rPr>
        <w:t xml:space="preserve">leading </w:t>
      </w:r>
      <w:r w:rsidR="00F3392C">
        <w:rPr>
          <w:rStyle w:val="normaltextrun"/>
          <w:rFonts w:ascii="Calibri" w:eastAsiaTheme="majorEastAsia" w:hAnsi="Calibri" w:cs="Calibri"/>
          <w:color w:val="000000" w:themeColor="text1"/>
        </w:rPr>
        <w:t>the</w:t>
      </w:r>
      <w:r w:rsidR="00DA3EC6">
        <w:rPr>
          <w:rStyle w:val="normaltextrun"/>
          <w:rFonts w:ascii="Calibri" w:eastAsiaTheme="majorEastAsia" w:hAnsi="Calibri" w:cs="Calibri"/>
          <w:color w:val="000000" w:themeColor="text1"/>
        </w:rPr>
        <w:t xml:space="preserve">ir </w:t>
      </w:r>
      <w:r w:rsidR="000D17C8">
        <w:rPr>
          <w:rStyle w:val="normaltextrun"/>
          <w:rFonts w:ascii="Calibri" w:eastAsiaTheme="majorEastAsia" w:hAnsi="Calibri" w:cs="Calibri"/>
          <w:color w:val="000000" w:themeColor="text1"/>
        </w:rPr>
        <w:t>development</w:t>
      </w:r>
      <w:r w:rsidR="00F3392C">
        <w:rPr>
          <w:rStyle w:val="normaltextrun"/>
          <w:rFonts w:ascii="Calibri" w:eastAsiaTheme="majorEastAsia" w:hAnsi="Calibri" w:cs="Calibri"/>
          <w:color w:val="000000" w:themeColor="text1"/>
        </w:rPr>
        <w:t xml:space="preserve">, and </w:t>
      </w:r>
      <w:r w:rsidR="00141B40">
        <w:rPr>
          <w:rStyle w:val="normaltextrun"/>
          <w:rFonts w:ascii="Calibri" w:eastAsiaTheme="majorEastAsia" w:hAnsi="Calibri" w:cs="Calibri"/>
          <w:color w:val="000000" w:themeColor="text1"/>
        </w:rPr>
        <w:t xml:space="preserve">this investment of time and resources in the early stages of the project </w:t>
      </w:r>
      <w:r w:rsidR="00BC1D24">
        <w:rPr>
          <w:rStyle w:val="normaltextrun"/>
          <w:rFonts w:ascii="Calibri" w:eastAsiaTheme="majorEastAsia" w:hAnsi="Calibri" w:cs="Calibri"/>
          <w:color w:val="000000" w:themeColor="text1"/>
        </w:rPr>
        <w:t xml:space="preserve">would </w:t>
      </w:r>
      <w:r w:rsidR="001764F4">
        <w:rPr>
          <w:rStyle w:val="normaltextrun"/>
          <w:rFonts w:ascii="Calibri" w:eastAsiaTheme="majorEastAsia" w:hAnsi="Calibri" w:cs="Calibri"/>
          <w:color w:val="000000" w:themeColor="text1"/>
        </w:rPr>
        <w:t>help ensure</w:t>
      </w:r>
      <w:r w:rsidR="00BC1D24">
        <w:rPr>
          <w:rStyle w:val="normaltextrun"/>
          <w:rFonts w:ascii="Calibri" w:eastAsiaTheme="majorEastAsia" w:hAnsi="Calibri" w:cs="Calibri"/>
          <w:color w:val="000000" w:themeColor="text1"/>
        </w:rPr>
        <w:t xml:space="preserve"> </w:t>
      </w:r>
      <w:r w:rsidR="008F67EA">
        <w:rPr>
          <w:rStyle w:val="normaltextrun"/>
          <w:rFonts w:ascii="Calibri" w:eastAsiaTheme="majorEastAsia" w:hAnsi="Calibri" w:cs="Calibri"/>
          <w:color w:val="000000" w:themeColor="text1"/>
        </w:rPr>
        <w:t xml:space="preserve">the identification of </w:t>
      </w:r>
      <w:r w:rsidR="006405BF">
        <w:rPr>
          <w:rStyle w:val="normaltextrun"/>
          <w:rFonts w:ascii="Calibri" w:eastAsiaTheme="majorEastAsia" w:hAnsi="Calibri" w:cs="Calibri"/>
          <w:color w:val="000000" w:themeColor="text1"/>
        </w:rPr>
        <w:t xml:space="preserve">climate-informed adaptation activities. </w:t>
      </w:r>
      <w:r w:rsidR="003E2D83">
        <w:rPr>
          <w:rStyle w:val="normaltextrun"/>
          <w:rFonts w:ascii="Calibri" w:eastAsiaTheme="majorEastAsia" w:hAnsi="Calibri" w:cs="Calibri"/>
          <w:color w:val="000000" w:themeColor="text1"/>
        </w:rPr>
        <w:t xml:space="preserve">Sustainable </w:t>
      </w:r>
      <w:r w:rsidR="00E769A8">
        <w:rPr>
          <w:rStyle w:val="normaltextrun"/>
          <w:rFonts w:ascii="Calibri" w:eastAsiaTheme="majorEastAsia" w:hAnsi="Calibri" w:cs="Calibri"/>
          <w:color w:val="000000" w:themeColor="text1"/>
        </w:rPr>
        <w:t xml:space="preserve">HNAP development processes incorporate a strong </w:t>
      </w:r>
      <w:r w:rsidR="008F67EA">
        <w:rPr>
          <w:rStyle w:val="normaltextrun"/>
          <w:rFonts w:ascii="Calibri" w:eastAsiaTheme="majorEastAsia" w:hAnsi="Calibri" w:cs="Calibri"/>
          <w:color w:val="000000" w:themeColor="text1"/>
        </w:rPr>
        <w:t>focus on</w:t>
      </w:r>
      <w:r w:rsidR="00E769A8">
        <w:rPr>
          <w:rStyle w:val="normaltextrun"/>
          <w:rFonts w:ascii="Calibri" w:eastAsiaTheme="majorEastAsia" w:hAnsi="Calibri" w:cs="Calibri"/>
          <w:color w:val="000000" w:themeColor="text1"/>
        </w:rPr>
        <w:t xml:space="preserve"> capacity development – in a variety of areas – e.g. data collection, </w:t>
      </w:r>
      <w:r w:rsidR="00C3300E">
        <w:rPr>
          <w:rStyle w:val="normaltextrun"/>
          <w:rFonts w:ascii="Calibri" w:eastAsiaTheme="majorEastAsia" w:hAnsi="Calibri" w:cs="Calibri"/>
          <w:color w:val="000000" w:themeColor="text1"/>
        </w:rPr>
        <w:t>program design, understanding of weather and climate data</w:t>
      </w:r>
      <w:r w:rsidR="000C2083">
        <w:rPr>
          <w:rStyle w:val="normaltextrun"/>
          <w:rFonts w:ascii="Calibri" w:eastAsiaTheme="majorEastAsia" w:hAnsi="Calibri" w:cs="Calibri"/>
          <w:color w:val="000000" w:themeColor="text1"/>
        </w:rPr>
        <w:t xml:space="preserve"> and projections</w:t>
      </w:r>
      <w:r w:rsidR="00C3300E">
        <w:rPr>
          <w:rStyle w:val="normaltextrun"/>
          <w:rFonts w:ascii="Calibri" w:eastAsiaTheme="majorEastAsia" w:hAnsi="Calibri" w:cs="Calibri"/>
          <w:color w:val="000000" w:themeColor="text1"/>
        </w:rPr>
        <w:t xml:space="preserve">, as well as </w:t>
      </w:r>
      <w:r w:rsidR="00C448C9">
        <w:rPr>
          <w:rStyle w:val="normaltextrun"/>
          <w:rFonts w:ascii="Calibri" w:eastAsiaTheme="majorEastAsia" w:hAnsi="Calibri" w:cs="Calibri"/>
          <w:color w:val="000000" w:themeColor="text1"/>
        </w:rPr>
        <w:t>t</w:t>
      </w:r>
      <w:r w:rsidR="00894F95">
        <w:rPr>
          <w:rStyle w:val="normaltextrun"/>
          <w:rFonts w:ascii="Calibri" w:eastAsiaTheme="majorEastAsia" w:hAnsi="Calibri" w:cs="Calibri"/>
          <w:color w:val="000000" w:themeColor="text1"/>
        </w:rPr>
        <w:t>h</w:t>
      </w:r>
      <w:r w:rsidR="00C448C9">
        <w:rPr>
          <w:rStyle w:val="normaltextrun"/>
          <w:rFonts w:ascii="Calibri" w:eastAsiaTheme="majorEastAsia" w:hAnsi="Calibri" w:cs="Calibri"/>
          <w:color w:val="000000" w:themeColor="text1"/>
        </w:rPr>
        <w:t xml:space="preserve">e setting up of crucial cross-government partnerships. These activities can occur in parallel to the formal processes of the HNAP, so as to ensure that the project </w:t>
      </w:r>
      <w:r w:rsidR="00350A16">
        <w:rPr>
          <w:rStyle w:val="normaltextrun"/>
          <w:rFonts w:ascii="Calibri" w:eastAsiaTheme="majorEastAsia" w:hAnsi="Calibri" w:cs="Calibri"/>
          <w:color w:val="000000" w:themeColor="text1"/>
        </w:rPr>
        <w:t>maintains momentum</w:t>
      </w:r>
      <w:r w:rsidR="001A5FED">
        <w:rPr>
          <w:rStyle w:val="normaltextrun"/>
          <w:rFonts w:ascii="Calibri" w:eastAsiaTheme="majorEastAsia" w:hAnsi="Calibri" w:cs="Calibri"/>
          <w:color w:val="000000" w:themeColor="text1"/>
        </w:rPr>
        <w:t>.</w:t>
      </w:r>
      <w:r w:rsidR="006040A7" w:rsidRPr="64A51F1F">
        <w:rPr>
          <w:rStyle w:val="normaltextrun"/>
          <w:rFonts w:ascii="Calibri" w:eastAsiaTheme="majorEastAsia" w:hAnsi="Calibri" w:cs="Calibri"/>
          <w:color w:val="000000" w:themeColor="text1"/>
        </w:rPr>
        <w:t xml:space="preserve"> </w:t>
      </w:r>
      <w:r w:rsidR="00CA78D2">
        <w:rPr>
          <w:rStyle w:val="normaltextrun"/>
          <w:rFonts w:ascii="Calibri" w:eastAsiaTheme="majorEastAsia" w:hAnsi="Calibri" w:cs="Calibri"/>
          <w:color w:val="000000" w:themeColor="text1"/>
        </w:rPr>
        <w:t>In addition, t</w:t>
      </w:r>
      <w:r w:rsidR="006040A7" w:rsidRPr="64A51F1F">
        <w:rPr>
          <w:rStyle w:val="normaltextrun"/>
          <w:rFonts w:ascii="Calibri" w:eastAsiaTheme="majorEastAsia" w:hAnsi="Calibri" w:cs="Calibri"/>
          <w:color w:val="000000" w:themeColor="text1"/>
        </w:rPr>
        <w:t>he review of key outputs</w:t>
      </w:r>
      <w:r w:rsidR="00CD6F65">
        <w:rPr>
          <w:rStyle w:val="normaltextrun"/>
          <w:rFonts w:ascii="Calibri" w:eastAsiaTheme="majorEastAsia" w:hAnsi="Calibri" w:cs="Calibri"/>
          <w:color w:val="000000" w:themeColor="text1"/>
        </w:rPr>
        <w:t xml:space="preserve"> from the project</w:t>
      </w:r>
      <w:r w:rsidR="006040A7" w:rsidRPr="64A51F1F">
        <w:rPr>
          <w:rStyle w:val="normaltextrun"/>
          <w:rFonts w:ascii="Calibri" w:eastAsiaTheme="majorEastAsia" w:hAnsi="Calibri" w:cs="Calibri"/>
          <w:color w:val="000000" w:themeColor="text1"/>
        </w:rPr>
        <w:t>, including HNAPs and V&amp;As, for comprehensiveness, quality and consistency was beyond the scope of this TE.</w:t>
      </w:r>
      <w:r w:rsidR="2D08ECF3" w:rsidRPr="64A51F1F">
        <w:rPr>
          <w:rStyle w:val="normaltextrun"/>
          <w:rFonts w:ascii="Calibri" w:eastAsiaTheme="majorEastAsia" w:hAnsi="Calibri" w:cs="Calibri"/>
          <w:color w:val="000000" w:themeColor="text1"/>
        </w:rPr>
        <w:t xml:space="preserve"> </w:t>
      </w:r>
      <w:r w:rsidR="006040A7" w:rsidRPr="64A51F1F">
        <w:rPr>
          <w:rStyle w:val="normaltextrun"/>
          <w:rFonts w:ascii="Calibri" w:eastAsiaTheme="majorEastAsia" w:hAnsi="Calibri" w:cs="Calibri"/>
          <w:color w:val="000000" w:themeColor="text1"/>
        </w:rPr>
        <w:t>Some stakeholders described activities and interventions such as WASH, particularly under Outcome 3, which may have been more appropriately funded from other sources</w:t>
      </w:r>
      <w:r w:rsidR="00293BA1">
        <w:rPr>
          <w:rStyle w:val="normaltextrun"/>
          <w:rFonts w:ascii="Calibri" w:eastAsiaTheme="majorEastAsia" w:hAnsi="Calibri" w:cs="Calibri"/>
          <w:color w:val="000000" w:themeColor="text1"/>
        </w:rPr>
        <w:t>, and are a risk for funding displacement</w:t>
      </w:r>
      <w:r w:rsidR="00234253">
        <w:rPr>
          <w:rStyle w:val="normaltextrun"/>
          <w:rFonts w:ascii="Calibri" w:eastAsiaTheme="majorEastAsia" w:hAnsi="Calibri" w:cs="Calibri"/>
          <w:color w:val="000000" w:themeColor="text1"/>
        </w:rPr>
        <w:t xml:space="preserve"> of basic health services</w:t>
      </w:r>
      <w:r w:rsidR="006040A7" w:rsidRPr="64A51F1F">
        <w:rPr>
          <w:rStyle w:val="normaltextrun"/>
          <w:rFonts w:ascii="Calibri" w:eastAsiaTheme="majorEastAsia" w:hAnsi="Calibri" w:cs="Calibri"/>
          <w:color w:val="000000" w:themeColor="text1"/>
        </w:rPr>
        <w:t>. As such, it is difficult to measure and compare the extent to which interventions were climate-informed and/or</w:t>
      </w:r>
      <w:r w:rsidR="46D87092" w:rsidRPr="64A51F1F">
        <w:rPr>
          <w:rStyle w:val="normaltextrun"/>
          <w:rFonts w:ascii="Calibri" w:eastAsiaTheme="majorEastAsia" w:hAnsi="Calibri" w:cs="Calibri"/>
          <w:color w:val="000000" w:themeColor="text1"/>
        </w:rPr>
        <w:t xml:space="preserve"> reflected climate adaptation priorities identified through V&amp;A and HNAP processes.</w:t>
      </w:r>
    </w:p>
    <w:p w14:paraId="750710FE" w14:textId="77777777" w:rsidR="002B060A" w:rsidRDefault="002B060A" w:rsidP="00C07A0A">
      <w:pPr>
        <w:jc w:val="both"/>
        <w:rPr>
          <w:rStyle w:val="normaltextrun"/>
          <w:rFonts w:ascii="Calibri" w:eastAsiaTheme="majorEastAsia" w:hAnsi="Calibri" w:cs="Calibri"/>
          <w:b/>
          <w:color w:val="000000" w:themeColor="text1"/>
        </w:rPr>
      </w:pPr>
    </w:p>
    <w:p w14:paraId="65EDF79F" w14:textId="1813ECE2" w:rsidR="00B53DF3" w:rsidRDefault="00B53DF3" w:rsidP="00C07A0A">
      <w:pPr>
        <w:jc w:val="both"/>
        <w:rPr>
          <w:rStyle w:val="normaltextrun"/>
          <w:rFonts w:ascii="Calibri" w:eastAsiaTheme="majorEastAsia" w:hAnsi="Calibri" w:cs="Calibri"/>
          <w:color w:val="000000" w:themeColor="text1"/>
        </w:rPr>
      </w:pPr>
      <w:r w:rsidRPr="7CCC5B56">
        <w:rPr>
          <w:rStyle w:val="normaltextrun"/>
          <w:rFonts w:ascii="Calibri" w:eastAsiaTheme="majorEastAsia" w:hAnsi="Calibri" w:cs="Calibri"/>
          <w:b/>
          <w:bCs/>
          <w:color w:val="000000" w:themeColor="text1"/>
        </w:rPr>
        <w:t>Human resources:</w:t>
      </w:r>
      <w:r w:rsidRPr="7CCC5B56">
        <w:rPr>
          <w:rStyle w:val="normaltextrun"/>
          <w:rFonts w:ascii="Calibri" w:eastAsiaTheme="majorEastAsia" w:hAnsi="Calibri" w:cs="Calibri"/>
          <w:color w:val="000000" w:themeColor="text1"/>
        </w:rPr>
        <w:t xml:space="preserve"> The project successfully leveraged GEF funding with in-kind support from WHO and MOH in all countries. However, adequate resourcing was a challenge for project staff within government agencies </w:t>
      </w:r>
      <w:r w:rsidR="00120B7C">
        <w:rPr>
          <w:rStyle w:val="normaltextrun"/>
          <w:rFonts w:ascii="Calibri" w:eastAsiaTheme="majorEastAsia" w:hAnsi="Calibri" w:cs="Calibri"/>
          <w:color w:val="000000" w:themeColor="text1"/>
        </w:rPr>
        <w:t xml:space="preserve">and WHO COs </w:t>
      </w:r>
      <w:r w:rsidRPr="7CCC5B56">
        <w:rPr>
          <w:rStyle w:val="normaltextrun"/>
          <w:rFonts w:ascii="Calibri" w:eastAsiaTheme="majorEastAsia" w:hAnsi="Calibri" w:cs="Calibri"/>
          <w:color w:val="000000" w:themeColor="text1"/>
        </w:rPr>
        <w:t xml:space="preserve">to support stakeholder coordination and implementation. Focal points across government institutions were often balancing competing priorities and project management pressures, while greater funding flexibility established at the project design phase may have increased their capacity to advance project activities beyond pilot and demonstration phases. </w:t>
      </w:r>
    </w:p>
    <w:p w14:paraId="75071100"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color w:val="000000" w:themeColor="text1"/>
        </w:rPr>
      </w:pPr>
    </w:p>
    <w:p w14:paraId="75071101" w14:textId="3C0D56EE" w:rsidR="002B060A" w:rsidRDefault="006040A7" w:rsidP="00C07A0A">
      <w:pPr>
        <w:jc w:val="both"/>
        <w:rPr>
          <w:rStyle w:val="normaltextrun"/>
          <w:rFonts w:ascii="Calibri" w:eastAsiaTheme="majorEastAsia" w:hAnsi="Calibri" w:cs="Calibri"/>
          <w:color w:val="000000" w:themeColor="text1"/>
        </w:rPr>
      </w:pPr>
      <w:r>
        <w:rPr>
          <w:rStyle w:val="normaltextrun"/>
          <w:rFonts w:ascii="Calibri" w:eastAsiaTheme="majorEastAsia" w:hAnsi="Calibri" w:cs="Calibri"/>
          <w:b/>
          <w:bCs/>
          <w:color w:val="000000" w:themeColor="text1"/>
        </w:rPr>
        <w:t xml:space="preserve">Data availability and infrastructure: </w:t>
      </w:r>
      <w:r>
        <w:rPr>
          <w:rStyle w:val="normaltextrun"/>
          <w:rFonts w:ascii="Calibri" w:eastAsiaTheme="majorEastAsia" w:hAnsi="Calibri" w:cs="Calibri"/>
          <w:color w:val="000000" w:themeColor="text1"/>
        </w:rPr>
        <w:t>As to be expected,</w:t>
      </w:r>
      <w:r>
        <w:rPr>
          <w:rStyle w:val="normaltextrun"/>
          <w:rFonts w:ascii="Calibri" w:eastAsiaTheme="majorEastAsia" w:hAnsi="Calibri" w:cs="Calibri"/>
          <w:b/>
          <w:bCs/>
          <w:color w:val="000000" w:themeColor="text1"/>
        </w:rPr>
        <w:t xml:space="preserve"> </w:t>
      </w:r>
      <w:r>
        <w:rPr>
          <w:rStyle w:val="normaltextrun"/>
          <w:rFonts w:ascii="Calibri" w:eastAsiaTheme="majorEastAsia" w:hAnsi="Calibri" w:cs="Calibri"/>
          <w:color w:val="000000" w:themeColor="text1"/>
        </w:rPr>
        <w:t xml:space="preserve">several countries were operating with poor baseline data and faced challenges in negotiating data sharing arrangements, which inhibited development and rollout of integrated surveillance and monitoring systems. These complexities resulted in uneven progress towards EWARS and meant that many countries were still in initial pilot phases at project end. </w:t>
      </w:r>
      <w:r w:rsidR="00F31902">
        <w:rPr>
          <w:rStyle w:val="normaltextrun"/>
          <w:rFonts w:ascii="Calibri" w:eastAsiaTheme="majorEastAsia" w:hAnsi="Calibri" w:cs="Calibri"/>
          <w:color w:val="000000" w:themeColor="text1"/>
        </w:rPr>
        <w:t>While ongoing technical support will be provided for integrated surveillance systems, w</w:t>
      </w:r>
      <w:r>
        <w:rPr>
          <w:rStyle w:val="normaltextrun"/>
          <w:rFonts w:ascii="Calibri" w:eastAsiaTheme="majorEastAsia" w:hAnsi="Calibri" w:cs="Calibri"/>
          <w:color w:val="000000" w:themeColor="text1"/>
        </w:rPr>
        <w:t xml:space="preserve">ithout additional funding, it is unclear whether demonstration pilots will be expanded to address other climate-sensitive diseases and/or increase coverage. In addition, roles and responsibilities for implementing and/or acting upon information generated by these systems </w:t>
      </w:r>
      <w:r w:rsidR="007469BA">
        <w:rPr>
          <w:rStyle w:val="normaltextrun"/>
          <w:rFonts w:ascii="Calibri" w:eastAsiaTheme="majorEastAsia" w:hAnsi="Calibri" w:cs="Calibri"/>
          <w:color w:val="000000" w:themeColor="text1"/>
        </w:rPr>
        <w:t xml:space="preserve">could be clarified during design and planning stages, to support </w:t>
      </w:r>
      <w:r w:rsidR="00D61BD2">
        <w:rPr>
          <w:rStyle w:val="normaltextrun"/>
          <w:rFonts w:ascii="Calibri" w:eastAsiaTheme="majorEastAsia" w:hAnsi="Calibri" w:cs="Calibri"/>
          <w:color w:val="000000" w:themeColor="text1"/>
        </w:rPr>
        <w:t>ongoing implementation</w:t>
      </w:r>
      <w:r>
        <w:rPr>
          <w:rStyle w:val="normaltextrun"/>
          <w:rFonts w:ascii="Calibri" w:eastAsiaTheme="majorEastAsia" w:hAnsi="Calibri" w:cs="Calibri"/>
          <w:color w:val="000000" w:themeColor="text1"/>
        </w:rPr>
        <w:t xml:space="preserve">. </w:t>
      </w:r>
    </w:p>
    <w:p w14:paraId="75071104" w14:textId="77777777" w:rsidR="002B060A" w:rsidRDefault="002B060A" w:rsidP="00C07A0A">
      <w:pPr>
        <w:pStyle w:val="paragraph"/>
        <w:suppressAutoHyphens/>
        <w:spacing w:before="0" w:beforeAutospacing="0" w:after="0" w:afterAutospacing="0"/>
        <w:rPr>
          <w:rStyle w:val="normaltextrun"/>
          <w:rFonts w:ascii="Calibri" w:eastAsiaTheme="majorEastAsia" w:hAnsi="Calibri" w:cs="Calibri"/>
          <w:b/>
          <w:bCs/>
          <w:color w:val="000000" w:themeColor="text1"/>
        </w:rPr>
      </w:pPr>
    </w:p>
    <w:p w14:paraId="73C2B786" w14:textId="0FC0BBC5" w:rsidR="00AE4FEB" w:rsidRDefault="006040A7" w:rsidP="0DEB5A7C">
      <w:pPr>
        <w:jc w:val="both"/>
        <w:rPr>
          <w:rStyle w:val="normaltextrun"/>
          <w:rFonts w:ascii="Calibri" w:eastAsiaTheme="majorEastAsia" w:hAnsi="Calibri" w:cs="Calibri"/>
          <w:color w:val="000000" w:themeColor="text1"/>
        </w:rPr>
      </w:pPr>
      <w:r w:rsidRPr="0DEB5A7C">
        <w:rPr>
          <w:rStyle w:val="normaltextrun"/>
          <w:rFonts w:ascii="Calibri" w:eastAsiaTheme="majorEastAsia" w:hAnsi="Calibri" w:cs="Calibri"/>
          <w:b/>
          <w:bCs/>
          <w:color w:val="000000" w:themeColor="text1"/>
        </w:rPr>
        <w:t>Sustainability and longer-term impact</w:t>
      </w:r>
      <w:r w:rsidRPr="0DEB5A7C">
        <w:rPr>
          <w:rStyle w:val="normaltextrun"/>
          <w:rFonts w:ascii="Calibri" w:eastAsiaTheme="majorEastAsia" w:hAnsi="Calibri" w:cs="Calibri"/>
          <w:color w:val="000000" w:themeColor="text1"/>
        </w:rPr>
        <w:t xml:space="preserve">: All countries set ambitious targets under their HNAPs, but there was uneven progress in developing transition and implementation plans. MOH have </w:t>
      </w:r>
      <w:r w:rsidRPr="0DEB5A7C">
        <w:rPr>
          <w:rStyle w:val="normaltextrun"/>
          <w:rFonts w:ascii="Calibri" w:eastAsiaTheme="majorEastAsia" w:hAnsi="Calibri" w:cs="Calibri"/>
          <w:color w:val="000000" w:themeColor="text1"/>
        </w:rPr>
        <w:lastRenderedPageBreak/>
        <w:t xml:space="preserve">overarching responsibilities for HNAP implementation, but face challenges in prioritising and allocating resources amidst broader health sector needs. In addition, it is not always possible for health and climate focal points to be cognisant of the proportion of the health budget that is allocated to climate change activities. </w:t>
      </w:r>
      <w:r w:rsidR="00AE4FEB" w:rsidRPr="0DEB5A7C">
        <w:rPr>
          <w:rFonts w:ascii="Calibri" w:hAnsi="Calibri" w:cs="Calibri"/>
          <w:color w:val="000000" w:themeColor="text1"/>
        </w:rPr>
        <w:t xml:space="preserve">Although further funding </w:t>
      </w:r>
      <w:r w:rsidR="00F43D48" w:rsidRPr="0DEB5A7C">
        <w:rPr>
          <w:rFonts w:ascii="Calibri" w:hAnsi="Calibri" w:cs="Calibri"/>
          <w:color w:val="000000" w:themeColor="text1"/>
        </w:rPr>
        <w:t>proposals</w:t>
      </w:r>
      <w:r w:rsidR="00AE4FEB" w:rsidRPr="0DEB5A7C">
        <w:rPr>
          <w:rFonts w:ascii="Calibri" w:hAnsi="Calibri" w:cs="Calibri"/>
          <w:color w:val="000000" w:themeColor="text1"/>
        </w:rPr>
        <w:t xml:space="preserve"> for the continuation of pilot activities </w:t>
      </w:r>
      <w:r w:rsidR="00F43D48" w:rsidRPr="0DEB5A7C">
        <w:rPr>
          <w:rFonts w:ascii="Calibri" w:hAnsi="Calibri" w:cs="Calibri"/>
          <w:color w:val="000000" w:themeColor="text1"/>
        </w:rPr>
        <w:t>are</w:t>
      </w:r>
      <w:r w:rsidR="00AE4FEB" w:rsidRPr="0DEB5A7C">
        <w:rPr>
          <w:rFonts w:ascii="Calibri" w:hAnsi="Calibri" w:cs="Calibri"/>
          <w:color w:val="000000" w:themeColor="text1"/>
        </w:rPr>
        <w:t xml:space="preserve"> in progress, increased funding to health by international climate finance providers would be advantageous to support </w:t>
      </w:r>
      <w:r w:rsidR="002D0795" w:rsidRPr="0DEB5A7C">
        <w:rPr>
          <w:rFonts w:ascii="Calibri" w:hAnsi="Calibri" w:cs="Calibri"/>
          <w:color w:val="000000" w:themeColor="text1"/>
        </w:rPr>
        <w:t>the ongoing implementation of work commenced under this project</w:t>
      </w:r>
      <w:r w:rsidR="002D0795" w:rsidRPr="0DEB5A7C">
        <w:rPr>
          <w:rStyle w:val="normaltextrun"/>
          <w:rFonts w:ascii="Calibri" w:eastAsiaTheme="majorEastAsia" w:hAnsi="Calibri" w:cs="Calibri"/>
          <w:color w:val="000000" w:themeColor="text1"/>
        </w:rPr>
        <w:t xml:space="preserve">. </w:t>
      </w:r>
    </w:p>
    <w:p w14:paraId="75071106" w14:textId="151225FD" w:rsidR="002B060A" w:rsidRDefault="002B060A" w:rsidP="00C07A0A">
      <w:pPr>
        <w:jc w:val="both"/>
        <w:rPr>
          <w:rStyle w:val="normaltextrun"/>
          <w:rFonts w:ascii="Calibri" w:eastAsiaTheme="majorEastAsia" w:hAnsi="Calibri" w:cs="Calibri"/>
          <w:color w:val="000000" w:themeColor="text1"/>
        </w:rPr>
      </w:pPr>
    </w:p>
    <w:p w14:paraId="6F1C9821" w14:textId="7A2EFEF3" w:rsidR="001071B4" w:rsidRDefault="006040A7" w:rsidP="00C07A0A">
      <w:pPr>
        <w:jc w:val="both"/>
        <w:rPr>
          <w:rStyle w:val="normaltextrun"/>
          <w:rFonts w:ascii="Calibri" w:eastAsiaTheme="majorEastAsia" w:hAnsi="Calibri" w:cs="Calibri"/>
          <w:color w:val="000000" w:themeColor="text1"/>
        </w:rPr>
      </w:pPr>
      <w:r>
        <w:rPr>
          <w:rStyle w:val="normaltextrun"/>
          <w:rFonts w:ascii="Calibri" w:eastAsiaTheme="majorEastAsia" w:hAnsi="Calibri" w:cs="Calibri"/>
          <w:b/>
          <w:bCs/>
          <w:color w:val="000000" w:themeColor="text1"/>
        </w:rPr>
        <w:t xml:space="preserve">Funding utilisation: </w:t>
      </w:r>
      <w:r>
        <w:rPr>
          <w:rStyle w:val="normaltextrun"/>
          <w:rFonts w:ascii="Calibri" w:eastAsiaTheme="majorEastAsia" w:hAnsi="Calibri" w:cs="Calibri"/>
          <w:color w:val="000000" w:themeColor="text1"/>
        </w:rPr>
        <w:t xml:space="preserve">While up-to-date multi-year expenditure data for the entire project period was not available for this evaluation, there was a significant amount of underspend accrued at commencement of the final year of implementation and an uneven rate of expenditure across the different outcomes. Notably, PMU fund utilisation was very low (31.57% as of July 2023). </w:t>
      </w:r>
      <w:r w:rsidR="001071B4">
        <w:rPr>
          <w:rStyle w:val="normaltextrun"/>
          <w:rFonts w:ascii="Calibri" w:eastAsiaTheme="majorEastAsia" w:hAnsi="Calibri" w:cs="Calibri"/>
          <w:color w:val="000000" w:themeColor="text1"/>
        </w:rPr>
        <w:t xml:space="preserve">Although up to </w:t>
      </w:r>
      <w:r w:rsidR="001A5FED">
        <w:rPr>
          <w:rStyle w:val="normaltextrun"/>
          <w:rFonts w:ascii="Calibri" w:eastAsiaTheme="majorEastAsia" w:hAnsi="Calibri" w:cs="Calibri"/>
          <w:color w:val="000000" w:themeColor="text1"/>
        </w:rPr>
        <w:t>1</w:t>
      </w:r>
      <w:r w:rsidR="001071B4">
        <w:rPr>
          <w:rStyle w:val="normaltextrun"/>
          <w:rFonts w:ascii="Calibri" w:eastAsiaTheme="majorEastAsia" w:hAnsi="Calibri" w:cs="Calibri"/>
          <w:color w:val="000000" w:themeColor="text1"/>
        </w:rPr>
        <w:t xml:space="preserve">0% of funds could be transferred between outcomes without prior approval, greater clarity and support to maximise fund utilisation and enable timely variation may be beneficial for future GEF programmes. </w:t>
      </w:r>
    </w:p>
    <w:p w14:paraId="75071107" w14:textId="37052326" w:rsidR="002B060A" w:rsidRDefault="002B060A" w:rsidP="00C07A0A">
      <w:pPr>
        <w:jc w:val="both"/>
        <w:rPr>
          <w:rStyle w:val="normaltextrun"/>
          <w:rFonts w:ascii="Calibri" w:eastAsiaTheme="majorEastAsia" w:hAnsi="Calibri" w:cs="Calibri"/>
          <w:color w:val="000000" w:themeColor="text1"/>
        </w:rPr>
      </w:pPr>
    </w:p>
    <w:p w14:paraId="506F62BA" w14:textId="77777777" w:rsidR="001A5FED" w:rsidRDefault="001A5FED" w:rsidP="0DEB5A7C">
      <w:pPr>
        <w:jc w:val="both"/>
        <w:rPr>
          <w:rStyle w:val="normaltextrun"/>
          <w:rFonts w:ascii="Calibri" w:eastAsiaTheme="majorEastAsia" w:hAnsi="Calibri" w:cs="Calibri"/>
          <w:b/>
          <w:bCs/>
          <w:color w:val="000000" w:themeColor="text1"/>
        </w:rPr>
      </w:pPr>
      <w:r w:rsidRPr="0DEB5A7C">
        <w:rPr>
          <w:rStyle w:val="normaltextrun"/>
          <w:rFonts w:ascii="Calibri" w:eastAsiaTheme="majorEastAsia" w:hAnsi="Calibri" w:cs="Calibri"/>
          <w:b/>
          <w:bCs/>
          <w:color w:val="000000" w:themeColor="text1"/>
        </w:rPr>
        <w:t xml:space="preserve">Applied research: </w:t>
      </w:r>
      <w:r w:rsidRPr="0DEB5A7C">
        <w:rPr>
          <w:rStyle w:val="normaltextrun"/>
          <w:rFonts w:ascii="Calibri" w:eastAsiaTheme="majorEastAsia" w:hAnsi="Calibri" w:cs="Calibri"/>
          <w:color w:val="000000" w:themeColor="text1"/>
        </w:rPr>
        <w:t xml:space="preserve">Several national stakeholders expressed a desire to undertake climate and health research to address evidence gaps identified during the V&amp;A and HNAP processes. Dedicated funding for health and climate research with local academic partners, informed by V&amp;A and HNAP priorities, could be a constructive investment for future projects of this nature. </w:t>
      </w:r>
    </w:p>
    <w:p w14:paraId="75071108" w14:textId="77777777" w:rsidR="002B060A" w:rsidRDefault="002B060A" w:rsidP="00C07A0A">
      <w:pPr>
        <w:jc w:val="both"/>
        <w:rPr>
          <w:rStyle w:val="normaltextrun"/>
          <w:rFonts w:ascii="Calibri" w:eastAsiaTheme="majorEastAsia" w:hAnsi="Calibri" w:cs="Calibri"/>
          <w:color w:val="000000" w:themeColor="text1"/>
          <w:u w:val="double"/>
        </w:rPr>
      </w:pPr>
    </w:p>
    <w:p w14:paraId="75071109" w14:textId="22A89692" w:rsidR="002B060A" w:rsidRDefault="006040A7" w:rsidP="00C07A0A">
      <w:pPr>
        <w:pStyle w:val="Heading3"/>
        <w:numPr>
          <w:ilvl w:val="1"/>
          <w:numId w:val="29"/>
        </w:numPr>
        <w:rPr>
          <w:rStyle w:val="eop"/>
          <w:rFonts w:ascii="Calibri" w:hAnsi="Calibri" w:cs="Calibri"/>
          <w:b/>
        </w:rPr>
      </w:pPr>
      <w:bookmarkStart w:id="35" w:name="_Toc173429986"/>
      <w:r>
        <w:rPr>
          <w:rStyle w:val="eop"/>
          <w:rFonts w:ascii="Calibri" w:hAnsi="Calibri" w:cs="Calibri"/>
          <w:b/>
        </w:rPr>
        <w:t>Recommendations</w:t>
      </w:r>
      <w:bookmarkEnd w:id="35"/>
    </w:p>
    <w:p w14:paraId="572227FD" w14:textId="77777777" w:rsidR="002B060A" w:rsidRDefault="002B060A" w:rsidP="00C07A0A">
      <w:pPr>
        <w:jc w:val="both"/>
        <w:rPr>
          <w:rFonts w:ascii="Calibri" w:eastAsiaTheme="minorEastAsia" w:hAnsi="Calibri" w:cs="Calibri"/>
          <w:b/>
          <w:lang w:eastAsia="en-AU"/>
        </w:rPr>
      </w:pPr>
    </w:p>
    <w:p w14:paraId="468C38AA" w14:textId="77777777" w:rsidR="002B060A" w:rsidRDefault="006040A7" w:rsidP="00C07A0A">
      <w:pPr>
        <w:jc w:val="both"/>
        <w:rPr>
          <w:rFonts w:ascii="Calibri" w:eastAsiaTheme="majorEastAsia" w:hAnsi="Calibri" w:cs="Calibri"/>
          <w:lang w:eastAsia="en-US"/>
        </w:rPr>
      </w:pPr>
      <w:r w:rsidRPr="5A717AC1">
        <w:rPr>
          <w:rFonts w:ascii="Calibri" w:eastAsiaTheme="majorEastAsia" w:hAnsi="Calibri" w:cs="Calibri"/>
          <w:lang w:eastAsia="en-US"/>
        </w:rPr>
        <w:t>Overall, the project achieved significant progress and success, including satisfactory or highly satisfactory completion of most end-of-project outcomes. Project teams at all levels effectively collaborated with key operational stakeholders to strengthen institutional capacity and capabilities to identify and implement prioritised adaptation actions at national and sub-national levels in response to climate-sensitive health risks. Delays associated with COVID-19 were successfully managed, and the longer project timeframe allowed for backlogs to be cleared. While the project is ending in August 2024, there are several learnings that can be incorporated in the design of</w:t>
      </w:r>
      <w:r w:rsidR="45A22D57" w:rsidRPr="5A717AC1">
        <w:rPr>
          <w:rFonts w:ascii="Calibri" w:eastAsiaTheme="majorEastAsia" w:hAnsi="Calibri" w:cs="Calibri"/>
          <w:lang w:eastAsia="en-US"/>
        </w:rPr>
        <w:t xml:space="preserve"> </w:t>
      </w:r>
      <w:r w:rsidRPr="5A717AC1">
        <w:rPr>
          <w:rFonts w:ascii="Calibri" w:eastAsiaTheme="majorEastAsia" w:hAnsi="Calibri" w:cs="Calibri"/>
          <w:lang w:eastAsia="en-US"/>
        </w:rPr>
        <w:t>future programmes or scaling up the work undertaken in this project</w:t>
      </w:r>
      <w:r w:rsidR="00E63998" w:rsidRPr="5A717AC1">
        <w:rPr>
          <w:rFonts w:ascii="Calibri" w:eastAsiaTheme="majorEastAsia" w:hAnsi="Calibri" w:cs="Calibri"/>
          <w:lang w:eastAsia="en-US"/>
        </w:rPr>
        <w:t xml:space="preserve">. </w:t>
      </w:r>
      <w:r w:rsidR="00E34C27" w:rsidRPr="5A717AC1">
        <w:rPr>
          <w:rFonts w:ascii="Calibri" w:eastAsiaTheme="majorEastAsia" w:hAnsi="Calibri" w:cs="Calibri"/>
          <w:lang w:eastAsia="en-US"/>
        </w:rPr>
        <w:t>Interpretation and implementation of recommendations, including responsible parties and timeframes, should be led by WHO and UNDP Project teams, in</w:t>
      </w:r>
      <w:r w:rsidR="1B591495" w:rsidRPr="5A717AC1">
        <w:rPr>
          <w:rFonts w:ascii="Calibri" w:eastAsiaTheme="majorEastAsia" w:hAnsi="Calibri" w:cs="Calibri"/>
          <w:lang w:eastAsia="en-US"/>
        </w:rPr>
        <w:t xml:space="preserve"> </w:t>
      </w:r>
      <w:r w:rsidR="00E34C27" w:rsidRPr="5A717AC1">
        <w:rPr>
          <w:rFonts w:ascii="Calibri" w:eastAsiaTheme="majorEastAsia" w:hAnsi="Calibri" w:cs="Calibri"/>
          <w:lang w:eastAsia="en-US"/>
        </w:rPr>
        <w:t>close collaboration with country teams</w:t>
      </w:r>
      <w:r w:rsidRPr="5A717AC1">
        <w:rPr>
          <w:rFonts w:ascii="Calibri" w:eastAsiaTheme="majorEastAsia" w:hAnsi="Calibri" w:cs="Calibri"/>
          <w:lang w:eastAsia="en-US"/>
        </w:rPr>
        <w:t>:</w:t>
      </w:r>
    </w:p>
    <w:p w14:paraId="0C66A9F4" w14:textId="2908EF6A" w:rsidR="002B060A" w:rsidRDefault="002B060A" w:rsidP="00C07A0A">
      <w:pPr>
        <w:jc w:val="both"/>
        <w:rPr>
          <w:rFonts w:ascii="Calibri" w:eastAsiaTheme="majorEastAsia" w:hAnsi="Calibri" w:cs="Calibri"/>
          <w:lang w:eastAsia="en-US"/>
        </w:rPr>
      </w:pPr>
    </w:p>
    <w:p w14:paraId="5992A119" w14:textId="58F67CDD" w:rsidR="00AE2F65" w:rsidRPr="00363CBF" w:rsidRDefault="00AE2F65" w:rsidP="0DEB5A7C">
      <w:pPr>
        <w:pStyle w:val="ListParagraph"/>
        <w:numPr>
          <w:ilvl w:val="0"/>
          <w:numId w:val="52"/>
        </w:numPr>
        <w:jc w:val="both"/>
        <w:rPr>
          <w:rFonts w:ascii="Calibri" w:eastAsiaTheme="minorEastAsia" w:hAnsi="Calibri" w:cs="Calibri"/>
          <w:b/>
          <w:bCs/>
          <w:lang w:eastAsia="en-AU"/>
        </w:rPr>
      </w:pPr>
      <w:r w:rsidRPr="0DEB5A7C">
        <w:rPr>
          <w:rFonts w:ascii="Calibri" w:eastAsiaTheme="minorEastAsia" w:hAnsi="Calibri" w:cs="Calibri"/>
          <w:b/>
          <w:bCs/>
          <w:lang w:eastAsia="en-AU"/>
        </w:rPr>
        <w:t xml:space="preserve">Ensure clear sustainability and transition plans are developed in the final 6-12 months and as part of final project reporting systems: </w:t>
      </w:r>
      <w:r w:rsidRPr="0DEB5A7C">
        <w:rPr>
          <w:rFonts w:ascii="Calibri" w:eastAsiaTheme="minorEastAsia" w:hAnsi="Calibri" w:cs="Calibri"/>
          <w:lang w:eastAsia="en-AU"/>
        </w:rPr>
        <w:t xml:space="preserve">given uncertainties for future funding and implementation responsibilities, particularly in relation to HNAPs, greater attention to transition plans could be invested in during the final 6-12 months of programming and following the closure of the project. These explicit plans can extend to co-designed funding proposals to leverage project learnings with key stakeholders, and advocacy to government agencies </w:t>
      </w:r>
      <w:r w:rsidR="008F5112" w:rsidRPr="0DEB5A7C">
        <w:rPr>
          <w:rFonts w:ascii="Calibri" w:eastAsiaTheme="minorEastAsia" w:hAnsi="Calibri" w:cs="Calibri"/>
          <w:lang w:eastAsia="en-AU"/>
        </w:rPr>
        <w:t>and climate financing mechanisms (</w:t>
      </w:r>
      <w:r w:rsidR="00AF35A8" w:rsidRPr="0DEB5A7C">
        <w:rPr>
          <w:rFonts w:ascii="Calibri" w:eastAsiaTheme="minorEastAsia" w:hAnsi="Calibri" w:cs="Calibri"/>
          <w:lang w:eastAsia="en-AU"/>
        </w:rPr>
        <w:t>e.g.</w:t>
      </w:r>
      <w:r w:rsidR="008F5112" w:rsidRPr="0DEB5A7C">
        <w:rPr>
          <w:rFonts w:ascii="Calibri" w:eastAsiaTheme="minorEastAsia" w:hAnsi="Calibri" w:cs="Calibri"/>
          <w:lang w:eastAsia="en-AU"/>
        </w:rPr>
        <w:t xml:space="preserve"> GCF) </w:t>
      </w:r>
      <w:r w:rsidRPr="0DEB5A7C">
        <w:rPr>
          <w:rFonts w:ascii="Calibri" w:eastAsiaTheme="minorEastAsia" w:hAnsi="Calibri" w:cs="Calibri"/>
          <w:lang w:eastAsia="en-AU"/>
        </w:rPr>
        <w:t xml:space="preserve">to allocate resources to address any gaps post-project. All projects should include consideration of how to scale-up and scale-out, which should be revisited through routine M&amp;E and reporting discussions. Clarity on WHO and UNDP’s ongoing technical </w:t>
      </w:r>
      <w:r w:rsidRPr="0DEB5A7C">
        <w:rPr>
          <w:rFonts w:ascii="Calibri" w:eastAsiaTheme="minorEastAsia" w:hAnsi="Calibri" w:cs="Calibri"/>
          <w:lang w:eastAsia="en-AU"/>
        </w:rPr>
        <w:lastRenderedPageBreak/>
        <w:t xml:space="preserve">support for climate change and health integration can also be provided to national and sub-national stakeholders. </w:t>
      </w:r>
    </w:p>
    <w:p w14:paraId="693B2368" w14:textId="77777777" w:rsidR="00AE2F65" w:rsidRPr="00A43907" w:rsidRDefault="00AE2F65" w:rsidP="00C07A0A">
      <w:pPr>
        <w:ind w:left="349"/>
        <w:jc w:val="both"/>
        <w:rPr>
          <w:rFonts w:ascii="Calibri" w:eastAsiaTheme="minorEastAsia" w:hAnsi="Calibri" w:cs="Calibri"/>
          <w:b/>
          <w:bCs/>
          <w:lang w:eastAsia="en-AU"/>
        </w:rPr>
      </w:pPr>
    </w:p>
    <w:p w14:paraId="1CCA3921" w14:textId="586C33F6" w:rsidR="00AE2F65" w:rsidRPr="00363CBF" w:rsidRDefault="00AE2F65" w:rsidP="00C07A0A">
      <w:pPr>
        <w:pStyle w:val="ListParagraph"/>
        <w:numPr>
          <w:ilvl w:val="0"/>
          <w:numId w:val="52"/>
        </w:numPr>
        <w:jc w:val="both"/>
        <w:rPr>
          <w:rFonts w:ascii="Calibri" w:eastAsiaTheme="minorEastAsia" w:hAnsi="Calibri" w:cs="Calibri"/>
          <w:b/>
          <w:lang w:eastAsia="en-AU"/>
        </w:rPr>
      </w:pPr>
      <w:r w:rsidRPr="00363CBF">
        <w:rPr>
          <w:rFonts w:ascii="Calibri" w:eastAsiaTheme="minorEastAsia" w:hAnsi="Calibri" w:cs="Calibri"/>
          <w:b/>
          <w:lang w:eastAsia="en-AU"/>
        </w:rPr>
        <w:t xml:space="preserve">Clearly link project activities and outputs to HNAP and NAP priorities: </w:t>
      </w:r>
      <w:r w:rsidRPr="00363CBF">
        <w:rPr>
          <w:rFonts w:ascii="Calibri" w:eastAsiaTheme="minorEastAsia" w:hAnsi="Calibri" w:cs="Calibri"/>
          <w:lang w:eastAsia="en-AU"/>
        </w:rPr>
        <w:t xml:space="preserve">It was not possible to determine the extent to which activities and interventions implemented under the program were climate informed and/or represented adaptation priorities as defined in the HNAPs. This is a limitation of the TE, as quality and implementation appraisal of HNAPs and V&amp;A assessments was beyond its scope. Future sequencing to ensure activities are clearly linked to HNAP implementation, with clearly defined and measurable outcomes, would enhance the ability to measure systemic impact and effect of this type of policy and programmatic intervention. </w:t>
      </w:r>
    </w:p>
    <w:p w14:paraId="14FE737E" w14:textId="77777777" w:rsidR="00AE2F65" w:rsidRDefault="00AE2F65" w:rsidP="00C07A0A">
      <w:pPr>
        <w:pStyle w:val="ListParagraph"/>
        <w:rPr>
          <w:rFonts w:ascii="Calibri" w:eastAsiaTheme="minorEastAsia" w:hAnsi="Calibri" w:cs="Calibri"/>
          <w:b/>
          <w:lang w:eastAsia="en-AU"/>
        </w:rPr>
      </w:pPr>
    </w:p>
    <w:p w14:paraId="70322D08" w14:textId="4244B52A" w:rsidR="00F83582" w:rsidRPr="00F21D72" w:rsidRDefault="00F83582" w:rsidP="00F21D72">
      <w:pPr>
        <w:pStyle w:val="ListParagraph"/>
        <w:numPr>
          <w:ilvl w:val="0"/>
          <w:numId w:val="52"/>
        </w:numPr>
        <w:jc w:val="both"/>
        <w:rPr>
          <w:rFonts w:ascii="Calibri" w:eastAsiaTheme="minorEastAsia" w:hAnsi="Calibri" w:cs="Calibri"/>
          <w:b/>
          <w:lang w:eastAsia="en-AU"/>
        </w:rPr>
      </w:pPr>
      <w:r w:rsidRPr="00F21D72">
        <w:rPr>
          <w:rFonts w:ascii="Calibri" w:eastAsiaTheme="minorEastAsia" w:hAnsi="Calibri" w:cs="Calibri"/>
          <w:b/>
          <w:lang w:eastAsia="en-AU"/>
        </w:rPr>
        <w:t xml:space="preserve">Provide ongoing technical support and guidance to support integration of health in adaptation responses: </w:t>
      </w:r>
      <w:r w:rsidRPr="00F21D72">
        <w:rPr>
          <w:rFonts w:ascii="Calibri" w:eastAsiaTheme="minorEastAsia" w:hAnsi="Calibri" w:cs="Calibri"/>
          <w:lang w:eastAsia="en-AU"/>
        </w:rPr>
        <w:t xml:space="preserve">Integration of HNAPs in NAPs, for those countries that did not achieve this in the project timeframe, may provide a bridge for leveraging additional climate financing from multilateral and bilateral donors for health. WHO and UNDP may need to strengthen institutional knowledge sharing to support LDCs in navigating and accessing adaptation finance for future health initiatives. Project activities that brought together health and climate officials and experts were highly valued, including at sub-national level, and these institutional ties could be strengthened to enhance integrated adaptation efforts within the project countries and elsewhere. </w:t>
      </w:r>
    </w:p>
    <w:p w14:paraId="75071112" w14:textId="77777777" w:rsidR="002B060A" w:rsidRDefault="002B060A" w:rsidP="00C07A0A">
      <w:pPr>
        <w:pStyle w:val="ListParagraph"/>
        <w:ind w:left="709"/>
        <w:jc w:val="both"/>
        <w:rPr>
          <w:rFonts w:ascii="Calibri" w:eastAsiaTheme="minorEastAsia" w:hAnsi="Calibri" w:cs="Calibri"/>
          <w:b/>
          <w:bCs/>
          <w:lang w:eastAsia="en-AU"/>
        </w:rPr>
      </w:pPr>
    </w:p>
    <w:p w14:paraId="75071113" w14:textId="77777777" w:rsidR="002B060A" w:rsidRPr="00363CBF" w:rsidRDefault="006040A7" w:rsidP="00C07A0A">
      <w:pPr>
        <w:pStyle w:val="ListParagraph"/>
        <w:numPr>
          <w:ilvl w:val="0"/>
          <w:numId w:val="52"/>
        </w:numPr>
        <w:jc w:val="both"/>
        <w:rPr>
          <w:rFonts w:ascii="Calibri" w:eastAsiaTheme="minorEastAsia" w:hAnsi="Calibri" w:cs="Calibri"/>
          <w:lang w:eastAsia="en-AU"/>
        </w:rPr>
      </w:pPr>
      <w:r w:rsidRPr="00F55EE5">
        <w:rPr>
          <w:rFonts w:ascii="Calibri" w:eastAsiaTheme="minorEastAsia" w:hAnsi="Calibri" w:cs="Calibri"/>
          <w:b/>
          <w:lang w:eastAsia="en-AU"/>
        </w:rPr>
        <w:t>Maintain</w:t>
      </w:r>
      <w:r w:rsidRPr="00363CBF">
        <w:rPr>
          <w:rFonts w:ascii="Calibri" w:eastAsiaTheme="minorEastAsia" w:hAnsi="Calibri" w:cs="Calibri"/>
          <w:b/>
          <w:bCs/>
          <w:lang w:eastAsia="en-AU"/>
        </w:rPr>
        <w:t xml:space="preserve"> and enhance institutional capacity and governance systems:</w:t>
      </w:r>
      <w:r w:rsidRPr="00363CBF">
        <w:rPr>
          <w:rFonts w:ascii="Calibri" w:eastAsiaTheme="minorEastAsia" w:hAnsi="Calibri" w:cs="Calibri"/>
          <w:lang w:eastAsia="en-AU"/>
        </w:rPr>
        <w:t xml:space="preserve"> Continue investments in training and capacity building to sustain and expand the skills of national and sub-national policymakers and practitioners. Incorporate refresher training programs to keep stakeholders updated and enhance their capabilities, and to address neglected areas of implementation under the WHO operational framework and to further guidance for CRESH facilities, including decarbonisation and low-carbon technologies. Ongoing advocacy to ensure that training programs and guidelines developed during the project are permanently integrated into national health curricula and training programs will help institutionalise the knowledge and practices promoted by the project, thus increasing confidence that the project will achieve the impacts desired in terms of resilience and sustainability.</w:t>
      </w:r>
    </w:p>
    <w:p w14:paraId="75071114" w14:textId="77777777" w:rsidR="002B060A" w:rsidRDefault="002B060A" w:rsidP="00C07A0A">
      <w:pPr>
        <w:pStyle w:val="ListParagraph"/>
        <w:rPr>
          <w:rFonts w:ascii="Calibri" w:eastAsiaTheme="minorEastAsia" w:hAnsi="Calibri" w:cs="Calibri"/>
          <w:lang w:eastAsia="en-AU"/>
        </w:rPr>
      </w:pPr>
    </w:p>
    <w:p w14:paraId="424A3023" w14:textId="3223C813" w:rsidR="00AE2F65" w:rsidRPr="00363CBF" w:rsidRDefault="00AE2F65" w:rsidP="00C07A0A">
      <w:pPr>
        <w:pStyle w:val="ListParagraph"/>
        <w:numPr>
          <w:ilvl w:val="0"/>
          <w:numId w:val="52"/>
        </w:numPr>
        <w:jc w:val="both"/>
        <w:rPr>
          <w:rFonts w:ascii="Calibri" w:eastAsiaTheme="minorEastAsia" w:hAnsi="Calibri" w:cs="Calibri"/>
          <w:lang w:eastAsia="en-AU"/>
        </w:rPr>
      </w:pPr>
      <w:r w:rsidRPr="00F55EE5">
        <w:rPr>
          <w:rFonts w:ascii="Calibri" w:eastAsiaTheme="minorEastAsia" w:hAnsi="Calibri" w:cs="Calibri"/>
          <w:b/>
          <w:lang w:eastAsia="en-AU"/>
        </w:rPr>
        <w:t>Support</w:t>
      </w:r>
      <w:r w:rsidRPr="00363CBF">
        <w:rPr>
          <w:rFonts w:ascii="Calibri" w:eastAsiaTheme="minorEastAsia" w:hAnsi="Calibri" w:cs="Calibri"/>
          <w:b/>
          <w:bCs/>
          <w:lang w:eastAsia="en-AU"/>
        </w:rPr>
        <w:t xml:space="preserve"> ongoing </w:t>
      </w:r>
      <w:r w:rsidRPr="00363CBF">
        <w:rPr>
          <w:rFonts w:ascii="Calibri" w:eastAsiaTheme="minorEastAsia" w:hAnsi="Calibri" w:cs="Calibri"/>
          <w:b/>
          <w:lang w:eastAsia="en-AU"/>
        </w:rPr>
        <w:t>peer-to-peer knowledge sharing, dissemination</w:t>
      </w:r>
      <w:r w:rsidRPr="00363CBF">
        <w:rPr>
          <w:rFonts w:ascii="Calibri" w:eastAsiaTheme="minorEastAsia" w:hAnsi="Calibri" w:cs="Calibri"/>
          <w:b/>
          <w:bCs/>
          <w:lang w:eastAsia="en-AU"/>
        </w:rPr>
        <w:t>,</w:t>
      </w:r>
      <w:r w:rsidRPr="00363CBF">
        <w:rPr>
          <w:rFonts w:ascii="Calibri" w:eastAsiaTheme="minorEastAsia" w:hAnsi="Calibri" w:cs="Calibri"/>
          <w:b/>
          <w:lang w:eastAsia="en-AU"/>
        </w:rPr>
        <w:t xml:space="preserve"> and leadership:  </w:t>
      </w:r>
      <w:r w:rsidRPr="00363CBF">
        <w:rPr>
          <w:rFonts w:ascii="Calibri" w:eastAsiaTheme="minorEastAsia" w:hAnsi="Calibri" w:cs="Calibri"/>
          <w:lang w:eastAsia="en-AU"/>
        </w:rPr>
        <w:t xml:space="preserve">Continued peer-to-peer knowledge sharing, dissemination, and leadership are crucial for maintaining and expanding regional networks built during the project. Leveraging the evidence, successes, challenges, and resources generated, these networks should facilitate regular meetings, workshops, and digital engagements to enhance collaboration and shared learning. Promoting national leadership and the emerging expertise in climate and health policy across project countries can catalyse future political will and buy-in. High-level fora like ATACH and COP events are essential platforms to elevate the project's profile and integrate health within broader climate discussions. Empowering grassroots champions within service delivery networks ensures sustained community-level engagement and knowledge dissemination and can also be promoted via national and regional fora. </w:t>
      </w:r>
    </w:p>
    <w:p w14:paraId="33258ACE" w14:textId="77777777" w:rsidR="00AE2F65" w:rsidRPr="00C40F36" w:rsidRDefault="00AE2F65" w:rsidP="00C07A0A">
      <w:pPr>
        <w:pStyle w:val="ListParagraph"/>
        <w:rPr>
          <w:rFonts w:ascii="Calibri" w:eastAsiaTheme="minorEastAsia" w:hAnsi="Calibri" w:cs="Calibri"/>
          <w:lang w:eastAsia="en-AU"/>
        </w:rPr>
      </w:pPr>
    </w:p>
    <w:p w14:paraId="709A2B19" w14:textId="33C65575" w:rsidR="00AE2F65" w:rsidRPr="00363CBF" w:rsidRDefault="00AE2F65" w:rsidP="00C07A0A">
      <w:pPr>
        <w:pStyle w:val="ListParagraph"/>
        <w:numPr>
          <w:ilvl w:val="0"/>
          <w:numId w:val="52"/>
        </w:numPr>
        <w:jc w:val="both"/>
        <w:rPr>
          <w:rFonts w:ascii="Calibri" w:eastAsiaTheme="minorEastAsia" w:hAnsi="Calibri" w:cs="Calibri"/>
          <w:b/>
          <w:bCs/>
          <w:lang w:eastAsia="en-AU"/>
        </w:rPr>
      </w:pPr>
      <w:r w:rsidRPr="00F55EE5">
        <w:rPr>
          <w:rFonts w:ascii="Calibri" w:eastAsiaTheme="minorEastAsia" w:hAnsi="Calibri" w:cs="Calibri"/>
          <w:b/>
          <w:lang w:eastAsia="en-AU"/>
        </w:rPr>
        <w:lastRenderedPageBreak/>
        <w:t>Integrate</w:t>
      </w:r>
      <w:r w:rsidR="006040A7" w:rsidRPr="00363CBF">
        <w:rPr>
          <w:rFonts w:ascii="Calibri" w:eastAsiaTheme="minorEastAsia" w:hAnsi="Calibri" w:cs="Calibri"/>
          <w:b/>
          <w:lang w:eastAsia="en-AU"/>
        </w:rPr>
        <w:t xml:space="preserve"> and </w:t>
      </w:r>
      <w:r w:rsidRPr="00363CBF">
        <w:rPr>
          <w:rFonts w:ascii="Calibri" w:eastAsiaTheme="minorEastAsia" w:hAnsi="Calibri" w:cs="Calibri"/>
          <w:b/>
          <w:bCs/>
          <w:lang w:eastAsia="en-AU"/>
        </w:rPr>
        <w:t xml:space="preserve">streamline project monitoring </w:t>
      </w:r>
      <w:r w:rsidR="006040A7" w:rsidRPr="00363CBF">
        <w:rPr>
          <w:rFonts w:ascii="Calibri" w:eastAsiaTheme="minorEastAsia" w:hAnsi="Calibri" w:cs="Calibri"/>
          <w:b/>
          <w:lang w:eastAsia="en-AU"/>
        </w:rPr>
        <w:t xml:space="preserve">and </w:t>
      </w:r>
      <w:r w:rsidRPr="00363CBF">
        <w:rPr>
          <w:rFonts w:ascii="Calibri" w:eastAsiaTheme="minorEastAsia" w:hAnsi="Calibri" w:cs="Calibri"/>
          <w:b/>
          <w:bCs/>
          <w:lang w:eastAsia="en-AU"/>
        </w:rPr>
        <w:t>external evaluation, using a theory-based methodology.</w:t>
      </w:r>
      <w:r w:rsidR="006040A7" w:rsidRPr="00363CBF">
        <w:rPr>
          <w:rFonts w:ascii="Calibri" w:eastAsiaTheme="minorEastAsia" w:hAnsi="Calibri" w:cs="Calibri"/>
          <w:b/>
          <w:bCs/>
          <w:lang w:eastAsia="en-AU"/>
        </w:rPr>
        <w:t xml:space="preserve"> </w:t>
      </w:r>
      <w:r w:rsidR="006040A7" w:rsidRPr="00363CBF">
        <w:rPr>
          <w:rFonts w:ascii="Calibri" w:eastAsia="Calibri" w:hAnsi="Calibri" w:cs="Calibri"/>
        </w:rPr>
        <w:t xml:space="preserve">Future program investment of this nature and scale would be strengthened by an evaluation that runs concurrently to the program. A concurrent evaluation design could include the development of a program theory of change that explains what (activities), how (via which mechanisms), when (in what contexts) and for whom (which countries, policymakers, population groups) change (outcomes) are expected. </w:t>
      </w:r>
      <w:r w:rsidRPr="00363CBF">
        <w:rPr>
          <w:rFonts w:ascii="Calibri" w:eastAsia="Calibri" w:hAnsi="Calibri" w:cs="Calibri"/>
        </w:rPr>
        <w:t xml:space="preserve">The theory would encompass and clarify elements of the project found to be not well defined and monitored, including gender mainstreaming activity and outcomes; socio-economic, ecological/environmental and development outcomes; and the target beneficiaries of the program. </w:t>
      </w:r>
      <w:r w:rsidR="006040A7" w:rsidRPr="00363CBF">
        <w:rPr>
          <w:rFonts w:ascii="Calibri" w:eastAsia="Calibri" w:hAnsi="Calibri" w:cs="Calibri"/>
        </w:rPr>
        <w:t xml:space="preserve">The theory could </w:t>
      </w:r>
      <w:r w:rsidRPr="00363CBF">
        <w:rPr>
          <w:rFonts w:ascii="Calibri" w:eastAsia="Calibri" w:hAnsi="Calibri" w:cs="Calibri"/>
        </w:rPr>
        <w:t xml:space="preserve">also include definitions and measures for ‘climate resilience of health systems’ under the WHO’s global guidelines, which is an identified area of priority for ATACH. </w:t>
      </w:r>
    </w:p>
    <w:p w14:paraId="65744781" w14:textId="77777777" w:rsidR="00AE2F65" w:rsidRPr="00C40F36" w:rsidRDefault="00AE2F65" w:rsidP="00C07A0A">
      <w:pPr>
        <w:pStyle w:val="ListParagraph"/>
        <w:rPr>
          <w:rFonts w:ascii="Calibri" w:eastAsia="Calibri" w:hAnsi="Calibri" w:cs="Calibri"/>
        </w:rPr>
      </w:pPr>
    </w:p>
    <w:p w14:paraId="38E80F95" w14:textId="77777777" w:rsidR="002B060A" w:rsidRPr="00363CBF" w:rsidRDefault="00AE2F65" w:rsidP="00C07A0A">
      <w:pPr>
        <w:pStyle w:val="ListParagraph"/>
        <w:jc w:val="both"/>
        <w:rPr>
          <w:rFonts w:ascii="Calibri" w:eastAsiaTheme="minorEastAsia" w:hAnsi="Calibri" w:cs="Calibri"/>
          <w:b/>
          <w:lang w:eastAsia="en-AU"/>
        </w:rPr>
      </w:pPr>
      <w:r w:rsidRPr="00363CBF">
        <w:rPr>
          <w:rFonts w:ascii="Calibri" w:eastAsia="Calibri" w:hAnsi="Calibri" w:cs="Calibri"/>
        </w:rPr>
        <w:t xml:space="preserve">The program theory could </w:t>
      </w:r>
      <w:r w:rsidR="006040A7" w:rsidRPr="00363CBF">
        <w:rPr>
          <w:rFonts w:ascii="Calibri" w:eastAsia="Calibri" w:hAnsi="Calibri" w:cs="Calibri"/>
        </w:rPr>
        <w:t xml:space="preserve">then be iteratively tested and refined with data collected by participating countries </w:t>
      </w:r>
      <w:r w:rsidRPr="00363CBF">
        <w:rPr>
          <w:rFonts w:ascii="Calibri" w:eastAsia="Calibri" w:hAnsi="Calibri" w:cs="Calibri"/>
        </w:rPr>
        <w:t xml:space="preserve">(monitoring data) </w:t>
      </w:r>
      <w:r w:rsidR="006040A7" w:rsidRPr="00363CBF">
        <w:rPr>
          <w:rFonts w:ascii="Calibri" w:eastAsia="Calibri" w:hAnsi="Calibri" w:cs="Calibri"/>
        </w:rPr>
        <w:t xml:space="preserve">and the </w:t>
      </w:r>
      <w:r w:rsidRPr="00363CBF">
        <w:rPr>
          <w:rFonts w:ascii="Calibri" w:eastAsia="Calibri" w:hAnsi="Calibri" w:cs="Calibri"/>
        </w:rPr>
        <w:t xml:space="preserve">external </w:t>
      </w:r>
      <w:r w:rsidR="006040A7" w:rsidRPr="00363CBF">
        <w:rPr>
          <w:rFonts w:ascii="Calibri" w:eastAsia="Calibri" w:hAnsi="Calibri" w:cs="Calibri"/>
        </w:rPr>
        <w:t>evaluators. Such iterative data collection and analysis would enable pre-mid-post analyses, including comparisons within and between counties to understand how context affects implementation and effectiveness. A concurrent and iterative design would also enable rapid learning cycles to inform program refinements along the way. The evaluation would result in an evidence-based, refined theory of change that explains how, when, and for whom the program is effective (and less, or not effective</w:t>
      </w:r>
      <w:r w:rsidRPr="00363CBF">
        <w:rPr>
          <w:rFonts w:ascii="Calibri" w:eastAsia="Calibri" w:hAnsi="Calibri" w:cs="Calibri"/>
        </w:rPr>
        <w:t>), and nuanced recommendations based on the refined theory.</w:t>
      </w:r>
    </w:p>
    <w:p w14:paraId="7507111A" w14:textId="77777777" w:rsidR="002B060A" w:rsidRDefault="002B060A" w:rsidP="00C07A0A">
      <w:pPr>
        <w:shd w:val="clear" w:color="auto" w:fill="FFFFFF" w:themeFill="background1"/>
        <w:rPr>
          <w:rFonts w:ascii="Calibri" w:eastAsia="Calibri" w:hAnsi="Calibri" w:cs="Calibri"/>
          <w:lang w:eastAsia="en-AU"/>
        </w:rPr>
      </w:pPr>
    </w:p>
    <w:p w14:paraId="7507111B" w14:textId="270D070A" w:rsidR="002B060A" w:rsidRPr="00363CBF" w:rsidRDefault="006040A7" w:rsidP="00C07A0A">
      <w:pPr>
        <w:pStyle w:val="ListParagraph"/>
        <w:numPr>
          <w:ilvl w:val="0"/>
          <w:numId w:val="52"/>
        </w:numPr>
        <w:jc w:val="both"/>
        <w:rPr>
          <w:rFonts w:ascii="Calibri" w:eastAsiaTheme="minorEastAsia" w:hAnsi="Calibri" w:cs="Calibri"/>
          <w:lang w:eastAsia="en-AU"/>
        </w:rPr>
      </w:pPr>
      <w:r w:rsidRPr="00363CBF">
        <w:rPr>
          <w:rFonts w:ascii="Calibri" w:eastAsiaTheme="minorEastAsia" w:hAnsi="Calibri" w:cs="Calibri"/>
          <w:b/>
          <w:lang w:eastAsia="en-AU"/>
        </w:rPr>
        <w:t>Ens</w:t>
      </w:r>
      <w:r w:rsidR="00F55EE5">
        <w:rPr>
          <w:rFonts w:ascii="Calibri" w:eastAsiaTheme="minorEastAsia" w:hAnsi="Calibri" w:cs="Calibri"/>
          <w:b/>
          <w:lang w:eastAsia="en-AU"/>
        </w:rPr>
        <w:t>ure</w:t>
      </w:r>
      <w:r w:rsidRPr="00363CBF">
        <w:rPr>
          <w:rFonts w:ascii="Calibri" w:eastAsiaTheme="minorEastAsia" w:hAnsi="Calibri" w:cs="Calibri"/>
          <w:b/>
          <w:lang w:eastAsia="en-AU"/>
        </w:rPr>
        <w:t xml:space="preserve"> adequate funding for core personnel and technical expertise: </w:t>
      </w:r>
      <w:r w:rsidRPr="00363CBF">
        <w:rPr>
          <w:rFonts w:ascii="Calibri" w:eastAsiaTheme="minorEastAsia" w:hAnsi="Calibri" w:cs="Calibri"/>
          <w:lang w:eastAsia="en-AU"/>
        </w:rPr>
        <w:t xml:space="preserve">The ability to fund MOH directly as an implementing agency was a considerable strength, and downstream partners supporting service delivery activities at provincial and sub-provincial levels benefited from this funding flexibility. However, core staff within key agencies were funded through in-kind contributions, which may have limited the ability to scale-up implementation and address delays. A balance in funds for consultancy and ongoing staff, based on local need and priorities, would be preferable but is acknowledged as a potential limitation of the funding guidelines rather than a project decision. In addition, technical expertise for knowledge gaps, such as accessing climate finance and quantifying the cost-benefits of climate change and health/climate-resilience interventions, could be strengthened as part of central Project Management Unit support. </w:t>
      </w:r>
      <w:r w:rsidRPr="00363CBF">
        <w:rPr>
          <w:rFonts w:ascii="Calibri" w:eastAsiaTheme="minorEastAsia" w:hAnsi="Calibri" w:cs="Calibri"/>
          <w:b/>
          <w:lang w:eastAsia="en-AU"/>
        </w:rPr>
        <w:t xml:space="preserve"> </w:t>
      </w:r>
    </w:p>
    <w:p w14:paraId="7507111C" w14:textId="77777777" w:rsidR="002B060A" w:rsidRDefault="002B060A" w:rsidP="00C07A0A">
      <w:pPr>
        <w:pStyle w:val="ListParagraph"/>
        <w:rPr>
          <w:rFonts w:ascii="Calibri" w:eastAsiaTheme="minorEastAsia" w:hAnsi="Calibri" w:cs="Calibri"/>
          <w:b/>
          <w:lang w:eastAsia="en-AU"/>
        </w:rPr>
      </w:pPr>
    </w:p>
    <w:p w14:paraId="71FE76BF" w14:textId="39DC6A2B" w:rsidR="00AE2F65" w:rsidRPr="00363CBF" w:rsidRDefault="00F55EE5" w:rsidP="00C07A0A">
      <w:pPr>
        <w:pStyle w:val="ListParagraph"/>
        <w:numPr>
          <w:ilvl w:val="0"/>
          <w:numId w:val="52"/>
        </w:numPr>
        <w:jc w:val="both"/>
        <w:rPr>
          <w:rFonts w:ascii="Calibri" w:hAnsi="Calibri" w:cs="Calibri"/>
          <w:b/>
        </w:rPr>
      </w:pPr>
      <w:r w:rsidRPr="00363CBF">
        <w:rPr>
          <w:rFonts w:ascii="Calibri" w:eastAsiaTheme="minorEastAsia" w:hAnsi="Calibri" w:cs="Calibri"/>
          <w:b/>
          <w:lang w:eastAsia="en-AU"/>
        </w:rPr>
        <w:t>Develop</w:t>
      </w:r>
      <w:r w:rsidR="00AE2F65" w:rsidRPr="00363CBF">
        <w:rPr>
          <w:rFonts w:ascii="Calibri" w:eastAsiaTheme="minorEastAsia" w:hAnsi="Calibri" w:cs="Calibri"/>
          <w:b/>
          <w:lang w:eastAsia="en-AU"/>
        </w:rPr>
        <w:t xml:space="preserve"> systems to consistently document and share implementation evidence: </w:t>
      </w:r>
      <w:r w:rsidR="00AE2F65" w:rsidRPr="00363CBF">
        <w:rPr>
          <w:rFonts w:ascii="Calibri" w:eastAsiaTheme="minorEastAsia" w:hAnsi="Calibri" w:cs="Calibri"/>
          <w:lang w:eastAsia="en-AU"/>
        </w:rPr>
        <w:t xml:space="preserve">There are substantial learnings from the project that can inform prioritisation and implementation of adaptation efforts within healthcare across other settings. Much of the evidence from the project was documented via informal/grey sources, hence may have limited dissemination via scientific and broader public channels. This limits the ability to recognise and account for these efforts in global scientific review processes, including IPCC reports. Engaging academic and/or research partners to capitalise on opportunities for evidence generation, analysis, and dissemination would add value to the broader climate and health sectors and scientific literature. </w:t>
      </w:r>
    </w:p>
    <w:p w14:paraId="7507111D" w14:textId="08CD1BF0" w:rsidR="002B060A" w:rsidRPr="00CB0E8D" w:rsidRDefault="002B060A" w:rsidP="00C07A0A">
      <w:pPr>
        <w:pStyle w:val="paragraph"/>
        <w:suppressAutoHyphens/>
        <w:spacing w:before="0" w:beforeAutospacing="0" w:after="0" w:afterAutospacing="0"/>
        <w:textAlignment w:val="baseline"/>
        <w:rPr>
          <w:rStyle w:val="normaltextrun"/>
          <w:rFonts w:ascii="Calibri" w:hAnsi="Calibri"/>
          <w:color w:val="094183"/>
        </w:rPr>
        <w:sectPr w:rsidR="002B060A" w:rsidRPr="00CB0E8D" w:rsidSect="00CB0E8D">
          <w:headerReference w:type="default" r:id="rId22"/>
          <w:footerReference w:type="default" r:id="rId23"/>
          <w:headerReference w:type="first" r:id="rId24"/>
          <w:footerReference w:type="first" r:id="rId25"/>
          <w:pgSz w:w="11906" w:h="16838"/>
          <w:pgMar w:top="1440" w:right="1440" w:bottom="1560" w:left="1440" w:header="708" w:footer="708" w:gutter="0"/>
          <w:cols w:space="708"/>
          <w:docGrid w:linePitch="360"/>
        </w:sectPr>
      </w:pPr>
    </w:p>
    <w:p w14:paraId="7507111E" w14:textId="77777777" w:rsidR="002B060A" w:rsidRDefault="006040A7" w:rsidP="00C07A0A">
      <w:pPr>
        <w:pStyle w:val="Heading1"/>
        <w:spacing w:before="0" w:after="0"/>
        <w:textAlignment w:val="baseline"/>
        <w:rPr>
          <w:rFonts w:ascii="Calibri" w:hAnsi="Calibri" w:cs="Calibri"/>
        </w:rPr>
      </w:pPr>
      <w:bookmarkStart w:id="36" w:name="_Toc173429987"/>
      <w:r w:rsidRPr="00CB0E8D">
        <w:rPr>
          <w:rFonts w:ascii="Calibri" w:hAnsi="Calibri"/>
        </w:rPr>
        <w:lastRenderedPageBreak/>
        <w:t>Appendi</w:t>
      </w:r>
      <w:r>
        <w:rPr>
          <w:rFonts w:ascii="Calibri" w:hAnsi="Calibri" w:cs="Calibri"/>
        </w:rPr>
        <w:t>ces</w:t>
      </w:r>
      <w:bookmarkEnd w:id="36"/>
      <w:r>
        <w:rPr>
          <w:rFonts w:ascii="Calibri" w:hAnsi="Calibri" w:cs="Calibri"/>
        </w:rPr>
        <w:t xml:space="preserve"> </w:t>
      </w:r>
    </w:p>
    <w:p w14:paraId="7507111F" w14:textId="77777777" w:rsidR="002B060A" w:rsidRDefault="002B060A" w:rsidP="00C07A0A">
      <w:pPr>
        <w:pStyle w:val="paragraph"/>
        <w:suppressAutoHyphens/>
        <w:spacing w:before="0" w:beforeAutospacing="0" w:after="0" w:afterAutospacing="0"/>
        <w:textAlignment w:val="baseline"/>
        <w:rPr>
          <w:rFonts w:ascii="Calibri" w:hAnsi="Calibri" w:cs="Calibri"/>
        </w:rPr>
      </w:pPr>
    </w:p>
    <w:p w14:paraId="75071120" w14:textId="77777777" w:rsidR="002B060A" w:rsidRDefault="006040A7" w:rsidP="00C07A0A">
      <w:pPr>
        <w:pStyle w:val="Heading2"/>
        <w:rPr>
          <w:rFonts w:ascii="Calibri" w:hAnsi="Calibri" w:cs="Calibri"/>
        </w:rPr>
      </w:pPr>
      <w:bookmarkStart w:id="37" w:name="_Toc173429988"/>
      <w:r>
        <w:rPr>
          <w:rFonts w:ascii="Calibri" w:hAnsi="Calibri" w:cs="Calibri"/>
        </w:rPr>
        <w:t>Appendix 1: Evaluation Criteria Matrix</w:t>
      </w:r>
      <w:bookmarkEnd w:id="37"/>
      <w:r>
        <w:rPr>
          <w:rFonts w:ascii="Calibri" w:hAnsi="Calibri" w:cs="Calibri"/>
        </w:rPr>
        <w:t xml:space="preserve"> </w:t>
      </w:r>
    </w:p>
    <w:p w14:paraId="75071121" w14:textId="77777777" w:rsidR="002B060A" w:rsidRDefault="002B060A" w:rsidP="00C07A0A">
      <w:pPr>
        <w:pStyle w:val="paragraph"/>
        <w:suppressAutoHyphens/>
        <w:spacing w:before="0" w:beforeAutospacing="0" w:after="0" w:afterAutospacing="0"/>
        <w:textAlignment w:val="baseline"/>
        <w:rPr>
          <w:rFonts w:ascii="Calibri" w:hAnsi="Calibri" w:cs="Calibri"/>
        </w:rPr>
      </w:pPr>
    </w:p>
    <w:tbl>
      <w:tblPr>
        <w:tblStyle w:val="TableGrid"/>
        <w:tblW w:w="13253" w:type="dxa"/>
        <w:tblLook w:val="04A0" w:firstRow="1" w:lastRow="0" w:firstColumn="1" w:lastColumn="0" w:noHBand="0" w:noVBand="1"/>
      </w:tblPr>
      <w:tblGrid>
        <w:gridCol w:w="2689"/>
        <w:gridCol w:w="2409"/>
        <w:gridCol w:w="2410"/>
        <w:gridCol w:w="1701"/>
        <w:gridCol w:w="2552"/>
        <w:gridCol w:w="1492"/>
      </w:tblGrid>
      <w:tr w:rsidR="002B060A" w14:paraId="75071128" w14:textId="77777777" w:rsidTr="001071B4">
        <w:trPr>
          <w:trHeight w:val="411"/>
        </w:trPr>
        <w:tc>
          <w:tcPr>
            <w:tcW w:w="2689" w:type="dxa"/>
            <w:noWrap/>
            <w:hideMark/>
          </w:tcPr>
          <w:p w14:paraId="75071122" w14:textId="77777777" w:rsidR="002B060A" w:rsidRDefault="006040A7" w:rsidP="00C07A0A">
            <w:pPr>
              <w:rPr>
                <w:rFonts w:ascii="Calibri" w:hAnsi="Calibri" w:cs="Calibri"/>
                <w:color w:val="000000"/>
                <w:sz w:val="20"/>
                <w:szCs w:val="20"/>
                <w:lang w:eastAsia="en-AU"/>
              </w:rPr>
            </w:pPr>
            <w:r>
              <w:rPr>
                <w:rFonts w:ascii="Calibri" w:hAnsi="Calibri" w:cs="Calibri"/>
                <w:color w:val="000000"/>
                <w:sz w:val="20"/>
                <w:szCs w:val="20"/>
              </w:rPr>
              <w:t xml:space="preserve">Outcome </w:t>
            </w:r>
          </w:p>
        </w:tc>
        <w:tc>
          <w:tcPr>
            <w:tcW w:w="2409" w:type="dxa"/>
            <w:hideMark/>
          </w:tcPr>
          <w:p w14:paraId="75071123" w14:textId="77777777" w:rsidR="002B060A" w:rsidRDefault="006040A7" w:rsidP="00C07A0A">
            <w:pPr>
              <w:rPr>
                <w:rFonts w:ascii="Calibri" w:hAnsi="Calibri" w:cs="Calibri"/>
                <w:color w:val="212121"/>
                <w:sz w:val="20"/>
                <w:szCs w:val="20"/>
              </w:rPr>
            </w:pPr>
            <w:r>
              <w:rPr>
                <w:rFonts w:ascii="Calibri" w:hAnsi="Calibri" w:cs="Calibri"/>
                <w:color w:val="212121"/>
                <w:sz w:val="20"/>
                <w:szCs w:val="20"/>
              </w:rPr>
              <w:t>Objective and outcome indicators </w:t>
            </w:r>
          </w:p>
        </w:tc>
        <w:tc>
          <w:tcPr>
            <w:tcW w:w="2410" w:type="dxa"/>
            <w:noWrap/>
            <w:hideMark/>
          </w:tcPr>
          <w:p w14:paraId="75071124"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Baseline</w:t>
            </w:r>
          </w:p>
        </w:tc>
        <w:tc>
          <w:tcPr>
            <w:tcW w:w="1701" w:type="dxa"/>
            <w:hideMark/>
          </w:tcPr>
          <w:p w14:paraId="75071125"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 xml:space="preserve">Mid-term level achievement rating </w:t>
            </w:r>
          </w:p>
        </w:tc>
        <w:tc>
          <w:tcPr>
            <w:tcW w:w="2552" w:type="dxa"/>
            <w:hideMark/>
          </w:tcPr>
          <w:p w14:paraId="75071126"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End of project target</w:t>
            </w:r>
          </w:p>
        </w:tc>
        <w:tc>
          <w:tcPr>
            <w:tcW w:w="1492" w:type="dxa"/>
            <w:hideMark/>
          </w:tcPr>
          <w:p w14:paraId="75071127"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End of project level and assessment (rating)</w:t>
            </w:r>
          </w:p>
        </w:tc>
      </w:tr>
      <w:tr w:rsidR="00CB0E8D" w14:paraId="7507112F" w14:textId="77777777" w:rsidTr="001071B4">
        <w:trPr>
          <w:trHeight w:val="2537"/>
        </w:trPr>
        <w:tc>
          <w:tcPr>
            <w:tcW w:w="2689" w:type="dxa"/>
            <w:hideMark/>
          </w:tcPr>
          <w:p w14:paraId="75071129"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Project Objective: Increase the adaptive capacity of national health systems and institutions, and sub-national level actors, to respond to and manage long-term climate-sensitive</w:t>
            </w:r>
          </w:p>
        </w:tc>
        <w:tc>
          <w:tcPr>
            <w:tcW w:w="2409" w:type="dxa"/>
            <w:hideMark/>
          </w:tcPr>
          <w:p w14:paraId="7507112A"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Indicator 1: National H-NAP for long term planning and capacity development is created and budgeted. (AMAT 3.2 Indicator 12). (Output 2.1 – UNDP Strategic</w:t>
            </w:r>
            <w:r>
              <w:rPr>
                <w:rFonts w:ascii="Calibri" w:hAnsi="Calibri" w:cs="Calibri"/>
                <w:color w:val="000000"/>
                <w:sz w:val="20"/>
                <w:szCs w:val="20"/>
              </w:rPr>
              <w:br/>
              <w:t>Plan)</w:t>
            </w:r>
          </w:p>
        </w:tc>
        <w:tc>
          <w:tcPr>
            <w:tcW w:w="2410" w:type="dxa"/>
            <w:hideMark/>
          </w:tcPr>
          <w:p w14:paraId="7507112B"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H-NAP has not been developed and/or</w:t>
            </w:r>
            <w:r>
              <w:rPr>
                <w:rFonts w:ascii="Calibri" w:hAnsi="Calibri" w:cs="Calibri"/>
                <w:color w:val="000000"/>
                <w:sz w:val="20"/>
                <w:szCs w:val="20"/>
              </w:rPr>
              <w:br/>
              <w:t>implemented. (Note: Cambodia and Nepal have approved H-NAP – funding and implementation planning has not yet been incorporated. Bangladesh has DFID HNAP development project – early stages).</w:t>
            </w:r>
          </w:p>
        </w:tc>
        <w:tc>
          <w:tcPr>
            <w:tcW w:w="1701" w:type="dxa"/>
            <w:noWrap/>
            <w:vAlign w:val="center"/>
            <w:hideMark/>
          </w:tcPr>
          <w:p w14:paraId="7507112C" w14:textId="77777777" w:rsidR="002B060A" w:rsidRDefault="006040A7" w:rsidP="00C07A0A">
            <w:pPr>
              <w:jc w:val="center"/>
              <w:rPr>
                <w:rFonts w:ascii="Calibri" w:hAnsi="Calibri" w:cs="Calibri"/>
                <w:color w:val="000000"/>
                <w:sz w:val="20"/>
                <w:szCs w:val="20"/>
              </w:rPr>
            </w:pPr>
            <w:r>
              <w:rPr>
                <w:rFonts w:ascii="Calibri" w:hAnsi="Calibri" w:cs="Calibri"/>
                <w:color w:val="000000"/>
                <w:sz w:val="20"/>
                <w:szCs w:val="20"/>
              </w:rPr>
              <w:t xml:space="preserve">HS </w:t>
            </w:r>
          </w:p>
        </w:tc>
        <w:tc>
          <w:tcPr>
            <w:tcW w:w="2552" w:type="dxa"/>
            <w:hideMark/>
          </w:tcPr>
          <w:p w14:paraId="7507112D"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H-NAP is finalized/updated in 6 countries as the long-term plan for health adaptation to</w:t>
            </w:r>
            <w:r>
              <w:rPr>
                <w:rFonts w:ascii="Calibri" w:hAnsi="Calibri" w:cs="Calibri"/>
                <w:color w:val="000000"/>
                <w:sz w:val="20"/>
                <w:szCs w:val="20"/>
              </w:rPr>
              <w:br/>
              <w:t>climate change and MOH is part of TWG with mandate to address cross-cutting climate change adaptation.</w:t>
            </w:r>
          </w:p>
        </w:tc>
        <w:tc>
          <w:tcPr>
            <w:tcW w:w="1492" w:type="dxa"/>
            <w:shd w:val="clear" w:color="auto" w:fill="00B050"/>
            <w:noWrap/>
            <w:hideMark/>
          </w:tcPr>
          <w:p w14:paraId="7507112E" w14:textId="77777777" w:rsidR="002B060A" w:rsidRDefault="006040A7" w:rsidP="00C07A0A">
            <w:pPr>
              <w:rPr>
                <w:rFonts w:ascii="Calibri" w:hAnsi="Calibri" w:cs="Calibri"/>
                <w:color w:val="FFFFFF"/>
                <w:sz w:val="20"/>
                <w:szCs w:val="20"/>
              </w:rPr>
            </w:pPr>
            <w:r>
              <w:rPr>
                <w:rFonts w:ascii="Calibri" w:hAnsi="Calibri" w:cs="Calibri"/>
                <w:color w:val="FFFFFF"/>
                <w:sz w:val="20"/>
                <w:szCs w:val="20"/>
              </w:rPr>
              <w:t>Achieved - HS</w:t>
            </w:r>
          </w:p>
        </w:tc>
      </w:tr>
      <w:tr w:rsidR="00CB0E8D" w14:paraId="75071136" w14:textId="77777777" w:rsidTr="001071B4">
        <w:trPr>
          <w:trHeight w:val="1304"/>
        </w:trPr>
        <w:tc>
          <w:tcPr>
            <w:tcW w:w="2689" w:type="dxa"/>
            <w:hideMark/>
          </w:tcPr>
          <w:p w14:paraId="75071130"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Outcome 1: Institutional Capacities are strengthened to effectively integrate climate risks and adaptation options in health sector planning and implementation.</w:t>
            </w:r>
          </w:p>
        </w:tc>
        <w:tc>
          <w:tcPr>
            <w:tcW w:w="2409" w:type="dxa"/>
            <w:hideMark/>
          </w:tcPr>
          <w:p w14:paraId="75071131"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Indicator 2: Development of National Standards or guidelines for climate change</w:t>
            </w:r>
            <w:r>
              <w:rPr>
                <w:rFonts w:ascii="Calibri" w:hAnsi="Calibri" w:cs="Calibri"/>
                <w:color w:val="000000"/>
                <w:sz w:val="20"/>
                <w:szCs w:val="20"/>
              </w:rPr>
              <w:br/>
              <w:t>and health systems.</w:t>
            </w:r>
          </w:p>
        </w:tc>
        <w:tc>
          <w:tcPr>
            <w:tcW w:w="2410" w:type="dxa"/>
            <w:hideMark/>
          </w:tcPr>
          <w:p w14:paraId="75071132"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 xml:space="preserve">National standard, guidelines and SOPs are not available relating CC and Health </w:t>
            </w:r>
          </w:p>
        </w:tc>
        <w:tc>
          <w:tcPr>
            <w:tcW w:w="1701" w:type="dxa"/>
            <w:noWrap/>
            <w:vAlign w:val="center"/>
            <w:hideMark/>
          </w:tcPr>
          <w:p w14:paraId="75071133" w14:textId="77777777" w:rsidR="002B060A" w:rsidRDefault="006040A7" w:rsidP="00C07A0A">
            <w:pPr>
              <w:jc w:val="center"/>
              <w:rPr>
                <w:rFonts w:ascii="Calibri" w:hAnsi="Calibri" w:cs="Calibri"/>
                <w:color w:val="000000"/>
                <w:sz w:val="20"/>
                <w:szCs w:val="20"/>
              </w:rPr>
            </w:pPr>
            <w:r>
              <w:rPr>
                <w:rFonts w:ascii="Calibri" w:hAnsi="Calibri" w:cs="Calibri"/>
                <w:color w:val="000000"/>
                <w:sz w:val="20"/>
                <w:szCs w:val="20"/>
              </w:rPr>
              <w:t>S</w:t>
            </w:r>
          </w:p>
        </w:tc>
        <w:tc>
          <w:tcPr>
            <w:tcW w:w="2552" w:type="dxa"/>
            <w:hideMark/>
          </w:tcPr>
          <w:p w14:paraId="75071134"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Final standards and guidelines are developed.</w:t>
            </w:r>
          </w:p>
        </w:tc>
        <w:tc>
          <w:tcPr>
            <w:tcW w:w="1492" w:type="dxa"/>
            <w:shd w:val="clear" w:color="auto" w:fill="00B050"/>
            <w:hideMark/>
          </w:tcPr>
          <w:p w14:paraId="75071135" w14:textId="77777777" w:rsidR="002B060A" w:rsidRDefault="006040A7" w:rsidP="00C07A0A">
            <w:pPr>
              <w:rPr>
                <w:rFonts w:ascii="Calibri" w:hAnsi="Calibri" w:cs="Calibri"/>
                <w:color w:val="FFFFFF" w:themeColor="background1"/>
                <w:sz w:val="20"/>
                <w:szCs w:val="20"/>
              </w:rPr>
            </w:pPr>
            <w:r>
              <w:rPr>
                <w:rFonts w:ascii="Calibri" w:hAnsi="Calibri" w:cs="Calibri"/>
                <w:color w:val="FFFFFF" w:themeColor="background1"/>
                <w:sz w:val="20"/>
                <w:szCs w:val="20"/>
              </w:rPr>
              <w:t>Achieved - HS</w:t>
            </w:r>
            <w:r>
              <w:rPr>
                <w:rFonts w:ascii="Calibri" w:hAnsi="Calibri" w:cs="Calibri"/>
              </w:rPr>
              <w:br/>
            </w:r>
            <w:r>
              <w:rPr>
                <w:rFonts w:ascii="Calibri" w:hAnsi="Calibri" w:cs="Calibri"/>
              </w:rPr>
              <w:br/>
            </w:r>
          </w:p>
        </w:tc>
      </w:tr>
      <w:tr w:rsidR="00CB0E8D" w14:paraId="7507113D" w14:textId="77777777" w:rsidTr="001071B4">
        <w:trPr>
          <w:trHeight w:val="1984"/>
        </w:trPr>
        <w:tc>
          <w:tcPr>
            <w:tcW w:w="2689" w:type="dxa"/>
            <w:vMerge w:val="restart"/>
            <w:vAlign w:val="center"/>
            <w:hideMark/>
          </w:tcPr>
          <w:p w14:paraId="75071137"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Outcome 2: Effective decision making for health interventions is enabled through generation of information and improved surveillance and/or early warning systems</w:t>
            </w:r>
          </w:p>
        </w:tc>
        <w:tc>
          <w:tcPr>
            <w:tcW w:w="2409" w:type="dxa"/>
            <w:hideMark/>
          </w:tcPr>
          <w:p w14:paraId="75071138"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Indicator 3: Vulnerability and adaptation assessments (V+A) conducted for current and future health risks. (AMAT 2.1 Indicator 6)</w:t>
            </w:r>
          </w:p>
        </w:tc>
        <w:tc>
          <w:tcPr>
            <w:tcW w:w="2410" w:type="dxa"/>
            <w:hideMark/>
          </w:tcPr>
          <w:p w14:paraId="75071139"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 xml:space="preserve">V+A has not been completed, or existing V+A is outdated or not comprehensive </w:t>
            </w:r>
          </w:p>
        </w:tc>
        <w:tc>
          <w:tcPr>
            <w:tcW w:w="1701" w:type="dxa"/>
            <w:noWrap/>
            <w:vAlign w:val="center"/>
            <w:hideMark/>
          </w:tcPr>
          <w:p w14:paraId="7507113A" w14:textId="77777777" w:rsidR="002B060A" w:rsidRDefault="006040A7" w:rsidP="00C07A0A">
            <w:pPr>
              <w:jc w:val="center"/>
              <w:rPr>
                <w:rFonts w:ascii="Calibri" w:hAnsi="Calibri" w:cs="Calibri"/>
                <w:color w:val="000000"/>
                <w:sz w:val="20"/>
                <w:szCs w:val="20"/>
              </w:rPr>
            </w:pPr>
            <w:r>
              <w:rPr>
                <w:rFonts w:ascii="Calibri" w:hAnsi="Calibri" w:cs="Calibri"/>
                <w:color w:val="000000"/>
                <w:sz w:val="20"/>
                <w:szCs w:val="20"/>
              </w:rPr>
              <w:t>S</w:t>
            </w:r>
          </w:p>
        </w:tc>
        <w:tc>
          <w:tcPr>
            <w:tcW w:w="2552" w:type="dxa"/>
            <w:hideMark/>
          </w:tcPr>
          <w:p w14:paraId="7507113B"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Gender- disaggregated health vulnerability and adaptation assessments completed or updated in 6 countries.</w:t>
            </w:r>
          </w:p>
        </w:tc>
        <w:tc>
          <w:tcPr>
            <w:tcW w:w="1492" w:type="dxa"/>
            <w:vMerge w:val="restart"/>
            <w:shd w:val="clear" w:color="auto" w:fill="00B050"/>
            <w:noWrap/>
            <w:hideMark/>
          </w:tcPr>
          <w:p w14:paraId="7507113C" w14:textId="77777777" w:rsidR="002B060A" w:rsidRDefault="006040A7" w:rsidP="00C07A0A">
            <w:pPr>
              <w:spacing w:line="259" w:lineRule="auto"/>
              <w:rPr>
                <w:rFonts w:ascii="Calibri" w:hAnsi="Calibri" w:cs="Calibri"/>
                <w:color w:val="FFFFFF" w:themeColor="background1"/>
                <w:sz w:val="20"/>
                <w:szCs w:val="20"/>
              </w:rPr>
            </w:pPr>
            <w:r>
              <w:rPr>
                <w:rFonts w:ascii="Calibri" w:hAnsi="Calibri" w:cs="Calibri"/>
                <w:color w:val="FFFFFF" w:themeColor="background1"/>
                <w:sz w:val="20"/>
                <w:szCs w:val="20"/>
              </w:rPr>
              <w:t>Achieved - S</w:t>
            </w:r>
          </w:p>
        </w:tc>
      </w:tr>
      <w:tr w:rsidR="00CB0E8D" w14:paraId="75071144" w14:textId="77777777" w:rsidTr="001071B4">
        <w:trPr>
          <w:trHeight w:val="1125"/>
        </w:trPr>
        <w:tc>
          <w:tcPr>
            <w:tcW w:w="2689" w:type="dxa"/>
            <w:vMerge/>
            <w:vAlign w:val="center"/>
            <w:hideMark/>
          </w:tcPr>
          <w:p w14:paraId="7507113E" w14:textId="77777777" w:rsidR="002B060A" w:rsidRDefault="002B060A" w:rsidP="00C07A0A">
            <w:pPr>
              <w:rPr>
                <w:rFonts w:ascii="Calibri" w:hAnsi="Calibri" w:cs="Calibri"/>
                <w:color w:val="000000"/>
                <w:sz w:val="20"/>
                <w:szCs w:val="20"/>
              </w:rPr>
            </w:pPr>
          </w:p>
        </w:tc>
        <w:tc>
          <w:tcPr>
            <w:tcW w:w="2409" w:type="dxa"/>
            <w:hideMark/>
          </w:tcPr>
          <w:p w14:paraId="7507113F"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Indicator 4: Integrated disease surveillance system for climate sensitive disease is strengthened.</w:t>
            </w:r>
          </w:p>
        </w:tc>
        <w:tc>
          <w:tcPr>
            <w:tcW w:w="2410" w:type="dxa"/>
            <w:hideMark/>
          </w:tcPr>
          <w:p w14:paraId="75071140"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 xml:space="preserve">Disease surveillance system does not consider climate/weather data </w:t>
            </w:r>
          </w:p>
        </w:tc>
        <w:tc>
          <w:tcPr>
            <w:tcW w:w="1701" w:type="dxa"/>
            <w:noWrap/>
            <w:vAlign w:val="center"/>
            <w:hideMark/>
          </w:tcPr>
          <w:p w14:paraId="75071141" w14:textId="77777777" w:rsidR="002B060A" w:rsidRDefault="006040A7" w:rsidP="00C07A0A">
            <w:pPr>
              <w:jc w:val="center"/>
              <w:rPr>
                <w:rFonts w:ascii="Calibri" w:hAnsi="Calibri" w:cs="Calibri"/>
                <w:color w:val="000000"/>
                <w:sz w:val="20"/>
                <w:szCs w:val="20"/>
              </w:rPr>
            </w:pPr>
            <w:r>
              <w:rPr>
                <w:rFonts w:ascii="Calibri" w:hAnsi="Calibri" w:cs="Calibri"/>
                <w:color w:val="000000"/>
                <w:sz w:val="20"/>
                <w:szCs w:val="20"/>
              </w:rPr>
              <w:t>S</w:t>
            </w:r>
          </w:p>
        </w:tc>
        <w:tc>
          <w:tcPr>
            <w:tcW w:w="2552" w:type="dxa"/>
            <w:hideMark/>
          </w:tcPr>
          <w:p w14:paraId="75071142"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Tailored products to inform decision making based on surveillance system which incorporates climate/weather data</w:t>
            </w:r>
            <w:r>
              <w:rPr>
                <w:rFonts w:ascii="Calibri" w:hAnsi="Calibri" w:cs="Calibri"/>
                <w:color w:val="000000"/>
                <w:sz w:val="20"/>
                <w:szCs w:val="20"/>
              </w:rPr>
              <w:br/>
              <w:t>(</w:t>
            </w:r>
            <w:r>
              <w:rPr>
                <w:rFonts w:ascii="Calibri" w:hAnsi="Calibri" w:cs="Calibri"/>
                <w:color w:val="FF0000"/>
                <w:sz w:val="20"/>
                <w:szCs w:val="20"/>
              </w:rPr>
              <w:t>5</w:t>
            </w:r>
            <w:r>
              <w:rPr>
                <w:rFonts w:ascii="Calibri" w:hAnsi="Calibri" w:cs="Calibri"/>
                <w:color w:val="000000"/>
                <w:sz w:val="20"/>
                <w:szCs w:val="20"/>
              </w:rPr>
              <w:t xml:space="preserve"> countries).</w:t>
            </w:r>
          </w:p>
        </w:tc>
        <w:tc>
          <w:tcPr>
            <w:tcW w:w="1492" w:type="dxa"/>
            <w:vMerge/>
            <w:shd w:val="clear" w:color="auto" w:fill="00B050"/>
            <w:hideMark/>
          </w:tcPr>
          <w:p w14:paraId="75071143" w14:textId="77777777" w:rsidR="002B060A" w:rsidRDefault="002B060A" w:rsidP="00C07A0A">
            <w:pPr>
              <w:rPr>
                <w:rFonts w:ascii="Calibri" w:hAnsi="Calibri" w:cs="Calibri"/>
                <w:color w:val="FFFFFF"/>
                <w:sz w:val="20"/>
                <w:szCs w:val="20"/>
              </w:rPr>
            </w:pPr>
          </w:p>
        </w:tc>
      </w:tr>
      <w:tr w:rsidR="00CB0E8D" w14:paraId="7507114B" w14:textId="77777777" w:rsidTr="001071B4">
        <w:trPr>
          <w:trHeight w:val="1134"/>
        </w:trPr>
        <w:tc>
          <w:tcPr>
            <w:tcW w:w="2689" w:type="dxa"/>
            <w:vMerge w:val="restart"/>
            <w:vAlign w:val="center"/>
            <w:hideMark/>
          </w:tcPr>
          <w:p w14:paraId="75071145"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Outcome 3: Climate resilience is enhanced in health service delivery</w:t>
            </w:r>
          </w:p>
        </w:tc>
        <w:tc>
          <w:tcPr>
            <w:tcW w:w="2409" w:type="dxa"/>
            <w:hideMark/>
          </w:tcPr>
          <w:p w14:paraId="75071146"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Indicator 5: Disease control and prevention programmes are strengthened to account of the effects of climate variability and change.</w:t>
            </w:r>
          </w:p>
        </w:tc>
        <w:tc>
          <w:tcPr>
            <w:tcW w:w="2410" w:type="dxa"/>
            <w:hideMark/>
          </w:tcPr>
          <w:p w14:paraId="75071147"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 xml:space="preserve">Specific programmes and plans of climate-sensitive diseases don't include climate/weather considerations </w:t>
            </w:r>
          </w:p>
        </w:tc>
        <w:tc>
          <w:tcPr>
            <w:tcW w:w="1701" w:type="dxa"/>
            <w:noWrap/>
            <w:vAlign w:val="center"/>
            <w:hideMark/>
          </w:tcPr>
          <w:p w14:paraId="75071148" w14:textId="77777777" w:rsidR="002B060A" w:rsidRDefault="006040A7" w:rsidP="00C07A0A">
            <w:pPr>
              <w:jc w:val="center"/>
              <w:rPr>
                <w:rFonts w:ascii="Calibri" w:hAnsi="Calibri" w:cs="Calibri"/>
                <w:color w:val="000000"/>
                <w:sz w:val="20"/>
                <w:szCs w:val="20"/>
              </w:rPr>
            </w:pPr>
            <w:r>
              <w:rPr>
                <w:rFonts w:ascii="Calibri" w:hAnsi="Calibri" w:cs="Calibri"/>
                <w:color w:val="000000"/>
                <w:sz w:val="20"/>
                <w:szCs w:val="20"/>
              </w:rPr>
              <w:t>S</w:t>
            </w:r>
          </w:p>
        </w:tc>
        <w:tc>
          <w:tcPr>
            <w:tcW w:w="2552" w:type="dxa"/>
            <w:hideMark/>
          </w:tcPr>
          <w:p w14:paraId="75071149"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Disease control and prevention programmes strengthened in 6 countries.</w:t>
            </w:r>
          </w:p>
        </w:tc>
        <w:tc>
          <w:tcPr>
            <w:tcW w:w="1492" w:type="dxa"/>
            <w:shd w:val="clear" w:color="auto" w:fill="00B050"/>
            <w:noWrap/>
            <w:hideMark/>
          </w:tcPr>
          <w:p w14:paraId="7507114A" w14:textId="77F19D5C" w:rsidR="002B060A" w:rsidRDefault="006040A7" w:rsidP="00C07A0A">
            <w:pPr>
              <w:rPr>
                <w:rFonts w:ascii="Calibri" w:hAnsi="Calibri" w:cs="Calibri"/>
                <w:color w:val="FFFFFF"/>
                <w:sz w:val="20"/>
                <w:szCs w:val="20"/>
              </w:rPr>
            </w:pPr>
            <w:r>
              <w:rPr>
                <w:rFonts w:ascii="Calibri" w:hAnsi="Calibri" w:cs="Calibri"/>
                <w:color w:val="FFFFFF" w:themeColor="background1"/>
                <w:sz w:val="20"/>
                <w:szCs w:val="20"/>
              </w:rPr>
              <w:t xml:space="preserve">Achieved - </w:t>
            </w:r>
            <w:r w:rsidR="00F30C92">
              <w:rPr>
                <w:rFonts w:ascii="Calibri" w:hAnsi="Calibri" w:cs="Calibri"/>
                <w:color w:val="FFFFFF" w:themeColor="background1"/>
                <w:sz w:val="20"/>
                <w:szCs w:val="20"/>
              </w:rPr>
              <w:t>H</w:t>
            </w:r>
            <w:r>
              <w:rPr>
                <w:rFonts w:ascii="Calibri" w:hAnsi="Calibri" w:cs="Calibri"/>
                <w:color w:val="FFFFFF" w:themeColor="background1"/>
                <w:sz w:val="20"/>
                <w:szCs w:val="20"/>
              </w:rPr>
              <w:t>S</w:t>
            </w:r>
          </w:p>
        </w:tc>
      </w:tr>
      <w:tr w:rsidR="00CB0E8D" w14:paraId="75071152" w14:textId="77777777" w:rsidTr="001071B4">
        <w:trPr>
          <w:trHeight w:val="1361"/>
        </w:trPr>
        <w:tc>
          <w:tcPr>
            <w:tcW w:w="2689" w:type="dxa"/>
            <w:vMerge/>
            <w:vAlign w:val="center"/>
            <w:hideMark/>
          </w:tcPr>
          <w:p w14:paraId="7507114C" w14:textId="77777777" w:rsidR="002B060A" w:rsidRDefault="002B060A" w:rsidP="00C07A0A">
            <w:pPr>
              <w:rPr>
                <w:rFonts w:ascii="Calibri" w:hAnsi="Calibri" w:cs="Calibri"/>
                <w:color w:val="000000"/>
                <w:sz w:val="20"/>
                <w:szCs w:val="20"/>
              </w:rPr>
            </w:pPr>
          </w:p>
        </w:tc>
        <w:tc>
          <w:tcPr>
            <w:tcW w:w="2409" w:type="dxa"/>
            <w:hideMark/>
          </w:tcPr>
          <w:p w14:paraId="7507114D"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Indicator 6: Number of direct beneficiaries from enhanced health service delivery.</w:t>
            </w:r>
            <w:r>
              <w:rPr>
                <w:rFonts w:ascii="Calibri" w:hAnsi="Calibri" w:cs="Calibri"/>
                <w:color w:val="000000"/>
                <w:sz w:val="20"/>
                <w:szCs w:val="20"/>
              </w:rPr>
              <w:br/>
              <w:t>(AMAT 1.1 Indicator 1: number of direct</w:t>
            </w:r>
            <w:r>
              <w:rPr>
                <w:rFonts w:ascii="Calibri" w:hAnsi="Calibri" w:cs="Calibri"/>
                <w:color w:val="000000"/>
                <w:sz w:val="20"/>
                <w:szCs w:val="20"/>
              </w:rPr>
              <w:br/>
              <w:t>beneficiaries)</w:t>
            </w:r>
          </w:p>
        </w:tc>
        <w:tc>
          <w:tcPr>
            <w:tcW w:w="2410" w:type="dxa"/>
            <w:hideMark/>
          </w:tcPr>
          <w:p w14:paraId="7507114E"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 xml:space="preserve">Health service responds to vulnerability to climate change and health </w:t>
            </w:r>
          </w:p>
        </w:tc>
        <w:tc>
          <w:tcPr>
            <w:tcW w:w="1701" w:type="dxa"/>
            <w:noWrap/>
            <w:vAlign w:val="center"/>
            <w:hideMark/>
          </w:tcPr>
          <w:p w14:paraId="7507114F" w14:textId="77777777" w:rsidR="002B060A" w:rsidRDefault="006040A7" w:rsidP="00C07A0A">
            <w:pPr>
              <w:jc w:val="center"/>
              <w:rPr>
                <w:rFonts w:ascii="Calibri" w:hAnsi="Calibri" w:cs="Calibri"/>
                <w:color w:val="000000"/>
                <w:sz w:val="20"/>
                <w:szCs w:val="20"/>
              </w:rPr>
            </w:pPr>
            <w:r>
              <w:rPr>
                <w:rFonts w:ascii="Calibri" w:hAnsi="Calibri" w:cs="Calibri"/>
                <w:color w:val="000000"/>
                <w:sz w:val="20"/>
                <w:szCs w:val="20"/>
              </w:rPr>
              <w:t>S</w:t>
            </w:r>
          </w:p>
        </w:tc>
        <w:tc>
          <w:tcPr>
            <w:tcW w:w="2552" w:type="dxa"/>
            <w:noWrap/>
            <w:hideMark/>
          </w:tcPr>
          <w:p w14:paraId="75071150"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100,000</w:t>
            </w:r>
          </w:p>
        </w:tc>
        <w:tc>
          <w:tcPr>
            <w:tcW w:w="1492" w:type="dxa"/>
            <w:shd w:val="clear" w:color="auto" w:fill="00B050"/>
            <w:hideMark/>
          </w:tcPr>
          <w:p w14:paraId="75071151" w14:textId="4519557E" w:rsidR="002B060A" w:rsidRDefault="006040A7" w:rsidP="00C07A0A">
            <w:pPr>
              <w:rPr>
                <w:rFonts w:ascii="Calibri" w:hAnsi="Calibri" w:cs="Calibri"/>
                <w:color w:val="FFFFFF"/>
                <w:sz w:val="20"/>
                <w:szCs w:val="20"/>
              </w:rPr>
            </w:pPr>
            <w:r>
              <w:rPr>
                <w:rFonts w:ascii="Calibri" w:hAnsi="Calibri" w:cs="Calibri"/>
                <w:color w:val="FFFFFF" w:themeColor="background1"/>
                <w:sz w:val="20"/>
                <w:szCs w:val="20"/>
              </w:rPr>
              <w:t xml:space="preserve">Achieved - </w:t>
            </w:r>
            <w:r w:rsidR="00F30C92">
              <w:rPr>
                <w:rFonts w:ascii="Calibri" w:hAnsi="Calibri" w:cs="Calibri"/>
                <w:color w:val="FFFFFF" w:themeColor="background1"/>
                <w:sz w:val="20"/>
                <w:szCs w:val="20"/>
              </w:rPr>
              <w:t>H</w:t>
            </w:r>
            <w:r>
              <w:rPr>
                <w:rFonts w:ascii="Calibri" w:hAnsi="Calibri" w:cs="Calibri"/>
                <w:color w:val="FFFFFF" w:themeColor="background1"/>
                <w:sz w:val="20"/>
                <w:szCs w:val="20"/>
              </w:rPr>
              <w:t>S</w:t>
            </w:r>
          </w:p>
        </w:tc>
      </w:tr>
      <w:tr w:rsidR="00CB0E8D" w14:paraId="75071159" w14:textId="77777777" w:rsidTr="001071B4">
        <w:trPr>
          <w:trHeight w:val="3685"/>
        </w:trPr>
        <w:tc>
          <w:tcPr>
            <w:tcW w:w="2689" w:type="dxa"/>
            <w:hideMark/>
          </w:tcPr>
          <w:p w14:paraId="75071153"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Outcome 4.1: Enhanced regional cooperation and knowledge exchange for promoting scale-up and replication of interventions</w:t>
            </w:r>
          </w:p>
        </w:tc>
        <w:tc>
          <w:tcPr>
            <w:tcW w:w="2409" w:type="dxa"/>
            <w:hideMark/>
          </w:tcPr>
          <w:p w14:paraId="75071154"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Indicator 7: Three regional trainings/meetings organized (Percentage of government stakeholders participated in national review meeting on</w:t>
            </w:r>
            <w:r>
              <w:rPr>
                <w:rFonts w:ascii="Calibri" w:hAnsi="Calibri" w:cs="Calibri"/>
                <w:color w:val="000000"/>
                <w:sz w:val="20"/>
                <w:szCs w:val="20"/>
              </w:rPr>
              <w:br/>
              <w:t>CC&amp;H).</w:t>
            </w:r>
          </w:p>
        </w:tc>
        <w:tc>
          <w:tcPr>
            <w:tcW w:w="2410" w:type="dxa"/>
            <w:hideMark/>
          </w:tcPr>
          <w:p w14:paraId="75071155"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 xml:space="preserve">No regional exchange of experiences on climate change and health </w:t>
            </w:r>
          </w:p>
        </w:tc>
        <w:tc>
          <w:tcPr>
            <w:tcW w:w="1701" w:type="dxa"/>
            <w:noWrap/>
            <w:vAlign w:val="center"/>
            <w:hideMark/>
          </w:tcPr>
          <w:p w14:paraId="75071156" w14:textId="77777777" w:rsidR="002B060A" w:rsidRDefault="006040A7" w:rsidP="00C07A0A">
            <w:pPr>
              <w:jc w:val="center"/>
              <w:rPr>
                <w:rFonts w:ascii="Calibri" w:hAnsi="Calibri" w:cs="Calibri"/>
                <w:color w:val="000000"/>
                <w:sz w:val="20"/>
                <w:szCs w:val="20"/>
              </w:rPr>
            </w:pPr>
            <w:r>
              <w:rPr>
                <w:rFonts w:ascii="Calibri" w:hAnsi="Calibri" w:cs="Calibri"/>
                <w:color w:val="000000"/>
                <w:sz w:val="20"/>
                <w:szCs w:val="20"/>
              </w:rPr>
              <w:t>S</w:t>
            </w:r>
          </w:p>
        </w:tc>
        <w:tc>
          <w:tcPr>
            <w:tcW w:w="2552" w:type="dxa"/>
            <w:hideMark/>
          </w:tcPr>
          <w:p w14:paraId="75071157"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3 Regional Meetings on climate change</w:t>
            </w:r>
            <w:r>
              <w:rPr>
                <w:rFonts w:ascii="Calibri" w:hAnsi="Calibri" w:cs="Calibri"/>
                <w:color w:val="000000"/>
                <w:sz w:val="20"/>
                <w:szCs w:val="20"/>
              </w:rPr>
              <w:br/>
              <w:t>and health (building on National</w:t>
            </w:r>
            <w:r>
              <w:rPr>
                <w:rFonts w:ascii="Calibri" w:hAnsi="Calibri" w:cs="Calibri"/>
                <w:color w:val="000000"/>
                <w:sz w:val="20"/>
                <w:szCs w:val="20"/>
              </w:rPr>
              <w:br/>
              <w:t>experiences) for International South-</w:t>
            </w:r>
            <w:r>
              <w:rPr>
                <w:rFonts w:ascii="Calibri" w:hAnsi="Calibri" w:cs="Calibri"/>
                <w:color w:val="000000"/>
                <w:sz w:val="20"/>
                <w:szCs w:val="20"/>
              </w:rPr>
              <w:br/>
              <w:t>South collaboration focused on CCH.</w:t>
            </w:r>
            <w:r>
              <w:rPr>
                <w:rFonts w:ascii="Calibri" w:hAnsi="Calibri" w:cs="Calibri"/>
                <w:color w:val="000000"/>
                <w:sz w:val="20"/>
                <w:szCs w:val="20"/>
              </w:rPr>
              <w:br/>
              <w:t>Reports on Improvements and Challenges will be generated and</w:t>
            </w:r>
            <w:r>
              <w:rPr>
                <w:rFonts w:ascii="Calibri" w:hAnsi="Calibri" w:cs="Calibri"/>
                <w:color w:val="000000"/>
                <w:sz w:val="20"/>
                <w:szCs w:val="20"/>
              </w:rPr>
              <w:br/>
              <w:t>shared within the meeting.</w:t>
            </w:r>
          </w:p>
        </w:tc>
        <w:tc>
          <w:tcPr>
            <w:tcW w:w="1492" w:type="dxa"/>
            <w:shd w:val="clear" w:color="auto" w:fill="00B050"/>
            <w:noWrap/>
            <w:hideMark/>
          </w:tcPr>
          <w:p w14:paraId="75071158" w14:textId="0B2EC36B" w:rsidR="002B060A" w:rsidRDefault="006040A7" w:rsidP="00C07A0A">
            <w:pPr>
              <w:rPr>
                <w:rFonts w:ascii="Calibri" w:hAnsi="Calibri" w:cs="Calibri"/>
                <w:color w:val="000000"/>
                <w:sz w:val="20"/>
                <w:szCs w:val="20"/>
              </w:rPr>
            </w:pPr>
            <w:r>
              <w:rPr>
                <w:rFonts w:ascii="Calibri" w:hAnsi="Calibri" w:cs="Calibri"/>
                <w:color w:val="FFFFFF" w:themeColor="background1"/>
                <w:sz w:val="20"/>
                <w:szCs w:val="20"/>
              </w:rPr>
              <w:t xml:space="preserve">Achieved - </w:t>
            </w:r>
            <w:r w:rsidR="00F30C92">
              <w:rPr>
                <w:rFonts w:ascii="Calibri" w:hAnsi="Calibri" w:cs="Calibri"/>
                <w:color w:val="FFFFFF" w:themeColor="background1"/>
                <w:sz w:val="20"/>
                <w:szCs w:val="20"/>
              </w:rPr>
              <w:t>H</w:t>
            </w:r>
            <w:r>
              <w:rPr>
                <w:rFonts w:ascii="Calibri" w:hAnsi="Calibri" w:cs="Calibri"/>
                <w:color w:val="FFFFFF" w:themeColor="background1"/>
                <w:sz w:val="20"/>
                <w:szCs w:val="20"/>
              </w:rPr>
              <w:t>S</w:t>
            </w:r>
          </w:p>
        </w:tc>
      </w:tr>
      <w:tr w:rsidR="00CB0E8D" w14:paraId="75071160" w14:textId="77777777" w:rsidTr="001071B4">
        <w:trPr>
          <w:trHeight w:val="1134"/>
        </w:trPr>
        <w:tc>
          <w:tcPr>
            <w:tcW w:w="2689" w:type="dxa"/>
            <w:hideMark/>
          </w:tcPr>
          <w:p w14:paraId="7507115A"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lastRenderedPageBreak/>
              <w:t>Outcome 4.2 HNAP are effectively integrated into ongoing NAP processes</w:t>
            </w:r>
          </w:p>
        </w:tc>
        <w:tc>
          <w:tcPr>
            <w:tcW w:w="2409" w:type="dxa"/>
            <w:hideMark/>
          </w:tcPr>
          <w:p w14:paraId="7507115B"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Indicator 8: HNAP informed by economic analyses to support integration into the</w:t>
            </w:r>
            <w:r>
              <w:rPr>
                <w:rFonts w:ascii="Calibri" w:hAnsi="Calibri" w:cs="Calibri"/>
                <w:color w:val="000000"/>
                <w:sz w:val="20"/>
                <w:szCs w:val="20"/>
              </w:rPr>
              <w:br/>
              <w:t>NAP.</w:t>
            </w:r>
          </w:p>
        </w:tc>
        <w:tc>
          <w:tcPr>
            <w:tcW w:w="2410" w:type="dxa"/>
            <w:hideMark/>
          </w:tcPr>
          <w:p w14:paraId="7507115C"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 xml:space="preserve">Economic analyses on climate change and health not available </w:t>
            </w:r>
          </w:p>
        </w:tc>
        <w:tc>
          <w:tcPr>
            <w:tcW w:w="1701" w:type="dxa"/>
            <w:noWrap/>
            <w:vAlign w:val="center"/>
            <w:hideMark/>
          </w:tcPr>
          <w:p w14:paraId="7507115D" w14:textId="392910D4" w:rsidR="002B060A" w:rsidRDefault="006040A7" w:rsidP="00C07A0A">
            <w:pPr>
              <w:jc w:val="center"/>
              <w:rPr>
                <w:rFonts w:ascii="Calibri" w:hAnsi="Calibri" w:cs="Calibri"/>
                <w:color w:val="000000"/>
                <w:sz w:val="20"/>
                <w:szCs w:val="20"/>
              </w:rPr>
            </w:pPr>
            <w:r>
              <w:rPr>
                <w:rFonts w:ascii="Calibri" w:hAnsi="Calibri" w:cs="Calibri"/>
                <w:color w:val="000000"/>
                <w:sz w:val="20"/>
                <w:szCs w:val="20"/>
              </w:rPr>
              <w:t>M</w:t>
            </w:r>
            <w:r w:rsidR="004079A2">
              <w:rPr>
                <w:rFonts w:ascii="Calibri" w:hAnsi="Calibri" w:cs="Calibri"/>
                <w:color w:val="000000"/>
                <w:sz w:val="20"/>
                <w:szCs w:val="20"/>
              </w:rPr>
              <w:t>S</w:t>
            </w:r>
          </w:p>
        </w:tc>
        <w:tc>
          <w:tcPr>
            <w:tcW w:w="2552" w:type="dxa"/>
            <w:hideMark/>
          </w:tcPr>
          <w:p w14:paraId="7507115E" w14:textId="77777777" w:rsidR="002B060A" w:rsidRDefault="006040A7" w:rsidP="00C07A0A">
            <w:pPr>
              <w:rPr>
                <w:rFonts w:ascii="Calibri" w:hAnsi="Calibri" w:cs="Calibri"/>
                <w:color w:val="000000"/>
                <w:sz w:val="20"/>
                <w:szCs w:val="20"/>
              </w:rPr>
            </w:pPr>
            <w:r>
              <w:rPr>
                <w:rFonts w:ascii="Calibri" w:hAnsi="Calibri" w:cs="Calibri"/>
                <w:color w:val="000000"/>
                <w:sz w:val="20"/>
                <w:szCs w:val="20"/>
              </w:rPr>
              <w:t xml:space="preserve">6 countries receive support to develop </w:t>
            </w:r>
            <w:r>
              <w:rPr>
                <w:rFonts w:ascii="Calibri" w:hAnsi="Calibri" w:cs="Calibri"/>
                <w:color w:val="000000"/>
                <w:sz w:val="20"/>
                <w:szCs w:val="20"/>
              </w:rPr>
              <w:br/>
              <w:t>climate change and health economic</w:t>
            </w:r>
            <w:r>
              <w:rPr>
                <w:rFonts w:ascii="Calibri" w:hAnsi="Calibri" w:cs="Calibri"/>
                <w:color w:val="000000"/>
                <w:sz w:val="20"/>
                <w:szCs w:val="20"/>
              </w:rPr>
              <w:br/>
              <w:t>analyses.</w:t>
            </w:r>
          </w:p>
        </w:tc>
        <w:tc>
          <w:tcPr>
            <w:tcW w:w="1492" w:type="dxa"/>
            <w:shd w:val="clear" w:color="auto" w:fill="FFFF00"/>
            <w:noWrap/>
            <w:hideMark/>
          </w:tcPr>
          <w:p w14:paraId="7507115F" w14:textId="75150867" w:rsidR="002B060A" w:rsidRDefault="006040A7" w:rsidP="00C07A0A">
            <w:pPr>
              <w:rPr>
                <w:rFonts w:ascii="Calibri" w:hAnsi="Calibri" w:cs="Calibri"/>
                <w:color w:val="000000"/>
                <w:sz w:val="20"/>
                <w:szCs w:val="20"/>
              </w:rPr>
            </w:pPr>
            <w:r>
              <w:rPr>
                <w:rFonts w:ascii="Calibri" w:hAnsi="Calibri" w:cs="Calibri"/>
                <w:color w:val="000000" w:themeColor="text1"/>
                <w:sz w:val="20"/>
                <w:szCs w:val="20"/>
              </w:rPr>
              <w:t>On track - M</w:t>
            </w:r>
            <w:r w:rsidR="007805B1">
              <w:rPr>
                <w:rFonts w:ascii="Calibri" w:hAnsi="Calibri" w:cs="Calibri"/>
                <w:color w:val="000000" w:themeColor="text1"/>
                <w:sz w:val="20"/>
                <w:szCs w:val="20"/>
              </w:rPr>
              <w:t>S</w:t>
            </w:r>
          </w:p>
        </w:tc>
      </w:tr>
      <w:tr w:rsidR="00C93626" w14:paraId="75071167" w14:textId="77777777" w:rsidTr="003C263B">
        <w:trPr>
          <w:trHeight w:val="500"/>
        </w:trPr>
        <w:tc>
          <w:tcPr>
            <w:tcW w:w="2689" w:type="dxa"/>
            <w:hideMark/>
          </w:tcPr>
          <w:p w14:paraId="75071161" w14:textId="77777777" w:rsidR="002B060A" w:rsidRDefault="002B060A" w:rsidP="00C07A0A">
            <w:pPr>
              <w:rPr>
                <w:rFonts w:ascii="Calibri" w:hAnsi="Calibri" w:cs="Calibri"/>
                <w:color w:val="000000"/>
                <w:sz w:val="20"/>
                <w:szCs w:val="20"/>
              </w:rPr>
            </w:pPr>
          </w:p>
        </w:tc>
        <w:tc>
          <w:tcPr>
            <w:tcW w:w="2409" w:type="dxa"/>
            <w:shd w:val="clear" w:color="auto" w:fill="00B050"/>
            <w:noWrap/>
            <w:hideMark/>
          </w:tcPr>
          <w:p w14:paraId="75071162" w14:textId="0C09FFC0" w:rsidR="002B060A" w:rsidRDefault="006040A7" w:rsidP="00C07A0A">
            <w:pPr>
              <w:rPr>
                <w:rFonts w:ascii="Calibri" w:hAnsi="Calibri" w:cs="Calibri"/>
                <w:color w:val="000000"/>
                <w:sz w:val="20"/>
                <w:szCs w:val="20"/>
              </w:rPr>
            </w:pPr>
            <w:r>
              <w:rPr>
                <w:rFonts w:ascii="Calibri" w:hAnsi="Calibri" w:cs="Calibri"/>
                <w:color w:val="000000" w:themeColor="text1"/>
                <w:sz w:val="20"/>
                <w:szCs w:val="20"/>
              </w:rPr>
              <w:t xml:space="preserve">Green = </w:t>
            </w:r>
            <w:r w:rsidR="00F55EE5">
              <w:rPr>
                <w:rFonts w:ascii="Calibri" w:hAnsi="Calibri" w:cs="Calibri"/>
                <w:color w:val="000000" w:themeColor="text1"/>
                <w:sz w:val="20"/>
                <w:szCs w:val="20"/>
              </w:rPr>
              <w:t>achieved</w:t>
            </w:r>
            <w:r>
              <w:rPr>
                <w:rFonts w:ascii="Calibri" w:hAnsi="Calibri" w:cs="Calibri"/>
                <w:color w:val="000000" w:themeColor="text1"/>
                <w:sz w:val="20"/>
                <w:szCs w:val="20"/>
              </w:rPr>
              <w:t xml:space="preserve"> </w:t>
            </w:r>
          </w:p>
        </w:tc>
        <w:tc>
          <w:tcPr>
            <w:tcW w:w="2410" w:type="dxa"/>
            <w:shd w:val="clear" w:color="auto" w:fill="FFFF00"/>
            <w:noWrap/>
            <w:hideMark/>
          </w:tcPr>
          <w:p w14:paraId="75071163" w14:textId="77777777" w:rsidR="002B060A" w:rsidRDefault="006040A7" w:rsidP="00C07A0A">
            <w:pPr>
              <w:rPr>
                <w:rFonts w:ascii="Calibri" w:hAnsi="Calibri" w:cs="Calibri"/>
                <w:color w:val="000000"/>
                <w:sz w:val="20"/>
                <w:szCs w:val="20"/>
              </w:rPr>
            </w:pPr>
            <w:r>
              <w:rPr>
                <w:rFonts w:ascii="Calibri" w:hAnsi="Calibri" w:cs="Calibri"/>
                <w:color w:val="000000" w:themeColor="text1"/>
                <w:sz w:val="20"/>
                <w:szCs w:val="20"/>
              </w:rPr>
              <w:t xml:space="preserve">Yellow = On target to be achieved </w:t>
            </w:r>
          </w:p>
        </w:tc>
        <w:tc>
          <w:tcPr>
            <w:tcW w:w="1701" w:type="dxa"/>
            <w:shd w:val="clear" w:color="auto" w:fill="FF0000"/>
            <w:noWrap/>
            <w:vAlign w:val="bottom"/>
            <w:hideMark/>
          </w:tcPr>
          <w:p w14:paraId="75071164" w14:textId="77777777" w:rsidR="002B060A" w:rsidRDefault="006040A7" w:rsidP="00C07A0A">
            <w:pPr>
              <w:rPr>
                <w:rFonts w:ascii="Calibri" w:hAnsi="Calibri" w:cs="Calibri"/>
                <w:color w:val="000000"/>
                <w:sz w:val="20"/>
                <w:szCs w:val="20"/>
              </w:rPr>
            </w:pPr>
            <w:r>
              <w:rPr>
                <w:rFonts w:ascii="Calibri" w:hAnsi="Calibri" w:cs="Calibri"/>
                <w:color w:val="000000" w:themeColor="text1"/>
                <w:sz w:val="20"/>
                <w:szCs w:val="20"/>
              </w:rPr>
              <w:t>Red = not on target to be achieved</w:t>
            </w:r>
          </w:p>
        </w:tc>
        <w:tc>
          <w:tcPr>
            <w:tcW w:w="2552" w:type="dxa"/>
            <w:noWrap/>
            <w:vAlign w:val="bottom"/>
            <w:hideMark/>
          </w:tcPr>
          <w:p w14:paraId="75071165" w14:textId="77777777" w:rsidR="002B060A" w:rsidRDefault="002B060A" w:rsidP="00C07A0A">
            <w:pPr>
              <w:rPr>
                <w:rFonts w:ascii="Calibri" w:hAnsi="Calibri" w:cs="Calibri"/>
                <w:sz w:val="20"/>
                <w:szCs w:val="20"/>
              </w:rPr>
            </w:pPr>
          </w:p>
        </w:tc>
        <w:tc>
          <w:tcPr>
            <w:tcW w:w="1492" w:type="dxa"/>
            <w:noWrap/>
            <w:vAlign w:val="bottom"/>
            <w:hideMark/>
          </w:tcPr>
          <w:p w14:paraId="75071166" w14:textId="77777777" w:rsidR="002B060A" w:rsidRDefault="002B060A" w:rsidP="00C07A0A">
            <w:pPr>
              <w:rPr>
                <w:rFonts w:ascii="Calibri" w:hAnsi="Calibri" w:cs="Calibri"/>
                <w:sz w:val="20"/>
                <w:szCs w:val="20"/>
              </w:rPr>
            </w:pPr>
          </w:p>
        </w:tc>
      </w:tr>
    </w:tbl>
    <w:p w14:paraId="75071168" w14:textId="77777777" w:rsidR="002B060A" w:rsidRDefault="002B060A" w:rsidP="00C07A0A">
      <w:pPr>
        <w:pStyle w:val="paragraph"/>
        <w:suppressAutoHyphens/>
        <w:spacing w:before="0" w:beforeAutospacing="0" w:after="0" w:afterAutospacing="0"/>
        <w:textAlignment w:val="baseline"/>
        <w:rPr>
          <w:rFonts w:ascii="Calibri" w:hAnsi="Calibri" w:cs="Calibri"/>
          <w:sz w:val="18"/>
          <w:szCs w:val="18"/>
        </w:rPr>
      </w:pPr>
    </w:p>
    <w:p w14:paraId="75071169" w14:textId="77777777" w:rsidR="002B060A" w:rsidRDefault="002B060A" w:rsidP="00C07A0A">
      <w:pPr>
        <w:pStyle w:val="paragraph"/>
        <w:suppressAutoHyphens/>
        <w:spacing w:before="0" w:beforeAutospacing="0" w:after="0" w:afterAutospacing="0"/>
        <w:textAlignment w:val="baseline"/>
        <w:rPr>
          <w:rFonts w:ascii="Calibri" w:hAnsi="Calibri" w:cs="Calibri"/>
          <w:sz w:val="18"/>
          <w:szCs w:val="18"/>
        </w:rPr>
      </w:pPr>
    </w:p>
    <w:p w14:paraId="7507116A" w14:textId="77777777" w:rsidR="002B060A" w:rsidRDefault="002B060A" w:rsidP="00C07A0A">
      <w:pPr>
        <w:pStyle w:val="paragraph"/>
        <w:suppressAutoHyphens/>
        <w:spacing w:before="0" w:beforeAutospacing="0" w:after="0" w:afterAutospacing="0"/>
        <w:textAlignment w:val="baseline"/>
        <w:rPr>
          <w:rFonts w:ascii="Calibri" w:hAnsi="Calibri" w:cs="Calibri"/>
          <w:sz w:val="18"/>
          <w:szCs w:val="18"/>
        </w:rPr>
      </w:pPr>
    </w:p>
    <w:p w14:paraId="7507116B" w14:textId="77777777" w:rsidR="002B060A" w:rsidRDefault="002B060A" w:rsidP="00C07A0A">
      <w:pPr>
        <w:pStyle w:val="paragraph"/>
        <w:suppressAutoHyphens/>
        <w:spacing w:before="0" w:beforeAutospacing="0" w:after="0" w:afterAutospacing="0"/>
        <w:textAlignment w:val="baseline"/>
        <w:rPr>
          <w:rFonts w:ascii="Calibri" w:hAnsi="Calibri" w:cs="Calibri"/>
        </w:rPr>
      </w:pPr>
    </w:p>
    <w:p w14:paraId="7507116C" w14:textId="77777777" w:rsidR="002B060A" w:rsidRDefault="006040A7" w:rsidP="00C07A0A">
      <w:pPr>
        <w:rPr>
          <w:rFonts w:ascii="Calibri" w:eastAsiaTheme="majorEastAsia" w:hAnsi="Calibri" w:cs="Calibri"/>
          <w:color w:val="0F4761" w:themeColor="accent1" w:themeShade="BF"/>
          <w:kern w:val="2"/>
          <w:sz w:val="32"/>
          <w:szCs w:val="32"/>
          <w:lang w:eastAsia="en-US"/>
          <w14:ligatures w14:val="standardContextual"/>
        </w:rPr>
      </w:pPr>
      <w:r w:rsidRPr="00CB0E8D">
        <w:rPr>
          <w:rFonts w:ascii="Calibri" w:hAnsi="Calibri"/>
        </w:rPr>
        <w:br w:type="page"/>
      </w:r>
    </w:p>
    <w:p w14:paraId="7507116D" w14:textId="77777777" w:rsidR="002B060A" w:rsidRDefault="006040A7" w:rsidP="00C07A0A">
      <w:pPr>
        <w:pStyle w:val="Heading2"/>
        <w:rPr>
          <w:rFonts w:ascii="Calibri" w:hAnsi="Calibri" w:cs="Calibri"/>
        </w:rPr>
      </w:pPr>
      <w:bookmarkStart w:id="38" w:name="_Toc173429989"/>
      <w:r>
        <w:rPr>
          <w:rFonts w:ascii="Calibri" w:hAnsi="Calibri" w:cs="Calibri"/>
        </w:rPr>
        <w:lastRenderedPageBreak/>
        <w:t>Appendix 2: Key Evaluation Questions and Evaluation Matrix</w:t>
      </w:r>
      <w:bookmarkEnd w:id="38"/>
    </w:p>
    <w:p w14:paraId="7507116E" w14:textId="77777777" w:rsidR="002B060A" w:rsidRDefault="002B060A" w:rsidP="00C07A0A">
      <w:pPr>
        <w:pStyle w:val="paragraph"/>
        <w:suppressAutoHyphens/>
        <w:spacing w:before="0" w:beforeAutospacing="0" w:after="0" w:afterAutospacing="0"/>
        <w:textAlignment w:val="baseline"/>
        <w:rPr>
          <w:rFonts w:ascii="Calibri" w:hAnsi="Calibri" w:cs="Calibri"/>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46"/>
        <w:gridCol w:w="3231"/>
        <w:gridCol w:w="3342"/>
        <w:gridCol w:w="3384"/>
        <w:gridCol w:w="39"/>
        <w:gridCol w:w="191"/>
      </w:tblGrid>
      <w:tr w:rsidR="00CB0E8D" w14:paraId="75071174" w14:textId="77777777" w:rsidTr="001071B4">
        <w:trPr>
          <w:trHeight w:val="510"/>
        </w:trPr>
        <w:tc>
          <w:tcPr>
            <w:tcW w:w="3746" w:type="dxa"/>
            <w:shd w:val="clear" w:color="auto" w:fill="000000" w:themeFill="text1"/>
            <w:tcMar>
              <w:left w:w="105" w:type="dxa"/>
              <w:right w:w="105" w:type="dxa"/>
            </w:tcMar>
            <w:vAlign w:val="center"/>
          </w:tcPr>
          <w:p w14:paraId="7507116F" w14:textId="77777777" w:rsidR="002B060A" w:rsidRDefault="006040A7" w:rsidP="00C07A0A">
            <w:pPr>
              <w:jc w:val="center"/>
              <w:rPr>
                <w:rFonts w:ascii="Calibri" w:eastAsia="Calibri" w:hAnsi="Calibri" w:cs="Calibri"/>
                <w:sz w:val="22"/>
                <w:szCs w:val="22"/>
              </w:rPr>
            </w:pPr>
            <w:r>
              <w:rPr>
                <w:rFonts w:ascii="Calibri" w:eastAsia="Calibri" w:hAnsi="Calibri" w:cs="Calibri"/>
                <w:b/>
                <w:bCs/>
                <w:sz w:val="22"/>
                <w:szCs w:val="22"/>
              </w:rPr>
              <w:t>Evaluative Criteria Questions</w:t>
            </w:r>
          </w:p>
        </w:tc>
        <w:tc>
          <w:tcPr>
            <w:tcW w:w="3231" w:type="dxa"/>
            <w:shd w:val="clear" w:color="auto" w:fill="000000" w:themeFill="text1"/>
            <w:tcMar>
              <w:left w:w="105" w:type="dxa"/>
              <w:right w:w="105" w:type="dxa"/>
            </w:tcMar>
            <w:vAlign w:val="center"/>
          </w:tcPr>
          <w:p w14:paraId="75071170" w14:textId="77777777" w:rsidR="002B060A" w:rsidRDefault="006040A7" w:rsidP="00C07A0A">
            <w:pPr>
              <w:jc w:val="center"/>
              <w:rPr>
                <w:rFonts w:ascii="Calibri" w:eastAsia="Calibri" w:hAnsi="Calibri" w:cs="Calibri"/>
                <w:sz w:val="22"/>
                <w:szCs w:val="22"/>
              </w:rPr>
            </w:pPr>
            <w:r>
              <w:rPr>
                <w:rFonts w:ascii="Calibri" w:eastAsia="Calibri" w:hAnsi="Calibri" w:cs="Calibri"/>
                <w:b/>
                <w:bCs/>
                <w:sz w:val="22"/>
                <w:szCs w:val="22"/>
              </w:rPr>
              <w:t>Indicators</w:t>
            </w:r>
          </w:p>
        </w:tc>
        <w:tc>
          <w:tcPr>
            <w:tcW w:w="3342" w:type="dxa"/>
            <w:shd w:val="clear" w:color="auto" w:fill="000000" w:themeFill="text1"/>
            <w:tcMar>
              <w:left w:w="105" w:type="dxa"/>
              <w:right w:w="105" w:type="dxa"/>
            </w:tcMar>
            <w:vAlign w:val="center"/>
          </w:tcPr>
          <w:p w14:paraId="75071171" w14:textId="77777777" w:rsidR="002B060A" w:rsidRDefault="006040A7" w:rsidP="00C07A0A">
            <w:pPr>
              <w:jc w:val="center"/>
              <w:rPr>
                <w:rFonts w:ascii="Calibri" w:eastAsia="Calibri" w:hAnsi="Calibri" w:cs="Calibri"/>
                <w:sz w:val="22"/>
                <w:szCs w:val="22"/>
              </w:rPr>
            </w:pPr>
            <w:r>
              <w:rPr>
                <w:rFonts w:ascii="Calibri" w:eastAsia="Calibri" w:hAnsi="Calibri" w:cs="Calibri"/>
                <w:b/>
                <w:bCs/>
                <w:sz w:val="22"/>
                <w:szCs w:val="22"/>
              </w:rPr>
              <w:t>Verification Sources</w:t>
            </w:r>
          </w:p>
        </w:tc>
        <w:tc>
          <w:tcPr>
            <w:tcW w:w="3384" w:type="dxa"/>
            <w:shd w:val="clear" w:color="auto" w:fill="000000" w:themeFill="text1"/>
            <w:tcMar>
              <w:left w:w="105" w:type="dxa"/>
              <w:right w:w="105" w:type="dxa"/>
            </w:tcMar>
            <w:vAlign w:val="center"/>
          </w:tcPr>
          <w:p w14:paraId="75071172" w14:textId="77777777" w:rsidR="002B060A" w:rsidRDefault="006040A7" w:rsidP="00C07A0A">
            <w:pPr>
              <w:jc w:val="center"/>
              <w:rPr>
                <w:rFonts w:ascii="Calibri" w:eastAsia="Calibri" w:hAnsi="Calibri" w:cs="Calibri"/>
                <w:sz w:val="22"/>
                <w:szCs w:val="22"/>
              </w:rPr>
            </w:pPr>
            <w:r>
              <w:rPr>
                <w:rFonts w:ascii="Calibri" w:eastAsia="Calibri" w:hAnsi="Calibri" w:cs="Calibri"/>
                <w:b/>
                <w:bCs/>
                <w:sz w:val="22"/>
                <w:szCs w:val="22"/>
              </w:rPr>
              <w:t>Methods</w:t>
            </w:r>
          </w:p>
        </w:tc>
        <w:tc>
          <w:tcPr>
            <w:tcW w:w="230" w:type="dxa"/>
            <w:gridSpan w:val="2"/>
            <w:tcBorders>
              <w:top w:val="nil"/>
              <w:bottom w:val="nil"/>
              <w:right w:val="nil"/>
            </w:tcBorders>
            <w:tcMar>
              <w:left w:w="105" w:type="dxa"/>
              <w:right w:w="105" w:type="dxa"/>
            </w:tcMar>
            <w:vAlign w:val="center"/>
          </w:tcPr>
          <w:p w14:paraId="75071173" w14:textId="77777777" w:rsidR="002B060A" w:rsidRDefault="002B060A" w:rsidP="00C07A0A">
            <w:pPr>
              <w:spacing w:after="120"/>
              <w:rPr>
                <w:rFonts w:ascii="Calibri" w:eastAsia="Calibri" w:hAnsi="Calibri" w:cs="Calibri"/>
                <w:sz w:val="20"/>
                <w:szCs w:val="20"/>
              </w:rPr>
            </w:pPr>
          </w:p>
        </w:tc>
      </w:tr>
      <w:tr w:rsidR="00C93626" w14:paraId="75071176" w14:textId="77777777" w:rsidTr="001071B4">
        <w:trPr>
          <w:gridAfter w:val="1"/>
          <w:wAfter w:w="191" w:type="dxa"/>
          <w:trHeight w:val="540"/>
        </w:trPr>
        <w:tc>
          <w:tcPr>
            <w:tcW w:w="13742" w:type="dxa"/>
            <w:gridSpan w:val="5"/>
            <w:shd w:val="clear" w:color="auto" w:fill="D8EAEF"/>
            <w:tcMar>
              <w:left w:w="105" w:type="dxa"/>
              <w:right w:w="105" w:type="dxa"/>
            </w:tcMar>
            <w:vAlign w:val="center"/>
          </w:tcPr>
          <w:p w14:paraId="75071175" w14:textId="77777777" w:rsidR="002B060A" w:rsidRDefault="006040A7" w:rsidP="00C07A0A">
            <w:pPr>
              <w:rPr>
                <w:rFonts w:ascii="Calibri" w:eastAsia="Calibri" w:hAnsi="Calibri" w:cs="Calibri"/>
                <w:sz w:val="22"/>
                <w:szCs w:val="22"/>
              </w:rPr>
            </w:pPr>
            <w:r>
              <w:rPr>
                <w:rFonts w:ascii="Calibri" w:eastAsia="Calibri" w:hAnsi="Calibri" w:cs="Calibri"/>
                <w:b/>
                <w:bCs/>
                <w:sz w:val="22"/>
                <w:szCs w:val="22"/>
              </w:rPr>
              <w:t xml:space="preserve">Overall progress: </w:t>
            </w:r>
            <w:r>
              <w:rPr>
                <w:rFonts w:ascii="Calibri" w:eastAsia="Calibri" w:hAnsi="Calibri" w:cs="Calibri"/>
                <w:sz w:val="22"/>
                <w:szCs w:val="22"/>
              </w:rPr>
              <w:t xml:space="preserve">To what extent has the project achieved its expected objectives and outcomes? </w:t>
            </w:r>
          </w:p>
        </w:tc>
      </w:tr>
      <w:tr w:rsidR="00C93626" w14:paraId="7507117F" w14:textId="77777777" w:rsidTr="001071B4">
        <w:trPr>
          <w:trHeight w:val="840"/>
        </w:trPr>
        <w:tc>
          <w:tcPr>
            <w:tcW w:w="3746" w:type="dxa"/>
            <w:tcMar>
              <w:left w:w="105" w:type="dxa"/>
              <w:right w:w="105" w:type="dxa"/>
            </w:tcMar>
            <w:vAlign w:val="center"/>
          </w:tcPr>
          <w:p w14:paraId="75071177"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To what extent has the project achieved its overall objectives and outcomes at regional and national levels?</w:t>
            </w:r>
          </w:p>
        </w:tc>
        <w:tc>
          <w:tcPr>
            <w:tcW w:w="3231" w:type="dxa"/>
            <w:tcMar>
              <w:left w:w="105" w:type="dxa"/>
              <w:right w:w="105" w:type="dxa"/>
            </w:tcMar>
            <w:vAlign w:val="center"/>
          </w:tcPr>
          <w:p w14:paraId="75071178"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Completion of project activities versus milestones and targets ( outcomes achieved or on-track to be achieved) against Program Results Rating Scale (Appendix 2) </w:t>
            </w:r>
          </w:p>
          <w:p w14:paraId="75071179" w14:textId="77777777" w:rsidR="002B060A" w:rsidRDefault="002B060A" w:rsidP="00C07A0A">
            <w:pPr>
              <w:rPr>
                <w:rFonts w:ascii="Calibri" w:eastAsia="Calibri" w:hAnsi="Calibri" w:cs="Calibri"/>
                <w:sz w:val="22"/>
                <w:szCs w:val="22"/>
              </w:rPr>
            </w:pPr>
          </w:p>
        </w:tc>
        <w:tc>
          <w:tcPr>
            <w:tcW w:w="3342" w:type="dxa"/>
            <w:tcMar>
              <w:left w:w="105" w:type="dxa"/>
              <w:right w:w="105" w:type="dxa"/>
            </w:tcMar>
            <w:vAlign w:val="center"/>
          </w:tcPr>
          <w:p w14:paraId="7507117A"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Project documentation </w:t>
            </w:r>
          </w:p>
          <w:p w14:paraId="7507117B"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Project results/output data</w:t>
            </w:r>
          </w:p>
        </w:tc>
        <w:tc>
          <w:tcPr>
            <w:tcW w:w="3384" w:type="dxa"/>
            <w:tcMar>
              <w:left w:w="105" w:type="dxa"/>
              <w:right w:w="105" w:type="dxa"/>
            </w:tcMar>
            <w:vAlign w:val="center"/>
          </w:tcPr>
          <w:p w14:paraId="7507117C"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7D"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17E" w14:textId="77777777" w:rsidR="002B060A" w:rsidRDefault="002B060A" w:rsidP="00C07A0A">
            <w:pPr>
              <w:spacing w:after="120"/>
              <w:rPr>
                <w:rFonts w:ascii="Calibri" w:eastAsia="Calibri" w:hAnsi="Calibri" w:cs="Calibri"/>
                <w:sz w:val="20"/>
                <w:szCs w:val="20"/>
              </w:rPr>
            </w:pPr>
          </w:p>
        </w:tc>
      </w:tr>
      <w:tr w:rsidR="00C93626" w14:paraId="75071189" w14:textId="77777777" w:rsidTr="001071B4">
        <w:trPr>
          <w:trHeight w:val="885"/>
        </w:trPr>
        <w:tc>
          <w:tcPr>
            <w:tcW w:w="3746" w:type="dxa"/>
            <w:tcMar>
              <w:left w:w="105" w:type="dxa"/>
              <w:right w:w="105" w:type="dxa"/>
            </w:tcMar>
            <w:vAlign w:val="center"/>
          </w:tcPr>
          <w:p w14:paraId="75071180"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What were the main barriers affecting the project’s ability to achieve its end-of-project results (outcomes and outputs)?</w:t>
            </w:r>
          </w:p>
        </w:tc>
        <w:tc>
          <w:tcPr>
            <w:tcW w:w="3231" w:type="dxa"/>
            <w:tcMar>
              <w:left w:w="105" w:type="dxa"/>
              <w:right w:w="105" w:type="dxa"/>
            </w:tcMar>
            <w:vAlign w:val="center"/>
          </w:tcPr>
          <w:p w14:paraId="75071181"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Identified implementation barriers or obstacles </w:t>
            </w:r>
          </w:p>
          <w:p w14:paraId="75071182" w14:textId="77777777" w:rsidR="002B060A" w:rsidRDefault="002B060A" w:rsidP="00C07A0A">
            <w:pPr>
              <w:rPr>
                <w:rFonts w:ascii="Calibri" w:eastAsia="Calibri" w:hAnsi="Calibri" w:cs="Calibri"/>
                <w:sz w:val="22"/>
                <w:szCs w:val="22"/>
              </w:rPr>
            </w:pPr>
          </w:p>
        </w:tc>
        <w:tc>
          <w:tcPr>
            <w:tcW w:w="3342" w:type="dxa"/>
            <w:tcMar>
              <w:left w:w="105" w:type="dxa"/>
              <w:right w:w="105" w:type="dxa"/>
            </w:tcMar>
            <w:vAlign w:val="center"/>
          </w:tcPr>
          <w:p w14:paraId="75071183"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Project documentation </w:t>
            </w:r>
          </w:p>
          <w:p w14:paraId="75071184"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project team</w:t>
            </w:r>
          </w:p>
          <w:p w14:paraId="75071185"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MTR</w:t>
            </w:r>
          </w:p>
        </w:tc>
        <w:tc>
          <w:tcPr>
            <w:tcW w:w="3384" w:type="dxa"/>
            <w:tcMar>
              <w:left w:w="105" w:type="dxa"/>
              <w:right w:w="105" w:type="dxa"/>
            </w:tcMar>
            <w:vAlign w:val="center"/>
          </w:tcPr>
          <w:p w14:paraId="75071186"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87"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188" w14:textId="77777777" w:rsidR="002B060A" w:rsidRDefault="002B060A" w:rsidP="00C07A0A">
            <w:pPr>
              <w:spacing w:after="120"/>
              <w:rPr>
                <w:rFonts w:ascii="Calibri" w:eastAsia="Calibri" w:hAnsi="Calibri" w:cs="Calibri"/>
                <w:sz w:val="20"/>
                <w:szCs w:val="20"/>
              </w:rPr>
            </w:pPr>
          </w:p>
        </w:tc>
      </w:tr>
      <w:tr w:rsidR="00C93626" w14:paraId="75071194" w14:textId="77777777" w:rsidTr="001071B4">
        <w:trPr>
          <w:trHeight w:val="255"/>
        </w:trPr>
        <w:tc>
          <w:tcPr>
            <w:tcW w:w="3746" w:type="dxa"/>
            <w:tcMar>
              <w:left w:w="105" w:type="dxa"/>
              <w:right w:w="105" w:type="dxa"/>
            </w:tcMar>
            <w:vAlign w:val="center"/>
          </w:tcPr>
          <w:p w14:paraId="7507118A"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What were the main successes and achievements of the project against its end-of-project results (outcomes and outputs)?</w:t>
            </w:r>
          </w:p>
        </w:tc>
        <w:tc>
          <w:tcPr>
            <w:tcW w:w="3231" w:type="dxa"/>
            <w:tcMar>
              <w:left w:w="105" w:type="dxa"/>
              <w:right w:w="105" w:type="dxa"/>
            </w:tcMar>
            <w:vAlign w:val="center"/>
          </w:tcPr>
          <w:p w14:paraId="7507118B"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Completion of project activities (overall results)</w:t>
            </w:r>
          </w:p>
          <w:p w14:paraId="7507118C" w14:textId="77777777" w:rsidR="002B060A" w:rsidRDefault="002B060A" w:rsidP="00C07A0A">
            <w:pPr>
              <w:rPr>
                <w:rFonts w:ascii="Calibri" w:eastAsia="Calibri" w:hAnsi="Calibri" w:cs="Calibri"/>
                <w:sz w:val="22"/>
                <w:szCs w:val="22"/>
              </w:rPr>
            </w:pPr>
          </w:p>
          <w:p w14:paraId="7507118D"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Identified implementation successes or achievements</w:t>
            </w:r>
          </w:p>
        </w:tc>
        <w:tc>
          <w:tcPr>
            <w:tcW w:w="3342" w:type="dxa"/>
            <w:tcMar>
              <w:left w:w="105" w:type="dxa"/>
              <w:right w:w="105" w:type="dxa"/>
            </w:tcMar>
            <w:vAlign w:val="center"/>
          </w:tcPr>
          <w:p w14:paraId="7507118E"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Project documentation </w:t>
            </w:r>
          </w:p>
          <w:p w14:paraId="7507118F"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MTR</w:t>
            </w:r>
          </w:p>
          <w:p w14:paraId="75071190"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National stakeholders </w:t>
            </w:r>
          </w:p>
        </w:tc>
        <w:tc>
          <w:tcPr>
            <w:tcW w:w="3384" w:type="dxa"/>
            <w:tcMar>
              <w:left w:w="105" w:type="dxa"/>
              <w:right w:w="105" w:type="dxa"/>
            </w:tcMar>
            <w:vAlign w:val="center"/>
          </w:tcPr>
          <w:p w14:paraId="75071191"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92"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193" w14:textId="77777777" w:rsidR="002B060A" w:rsidRDefault="002B060A" w:rsidP="00C07A0A">
            <w:pPr>
              <w:spacing w:after="120"/>
              <w:rPr>
                <w:rFonts w:ascii="Calibri" w:eastAsia="Calibri" w:hAnsi="Calibri" w:cs="Calibri"/>
                <w:sz w:val="20"/>
                <w:szCs w:val="20"/>
              </w:rPr>
            </w:pPr>
          </w:p>
        </w:tc>
      </w:tr>
      <w:tr w:rsidR="00C93626" w14:paraId="75071197" w14:textId="77777777" w:rsidTr="001071B4">
        <w:trPr>
          <w:trHeight w:val="255"/>
        </w:trPr>
        <w:tc>
          <w:tcPr>
            <w:tcW w:w="13703" w:type="dxa"/>
            <w:gridSpan w:val="4"/>
            <w:shd w:val="clear" w:color="auto" w:fill="D8EAEF"/>
            <w:tcMar>
              <w:left w:w="105" w:type="dxa"/>
              <w:right w:w="105" w:type="dxa"/>
            </w:tcMar>
            <w:vAlign w:val="center"/>
          </w:tcPr>
          <w:p w14:paraId="75071195" w14:textId="77777777" w:rsidR="002B060A" w:rsidRDefault="006040A7" w:rsidP="00C07A0A">
            <w:pPr>
              <w:rPr>
                <w:rFonts w:ascii="Calibri" w:eastAsia="Calibri" w:hAnsi="Calibri" w:cs="Calibri"/>
                <w:sz w:val="22"/>
                <w:szCs w:val="22"/>
              </w:rPr>
            </w:pPr>
            <w:r>
              <w:rPr>
                <w:rFonts w:ascii="Calibri" w:eastAsia="Calibri" w:hAnsi="Calibri" w:cs="Calibri"/>
                <w:b/>
                <w:bCs/>
                <w:sz w:val="22"/>
                <w:szCs w:val="22"/>
              </w:rPr>
              <w:t>Relevance</w:t>
            </w:r>
            <w:r>
              <w:rPr>
                <w:rFonts w:ascii="Calibri" w:eastAsia="Calibri" w:hAnsi="Calibri" w:cs="Calibri"/>
                <w:sz w:val="22"/>
                <w:szCs w:val="22"/>
              </w:rPr>
              <w:t>: How does the project relate to the main objectives of the GEF Focal area, and to the environment and development priorities at the local, regional and national level?</w:t>
            </w:r>
          </w:p>
        </w:tc>
        <w:tc>
          <w:tcPr>
            <w:tcW w:w="230" w:type="dxa"/>
            <w:gridSpan w:val="2"/>
            <w:tcBorders>
              <w:top w:val="nil"/>
              <w:left w:val="nil"/>
              <w:bottom w:val="nil"/>
              <w:right w:val="nil"/>
            </w:tcBorders>
            <w:tcMar>
              <w:left w:w="105" w:type="dxa"/>
              <w:right w:w="105" w:type="dxa"/>
            </w:tcMar>
            <w:vAlign w:val="center"/>
          </w:tcPr>
          <w:p w14:paraId="75071196" w14:textId="77777777" w:rsidR="002B060A" w:rsidRDefault="002B060A" w:rsidP="00C07A0A">
            <w:pPr>
              <w:spacing w:after="120"/>
              <w:rPr>
                <w:rFonts w:ascii="Calibri" w:eastAsia="Calibri" w:hAnsi="Calibri" w:cs="Calibri"/>
                <w:sz w:val="20"/>
                <w:szCs w:val="20"/>
              </w:rPr>
            </w:pPr>
          </w:p>
        </w:tc>
      </w:tr>
      <w:tr w:rsidR="00C93626" w14:paraId="750711A2" w14:textId="77777777" w:rsidTr="001071B4">
        <w:trPr>
          <w:trHeight w:val="255"/>
        </w:trPr>
        <w:tc>
          <w:tcPr>
            <w:tcW w:w="3746" w:type="dxa"/>
            <w:tcMar>
              <w:left w:w="105" w:type="dxa"/>
              <w:right w:w="105" w:type="dxa"/>
            </w:tcMar>
            <w:vAlign w:val="center"/>
          </w:tcPr>
          <w:p w14:paraId="75071198"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To what extent does the project address the needs, priorities and expectations of its beneficiaries, partners, and stakeholders?</w:t>
            </w:r>
          </w:p>
        </w:tc>
        <w:tc>
          <w:tcPr>
            <w:tcW w:w="3231" w:type="dxa"/>
            <w:tcMar>
              <w:left w:w="105" w:type="dxa"/>
              <w:right w:w="105" w:type="dxa"/>
            </w:tcMar>
            <w:vAlign w:val="center"/>
          </w:tcPr>
          <w:p w14:paraId="75071199"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Records of stakeholder engagement and feedback in project design and implementation </w:t>
            </w:r>
          </w:p>
          <w:p w14:paraId="7507119A" w14:textId="77777777" w:rsidR="002B060A" w:rsidRDefault="006040A7" w:rsidP="00C07A0A">
            <w:pPr>
              <w:rPr>
                <w:rFonts w:ascii="Calibri" w:eastAsia="Calibri" w:hAnsi="Calibri" w:cs="Calibri"/>
                <w:sz w:val="22"/>
                <w:szCs w:val="22"/>
              </w:rPr>
            </w:pPr>
            <w:r>
              <w:rPr>
                <w:rFonts w:ascii="Calibri" w:hAnsi="Calibri" w:cs="Calibri"/>
              </w:rPr>
              <w:br/>
            </w:r>
            <w:r>
              <w:rPr>
                <w:rFonts w:ascii="Calibri" w:eastAsia="Calibri" w:hAnsi="Calibri" w:cs="Calibri"/>
                <w:sz w:val="22"/>
                <w:szCs w:val="22"/>
              </w:rPr>
              <w:t>Baseline environment and health priorities of stakeholders in project design documents</w:t>
            </w:r>
          </w:p>
        </w:tc>
        <w:tc>
          <w:tcPr>
            <w:tcW w:w="3342" w:type="dxa"/>
            <w:tcMar>
              <w:left w:w="105" w:type="dxa"/>
              <w:right w:w="105" w:type="dxa"/>
            </w:tcMar>
            <w:vAlign w:val="center"/>
          </w:tcPr>
          <w:p w14:paraId="7507119B"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Project documentation and meeting reports </w:t>
            </w:r>
          </w:p>
          <w:p w14:paraId="7507119C"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national and project stakeholders</w:t>
            </w:r>
          </w:p>
          <w:p w14:paraId="7507119D"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MTR</w:t>
            </w:r>
          </w:p>
        </w:tc>
        <w:tc>
          <w:tcPr>
            <w:tcW w:w="3384" w:type="dxa"/>
            <w:tcMar>
              <w:left w:w="105" w:type="dxa"/>
              <w:right w:w="105" w:type="dxa"/>
            </w:tcMar>
            <w:vAlign w:val="center"/>
          </w:tcPr>
          <w:p w14:paraId="7507119E"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9F"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p w14:paraId="750711A0"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Field trip data</w:t>
            </w:r>
          </w:p>
        </w:tc>
        <w:tc>
          <w:tcPr>
            <w:tcW w:w="230" w:type="dxa"/>
            <w:gridSpan w:val="2"/>
            <w:tcBorders>
              <w:top w:val="nil"/>
              <w:bottom w:val="nil"/>
              <w:right w:val="nil"/>
            </w:tcBorders>
            <w:tcMar>
              <w:left w:w="105" w:type="dxa"/>
              <w:right w:w="105" w:type="dxa"/>
            </w:tcMar>
            <w:vAlign w:val="center"/>
          </w:tcPr>
          <w:p w14:paraId="750711A1" w14:textId="77777777" w:rsidR="002B060A" w:rsidRDefault="002B060A" w:rsidP="00C07A0A">
            <w:pPr>
              <w:spacing w:after="120"/>
              <w:rPr>
                <w:rFonts w:ascii="Calibri" w:eastAsia="Calibri" w:hAnsi="Calibri" w:cs="Calibri"/>
                <w:sz w:val="20"/>
                <w:szCs w:val="20"/>
              </w:rPr>
            </w:pPr>
          </w:p>
        </w:tc>
      </w:tr>
      <w:tr w:rsidR="00C93626" w14:paraId="750711A4" w14:textId="77777777" w:rsidTr="001071B4">
        <w:trPr>
          <w:gridAfter w:val="1"/>
          <w:wAfter w:w="191" w:type="dxa"/>
          <w:trHeight w:val="255"/>
        </w:trPr>
        <w:tc>
          <w:tcPr>
            <w:tcW w:w="13742" w:type="dxa"/>
            <w:gridSpan w:val="5"/>
            <w:shd w:val="clear" w:color="auto" w:fill="D8EAEF"/>
            <w:tcMar>
              <w:left w:w="105" w:type="dxa"/>
              <w:right w:w="105" w:type="dxa"/>
            </w:tcMar>
            <w:vAlign w:val="center"/>
          </w:tcPr>
          <w:p w14:paraId="750711A3" w14:textId="77777777" w:rsidR="002B060A" w:rsidRDefault="006040A7" w:rsidP="00C07A0A">
            <w:pPr>
              <w:rPr>
                <w:rFonts w:ascii="Calibri" w:eastAsia="Calibri" w:hAnsi="Calibri" w:cs="Calibri"/>
                <w:sz w:val="22"/>
                <w:szCs w:val="22"/>
              </w:rPr>
            </w:pPr>
            <w:r>
              <w:rPr>
                <w:rFonts w:ascii="Calibri" w:eastAsia="Calibri" w:hAnsi="Calibri" w:cs="Calibri"/>
                <w:b/>
                <w:bCs/>
                <w:sz w:val="22"/>
                <w:szCs w:val="22"/>
              </w:rPr>
              <w:lastRenderedPageBreak/>
              <w:t xml:space="preserve">Coherence: </w:t>
            </w:r>
            <w:r>
              <w:rPr>
                <w:rFonts w:ascii="Calibri" w:eastAsia="Calibri" w:hAnsi="Calibri" w:cs="Calibri"/>
                <w:sz w:val="22"/>
                <w:szCs w:val="22"/>
              </w:rPr>
              <w:t xml:space="preserve">To what extent did the project align with national country context (external coherence) and were project activities aligned with the project’s theory of change, governance, activities and M&amp;E (internal coherence)? </w:t>
            </w:r>
          </w:p>
        </w:tc>
      </w:tr>
      <w:tr w:rsidR="00C93626" w14:paraId="750711AF" w14:textId="77777777" w:rsidTr="001071B4">
        <w:trPr>
          <w:trHeight w:val="255"/>
        </w:trPr>
        <w:tc>
          <w:tcPr>
            <w:tcW w:w="3746" w:type="dxa"/>
            <w:tcMar>
              <w:left w:w="105" w:type="dxa"/>
              <w:right w:w="105" w:type="dxa"/>
            </w:tcMar>
            <w:vAlign w:val="center"/>
          </w:tcPr>
          <w:p w14:paraId="750711A5"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To what extent did the project align with local, regional and national environment and development priorities and plans?</w:t>
            </w:r>
          </w:p>
          <w:p w14:paraId="750711A6" w14:textId="77777777" w:rsidR="002B060A" w:rsidRDefault="002B060A" w:rsidP="00C07A0A">
            <w:pPr>
              <w:rPr>
                <w:rFonts w:ascii="Calibri" w:eastAsia="Calibri" w:hAnsi="Calibri" w:cs="Calibri"/>
                <w:sz w:val="22"/>
                <w:szCs w:val="22"/>
              </w:rPr>
            </w:pPr>
          </w:p>
          <w:p w14:paraId="750711A7" w14:textId="77777777" w:rsidR="002B060A" w:rsidRDefault="002B060A" w:rsidP="00C07A0A">
            <w:pPr>
              <w:rPr>
                <w:rFonts w:ascii="Calibri" w:eastAsia="Calibri" w:hAnsi="Calibri" w:cs="Calibri"/>
                <w:sz w:val="22"/>
                <w:szCs w:val="22"/>
              </w:rPr>
            </w:pPr>
          </w:p>
        </w:tc>
        <w:tc>
          <w:tcPr>
            <w:tcW w:w="3231" w:type="dxa"/>
            <w:tcMar>
              <w:left w:w="105" w:type="dxa"/>
              <w:right w:w="105" w:type="dxa"/>
            </w:tcMar>
            <w:vAlign w:val="center"/>
          </w:tcPr>
          <w:p w14:paraId="750711A8"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Alignment with national policies, standards and guidelines</w:t>
            </w:r>
          </w:p>
        </w:tc>
        <w:tc>
          <w:tcPr>
            <w:tcW w:w="3342" w:type="dxa"/>
            <w:tcMar>
              <w:left w:w="105" w:type="dxa"/>
              <w:right w:w="105" w:type="dxa"/>
            </w:tcMar>
            <w:vAlign w:val="center"/>
          </w:tcPr>
          <w:p w14:paraId="750711A9"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Project documentation </w:t>
            </w:r>
          </w:p>
          <w:p w14:paraId="750711AA"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national and project stakeholders</w:t>
            </w:r>
          </w:p>
          <w:p w14:paraId="750711AB"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Field trip data</w:t>
            </w:r>
          </w:p>
        </w:tc>
        <w:tc>
          <w:tcPr>
            <w:tcW w:w="3384" w:type="dxa"/>
            <w:tcMar>
              <w:left w:w="105" w:type="dxa"/>
              <w:right w:w="105" w:type="dxa"/>
            </w:tcMar>
            <w:vAlign w:val="center"/>
          </w:tcPr>
          <w:p w14:paraId="750711AC"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AD"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1AE" w14:textId="77777777" w:rsidR="002B060A" w:rsidRDefault="002B060A" w:rsidP="00C07A0A">
            <w:pPr>
              <w:spacing w:after="120"/>
              <w:rPr>
                <w:rFonts w:ascii="Calibri" w:eastAsia="Calibri" w:hAnsi="Calibri" w:cs="Calibri"/>
                <w:sz w:val="20"/>
                <w:szCs w:val="20"/>
              </w:rPr>
            </w:pPr>
          </w:p>
        </w:tc>
      </w:tr>
      <w:tr w:rsidR="00C93626" w14:paraId="750711B8" w14:textId="77777777" w:rsidTr="001071B4">
        <w:trPr>
          <w:trHeight w:val="255"/>
        </w:trPr>
        <w:tc>
          <w:tcPr>
            <w:tcW w:w="3746" w:type="dxa"/>
            <w:tcMar>
              <w:left w:w="105" w:type="dxa"/>
              <w:right w:w="105" w:type="dxa"/>
            </w:tcMar>
            <w:vAlign w:val="center"/>
          </w:tcPr>
          <w:p w14:paraId="750711B0"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Were project activities, including adjustments, clearly aligned to the theory of change? </w:t>
            </w:r>
          </w:p>
        </w:tc>
        <w:tc>
          <w:tcPr>
            <w:tcW w:w="3231" w:type="dxa"/>
            <w:tcMar>
              <w:left w:w="105" w:type="dxa"/>
              <w:right w:w="105" w:type="dxa"/>
            </w:tcMar>
            <w:vAlign w:val="center"/>
          </w:tcPr>
          <w:p w14:paraId="750711B1"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Project activities explicitly linked to theory of change and project outcomes</w:t>
            </w:r>
          </w:p>
        </w:tc>
        <w:tc>
          <w:tcPr>
            <w:tcW w:w="3342" w:type="dxa"/>
            <w:tcMar>
              <w:left w:w="105" w:type="dxa"/>
              <w:right w:w="105" w:type="dxa"/>
            </w:tcMar>
            <w:vAlign w:val="center"/>
          </w:tcPr>
          <w:p w14:paraId="750711B2"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Project documentation </w:t>
            </w:r>
          </w:p>
          <w:p w14:paraId="750711B3"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MTR data</w:t>
            </w:r>
          </w:p>
          <w:p w14:paraId="750711B4" w14:textId="77777777" w:rsidR="002B060A" w:rsidRDefault="002B060A" w:rsidP="00C07A0A">
            <w:pPr>
              <w:rPr>
                <w:rFonts w:ascii="Calibri" w:eastAsia="Calibri" w:hAnsi="Calibri" w:cs="Calibri"/>
                <w:sz w:val="22"/>
                <w:szCs w:val="22"/>
              </w:rPr>
            </w:pPr>
          </w:p>
        </w:tc>
        <w:tc>
          <w:tcPr>
            <w:tcW w:w="3384" w:type="dxa"/>
            <w:tcMar>
              <w:left w:w="105" w:type="dxa"/>
              <w:right w:w="105" w:type="dxa"/>
            </w:tcMar>
            <w:vAlign w:val="center"/>
          </w:tcPr>
          <w:p w14:paraId="750711B5"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B6" w14:textId="77777777" w:rsidR="002B060A" w:rsidRDefault="002B060A" w:rsidP="00C07A0A">
            <w:pPr>
              <w:rPr>
                <w:rFonts w:ascii="Calibri" w:eastAsia="Calibri" w:hAnsi="Calibri" w:cs="Calibri"/>
                <w:sz w:val="22"/>
                <w:szCs w:val="22"/>
              </w:rPr>
            </w:pPr>
          </w:p>
        </w:tc>
        <w:tc>
          <w:tcPr>
            <w:tcW w:w="230" w:type="dxa"/>
            <w:gridSpan w:val="2"/>
            <w:tcBorders>
              <w:top w:val="nil"/>
              <w:bottom w:val="nil"/>
              <w:right w:val="nil"/>
            </w:tcBorders>
            <w:tcMar>
              <w:left w:w="105" w:type="dxa"/>
              <w:right w:w="105" w:type="dxa"/>
            </w:tcMar>
            <w:vAlign w:val="center"/>
          </w:tcPr>
          <w:p w14:paraId="750711B7" w14:textId="77777777" w:rsidR="002B060A" w:rsidRDefault="002B060A" w:rsidP="00C07A0A">
            <w:pPr>
              <w:spacing w:after="120"/>
              <w:rPr>
                <w:rFonts w:ascii="Calibri" w:eastAsia="Calibri" w:hAnsi="Calibri" w:cs="Calibri"/>
                <w:sz w:val="20"/>
                <w:szCs w:val="20"/>
              </w:rPr>
            </w:pPr>
          </w:p>
        </w:tc>
      </w:tr>
      <w:tr w:rsidR="00C93626" w14:paraId="750711C8" w14:textId="77777777" w:rsidTr="001071B4">
        <w:trPr>
          <w:trHeight w:val="255"/>
        </w:trPr>
        <w:tc>
          <w:tcPr>
            <w:tcW w:w="3746" w:type="dxa"/>
            <w:tcMar>
              <w:left w:w="105" w:type="dxa"/>
              <w:right w:w="105" w:type="dxa"/>
            </w:tcMar>
            <w:vAlign w:val="center"/>
          </w:tcPr>
          <w:p w14:paraId="750711B9"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Did the project employ consistent, clear and participatory M&amp;E and governance practices throughout its implementation?</w:t>
            </w:r>
          </w:p>
          <w:p w14:paraId="750711BA" w14:textId="77777777" w:rsidR="002B060A" w:rsidRDefault="002B060A" w:rsidP="00C07A0A">
            <w:pPr>
              <w:rPr>
                <w:rFonts w:ascii="Calibri" w:eastAsia="Calibri" w:hAnsi="Calibri" w:cs="Calibri"/>
                <w:sz w:val="22"/>
                <w:szCs w:val="22"/>
              </w:rPr>
            </w:pPr>
          </w:p>
        </w:tc>
        <w:tc>
          <w:tcPr>
            <w:tcW w:w="3231" w:type="dxa"/>
            <w:tcMar>
              <w:left w:w="105" w:type="dxa"/>
              <w:right w:w="105" w:type="dxa"/>
            </w:tcMar>
            <w:vAlign w:val="center"/>
          </w:tcPr>
          <w:p w14:paraId="750711BB"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Consistent and well documents monitoring and reporting processes </w:t>
            </w:r>
          </w:p>
          <w:p w14:paraId="750711BC" w14:textId="77777777" w:rsidR="002B060A" w:rsidRDefault="002B060A" w:rsidP="00C07A0A">
            <w:pPr>
              <w:rPr>
                <w:rFonts w:ascii="Calibri" w:eastAsia="Calibri" w:hAnsi="Calibri" w:cs="Calibri"/>
                <w:sz w:val="22"/>
                <w:szCs w:val="22"/>
              </w:rPr>
            </w:pPr>
          </w:p>
          <w:p w14:paraId="750711BD"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Quality and availability of M&amp;E data throughout project’s life course</w:t>
            </w:r>
          </w:p>
          <w:p w14:paraId="750711BE" w14:textId="77777777" w:rsidR="002B060A" w:rsidRDefault="002B060A" w:rsidP="00C07A0A">
            <w:pPr>
              <w:rPr>
                <w:rFonts w:ascii="Calibri" w:eastAsia="Calibri" w:hAnsi="Calibri" w:cs="Calibri"/>
                <w:sz w:val="22"/>
                <w:szCs w:val="22"/>
              </w:rPr>
            </w:pPr>
          </w:p>
          <w:p w14:paraId="750711BF"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Stakeholders engaged in routine M&amp;E</w:t>
            </w:r>
          </w:p>
          <w:p w14:paraId="750711C0" w14:textId="77777777" w:rsidR="002B060A" w:rsidRDefault="002B060A" w:rsidP="00C07A0A">
            <w:pPr>
              <w:rPr>
                <w:rFonts w:ascii="Calibri" w:eastAsia="Calibri" w:hAnsi="Calibri" w:cs="Calibri"/>
                <w:sz w:val="22"/>
                <w:szCs w:val="22"/>
              </w:rPr>
            </w:pPr>
          </w:p>
        </w:tc>
        <w:tc>
          <w:tcPr>
            <w:tcW w:w="3342" w:type="dxa"/>
            <w:tcMar>
              <w:left w:w="105" w:type="dxa"/>
              <w:right w:w="105" w:type="dxa"/>
            </w:tcMar>
            <w:vAlign w:val="center"/>
          </w:tcPr>
          <w:p w14:paraId="750711C1"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Project documentation </w:t>
            </w:r>
          </w:p>
          <w:p w14:paraId="750711C2"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MTR data</w:t>
            </w:r>
          </w:p>
          <w:p w14:paraId="750711C3"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project team</w:t>
            </w:r>
          </w:p>
          <w:p w14:paraId="750711C4" w14:textId="77777777" w:rsidR="002B060A" w:rsidRDefault="002B060A" w:rsidP="00C07A0A">
            <w:pPr>
              <w:rPr>
                <w:rFonts w:ascii="Calibri" w:eastAsia="Calibri" w:hAnsi="Calibri" w:cs="Calibri"/>
                <w:sz w:val="22"/>
                <w:szCs w:val="22"/>
              </w:rPr>
            </w:pPr>
          </w:p>
        </w:tc>
        <w:tc>
          <w:tcPr>
            <w:tcW w:w="3384" w:type="dxa"/>
            <w:tcMar>
              <w:left w:w="105" w:type="dxa"/>
              <w:right w:w="105" w:type="dxa"/>
            </w:tcMar>
            <w:vAlign w:val="center"/>
          </w:tcPr>
          <w:p w14:paraId="750711C5"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C6"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1C7" w14:textId="77777777" w:rsidR="002B060A" w:rsidRDefault="002B060A" w:rsidP="00C07A0A">
            <w:pPr>
              <w:spacing w:after="120"/>
              <w:rPr>
                <w:rFonts w:ascii="Calibri" w:eastAsia="Calibri" w:hAnsi="Calibri" w:cs="Calibri"/>
                <w:sz w:val="20"/>
                <w:szCs w:val="20"/>
              </w:rPr>
            </w:pPr>
          </w:p>
        </w:tc>
      </w:tr>
      <w:tr w:rsidR="00C93626" w14:paraId="750711CA" w14:textId="77777777" w:rsidTr="001071B4">
        <w:trPr>
          <w:gridAfter w:val="1"/>
          <w:wAfter w:w="191" w:type="dxa"/>
          <w:trHeight w:val="510"/>
        </w:trPr>
        <w:tc>
          <w:tcPr>
            <w:tcW w:w="13742" w:type="dxa"/>
            <w:gridSpan w:val="5"/>
            <w:shd w:val="clear" w:color="auto" w:fill="D8EAEF"/>
            <w:tcMar>
              <w:left w:w="105" w:type="dxa"/>
              <w:right w:w="105" w:type="dxa"/>
            </w:tcMar>
            <w:vAlign w:val="center"/>
          </w:tcPr>
          <w:p w14:paraId="750711C9" w14:textId="77777777" w:rsidR="002B060A" w:rsidRDefault="006040A7" w:rsidP="00C07A0A">
            <w:pPr>
              <w:rPr>
                <w:rFonts w:ascii="Calibri" w:eastAsia="Calibri" w:hAnsi="Calibri" w:cs="Calibri"/>
                <w:sz w:val="22"/>
                <w:szCs w:val="22"/>
              </w:rPr>
            </w:pPr>
            <w:r>
              <w:rPr>
                <w:rFonts w:ascii="Calibri" w:eastAsia="Calibri" w:hAnsi="Calibri" w:cs="Calibri"/>
                <w:b/>
                <w:bCs/>
                <w:sz w:val="22"/>
                <w:szCs w:val="22"/>
              </w:rPr>
              <w:t>Effectiveness:</w:t>
            </w:r>
            <w:r>
              <w:rPr>
                <w:rFonts w:ascii="Calibri" w:eastAsia="Calibri" w:hAnsi="Calibri" w:cs="Calibri"/>
                <w:sz w:val="22"/>
                <w:szCs w:val="22"/>
              </w:rPr>
              <w:t xml:space="preserve"> To what extent have the expected outcomes and objectives of the project been achieved?</w:t>
            </w:r>
          </w:p>
        </w:tc>
      </w:tr>
      <w:tr w:rsidR="00C93626" w14:paraId="750711D3" w14:textId="77777777" w:rsidTr="001071B4">
        <w:trPr>
          <w:trHeight w:val="885"/>
        </w:trPr>
        <w:tc>
          <w:tcPr>
            <w:tcW w:w="3746" w:type="dxa"/>
            <w:tcMar>
              <w:left w:w="105" w:type="dxa"/>
              <w:right w:w="105" w:type="dxa"/>
            </w:tcMar>
            <w:vAlign w:val="center"/>
          </w:tcPr>
          <w:p w14:paraId="750711CB"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Has a national HNAP for long term planning and capacity development Been created and budgeted?</w:t>
            </w:r>
          </w:p>
        </w:tc>
        <w:tc>
          <w:tcPr>
            <w:tcW w:w="3231" w:type="dxa"/>
            <w:tcMar>
              <w:left w:w="105" w:type="dxa"/>
              <w:right w:w="105" w:type="dxa"/>
            </w:tcMar>
            <w:vAlign w:val="center"/>
          </w:tcPr>
          <w:p w14:paraId="750711CC"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H-NAP is finalized/updated in 6 countries as the long-term plan for health adaptation to climate change and MOH is part of TWG with mandate to address cross-cutting climate change adaptation.</w:t>
            </w:r>
          </w:p>
        </w:tc>
        <w:tc>
          <w:tcPr>
            <w:tcW w:w="3342" w:type="dxa"/>
            <w:tcMar>
              <w:left w:w="105" w:type="dxa"/>
              <w:right w:w="105" w:type="dxa"/>
            </w:tcMar>
            <w:vAlign w:val="center"/>
          </w:tcPr>
          <w:p w14:paraId="750711CD"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HNAP documents and/or Quarterly reports</w:t>
            </w:r>
          </w:p>
          <w:p w14:paraId="750711CE" w14:textId="77777777" w:rsidR="002B060A" w:rsidRDefault="006040A7" w:rsidP="00C07A0A">
            <w:pPr>
              <w:pStyle w:val="ListParagraph"/>
              <w:spacing w:after="120"/>
              <w:ind w:left="269"/>
              <w:rPr>
                <w:rFonts w:ascii="Calibri" w:eastAsia="Calibri" w:hAnsi="Calibri" w:cs="Calibri"/>
                <w:sz w:val="22"/>
                <w:szCs w:val="22"/>
              </w:rPr>
            </w:pPr>
            <w:r>
              <w:rPr>
                <w:rFonts w:ascii="Calibri" w:eastAsia="Calibri" w:hAnsi="Calibri" w:cs="Calibri"/>
                <w:sz w:val="22"/>
                <w:szCs w:val="22"/>
              </w:rPr>
              <w:t>Interviews with national and project stakeholders</w:t>
            </w:r>
          </w:p>
        </w:tc>
        <w:tc>
          <w:tcPr>
            <w:tcW w:w="3384" w:type="dxa"/>
            <w:tcMar>
              <w:left w:w="105" w:type="dxa"/>
              <w:right w:w="105" w:type="dxa"/>
            </w:tcMar>
            <w:vAlign w:val="center"/>
          </w:tcPr>
          <w:p w14:paraId="750711CF"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D0"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Review of HNAP publications</w:t>
            </w:r>
          </w:p>
          <w:p w14:paraId="750711D1"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1D2" w14:textId="77777777" w:rsidR="002B060A" w:rsidRDefault="002B060A" w:rsidP="00C07A0A">
            <w:pPr>
              <w:spacing w:after="120"/>
              <w:rPr>
                <w:rFonts w:ascii="Calibri" w:eastAsia="Calibri" w:hAnsi="Calibri" w:cs="Calibri"/>
                <w:sz w:val="20"/>
                <w:szCs w:val="20"/>
              </w:rPr>
            </w:pPr>
          </w:p>
        </w:tc>
      </w:tr>
      <w:tr w:rsidR="00C93626" w14:paraId="750711DD" w14:textId="77777777" w:rsidTr="001071B4">
        <w:trPr>
          <w:trHeight w:val="780"/>
        </w:trPr>
        <w:tc>
          <w:tcPr>
            <w:tcW w:w="3746" w:type="dxa"/>
            <w:tcMar>
              <w:left w:w="105" w:type="dxa"/>
              <w:right w:w="105" w:type="dxa"/>
            </w:tcMar>
            <w:vAlign w:val="center"/>
          </w:tcPr>
          <w:p w14:paraId="750711D4"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lastRenderedPageBreak/>
              <w:t>Have institutional capacities been strengthened to effectively integrate climate risks and adaptation options in health sector planning and implementation?</w:t>
            </w:r>
          </w:p>
        </w:tc>
        <w:tc>
          <w:tcPr>
            <w:tcW w:w="3231" w:type="dxa"/>
            <w:tcMar>
              <w:left w:w="105" w:type="dxa"/>
              <w:right w:w="105" w:type="dxa"/>
            </w:tcMar>
            <w:vAlign w:val="center"/>
          </w:tcPr>
          <w:p w14:paraId="750711D5"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National Standards or guidelines for climate change and health systems developed</w:t>
            </w:r>
          </w:p>
          <w:p w14:paraId="750711D6"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Health workforce trained on climate change and health </w:t>
            </w:r>
          </w:p>
        </w:tc>
        <w:tc>
          <w:tcPr>
            <w:tcW w:w="3342" w:type="dxa"/>
            <w:tcMar>
              <w:left w:w="105" w:type="dxa"/>
              <w:right w:w="105" w:type="dxa"/>
            </w:tcMar>
            <w:vAlign w:val="center"/>
          </w:tcPr>
          <w:p w14:paraId="750711D7"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Availability of final standards and guidelines</w:t>
            </w:r>
          </w:p>
          <w:p w14:paraId="750711D8"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Training reports on national trainings conducted on climate change and health</w:t>
            </w:r>
          </w:p>
          <w:p w14:paraId="750711D9"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 xml:space="preserve">Availability of teaching materials, training packages/ manuals, climate change and health included in the national curriculum, etc </w:t>
            </w:r>
          </w:p>
        </w:tc>
        <w:tc>
          <w:tcPr>
            <w:tcW w:w="3384" w:type="dxa"/>
            <w:tcMar>
              <w:left w:w="105" w:type="dxa"/>
              <w:right w:w="105" w:type="dxa"/>
            </w:tcMar>
            <w:vAlign w:val="center"/>
          </w:tcPr>
          <w:p w14:paraId="750711DA"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DB" w14:textId="77777777" w:rsidR="002B060A" w:rsidRDefault="002B060A" w:rsidP="00C07A0A">
            <w:pPr>
              <w:rPr>
                <w:rFonts w:ascii="Calibri" w:eastAsia="Calibri" w:hAnsi="Calibri" w:cs="Calibri"/>
                <w:sz w:val="22"/>
                <w:szCs w:val="22"/>
              </w:rPr>
            </w:pPr>
          </w:p>
        </w:tc>
        <w:tc>
          <w:tcPr>
            <w:tcW w:w="230" w:type="dxa"/>
            <w:gridSpan w:val="2"/>
            <w:tcBorders>
              <w:top w:val="nil"/>
              <w:bottom w:val="nil"/>
              <w:right w:val="nil"/>
            </w:tcBorders>
            <w:tcMar>
              <w:left w:w="105" w:type="dxa"/>
              <w:right w:w="105" w:type="dxa"/>
            </w:tcMar>
            <w:vAlign w:val="center"/>
          </w:tcPr>
          <w:p w14:paraId="750711DC" w14:textId="77777777" w:rsidR="002B060A" w:rsidRDefault="002B060A" w:rsidP="00C07A0A">
            <w:pPr>
              <w:spacing w:after="120"/>
              <w:rPr>
                <w:rFonts w:ascii="Calibri" w:eastAsia="Calibri" w:hAnsi="Calibri" w:cs="Calibri"/>
                <w:sz w:val="20"/>
                <w:szCs w:val="20"/>
              </w:rPr>
            </w:pPr>
          </w:p>
        </w:tc>
      </w:tr>
      <w:tr w:rsidR="00C93626" w14:paraId="750711E7" w14:textId="77777777" w:rsidTr="001071B4">
        <w:trPr>
          <w:trHeight w:val="1290"/>
        </w:trPr>
        <w:tc>
          <w:tcPr>
            <w:tcW w:w="3746" w:type="dxa"/>
            <w:tcMar>
              <w:left w:w="105" w:type="dxa"/>
              <w:right w:w="105" w:type="dxa"/>
            </w:tcMar>
            <w:vAlign w:val="center"/>
          </w:tcPr>
          <w:p w14:paraId="750711DE"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Has effective decision making for health interventions been enabled through generation of information and Improved surveillance and/or early warning systems?  </w:t>
            </w:r>
          </w:p>
        </w:tc>
        <w:tc>
          <w:tcPr>
            <w:tcW w:w="3231" w:type="dxa"/>
            <w:tcMar>
              <w:left w:w="105" w:type="dxa"/>
              <w:right w:w="105" w:type="dxa"/>
            </w:tcMar>
            <w:vAlign w:val="center"/>
          </w:tcPr>
          <w:p w14:paraId="750711DF"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Vulnerability and adaptation assessments (V+A) conducted for current and future health risks.  </w:t>
            </w:r>
          </w:p>
          <w:p w14:paraId="750711E0" w14:textId="77777777" w:rsidR="002B060A" w:rsidRDefault="002B060A" w:rsidP="00C07A0A">
            <w:pPr>
              <w:rPr>
                <w:rFonts w:ascii="Calibri" w:eastAsia="Calibri" w:hAnsi="Calibri" w:cs="Calibri"/>
                <w:sz w:val="22"/>
                <w:szCs w:val="22"/>
              </w:rPr>
            </w:pPr>
          </w:p>
          <w:p w14:paraId="750711E1"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Integrated disease surveillance and early warning systems for climate sensitive disease piloted and strengthened.  </w:t>
            </w:r>
          </w:p>
        </w:tc>
        <w:tc>
          <w:tcPr>
            <w:tcW w:w="3342" w:type="dxa"/>
            <w:tcMar>
              <w:left w:w="105" w:type="dxa"/>
              <w:right w:w="105" w:type="dxa"/>
            </w:tcMar>
            <w:vAlign w:val="center"/>
          </w:tcPr>
          <w:p w14:paraId="750711E2"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Gender disaggregated health vulnerability and adaptation assessments reports</w:t>
            </w:r>
          </w:p>
          <w:p w14:paraId="750711E3"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 xml:space="preserve">Project documentation related to integrated disease surveillance and climate/weather data  systems </w:t>
            </w:r>
          </w:p>
        </w:tc>
        <w:tc>
          <w:tcPr>
            <w:tcW w:w="3384" w:type="dxa"/>
            <w:tcMar>
              <w:left w:w="105" w:type="dxa"/>
              <w:right w:w="105" w:type="dxa"/>
            </w:tcMar>
            <w:vAlign w:val="center"/>
          </w:tcPr>
          <w:p w14:paraId="750711E4"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E5"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1E6" w14:textId="77777777" w:rsidR="002B060A" w:rsidRDefault="002B060A" w:rsidP="00C07A0A">
            <w:pPr>
              <w:spacing w:after="120"/>
              <w:rPr>
                <w:rFonts w:ascii="Calibri" w:eastAsia="Calibri" w:hAnsi="Calibri" w:cs="Calibri"/>
                <w:sz w:val="20"/>
                <w:szCs w:val="20"/>
              </w:rPr>
            </w:pPr>
          </w:p>
        </w:tc>
      </w:tr>
      <w:tr w:rsidR="00C93626" w14:paraId="750711F0" w14:textId="77777777" w:rsidTr="001071B4">
        <w:trPr>
          <w:trHeight w:val="1215"/>
        </w:trPr>
        <w:tc>
          <w:tcPr>
            <w:tcW w:w="3746" w:type="dxa"/>
            <w:tcMar>
              <w:left w:w="105" w:type="dxa"/>
              <w:right w:w="105" w:type="dxa"/>
            </w:tcMar>
            <w:vAlign w:val="center"/>
          </w:tcPr>
          <w:p w14:paraId="750711E8"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Is climate resilience enhanced in health service delivery?</w:t>
            </w:r>
          </w:p>
        </w:tc>
        <w:tc>
          <w:tcPr>
            <w:tcW w:w="3231" w:type="dxa"/>
            <w:tcMar>
              <w:left w:w="105" w:type="dxa"/>
              <w:right w:w="105" w:type="dxa"/>
            </w:tcMar>
            <w:vAlign w:val="center"/>
          </w:tcPr>
          <w:p w14:paraId="750711E9"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Disease control and prevention programmes are strengthened to account of the effects of climate variability and change.</w:t>
            </w:r>
          </w:p>
        </w:tc>
        <w:tc>
          <w:tcPr>
            <w:tcW w:w="3342" w:type="dxa"/>
            <w:tcMar>
              <w:left w:w="105" w:type="dxa"/>
              <w:right w:w="105" w:type="dxa"/>
            </w:tcMar>
            <w:vAlign w:val="center"/>
          </w:tcPr>
          <w:p w14:paraId="750711EA"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Project documentation related to strengthening climate resilience and environmental sustainability of health care facilities</w:t>
            </w:r>
          </w:p>
          <w:p w14:paraId="750711EB"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Project documentation related to integrated disease control and surveillance programs (including water and sanitation</w:t>
            </w:r>
          </w:p>
        </w:tc>
        <w:tc>
          <w:tcPr>
            <w:tcW w:w="3384" w:type="dxa"/>
            <w:tcMar>
              <w:left w:w="105" w:type="dxa"/>
              <w:right w:w="105" w:type="dxa"/>
            </w:tcMar>
            <w:vAlign w:val="center"/>
          </w:tcPr>
          <w:p w14:paraId="750711EC"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1ED"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p w14:paraId="750711EE"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Field trip data</w:t>
            </w:r>
          </w:p>
        </w:tc>
        <w:tc>
          <w:tcPr>
            <w:tcW w:w="230" w:type="dxa"/>
            <w:gridSpan w:val="2"/>
            <w:tcBorders>
              <w:top w:val="nil"/>
              <w:bottom w:val="nil"/>
              <w:right w:val="nil"/>
            </w:tcBorders>
            <w:tcMar>
              <w:left w:w="105" w:type="dxa"/>
              <w:right w:w="105" w:type="dxa"/>
            </w:tcMar>
            <w:vAlign w:val="center"/>
          </w:tcPr>
          <w:p w14:paraId="750711EF" w14:textId="77777777" w:rsidR="002B060A" w:rsidRDefault="002B060A" w:rsidP="00C07A0A">
            <w:pPr>
              <w:spacing w:after="120"/>
              <w:rPr>
                <w:rFonts w:ascii="Calibri" w:eastAsia="Calibri" w:hAnsi="Calibri" w:cs="Calibri"/>
                <w:sz w:val="20"/>
                <w:szCs w:val="20"/>
              </w:rPr>
            </w:pPr>
          </w:p>
        </w:tc>
      </w:tr>
      <w:tr w:rsidR="00C93626" w14:paraId="750711F8" w14:textId="77777777" w:rsidTr="001071B4">
        <w:trPr>
          <w:trHeight w:val="255"/>
        </w:trPr>
        <w:tc>
          <w:tcPr>
            <w:tcW w:w="3746" w:type="dxa"/>
            <w:tcMar>
              <w:left w:w="105" w:type="dxa"/>
              <w:right w:w="105" w:type="dxa"/>
            </w:tcMar>
            <w:vAlign w:val="center"/>
          </w:tcPr>
          <w:p w14:paraId="750711F1"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Have initiatives been taken up to enhance regional cooperation and knowledge exchange for promoting scale-up and replication of interventions?</w:t>
            </w:r>
          </w:p>
        </w:tc>
        <w:tc>
          <w:tcPr>
            <w:tcW w:w="3231" w:type="dxa"/>
            <w:tcMar>
              <w:left w:w="105" w:type="dxa"/>
              <w:right w:w="105" w:type="dxa"/>
            </w:tcMar>
            <w:vAlign w:val="center"/>
          </w:tcPr>
          <w:p w14:paraId="750711F2"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At least 3 Regional Meetings conducted on climate change and health for International South-South collaboration.</w:t>
            </w:r>
          </w:p>
        </w:tc>
        <w:tc>
          <w:tcPr>
            <w:tcW w:w="3342" w:type="dxa"/>
            <w:tcMar>
              <w:left w:w="105" w:type="dxa"/>
              <w:right w:w="105" w:type="dxa"/>
            </w:tcMar>
            <w:vAlign w:val="center"/>
          </w:tcPr>
          <w:p w14:paraId="750711F3"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Regional meeting reports, recordings, photographs, participant list, etc.</w:t>
            </w:r>
          </w:p>
          <w:p w14:paraId="750711F4"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lastRenderedPageBreak/>
              <w:t>Feedback from project and regional stakeholders on knowledge sharing activities.</w:t>
            </w:r>
          </w:p>
        </w:tc>
        <w:tc>
          <w:tcPr>
            <w:tcW w:w="3384" w:type="dxa"/>
            <w:tcMar>
              <w:left w:w="105" w:type="dxa"/>
              <w:right w:w="105" w:type="dxa"/>
            </w:tcMar>
            <w:vAlign w:val="center"/>
          </w:tcPr>
          <w:p w14:paraId="750711F5"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lastRenderedPageBreak/>
              <w:t>Desktop document review and analysis</w:t>
            </w:r>
          </w:p>
          <w:p w14:paraId="750711F6"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1F7" w14:textId="77777777" w:rsidR="002B060A" w:rsidRDefault="002B060A" w:rsidP="00C07A0A">
            <w:pPr>
              <w:spacing w:after="120"/>
              <w:rPr>
                <w:rFonts w:ascii="Calibri" w:eastAsia="Calibri" w:hAnsi="Calibri" w:cs="Calibri"/>
                <w:sz w:val="20"/>
                <w:szCs w:val="20"/>
              </w:rPr>
            </w:pPr>
          </w:p>
        </w:tc>
      </w:tr>
      <w:tr w:rsidR="00C93626" w14:paraId="750711FA" w14:textId="77777777" w:rsidTr="001071B4">
        <w:trPr>
          <w:gridAfter w:val="1"/>
          <w:wAfter w:w="191" w:type="dxa"/>
          <w:trHeight w:val="255"/>
        </w:trPr>
        <w:tc>
          <w:tcPr>
            <w:tcW w:w="13742" w:type="dxa"/>
            <w:gridSpan w:val="5"/>
            <w:shd w:val="clear" w:color="auto" w:fill="D8EAEF"/>
            <w:tcMar>
              <w:left w:w="105" w:type="dxa"/>
              <w:right w:w="105" w:type="dxa"/>
            </w:tcMar>
            <w:vAlign w:val="center"/>
          </w:tcPr>
          <w:p w14:paraId="750711F9" w14:textId="77777777" w:rsidR="002B060A" w:rsidRDefault="006040A7" w:rsidP="00C07A0A">
            <w:pPr>
              <w:rPr>
                <w:rFonts w:ascii="Calibri" w:eastAsia="Calibri" w:hAnsi="Calibri" w:cs="Calibri"/>
                <w:sz w:val="22"/>
                <w:szCs w:val="22"/>
              </w:rPr>
            </w:pPr>
            <w:r>
              <w:rPr>
                <w:rFonts w:ascii="Calibri" w:eastAsia="Calibri" w:hAnsi="Calibri" w:cs="Calibri"/>
                <w:b/>
                <w:bCs/>
                <w:sz w:val="22"/>
                <w:szCs w:val="22"/>
              </w:rPr>
              <w:t>Efficiency:</w:t>
            </w:r>
            <w:r>
              <w:rPr>
                <w:rFonts w:ascii="Calibri" w:eastAsia="Calibri" w:hAnsi="Calibri" w:cs="Calibri"/>
                <w:sz w:val="22"/>
                <w:szCs w:val="22"/>
              </w:rPr>
              <w:t xml:space="preserve"> Was the project implemented efficiently, in line with international and national norms and standards?</w:t>
            </w:r>
          </w:p>
        </w:tc>
      </w:tr>
      <w:tr w:rsidR="00C93626" w14:paraId="75071203" w14:textId="77777777" w:rsidTr="001071B4">
        <w:trPr>
          <w:trHeight w:val="255"/>
        </w:trPr>
        <w:tc>
          <w:tcPr>
            <w:tcW w:w="3746" w:type="dxa"/>
            <w:tcMar>
              <w:left w:w="105" w:type="dxa"/>
              <w:right w:w="105" w:type="dxa"/>
            </w:tcMar>
            <w:vAlign w:val="center"/>
          </w:tcPr>
          <w:p w14:paraId="750711FB"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Is there strong evidence that program approaches have been effectively and efficiently adopted by governments?</w:t>
            </w:r>
          </w:p>
        </w:tc>
        <w:tc>
          <w:tcPr>
            <w:tcW w:w="3231" w:type="dxa"/>
            <w:tcMar>
              <w:left w:w="105" w:type="dxa"/>
              <w:right w:w="105" w:type="dxa"/>
            </w:tcMar>
            <w:vAlign w:val="center"/>
          </w:tcPr>
          <w:p w14:paraId="750711FC"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Government commitment to meet project objectives (showcased through establishment of relevant administrative structures, signing of MoUs, co-financing, etc.), availability of new and modified policies, guidelines, roadmaps, tools and monitoring mechanisms.</w:t>
            </w:r>
          </w:p>
        </w:tc>
        <w:tc>
          <w:tcPr>
            <w:tcW w:w="3342" w:type="dxa"/>
            <w:tcMar>
              <w:left w:w="105" w:type="dxa"/>
              <w:right w:w="105" w:type="dxa"/>
            </w:tcMar>
            <w:vAlign w:val="center"/>
          </w:tcPr>
          <w:p w14:paraId="750711FD"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Project documentation, including documentation of implementation of activities by MoH (quarterly reports, interviews, financial reports)</w:t>
            </w:r>
          </w:p>
          <w:p w14:paraId="750711FE"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Existence of formal partnership agreements (e.g. MoUs)</w:t>
            </w:r>
          </w:p>
          <w:p w14:paraId="750711FF"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Co-financing commitments and utilisation</w:t>
            </w:r>
          </w:p>
        </w:tc>
        <w:tc>
          <w:tcPr>
            <w:tcW w:w="3384" w:type="dxa"/>
            <w:tcMar>
              <w:left w:w="105" w:type="dxa"/>
              <w:right w:w="105" w:type="dxa"/>
            </w:tcMar>
            <w:vAlign w:val="center"/>
          </w:tcPr>
          <w:p w14:paraId="75071200"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w:t>
            </w:r>
          </w:p>
          <w:p w14:paraId="75071201"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202" w14:textId="77777777" w:rsidR="002B060A" w:rsidRDefault="002B060A" w:rsidP="00C07A0A">
            <w:pPr>
              <w:spacing w:after="120"/>
              <w:rPr>
                <w:rFonts w:ascii="Calibri" w:eastAsia="Calibri" w:hAnsi="Calibri" w:cs="Calibri"/>
                <w:sz w:val="20"/>
                <w:szCs w:val="20"/>
              </w:rPr>
            </w:pPr>
          </w:p>
        </w:tc>
      </w:tr>
      <w:tr w:rsidR="00C93626" w14:paraId="7507120B" w14:textId="77777777" w:rsidTr="001071B4">
        <w:trPr>
          <w:trHeight w:val="255"/>
        </w:trPr>
        <w:tc>
          <w:tcPr>
            <w:tcW w:w="3746" w:type="dxa"/>
            <w:tcMar>
              <w:left w:w="105" w:type="dxa"/>
              <w:right w:w="105" w:type="dxa"/>
            </w:tcMar>
            <w:vAlign w:val="center"/>
          </w:tcPr>
          <w:p w14:paraId="75071204"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How, where and for whom was change achieved most effectively?   </w:t>
            </w:r>
          </w:p>
        </w:tc>
        <w:tc>
          <w:tcPr>
            <w:tcW w:w="3231" w:type="dxa"/>
            <w:tcMar>
              <w:left w:w="105" w:type="dxa"/>
              <w:right w:w="105" w:type="dxa"/>
            </w:tcMar>
            <w:vAlign w:val="center"/>
          </w:tcPr>
          <w:p w14:paraId="75071205"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Capacity strengthening activities with government staff and partners were undertaken, training targeted appropriately and well received, engagement with relevant partners for the achievement and scale up of project objectives</w:t>
            </w:r>
          </w:p>
        </w:tc>
        <w:tc>
          <w:tcPr>
            <w:tcW w:w="3342" w:type="dxa"/>
            <w:tcMar>
              <w:left w:w="105" w:type="dxa"/>
              <w:right w:w="105" w:type="dxa"/>
            </w:tcMar>
            <w:vAlign w:val="center"/>
          </w:tcPr>
          <w:p w14:paraId="75071206"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Availability of training reports, including disaggregated participant data</w:t>
            </w:r>
          </w:p>
          <w:p w14:paraId="75071207"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 xml:space="preserve">Interviews with national and project stakeholders </w:t>
            </w:r>
          </w:p>
        </w:tc>
        <w:tc>
          <w:tcPr>
            <w:tcW w:w="3384" w:type="dxa"/>
            <w:tcMar>
              <w:left w:w="105" w:type="dxa"/>
              <w:right w:w="105" w:type="dxa"/>
            </w:tcMar>
            <w:vAlign w:val="center"/>
          </w:tcPr>
          <w:p w14:paraId="75071208"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 and analysis of training data</w:t>
            </w:r>
          </w:p>
          <w:p w14:paraId="75071209"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20A" w14:textId="77777777" w:rsidR="002B060A" w:rsidRDefault="002B060A" w:rsidP="00C07A0A">
            <w:pPr>
              <w:spacing w:after="120"/>
              <w:rPr>
                <w:rFonts w:ascii="Calibri" w:eastAsia="Calibri" w:hAnsi="Calibri" w:cs="Calibri"/>
                <w:sz w:val="20"/>
                <w:szCs w:val="20"/>
              </w:rPr>
            </w:pPr>
          </w:p>
        </w:tc>
      </w:tr>
      <w:tr w:rsidR="00C93626" w14:paraId="75071213" w14:textId="77777777" w:rsidTr="001071B4">
        <w:trPr>
          <w:trHeight w:val="255"/>
        </w:trPr>
        <w:tc>
          <w:tcPr>
            <w:tcW w:w="3746" w:type="dxa"/>
            <w:tcMar>
              <w:left w:w="105" w:type="dxa"/>
              <w:right w:w="105" w:type="dxa"/>
            </w:tcMar>
            <w:vAlign w:val="center"/>
          </w:tcPr>
          <w:p w14:paraId="7507120C"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What are the key enablers and barriers for programme efficiency, including replication and scale-up at the country level?</w:t>
            </w:r>
          </w:p>
        </w:tc>
        <w:tc>
          <w:tcPr>
            <w:tcW w:w="3231" w:type="dxa"/>
            <w:tcMar>
              <w:left w:w="105" w:type="dxa"/>
              <w:right w:w="105" w:type="dxa"/>
            </w:tcMar>
            <w:vAlign w:val="center"/>
          </w:tcPr>
          <w:p w14:paraId="7507120D"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Strong partner engagement, inter-ministerial engagement, sustainable financing, national and sub-national leadership; capacity for program delivery challenges posed by COVID- 19 leveraged for raising attention to climate change and health</w:t>
            </w:r>
          </w:p>
        </w:tc>
        <w:tc>
          <w:tcPr>
            <w:tcW w:w="3342" w:type="dxa"/>
            <w:tcMar>
              <w:left w:w="105" w:type="dxa"/>
              <w:right w:w="105" w:type="dxa"/>
            </w:tcMar>
            <w:vAlign w:val="center"/>
          </w:tcPr>
          <w:p w14:paraId="7507120E"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Interviews with national and project stakeholders</w:t>
            </w:r>
          </w:p>
          <w:p w14:paraId="7507120F" w14:textId="77777777" w:rsidR="002B060A" w:rsidRDefault="006040A7" w:rsidP="00C07A0A">
            <w:pPr>
              <w:pStyle w:val="ListParagraph"/>
              <w:ind w:left="317"/>
              <w:rPr>
                <w:rFonts w:ascii="Calibri" w:eastAsia="Calibri" w:hAnsi="Calibri" w:cs="Calibri"/>
                <w:sz w:val="22"/>
                <w:szCs w:val="22"/>
              </w:rPr>
            </w:pPr>
            <w:r>
              <w:rPr>
                <w:rFonts w:ascii="Calibri" w:eastAsia="Calibri" w:hAnsi="Calibri" w:cs="Calibri"/>
                <w:sz w:val="22"/>
                <w:szCs w:val="22"/>
              </w:rPr>
              <w:t>MTR data</w:t>
            </w:r>
            <w:r>
              <w:rPr>
                <w:rFonts w:ascii="Calibri" w:hAnsi="Calibri" w:cs="Calibri"/>
              </w:rPr>
              <w:br/>
            </w:r>
          </w:p>
        </w:tc>
        <w:tc>
          <w:tcPr>
            <w:tcW w:w="3384" w:type="dxa"/>
            <w:tcMar>
              <w:left w:w="105" w:type="dxa"/>
              <w:right w:w="105" w:type="dxa"/>
            </w:tcMar>
            <w:vAlign w:val="center"/>
          </w:tcPr>
          <w:p w14:paraId="75071210"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Document review of quarterly reports</w:t>
            </w:r>
          </w:p>
          <w:p w14:paraId="75071211"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tc>
        <w:tc>
          <w:tcPr>
            <w:tcW w:w="230" w:type="dxa"/>
            <w:gridSpan w:val="2"/>
            <w:tcBorders>
              <w:top w:val="nil"/>
              <w:bottom w:val="nil"/>
              <w:right w:val="nil"/>
            </w:tcBorders>
            <w:tcMar>
              <w:left w:w="105" w:type="dxa"/>
              <w:right w:w="105" w:type="dxa"/>
            </w:tcMar>
            <w:vAlign w:val="center"/>
          </w:tcPr>
          <w:p w14:paraId="75071212" w14:textId="77777777" w:rsidR="002B060A" w:rsidRDefault="002B060A" w:rsidP="00C07A0A">
            <w:pPr>
              <w:spacing w:after="120"/>
              <w:rPr>
                <w:rFonts w:ascii="Calibri" w:eastAsia="Calibri" w:hAnsi="Calibri" w:cs="Calibri"/>
                <w:sz w:val="20"/>
                <w:szCs w:val="20"/>
              </w:rPr>
            </w:pPr>
          </w:p>
        </w:tc>
      </w:tr>
      <w:tr w:rsidR="00C93626" w14:paraId="75071215" w14:textId="77777777" w:rsidTr="001071B4">
        <w:trPr>
          <w:gridAfter w:val="1"/>
          <w:wAfter w:w="191" w:type="dxa"/>
          <w:trHeight w:val="255"/>
        </w:trPr>
        <w:tc>
          <w:tcPr>
            <w:tcW w:w="13742" w:type="dxa"/>
            <w:gridSpan w:val="5"/>
            <w:shd w:val="clear" w:color="auto" w:fill="D8EAEF"/>
            <w:tcMar>
              <w:left w:w="105" w:type="dxa"/>
              <w:right w:w="105" w:type="dxa"/>
            </w:tcMar>
            <w:vAlign w:val="center"/>
          </w:tcPr>
          <w:p w14:paraId="75071214" w14:textId="77777777" w:rsidR="002B060A" w:rsidRDefault="006040A7" w:rsidP="00C07A0A">
            <w:pPr>
              <w:rPr>
                <w:rFonts w:ascii="Calibri" w:eastAsia="Calibri" w:hAnsi="Calibri" w:cs="Calibri"/>
                <w:sz w:val="22"/>
                <w:szCs w:val="22"/>
              </w:rPr>
            </w:pPr>
            <w:r>
              <w:rPr>
                <w:rFonts w:ascii="Calibri" w:eastAsia="Calibri" w:hAnsi="Calibri" w:cs="Calibri"/>
                <w:b/>
                <w:bCs/>
                <w:sz w:val="22"/>
                <w:szCs w:val="22"/>
              </w:rPr>
              <w:t>Sustainability</w:t>
            </w:r>
            <w:r>
              <w:rPr>
                <w:rFonts w:ascii="Calibri" w:eastAsia="Calibri" w:hAnsi="Calibri" w:cs="Calibri"/>
                <w:sz w:val="22"/>
                <w:szCs w:val="22"/>
              </w:rPr>
              <w:t>: To what extent are there financial, institutional, socio-political, and/or environmental risks to sustaining long-term project results?</w:t>
            </w:r>
          </w:p>
        </w:tc>
      </w:tr>
      <w:tr w:rsidR="00C93626" w14:paraId="7507121F" w14:textId="77777777" w:rsidTr="001071B4">
        <w:trPr>
          <w:trHeight w:val="255"/>
        </w:trPr>
        <w:tc>
          <w:tcPr>
            <w:tcW w:w="3746" w:type="dxa"/>
            <w:tcMar>
              <w:left w:w="105" w:type="dxa"/>
              <w:right w:w="105" w:type="dxa"/>
            </w:tcMar>
            <w:vAlign w:val="center"/>
          </w:tcPr>
          <w:p w14:paraId="75071216"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lastRenderedPageBreak/>
              <w:t xml:space="preserve">To what extent do approaches used in the project address sustainability from a systems perspective?  </w:t>
            </w:r>
          </w:p>
        </w:tc>
        <w:tc>
          <w:tcPr>
            <w:tcW w:w="3231" w:type="dxa"/>
            <w:tcMar>
              <w:left w:w="105" w:type="dxa"/>
              <w:right w:w="105" w:type="dxa"/>
            </w:tcMar>
            <w:vAlign w:val="center"/>
          </w:tcPr>
          <w:p w14:paraId="75071217"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Alignment of project outcomes with WHO Operational Framework for climate resilient and low carbon health systems (2023)</w:t>
            </w:r>
          </w:p>
        </w:tc>
        <w:tc>
          <w:tcPr>
            <w:tcW w:w="3342" w:type="dxa"/>
            <w:tcMar>
              <w:left w:w="105" w:type="dxa"/>
              <w:right w:w="105" w:type="dxa"/>
            </w:tcMar>
            <w:vAlign w:val="center"/>
          </w:tcPr>
          <w:p w14:paraId="75071218"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Project documentation (annual reports)</w:t>
            </w:r>
          </w:p>
          <w:p w14:paraId="75071219"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project team</w:t>
            </w:r>
          </w:p>
          <w:p w14:paraId="7507121A" w14:textId="77777777" w:rsidR="002B060A" w:rsidRDefault="002B060A" w:rsidP="00C07A0A">
            <w:pPr>
              <w:rPr>
                <w:rFonts w:ascii="Calibri" w:eastAsia="Calibri" w:hAnsi="Calibri" w:cs="Calibri"/>
                <w:sz w:val="22"/>
                <w:szCs w:val="22"/>
              </w:rPr>
            </w:pPr>
          </w:p>
        </w:tc>
        <w:tc>
          <w:tcPr>
            <w:tcW w:w="3384" w:type="dxa"/>
            <w:tcMar>
              <w:left w:w="105" w:type="dxa"/>
              <w:right w:w="105" w:type="dxa"/>
            </w:tcMar>
            <w:vAlign w:val="center"/>
          </w:tcPr>
          <w:p w14:paraId="7507121B"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w:t>
            </w:r>
          </w:p>
          <w:p w14:paraId="7507121C"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p w14:paraId="7507121D" w14:textId="77777777" w:rsidR="002B060A" w:rsidRDefault="002B060A" w:rsidP="00C07A0A">
            <w:pPr>
              <w:ind w:left="38"/>
              <w:rPr>
                <w:rFonts w:ascii="Calibri" w:eastAsia="Calibri" w:hAnsi="Calibri" w:cs="Calibri"/>
                <w:sz w:val="22"/>
                <w:szCs w:val="22"/>
              </w:rPr>
            </w:pPr>
          </w:p>
        </w:tc>
        <w:tc>
          <w:tcPr>
            <w:tcW w:w="230" w:type="dxa"/>
            <w:gridSpan w:val="2"/>
            <w:tcBorders>
              <w:top w:val="nil"/>
              <w:bottom w:val="nil"/>
              <w:right w:val="nil"/>
            </w:tcBorders>
            <w:tcMar>
              <w:left w:w="105" w:type="dxa"/>
              <w:right w:w="105" w:type="dxa"/>
            </w:tcMar>
            <w:vAlign w:val="center"/>
          </w:tcPr>
          <w:p w14:paraId="7507121E" w14:textId="77777777" w:rsidR="002B060A" w:rsidRDefault="002B060A" w:rsidP="00C07A0A">
            <w:pPr>
              <w:spacing w:after="120"/>
              <w:rPr>
                <w:rFonts w:ascii="Calibri" w:eastAsia="Calibri" w:hAnsi="Calibri" w:cs="Calibri"/>
                <w:sz w:val="20"/>
                <w:szCs w:val="20"/>
              </w:rPr>
            </w:pPr>
          </w:p>
        </w:tc>
      </w:tr>
      <w:tr w:rsidR="00C93626" w14:paraId="7507122A" w14:textId="77777777" w:rsidTr="001071B4">
        <w:trPr>
          <w:trHeight w:val="255"/>
        </w:trPr>
        <w:tc>
          <w:tcPr>
            <w:tcW w:w="3746" w:type="dxa"/>
            <w:tcMar>
              <w:left w:w="105" w:type="dxa"/>
              <w:right w:w="105" w:type="dxa"/>
            </w:tcMar>
            <w:vAlign w:val="center"/>
          </w:tcPr>
          <w:p w14:paraId="75071220"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What is the likelihood that the results and impacts of a project will continue beyond its completion?</w:t>
            </w:r>
          </w:p>
        </w:tc>
        <w:tc>
          <w:tcPr>
            <w:tcW w:w="3231" w:type="dxa"/>
            <w:tcMar>
              <w:left w:w="105" w:type="dxa"/>
              <w:right w:w="105" w:type="dxa"/>
            </w:tcMar>
            <w:vAlign w:val="center"/>
          </w:tcPr>
          <w:p w14:paraId="75071221"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Availability of resources, strategy/action plans, institutional capacity,  stakeholder ownership, etc. and evidence of integration in MoH/government systems</w:t>
            </w:r>
          </w:p>
        </w:tc>
        <w:tc>
          <w:tcPr>
            <w:tcW w:w="3342" w:type="dxa"/>
            <w:tcMar>
              <w:left w:w="105" w:type="dxa"/>
              <w:right w:w="105" w:type="dxa"/>
            </w:tcMar>
            <w:vAlign w:val="center"/>
          </w:tcPr>
          <w:p w14:paraId="75071222"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Project documentation (final project reports)</w:t>
            </w:r>
          </w:p>
          <w:p w14:paraId="75071223"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national and project stakeholders</w:t>
            </w:r>
          </w:p>
          <w:p w14:paraId="75071224" w14:textId="77777777" w:rsidR="002B060A" w:rsidRDefault="002B060A" w:rsidP="00C07A0A">
            <w:pPr>
              <w:ind w:left="720"/>
              <w:rPr>
                <w:rFonts w:ascii="Calibri" w:eastAsia="Calibri" w:hAnsi="Calibri" w:cs="Calibri"/>
                <w:sz w:val="22"/>
                <w:szCs w:val="22"/>
              </w:rPr>
            </w:pPr>
          </w:p>
        </w:tc>
        <w:tc>
          <w:tcPr>
            <w:tcW w:w="3384" w:type="dxa"/>
            <w:tcMar>
              <w:left w:w="105" w:type="dxa"/>
              <w:right w:w="105" w:type="dxa"/>
            </w:tcMar>
            <w:vAlign w:val="center"/>
          </w:tcPr>
          <w:p w14:paraId="75071225"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Project documentation (annual reports)</w:t>
            </w:r>
          </w:p>
          <w:p w14:paraId="75071226"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Stakeholder interviews</w:t>
            </w:r>
          </w:p>
          <w:p w14:paraId="75071227"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Field trip data</w:t>
            </w:r>
          </w:p>
          <w:p w14:paraId="75071228" w14:textId="77777777" w:rsidR="002B060A" w:rsidRDefault="002B060A" w:rsidP="00C07A0A">
            <w:pPr>
              <w:rPr>
                <w:rFonts w:ascii="Calibri" w:eastAsia="Calibri" w:hAnsi="Calibri" w:cs="Calibri"/>
                <w:sz w:val="22"/>
                <w:szCs w:val="22"/>
              </w:rPr>
            </w:pPr>
          </w:p>
        </w:tc>
        <w:tc>
          <w:tcPr>
            <w:tcW w:w="230" w:type="dxa"/>
            <w:gridSpan w:val="2"/>
            <w:tcBorders>
              <w:top w:val="nil"/>
              <w:bottom w:val="nil"/>
              <w:right w:val="nil"/>
            </w:tcBorders>
            <w:tcMar>
              <w:left w:w="105" w:type="dxa"/>
              <w:right w:w="105" w:type="dxa"/>
            </w:tcMar>
            <w:vAlign w:val="center"/>
          </w:tcPr>
          <w:p w14:paraId="75071229" w14:textId="77777777" w:rsidR="002B060A" w:rsidRDefault="002B060A" w:rsidP="00C07A0A">
            <w:pPr>
              <w:spacing w:after="120"/>
              <w:rPr>
                <w:rFonts w:ascii="Calibri" w:eastAsia="Calibri" w:hAnsi="Calibri" w:cs="Calibri"/>
                <w:sz w:val="20"/>
                <w:szCs w:val="20"/>
              </w:rPr>
            </w:pPr>
          </w:p>
        </w:tc>
      </w:tr>
      <w:tr w:rsidR="00C93626" w14:paraId="75071234" w14:textId="77777777" w:rsidTr="001071B4">
        <w:trPr>
          <w:trHeight w:val="255"/>
        </w:trPr>
        <w:tc>
          <w:tcPr>
            <w:tcW w:w="3746" w:type="dxa"/>
            <w:tcMar>
              <w:left w:w="105" w:type="dxa"/>
              <w:right w:w="105" w:type="dxa"/>
            </w:tcMar>
            <w:vAlign w:val="center"/>
          </w:tcPr>
          <w:p w14:paraId="7507122B"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Has evidence and learning from the project been used to leverage future program design and implementation at the country level?  </w:t>
            </w:r>
          </w:p>
        </w:tc>
        <w:tc>
          <w:tcPr>
            <w:tcW w:w="3231" w:type="dxa"/>
            <w:tcMar>
              <w:left w:w="105" w:type="dxa"/>
              <w:right w:w="105" w:type="dxa"/>
            </w:tcMar>
            <w:vAlign w:val="center"/>
          </w:tcPr>
          <w:p w14:paraId="7507122C"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Evidence of integration of project learnings/evidence in MoH/Government systems, policies and implementation plans (including HNAPs) </w:t>
            </w:r>
          </w:p>
        </w:tc>
        <w:tc>
          <w:tcPr>
            <w:tcW w:w="3342" w:type="dxa"/>
            <w:tcMar>
              <w:left w:w="105" w:type="dxa"/>
              <w:right w:w="105" w:type="dxa"/>
            </w:tcMar>
            <w:vAlign w:val="center"/>
          </w:tcPr>
          <w:p w14:paraId="7507122D"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Evidence of national policies, guidelines and plans developed</w:t>
            </w:r>
          </w:p>
          <w:p w14:paraId="7507122E"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national and project stakeholders</w:t>
            </w:r>
          </w:p>
          <w:p w14:paraId="7507122F" w14:textId="77777777" w:rsidR="002B060A" w:rsidRDefault="006040A7" w:rsidP="00C07A0A">
            <w:pPr>
              <w:ind w:left="720"/>
              <w:rPr>
                <w:rFonts w:ascii="Calibri" w:eastAsia="Calibri" w:hAnsi="Calibri" w:cs="Calibri"/>
                <w:sz w:val="22"/>
                <w:szCs w:val="22"/>
              </w:rPr>
            </w:pPr>
            <w:r>
              <w:rPr>
                <w:rFonts w:ascii="Calibri" w:eastAsia="Calibri" w:hAnsi="Calibri" w:cs="Calibri"/>
                <w:sz w:val="22"/>
                <w:szCs w:val="22"/>
              </w:rPr>
              <w:t xml:space="preserve">  </w:t>
            </w:r>
          </w:p>
        </w:tc>
        <w:tc>
          <w:tcPr>
            <w:tcW w:w="3384" w:type="dxa"/>
            <w:tcMar>
              <w:left w:w="105" w:type="dxa"/>
              <w:right w:w="105" w:type="dxa"/>
            </w:tcMar>
            <w:vAlign w:val="center"/>
          </w:tcPr>
          <w:p w14:paraId="75071230"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w:t>
            </w:r>
          </w:p>
          <w:p w14:paraId="75071231"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p w14:paraId="75071232" w14:textId="77777777" w:rsidR="002B060A" w:rsidRDefault="002B060A" w:rsidP="00C07A0A">
            <w:pPr>
              <w:rPr>
                <w:rFonts w:ascii="Calibri" w:eastAsia="Calibri" w:hAnsi="Calibri" w:cs="Calibri"/>
                <w:sz w:val="22"/>
                <w:szCs w:val="22"/>
              </w:rPr>
            </w:pPr>
          </w:p>
        </w:tc>
        <w:tc>
          <w:tcPr>
            <w:tcW w:w="230" w:type="dxa"/>
            <w:gridSpan w:val="2"/>
            <w:tcBorders>
              <w:top w:val="nil"/>
              <w:bottom w:val="nil"/>
              <w:right w:val="nil"/>
            </w:tcBorders>
            <w:tcMar>
              <w:left w:w="105" w:type="dxa"/>
              <w:right w:w="105" w:type="dxa"/>
            </w:tcMar>
            <w:vAlign w:val="center"/>
          </w:tcPr>
          <w:p w14:paraId="75071233" w14:textId="77777777" w:rsidR="002B060A" w:rsidRDefault="002B060A" w:rsidP="00C07A0A">
            <w:pPr>
              <w:spacing w:after="120"/>
              <w:rPr>
                <w:rFonts w:ascii="Calibri" w:eastAsia="Calibri" w:hAnsi="Calibri" w:cs="Calibri"/>
                <w:sz w:val="20"/>
                <w:szCs w:val="20"/>
              </w:rPr>
            </w:pPr>
          </w:p>
        </w:tc>
      </w:tr>
      <w:tr w:rsidR="00C93626" w14:paraId="7507123E" w14:textId="77777777" w:rsidTr="001071B4">
        <w:trPr>
          <w:trHeight w:val="255"/>
        </w:trPr>
        <w:tc>
          <w:tcPr>
            <w:tcW w:w="3746" w:type="dxa"/>
            <w:tcMar>
              <w:left w:w="105" w:type="dxa"/>
              <w:right w:w="105" w:type="dxa"/>
            </w:tcMar>
            <w:vAlign w:val="center"/>
          </w:tcPr>
          <w:p w14:paraId="75071235"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How will project activities be sustained financially after the end of the project? </w:t>
            </w:r>
          </w:p>
        </w:tc>
        <w:tc>
          <w:tcPr>
            <w:tcW w:w="3231" w:type="dxa"/>
            <w:tcMar>
              <w:left w:w="105" w:type="dxa"/>
              <w:right w:w="105" w:type="dxa"/>
            </w:tcMar>
            <w:vAlign w:val="center"/>
          </w:tcPr>
          <w:p w14:paraId="75071236"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Availability and sources of finance to sustain and scale-up project activities</w:t>
            </w:r>
          </w:p>
          <w:p w14:paraId="75071237" w14:textId="77777777" w:rsidR="002B060A" w:rsidRDefault="006040A7" w:rsidP="00C07A0A">
            <w:pPr>
              <w:rPr>
                <w:rFonts w:ascii="Calibri" w:eastAsia="Calibri" w:hAnsi="Calibri" w:cs="Calibri"/>
                <w:sz w:val="22"/>
                <w:szCs w:val="22"/>
              </w:rPr>
            </w:pPr>
            <w:r>
              <w:rPr>
                <w:rFonts w:ascii="Calibri" w:hAnsi="Calibri" w:cs="Calibri"/>
              </w:rPr>
              <w:br/>
            </w:r>
            <w:r>
              <w:rPr>
                <w:rFonts w:ascii="Calibri" w:eastAsia="Calibri" w:hAnsi="Calibri" w:cs="Calibri"/>
                <w:sz w:val="22"/>
                <w:szCs w:val="22"/>
              </w:rPr>
              <w:t>Plans/strategies for securing future finance</w:t>
            </w:r>
          </w:p>
        </w:tc>
        <w:tc>
          <w:tcPr>
            <w:tcW w:w="3342" w:type="dxa"/>
            <w:tcMar>
              <w:left w:w="105" w:type="dxa"/>
              <w:right w:w="105" w:type="dxa"/>
            </w:tcMar>
            <w:vAlign w:val="center"/>
          </w:tcPr>
          <w:p w14:paraId="75071238"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national and project stakeholders</w:t>
            </w:r>
          </w:p>
          <w:p w14:paraId="75071239" w14:textId="77777777" w:rsidR="002B060A" w:rsidRDefault="002B060A" w:rsidP="00C07A0A">
            <w:pPr>
              <w:ind w:left="360"/>
              <w:rPr>
                <w:rFonts w:ascii="Calibri" w:eastAsia="Calibri" w:hAnsi="Calibri" w:cs="Calibri"/>
                <w:sz w:val="22"/>
                <w:szCs w:val="22"/>
              </w:rPr>
            </w:pPr>
          </w:p>
        </w:tc>
        <w:tc>
          <w:tcPr>
            <w:tcW w:w="3384" w:type="dxa"/>
            <w:tcMar>
              <w:left w:w="105" w:type="dxa"/>
              <w:right w:w="105" w:type="dxa"/>
            </w:tcMar>
            <w:vAlign w:val="center"/>
          </w:tcPr>
          <w:p w14:paraId="7507123A"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Stakeholder interviews</w:t>
            </w:r>
          </w:p>
          <w:p w14:paraId="7507123B"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Field trip data</w:t>
            </w:r>
          </w:p>
          <w:p w14:paraId="7507123C" w14:textId="77777777" w:rsidR="002B060A" w:rsidRDefault="002B060A" w:rsidP="00C07A0A">
            <w:pPr>
              <w:ind w:left="398"/>
              <w:rPr>
                <w:rFonts w:ascii="Calibri" w:eastAsia="Calibri" w:hAnsi="Calibri" w:cs="Calibri"/>
                <w:sz w:val="22"/>
                <w:szCs w:val="22"/>
              </w:rPr>
            </w:pPr>
          </w:p>
        </w:tc>
        <w:tc>
          <w:tcPr>
            <w:tcW w:w="230" w:type="dxa"/>
            <w:gridSpan w:val="2"/>
            <w:tcBorders>
              <w:top w:val="nil"/>
              <w:bottom w:val="nil"/>
              <w:right w:val="nil"/>
            </w:tcBorders>
            <w:tcMar>
              <w:left w:w="105" w:type="dxa"/>
              <w:right w:w="105" w:type="dxa"/>
            </w:tcMar>
            <w:vAlign w:val="center"/>
          </w:tcPr>
          <w:p w14:paraId="7507123D" w14:textId="77777777" w:rsidR="002B060A" w:rsidRDefault="002B060A" w:rsidP="00C07A0A">
            <w:pPr>
              <w:spacing w:after="120"/>
              <w:rPr>
                <w:rFonts w:ascii="Calibri" w:eastAsia="Calibri" w:hAnsi="Calibri" w:cs="Calibri"/>
                <w:sz w:val="20"/>
                <w:szCs w:val="20"/>
              </w:rPr>
            </w:pPr>
          </w:p>
        </w:tc>
      </w:tr>
      <w:tr w:rsidR="00C93626" w14:paraId="75071240" w14:textId="77777777" w:rsidTr="001071B4">
        <w:trPr>
          <w:gridAfter w:val="1"/>
          <w:wAfter w:w="191" w:type="dxa"/>
          <w:trHeight w:val="255"/>
        </w:trPr>
        <w:tc>
          <w:tcPr>
            <w:tcW w:w="13742" w:type="dxa"/>
            <w:gridSpan w:val="5"/>
            <w:shd w:val="clear" w:color="auto" w:fill="D8EAEF"/>
            <w:tcMar>
              <w:left w:w="105" w:type="dxa"/>
              <w:right w:w="105" w:type="dxa"/>
            </w:tcMar>
            <w:vAlign w:val="center"/>
          </w:tcPr>
          <w:p w14:paraId="7507123F" w14:textId="77777777" w:rsidR="002B060A" w:rsidRDefault="006040A7" w:rsidP="00C07A0A">
            <w:pPr>
              <w:rPr>
                <w:rFonts w:ascii="Calibri" w:eastAsia="Calibri" w:hAnsi="Calibri" w:cs="Calibri"/>
                <w:sz w:val="22"/>
                <w:szCs w:val="22"/>
              </w:rPr>
            </w:pPr>
            <w:r>
              <w:rPr>
                <w:rFonts w:ascii="Calibri" w:eastAsia="Calibri" w:hAnsi="Calibri" w:cs="Calibri"/>
                <w:b/>
                <w:bCs/>
                <w:sz w:val="22"/>
                <w:szCs w:val="22"/>
              </w:rPr>
              <w:t>Gender equality and women’s empowerment:</w:t>
            </w:r>
            <w:r>
              <w:rPr>
                <w:rFonts w:ascii="Calibri" w:eastAsia="Calibri" w:hAnsi="Calibri" w:cs="Calibri"/>
                <w:sz w:val="22"/>
                <w:szCs w:val="22"/>
              </w:rPr>
              <w:t xml:space="preserve"> How did the project contribute to gender equality and women’s empowerment?   </w:t>
            </w:r>
          </w:p>
        </w:tc>
      </w:tr>
      <w:tr w:rsidR="00C93626" w14:paraId="7507124D" w14:textId="77777777" w:rsidTr="001071B4">
        <w:trPr>
          <w:trHeight w:val="255"/>
        </w:trPr>
        <w:tc>
          <w:tcPr>
            <w:tcW w:w="3746" w:type="dxa"/>
            <w:tcMar>
              <w:left w:w="105" w:type="dxa"/>
              <w:right w:w="105" w:type="dxa"/>
            </w:tcMar>
            <w:vAlign w:val="center"/>
          </w:tcPr>
          <w:p w14:paraId="75071241"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To what extent has gender equality and women’s empowerment been considered in programming, monitoring, funding and decision making?</w:t>
            </w:r>
          </w:p>
        </w:tc>
        <w:tc>
          <w:tcPr>
            <w:tcW w:w="3231" w:type="dxa"/>
            <w:tcMar>
              <w:left w:w="105" w:type="dxa"/>
              <w:right w:w="105" w:type="dxa"/>
            </w:tcMar>
            <w:vAlign w:val="center"/>
          </w:tcPr>
          <w:p w14:paraId="75071242"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No. of women trained on climate change and health  </w:t>
            </w:r>
          </w:p>
          <w:p w14:paraId="75071243"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 Gender equality adopted in project design and implementation </w:t>
            </w:r>
          </w:p>
          <w:p w14:paraId="75071244"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 Gender disaggregated data collected as part of vulnerability </w:t>
            </w:r>
            <w:r>
              <w:rPr>
                <w:rFonts w:ascii="Calibri" w:eastAsia="Calibri" w:hAnsi="Calibri" w:cs="Calibri"/>
                <w:sz w:val="22"/>
                <w:szCs w:val="22"/>
              </w:rPr>
              <w:lastRenderedPageBreak/>
              <w:t xml:space="preserve">assessments and other monitoring activities  </w:t>
            </w:r>
          </w:p>
        </w:tc>
        <w:tc>
          <w:tcPr>
            <w:tcW w:w="3342" w:type="dxa"/>
            <w:tcMar>
              <w:left w:w="105" w:type="dxa"/>
              <w:right w:w="105" w:type="dxa"/>
            </w:tcMar>
            <w:vAlign w:val="center"/>
          </w:tcPr>
          <w:p w14:paraId="75071245"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lastRenderedPageBreak/>
              <w:t>Project documentation (gender reports, annual reports)</w:t>
            </w:r>
          </w:p>
          <w:p w14:paraId="75071246"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Gender disaggregated V&amp;A assessments completed or updated </w:t>
            </w:r>
          </w:p>
          <w:p w14:paraId="75071247"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Capacity building activity data</w:t>
            </w:r>
          </w:p>
          <w:p w14:paraId="75071248" w14:textId="77777777" w:rsidR="002B060A" w:rsidRDefault="002B060A" w:rsidP="00C07A0A">
            <w:pPr>
              <w:rPr>
                <w:rFonts w:ascii="Calibri" w:eastAsia="Calibri" w:hAnsi="Calibri" w:cs="Calibri"/>
                <w:sz w:val="22"/>
                <w:szCs w:val="22"/>
              </w:rPr>
            </w:pPr>
          </w:p>
        </w:tc>
        <w:tc>
          <w:tcPr>
            <w:tcW w:w="3384" w:type="dxa"/>
            <w:tcMar>
              <w:left w:w="105" w:type="dxa"/>
              <w:right w:w="105" w:type="dxa"/>
            </w:tcMar>
            <w:vAlign w:val="center"/>
          </w:tcPr>
          <w:p w14:paraId="75071249"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w:t>
            </w:r>
          </w:p>
          <w:p w14:paraId="7507124A"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Stakeholder interviews</w:t>
            </w:r>
          </w:p>
          <w:p w14:paraId="7507124B" w14:textId="77777777" w:rsidR="002B060A" w:rsidRDefault="002B060A" w:rsidP="00C07A0A">
            <w:pPr>
              <w:rPr>
                <w:rFonts w:ascii="Calibri" w:eastAsia="Calibri" w:hAnsi="Calibri" w:cs="Calibri"/>
                <w:sz w:val="22"/>
                <w:szCs w:val="22"/>
              </w:rPr>
            </w:pPr>
          </w:p>
        </w:tc>
        <w:tc>
          <w:tcPr>
            <w:tcW w:w="230" w:type="dxa"/>
            <w:gridSpan w:val="2"/>
            <w:tcBorders>
              <w:top w:val="nil"/>
              <w:bottom w:val="nil"/>
              <w:right w:val="nil"/>
            </w:tcBorders>
            <w:tcMar>
              <w:left w:w="105" w:type="dxa"/>
              <w:right w:w="105" w:type="dxa"/>
            </w:tcMar>
            <w:vAlign w:val="center"/>
          </w:tcPr>
          <w:p w14:paraId="7507124C" w14:textId="77777777" w:rsidR="002B060A" w:rsidRDefault="002B060A" w:rsidP="00C07A0A">
            <w:pPr>
              <w:spacing w:after="120"/>
              <w:rPr>
                <w:rFonts w:ascii="Calibri" w:eastAsia="Calibri" w:hAnsi="Calibri" w:cs="Calibri"/>
                <w:sz w:val="20"/>
                <w:szCs w:val="20"/>
              </w:rPr>
            </w:pPr>
          </w:p>
        </w:tc>
      </w:tr>
      <w:tr w:rsidR="00C93626" w14:paraId="7507124F" w14:textId="77777777" w:rsidTr="001071B4">
        <w:trPr>
          <w:gridAfter w:val="1"/>
          <w:wAfter w:w="191" w:type="dxa"/>
          <w:trHeight w:val="255"/>
        </w:trPr>
        <w:tc>
          <w:tcPr>
            <w:tcW w:w="13742" w:type="dxa"/>
            <w:gridSpan w:val="5"/>
            <w:shd w:val="clear" w:color="auto" w:fill="D8EAEF"/>
            <w:tcMar>
              <w:left w:w="105" w:type="dxa"/>
              <w:right w:w="105" w:type="dxa"/>
            </w:tcMar>
            <w:vAlign w:val="center"/>
          </w:tcPr>
          <w:p w14:paraId="7507124E" w14:textId="77777777" w:rsidR="002B060A" w:rsidRDefault="006040A7" w:rsidP="00C07A0A">
            <w:pPr>
              <w:rPr>
                <w:rFonts w:ascii="Calibri" w:eastAsia="Calibri" w:hAnsi="Calibri" w:cs="Calibri"/>
                <w:color w:val="000000" w:themeColor="text1"/>
                <w:sz w:val="22"/>
                <w:szCs w:val="22"/>
              </w:rPr>
            </w:pPr>
            <w:r>
              <w:rPr>
                <w:rFonts w:ascii="Calibri" w:eastAsia="Calibri" w:hAnsi="Calibri" w:cs="Calibri"/>
                <w:b/>
                <w:bCs/>
                <w:sz w:val="22"/>
                <w:szCs w:val="22"/>
              </w:rPr>
              <w:t>Impact:</w:t>
            </w:r>
            <w:r>
              <w:rPr>
                <w:rFonts w:ascii="Calibri" w:eastAsia="Calibri" w:hAnsi="Calibri" w:cs="Calibri"/>
                <w:sz w:val="22"/>
                <w:szCs w:val="22"/>
              </w:rPr>
              <w:t xml:space="preserve"> </w:t>
            </w:r>
            <w:r>
              <w:rPr>
                <w:rFonts w:ascii="Calibri" w:eastAsia="Calibri" w:hAnsi="Calibri" w:cs="Calibri"/>
                <w:color w:val="000000" w:themeColor="text1"/>
                <w:sz w:val="22"/>
                <w:szCs w:val="22"/>
              </w:rPr>
              <w:t>Are there indications that the project has contributed to, or enabled progress toward reduced environmental stress and/or improved ecological status and increased resilience of health systems to protect population health in the face of climate change?</w:t>
            </w:r>
          </w:p>
        </w:tc>
      </w:tr>
      <w:tr w:rsidR="00C93626" w14:paraId="7507125D" w14:textId="77777777" w:rsidTr="001071B4">
        <w:trPr>
          <w:trHeight w:val="255"/>
        </w:trPr>
        <w:tc>
          <w:tcPr>
            <w:tcW w:w="3746" w:type="dxa"/>
            <w:tcMar>
              <w:left w:w="105" w:type="dxa"/>
              <w:right w:w="105" w:type="dxa"/>
            </w:tcMar>
            <w:vAlign w:val="center"/>
          </w:tcPr>
          <w:p w14:paraId="75071250"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How has the project results contributed to reducing environmental stress and/or improving ecological status (e.g. through emission reductions, water, energy savings, proper management of  health care waste, etc.)</w:t>
            </w:r>
          </w:p>
        </w:tc>
        <w:tc>
          <w:tcPr>
            <w:tcW w:w="3231" w:type="dxa"/>
            <w:tcMar>
              <w:left w:w="105" w:type="dxa"/>
              <w:right w:w="105" w:type="dxa"/>
            </w:tcMar>
            <w:vAlign w:val="center"/>
          </w:tcPr>
          <w:p w14:paraId="75071251"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Environmental performance indicators</w:t>
            </w:r>
          </w:p>
          <w:p w14:paraId="75071252" w14:textId="77777777" w:rsidR="002B060A" w:rsidRDefault="002B060A" w:rsidP="00C07A0A">
            <w:pPr>
              <w:rPr>
                <w:rFonts w:ascii="Calibri" w:eastAsia="Calibri" w:hAnsi="Calibri" w:cs="Calibri"/>
                <w:sz w:val="22"/>
                <w:szCs w:val="22"/>
              </w:rPr>
            </w:pPr>
          </w:p>
          <w:p w14:paraId="75071253"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 xml:space="preserve">Progress towards climate resilience of health systems  </w:t>
            </w:r>
          </w:p>
        </w:tc>
        <w:tc>
          <w:tcPr>
            <w:tcW w:w="3342" w:type="dxa"/>
            <w:tcMar>
              <w:left w:w="105" w:type="dxa"/>
              <w:right w:w="105" w:type="dxa"/>
            </w:tcMar>
            <w:vAlign w:val="center"/>
          </w:tcPr>
          <w:p w14:paraId="75071254"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Project documentation (annual and quarterly reports)</w:t>
            </w:r>
          </w:p>
          <w:p w14:paraId="75071255"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project stakeholders</w:t>
            </w:r>
          </w:p>
          <w:p w14:paraId="75071256"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Environmental/ecological data </w:t>
            </w:r>
          </w:p>
          <w:p w14:paraId="75071257"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Alignment with </w:t>
            </w:r>
            <w:r>
              <w:rPr>
                <w:rFonts w:ascii="Calibri" w:eastAsia="Calibri" w:hAnsi="Calibri" w:cs="Calibri"/>
                <w:i/>
                <w:iCs/>
                <w:sz w:val="22"/>
                <w:szCs w:val="22"/>
              </w:rPr>
              <w:t xml:space="preserve">WHO Operational Framework for Climate Resilience and Low-Carbon Health Systems </w:t>
            </w:r>
            <w:r>
              <w:rPr>
                <w:rFonts w:ascii="Calibri" w:eastAsia="Calibri" w:hAnsi="Calibri" w:cs="Calibri"/>
                <w:sz w:val="22"/>
                <w:szCs w:val="22"/>
              </w:rPr>
              <w:t>(10 components)</w:t>
            </w:r>
          </w:p>
          <w:p w14:paraId="75071258" w14:textId="77777777" w:rsidR="002B060A" w:rsidRDefault="002B060A" w:rsidP="00C07A0A">
            <w:pPr>
              <w:rPr>
                <w:rFonts w:ascii="Calibri" w:eastAsia="Calibri" w:hAnsi="Calibri" w:cs="Calibri"/>
                <w:sz w:val="22"/>
                <w:szCs w:val="22"/>
              </w:rPr>
            </w:pPr>
          </w:p>
        </w:tc>
        <w:tc>
          <w:tcPr>
            <w:tcW w:w="3384" w:type="dxa"/>
            <w:tcMar>
              <w:left w:w="105" w:type="dxa"/>
              <w:right w:w="105" w:type="dxa"/>
            </w:tcMar>
            <w:vAlign w:val="center"/>
          </w:tcPr>
          <w:p w14:paraId="75071259"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w:t>
            </w:r>
          </w:p>
          <w:p w14:paraId="7507125A"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Stakeholder interviews</w:t>
            </w:r>
          </w:p>
          <w:p w14:paraId="7507125B" w14:textId="77777777" w:rsidR="002B060A" w:rsidRDefault="002B060A" w:rsidP="00C07A0A">
            <w:pPr>
              <w:rPr>
                <w:rFonts w:ascii="Calibri" w:eastAsia="Calibri" w:hAnsi="Calibri" w:cs="Calibri"/>
                <w:sz w:val="22"/>
                <w:szCs w:val="22"/>
              </w:rPr>
            </w:pPr>
          </w:p>
        </w:tc>
        <w:tc>
          <w:tcPr>
            <w:tcW w:w="230" w:type="dxa"/>
            <w:gridSpan w:val="2"/>
            <w:tcBorders>
              <w:top w:val="nil"/>
              <w:bottom w:val="nil"/>
              <w:right w:val="nil"/>
            </w:tcBorders>
            <w:tcMar>
              <w:left w:w="105" w:type="dxa"/>
              <w:right w:w="105" w:type="dxa"/>
            </w:tcMar>
            <w:vAlign w:val="center"/>
          </w:tcPr>
          <w:p w14:paraId="7507125C" w14:textId="77777777" w:rsidR="002B060A" w:rsidRDefault="002B060A" w:rsidP="00C07A0A">
            <w:pPr>
              <w:spacing w:after="120"/>
              <w:rPr>
                <w:rFonts w:ascii="Calibri" w:eastAsia="Calibri" w:hAnsi="Calibri" w:cs="Calibri"/>
                <w:sz w:val="20"/>
                <w:szCs w:val="20"/>
              </w:rPr>
            </w:pPr>
          </w:p>
        </w:tc>
      </w:tr>
      <w:tr w:rsidR="00C93626" w14:paraId="75071268" w14:textId="77777777" w:rsidTr="001071B4">
        <w:trPr>
          <w:trHeight w:val="255"/>
        </w:trPr>
        <w:tc>
          <w:tcPr>
            <w:tcW w:w="3746" w:type="dxa"/>
            <w:tcMar>
              <w:left w:w="105" w:type="dxa"/>
              <w:right w:w="105" w:type="dxa"/>
            </w:tcMar>
            <w:vAlign w:val="center"/>
          </w:tcPr>
          <w:p w14:paraId="7507125E"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Are lessons and impacts from the project being adapted for other applicable WHO/GEF/UNDP interventions?</w:t>
            </w:r>
          </w:p>
        </w:tc>
        <w:tc>
          <w:tcPr>
            <w:tcW w:w="3231" w:type="dxa"/>
            <w:tcMar>
              <w:left w:w="105" w:type="dxa"/>
              <w:right w:w="105" w:type="dxa"/>
            </w:tcMar>
            <w:vAlign w:val="center"/>
          </w:tcPr>
          <w:p w14:paraId="7507125F" w14:textId="77777777" w:rsidR="002B060A" w:rsidRDefault="006040A7" w:rsidP="00C07A0A">
            <w:pPr>
              <w:rPr>
                <w:rFonts w:ascii="Calibri" w:eastAsia="Calibri" w:hAnsi="Calibri" w:cs="Calibri"/>
                <w:sz w:val="22"/>
                <w:szCs w:val="22"/>
              </w:rPr>
            </w:pPr>
            <w:r>
              <w:rPr>
                <w:rFonts w:ascii="Calibri" w:eastAsia="Calibri" w:hAnsi="Calibri" w:cs="Calibri"/>
                <w:sz w:val="22"/>
                <w:szCs w:val="22"/>
              </w:rPr>
              <w:t>Potential for disseminating and embedding project strategies in other WHO/GEF/UNDP interventions</w:t>
            </w:r>
          </w:p>
          <w:p w14:paraId="75071260" w14:textId="77777777" w:rsidR="002B060A" w:rsidRDefault="002B060A" w:rsidP="00C07A0A">
            <w:pPr>
              <w:rPr>
                <w:rFonts w:ascii="Calibri" w:eastAsia="Calibri" w:hAnsi="Calibri" w:cs="Calibri"/>
                <w:sz w:val="22"/>
                <w:szCs w:val="22"/>
              </w:rPr>
            </w:pPr>
          </w:p>
        </w:tc>
        <w:tc>
          <w:tcPr>
            <w:tcW w:w="3342" w:type="dxa"/>
            <w:tcMar>
              <w:left w:w="105" w:type="dxa"/>
              <w:right w:w="105" w:type="dxa"/>
            </w:tcMar>
            <w:vAlign w:val="center"/>
          </w:tcPr>
          <w:p w14:paraId="75071261"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Interviews with project stakeholders</w:t>
            </w:r>
          </w:p>
          <w:p w14:paraId="75071262"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Quarterly reports</w:t>
            </w:r>
          </w:p>
          <w:p w14:paraId="75071263"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 xml:space="preserve">Annual reports (communication and knowledge sharing sections) </w:t>
            </w:r>
          </w:p>
        </w:tc>
        <w:tc>
          <w:tcPr>
            <w:tcW w:w="3384" w:type="dxa"/>
            <w:tcMar>
              <w:left w:w="105" w:type="dxa"/>
              <w:right w:w="105" w:type="dxa"/>
            </w:tcMar>
            <w:vAlign w:val="center"/>
          </w:tcPr>
          <w:p w14:paraId="75071264" w14:textId="77777777" w:rsidR="002B060A" w:rsidRDefault="006040A7" w:rsidP="00C07A0A">
            <w:pPr>
              <w:pStyle w:val="ListParagraph"/>
              <w:ind w:left="398"/>
              <w:rPr>
                <w:rFonts w:ascii="Calibri" w:eastAsia="Calibri" w:hAnsi="Calibri" w:cs="Calibri"/>
                <w:sz w:val="22"/>
                <w:szCs w:val="22"/>
              </w:rPr>
            </w:pPr>
            <w:r>
              <w:rPr>
                <w:rFonts w:ascii="Calibri" w:eastAsia="Calibri" w:hAnsi="Calibri" w:cs="Calibri"/>
                <w:sz w:val="22"/>
                <w:szCs w:val="22"/>
              </w:rPr>
              <w:t>Desktop document review</w:t>
            </w:r>
          </w:p>
          <w:p w14:paraId="75071265" w14:textId="77777777" w:rsidR="002B060A" w:rsidRDefault="006040A7" w:rsidP="00C07A0A">
            <w:pPr>
              <w:pStyle w:val="ListParagraph"/>
              <w:ind w:left="385"/>
              <w:rPr>
                <w:rFonts w:ascii="Calibri" w:eastAsia="Calibri" w:hAnsi="Calibri" w:cs="Calibri"/>
                <w:sz w:val="22"/>
                <w:szCs w:val="22"/>
              </w:rPr>
            </w:pPr>
            <w:r>
              <w:rPr>
                <w:rFonts w:ascii="Calibri" w:eastAsia="Calibri" w:hAnsi="Calibri" w:cs="Calibri"/>
                <w:sz w:val="22"/>
                <w:szCs w:val="22"/>
              </w:rPr>
              <w:t>Stakeholder interviews</w:t>
            </w:r>
          </w:p>
          <w:p w14:paraId="75071266" w14:textId="77777777" w:rsidR="002B060A" w:rsidRDefault="002B060A" w:rsidP="00C07A0A">
            <w:pPr>
              <w:ind w:left="398"/>
              <w:rPr>
                <w:rFonts w:ascii="Calibri" w:eastAsia="Calibri" w:hAnsi="Calibri" w:cs="Calibri"/>
                <w:sz w:val="22"/>
                <w:szCs w:val="22"/>
              </w:rPr>
            </w:pPr>
          </w:p>
        </w:tc>
        <w:tc>
          <w:tcPr>
            <w:tcW w:w="230" w:type="dxa"/>
            <w:gridSpan w:val="2"/>
            <w:tcBorders>
              <w:top w:val="nil"/>
              <w:bottom w:val="nil"/>
              <w:right w:val="nil"/>
            </w:tcBorders>
            <w:tcMar>
              <w:left w:w="105" w:type="dxa"/>
              <w:right w:w="105" w:type="dxa"/>
            </w:tcMar>
            <w:vAlign w:val="center"/>
          </w:tcPr>
          <w:p w14:paraId="75071267" w14:textId="77777777" w:rsidR="002B060A" w:rsidRDefault="002B060A" w:rsidP="00C07A0A">
            <w:pPr>
              <w:spacing w:after="120"/>
              <w:rPr>
                <w:rFonts w:ascii="Calibri" w:eastAsia="Calibri" w:hAnsi="Calibri" w:cs="Calibri"/>
                <w:sz w:val="20"/>
                <w:szCs w:val="20"/>
              </w:rPr>
            </w:pPr>
          </w:p>
        </w:tc>
      </w:tr>
    </w:tbl>
    <w:p w14:paraId="75071269" w14:textId="77777777" w:rsidR="002B060A" w:rsidRDefault="002B060A" w:rsidP="00C07A0A">
      <w:pPr>
        <w:pStyle w:val="paragraph"/>
        <w:suppressAutoHyphens/>
        <w:spacing w:before="0" w:beforeAutospacing="0" w:after="0" w:afterAutospacing="0"/>
        <w:textAlignment w:val="baseline"/>
        <w:rPr>
          <w:rFonts w:ascii="Calibri" w:hAnsi="Calibri" w:cs="Calibri"/>
        </w:rPr>
      </w:pPr>
    </w:p>
    <w:p w14:paraId="7507126A" w14:textId="77777777" w:rsidR="002B060A" w:rsidRDefault="002B060A" w:rsidP="00C07A0A">
      <w:pPr>
        <w:pStyle w:val="paragraph"/>
        <w:suppressAutoHyphens/>
        <w:spacing w:before="0" w:beforeAutospacing="0" w:after="0" w:afterAutospacing="0"/>
        <w:textAlignment w:val="baseline"/>
        <w:rPr>
          <w:rFonts w:ascii="Calibri" w:hAnsi="Calibri" w:cs="Calibri"/>
        </w:rPr>
      </w:pPr>
    </w:p>
    <w:p w14:paraId="7507126B" w14:textId="77777777" w:rsidR="002B060A" w:rsidRDefault="002B060A" w:rsidP="00C07A0A">
      <w:pPr>
        <w:pStyle w:val="paragraph"/>
        <w:suppressAutoHyphens/>
        <w:spacing w:before="0" w:beforeAutospacing="0" w:after="0" w:afterAutospacing="0"/>
        <w:textAlignment w:val="baseline"/>
        <w:rPr>
          <w:rFonts w:ascii="Calibri" w:hAnsi="Calibri" w:cs="Calibri"/>
        </w:rPr>
      </w:pPr>
    </w:p>
    <w:p w14:paraId="7507126C" w14:textId="77777777" w:rsidR="002B060A" w:rsidRDefault="006040A7" w:rsidP="00C07A0A">
      <w:pPr>
        <w:pStyle w:val="Heading2"/>
        <w:rPr>
          <w:rFonts w:ascii="Calibri" w:hAnsi="Calibri" w:cs="Calibri"/>
        </w:rPr>
      </w:pPr>
      <w:bookmarkStart w:id="39" w:name="_Toc173429990"/>
      <w:r>
        <w:rPr>
          <w:rFonts w:ascii="Calibri" w:hAnsi="Calibri" w:cs="Calibri"/>
        </w:rPr>
        <w:t>Appendix 3: Document Table</w:t>
      </w:r>
      <w:bookmarkEnd w:id="39"/>
      <w:r>
        <w:rPr>
          <w:rFonts w:ascii="Calibri" w:hAnsi="Calibri" w:cs="Calibri"/>
        </w:rPr>
        <w:t xml:space="preserve"> </w:t>
      </w:r>
    </w:p>
    <w:p w14:paraId="7507126D" w14:textId="77777777" w:rsidR="002B060A" w:rsidRDefault="002B060A" w:rsidP="00C07A0A">
      <w:pPr>
        <w:pStyle w:val="paragraph"/>
        <w:suppressAutoHyphens/>
        <w:spacing w:before="0" w:beforeAutospacing="0" w:after="0" w:afterAutospacing="0"/>
        <w:textAlignment w:val="baseline"/>
        <w:rPr>
          <w:rFonts w:ascii="Calibri" w:hAnsi="Calibri" w:cs="Calibri"/>
        </w:rPr>
      </w:pPr>
    </w:p>
    <w:tbl>
      <w:tblPr>
        <w:tblStyle w:val="TableGrid"/>
        <w:tblW w:w="0" w:type="auto"/>
        <w:tblLayout w:type="fixed"/>
        <w:tblLook w:val="06A0" w:firstRow="1" w:lastRow="0" w:firstColumn="1" w:lastColumn="0" w:noHBand="1" w:noVBand="1"/>
      </w:tblPr>
      <w:tblGrid>
        <w:gridCol w:w="6585"/>
        <w:gridCol w:w="7461"/>
      </w:tblGrid>
      <w:tr w:rsidR="002B060A" w14:paraId="75071270" w14:textId="77777777" w:rsidTr="001071B4">
        <w:trPr>
          <w:trHeight w:val="300"/>
        </w:trPr>
        <w:tc>
          <w:tcPr>
            <w:tcW w:w="6585" w:type="dxa"/>
            <w:shd w:val="clear" w:color="auto" w:fill="A5C9EB" w:themeFill="text2" w:themeFillTint="40"/>
          </w:tcPr>
          <w:p w14:paraId="7507126E" w14:textId="77777777" w:rsidR="002B060A" w:rsidRDefault="006040A7" w:rsidP="00C07A0A">
            <w:pPr>
              <w:rPr>
                <w:rFonts w:ascii="Calibri" w:eastAsia="Calibri" w:hAnsi="Calibri" w:cs="Calibri"/>
              </w:rPr>
            </w:pPr>
            <w:r>
              <w:rPr>
                <w:rFonts w:ascii="Calibri" w:eastAsia="Calibri" w:hAnsi="Calibri" w:cs="Calibri"/>
              </w:rPr>
              <w:t xml:space="preserve">Document </w:t>
            </w:r>
          </w:p>
        </w:tc>
        <w:tc>
          <w:tcPr>
            <w:tcW w:w="7461" w:type="dxa"/>
            <w:shd w:val="clear" w:color="auto" w:fill="A5C9EB" w:themeFill="text2" w:themeFillTint="40"/>
          </w:tcPr>
          <w:p w14:paraId="7507126F" w14:textId="77777777" w:rsidR="002B060A" w:rsidRDefault="006040A7" w:rsidP="00C07A0A">
            <w:pPr>
              <w:rPr>
                <w:rFonts w:ascii="Calibri" w:eastAsia="Calibri" w:hAnsi="Calibri" w:cs="Calibri"/>
              </w:rPr>
            </w:pPr>
            <w:r>
              <w:rPr>
                <w:rFonts w:ascii="Calibri" w:eastAsia="Calibri" w:hAnsi="Calibri" w:cs="Calibri"/>
              </w:rPr>
              <w:t xml:space="preserve">Country </w:t>
            </w:r>
          </w:p>
        </w:tc>
      </w:tr>
      <w:tr w:rsidR="002B060A" w14:paraId="75071272" w14:textId="77777777" w:rsidTr="001071B4">
        <w:trPr>
          <w:trHeight w:val="300"/>
        </w:trPr>
        <w:tc>
          <w:tcPr>
            <w:tcW w:w="14046" w:type="dxa"/>
            <w:gridSpan w:val="2"/>
            <w:shd w:val="clear" w:color="auto" w:fill="DAE9F7" w:themeFill="text2" w:themeFillTint="1A"/>
          </w:tcPr>
          <w:p w14:paraId="75071271" w14:textId="77777777" w:rsidR="002B060A" w:rsidRDefault="006040A7" w:rsidP="00C07A0A">
            <w:pPr>
              <w:rPr>
                <w:rFonts w:ascii="Calibri" w:eastAsia="Calibri" w:hAnsi="Calibri" w:cs="Calibri"/>
              </w:rPr>
            </w:pPr>
            <w:r>
              <w:rPr>
                <w:rFonts w:ascii="Calibri" w:eastAsia="Calibri" w:hAnsi="Calibri" w:cs="Calibri"/>
              </w:rPr>
              <w:t xml:space="preserve">Project inception Report </w:t>
            </w:r>
          </w:p>
        </w:tc>
      </w:tr>
      <w:tr w:rsidR="002B060A" w14:paraId="75071275" w14:textId="77777777" w:rsidTr="001071B4">
        <w:trPr>
          <w:trHeight w:val="300"/>
        </w:trPr>
        <w:tc>
          <w:tcPr>
            <w:tcW w:w="6585" w:type="dxa"/>
          </w:tcPr>
          <w:p w14:paraId="75071273" w14:textId="77777777" w:rsidR="002B060A" w:rsidRDefault="006040A7" w:rsidP="00C07A0A">
            <w:pPr>
              <w:rPr>
                <w:rFonts w:ascii="Calibri" w:eastAsia="Calibri" w:hAnsi="Calibri" w:cs="Calibri"/>
              </w:rPr>
            </w:pPr>
            <w:r>
              <w:rPr>
                <w:rFonts w:ascii="Calibri" w:eastAsia="Calibri" w:hAnsi="Calibri" w:cs="Calibri"/>
              </w:rPr>
              <w:t xml:space="preserve">GEF-UNDP Inception Report_WHO-Nov_revised </w:t>
            </w:r>
          </w:p>
        </w:tc>
        <w:tc>
          <w:tcPr>
            <w:tcW w:w="7461" w:type="dxa"/>
          </w:tcPr>
          <w:p w14:paraId="75071274"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278" w14:textId="77777777" w:rsidTr="001071B4">
        <w:trPr>
          <w:trHeight w:val="300"/>
        </w:trPr>
        <w:tc>
          <w:tcPr>
            <w:tcW w:w="6585" w:type="dxa"/>
          </w:tcPr>
          <w:p w14:paraId="75071276" w14:textId="77777777" w:rsidR="002B060A" w:rsidRDefault="006040A7" w:rsidP="00C07A0A">
            <w:pPr>
              <w:rPr>
                <w:rFonts w:ascii="Calibri" w:eastAsia="Calibri" w:hAnsi="Calibri" w:cs="Calibri"/>
              </w:rPr>
            </w:pPr>
            <w:r>
              <w:rPr>
                <w:rFonts w:ascii="Calibri" w:eastAsia="Calibri" w:hAnsi="Calibri" w:cs="Calibri"/>
              </w:rPr>
              <w:t>National Report</w:t>
            </w:r>
          </w:p>
        </w:tc>
        <w:tc>
          <w:tcPr>
            <w:tcW w:w="7461" w:type="dxa"/>
          </w:tcPr>
          <w:p w14:paraId="75071277" w14:textId="77777777" w:rsidR="002B060A" w:rsidRDefault="006040A7" w:rsidP="00C07A0A">
            <w:pPr>
              <w:rPr>
                <w:rFonts w:ascii="Calibri" w:eastAsia="Calibri" w:hAnsi="Calibri" w:cs="Calibri"/>
              </w:rPr>
            </w:pPr>
            <w:r>
              <w:rPr>
                <w:rFonts w:ascii="Calibri" w:eastAsia="Calibri" w:hAnsi="Calibri" w:cs="Calibri"/>
              </w:rPr>
              <w:t xml:space="preserve">Bangladesh </w:t>
            </w:r>
          </w:p>
        </w:tc>
      </w:tr>
      <w:tr w:rsidR="002B060A" w14:paraId="7507127B" w14:textId="77777777" w:rsidTr="001071B4">
        <w:trPr>
          <w:trHeight w:val="300"/>
        </w:trPr>
        <w:tc>
          <w:tcPr>
            <w:tcW w:w="6585" w:type="dxa"/>
          </w:tcPr>
          <w:p w14:paraId="75071279" w14:textId="77777777" w:rsidR="002B060A" w:rsidRDefault="006040A7" w:rsidP="00C07A0A">
            <w:pPr>
              <w:rPr>
                <w:rFonts w:ascii="Calibri" w:eastAsia="Calibri" w:hAnsi="Calibri" w:cs="Calibri"/>
              </w:rPr>
            </w:pPr>
            <w:r>
              <w:rPr>
                <w:rFonts w:ascii="Calibri" w:eastAsia="Calibri" w:hAnsi="Calibri" w:cs="Calibri"/>
              </w:rPr>
              <w:lastRenderedPageBreak/>
              <w:t>National Report</w:t>
            </w:r>
          </w:p>
        </w:tc>
        <w:tc>
          <w:tcPr>
            <w:tcW w:w="7461" w:type="dxa"/>
          </w:tcPr>
          <w:p w14:paraId="7507127A"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27E" w14:textId="77777777" w:rsidTr="001071B4">
        <w:trPr>
          <w:trHeight w:val="300"/>
        </w:trPr>
        <w:tc>
          <w:tcPr>
            <w:tcW w:w="6585" w:type="dxa"/>
          </w:tcPr>
          <w:p w14:paraId="7507127C" w14:textId="77777777" w:rsidR="002B060A" w:rsidRDefault="006040A7" w:rsidP="00C07A0A">
            <w:pPr>
              <w:rPr>
                <w:rFonts w:ascii="Calibri" w:eastAsia="Calibri" w:hAnsi="Calibri" w:cs="Calibri"/>
              </w:rPr>
            </w:pPr>
            <w:r>
              <w:rPr>
                <w:rFonts w:ascii="Calibri" w:eastAsia="Calibri" w:hAnsi="Calibri" w:cs="Calibri"/>
              </w:rPr>
              <w:t>National Report</w:t>
            </w:r>
          </w:p>
        </w:tc>
        <w:tc>
          <w:tcPr>
            <w:tcW w:w="7461" w:type="dxa"/>
          </w:tcPr>
          <w:p w14:paraId="7507127D"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281" w14:textId="77777777" w:rsidTr="001071B4">
        <w:trPr>
          <w:trHeight w:val="300"/>
        </w:trPr>
        <w:tc>
          <w:tcPr>
            <w:tcW w:w="6585" w:type="dxa"/>
          </w:tcPr>
          <w:p w14:paraId="7507127F" w14:textId="77777777" w:rsidR="002B060A" w:rsidRDefault="006040A7" w:rsidP="00C07A0A">
            <w:pPr>
              <w:rPr>
                <w:rFonts w:ascii="Calibri" w:eastAsia="Calibri" w:hAnsi="Calibri" w:cs="Calibri"/>
              </w:rPr>
            </w:pPr>
            <w:r>
              <w:rPr>
                <w:rFonts w:ascii="Calibri" w:eastAsia="Calibri" w:hAnsi="Calibri" w:cs="Calibri"/>
              </w:rPr>
              <w:t>National Report</w:t>
            </w:r>
          </w:p>
        </w:tc>
        <w:tc>
          <w:tcPr>
            <w:tcW w:w="7461" w:type="dxa"/>
          </w:tcPr>
          <w:p w14:paraId="75071280" w14:textId="77777777" w:rsidR="002B060A" w:rsidRDefault="006040A7" w:rsidP="00C07A0A">
            <w:pPr>
              <w:rPr>
                <w:rFonts w:ascii="Calibri" w:eastAsia="Calibri" w:hAnsi="Calibri" w:cs="Calibri"/>
              </w:rPr>
            </w:pPr>
            <w:r>
              <w:rPr>
                <w:rFonts w:ascii="Calibri" w:eastAsia="Calibri" w:hAnsi="Calibri" w:cs="Calibri"/>
              </w:rPr>
              <w:t>Myanmar</w:t>
            </w:r>
          </w:p>
        </w:tc>
      </w:tr>
      <w:tr w:rsidR="002B060A" w14:paraId="75071284" w14:textId="77777777" w:rsidTr="001071B4">
        <w:trPr>
          <w:trHeight w:val="300"/>
        </w:trPr>
        <w:tc>
          <w:tcPr>
            <w:tcW w:w="6585" w:type="dxa"/>
          </w:tcPr>
          <w:p w14:paraId="75071282" w14:textId="77777777" w:rsidR="002B060A" w:rsidRDefault="006040A7" w:rsidP="00C07A0A">
            <w:pPr>
              <w:rPr>
                <w:rFonts w:ascii="Calibri" w:eastAsia="Calibri" w:hAnsi="Calibri" w:cs="Calibri"/>
              </w:rPr>
            </w:pPr>
            <w:r>
              <w:rPr>
                <w:rFonts w:ascii="Calibri" w:eastAsia="Calibri" w:hAnsi="Calibri" w:cs="Calibri"/>
              </w:rPr>
              <w:t>National Report</w:t>
            </w:r>
          </w:p>
        </w:tc>
        <w:tc>
          <w:tcPr>
            <w:tcW w:w="7461" w:type="dxa"/>
          </w:tcPr>
          <w:p w14:paraId="75071283" w14:textId="77777777" w:rsidR="002B060A" w:rsidRDefault="006040A7" w:rsidP="00C07A0A">
            <w:pPr>
              <w:rPr>
                <w:rFonts w:ascii="Calibri" w:eastAsia="Calibri" w:hAnsi="Calibri" w:cs="Calibri"/>
              </w:rPr>
            </w:pPr>
            <w:r>
              <w:rPr>
                <w:rFonts w:ascii="Calibri" w:eastAsia="Calibri" w:hAnsi="Calibri" w:cs="Calibri"/>
              </w:rPr>
              <w:t>Nepal</w:t>
            </w:r>
          </w:p>
        </w:tc>
      </w:tr>
      <w:tr w:rsidR="002B060A" w14:paraId="75071287" w14:textId="77777777" w:rsidTr="001071B4">
        <w:trPr>
          <w:trHeight w:val="300"/>
        </w:trPr>
        <w:tc>
          <w:tcPr>
            <w:tcW w:w="6585" w:type="dxa"/>
          </w:tcPr>
          <w:p w14:paraId="75071285" w14:textId="77777777" w:rsidR="002B060A" w:rsidRDefault="006040A7" w:rsidP="00C07A0A">
            <w:pPr>
              <w:rPr>
                <w:rFonts w:ascii="Calibri" w:eastAsia="Calibri" w:hAnsi="Calibri" w:cs="Calibri"/>
              </w:rPr>
            </w:pPr>
            <w:r>
              <w:rPr>
                <w:rFonts w:ascii="Calibri" w:eastAsia="Calibri" w:hAnsi="Calibri" w:cs="Calibri"/>
              </w:rPr>
              <w:t>National Report</w:t>
            </w:r>
          </w:p>
        </w:tc>
        <w:tc>
          <w:tcPr>
            <w:tcW w:w="7461" w:type="dxa"/>
          </w:tcPr>
          <w:p w14:paraId="75071286"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289" w14:textId="77777777" w:rsidTr="001071B4">
        <w:trPr>
          <w:trHeight w:val="300"/>
        </w:trPr>
        <w:tc>
          <w:tcPr>
            <w:tcW w:w="14046" w:type="dxa"/>
            <w:gridSpan w:val="2"/>
            <w:shd w:val="clear" w:color="auto" w:fill="DAE9F7" w:themeFill="text2" w:themeFillTint="1A"/>
          </w:tcPr>
          <w:p w14:paraId="75071288" w14:textId="77777777" w:rsidR="002B060A" w:rsidRDefault="006040A7" w:rsidP="00C07A0A">
            <w:pPr>
              <w:rPr>
                <w:rFonts w:ascii="Calibri" w:eastAsia="Calibri" w:hAnsi="Calibri" w:cs="Calibri"/>
              </w:rPr>
            </w:pPr>
            <w:r>
              <w:rPr>
                <w:rFonts w:ascii="Calibri" w:eastAsia="Calibri" w:hAnsi="Calibri" w:cs="Calibri"/>
              </w:rPr>
              <w:t xml:space="preserve">Annual Reports (2023) Year 4 </w:t>
            </w:r>
          </w:p>
        </w:tc>
      </w:tr>
      <w:tr w:rsidR="002B060A" w14:paraId="7507128C" w14:textId="77777777" w:rsidTr="001071B4">
        <w:trPr>
          <w:trHeight w:val="300"/>
        </w:trPr>
        <w:tc>
          <w:tcPr>
            <w:tcW w:w="6585" w:type="dxa"/>
          </w:tcPr>
          <w:p w14:paraId="7507128A" w14:textId="77777777" w:rsidR="002B060A" w:rsidRDefault="006040A7" w:rsidP="00C07A0A">
            <w:pPr>
              <w:rPr>
                <w:rFonts w:ascii="Calibri" w:eastAsia="Calibri" w:hAnsi="Calibri" w:cs="Calibri"/>
              </w:rPr>
            </w:pPr>
            <w:r>
              <w:rPr>
                <w:rFonts w:ascii="Calibri" w:eastAsia="Calibri" w:hAnsi="Calibri" w:cs="Calibri"/>
              </w:rPr>
              <w:t>FINAL 2023-GEF-PIR-PIMS5400-GEFID6984</w:t>
            </w:r>
          </w:p>
        </w:tc>
        <w:tc>
          <w:tcPr>
            <w:tcW w:w="7461" w:type="dxa"/>
          </w:tcPr>
          <w:p w14:paraId="7507128B"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28F" w14:textId="77777777" w:rsidTr="001071B4">
        <w:trPr>
          <w:trHeight w:val="300"/>
        </w:trPr>
        <w:tc>
          <w:tcPr>
            <w:tcW w:w="6585" w:type="dxa"/>
          </w:tcPr>
          <w:p w14:paraId="7507128D" w14:textId="77777777" w:rsidR="002B060A" w:rsidRDefault="006040A7" w:rsidP="00C07A0A">
            <w:pPr>
              <w:rPr>
                <w:rFonts w:ascii="Calibri" w:eastAsia="Calibri" w:hAnsi="Calibri" w:cs="Calibri"/>
              </w:rPr>
            </w:pPr>
            <w:r>
              <w:rPr>
                <w:rFonts w:ascii="Calibri" w:eastAsia="Calibri" w:hAnsi="Calibri" w:cs="Calibri"/>
              </w:rPr>
              <w:t>Objective HNAPS (Outcome 4.2)</w:t>
            </w:r>
          </w:p>
        </w:tc>
        <w:tc>
          <w:tcPr>
            <w:tcW w:w="7461" w:type="dxa"/>
          </w:tcPr>
          <w:p w14:paraId="7507128E"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292" w14:textId="77777777" w:rsidTr="001071B4">
        <w:trPr>
          <w:trHeight w:val="300"/>
        </w:trPr>
        <w:tc>
          <w:tcPr>
            <w:tcW w:w="6585" w:type="dxa"/>
          </w:tcPr>
          <w:p w14:paraId="75071290" w14:textId="77777777" w:rsidR="002B060A" w:rsidRDefault="006040A7" w:rsidP="00C07A0A">
            <w:pPr>
              <w:rPr>
                <w:rFonts w:ascii="Calibri" w:eastAsia="Calibri" w:hAnsi="Calibri" w:cs="Calibri"/>
              </w:rPr>
            </w:pPr>
            <w:r>
              <w:rPr>
                <w:rFonts w:ascii="Calibri" w:eastAsia="Calibri" w:hAnsi="Calibri" w:cs="Calibri"/>
              </w:rPr>
              <w:t xml:space="preserve">Lao PDR_Summary_HNAP_ENG </w:t>
            </w:r>
          </w:p>
        </w:tc>
        <w:tc>
          <w:tcPr>
            <w:tcW w:w="7461" w:type="dxa"/>
          </w:tcPr>
          <w:p w14:paraId="75071291"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295" w14:textId="77777777" w:rsidTr="001071B4">
        <w:trPr>
          <w:trHeight w:val="300"/>
        </w:trPr>
        <w:tc>
          <w:tcPr>
            <w:tcW w:w="6585" w:type="dxa"/>
          </w:tcPr>
          <w:p w14:paraId="75071293" w14:textId="77777777" w:rsidR="002B060A" w:rsidRDefault="006040A7" w:rsidP="00C07A0A">
            <w:pPr>
              <w:rPr>
                <w:rFonts w:ascii="Calibri" w:eastAsia="Calibri" w:hAnsi="Calibri" w:cs="Calibri"/>
              </w:rPr>
            </w:pPr>
            <w:r>
              <w:rPr>
                <w:rFonts w:ascii="Calibri" w:eastAsia="Calibri" w:hAnsi="Calibri" w:cs="Calibri"/>
              </w:rPr>
              <w:t>Quarlery Report_2023_Q4_SEAR&amp;WPR</w:t>
            </w:r>
          </w:p>
        </w:tc>
        <w:tc>
          <w:tcPr>
            <w:tcW w:w="7461" w:type="dxa"/>
          </w:tcPr>
          <w:p w14:paraId="75071294"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298" w14:textId="77777777" w:rsidTr="001071B4">
        <w:trPr>
          <w:trHeight w:val="300"/>
        </w:trPr>
        <w:tc>
          <w:tcPr>
            <w:tcW w:w="6585" w:type="dxa"/>
          </w:tcPr>
          <w:p w14:paraId="75071296" w14:textId="77777777" w:rsidR="002B060A" w:rsidRDefault="006040A7" w:rsidP="00C07A0A">
            <w:pPr>
              <w:rPr>
                <w:rFonts w:ascii="Calibri" w:eastAsia="Calibri" w:hAnsi="Calibri" w:cs="Calibri"/>
              </w:rPr>
            </w:pPr>
            <w:r>
              <w:rPr>
                <w:rFonts w:ascii="Calibri" w:eastAsia="Calibri" w:hAnsi="Calibri" w:cs="Calibri"/>
              </w:rPr>
              <w:t xml:space="preserve">Quarterly Report _2023-Q1 FINAL </w:t>
            </w:r>
          </w:p>
        </w:tc>
        <w:tc>
          <w:tcPr>
            <w:tcW w:w="7461" w:type="dxa"/>
          </w:tcPr>
          <w:p w14:paraId="75071297"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29B" w14:textId="77777777" w:rsidTr="001071B4">
        <w:trPr>
          <w:trHeight w:val="300"/>
        </w:trPr>
        <w:tc>
          <w:tcPr>
            <w:tcW w:w="6585" w:type="dxa"/>
          </w:tcPr>
          <w:p w14:paraId="75071299" w14:textId="77777777" w:rsidR="002B060A" w:rsidRDefault="006040A7" w:rsidP="00C07A0A">
            <w:pPr>
              <w:rPr>
                <w:rFonts w:ascii="Calibri" w:eastAsia="Calibri" w:hAnsi="Calibri" w:cs="Calibri"/>
              </w:rPr>
            </w:pPr>
            <w:r>
              <w:rPr>
                <w:rFonts w:ascii="Calibri" w:eastAsia="Calibri" w:hAnsi="Calibri" w:cs="Calibri"/>
              </w:rPr>
              <w:t>GEF Training numbers 2023</w:t>
            </w:r>
          </w:p>
        </w:tc>
        <w:tc>
          <w:tcPr>
            <w:tcW w:w="7461" w:type="dxa"/>
          </w:tcPr>
          <w:p w14:paraId="7507129A"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29E" w14:textId="77777777" w:rsidTr="001071B4">
        <w:trPr>
          <w:trHeight w:val="300"/>
        </w:trPr>
        <w:tc>
          <w:tcPr>
            <w:tcW w:w="6585" w:type="dxa"/>
          </w:tcPr>
          <w:p w14:paraId="7507129C" w14:textId="77777777" w:rsidR="002B060A" w:rsidRDefault="006040A7" w:rsidP="00C07A0A">
            <w:pPr>
              <w:rPr>
                <w:rFonts w:ascii="Calibri" w:eastAsia="Calibri" w:hAnsi="Calibri" w:cs="Calibri"/>
              </w:rPr>
            </w:pPr>
            <w:r>
              <w:rPr>
                <w:rFonts w:ascii="Calibri" w:eastAsia="Calibri" w:hAnsi="Calibri" w:cs="Calibri"/>
              </w:rPr>
              <w:t xml:space="preserve">Project Objective Q4_22_PMD_Technical Report </w:t>
            </w:r>
          </w:p>
        </w:tc>
        <w:tc>
          <w:tcPr>
            <w:tcW w:w="7461" w:type="dxa"/>
          </w:tcPr>
          <w:p w14:paraId="7507129D"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2A1" w14:textId="77777777" w:rsidTr="001071B4">
        <w:trPr>
          <w:trHeight w:val="300"/>
        </w:trPr>
        <w:tc>
          <w:tcPr>
            <w:tcW w:w="6585" w:type="dxa"/>
          </w:tcPr>
          <w:p w14:paraId="7507129F" w14:textId="77777777" w:rsidR="002B060A" w:rsidRDefault="006040A7" w:rsidP="00C07A0A">
            <w:pPr>
              <w:rPr>
                <w:rFonts w:ascii="Calibri" w:eastAsia="Calibri" w:hAnsi="Calibri" w:cs="Calibri"/>
              </w:rPr>
            </w:pPr>
            <w:r>
              <w:rPr>
                <w:rFonts w:ascii="Calibri" w:eastAsia="Calibri" w:hAnsi="Calibri" w:cs="Calibri"/>
              </w:rPr>
              <w:t xml:space="preserve">Proj Obj Q4_22 PMD_Tech report TWG 4th Meeting 18th Nov22- Cambodia </w:t>
            </w:r>
          </w:p>
        </w:tc>
        <w:tc>
          <w:tcPr>
            <w:tcW w:w="7461" w:type="dxa"/>
          </w:tcPr>
          <w:p w14:paraId="750712A0"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2A4" w14:textId="77777777" w:rsidTr="001071B4">
        <w:trPr>
          <w:trHeight w:val="300"/>
        </w:trPr>
        <w:tc>
          <w:tcPr>
            <w:tcW w:w="6585" w:type="dxa"/>
          </w:tcPr>
          <w:p w14:paraId="750712A2" w14:textId="77777777" w:rsidR="002B060A" w:rsidRDefault="006040A7" w:rsidP="00C07A0A">
            <w:pPr>
              <w:rPr>
                <w:rFonts w:ascii="Calibri" w:eastAsia="Calibri" w:hAnsi="Calibri" w:cs="Calibri"/>
              </w:rPr>
            </w:pPr>
            <w:r>
              <w:rPr>
                <w:rFonts w:ascii="Calibri" w:eastAsia="Calibri" w:hAnsi="Calibri" w:cs="Calibri"/>
              </w:rPr>
              <w:t>Annual UNDPGEF IPB_Full Meeting Report_Draft_15Oct23</w:t>
            </w:r>
          </w:p>
        </w:tc>
        <w:tc>
          <w:tcPr>
            <w:tcW w:w="7461" w:type="dxa"/>
          </w:tcPr>
          <w:p w14:paraId="750712A3"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2A6" w14:textId="77777777" w:rsidTr="001071B4">
        <w:trPr>
          <w:trHeight w:val="300"/>
        </w:trPr>
        <w:tc>
          <w:tcPr>
            <w:tcW w:w="14046" w:type="dxa"/>
            <w:gridSpan w:val="2"/>
            <w:shd w:val="clear" w:color="auto" w:fill="DAE9F7" w:themeFill="text2" w:themeFillTint="1A"/>
          </w:tcPr>
          <w:p w14:paraId="750712A5" w14:textId="77777777" w:rsidR="002B060A" w:rsidRDefault="006040A7" w:rsidP="00C07A0A">
            <w:pPr>
              <w:rPr>
                <w:rFonts w:ascii="Calibri" w:eastAsia="Calibri" w:hAnsi="Calibri" w:cs="Calibri"/>
              </w:rPr>
            </w:pPr>
            <w:r>
              <w:rPr>
                <w:rFonts w:ascii="Calibri" w:eastAsia="Calibri" w:hAnsi="Calibri" w:cs="Calibri"/>
              </w:rPr>
              <w:t xml:space="preserve">Outcome 1 </w:t>
            </w:r>
          </w:p>
        </w:tc>
      </w:tr>
      <w:tr w:rsidR="002B060A" w14:paraId="750712A9" w14:textId="77777777" w:rsidTr="001071B4">
        <w:trPr>
          <w:trHeight w:val="300"/>
        </w:trPr>
        <w:tc>
          <w:tcPr>
            <w:tcW w:w="6585" w:type="dxa"/>
          </w:tcPr>
          <w:p w14:paraId="750712A7" w14:textId="77777777" w:rsidR="002B060A" w:rsidRDefault="006040A7" w:rsidP="00C07A0A">
            <w:pPr>
              <w:rPr>
                <w:rFonts w:ascii="Calibri" w:eastAsia="Calibri" w:hAnsi="Calibri" w:cs="Calibri"/>
              </w:rPr>
            </w:pPr>
            <w:r>
              <w:rPr>
                <w:rFonts w:ascii="Calibri" w:eastAsia="Calibri" w:hAnsi="Calibri" w:cs="Calibri"/>
              </w:rPr>
              <w:t>Outcome 1 - Training materials Health Professional Field (BAN)</w:t>
            </w:r>
          </w:p>
        </w:tc>
        <w:tc>
          <w:tcPr>
            <w:tcW w:w="7461" w:type="dxa"/>
          </w:tcPr>
          <w:p w14:paraId="750712A8" w14:textId="77777777" w:rsidR="002B060A" w:rsidRDefault="006040A7" w:rsidP="00C07A0A">
            <w:pPr>
              <w:rPr>
                <w:rFonts w:ascii="Calibri" w:eastAsia="Calibri" w:hAnsi="Calibri" w:cs="Calibri"/>
              </w:rPr>
            </w:pPr>
            <w:r>
              <w:rPr>
                <w:rFonts w:ascii="Calibri" w:eastAsia="Calibri" w:hAnsi="Calibri" w:cs="Calibri"/>
              </w:rPr>
              <w:t xml:space="preserve">Bangladesh </w:t>
            </w:r>
          </w:p>
        </w:tc>
      </w:tr>
      <w:tr w:rsidR="002B060A" w14:paraId="750712AC" w14:textId="77777777" w:rsidTr="001071B4">
        <w:trPr>
          <w:trHeight w:val="300"/>
        </w:trPr>
        <w:tc>
          <w:tcPr>
            <w:tcW w:w="6585" w:type="dxa"/>
          </w:tcPr>
          <w:p w14:paraId="750712AA" w14:textId="77777777" w:rsidR="002B060A" w:rsidRDefault="006040A7" w:rsidP="00C07A0A">
            <w:pPr>
              <w:rPr>
                <w:rFonts w:ascii="Calibri" w:eastAsia="Calibri" w:hAnsi="Calibri" w:cs="Calibri"/>
              </w:rPr>
            </w:pPr>
            <w:r>
              <w:rPr>
                <w:rFonts w:ascii="Calibri" w:eastAsia="Calibri" w:hAnsi="Calibri" w:cs="Calibri"/>
              </w:rPr>
              <w:t xml:space="preserve">Outcome 1 Climate change and health national trainings summary table </w:t>
            </w:r>
          </w:p>
        </w:tc>
        <w:tc>
          <w:tcPr>
            <w:tcW w:w="7461" w:type="dxa"/>
          </w:tcPr>
          <w:p w14:paraId="750712AB"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2AF" w14:textId="77777777" w:rsidTr="001071B4">
        <w:trPr>
          <w:trHeight w:val="300"/>
        </w:trPr>
        <w:tc>
          <w:tcPr>
            <w:tcW w:w="6585" w:type="dxa"/>
          </w:tcPr>
          <w:p w14:paraId="750712AD" w14:textId="77777777" w:rsidR="002B060A" w:rsidRDefault="006040A7" w:rsidP="00C07A0A">
            <w:pPr>
              <w:rPr>
                <w:rFonts w:ascii="Calibri" w:eastAsia="Calibri" w:hAnsi="Calibri" w:cs="Calibri"/>
              </w:rPr>
            </w:pPr>
            <w:r>
              <w:rPr>
                <w:rFonts w:ascii="Calibri" w:eastAsia="Calibri" w:hAnsi="Calibri" w:cs="Calibri"/>
              </w:rPr>
              <w:t xml:space="preserve">Outcome 1 Q2 23 HCWM SOP for District Hospitals </w:t>
            </w:r>
          </w:p>
        </w:tc>
        <w:tc>
          <w:tcPr>
            <w:tcW w:w="7461" w:type="dxa"/>
          </w:tcPr>
          <w:p w14:paraId="750712AE"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2B2" w14:textId="77777777" w:rsidTr="001071B4">
        <w:trPr>
          <w:trHeight w:val="300"/>
        </w:trPr>
        <w:tc>
          <w:tcPr>
            <w:tcW w:w="6585" w:type="dxa"/>
          </w:tcPr>
          <w:p w14:paraId="750712B0" w14:textId="77777777" w:rsidR="002B060A" w:rsidRDefault="006040A7" w:rsidP="00C07A0A">
            <w:pPr>
              <w:rPr>
                <w:rFonts w:ascii="Calibri" w:eastAsia="Calibri" w:hAnsi="Calibri" w:cs="Calibri"/>
              </w:rPr>
            </w:pPr>
            <w:r>
              <w:rPr>
                <w:rFonts w:ascii="Calibri" w:eastAsia="Calibri" w:hAnsi="Calibri" w:cs="Calibri"/>
              </w:rPr>
              <w:t xml:space="preserve">Outcome 1 Q2 23 HCWM SOP for Health Centres and outreach activities </w:t>
            </w:r>
          </w:p>
        </w:tc>
        <w:tc>
          <w:tcPr>
            <w:tcW w:w="7461" w:type="dxa"/>
          </w:tcPr>
          <w:p w14:paraId="750712B1"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2B5" w14:textId="77777777" w:rsidTr="001071B4">
        <w:trPr>
          <w:trHeight w:val="300"/>
        </w:trPr>
        <w:tc>
          <w:tcPr>
            <w:tcW w:w="6585" w:type="dxa"/>
          </w:tcPr>
          <w:p w14:paraId="750712B3" w14:textId="77777777" w:rsidR="002B060A" w:rsidRDefault="006040A7" w:rsidP="00C07A0A">
            <w:pPr>
              <w:rPr>
                <w:rFonts w:ascii="Calibri" w:eastAsia="Calibri" w:hAnsi="Calibri" w:cs="Calibri"/>
              </w:rPr>
            </w:pPr>
            <w:r>
              <w:rPr>
                <w:rFonts w:ascii="Calibri" w:eastAsia="Calibri" w:hAnsi="Calibri" w:cs="Calibri"/>
              </w:rPr>
              <w:t xml:space="preserve">Outcome 1 Q2 23 HCWM SOP for Provincial Hospitals </w:t>
            </w:r>
          </w:p>
        </w:tc>
        <w:tc>
          <w:tcPr>
            <w:tcW w:w="7461" w:type="dxa"/>
          </w:tcPr>
          <w:p w14:paraId="750712B4"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2B8" w14:textId="77777777" w:rsidTr="001071B4">
        <w:trPr>
          <w:trHeight w:val="300"/>
        </w:trPr>
        <w:tc>
          <w:tcPr>
            <w:tcW w:w="6585" w:type="dxa"/>
          </w:tcPr>
          <w:p w14:paraId="750712B6" w14:textId="77777777" w:rsidR="002B060A" w:rsidRDefault="006040A7" w:rsidP="00C07A0A">
            <w:pPr>
              <w:rPr>
                <w:rFonts w:ascii="Calibri" w:eastAsia="Calibri" w:hAnsi="Calibri" w:cs="Calibri"/>
              </w:rPr>
            </w:pPr>
            <w:r>
              <w:rPr>
                <w:rFonts w:ascii="Calibri" w:eastAsia="Calibri" w:hAnsi="Calibri" w:cs="Calibri"/>
              </w:rPr>
              <w:t>Outcome 1 Q3_22 CNM-Technical Report for Dengue Data analysis training</w:t>
            </w:r>
          </w:p>
        </w:tc>
        <w:tc>
          <w:tcPr>
            <w:tcW w:w="7461" w:type="dxa"/>
          </w:tcPr>
          <w:p w14:paraId="750712B7"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2BB" w14:textId="77777777" w:rsidTr="001071B4">
        <w:trPr>
          <w:trHeight w:val="300"/>
        </w:trPr>
        <w:tc>
          <w:tcPr>
            <w:tcW w:w="6585" w:type="dxa"/>
          </w:tcPr>
          <w:p w14:paraId="750712B9" w14:textId="77777777" w:rsidR="002B060A" w:rsidRDefault="006040A7" w:rsidP="00C07A0A">
            <w:pPr>
              <w:rPr>
                <w:rFonts w:ascii="Calibri" w:eastAsia="Calibri" w:hAnsi="Calibri" w:cs="Calibri"/>
              </w:rPr>
            </w:pPr>
            <w:r>
              <w:rPr>
                <w:rFonts w:ascii="Calibri" w:eastAsia="Calibri" w:hAnsi="Calibri" w:cs="Calibri"/>
              </w:rPr>
              <w:t xml:space="preserve">Outcome 1 Q4 22 CC&amp;H textbok proposal </w:t>
            </w:r>
          </w:p>
        </w:tc>
        <w:tc>
          <w:tcPr>
            <w:tcW w:w="7461" w:type="dxa"/>
          </w:tcPr>
          <w:p w14:paraId="750712BA"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2BE" w14:textId="77777777" w:rsidTr="001071B4">
        <w:trPr>
          <w:trHeight w:val="300"/>
        </w:trPr>
        <w:tc>
          <w:tcPr>
            <w:tcW w:w="6585" w:type="dxa"/>
          </w:tcPr>
          <w:p w14:paraId="750712BC" w14:textId="77777777" w:rsidR="002B060A" w:rsidRDefault="006040A7" w:rsidP="00C07A0A">
            <w:pPr>
              <w:rPr>
                <w:rFonts w:ascii="Calibri" w:eastAsia="Calibri" w:hAnsi="Calibri" w:cs="Calibri"/>
              </w:rPr>
            </w:pPr>
            <w:r>
              <w:rPr>
                <w:rFonts w:ascii="Calibri" w:eastAsia="Calibri" w:hAnsi="Calibri" w:cs="Calibri"/>
              </w:rPr>
              <w:t xml:space="preserve">Outcome 1 Q4 22 DFC for developing a CC&amp;H textbook </w:t>
            </w:r>
          </w:p>
        </w:tc>
        <w:tc>
          <w:tcPr>
            <w:tcW w:w="7461" w:type="dxa"/>
          </w:tcPr>
          <w:p w14:paraId="750712BD"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2C1" w14:textId="77777777" w:rsidTr="001071B4">
        <w:trPr>
          <w:trHeight w:val="300"/>
        </w:trPr>
        <w:tc>
          <w:tcPr>
            <w:tcW w:w="6585" w:type="dxa"/>
          </w:tcPr>
          <w:p w14:paraId="750712BF" w14:textId="77777777" w:rsidR="002B060A" w:rsidRDefault="006040A7" w:rsidP="00C07A0A">
            <w:pPr>
              <w:rPr>
                <w:rFonts w:ascii="Calibri" w:eastAsia="Calibri" w:hAnsi="Calibri" w:cs="Calibri"/>
              </w:rPr>
            </w:pPr>
            <w:r>
              <w:rPr>
                <w:rFonts w:ascii="Calibri" w:eastAsia="Calibri" w:hAnsi="Calibri" w:cs="Calibri"/>
              </w:rPr>
              <w:t>Outcome 1 Training materials Health Professional (BAN)</w:t>
            </w:r>
          </w:p>
        </w:tc>
        <w:tc>
          <w:tcPr>
            <w:tcW w:w="7461" w:type="dxa"/>
          </w:tcPr>
          <w:p w14:paraId="750712C0" w14:textId="77777777" w:rsidR="002B060A" w:rsidRDefault="006040A7" w:rsidP="00C07A0A">
            <w:pPr>
              <w:rPr>
                <w:rFonts w:ascii="Calibri" w:eastAsia="Calibri" w:hAnsi="Calibri" w:cs="Calibri"/>
              </w:rPr>
            </w:pPr>
            <w:r>
              <w:rPr>
                <w:rFonts w:ascii="Calibri" w:eastAsia="Calibri" w:hAnsi="Calibri" w:cs="Calibri"/>
              </w:rPr>
              <w:t xml:space="preserve">Bangladesh </w:t>
            </w:r>
          </w:p>
        </w:tc>
      </w:tr>
      <w:tr w:rsidR="002B060A" w14:paraId="750712C4" w14:textId="77777777" w:rsidTr="001071B4">
        <w:trPr>
          <w:trHeight w:val="300"/>
        </w:trPr>
        <w:tc>
          <w:tcPr>
            <w:tcW w:w="6585" w:type="dxa"/>
          </w:tcPr>
          <w:p w14:paraId="750712C2" w14:textId="77777777" w:rsidR="002B060A" w:rsidRDefault="006040A7" w:rsidP="00C07A0A">
            <w:pPr>
              <w:rPr>
                <w:rFonts w:ascii="Calibri" w:eastAsia="Calibri" w:hAnsi="Calibri" w:cs="Calibri"/>
              </w:rPr>
            </w:pPr>
            <w:r>
              <w:rPr>
                <w:rFonts w:ascii="Calibri" w:eastAsia="Calibri" w:hAnsi="Calibri" w:cs="Calibri"/>
              </w:rPr>
              <w:lastRenderedPageBreak/>
              <w:t xml:space="preserve">Outcome 1 Training modules </w:t>
            </w:r>
          </w:p>
        </w:tc>
        <w:tc>
          <w:tcPr>
            <w:tcW w:w="7461" w:type="dxa"/>
          </w:tcPr>
          <w:p w14:paraId="750712C3"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2C7" w14:textId="77777777" w:rsidTr="001071B4">
        <w:trPr>
          <w:trHeight w:val="300"/>
        </w:trPr>
        <w:tc>
          <w:tcPr>
            <w:tcW w:w="6585" w:type="dxa"/>
          </w:tcPr>
          <w:p w14:paraId="750712C5" w14:textId="77777777" w:rsidR="002B060A" w:rsidRDefault="006040A7" w:rsidP="00C07A0A">
            <w:pPr>
              <w:rPr>
                <w:rFonts w:ascii="Calibri" w:eastAsia="Calibri" w:hAnsi="Calibri" w:cs="Calibri"/>
              </w:rPr>
            </w:pPr>
            <w:r>
              <w:rPr>
                <w:rFonts w:ascii="Calibri" w:eastAsia="Calibri" w:hAnsi="Calibri" w:cs="Calibri"/>
              </w:rPr>
              <w:t xml:space="preserve">Outcome 1 Training Report on PIC and HCWM </w:t>
            </w:r>
          </w:p>
        </w:tc>
        <w:tc>
          <w:tcPr>
            <w:tcW w:w="7461" w:type="dxa"/>
          </w:tcPr>
          <w:p w14:paraId="750712C6" w14:textId="77777777" w:rsidR="002B060A" w:rsidRDefault="006040A7" w:rsidP="00C07A0A">
            <w:pPr>
              <w:rPr>
                <w:rFonts w:ascii="Calibri" w:eastAsia="Calibri" w:hAnsi="Calibri" w:cs="Calibri"/>
              </w:rPr>
            </w:pPr>
            <w:r>
              <w:rPr>
                <w:rFonts w:ascii="Calibri" w:eastAsia="Calibri" w:hAnsi="Calibri" w:cs="Calibri"/>
              </w:rPr>
              <w:t xml:space="preserve">Bangladesh </w:t>
            </w:r>
          </w:p>
        </w:tc>
      </w:tr>
      <w:tr w:rsidR="002B060A" w14:paraId="750712CA" w14:textId="77777777" w:rsidTr="001071B4">
        <w:trPr>
          <w:trHeight w:val="300"/>
        </w:trPr>
        <w:tc>
          <w:tcPr>
            <w:tcW w:w="6585" w:type="dxa"/>
          </w:tcPr>
          <w:p w14:paraId="750712C8" w14:textId="77777777" w:rsidR="002B060A" w:rsidRDefault="006040A7" w:rsidP="00C07A0A">
            <w:pPr>
              <w:rPr>
                <w:rFonts w:ascii="Calibri" w:eastAsia="Calibri" w:hAnsi="Calibri" w:cs="Calibri"/>
              </w:rPr>
            </w:pPr>
            <w:r>
              <w:rPr>
                <w:rFonts w:ascii="Calibri" w:eastAsia="Calibri" w:hAnsi="Calibri" w:cs="Calibri"/>
              </w:rPr>
              <w:t xml:space="preserve">Outcome 1 Final-ENGLISH EH Strategy </w:t>
            </w:r>
          </w:p>
        </w:tc>
        <w:tc>
          <w:tcPr>
            <w:tcW w:w="7461" w:type="dxa"/>
          </w:tcPr>
          <w:p w14:paraId="750712C9"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2CD" w14:textId="77777777" w:rsidTr="001071B4">
        <w:trPr>
          <w:trHeight w:val="300"/>
        </w:trPr>
        <w:tc>
          <w:tcPr>
            <w:tcW w:w="6585" w:type="dxa"/>
          </w:tcPr>
          <w:p w14:paraId="750712CB" w14:textId="77777777" w:rsidR="002B060A" w:rsidRDefault="006040A7" w:rsidP="00C07A0A">
            <w:pPr>
              <w:rPr>
                <w:rFonts w:ascii="Calibri" w:eastAsia="Calibri" w:hAnsi="Calibri" w:cs="Calibri"/>
              </w:rPr>
            </w:pPr>
            <w:r>
              <w:rPr>
                <w:rFonts w:ascii="Calibri" w:eastAsia="Calibri" w:hAnsi="Calibri" w:cs="Calibri"/>
              </w:rPr>
              <w:t>Outcome 1 HNAP-FINAL ENGLISH-23 October 2019</w:t>
            </w:r>
          </w:p>
        </w:tc>
        <w:tc>
          <w:tcPr>
            <w:tcW w:w="7461" w:type="dxa"/>
          </w:tcPr>
          <w:p w14:paraId="750712CC"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2D0" w14:textId="77777777" w:rsidTr="001071B4">
        <w:trPr>
          <w:trHeight w:val="300"/>
        </w:trPr>
        <w:tc>
          <w:tcPr>
            <w:tcW w:w="6585" w:type="dxa"/>
          </w:tcPr>
          <w:p w14:paraId="750712CE" w14:textId="77777777" w:rsidR="002B060A" w:rsidRDefault="006040A7" w:rsidP="00C07A0A">
            <w:pPr>
              <w:rPr>
                <w:rFonts w:ascii="Calibri" w:eastAsia="Calibri" w:hAnsi="Calibri" w:cs="Calibri"/>
              </w:rPr>
            </w:pPr>
            <w:r>
              <w:rPr>
                <w:rFonts w:ascii="Calibri" w:eastAsia="Calibri" w:hAnsi="Calibri" w:cs="Calibri"/>
              </w:rPr>
              <w:t xml:space="preserve">Outcome 1_Training Module CCH 2019 </w:t>
            </w:r>
          </w:p>
        </w:tc>
        <w:tc>
          <w:tcPr>
            <w:tcW w:w="7461" w:type="dxa"/>
          </w:tcPr>
          <w:p w14:paraId="750712CF"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2D3" w14:textId="77777777" w:rsidTr="001071B4">
        <w:trPr>
          <w:trHeight w:val="300"/>
        </w:trPr>
        <w:tc>
          <w:tcPr>
            <w:tcW w:w="6585" w:type="dxa"/>
          </w:tcPr>
          <w:p w14:paraId="750712D1" w14:textId="77777777" w:rsidR="002B060A" w:rsidRDefault="006040A7" w:rsidP="00C07A0A">
            <w:pPr>
              <w:rPr>
                <w:rFonts w:ascii="Calibri" w:eastAsia="Calibri" w:hAnsi="Calibri" w:cs="Calibri"/>
              </w:rPr>
            </w:pPr>
            <w:r>
              <w:rPr>
                <w:rFonts w:ascii="Calibri" w:eastAsia="Calibri" w:hAnsi="Calibri" w:cs="Calibri"/>
              </w:rPr>
              <w:t xml:space="preserve">Outcome 1_WHO-TOT CCH REPORT_Bangladesh </w:t>
            </w:r>
          </w:p>
        </w:tc>
        <w:tc>
          <w:tcPr>
            <w:tcW w:w="7461" w:type="dxa"/>
          </w:tcPr>
          <w:p w14:paraId="750712D2" w14:textId="77777777" w:rsidR="002B060A" w:rsidRDefault="006040A7" w:rsidP="00C07A0A">
            <w:pPr>
              <w:rPr>
                <w:rFonts w:ascii="Calibri" w:eastAsia="Calibri" w:hAnsi="Calibri" w:cs="Calibri"/>
              </w:rPr>
            </w:pPr>
            <w:r>
              <w:rPr>
                <w:rFonts w:ascii="Calibri" w:eastAsia="Calibri" w:hAnsi="Calibri" w:cs="Calibri"/>
              </w:rPr>
              <w:t>Bangladesh</w:t>
            </w:r>
          </w:p>
        </w:tc>
      </w:tr>
      <w:tr w:rsidR="002B060A" w14:paraId="750712D5" w14:textId="77777777" w:rsidTr="001071B4">
        <w:trPr>
          <w:trHeight w:val="300"/>
        </w:trPr>
        <w:tc>
          <w:tcPr>
            <w:tcW w:w="14046" w:type="dxa"/>
            <w:gridSpan w:val="2"/>
            <w:shd w:val="clear" w:color="auto" w:fill="DAE9F7" w:themeFill="text2" w:themeFillTint="1A"/>
          </w:tcPr>
          <w:p w14:paraId="750712D4" w14:textId="77777777" w:rsidR="002B060A" w:rsidRDefault="006040A7" w:rsidP="00C07A0A">
            <w:pPr>
              <w:rPr>
                <w:rFonts w:ascii="Calibri" w:eastAsia="Calibri" w:hAnsi="Calibri" w:cs="Calibri"/>
              </w:rPr>
            </w:pPr>
            <w:r>
              <w:rPr>
                <w:rFonts w:ascii="Calibri" w:eastAsia="Calibri" w:hAnsi="Calibri" w:cs="Calibri"/>
              </w:rPr>
              <w:t xml:space="preserve">Outcome 2 - Surveillance </w:t>
            </w:r>
          </w:p>
        </w:tc>
      </w:tr>
      <w:tr w:rsidR="002B060A" w14:paraId="750712D8" w14:textId="77777777" w:rsidTr="001071B4">
        <w:trPr>
          <w:trHeight w:val="300"/>
        </w:trPr>
        <w:tc>
          <w:tcPr>
            <w:tcW w:w="6585" w:type="dxa"/>
          </w:tcPr>
          <w:p w14:paraId="750712D6" w14:textId="77777777" w:rsidR="002B060A" w:rsidRDefault="006040A7" w:rsidP="00C07A0A">
            <w:pPr>
              <w:rPr>
                <w:rFonts w:ascii="Calibri" w:eastAsia="Calibri" w:hAnsi="Calibri" w:cs="Calibri"/>
              </w:rPr>
            </w:pPr>
            <w:r>
              <w:rPr>
                <w:rFonts w:ascii="Calibri" w:eastAsia="Calibri" w:hAnsi="Calibri" w:cs="Calibri"/>
              </w:rPr>
              <w:t xml:space="preserve">Outcome 2 EWARS Meeting Records Year 4 </w:t>
            </w:r>
          </w:p>
        </w:tc>
        <w:tc>
          <w:tcPr>
            <w:tcW w:w="7461" w:type="dxa"/>
          </w:tcPr>
          <w:p w14:paraId="750712D7"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2DB" w14:textId="77777777" w:rsidTr="001071B4">
        <w:trPr>
          <w:trHeight w:val="300"/>
        </w:trPr>
        <w:tc>
          <w:tcPr>
            <w:tcW w:w="6585" w:type="dxa"/>
          </w:tcPr>
          <w:p w14:paraId="750712D9" w14:textId="77777777" w:rsidR="002B060A" w:rsidRDefault="006040A7" w:rsidP="00C07A0A">
            <w:pPr>
              <w:rPr>
                <w:rFonts w:ascii="Calibri" w:eastAsia="Calibri" w:hAnsi="Calibri" w:cs="Calibri"/>
              </w:rPr>
            </w:pPr>
            <w:r>
              <w:rPr>
                <w:rFonts w:ascii="Calibri" w:eastAsia="Calibri" w:hAnsi="Calibri" w:cs="Calibri"/>
              </w:rPr>
              <w:t xml:space="preserve">Outcome 2 Q1 23 Particpant list for EWS_data sharing discussion </w:t>
            </w:r>
          </w:p>
        </w:tc>
        <w:tc>
          <w:tcPr>
            <w:tcW w:w="7461" w:type="dxa"/>
          </w:tcPr>
          <w:p w14:paraId="750712DA"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2DE" w14:textId="77777777" w:rsidTr="001071B4">
        <w:trPr>
          <w:trHeight w:val="300"/>
        </w:trPr>
        <w:tc>
          <w:tcPr>
            <w:tcW w:w="6585" w:type="dxa"/>
          </w:tcPr>
          <w:p w14:paraId="750712DC" w14:textId="77777777" w:rsidR="002B060A" w:rsidRDefault="006040A7" w:rsidP="00C07A0A">
            <w:pPr>
              <w:rPr>
                <w:rFonts w:ascii="Calibri" w:eastAsia="Calibri" w:hAnsi="Calibri" w:cs="Calibri"/>
              </w:rPr>
            </w:pPr>
            <w:r>
              <w:rPr>
                <w:rFonts w:ascii="Calibri" w:eastAsia="Calibri" w:hAnsi="Calibri" w:cs="Calibri"/>
              </w:rPr>
              <w:t>Outcome 2 Q2 23 EWARS - DHIS2 data exchange functionality coding in R</w:t>
            </w:r>
          </w:p>
        </w:tc>
        <w:tc>
          <w:tcPr>
            <w:tcW w:w="7461" w:type="dxa"/>
          </w:tcPr>
          <w:p w14:paraId="750712DD"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2E1" w14:textId="77777777" w:rsidTr="001071B4">
        <w:trPr>
          <w:trHeight w:val="300"/>
        </w:trPr>
        <w:tc>
          <w:tcPr>
            <w:tcW w:w="6585" w:type="dxa"/>
          </w:tcPr>
          <w:p w14:paraId="750712DF" w14:textId="77777777" w:rsidR="002B060A" w:rsidRDefault="006040A7" w:rsidP="00C07A0A">
            <w:pPr>
              <w:rPr>
                <w:rFonts w:ascii="Calibri" w:eastAsia="Calibri" w:hAnsi="Calibri" w:cs="Calibri"/>
              </w:rPr>
            </w:pPr>
            <w:r>
              <w:rPr>
                <w:rFonts w:ascii="Calibri" w:eastAsia="Calibri" w:hAnsi="Calibri" w:cs="Calibri"/>
              </w:rPr>
              <w:t>Outcome 2 Q3_22 tech report_on_improvement_of_diarrhoeal_disease</w:t>
            </w:r>
          </w:p>
        </w:tc>
        <w:tc>
          <w:tcPr>
            <w:tcW w:w="7461" w:type="dxa"/>
          </w:tcPr>
          <w:p w14:paraId="750712E0"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2E4" w14:textId="77777777" w:rsidTr="001071B4">
        <w:trPr>
          <w:trHeight w:val="300"/>
        </w:trPr>
        <w:tc>
          <w:tcPr>
            <w:tcW w:w="6585" w:type="dxa"/>
          </w:tcPr>
          <w:p w14:paraId="750712E2" w14:textId="77777777" w:rsidR="002B060A" w:rsidRDefault="006040A7" w:rsidP="00C07A0A">
            <w:pPr>
              <w:rPr>
                <w:rFonts w:ascii="Calibri" w:eastAsia="Calibri" w:hAnsi="Calibri" w:cs="Calibri"/>
              </w:rPr>
            </w:pPr>
            <w:r>
              <w:rPr>
                <w:rFonts w:ascii="Calibri" w:eastAsia="Calibri" w:hAnsi="Calibri" w:cs="Calibri"/>
              </w:rPr>
              <w:t>Outcome 2 Q4_22 CNM_Tech rep_Awareness_Dengue_Diarrhea_Sep-Nov22</w:t>
            </w:r>
          </w:p>
        </w:tc>
        <w:tc>
          <w:tcPr>
            <w:tcW w:w="7461" w:type="dxa"/>
          </w:tcPr>
          <w:p w14:paraId="750712E3"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2E7" w14:textId="77777777" w:rsidTr="001071B4">
        <w:trPr>
          <w:trHeight w:val="300"/>
        </w:trPr>
        <w:tc>
          <w:tcPr>
            <w:tcW w:w="6585" w:type="dxa"/>
          </w:tcPr>
          <w:p w14:paraId="750712E5" w14:textId="77777777" w:rsidR="002B060A" w:rsidRDefault="006040A7" w:rsidP="00C07A0A">
            <w:pPr>
              <w:rPr>
                <w:rFonts w:ascii="Calibri" w:eastAsia="Calibri" w:hAnsi="Calibri" w:cs="Calibri"/>
              </w:rPr>
            </w:pPr>
            <w:r>
              <w:rPr>
                <w:rFonts w:ascii="Calibri" w:eastAsia="Calibri" w:hAnsi="Calibri" w:cs="Calibri"/>
              </w:rPr>
              <w:t>Outcome 2 Q4_22 NCHP rep-Diarhea_Dengue Awareness_Oct-Dec22</w:t>
            </w:r>
          </w:p>
        </w:tc>
        <w:tc>
          <w:tcPr>
            <w:tcW w:w="7461" w:type="dxa"/>
          </w:tcPr>
          <w:p w14:paraId="750712E6"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2EA" w14:textId="77777777" w:rsidTr="001071B4">
        <w:trPr>
          <w:trHeight w:val="300"/>
        </w:trPr>
        <w:tc>
          <w:tcPr>
            <w:tcW w:w="6585" w:type="dxa"/>
          </w:tcPr>
          <w:p w14:paraId="750712E8" w14:textId="77777777" w:rsidR="002B060A" w:rsidRDefault="006040A7" w:rsidP="00C07A0A">
            <w:pPr>
              <w:rPr>
                <w:rFonts w:ascii="Calibri" w:eastAsia="Calibri" w:hAnsi="Calibri" w:cs="Calibri"/>
              </w:rPr>
            </w:pPr>
            <w:r>
              <w:rPr>
                <w:rFonts w:ascii="Calibri" w:eastAsia="Calibri" w:hAnsi="Calibri" w:cs="Calibri"/>
              </w:rPr>
              <w:t>Outcome 2 Procurement of Air Pollution Monitoring system_Timor leste</w:t>
            </w:r>
          </w:p>
        </w:tc>
        <w:tc>
          <w:tcPr>
            <w:tcW w:w="7461" w:type="dxa"/>
          </w:tcPr>
          <w:p w14:paraId="750712E9"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2ED" w14:textId="77777777" w:rsidTr="001071B4">
        <w:trPr>
          <w:trHeight w:val="300"/>
        </w:trPr>
        <w:tc>
          <w:tcPr>
            <w:tcW w:w="6585" w:type="dxa"/>
          </w:tcPr>
          <w:p w14:paraId="750712EB" w14:textId="77777777" w:rsidR="002B060A" w:rsidRDefault="006040A7" w:rsidP="00C07A0A">
            <w:pPr>
              <w:rPr>
                <w:rFonts w:ascii="Calibri" w:eastAsia="Calibri" w:hAnsi="Calibri" w:cs="Calibri"/>
              </w:rPr>
            </w:pPr>
            <w:r>
              <w:rPr>
                <w:rFonts w:ascii="Calibri" w:eastAsia="Calibri" w:hAnsi="Calibri" w:cs="Calibri"/>
              </w:rPr>
              <w:t>Outcome 2 - VAA</w:t>
            </w:r>
          </w:p>
        </w:tc>
        <w:tc>
          <w:tcPr>
            <w:tcW w:w="7461" w:type="dxa"/>
          </w:tcPr>
          <w:p w14:paraId="750712EC" w14:textId="77777777" w:rsidR="002B060A" w:rsidRDefault="002B060A" w:rsidP="00C07A0A">
            <w:pPr>
              <w:rPr>
                <w:rFonts w:ascii="Calibri" w:eastAsia="Calibri" w:hAnsi="Calibri" w:cs="Calibri"/>
              </w:rPr>
            </w:pPr>
          </w:p>
        </w:tc>
      </w:tr>
      <w:tr w:rsidR="002B060A" w14:paraId="750712F0" w14:textId="77777777" w:rsidTr="001071B4">
        <w:trPr>
          <w:trHeight w:val="300"/>
        </w:trPr>
        <w:tc>
          <w:tcPr>
            <w:tcW w:w="6585" w:type="dxa"/>
          </w:tcPr>
          <w:p w14:paraId="750712EE" w14:textId="77777777" w:rsidR="002B060A" w:rsidRDefault="006040A7" w:rsidP="00C07A0A">
            <w:pPr>
              <w:rPr>
                <w:rFonts w:ascii="Calibri" w:eastAsia="Calibri" w:hAnsi="Calibri" w:cs="Calibri"/>
              </w:rPr>
            </w:pPr>
            <w:r>
              <w:rPr>
                <w:rFonts w:ascii="Calibri" w:eastAsia="Calibri" w:hAnsi="Calibri" w:cs="Calibri"/>
              </w:rPr>
              <w:t>Outcome 2 VA Assessment Report-MoHP-202_Nepal2</w:t>
            </w:r>
          </w:p>
        </w:tc>
        <w:tc>
          <w:tcPr>
            <w:tcW w:w="7461" w:type="dxa"/>
          </w:tcPr>
          <w:p w14:paraId="750712EF" w14:textId="77777777" w:rsidR="002B060A" w:rsidRDefault="006040A7" w:rsidP="00C07A0A">
            <w:pPr>
              <w:rPr>
                <w:rFonts w:ascii="Calibri" w:eastAsia="Calibri" w:hAnsi="Calibri" w:cs="Calibri"/>
              </w:rPr>
            </w:pPr>
            <w:r>
              <w:rPr>
                <w:rFonts w:ascii="Calibri" w:eastAsia="Calibri" w:hAnsi="Calibri" w:cs="Calibri"/>
              </w:rPr>
              <w:t>Nepal</w:t>
            </w:r>
          </w:p>
        </w:tc>
      </w:tr>
      <w:tr w:rsidR="002B060A" w14:paraId="750712F3" w14:textId="77777777" w:rsidTr="001071B4">
        <w:trPr>
          <w:trHeight w:val="300"/>
        </w:trPr>
        <w:tc>
          <w:tcPr>
            <w:tcW w:w="6585" w:type="dxa"/>
          </w:tcPr>
          <w:p w14:paraId="750712F1" w14:textId="77777777" w:rsidR="002B060A" w:rsidRDefault="006040A7" w:rsidP="00C07A0A">
            <w:pPr>
              <w:rPr>
                <w:rFonts w:ascii="Calibri" w:eastAsia="Calibri" w:hAnsi="Calibri" w:cs="Calibri"/>
              </w:rPr>
            </w:pPr>
            <w:r>
              <w:rPr>
                <w:rFonts w:ascii="Calibri" w:eastAsia="Calibri" w:hAnsi="Calibri" w:cs="Calibri"/>
              </w:rPr>
              <w:t>Outcome 2 VAA Assessing-Trends-of-Health-Waves-CTP Nepal</w:t>
            </w:r>
          </w:p>
        </w:tc>
        <w:tc>
          <w:tcPr>
            <w:tcW w:w="7461" w:type="dxa"/>
          </w:tcPr>
          <w:p w14:paraId="750712F2" w14:textId="77777777" w:rsidR="002B060A" w:rsidRDefault="006040A7" w:rsidP="00C07A0A">
            <w:pPr>
              <w:rPr>
                <w:rFonts w:ascii="Calibri" w:eastAsia="Calibri" w:hAnsi="Calibri" w:cs="Calibri"/>
              </w:rPr>
            </w:pPr>
            <w:r>
              <w:rPr>
                <w:rFonts w:ascii="Calibri" w:eastAsia="Calibri" w:hAnsi="Calibri" w:cs="Calibri"/>
              </w:rPr>
              <w:t xml:space="preserve">Nepal </w:t>
            </w:r>
          </w:p>
        </w:tc>
      </w:tr>
      <w:tr w:rsidR="002B060A" w14:paraId="750712F6" w14:textId="77777777" w:rsidTr="001071B4">
        <w:trPr>
          <w:trHeight w:val="300"/>
        </w:trPr>
        <w:tc>
          <w:tcPr>
            <w:tcW w:w="6585" w:type="dxa"/>
          </w:tcPr>
          <w:p w14:paraId="750712F4" w14:textId="77777777" w:rsidR="002B060A" w:rsidRDefault="006040A7" w:rsidP="00C07A0A">
            <w:pPr>
              <w:rPr>
                <w:rFonts w:ascii="Calibri" w:eastAsia="Calibri" w:hAnsi="Calibri" w:cs="Calibri"/>
              </w:rPr>
            </w:pPr>
            <w:r>
              <w:rPr>
                <w:rFonts w:ascii="Calibri" w:eastAsia="Calibri" w:hAnsi="Calibri" w:cs="Calibri"/>
              </w:rPr>
              <w:t>Outcome 2 VAA Climate-change-and-Diarrhea-report-1-1 Nepal</w:t>
            </w:r>
          </w:p>
        </w:tc>
        <w:tc>
          <w:tcPr>
            <w:tcW w:w="7461" w:type="dxa"/>
          </w:tcPr>
          <w:p w14:paraId="750712F5" w14:textId="77777777" w:rsidR="002B060A" w:rsidRDefault="006040A7" w:rsidP="00C07A0A">
            <w:pPr>
              <w:rPr>
                <w:rFonts w:ascii="Calibri" w:eastAsia="Calibri" w:hAnsi="Calibri" w:cs="Calibri"/>
              </w:rPr>
            </w:pPr>
            <w:r>
              <w:rPr>
                <w:rFonts w:ascii="Calibri" w:eastAsia="Calibri" w:hAnsi="Calibri" w:cs="Calibri"/>
              </w:rPr>
              <w:t xml:space="preserve">Nepal </w:t>
            </w:r>
          </w:p>
        </w:tc>
      </w:tr>
      <w:tr w:rsidR="002B060A" w14:paraId="750712F9" w14:textId="77777777" w:rsidTr="001071B4">
        <w:trPr>
          <w:trHeight w:val="300"/>
        </w:trPr>
        <w:tc>
          <w:tcPr>
            <w:tcW w:w="6585" w:type="dxa"/>
          </w:tcPr>
          <w:p w14:paraId="750712F7" w14:textId="77777777" w:rsidR="002B060A" w:rsidRDefault="006040A7" w:rsidP="00C07A0A">
            <w:pPr>
              <w:rPr>
                <w:rFonts w:ascii="Calibri" w:eastAsia="Calibri" w:hAnsi="Calibri" w:cs="Calibri"/>
              </w:rPr>
            </w:pPr>
            <w:r>
              <w:rPr>
                <w:rFonts w:ascii="Calibri" w:eastAsia="Calibri" w:hAnsi="Calibri" w:cs="Calibri"/>
              </w:rPr>
              <w:t>Outcome 2_V and A Report TLS Edited final Jan 2019</w:t>
            </w:r>
          </w:p>
        </w:tc>
        <w:tc>
          <w:tcPr>
            <w:tcW w:w="7461" w:type="dxa"/>
          </w:tcPr>
          <w:p w14:paraId="750712F8"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2FC" w14:textId="77777777" w:rsidTr="001071B4">
        <w:trPr>
          <w:trHeight w:val="300"/>
        </w:trPr>
        <w:tc>
          <w:tcPr>
            <w:tcW w:w="6585" w:type="dxa"/>
          </w:tcPr>
          <w:p w14:paraId="750712FA" w14:textId="77777777" w:rsidR="002B060A" w:rsidRDefault="006040A7" w:rsidP="00C07A0A">
            <w:pPr>
              <w:rPr>
                <w:rFonts w:ascii="Calibri" w:eastAsia="Calibri" w:hAnsi="Calibri" w:cs="Calibri"/>
              </w:rPr>
            </w:pPr>
            <w:r>
              <w:rPr>
                <w:rFonts w:ascii="Calibri" w:eastAsia="Calibri" w:hAnsi="Calibri" w:cs="Calibri"/>
              </w:rPr>
              <w:t>Outcome 2_Terms of Reference_V &amp; A_TLS</w:t>
            </w:r>
          </w:p>
        </w:tc>
        <w:tc>
          <w:tcPr>
            <w:tcW w:w="7461" w:type="dxa"/>
          </w:tcPr>
          <w:p w14:paraId="750712FB"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2FE" w14:textId="77777777" w:rsidTr="001071B4">
        <w:trPr>
          <w:trHeight w:val="300"/>
        </w:trPr>
        <w:tc>
          <w:tcPr>
            <w:tcW w:w="14046" w:type="dxa"/>
            <w:gridSpan w:val="2"/>
            <w:shd w:val="clear" w:color="auto" w:fill="DAE9F7" w:themeFill="text2" w:themeFillTint="1A"/>
          </w:tcPr>
          <w:p w14:paraId="750712FD" w14:textId="77777777" w:rsidR="002B060A" w:rsidRDefault="006040A7" w:rsidP="00C07A0A">
            <w:pPr>
              <w:rPr>
                <w:rFonts w:ascii="Calibri" w:eastAsia="Calibri" w:hAnsi="Calibri" w:cs="Calibri"/>
              </w:rPr>
            </w:pPr>
            <w:r>
              <w:rPr>
                <w:rFonts w:ascii="Calibri" w:eastAsia="Calibri" w:hAnsi="Calibri" w:cs="Calibri"/>
              </w:rPr>
              <w:t xml:space="preserve">Outcome 3 </w:t>
            </w:r>
          </w:p>
        </w:tc>
      </w:tr>
      <w:tr w:rsidR="002B060A" w14:paraId="75071301" w14:textId="77777777" w:rsidTr="001071B4">
        <w:trPr>
          <w:trHeight w:val="300"/>
        </w:trPr>
        <w:tc>
          <w:tcPr>
            <w:tcW w:w="6585" w:type="dxa"/>
          </w:tcPr>
          <w:p w14:paraId="750712FF" w14:textId="77777777" w:rsidR="002B060A" w:rsidRDefault="006040A7" w:rsidP="00C07A0A">
            <w:pPr>
              <w:rPr>
                <w:rFonts w:ascii="Calibri" w:eastAsia="Calibri" w:hAnsi="Calibri" w:cs="Calibri"/>
              </w:rPr>
            </w:pPr>
            <w:r>
              <w:rPr>
                <w:rFonts w:ascii="Calibri" w:eastAsia="Calibri" w:hAnsi="Calibri" w:cs="Calibri"/>
              </w:rPr>
              <w:t>Outcome 3 Event Report GHG Training May 2023</w:t>
            </w:r>
          </w:p>
        </w:tc>
        <w:tc>
          <w:tcPr>
            <w:tcW w:w="7461" w:type="dxa"/>
          </w:tcPr>
          <w:p w14:paraId="75071300" w14:textId="77777777" w:rsidR="002B060A" w:rsidRDefault="006040A7" w:rsidP="00C07A0A">
            <w:pPr>
              <w:rPr>
                <w:rFonts w:ascii="Calibri" w:eastAsia="Calibri" w:hAnsi="Calibri" w:cs="Calibri"/>
              </w:rPr>
            </w:pPr>
            <w:r>
              <w:rPr>
                <w:rFonts w:ascii="Calibri" w:eastAsia="Calibri" w:hAnsi="Calibri" w:cs="Calibri"/>
              </w:rPr>
              <w:t>Nepal</w:t>
            </w:r>
          </w:p>
        </w:tc>
      </w:tr>
      <w:tr w:rsidR="002B060A" w14:paraId="75071304" w14:textId="77777777" w:rsidTr="001071B4">
        <w:trPr>
          <w:trHeight w:val="300"/>
        </w:trPr>
        <w:tc>
          <w:tcPr>
            <w:tcW w:w="6585" w:type="dxa"/>
          </w:tcPr>
          <w:p w14:paraId="75071302" w14:textId="77777777" w:rsidR="002B060A" w:rsidRDefault="006040A7" w:rsidP="00C07A0A">
            <w:pPr>
              <w:rPr>
                <w:rFonts w:ascii="Calibri" w:eastAsia="Calibri" w:hAnsi="Calibri" w:cs="Calibri"/>
              </w:rPr>
            </w:pPr>
            <w:r>
              <w:rPr>
                <w:rFonts w:ascii="Calibri" w:eastAsia="Calibri" w:hAnsi="Calibri" w:cs="Calibri"/>
              </w:rPr>
              <w:t xml:space="preserve">Outcome 3 Final Inception Report Apr2023 </w:t>
            </w:r>
          </w:p>
        </w:tc>
        <w:tc>
          <w:tcPr>
            <w:tcW w:w="7461" w:type="dxa"/>
          </w:tcPr>
          <w:p w14:paraId="75071303"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307" w14:textId="77777777" w:rsidTr="001071B4">
        <w:trPr>
          <w:trHeight w:val="300"/>
        </w:trPr>
        <w:tc>
          <w:tcPr>
            <w:tcW w:w="6585" w:type="dxa"/>
          </w:tcPr>
          <w:p w14:paraId="75071305" w14:textId="77777777" w:rsidR="002B060A" w:rsidRDefault="006040A7" w:rsidP="00C07A0A">
            <w:pPr>
              <w:rPr>
                <w:rFonts w:ascii="Calibri" w:eastAsia="Calibri" w:hAnsi="Calibri" w:cs="Calibri"/>
              </w:rPr>
            </w:pPr>
            <w:r>
              <w:rPr>
                <w:rFonts w:ascii="Calibri" w:eastAsia="Calibri" w:hAnsi="Calibri" w:cs="Calibri"/>
              </w:rPr>
              <w:lastRenderedPageBreak/>
              <w:t>Outcome 3 helopscope_simulation_11234217_summary Timor Leste</w:t>
            </w:r>
          </w:p>
        </w:tc>
        <w:tc>
          <w:tcPr>
            <w:tcW w:w="7461" w:type="dxa"/>
          </w:tcPr>
          <w:p w14:paraId="75071306"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30A" w14:textId="77777777" w:rsidTr="001071B4">
        <w:trPr>
          <w:trHeight w:val="300"/>
        </w:trPr>
        <w:tc>
          <w:tcPr>
            <w:tcW w:w="6585" w:type="dxa"/>
          </w:tcPr>
          <w:p w14:paraId="75071308" w14:textId="77777777" w:rsidR="002B060A" w:rsidRDefault="006040A7" w:rsidP="00C07A0A">
            <w:pPr>
              <w:rPr>
                <w:rFonts w:ascii="Calibri" w:eastAsia="Calibri" w:hAnsi="Calibri" w:cs="Calibri"/>
              </w:rPr>
            </w:pPr>
            <w:r>
              <w:rPr>
                <w:rFonts w:ascii="Calibri" w:eastAsia="Calibri" w:hAnsi="Calibri" w:cs="Calibri"/>
              </w:rPr>
              <w:t xml:space="preserve">Outcome 3 HEN_Techincal Report on WQ monitoring training DFC </w:t>
            </w:r>
          </w:p>
        </w:tc>
        <w:tc>
          <w:tcPr>
            <w:tcW w:w="7461" w:type="dxa"/>
          </w:tcPr>
          <w:p w14:paraId="75071309"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30D" w14:textId="77777777" w:rsidTr="001071B4">
        <w:trPr>
          <w:trHeight w:val="300"/>
        </w:trPr>
        <w:tc>
          <w:tcPr>
            <w:tcW w:w="6585" w:type="dxa"/>
          </w:tcPr>
          <w:p w14:paraId="7507130B" w14:textId="77777777" w:rsidR="002B060A" w:rsidRDefault="006040A7" w:rsidP="00C07A0A">
            <w:pPr>
              <w:rPr>
                <w:rFonts w:ascii="Calibri" w:eastAsia="Calibri" w:hAnsi="Calibri" w:cs="Calibri"/>
              </w:rPr>
            </w:pPr>
            <w:r>
              <w:rPr>
                <w:rFonts w:ascii="Calibri" w:eastAsia="Calibri" w:hAnsi="Calibri" w:cs="Calibri"/>
              </w:rPr>
              <w:t>Outcome 3 Q1 23 Xayabouly and Vangvieng 12-16 March 2023 travel report</w:t>
            </w:r>
          </w:p>
        </w:tc>
        <w:tc>
          <w:tcPr>
            <w:tcW w:w="7461" w:type="dxa"/>
          </w:tcPr>
          <w:p w14:paraId="7507130C"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310" w14:textId="77777777" w:rsidTr="001071B4">
        <w:trPr>
          <w:trHeight w:val="300"/>
        </w:trPr>
        <w:tc>
          <w:tcPr>
            <w:tcW w:w="6585" w:type="dxa"/>
          </w:tcPr>
          <w:p w14:paraId="7507130E" w14:textId="77777777" w:rsidR="002B060A" w:rsidRDefault="006040A7" w:rsidP="00C07A0A">
            <w:pPr>
              <w:rPr>
                <w:rFonts w:ascii="Calibri" w:eastAsia="Calibri" w:hAnsi="Calibri" w:cs="Calibri"/>
              </w:rPr>
            </w:pPr>
            <w:r>
              <w:rPr>
                <w:rFonts w:ascii="Calibri" w:eastAsia="Calibri" w:hAnsi="Calibri" w:cs="Calibri"/>
              </w:rPr>
              <w:t xml:space="preserve">Outcome 3 Q3_22 Report_of_WASH_Awareness_Raising phase 2 </w:t>
            </w:r>
          </w:p>
        </w:tc>
        <w:tc>
          <w:tcPr>
            <w:tcW w:w="7461" w:type="dxa"/>
          </w:tcPr>
          <w:p w14:paraId="7507130F"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313" w14:textId="77777777" w:rsidTr="001071B4">
        <w:trPr>
          <w:trHeight w:val="300"/>
        </w:trPr>
        <w:tc>
          <w:tcPr>
            <w:tcW w:w="6585" w:type="dxa"/>
          </w:tcPr>
          <w:p w14:paraId="75071311" w14:textId="77777777" w:rsidR="002B060A" w:rsidRDefault="006040A7" w:rsidP="00C07A0A">
            <w:pPr>
              <w:rPr>
                <w:rFonts w:ascii="Calibri" w:eastAsia="Calibri" w:hAnsi="Calibri" w:cs="Calibri"/>
              </w:rPr>
            </w:pPr>
            <w:r>
              <w:rPr>
                <w:rFonts w:ascii="Calibri" w:eastAsia="Calibri" w:hAnsi="Calibri" w:cs="Calibri"/>
              </w:rPr>
              <w:t>Outcome 3 Q3_22 Report_of_WASH_Awareness_Raising phase 3</w:t>
            </w:r>
          </w:p>
        </w:tc>
        <w:tc>
          <w:tcPr>
            <w:tcW w:w="7461" w:type="dxa"/>
          </w:tcPr>
          <w:p w14:paraId="75071312"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316" w14:textId="77777777" w:rsidTr="001071B4">
        <w:trPr>
          <w:trHeight w:val="300"/>
        </w:trPr>
        <w:tc>
          <w:tcPr>
            <w:tcW w:w="6585" w:type="dxa"/>
          </w:tcPr>
          <w:p w14:paraId="75071314" w14:textId="77777777" w:rsidR="002B060A" w:rsidRDefault="006040A7" w:rsidP="00C07A0A">
            <w:pPr>
              <w:rPr>
                <w:rFonts w:ascii="Calibri" w:eastAsia="Calibri" w:hAnsi="Calibri" w:cs="Calibri"/>
              </w:rPr>
            </w:pPr>
            <w:r>
              <w:rPr>
                <w:rFonts w:ascii="Calibri" w:eastAsia="Calibri" w:hAnsi="Calibri" w:cs="Calibri"/>
              </w:rPr>
              <w:t>Outcome 3 Q4_22 Report on CRWSP ToT &amp; 2-day consultation (Dec 22)</w:t>
            </w:r>
          </w:p>
        </w:tc>
        <w:tc>
          <w:tcPr>
            <w:tcW w:w="7461" w:type="dxa"/>
          </w:tcPr>
          <w:p w14:paraId="75071315"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319" w14:textId="77777777" w:rsidTr="001071B4">
        <w:trPr>
          <w:trHeight w:val="300"/>
        </w:trPr>
        <w:tc>
          <w:tcPr>
            <w:tcW w:w="6585" w:type="dxa"/>
          </w:tcPr>
          <w:p w14:paraId="75071317" w14:textId="77777777" w:rsidR="002B060A" w:rsidRDefault="006040A7" w:rsidP="00C07A0A">
            <w:pPr>
              <w:rPr>
                <w:rFonts w:ascii="Calibri" w:eastAsia="Calibri" w:hAnsi="Calibri" w:cs="Calibri"/>
              </w:rPr>
            </w:pPr>
            <w:r>
              <w:rPr>
                <w:rFonts w:ascii="Calibri" w:eastAsia="Calibri" w:hAnsi="Calibri" w:cs="Calibri"/>
              </w:rPr>
              <w:t>Outcome 3 Q4_22 Travel Authorisation for CRWSP ToT &amp; consultation (Dec 22)</w:t>
            </w:r>
          </w:p>
        </w:tc>
        <w:tc>
          <w:tcPr>
            <w:tcW w:w="7461" w:type="dxa"/>
          </w:tcPr>
          <w:p w14:paraId="75071318"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31C" w14:textId="77777777" w:rsidTr="001071B4">
        <w:trPr>
          <w:trHeight w:val="300"/>
        </w:trPr>
        <w:tc>
          <w:tcPr>
            <w:tcW w:w="6585" w:type="dxa"/>
          </w:tcPr>
          <w:p w14:paraId="7507131A" w14:textId="77777777" w:rsidR="002B060A" w:rsidRDefault="006040A7" w:rsidP="00C07A0A">
            <w:pPr>
              <w:rPr>
                <w:rFonts w:ascii="Calibri" w:eastAsia="Calibri" w:hAnsi="Calibri" w:cs="Calibri"/>
              </w:rPr>
            </w:pPr>
            <w:r>
              <w:rPr>
                <w:rFonts w:ascii="Calibri" w:eastAsia="Calibri" w:hAnsi="Calibri" w:cs="Calibri"/>
              </w:rPr>
              <w:t xml:space="preserve">Outcome 3 Solar Feasibility Report Baucau Simulation Centre </w:t>
            </w:r>
          </w:p>
        </w:tc>
        <w:tc>
          <w:tcPr>
            <w:tcW w:w="7461" w:type="dxa"/>
          </w:tcPr>
          <w:p w14:paraId="7507131B"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31F" w14:textId="77777777" w:rsidTr="001071B4">
        <w:trPr>
          <w:trHeight w:val="300"/>
        </w:trPr>
        <w:tc>
          <w:tcPr>
            <w:tcW w:w="6585" w:type="dxa"/>
          </w:tcPr>
          <w:p w14:paraId="7507131D" w14:textId="77777777" w:rsidR="002B060A" w:rsidRDefault="006040A7" w:rsidP="00C07A0A">
            <w:pPr>
              <w:rPr>
                <w:rFonts w:ascii="Calibri" w:eastAsia="Calibri" w:hAnsi="Calibri" w:cs="Calibri"/>
              </w:rPr>
            </w:pPr>
            <w:r>
              <w:rPr>
                <w:rFonts w:ascii="Calibri" w:eastAsia="Calibri" w:hAnsi="Calibri" w:cs="Calibri"/>
              </w:rPr>
              <w:t>Outcome 3_Inception Report Hospital Emergency Preparedness and Response Plan</w:t>
            </w:r>
          </w:p>
        </w:tc>
        <w:tc>
          <w:tcPr>
            <w:tcW w:w="7461" w:type="dxa"/>
          </w:tcPr>
          <w:p w14:paraId="7507131E" w14:textId="77777777" w:rsidR="002B060A" w:rsidRDefault="006040A7" w:rsidP="00C07A0A">
            <w:pPr>
              <w:rPr>
                <w:rFonts w:ascii="Calibri" w:eastAsia="Calibri" w:hAnsi="Calibri" w:cs="Calibri"/>
              </w:rPr>
            </w:pPr>
            <w:r>
              <w:rPr>
                <w:rFonts w:ascii="Calibri" w:eastAsia="Calibri" w:hAnsi="Calibri" w:cs="Calibri"/>
              </w:rPr>
              <w:t>Bangladesh</w:t>
            </w:r>
          </w:p>
        </w:tc>
      </w:tr>
      <w:tr w:rsidR="002B060A" w14:paraId="75071322" w14:textId="77777777" w:rsidTr="001071B4">
        <w:trPr>
          <w:trHeight w:val="300"/>
        </w:trPr>
        <w:tc>
          <w:tcPr>
            <w:tcW w:w="6585" w:type="dxa"/>
          </w:tcPr>
          <w:p w14:paraId="75071320" w14:textId="77777777" w:rsidR="002B060A" w:rsidRDefault="006040A7" w:rsidP="00C07A0A">
            <w:pPr>
              <w:rPr>
                <w:rFonts w:ascii="Calibri" w:eastAsia="Calibri" w:hAnsi="Calibri" w:cs="Calibri"/>
              </w:rPr>
            </w:pPr>
            <w:r>
              <w:rPr>
                <w:rFonts w:ascii="Calibri" w:eastAsia="Calibri" w:hAnsi="Calibri" w:cs="Calibri"/>
              </w:rPr>
              <w:t xml:space="preserve">Outcome 3 RFP-LMS water treatment installation 2 municipalities </w:t>
            </w:r>
          </w:p>
        </w:tc>
        <w:tc>
          <w:tcPr>
            <w:tcW w:w="7461" w:type="dxa"/>
          </w:tcPr>
          <w:p w14:paraId="75071321"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324" w14:textId="77777777" w:rsidTr="001071B4">
        <w:trPr>
          <w:trHeight w:val="300"/>
        </w:trPr>
        <w:tc>
          <w:tcPr>
            <w:tcW w:w="14046" w:type="dxa"/>
            <w:gridSpan w:val="2"/>
            <w:shd w:val="clear" w:color="auto" w:fill="DAE9F7" w:themeFill="text2" w:themeFillTint="1A"/>
          </w:tcPr>
          <w:p w14:paraId="75071323" w14:textId="77777777" w:rsidR="002B060A" w:rsidRDefault="006040A7" w:rsidP="00C07A0A">
            <w:pPr>
              <w:rPr>
                <w:rFonts w:ascii="Calibri" w:eastAsia="Calibri" w:hAnsi="Calibri" w:cs="Calibri"/>
              </w:rPr>
            </w:pPr>
            <w:r>
              <w:rPr>
                <w:rFonts w:ascii="Calibri" w:eastAsia="Calibri" w:hAnsi="Calibri" w:cs="Calibri"/>
              </w:rPr>
              <w:t>Outcome 4.1 / 4.2</w:t>
            </w:r>
          </w:p>
        </w:tc>
      </w:tr>
      <w:tr w:rsidR="002B060A" w14:paraId="75071327" w14:textId="77777777" w:rsidTr="001071B4">
        <w:trPr>
          <w:trHeight w:val="300"/>
        </w:trPr>
        <w:tc>
          <w:tcPr>
            <w:tcW w:w="6585" w:type="dxa"/>
          </w:tcPr>
          <w:p w14:paraId="75071325" w14:textId="77777777" w:rsidR="002B060A" w:rsidRDefault="006040A7" w:rsidP="00C07A0A">
            <w:pPr>
              <w:rPr>
                <w:rFonts w:ascii="Calibri" w:eastAsia="Calibri" w:hAnsi="Calibri" w:cs="Calibri"/>
              </w:rPr>
            </w:pPr>
            <w:r>
              <w:rPr>
                <w:rFonts w:ascii="Calibri" w:eastAsia="Calibri" w:hAnsi="Calibri" w:cs="Calibri"/>
              </w:rPr>
              <w:t>Outcome 4.1 WPRO- LAO Safe Clean Green Hospitals draft indicators 16 Nov22</w:t>
            </w:r>
          </w:p>
        </w:tc>
        <w:tc>
          <w:tcPr>
            <w:tcW w:w="7461" w:type="dxa"/>
          </w:tcPr>
          <w:p w14:paraId="75071326"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32A" w14:textId="77777777" w:rsidTr="001071B4">
        <w:trPr>
          <w:trHeight w:val="300"/>
        </w:trPr>
        <w:tc>
          <w:tcPr>
            <w:tcW w:w="6585" w:type="dxa"/>
          </w:tcPr>
          <w:p w14:paraId="75071328" w14:textId="77777777" w:rsidR="002B060A" w:rsidRDefault="006040A7" w:rsidP="00C07A0A">
            <w:pPr>
              <w:rPr>
                <w:rFonts w:ascii="Calibri" w:eastAsia="Calibri" w:hAnsi="Calibri" w:cs="Calibri"/>
              </w:rPr>
            </w:pPr>
            <w:r>
              <w:rPr>
                <w:rFonts w:ascii="Calibri" w:eastAsia="Calibri" w:hAnsi="Calibri" w:cs="Calibri"/>
              </w:rPr>
              <w:t>Outcome 4.1 WPRO Project Manager Cambodia Mission Report Nov 22</w:t>
            </w:r>
          </w:p>
        </w:tc>
        <w:tc>
          <w:tcPr>
            <w:tcW w:w="7461" w:type="dxa"/>
          </w:tcPr>
          <w:p w14:paraId="75071329"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32D" w14:textId="77777777" w:rsidTr="001071B4">
        <w:trPr>
          <w:trHeight w:val="300"/>
        </w:trPr>
        <w:tc>
          <w:tcPr>
            <w:tcW w:w="6585" w:type="dxa"/>
          </w:tcPr>
          <w:p w14:paraId="7507132B" w14:textId="77777777" w:rsidR="002B060A" w:rsidRDefault="006040A7" w:rsidP="00C07A0A">
            <w:pPr>
              <w:rPr>
                <w:rFonts w:ascii="Calibri" w:eastAsia="Calibri" w:hAnsi="Calibri" w:cs="Calibri"/>
              </w:rPr>
            </w:pPr>
            <w:r>
              <w:rPr>
                <w:rFonts w:ascii="Calibri" w:eastAsia="Calibri" w:hAnsi="Calibri" w:cs="Calibri"/>
              </w:rPr>
              <w:t>Outcome 4.2 WPRO Project Manager LAO PDR Mission Report Nov 22</w:t>
            </w:r>
          </w:p>
        </w:tc>
        <w:tc>
          <w:tcPr>
            <w:tcW w:w="7461" w:type="dxa"/>
          </w:tcPr>
          <w:p w14:paraId="7507132C"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330" w14:textId="77777777" w:rsidTr="001071B4">
        <w:trPr>
          <w:trHeight w:val="300"/>
        </w:trPr>
        <w:tc>
          <w:tcPr>
            <w:tcW w:w="6585" w:type="dxa"/>
          </w:tcPr>
          <w:p w14:paraId="7507132E" w14:textId="77777777" w:rsidR="002B060A" w:rsidRDefault="006040A7" w:rsidP="00C07A0A">
            <w:pPr>
              <w:rPr>
                <w:rFonts w:ascii="Calibri" w:eastAsia="Calibri" w:hAnsi="Calibri" w:cs="Calibri"/>
              </w:rPr>
            </w:pPr>
            <w:r>
              <w:rPr>
                <w:rFonts w:ascii="Calibri" w:eastAsia="Calibri" w:hAnsi="Calibri" w:cs="Calibri"/>
              </w:rPr>
              <w:t>Outcome 4.1 SEARO_Knowledge exchange on WASH, climate resilience and environmental sustainability</w:t>
            </w:r>
          </w:p>
        </w:tc>
        <w:tc>
          <w:tcPr>
            <w:tcW w:w="7461" w:type="dxa"/>
          </w:tcPr>
          <w:p w14:paraId="7507132F" w14:textId="77777777" w:rsidR="002B060A" w:rsidRDefault="006040A7" w:rsidP="00C07A0A">
            <w:pPr>
              <w:rPr>
                <w:rFonts w:ascii="Calibri" w:eastAsia="Calibri" w:hAnsi="Calibri" w:cs="Calibri"/>
              </w:rPr>
            </w:pPr>
            <w:r>
              <w:rPr>
                <w:rFonts w:ascii="Calibri" w:eastAsia="Calibri" w:hAnsi="Calibri" w:cs="Calibri"/>
              </w:rPr>
              <w:t xml:space="preserve">Bangladesh </w:t>
            </w:r>
          </w:p>
        </w:tc>
      </w:tr>
      <w:tr w:rsidR="002B060A" w14:paraId="75071333" w14:textId="77777777" w:rsidTr="001071B4">
        <w:trPr>
          <w:trHeight w:val="300"/>
        </w:trPr>
        <w:tc>
          <w:tcPr>
            <w:tcW w:w="6585" w:type="dxa"/>
          </w:tcPr>
          <w:p w14:paraId="75071331" w14:textId="77777777" w:rsidR="002B060A" w:rsidRDefault="006040A7" w:rsidP="00C07A0A">
            <w:pPr>
              <w:rPr>
                <w:rFonts w:ascii="Calibri" w:eastAsia="Calibri" w:hAnsi="Calibri" w:cs="Calibri"/>
              </w:rPr>
            </w:pPr>
            <w:r>
              <w:rPr>
                <w:rFonts w:ascii="Calibri" w:eastAsia="Calibri" w:hAnsi="Calibri" w:cs="Calibri"/>
              </w:rPr>
              <w:t>Outcome 4.1_Support to Nepal in developing ToR_Baseline assessment GHG emissions from HCFs_CICTool_Nepal</w:t>
            </w:r>
          </w:p>
        </w:tc>
        <w:tc>
          <w:tcPr>
            <w:tcW w:w="7461" w:type="dxa"/>
          </w:tcPr>
          <w:p w14:paraId="75071332" w14:textId="77777777" w:rsidR="002B060A" w:rsidRDefault="006040A7" w:rsidP="00C07A0A">
            <w:pPr>
              <w:rPr>
                <w:rFonts w:ascii="Calibri" w:eastAsia="Calibri" w:hAnsi="Calibri" w:cs="Calibri"/>
              </w:rPr>
            </w:pPr>
            <w:r>
              <w:rPr>
                <w:rFonts w:ascii="Calibri" w:eastAsia="Calibri" w:hAnsi="Calibri" w:cs="Calibri"/>
              </w:rPr>
              <w:t xml:space="preserve">Nepal </w:t>
            </w:r>
          </w:p>
        </w:tc>
      </w:tr>
      <w:tr w:rsidR="002B060A" w14:paraId="75071336" w14:textId="77777777" w:rsidTr="001071B4">
        <w:trPr>
          <w:trHeight w:val="300"/>
        </w:trPr>
        <w:tc>
          <w:tcPr>
            <w:tcW w:w="6585" w:type="dxa"/>
          </w:tcPr>
          <w:p w14:paraId="75071334" w14:textId="77777777" w:rsidR="002B060A" w:rsidRDefault="006040A7" w:rsidP="00C07A0A">
            <w:pPr>
              <w:rPr>
                <w:rFonts w:ascii="Calibri" w:eastAsia="Calibri" w:hAnsi="Calibri" w:cs="Calibri"/>
              </w:rPr>
            </w:pPr>
            <w:r>
              <w:rPr>
                <w:rFonts w:ascii="Calibri" w:eastAsia="Calibri" w:hAnsi="Calibri" w:cs="Calibri"/>
              </w:rPr>
              <w:t xml:space="preserve">Outcome 4.1 Report on CR WSP Support Bangladesh </w:t>
            </w:r>
          </w:p>
        </w:tc>
        <w:tc>
          <w:tcPr>
            <w:tcW w:w="7461" w:type="dxa"/>
          </w:tcPr>
          <w:p w14:paraId="75071335" w14:textId="77777777" w:rsidR="002B060A" w:rsidRDefault="006040A7" w:rsidP="00C07A0A">
            <w:pPr>
              <w:rPr>
                <w:rFonts w:ascii="Calibri" w:eastAsia="Calibri" w:hAnsi="Calibri" w:cs="Calibri"/>
              </w:rPr>
            </w:pPr>
            <w:r>
              <w:rPr>
                <w:rFonts w:ascii="Calibri" w:eastAsia="Calibri" w:hAnsi="Calibri" w:cs="Calibri"/>
              </w:rPr>
              <w:t xml:space="preserve">Bangladesh </w:t>
            </w:r>
          </w:p>
        </w:tc>
      </w:tr>
      <w:tr w:rsidR="002B060A" w14:paraId="75071339" w14:textId="77777777" w:rsidTr="001071B4">
        <w:trPr>
          <w:trHeight w:val="300"/>
        </w:trPr>
        <w:tc>
          <w:tcPr>
            <w:tcW w:w="6585" w:type="dxa"/>
          </w:tcPr>
          <w:p w14:paraId="75071337" w14:textId="77777777" w:rsidR="002B060A" w:rsidRDefault="006040A7" w:rsidP="00C07A0A">
            <w:pPr>
              <w:rPr>
                <w:rFonts w:ascii="Calibri" w:eastAsia="Calibri" w:hAnsi="Calibri" w:cs="Calibri"/>
              </w:rPr>
            </w:pPr>
            <w:r>
              <w:rPr>
                <w:rFonts w:ascii="Calibri" w:eastAsia="Calibri" w:hAnsi="Calibri" w:cs="Calibri"/>
              </w:rPr>
              <w:lastRenderedPageBreak/>
              <w:t>Outcome 4.1_SEARO_Pilot testing Report of the web based CRESHCF Scorecard</w:t>
            </w:r>
          </w:p>
        </w:tc>
        <w:tc>
          <w:tcPr>
            <w:tcW w:w="7461" w:type="dxa"/>
          </w:tcPr>
          <w:p w14:paraId="75071338" w14:textId="77777777" w:rsidR="002B060A" w:rsidRDefault="002B060A" w:rsidP="00C07A0A">
            <w:pPr>
              <w:rPr>
                <w:rFonts w:ascii="Calibri" w:eastAsia="Calibri" w:hAnsi="Calibri" w:cs="Calibri"/>
              </w:rPr>
            </w:pPr>
          </w:p>
        </w:tc>
      </w:tr>
      <w:tr w:rsidR="002B060A" w14:paraId="7507133C" w14:textId="77777777" w:rsidTr="001071B4">
        <w:trPr>
          <w:trHeight w:val="300"/>
        </w:trPr>
        <w:tc>
          <w:tcPr>
            <w:tcW w:w="6585" w:type="dxa"/>
          </w:tcPr>
          <w:p w14:paraId="7507133A" w14:textId="77777777" w:rsidR="002B060A" w:rsidRDefault="006040A7" w:rsidP="00C07A0A">
            <w:pPr>
              <w:rPr>
                <w:rFonts w:ascii="Calibri" w:eastAsia="Calibri" w:hAnsi="Calibri" w:cs="Calibri"/>
              </w:rPr>
            </w:pPr>
            <w:r>
              <w:rPr>
                <w:rFonts w:ascii="Calibri" w:eastAsia="Calibri" w:hAnsi="Calibri" w:cs="Calibri"/>
              </w:rPr>
              <w:t xml:space="preserve">Outcome 4.1 SERO Regional Meeting on Climate Resilient Water and Sanitation Safety Planning and Audit </w:t>
            </w:r>
          </w:p>
        </w:tc>
        <w:tc>
          <w:tcPr>
            <w:tcW w:w="7461" w:type="dxa"/>
          </w:tcPr>
          <w:p w14:paraId="7507133B" w14:textId="77777777" w:rsidR="002B060A" w:rsidRDefault="006040A7" w:rsidP="00C07A0A">
            <w:pPr>
              <w:rPr>
                <w:rFonts w:ascii="Calibri" w:eastAsia="Calibri" w:hAnsi="Calibri" w:cs="Calibri"/>
              </w:rPr>
            </w:pPr>
            <w:r>
              <w:rPr>
                <w:rFonts w:ascii="Calibri" w:eastAsia="Calibri" w:hAnsi="Calibri" w:cs="Calibri"/>
              </w:rPr>
              <w:t xml:space="preserve">Nepal </w:t>
            </w:r>
          </w:p>
        </w:tc>
      </w:tr>
      <w:tr w:rsidR="002B060A" w14:paraId="7507133E" w14:textId="77777777" w:rsidTr="001071B4">
        <w:trPr>
          <w:trHeight w:val="300"/>
        </w:trPr>
        <w:tc>
          <w:tcPr>
            <w:tcW w:w="14046" w:type="dxa"/>
            <w:gridSpan w:val="2"/>
            <w:shd w:val="clear" w:color="auto" w:fill="DAE9F7" w:themeFill="text2" w:themeFillTint="1A"/>
          </w:tcPr>
          <w:p w14:paraId="7507133D" w14:textId="77777777" w:rsidR="002B060A" w:rsidRDefault="006040A7" w:rsidP="00C07A0A">
            <w:pPr>
              <w:rPr>
                <w:rFonts w:ascii="Calibri" w:eastAsia="Calibri" w:hAnsi="Calibri" w:cs="Calibri"/>
              </w:rPr>
            </w:pPr>
            <w:r>
              <w:rPr>
                <w:rFonts w:ascii="Calibri" w:eastAsia="Calibri" w:hAnsi="Calibri" w:cs="Calibri"/>
              </w:rPr>
              <w:t xml:space="preserve">Co-financing </w:t>
            </w:r>
          </w:p>
        </w:tc>
      </w:tr>
      <w:tr w:rsidR="002B060A" w14:paraId="75071341" w14:textId="77777777" w:rsidTr="001071B4">
        <w:trPr>
          <w:trHeight w:val="300"/>
        </w:trPr>
        <w:tc>
          <w:tcPr>
            <w:tcW w:w="6585" w:type="dxa"/>
          </w:tcPr>
          <w:p w14:paraId="7507133F" w14:textId="77777777" w:rsidR="002B060A" w:rsidRDefault="006040A7" w:rsidP="00C07A0A">
            <w:pPr>
              <w:rPr>
                <w:rFonts w:ascii="Calibri" w:eastAsia="Calibri" w:hAnsi="Calibri" w:cs="Calibri"/>
              </w:rPr>
            </w:pPr>
            <w:r>
              <w:rPr>
                <w:rFonts w:ascii="Calibri" w:eastAsia="Calibri" w:hAnsi="Calibri" w:cs="Calibri"/>
              </w:rPr>
              <w:t xml:space="preserve">Co-financing evidence letter PMD Cambodia GEF </w:t>
            </w:r>
          </w:p>
        </w:tc>
        <w:tc>
          <w:tcPr>
            <w:tcW w:w="7461" w:type="dxa"/>
          </w:tcPr>
          <w:p w14:paraId="75071340"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344" w14:textId="77777777" w:rsidTr="001071B4">
        <w:trPr>
          <w:trHeight w:val="300"/>
        </w:trPr>
        <w:tc>
          <w:tcPr>
            <w:tcW w:w="6585" w:type="dxa"/>
          </w:tcPr>
          <w:p w14:paraId="75071342" w14:textId="77777777" w:rsidR="002B060A" w:rsidRDefault="006040A7" w:rsidP="00C07A0A">
            <w:pPr>
              <w:rPr>
                <w:rFonts w:ascii="Calibri" w:eastAsia="Calibri" w:hAnsi="Calibri" w:cs="Calibri"/>
              </w:rPr>
            </w:pPr>
            <w:r>
              <w:rPr>
                <w:rFonts w:ascii="Calibri" w:eastAsia="Calibri" w:hAnsi="Calibri" w:cs="Calibri"/>
              </w:rPr>
              <w:t xml:space="preserve">Co-financing evidence letter WHO WCO Bangladesh </w:t>
            </w:r>
          </w:p>
        </w:tc>
        <w:tc>
          <w:tcPr>
            <w:tcW w:w="7461" w:type="dxa"/>
          </w:tcPr>
          <w:p w14:paraId="75071343" w14:textId="77777777" w:rsidR="002B060A" w:rsidRDefault="006040A7" w:rsidP="00C07A0A">
            <w:pPr>
              <w:rPr>
                <w:rFonts w:ascii="Calibri" w:eastAsia="Calibri" w:hAnsi="Calibri" w:cs="Calibri"/>
              </w:rPr>
            </w:pPr>
            <w:r>
              <w:rPr>
                <w:rFonts w:ascii="Calibri" w:eastAsia="Calibri" w:hAnsi="Calibri" w:cs="Calibri"/>
              </w:rPr>
              <w:t>Bangladesh</w:t>
            </w:r>
          </w:p>
        </w:tc>
      </w:tr>
      <w:tr w:rsidR="002B060A" w14:paraId="75071347" w14:textId="77777777" w:rsidTr="001071B4">
        <w:trPr>
          <w:trHeight w:val="300"/>
        </w:trPr>
        <w:tc>
          <w:tcPr>
            <w:tcW w:w="6585" w:type="dxa"/>
          </w:tcPr>
          <w:p w14:paraId="75071345" w14:textId="77777777" w:rsidR="002B060A" w:rsidRDefault="006040A7" w:rsidP="00C07A0A">
            <w:pPr>
              <w:rPr>
                <w:rFonts w:ascii="Calibri" w:eastAsia="Calibri" w:hAnsi="Calibri" w:cs="Calibri"/>
              </w:rPr>
            </w:pPr>
            <w:r>
              <w:rPr>
                <w:rFonts w:ascii="Calibri" w:eastAsia="Calibri" w:hAnsi="Calibri" w:cs="Calibri"/>
              </w:rPr>
              <w:t>Co-financing letter 2023_MoHP Nepal</w:t>
            </w:r>
          </w:p>
        </w:tc>
        <w:tc>
          <w:tcPr>
            <w:tcW w:w="7461" w:type="dxa"/>
          </w:tcPr>
          <w:p w14:paraId="75071346" w14:textId="77777777" w:rsidR="002B060A" w:rsidRDefault="006040A7" w:rsidP="00C07A0A">
            <w:pPr>
              <w:rPr>
                <w:rFonts w:ascii="Calibri" w:eastAsia="Calibri" w:hAnsi="Calibri" w:cs="Calibri"/>
              </w:rPr>
            </w:pPr>
            <w:r>
              <w:rPr>
                <w:rFonts w:ascii="Calibri" w:eastAsia="Calibri" w:hAnsi="Calibri" w:cs="Calibri"/>
              </w:rPr>
              <w:t>Nepal</w:t>
            </w:r>
          </w:p>
        </w:tc>
      </w:tr>
      <w:tr w:rsidR="002B060A" w14:paraId="7507134A" w14:textId="77777777" w:rsidTr="001071B4">
        <w:trPr>
          <w:trHeight w:val="300"/>
        </w:trPr>
        <w:tc>
          <w:tcPr>
            <w:tcW w:w="6585" w:type="dxa"/>
          </w:tcPr>
          <w:p w14:paraId="75071348" w14:textId="77777777" w:rsidR="002B060A" w:rsidRDefault="006040A7" w:rsidP="00C07A0A">
            <w:pPr>
              <w:rPr>
                <w:rFonts w:ascii="Calibri" w:eastAsia="Calibri" w:hAnsi="Calibri" w:cs="Calibri"/>
              </w:rPr>
            </w:pPr>
            <w:r>
              <w:rPr>
                <w:rFonts w:ascii="Calibri" w:eastAsia="Calibri" w:hAnsi="Calibri" w:cs="Calibri"/>
              </w:rPr>
              <w:t xml:space="preserve">WHO country office TL co-financing support 2023 </w:t>
            </w:r>
          </w:p>
        </w:tc>
        <w:tc>
          <w:tcPr>
            <w:tcW w:w="7461" w:type="dxa"/>
          </w:tcPr>
          <w:p w14:paraId="75071349" w14:textId="77777777" w:rsidR="002B060A" w:rsidRDefault="006040A7" w:rsidP="00C07A0A">
            <w:pPr>
              <w:rPr>
                <w:rFonts w:ascii="Calibri" w:eastAsia="Calibri" w:hAnsi="Calibri" w:cs="Calibri"/>
              </w:rPr>
            </w:pPr>
            <w:r>
              <w:rPr>
                <w:rFonts w:ascii="Calibri" w:eastAsia="Calibri" w:hAnsi="Calibri" w:cs="Calibri"/>
              </w:rPr>
              <w:t>Timor Leste</w:t>
            </w:r>
          </w:p>
        </w:tc>
      </w:tr>
      <w:tr w:rsidR="002B060A" w14:paraId="7507134D" w14:textId="77777777" w:rsidTr="001071B4">
        <w:trPr>
          <w:trHeight w:val="300"/>
        </w:trPr>
        <w:tc>
          <w:tcPr>
            <w:tcW w:w="6585" w:type="dxa"/>
          </w:tcPr>
          <w:p w14:paraId="7507134B" w14:textId="77777777" w:rsidR="002B060A" w:rsidRDefault="006040A7" w:rsidP="00C07A0A">
            <w:pPr>
              <w:rPr>
                <w:rFonts w:ascii="Calibri" w:eastAsia="Calibri" w:hAnsi="Calibri" w:cs="Calibri"/>
              </w:rPr>
            </w:pPr>
            <w:r>
              <w:rPr>
                <w:rFonts w:ascii="Calibri" w:eastAsia="Calibri" w:hAnsi="Calibri" w:cs="Calibri"/>
              </w:rPr>
              <w:t xml:space="preserve">WHO LAO Co cofinance-implementation @ July 2023 </w:t>
            </w:r>
          </w:p>
        </w:tc>
        <w:tc>
          <w:tcPr>
            <w:tcW w:w="7461" w:type="dxa"/>
          </w:tcPr>
          <w:p w14:paraId="7507134C"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350" w14:textId="77777777" w:rsidTr="001071B4">
        <w:trPr>
          <w:trHeight w:val="300"/>
        </w:trPr>
        <w:tc>
          <w:tcPr>
            <w:tcW w:w="6585" w:type="dxa"/>
          </w:tcPr>
          <w:p w14:paraId="7507134E" w14:textId="77777777" w:rsidR="002B060A" w:rsidRDefault="006040A7" w:rsidP="00C07A0A">
            <w:pPr>
              <w:rPr>
                <w:rFonts w:ascii="Calibri" w:eastAsia="Calibri" w:hAnsi="Calibri" w:cs="Calibri"/>
              </w:rPr>
            </w:pPr>
            <w:r>
              <w:rPr>
                <w:rFonts w:ascii="Calibri" w:eastAsia="Calibri" w:hAnsi="Calibri" w:cs="Calibri"/>
              </w:rPr>
              <w:t xml:space="preserve">Lao PDR Government evidence of in-kind expenditure </w:t>
            </w:r>
          </w:p>
        </w:tc>
        <w:tc>
          <w:tcPr>
            <w:tcW w:w="7461" w:type="dxa"/>
          </w:tcPr>
          <w:p w14:paraId="7507134F" w14:textId="77777777" w:rsidR="002B060A" w:rsidRDefault="006040A7" w:rsidP="00C07A0A">
            <w:pPr>
              <w:rPr>
                <w:rFonts w:ascii="Calibri" w:eastAsia="Calibri" w:hAnsi="Calibri" w:cs="Calibri"/>
              </w:rPr>
            </w:pPr>
            <w:r>
              <w:rPr>
                <w:rFonts w:ascii="Calibri" w:eastAsia="Calibri" w:hAnsi="Calibri" w:cs="Calibri"/>
              </w:rPr>
              <w:t>Laos PDR</w:t>
            </w:r>
          </w:p>
        </w:tc>
      </w:tr>
      <w:tr w:rsidR="002B060A" w14:paraId="75071353" w14:textId="77777777" w:rsidTr="001071B4">
        <w:trPr>
          <w:trHeight w:val="300"/>
        </w:trPr>
        <w:tc>
          <w:tcPr>
            <w:tcW w:w="6585" w:type="dxa"/>
          </w:tcPr>
          <w:p w14:paraId="75071351" w14:textId="77777777" w:rsidR="002B060A" w:rsidRDefault="006040A7" w:rsidP="00C07A0A">
            <w:pPr>
              <w:rPr>
                <w:rFonts w:ascii="Calibri" w:eastAsia="Calibri" w:hAnsi="Calibri" w:cs="Calibri"/>
              </w:rPr>
            </w:pPr>
            <w:r>
              <w:rPr>
                <w:rFonts w:ascii="Calibri" w:eastAsia="Calibri" w:hAnsi="Calibri" w:cs="Calibri"/>
              </w:rPr>
              <w:t>Copy of 23 10 09 UNDP GEF Cofinancing SEARO+WPRO+HQ contribution V1</w:t>
            </w:r>
          </w:p>
        </w:tc>
        <w:tc>
          <w:tcPr>
            <w:tcW w:w="7461" w:type="dxa"/>
          </w:tcPr>
          <w:p w14:paraId="75071352"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356" w14:textId="77777777" w:rsidTr="001071B4">
        <w:trPr>
          <w:trHeight w:val="300"/>
        </w:trPr>
        <w:tc>
          <w:tcPr>
            <w:tcW w:w="6585" w:type="dxa"/>
          </w:tcPr>
          <w:p w14:paraId="75071354" w14:textId="77777777" w:rsidR="002B060A" w:rsidRDefault="006040A7" w:rsidP="00C07A0A">
            <w:pPr>
              <w:rPr>
                <w:rFonts w:ascii="Calibri" w:eastAsia="Calibri" w:hAnsi="Calibri" w:cs="Calibri"/>
              </w:rPr>
            </w:pPr>
            <w:r>
              <w:rPr>
                <w:rFonts w:ascii="Calibri" w:eastAsia="Calibri" w:hAnsi="Calibri" w:cs="Calibri"/>
              </w:rPr>
              <w:t>MoH_IEDCR_Co_financing letter_2023</w:t>
            </w:r>
          </w:p>
        </w:tc>
        <w:tc>
          <w:tcPr>
            <w:tcW w:w="7461" w:type="dxa"/>
          </w:tcPr>
          <w:p w14:paraId="75071355"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359" w14:textId="77777777" w:rsidTr="001071B4">
        <w:trPr>
          <w:trHeight w:val="300"/>
        </w:trPr>
        <w:tc>
          <w:tcPr>
            <w:tcW w:w="6585" w:type="dxa"/>
          </w:tcPr>
          <w:p w14:paraId="75071357" w14:textId="77777777" w:rsidR="002B060A" w:rsidRDefault="006040A7" w:rsidP="00C07A0A">
            <w:pPr>
              <w:rPr>
                <w:rFonts w:ascii="Calibri" w:eastAsia="Calibri" w:hAnsi="Calibri" w:cs="Calibri"/>
              </w:rPr>
            </w:pPr>
            <w:r>
              <w:rPr>
                <w:rFonts w:ascii="Calibri" w:eastAsia="Calibri" w:hAnsi="Calibri" w:cs="Calibri"/>
              </w:rPr>
              <w:t>UNDP GEF Cofinancing SEARO+WPRO+HQ contribution_v1</w:t>
            </w:r>
          </w:p>
        </w:tc>
        <w:tc>
          <w:tcPr>
            <w:tcW w:w="7461" w:type="dxa"/>
          </w:tcPr>
          <w:p w14:paraId="75071358"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35D" w14:textId="77777777" w:rsidTr="001071B4">
        <w:trPr>
          <w:trHeight w:val="300"/>
        </w:trPr>
        <w:tc>
          <w:tcPr>
            <w:tcW w:w="6585" w:type="dxa"/>
          </w:tcPr>
          <w:p w14:paraId="7507135A" w14:textId="77777777" w:rsidR="002B060A" w:rsidRDefault="006040A7" w:rsidP="00C07A0A">
            <w:pPr>
              <w:rPr>
                <w:rFonts w:ascii="Calibri" w:eastAsia="Calibri" w:hAnsi="Calibri" w:cs="Calibri"/>
              </w:rPr>
            </w:pPr>
            <w:r>
              <w:rPr>
                <w:rFonts w:ascii="Calibri" w:eastAsia="Calibri" w:hAnsi="Calibri" w:cs="Calibri"/>
              </w:rPr>
              <w:t xml:space="preserve">Multi-year budget acquittals </w:t>
            </w:r>
          </w:p>
        </w:tc>
        <w:tc>
          <w:tcPr>
            <w:tcW w:w="7461" w:type="dxa"/>
          </w:tcPr>
          <w:p w14:paraId="7507135B" w14:textId="77777777" w:rsidR="002B060A" w:rsidRDefault="006040A7" w:rsidP="00C07A0A">
            <w:pPr>
              <w:rPr>
                <w:rFonts w:ascii="Calibri" w:eastAsia="Calibri" w:hAnsi="Calibri" w:cs="Calibri"/>
              </w:rPr>
            </w:pPr>
            <w:r>
              <w:rPr>
                <w:rFonts w:ascii="Calibri" w:eastAsia="Calibri" w:hAnsi="Calibri" w:cs="Calibri"/>
              </w:rPr>
              <w:t>Whole project</w:t>
            </w:r>
          </w:p>
          <w:p w14:paraId="7507135C" w14:textId="77777777" w:rsidR="002B060A" w:rsidRDefault="002B060A" w:rsidP="00C07A0A">
            <w:pPr>
              <w:rPr>
                <w:rFonts w:ascii="Calibri" w:eastAsia="Calibri" w:hAnsi="Calibri" w:cs="Calibri"/>
              </w:rPr>
            </w:pPr>
          </w:p>
        </w:tc>
      </w:tr>
      <w:tr w:rsidR="002B060A" w14:paraId="75071360" w14:textId="77777777" w:rsidTr="001071B4">
        <w:trPr>
          <w:trHeight w:val="300"/>
        </w:trPr>
        <w:tc>
          <w:tcPr>
            <w:tcW w:w="6585" w:type="dxa"/>
          </w:tcPr>
          <w:p w14:paraId="7507135E" w14:textId="77777777" w:rsidR="002B060A" w:rsidRDefault="006040A7" w:rsidP="00C07A0A">
            <w:pPr>
              <w:rPr>
                <w:rFonts w:ascii="Calibri" w:eastAsia="Calibri" w:hAnsi="Calibri" w:cs="Calibri"/>
              </w:rPr>
            </w:pPr>
            <w:r>
              <w:rPr>
                <w:rFonts w:ascii="Calibri" w:eastAsia="Calibri" w:hAnsi="Calibri" w:cs="Calibri"/>
              </w:rPr>
              <w:t xml:space="preserve">UNDP-GEF Compiled report Year 1 to Year 5 as at 30 June 2023 </w:t>
            </w:r>
          </w:p>
        </w:tc>
        <w:tc>
          <w:tcPr>
            <w:tcW w:w="7461" w:type="dxa"/>
          </w:tcPr>
          <w:p w14:paraId="7507135F"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364" w14:textId="77777777" w:rsidTr="001071B4">
        <w:trPr>
          <w:trHeight w:val="300"/>
        </w:trPr>
        <w:tc>
          <w:tcPr>
            <w:tcW w:w="6585" w:type="dxa"/>
          </w:tcPr>
          <w:p w14:paraId="75071361" w14:textId="77777777" w:rsidR="002B060A" w:rsidRDefault="006040A7" w:rsidP="00C07A0A">
            <w:pPr>
              <w:rPr>
                <w:rFonts w:ascii="Calibri" w:eastAsia="Calibri" w:hAnsi="Calibri" w:cs="Calibri"/>
              </w:rPr>
            </w:pPr>
            <w:r>
              <w:rPr>
                <w:rFonts w:ascii="Calibri" w:eastAsia="Calibri" w:hAnsi="Calibri" w:cs="Calibri"/>
              </w:rPr>
              <w:t>GEF Training numbers 2023</w:t>
            </w:r>
          </w:p>
        </w:tc>
        <w:tc>
          <w:tcPr>
            <w:tcW w:w="7461" w:type="dxa"/>
          </w:tcPr>
          <w:p w14:paraId="75071362" w14:textId="77777777" w:rsidR="002B060A" w:rsidRDefault="006040A7" w:rsidP="00C07A0A">
            <w:pPr>
              <w:rPr>
                <w:rFonts w:ascii="Calibri" w:eastAsia="Calibri" w:hAnsi="Calibri" w:cs="Calibri"/>
              </w:rPr>
            </w:pPr>
            <w:r>
              <w:rPr>
                <w:rFonts w:ascii="Calibri" w:eastAsia="Calibri" w:hAnsi="Calibri" w:cs="Calibri"/>
              </w:rPr>
              <w:t>Whole project</w:t>
            </w:r>
          </w:p>
          <w:p w14:paraId="75071363" w14:textId="77777777" w:rsidR="002B060A" w:rsidRDefault="002B060A" w:rsidP="00C07A0A">
            <w:pPr>
              <w:rPr>
                <w:rFonts w:ascii="Calibri" w:eastAsia="Calibri" w:hAnsi="Calibri" w:cs="Calibri"/>
              </w:rPr>
            </w:pPr>
          </w:p>
        </w:tc>
      </w:tr>
      <w:tr w:rsidR="002B060A" w14:paraId="75071368" w14:textId="77777777" w:rsidTr="001071B4">
        <w:trPr>
          <w:trHeight w:val="300"/>
        </w:trPr>
        <w:tc>
          <w:tcPr>
            <w:tcW w:w="6585" w:type="dxa"/>
          </w:tcPr>
          <w:p w14:paraId="75071365" w14:textId="77777777" w:rsidR="002B060A" w:rsidRDefault="006040A7" w:rsidP="00C07A0A">
            <w:pPr>
              <w:rPr>
                <w:rFonts w:ascii="Calibri" w:eastAsia="Calibri" w:hAnsi="Calibri" w:cs="Calibri"/>
              </w:rPr>
            </w:pPr>
            <w:r>
              <w:rPr>
                <w:rFonts w:ascii="Calibri" w:eastAsia="Calibri" w:hAnsi="Calibri" w:cs="Calibri"/>
              </w:rPr>
              <w:t>Risk register_PIMS 5400_2023</w:t>
            </w:r>
          </w:p>
        </w:tc>
        <w:tc>
          <w:tcPr>
            <w:tcW w:w="7461" w:type="dxa"/>
          </w:tcPr>
          <w:p w14:paraId="75071366" w14:textId="77777777" w:rsidR="002B060A" w:rsidRDefault="006040A7" w:rsidP="00C07A0A">
            <w:pPr>
              <w:rPr>
                <w:rFonts w:ascii="Calibri" w:eastAsia="Calibri" w:hAnsi="Calibri" w:cs="Calibri"/>
              </w:rPr>
            </w:pPr>
            <w:r>
              <w:rPr>
                <w:rFonts w:ascii="Calibri" w:eastAsia="Calibri" w:hAnsi="Calibri" w:cs="Calibri"/>
              </w:rPr>
              <w:t>Whole project</w:t>
            </w:r>
          </w:p>
          <w:p w14:paraId="75071367" w14:textId="77777777" w:rsidR="002B060A" w:rsidRDefault="002B060A" w:rsidP="00C07A0A">
            <w:pPr>
              <w:rPr>
                <w:rFonts w:ascii="Calibri" w:eastAsia="Calibri" w:hAnsi="Calibri" w:cs="Calibri"/>
              </w:rPr>
            </w:pPr>
          </w:p>
        </w:tc>
      </w:tr>
      <w:tr w:rsidR="002B060A" w14:paraId="7507136A" w14:textId="77777777" w:rsidTr="001071B4">
        <w:trPr>
          <w:trHeight w:val="300"/>
        </w:trPr>
        <w:tc>
          <w:tcPr>
            <w:tcW w:w="14046" w:type="dxa"/>
            <w:gridSpan w:val="2"/>
            <w:shd w:val="clear" w:color="auto" w:fill="DAE9F7" w:themeFill="text2" w:themeFillTint="1A"/>
          </w:tcPr>
          <w:p w14:paraId="75071369" w14:textId="77777777" w:rsidR="002B060A" w:rsidRDefault="006040A7" w:rsidP="00C07A0A">
            <w:pPr>
              <w:rPr>
                <w:rFonts w:ascii="Calibri" w:eastAsia="Calibri" w:hAnsi="Calibri" w:cs="Calibri"/>
              </w:rPr>
            </w:pPr>
            <w:r>
              <w:rPr>
                <w:rFonts w:ascii="Calibri" w:eastAsia="Calibri" w:hAnsi="Calibri" w:cs="Calibri"/>
              </w:rPr>
              <w:t>Annual Reports (2021)</w:t>
            </w:r>
          </w:p>
        </w:tc>
      </w:tr>
      <w:tr w:rsidR="002B060A" w14:paraId="7507136D" w14:textId="77777777" w:rsidTr="001071B4">
        <w:trPr>
          <w:trHeight w:val="330"/>
        </w:trPr>
        <w:tc>
          <w:tcPr>
            <w:tcW w:w="6585" w:type="dxa"/>
          </w:tcPr>
          <w:p w14:paraId="7507136B" w14:textId="77777777" w:rsidR="002B060A" w:rsidRDefault="006040A7" w:rsidP="00C07A0A">
            <w:pPr>
              <w:rPr>
                <w:rFonts w:ascii="Calibri" w:eastAsia="Calibri" w:hAnsi="Calibri" w:cs="Calibri"/>
              </w:rPr>
            </w:pPr>
            <w:r>
              <w:rPr>
                <w:rFonts w:ascii="Calibri" w:eastAsia="Calibri" w:hAnsi="Calibri" w:cs="Calibri"/>
              </w:rPr>
              <w:t>2021-GEF-PIR-PIMS5400-GEFID6984</w:t>
            </w:r>
          </w:p>
        </w:tc>
        <w:tc>
          <w:tcPr>
            <w:tcW w:w="7461" w:type="dxa"/>
          </w:tcPr>
          <w:p w14:paraId="7507136C"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36F" w14:textId="77777777" w:rsidTr="001071B4">
        <w:trPr>
          <w:trHeight w:val="300"/>
        </w:trPr>
        <w:tc>
          <w:tcPr>
            <w:tcW w:w="14046" w:type="dxa"/>
            <w:gridSpan w:val="2"/>
            <w:shd w:val="clear" w:color="auto" w:fill="DAE9F7" w:themeFill="text2" w:themeFillTint="1A"/>
          </w:tcPr>
          <w:p w14:paraId="7507136E" w14:textId="77777777" w:rsidR="002B060A" w:rsidRDefault="006040A7" w:rsidP="00C07A0A">
            <w:pPr>
              <w:rPr>
                <w:rFonts w:ascii="Calibri" w:eastAsia="Calibri" w:hAnsi="Calibri" w:cs="Calibri"/>
              </w:rPr>
            </w:pPr>
            <w:r>
              <w:rPr>
                <w:rFonts w:ascii="Calibri" w:eastAsia="Calibri" w:hAnsi="Calibri" w:cs="Calibri"/>
              </w:rPr>
              <w:t>Annual Reports (2020)</w:t>
            </w:r>
          </w:p>
        </w:tc>
      </w:tr>
      <w:tr w:rsidR="002B060A" w14:paraId="75071372" w14:textId="77777777" w:rsidTr="001071B4">
        <w:trPr>
          <w:trHeight w:val="300"/>
        </w:trPr>
        <w:tc>
          <w:tcPr>
            <w:tcW w:w="6585" w:type="dxa"/>
          </w:tcPr>
          <w:p w14:paraId="75071370" w14:textId="77777777" w:rsidR="002B060A" w:rsidRDefault="006040A7" w:rsidP="00C07A0A">
            <w:pPr>
              <w:rPr>
                <w:rFonts w:ascii="Calibri" w:eastAsia="Calibri" w:hAnsi="Calibri" w:cs="Calibri"/>
              </w:rPr>
            </w:pPr>
            <w:r>
              <w:rPr>
                <w:rFonts w:ascii="Calibri" w:eastAsia="Calibri" w:hAnsi="Calibri" w:cs="Calibri"/>
              </w:rPr>
              <w:t>5400 PIR draft v.1 31 July 2020 AS</w:t>
            </w:r>
          </w:p>
        </w:tc>
        <w:tc>
          <w:tcPr>
            <w:tcW w:w="7461" w:type="dxa"/>
          </w:tcPr>
          <w:p w14:paraId="75071371"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375" w14:textId="77777777" w:rsidTr="001071B4">
        <w:trPr>
          <w:trHeight w:val="300"/>
        </w:trPr>
        <w:tc>
          <w:tcPr>
            <w:tcW w:w="6585" w:type="dxa"/>
          </w:tcPr>
          <w:p w14:paraId="75071373" w14:textId="77777777" w:rsidR="002B060A" w:rsidRDefault="006040A7" w:rsidP="00C07A0A">
            <w:pPr>
              <w:rPr>
                <w:rFonts w:ascii="Calibri" w:eastAsia="Calibri" w:hAnsi="Calibri" w:cs="Calibri"/>
              </w:rPr>
            </w:pPr>
            <w:r>
              <w:rPr>
                <w:rFonts w:ascii="Calibri" w:eastAsia="Calibri" w:hAnsi="Calibri" w:cs="Calibri"/>
              </w:rPr>
              <w:t xml:space="preserve">Mid-term review inception and final report </w:t>
            </w:r>
          </w:p>
        </w:tc>
        <w:tc>
          <w:tcPr>
            <w:tcW w:w="7461" w:type="dxa"/>
          </w:tcPr>
          <w:p w14:paraId="75071374"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78" w14:textId="77777777" w:rsidTr="001071B4">
        <w:trPr>
          <w:trHeight w:val="300"/>
        </w:trPr>
        <w:tc>
          <w:tcPr>
            <w:tcW w:w="6585" w:type="dxa"/>
          </w:tcPr>
          <w:p w14:paraId="75071376" w14:textId="77777777" w:rsidR="002B060A" w:rsidRDefault="006040A7" w:rsidP="00C07A0A">
            <w:pPr>
              <w:rPr>
                <w:rFonts w:ascii="Calibri" w:eastAsia="Calibri" w:hAnsi="Calibri" w:cs="Calibri"/>
              </w:rPr>
            </w:pPr>
            <w:r>
              <w:rPr>
                <w:rFonts w:ascii="Calibri" w:eastAsia="Calibri" w:hAnsi="Calibri" w:cs="Calibri"/>
              </w:rPr>
              <w:t>MTR GEF-UNDP 23SEP21 FINAL UNDP (002) clean-final-signedev</w:t>
            </w:r>
          </w:p>
        </w:tc>
        <w:tc>
          <w:tcPr>
            <w:tcW w:w="7461" w:type="dxa"/>
          </w:tcPr>
          <w:p w14:paraId="75071377"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37B" w14:textId="77777777" w:rsidTr="001071B4">
        <w:trPr>
          <w:trHeight w:val="300"/>
        </w:trPr>
        <w:tc>
          <w:tcPr>
            <w:tcW w:w="6585" w:type="dxa"/>
          </w:tcPr>
          <w:p w14:paraId="75071379" w14:textId="77777777" w:rsidR="002B060A" w:rsidRDefault="006040A7" w:rsidP="00C07A0A">
            <w:pPr>
              <w:rPr>
                <w:rFonts w:ascii="Calibri" w:eastAsia="Calibri" w:hAnsi="Calibri" w:cs="Calibri"/>
              </w:rPr>
            </w:pPr>
            <w:r>
              <w:rPr>
                <w:rFonts w:ascii="Calibri" w:eastAsia="Calibri" w:hAnsi="Calibri" w:cs="Calibri"/>
              </w:rPr>
              <w:t xml:space="preserve">MTR Inception Report-FINAL </w:t>
            </w:r>
          </w:p>
        </w:tc>
        <w:tc>
          <w:tcPr>
            <w:tcW w:w="7461" w:type="dxa"/>
          </w:tcPr>
          <w:p w14:paraId="7507137A"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37D" w14:textId="77777777" w:rsidTr="001071B4">
        <w:trPr>
          <w:trHeight w:val="300"/>
        </w:trPr>
        <w:tc>
          <w:tcPr>
            <w:tcW w:w="14046" w:type="dxa"/>
            <w:gridSpan w:val="2"/>
            <w:shd w:val="clear" w:color="auto" w:fill="DAE9F7" w:themeFill="text2" w:themeFillTint="1A"/>
          </w:tcPr>
          <w:p w14:paraId="7507137C" w14:textId="77777777" w:rsidR="002B060A" w:rsidRDefault="006040A7" w:rsidP="00C07A0A">
            <w:pPr>
              <w:rPr>
                <w:rFonts w:ascii="Calibri" w:eastAsia="Calibri" w:hAnsi="Calibri" w:cs="Calibri"/>
              </w:rPr>
            </w:pPr>
            <w:r>
              <w:rPr>
                <w:rFonts w:ascii="Calibri" w:eastAsia="Calibri" w:hAnsi="Calibri" w:cs="Calibri"/>
              </w:rPr>
              <w:lastRenderedPageBreak/>
              <w:t xml:space="preserve">Covid-19 related documents </w:t>
            </w:r>
          </w:p>
        </w:tc>
      </w:tr>
      <w:tr w:rsidR="002B060A" w14:paraId="75071380" w14:textId="77777777" w:rsidTr="001071B4">
        <w:trPr>
          <w:trHeight w:val="300"/>
        </w:trPr>
        <w:tc>
          <w:tcPr>
            <w:tcW w:w="6585" w:type="dxa"/>
          </w:tcPr>
          <w:p w14:paraId="7507137E" w14:textId="77777777" w:rsidR="002B060A" w:rsidRDefault="006040A7" w:rsidP="00C07A0A">
            <w:pPr>
              <w:rPr>
                <w:rFonts w:ascii="Calibri" w:eastAsia="Calibri" w:hAnsi="Calibri" w:cs="Calibri"/>
              </w:rPr>
            </w:pPr>
            <w:r>
              <w:rPr>
                <w:rFonts w:ascii="Calibri" w:eastAsia="Calibri" w:hAnsi="Calibri" w:cs="Calibri"/>
              </w:rPr>
              <w:t xml:space="preserve">COVID-19 Survey_GEF_WHO final </w:t>
            </w:r>
          </w:p>
        </w:tc>
        <w:tc>
          <w:tcPr>
            <w:tcW w:w="7461" w:type="dxa"/>
          </w:tcPr>
          <w:p w14:paraId="7507137F"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83" w14:textId="77777777" w:rsidTr="001071B4">
        <w:trPr>
          <w:trHeight w:val="300"/>
        </w:trPr>
        <w:tc>
          <w:tcPr>
            <w:tcW w:w="6585" w:type="dxa"/>
          </w:tcPr>
          <w:p w14:paraId="75071381" w14:textId="77777777" w:rsidR="002B060A" w:rsidRDefault="006040A7" w:rsidP="00C07A0A">
            <w:pPr>
              <w:rPr>
                <w:rFonts w:ascii="Calibri" w:eastAsia="Calibri" w:hAnsi="Calibri" w:cs="Calibri"/>
              </w:rPr>
            </w:pPr>
            <w:r>
              <w:rPr>
                <w:rFonts w:ascii="Calibri" w:eastAsia="Calibri" w:hAnsi="Calibri" w:cs="Calibri"/>
              </w:rPr>
              <w:t>COVID_19 revisions_UNDP</w:t>
            </w:r>
          </w:p>
        </w:tc>
        <w:tc>
          <w:tcPr>
            <w:tcW w:w="7461" w:type="dxa"/>
          </w:tcPr>
          <w:p w14:paraId="75071382" w14:textId="77777777" w:rsidR="002B060A" w:rsidRDefault="006040A7" w:rsidP="00C07A0A">
            <w:pPr>
              <w:rPr>
                <w:rFonts w:ascii="Calibri" w:eastAsia="Calibri" w:hAnsi="Calibri" w:cs="Calibri"/>
              </w:rPr>
            </w:pPr>
            <w:r>
              <w:rPr>
                <w:rFonts w:ascii="Calibri" w:eastAsia="Calibri" w:hAnsi="Calibri" w:cs="Calibri"/>
              </w:rPr>
              <w:t xml:space="preserve">Whole project </w:t>
            </w:r>
          </w:p>
        </w:tc>
      </w:tr>
      <w:tr w:rsidR="002B060A" w14:paraId="75071386" w14:textId="77777777" w:rsidTr="001071B4">
        <w:trPr>
          <w:trHeight w:val="300"/>
        </w:trPr>
        <w:tc>
          <w:tcPr>
            <w:tcW w:w="6585" w:type="dxa"/>
          </w:tcPr>
          <w:p w14:paraId="75071384" w14:textId="77777777" w:rsidR="002B060A" w:rsidRDefault="006040A7" w:rsidP="00C07A0A">
            <w:pPr>
              <w:rPr>
                <w:rFonts w:ascii="Calibri" w:eastAsia="Calibri" w:hAnsi="Calibri" w:cs="Calibri"/>
              </w:rPr>
            </w:pPr>
            <w:r>
              <w:rPr>
                <w:rFonts w:ascii="Calibri" w:eastAsia="Calibri" w:hAnsi="Calibri" w:cs="Calibri"/>
              </w:rPr>
              <w:t xml:space="preserve">Summary of COVID_19 project implementation impacts </w:t>
            </w:r>
          </w:p>
        </w:tc>
        <w:tc>
          <w:tcPr>
            <w:tcW w:w="7461" w:type="dxa"/>
          </w:tcPr>
          <w:p w14:paraId="75071385"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88" w14:textId="77777777" w:rsidTr="001071B4">
        <w:trPr>
          <w:trHeight w:val="300"/>
        </w:trPr>
        <w:tc>
          <w:tcPr>
            <w:tcW w:w="14046" w:type="dxa"/>
            <w:gridSpan w:val="2"/>
            <w:shd w:val="clear" w:color="auto" w:fill="DAE9F7" w:themeFill="text2" w:themeFillTint="1A"/>
          </w:tcPr>
          <w:p w14:paraId="75071387" w14:textId="77777777" w:rsidR="002B060A" w:rsidRDefault="006040A7" w:rsidP="00C07A0A">
            <w:pPr>
              <w:rPr>
                <w:rFonts w:ascii="Calibri" w:eastAsia="Calibri" w:hAnsi="Calibri" w:cs="Calibri"/>
              </w:rPr>
            </w:pPr>
            <w:r>
              <w:rPr>
                <w:rFonts w:ascii="Calibri" w:eastAsia="Calibri" w:hAnsi="Calibri" w:cs="Calibri"/>
              </w:rPr>
              <w:t xml:space="preserve">Gender and country reports </w:t>
            </w:r>
          </w:p>
        </w:tc>
      </w:tr>
      <w:tr w:rsidR="002B060A" w14:paraId="7507138B" w14:textId="77777777" w:rsidTr="001071B4">
        <w:trPr>
          <w:trHeight w:val="300"/>
        </w:trPr>
        <w:tc>
          <w:tcPr>
            <w:tcW w:w="6585" w:type="dxa"/>
            <w:shd w:val="clear" w:color="auto" w:fill="FFFFFF" w:themeFill="background1"/>
          </w:tcPr>
          <w:p w14:paraId="75071389" w14:textId="77777777" w:rsidR="002B060A" w:rsidRDefault="006040A7" w:rsidP="00C07A0A">
            <w:pPr>
              <w:rPr>
                <w:rFonts w:ascii="Calibri" w:eastAsia="Calibri" w:hAnsi="Calibri" w:cs="Calibri"/>
              </w:rPr>
            </w:pPr>
            <w:r>
              <w:rPr>
                <w:rFonts w:ascii="Calibri" w:eastAsia="Calibri" w:hAnsi="Calibri" w:cs="Calibri"/>
              </w:rPr>
              <w:t xml:space="preserve">Action Points_Country meetings </w:t>
            </w:r>
          </w:p>
        </w:tc>
        <w:tc>
          <w:tcPr>
            <w:tcW w:w="7461" w:type="dxa"/>
            <w:shd w:val="clear" w:color="auto" w:fill="FFFFFF" w:themeFill="background1"/>
          </w:tcPr>
          <w:p w14:paraId="7507138A"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8E" w14:textId="77777777" w:rsidTr="001071B4">
        <w:trPr>
          <w:trHeight w:val="300"/>
        </w:trPr>
        <w:tc>
          <w:tcPr>
            <w:tcW w:w="6585" w:type="dxa"/>
          </w:tcPr>
          <w:p w14:paraId="7507138C" w14:textId="77777777" w:rsidR="002B060A" w:rsidRDefault="006040A7" w:rsidP="00C07A0A">
            <w:pPr>
              <w:rPr>
                <w:rFonts w:ascii="Calibri" w:eastAsia="Calibri" w:hAnsi="Calibri" w:cs="Calibri"/>
              </w:rPr>
            </w:pPr>
            <w:r>
              <w:rPr>
                <w:rFonts w:ascii="Calibri" w:eastAsia="Calibri" w:hAnsi="Calibri" w:cs="Calibri"/>
              </w:rPr>
              <w:t xml:space="preserve">Bangladesh Country report </w:t>
            </w:r>
          </w:p>
        </w:tc>
        <w:tc>
          <w:tcPr>
            <w:tcW w:w="7461" w:type="dxa"/>
          </w:tcPr>
          <w:p w14:paraId="7507138D" w14:textId="77777777" w:rsidR="002B060A" w:rsidRDefault="006040A7" w:rsidP="00C07A0A">
            <w:pPr>
              <w:rPr>
                <w:rFonts w:ascii="Calibri" w:eastAsia="Calibri" w:hAnsi="Calibri" w:cs="Calibri"/>
              </w:rPr>
            </w:pPr>
            <w:r>
              <w:rPr>
                <w:rFonts w:ascii="Calibri" w:eastAsia="Calibri" w:hAnsi="Calibri" w:cs="Calibri"/>
              </w:rPr>
              <w:t xml:space="preserve">Bangladesh </w:t>
            </w:r>
          </w:p>
        </w:tc>
      </w:tr>
      <w:tr w:rsidR="002B060A" w14:paraId="75071391" w14:textId="77777777" w:rsidTr="001071B4">
        <w:trPr>
          <w:trHeight w:val="300"/>
        </w:trPr>
        <w:tc>
          <w:tcPr>
            <w:tcW w:w="6585" w:type="dxa"/>
          </w:tcPr>
          <w:p w14:paraId="7507138F" w14:textId="77777777" w:rsidR="002B060A" w:rsidRDefault="006040A7" w:rsidP="00C07A0A">
            <w:pPr>
              <w:rPr>
                <w:rFonts w:ascii="Calibri" w:eastAsia="Calibri" w:hAnsi="Calibri" w:cs="Calibri"/>
              </w:rPr>
            </w:pPr>
            <w:r>
              <w:rPr>
                <w:rFonts w:ascii="Calibri" w:eastAsia="Calibri" w:hAnsi="Calibri" w:cs="Calibri"/>
              </w:rPr>
              <w:t xml:space="preserve">Cambodia Country report </w:t>
            </w:r>
          </w:p>
        </w:tc>
        <w:tc>
          <w:tcPr>
            <w:tcW w:w="7461" w:type="dxa"/>
          </w:tcPr>
          <w:p w14:paraId="75071390"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394" w14:textId="77777777" w:rsidTr="001071B4">
        <w:trPr>
          <w:trHeight w:val="300"/>
        </w:trPr>
        <w:tc>
          <w:tcPr>
            <w:tcW w:w="6585" w:type="dxa"/>
          </w:tcPr>
          <w:p w14:paraId="75071392" w14:textId="77777777" w:rsidR="002B060A" w:rsidRDefault="006040A7" w:rsidP="00C07A0A">
            <w:pPr>
              <w:rPr>
                <w:rFonts w:ascii="Calibri" w:eastAsia="Calibri" w:hAnsi="Calibri" w:cs="Calibri"/>
              </w:rPr>
            </w:pPr>
            <w:r>
              <w:rPr>
                <w:rFonts w:ascii="Calibri" w:eastAsia="Calibri" w:hAnsi="Calibri" w:cs="Calibri"/>
              </w:rPr>
              <w:t xml:space="preserve">Lao PDR Country Report </w:t>
            </w:r>
          </w:p>
        </w:tc>
        <w:tc>
          <w:tcPr>
            <w:tcW w:w="7461" w:type="dxa"/>
          </w:tcPr>
          <w:p w14:paraId="75071393" w14:textId="77777777" w:rsidR="002B060A" w:rsidRDefault="006040A7" w:rsidP="00C07A0A">
            <w:pPr>
              <w:rPr>
                <w:rFonts w:ascii="Calibri" w:eastAsia="Calibri" w:hAnsi="Calibri" w:cs="Calibri"/>
              </w:rPr>
            </w:pPr>
            <w:r>
              <w:rPr>
                <w:rFonts w:ascii="Calibri" w:eastAsia="Calibri" w:hAnsi="Calibri" w:cs="Calibri"/>
              </w:rPr>
              <w:t>Lao PDR</w:t>
            </w:r>
          </w:p>
        </w:tc>
      </w:tr>
      <w:tr w:rsidR="002B060A" w14:paraId="75071397" w14:textId="77777777" w:rsidTr="001071B4">
        <w:trPr>
          <w:trHeight w:val="300"/>
        </w:trPr>
        <w:tc>
          <w:tcPr>
            <w:tcW w:w="6585" w:type="dxa"/>
          </w:tcPr>
          <w:p w14:paraId="75071395" w14:textId="77777777" w:rsidR="002B060A" w:rsidRDefault="006040A7" w:rsidP="00C07A0A">
            <w:pPr>
              <w:rPr>
                <w:rFonts w:ascii="Calibri" w:eastAsia="Calibri" w:hAnsi="Calibri" w:cs="Calibri"/>
              </w:rPr>
            </w:pPr>
            <w:r>
              <w:rPr>
                <w:rFonts w:ascii="Calibri" w:eastAsia="Calibri" w:hAnsi="Calibri" w:cs="Calibri"/>
              </w:rPr>
              <w:t xml:space="preserve">Nepal Country Report </w:t>
            </w:r>
          </w:p>
        </w:tc>
        <w:tc>
          <w:tcPr>
            <w:tcW w:w="7461" w:type="dxa"/>
          </w:tcPr>
          <w:p w14:paraId="75071396" w14:textId="77777777" w:rsidR="002B060A" w:rsidRDefault="006040A7" w:rsidP="00C07A0A">
            <w:pPr>
              <w:rPr>
                <w:rFonts w:ascii="Calibri" w:eastAsia="Calibri" w:hAnsi="Calibri" w:cs="Calibri"/>
              </w:rPr>
            </w:pPr>
            <w:r>
              <w:rPr>
                <w:rFonts w:ascii="Calibri" w:eastAsia="Calibri" w:hAnsi="Calibri" w:cs="Calibri"/>
              </w:rPr>
              <w:t xml:space="preserve">Nepal </w:t>
            </w:r>
          </w:p>
        </w:tc>
      </w:tr>
      <w:tr w:rsidR="002B060A" w14:paraId="7507139A" w14:textId="77777777" w:rsidTr="001071B4">
        <w:trPr>
          <w:trHeight w:val="300"/>
        </w:trPr>
        <w:tc>
          <w:tcPr>
            <w:tcW w:w="6585" w:type="dxa"/>
          </w:tcPr>
          <w:p w14:paraId="75071398" w14:textId="77777777" w:rsidR="002B060A" w:rsidRDefault="006040A7" w:rsidP="00C07A0A">
            <w:pPr>
              <w:rPr>
                <w:rFonts w:ascii="Calibri" w:eastAsia="Calibri" w:hAnsi="Calibri" w:cs="Calibri"/>
              </w:rPr>
            </w:pPr>
            <w:r>
              <w:rPr>
                <w:rFonts w:ascii="Calibri" w:eastAsia="Calibri" w:hAnsi="Calibri" w:cs="Calibri"/>
              </w:rPr>
              <w:t>Timor Leste Country Report</w:t>
            </w:r>
          </w:p>
        </w:tc>
        <w:tc>
          <w:tcPr>
            <w:tcW w:w="7461" w:type="dxa"/>
          </w:tcPr>
          <w:p w14:paraId="75071399" w14:textId="77777777" w:rsidR="002B060A" w:rsidRDefault="006040A7" w:rsidP="00C07A0A">
            <w:pPr>
              <w:rPr>
                <w:rFonts w:ascii="Calibri" w:eastAsia="Calibri" w:hAnsi="Calibri" w:cs="Calibri"/>
              </w:rPr>
            </w:pPr>
            <w:r>
              <w:rPr>
                <w:rFonts w:ascii="Calibri" w:eastAsia="Calibri" w:hAnsi="Calibri" w:cs="Calibri"/>
              </w:rPr>
              <w:t xml:space="preserve">Timor Leste </w:t>
            </w:r>
          </w:p>
        </w:tc>
      </w:tr>
      <w:tr w:rsidR="002B060A" w14:paraId="7507139D" w14:textId="77777777" w:rsidTr="001071B4">
        <w:trPr>
          <w:trHeight w:val="300"/>
        </w:trPr>
        <w:tc>
          <w:tcPr>
            <w:tcW w:w="6585" w:type="dxa"/>
          </w:tcPr>
          <w:p w14:paraId="7507139B" w14:textId="77777777" w:rsidR="002B060A" w:rsidRDefault="006040A7" w:rsidP="00C07A0A">
            <w:pPr>
              <w:rPr>
                <w:rFonts w:ascii="Calibri" w:eastAsia="Calibri" w:hAnsi="Calibri" w:cs="Calibri"/>
              </w:rPr>
            </w:pPr>
            <w:r>
              <w:rPr>
                <w:rFonts w:ascii="Calibri" w:eastAsia="Calibri" w:hAnsi="Calibri" w:cs="Calibri"/>
              </w:rPr>
              <w:t xml:space="preserve">x 10 FGD checklists </w:t>
            </w:r>
          </w:p>
        </w:tc>
        <w:tc>
          <w:tcPr>
            <w:tcW w:w="7461" w:type="dxa"/>
          </w:tcPr>
          <w:p w14:paraId="7507139C"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A0" w14:textId="77777777" w:rsidTr="001071B4">
        <w:trPr>
          <w:trHeight w:val="300"/>
        </w:trPr>
        <w:tc>
          <w:tcPr>
            <w:tcW w:w="6585" w:type="dxa"/>
          </w:tcPr>
          <w:p w14:paraId="7507139E" w14:textId="77777777" w:rsidR="002B060A" w:rsidRDefault="006040A7" w:rsidP="00C07A0A">
            <w:pPr>
              <w:rPr>
                <w:rFonts w:ascii="Calibri" w:eastAsia="Calibri" w:hAnsi="Calibri" w:cs="Calibri"/>
              </w:rPr>
            </w:pPr>
            <w:r>
              <w:rPr>
                <w:rFonts w:ascii="Calibri" w:eastAsia="Calibri" w:hAnsi="Calibri" w:cs="Calibri"/>
              </w:rPr>
              <w:t xml:space="preserve">x 2 Toolkits </w:t>
            </w:r>
          </w:p>
        </w:tc>
        <w:tc>
          <w:tcPr>
            <w:tcW w:w="7461" w:type="dxa"/>
          </w:tcPr>
          <w:p w14:paraId="7507139F"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A3" w14:textId="77777777" w:rsidTr="001071B4">
        <w:trPr>
          <w:trHeight w:val="300"/>
        </w:trPr>
        <w:tc>
          <w:tcPr>
            <w:tcW w:w="6585" w:type="dxa"/>
            <w:shd w:val="clear" w:color="auto" w:fill="FFFFFF" w:themeFill="background1"/>
          </w:tcPr>
          <w:p w14:paraId="750713A1" w14:textId="77777777" w:rsidR="002B060A" w:rsidRDefault="006040A7" w:rsidP="00C07A0A">
            <w:pPr>
              <w:rPr>
                <w:rFonts w:ascii="Calibri" w:eastAsia="Calibri" w:hAnsi="Calibri" w:cs="Calibri"/>
              </w:rPr>
            </w:pPr>
            <w:r>
              <w:rPr>
                <w:rFonts w:ascii="Calibri" w:eastAsia="Calibri" w:hAnsi="Calibri" w:cs="Calibri"/>
              </w:rPr>
              <w:t xml:space="preserve">International Project Board Meeting notes </w:t>
            </w:r>
          </w:p>
        </w:tc>
        <w:tc>
          <w:tcPr>
            <w:tcW w:w="7461" w:type="dxa"/>
          </w:tcPr>
          <w:p w14:paraId="750713A2"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A6" w14:textId="77777777" w:rsidTr="001071B4">
        <w:trPr>
          <w:trHeight w:val="300"/>
        </w:trPr>
        <w:tc>
          <w:tcPr>
            <w:tcW w:w="6585" w:type="dxa"/>
          </w:tcPr>
          <w:p w14:paraId="750713A4" w14:textId="77777777" w:rsidR="002B060A" w:rsidRDefault="006040A7" w:rsidP="00C07A0A">
            <w:pPr>
              <w:rPr>
                <w:rFonts w:ascii="Calibri" w:eastAsia="Calibri" w:hAnsi="Calibri" w:cs="Calibri"/>
              </w:rPr>
            </w:pPr>
            <w:r>
              <w:rPr>
                <w:rFonts w:ascii="Calibri" w:eastAsia="Calibri" w:hAnsi="Calibri" w:cs="Calibri"/>
              </w:rPr>
              <w:t xml:space="preserve">GEF Project Board TORs </w:t>
            </w:r>
          </w:p>
        </w:tc>
        <w:tc>
          <w:tcPr>
            <w:tcW w:w="7461" w:type="dxa"/>
          </w:tcPr>
          <w:p w14:paraId="750713A5"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A9" w14:textId="77777777" w:rsidTr="001071B4">
        <w:trPr>
          <w:trHeight w:val="300"/>
        </w:trPr>
        <w:tc>
          <w:tcPr>
            <w:tcW w:w="6585" w:type="dxa"/>
          </w:tcPr>
          <w:p w14:paraId="750713A7" w14:textId="77777777" w:rsidR="002B060A" w:rsidRDefault="006040A7" w:rsidP="00C07A0A">
            <w:pPr>
              <w:rPr>
                <w:rFonts w:ascii="Calibri" w:eastAsia="Calibri" w:hAnsi="Calibri" w:cs="Calibri"/>
              </w:rPr>
            </w:pPr>
            <w:r>
              <w:rPr>
                <w:rFonts w:ascii="Calibri" w:eastAsia="Calibri" w:hAnsi="Calibri" w:cs="Calibri"/>
              </w:rPr>
              <w:t xml:space="preserve">PB Members GEF UNDP project </w:t>
            </w:r>
          </w:p>
        </w:tc>
        <w:tc>
          <w:tcPr>
            <w:tcW w:w="7461" w:type="dxa"/>
          </w:tcPr>
          <w:p w14:paraId="750713A8"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AB" w14:textId="77777777" w:rsidTr="001071B4">
        <w:trPr>
          <w:trHeight w:val="300"/>
        </w:trPr>
        <w:tc>
          <w:tcPr>
            <w:tcW w:w="14046" w:type="dxa"/>
            <w:gridSpan w:val="2"/>
            <w:shd w:val="clear" w:color="auto" w:fill="DAE9F7" w:themeFill="text2" w:themeFillTint="1A"/>
          </w:tcPr>
          <w:p w14:paraId="750713AA" w14:textId="77777777" w:rsidR="002B060A" w:rsidRDefault="006040A7" w:rsidP="00C07A0A">
            <w:pPr>
              <w:rPr>
                <w:rFonts w:ascii="Calibri" w:eastAsia="Calibri" w:hAnsi="Calibri" w:cs="Calibri"/>
              </w:rPr>
            </w:pPr>
            <w:r>
              <w:rPr>
                <w:rFonts w:ascii="Calibri" w:eastAsia="Calibri" w:hAnsi="Calibri" w:cs="Calibri"/>
              </w:rPr>
              <w:t xml:space="preserve">Quarterly reports </w:t>
            </w:r>
          </w:p>
        </w:tc>
      </w:tr>
      <w:tr w:rsidR="002B060A" w14:paraId="750713AE" w14:textId="77777777" w:rsidTr="001071B4">
        <w:trPr>
          <w:trHeight w:val="300"/>
        </w:trPr>
        <w:tc>
          <w:tcPr>
            <w:tcW w:w="6585" w:type="dxa"/>
          </w:tcPr>
          <w:p w14:paraId="750713AC" w14:textId="77777777" w:rsidR="002B060A" w:rsidRDefault="006040A7" w:rsidP="00C07A0A">
            <w:pPr>
              <w:rPr>
                <w:rFonts w:ascii="Calibri" w:eastAsia="Calibri" w:hAnsi="Calibri" w:cs="Calibri"/>
              </w:rPr>
            </w:pPr>
            <w:r>
              <w:rPr>
                <w:rFonts w:ascii="Calibri" w:eastAsia="Calibri" w:hAnsi="Calibri" w:cs="Calibri"/>
              </w:rPr>
              <w:t>Quarterly Report_2022_Q1_Aggregated WPREAR-28June22</w:t>
            </w:r>
          </w:p>
        </w:tc>
        <w:tc>
          <w:tcPr>
            <w:tcW w:w="7461" w:type="dxa"/>
          </w:tcPr>
          <w:p w14:paraId="750713AD"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B1" w14:textId="77777777" w:rsidTr="001071B4">
        <w:trPr>
          <w:trHeight w:val="300"/>
        </w:trPr>
        <w:tc>
          <w:tcPr>
            <w:tcW w:w="6585" w:type="dxa"/>
          </w:tcPr>
          <w:p w14:paraId="750713AF" w14:textId="77777777" w:rsidR="002B060A" w:rsidRDefault="006040A7" w:rsidP="00C07A0A">
            <w:pPr>
              <w:rPr>
                <w:rFonts w:ascii="Calibri" w:eastAsia="Calibri" w:hAnsi="Calibri" w:cs="Calibri"/>
              </w:rPr>
            </w:pPr>
            <w:r>
              <w:rPr>
                <w:rFonts w:ascii="Calibri" w:eastAsia="Calibri" w:hAnsi="Calibri" w:cs="Calibri"/>
              </w:rPr>
              <w:t>Quarterly Report_2022_Q2</w:t>
            </w:r>
          </w:p>
        </w:tc>
        <w:tc>
          <w:tcPr>
            <w:tcW w:w="7461" w:type="dxa"/>
          </w:tcPr>
          <w:p w14:paraId="750713B0"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B4" w14:textId="77777777" w:rsidTr="001071B4">
        <w:trPr>
          <w:trHeight w:val="300"/>
        </w:trPr>
        <w:tc>
          <w:tcPr>
            <w:tcW w:w="6585" w:type="dxa"/>
          </w:tcPr>
          <w:p w14:paraId="750713B2" w14:textId="77777777" w:rsidR="002B060A" w:rsidRDefault="006040A7" w:rsidP="00C07A0A">
            <w:pPr>
              <w:rPr>
                <w:rFonts w:ascii="Calibri" w:eastAsia="Calibri" w:hAnsi="Calibri" w:cs="Calibri"/>
              </w:rPr>
            </w:pPr>
            <w:r>
              <w:rPr>
                <w:rFonts w:ascii="Calibri" w:eastAsia="Calibri" w:hAnsi="Calibri" w:cs="Calibri"/>
              </w:rPr>
              <w:t>Quarterly Report_2022_Q3_SEARO_WPRO_FINAL clear</w:t>
            </w:r>
          </w:p>
        </w:tc>
        <w:tc>
          <w:tcPr>
            <w:tcW w:w="7461" w:type="dxa"/>
          </w:tcPr>
          <w:p w14:paraId="750713B3"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B7" w14:textId="77777777" w:rsidTr="001071B4">
        <w:trPr>
          <w:trHeight w:val="300"/>
        </w:trPr>
        <w:tc>
          <w:tcPr>
            <w:tcW w:w="6585" w:type="dxa"/>
          </w:tcPr>
          <w:p w14:paraId="750713B5" w14:textId="77777777" w:rsidR="002B060A" w:rsidRDefault="006040A7" w:rsidP="00C07A0A">
            <w:pPr>
              <w:rPr>
                <w:rFonts w:ascii="Calibri" w:eastAsia="Calibri" w:hAnsi="Calibri" w:cs="Calibri"/>
              </w:rPr>
            </w:pPr>
            <w:r>
              <w:rPr>
                <w:rFonts w:ascii="Calibri" w:eastAsia="Calibri" w:hAnsi="Calibri" w:cs="Calibri"/>
              </w:rPr>
              <w:t xml:space="preserve">Quarterly Report_2022_Q4 template </w:t>
            </w:r>
          </w:p>
        </w:tc>
        <w:tc>
          <w:tcPr>
            <w:tcW w:w="7461" w:type="dxa"/>
          </w:tcPr>
          <w:p w14:paraId="750713B6"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BA" w14:textId="77777777" w:rsidTr="001071B4">
        <w:trPr>
          <w:trHeight w:val="300"/>
        </w:trPr>
        <w:tc>
          <w:tcPr>
            <w:tcW w:w="6585" w:type="dxa"/>
          </w:tcPr>
          <w:p w14:paraId="750713B8" w14:textId="77777777" w:rsidR="002B060A" w:rsidRDefault="006040A7" w:rsidP="00C07A0A">
            <w:pPr>
              <w:rPr>
                <w:rFonts w:ascii="Calibri" w:eastAsia="Calibri" w:hAnsi="Calibri" w:cs="Calibri"/>
              </w:rPr>
            </w:pPr>
            <w:r>
              <w:rPr>
                <w:rFonts w:ascii="Calibri" w:eastAsia="Calibri" w:hAnsi="Calibri" w:cs="Calibri"/>
              </w:rPr>
              <w:t>Aggregated GEF UNDP Quarterly Report_2021 Q1</w:t>
            </w:r>
          </w:p>
        </w:tc>
        <w:tc>
          <w:tcPr>
            <w:tcW w:w="7461" w:type="dxa"/>
          </w:tcPr>
          <w:p w14:paraId="750713B9"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BD" w14:textId="77777777" w:rsidTr="001071B4">
        <w:trPr>
          <w:trHeight w:val="300"/>
        </w:trPr>
        <w:tc>
          <w:tcPr>
            <w:tcW w:w="6585" w:type="dxa"/>
          </w:tcPr>
          <w:p w14:paraId="750713BB" w14:textId="77777777" w:rsidR="002B060A" w:rsidRDefault="006040A7" w:rsidP="00C07A0A">
            <w:pPr>
              <w:rPr>
                <w:rFonts w:ascii="Calibri" w:eastAsia="Calibri" w:hAnsi="Calibri" w:cs="Calibri"/>
              </w:rPr>
            </w:pPr>
            <w:r>
              <w:rPr>
                <w:rFonts w:ascii="Calibri" w:eastAsia="Calibri" w:hAnsi="Calibri" w:cs="Calibri"/>
              </w:rPr>
              <w:t xml:space="preserve">Aggregated Quarterly Report_2021_Q4_FINAL </w:t>
            </w:r>
          </w:p>
        </w:tc>
        <w:tc>
          <w:tcPr>
            <w:tcW w:w="7461" w:type="dxa"/>
          </w:tcPr>
          <w:p w14:paraId="750713BC"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C0" w14:textId="77777777" w:rsidTr="001071B4">
        <w:trPr>
          <w:trHeight w:val="300"/>
        </w:trPr>
        <w:tc>
          <w:tcPr>
            <w:tcW w:w="6585" w:type="dxa"/>
          </w:tcPr>
          <w:p w14:paraId="750713BE" w14:textId="77777777" w:rsidR="002B060A" w:rsidRDefault="006040A7" w:rsidP="00C07A0A">
            <w:pPr>
              <w:rPr>
                <w:rFonts w:ascii="Calibri" w:eastAsia="Calibri" w:hAnsi="Calibri" w:cs="Calibri"/>
              </w:rPr>
            </w:pPr>
            <w:r>
              <w:rPr>
                <w:rFonts w:ascii="Calibri" w:eastAsia="Calibri" w:hAnsi="Calibri" w:cs="Calibri"/>
              </w:rPr>
              <w:t>GEF Quarterly Report_2021 Q3_aggregated_FINAL_clean</w:t>
            </w:r>
          </w:p>
        </w:tc>
        <w:tc>
          <w:tcPr>
            <w:tcW w:w="7461" w:type="dxa"/>
          </w:tcPr>
          <w:p w14:paraId="750713BF"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C3" w14:textId="77777777" w:rsidTr="001071B4">
        <w:trPr>
          <w:trHeight w:val="300"/>
        </w:trPr>
        <w:tc>
          <w:tcPr>
            <w:tcW w:w="6585" w:type="dxa"/>
          </w:tcPr>
          <w:p w14:paraId="750713C1" w14:textId="77777777" w:rsidR="002B060A" w:rsidRDefault="006040A7" w:rsidP="00C07A0A">
            <w:pPr>
              <w:rPr>
                <w:rFonts w:ascii="Calibri" w:eastAsia="Calibri" w:hAnsi="Calibri" w:cs="Calibri"/>
              </w:rPr>
            </w:pPr>
            <w:r>
              <w:rPr>
                <w:rFonts w:ascii="Calibri" w:eastAsia="Calibri" w:hAnsi="Calibri" w:cs="Calibri"/>
              </w:rPr>
              <w:t>GEF UNDP Quarterly Report_2021 Q2</w:t>
            </w:r>
          </w:p>
        </w:tc>
        <w:tc>
          <w:tcPr>
            <w:tcW w:w="7461" w:type="dxa"/>
          </w:tcPr>
          <w:p w14:paraId="750713C2"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C6" w14:textId="77777777" w:rsidTr="001071B4">
        <w:trPr>
          <w:trHeight w:val="300"/>
        </w:trPr>
        <w:tc>
          <w:tcPr>
            <w:tcW w:w="6585" w:type="dxa"/>
          </w:tcPr>
          <w:p w14:paraId="750713C4" w14:textId="77777777" w:rsidR="002B060A" w:rsidRDefault="006040A7" w:rsidP="00C07A0A">
            <w:pPr>
              <w:rPr>
                <w:rFonts w:ascii="Calibri" w:eastAsia="Calibri" w:hAnsi="Calibri" w:cs="Calibri"/>
              </w:rPr>
            </w:pPr>
            <w:r>
              <w:rPr>
                <w:rFonts w:ascii="Calibri" w:eastAsia="Calibri" w:hAnsi="Calibri" w:cs="Calibri"/>
              </w:rPr>
              <w:t xml:space="preserve">Aggregated GEF UNDP Quarterly Report_2020 Q1 </w:t>
            </w:r>
          </w:p>
        </w:tc>
        <w:tc>
          <w:tcPr>
            <w:tcW w:w="7461" w:type="dxa"/>
          </w:tcPr>
          <w:p w14:paraId="750713C5"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C9" w14:textId="77777777" w:rsidTr="001071B4">
        <w:trPr>
          <w:trHeight w:val="300"/>
        </w:trPr>
        <w:tc>
          <w:tcPr>
            <w:tcW w:w="6585" w:type="dxa"/>
          </w:tcPr>
          <w:p w14:paraId="750713C7" w14:textId="77777777" w:rsidR="002B060A" w:rsidRDefault="006040A7" w:rsidP="00C07A0A">
            <w:pPr>
              <w:rPr>
                <w:rFonts w:ascii="Calibri" w:eastAsia="Calibri" w:hAnsi="Calibri" w:cs="Calibri"/>
              </w:rPr>
            </w:pPr>
            <w:r>
              <w:rPr>
                <w:rFonts w:ascii="Calibri" w:eastAsia="Calibri" w:hAnsi="Calibri" w:cs="Calibri"/>
              </w:rPr>
              <w:t xml:space="preserve">Aggregated GEF UNDP Quarterly Report_2020 Q2 </w:t>
            </w:r>
          </w:p>
        </w:tc>
        <w:tc>
          <w:tcPr>
            <w:tcW w:w="7461" w:type="dxa"/>
          </w:tcPr>
          <w:p w14:paraId="750713C8"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CC" w14:textId="77777777" w:rsidTr="001071B4">
        <w:trPr>
          <w:trHeight w:val="300"/>
        </w:trPr>
        <w:tc>
          <w:tcPr>
            <w:tcW w:w="6585" w:type="dxa"/>
          </w:tcPr>
          <w:p w14:paraId="750713CA" w14:textId="77777777" w:rsidR="002B060A" w:rsidRDefault="006040A7" w:rsidP="00C07A0A">
            <w:pPr>
              <w:rPr>
                <w:rFonts w:ascii="Calibri" w:eastAsia="Calibri" w:hAnsi="Calibri" w:cs="Calibri"/>
              </w:rPr>
            </w:pPr>
            <w:r>
              <w:rPr>
                <w:rFonts w:ascii="Calibri" w:eastAsia="Calibri" w:hAnsi="Calibri" w:cs="Calibri"/>
              </w:rPr>
              <w:t xml:space="preserve">Aggregated GEF UNDP Quarterly Report_2020 Q3 </w:t>
            </w:r>
          </w:p>
        </w:tc>
        <w:tc>
          <w:tcPr>
            <w:tcW w:w="7461" w:type="dxa"/>
          </w:tcPr>
          <w:p w14:paraId="750713CB"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CF" w14:textId="77777777" w:rsidTr="001071B4">
        <w:trPr>
          <w:trHeight w:val="300"/>
        </w:trPr>
        <w:tc>
          <w:tcPr>
            <w:tcW w:w="6585" w:type="dxa"/>
          </w:tcPr>
          <w:p w14:paraId="750713CD" w14:textId="77777777" w:rsidR="002B060A" w:rsidRDefault="006040A7" w:rsidP="00C07A0A">
            <w:pPr>
              <w:rPr>
                <w:rFonts w:ascii="Calibri" w:eastAsia="Calibri" w:hAnsi="Calibri" w:cs="Calibri"/>
              </w:rPr>
            </w:pPr>
            <w:r>
              <w:rPr>
                <w:rFonts w:ascii="Calibri" w:eastAsia="Calibri" w:hAnsi="Calibri" w:cs="Calibri"/>
              </w:rPr>
              <w:lastRenderedPageBreak/>
              <w:t xml:space="preserve">Aggregated GEF UNDP Quarterly Report_2020 Q4 FINAL _clean </w:t>
            </w:r>
          </w:p>
        </w:tc>
        <w:tc>
          <w:tcPr>
            <w:tcW w:w="7461" w:type="dxa"/>
          </w:tcPr>
          <w:p w14:paraId="750713CE"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D2" w14:textId="77777777" w:rsidTr="001071B4">
        <w:trPr>
          <w:trHeight w:val="300"/>
        </w:trPr>
        <w:tc>
          <w:tcPr>
            <w:tcW w:w="6585" w:type="dxa"/>
          </w:tcPr>
          <w:p w14:paraId="750713D0" w14:textId="77777777" w:rsidR="002B060A" w:rsidRDefault="006040A7" w:rsidP="00C07A0A">
            <w:pPr>
              <w:rPr>
                <w:rFonts w:ascii="Calibri" w:eastAsia="Calibri" w:hAnsi="Calibri" w:cs="Calibri"/>
              </w:rPr>
            </w:pPr>
            <w:r>
              <w:rPr>
                <w:rFonts w:ascii="Calibri" w:eastAsia="Calibri" w:hAnsi="Calibri" w:cs="Calibri"/>
              </w:rPr>
              <w:t>GEF UNDP Quarterly Report Q1_aggregated 2019</w:t>
            </w:r>
          </w:p>
        </w:tc>
        <w:tc>
          <w:tcPr>
            <w:tcW w:w="7461" w:type="dxa"/>
          </w:tcPr>
          <w:p w14:paraId="750713D1"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D5" w14:textId="77777777" w:rsidTr="001071B4">
        <w:trPr>
          <w:trHeight w:val="300"/>
        </w:trPr>
        <w:tc>
          <w:tcPr>
            <w:tcW w:w="6585" w:type="dxa"/>
          </w:tcPr>
          <w:p w14:paraId="750713D3" w14:textId="77777777" w:rsidR="002B060A" w:rsidRDefault="006040A7" w:rsidP="00C07A0A">
            <w:pPr>
              <w:rPr>
                <w:rFonts w:ascii="Calibri" w:eastAsia="Calibri" w:hAnsi="Calibri" w:cs="Calibri"/>
              </w:rPr>
            </w:pPr>
            <w:r>
              <w:rPr>
                <w:rFonts w:ascii="Calibri" w:eastAsia="Calibri" w:hAnsi="Calibri" w:cs="Calibri"/>
              </w:rPr>
              <w:t xml:space="preserve">GEF UNDP Quarterly Report Q3_2019 </w:t>
            </w:r>
          </w:p>
        </w:tc>
        <w:tc>
          <w:tcPr>
            <w:tcW w:w="7461" w:type="dxa"/>
          </w:tcPr>
          <w:p w14:paraId="750713D4"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D8" w14:textId="77777777" w:rsidTr="001071B4">
        <w:trPr>
          <w:trHeight w:val="300"/>
        </w:trPr>
        <w:tc>
          <w:tcPr>
            <w:tcW w:w="6585" w:type="dxa"/>
          </w:tcPr>
          <w:p w14:paraId="750713D6" w14:textId="77777777" w:rsidR="002B060A" w:rsidRDefault="006040A7" w:rsidP="00C07A0A">
            <w:pPr>
              <w:rPr>
                <w:rFonts w:ascii="Calibri" w:eastAsia="Calibri" w:hAnsi="Calibri" w:cs="Calibri"/>
              </w:rPr>
            </w:pPr>
            <w:r>
              <w:rPr>
                <w:rFonts w:ascii="Calibri" w:eastAsia="Calibri" w:hAnsi="Calibri" w:cs="Calibri"/>
              </w:rPr>
              <w:t xml:space="preserve">Aggregated Q4_GEF UNDP report 2019 </w:t>
            </w:r>
          </w:p>
        </w:tc>
        <w:tc>
          <w:tcPr>
            <w:tcW w:w="7461" w:type="dxa"/>
          </w:tcPr>
          <w:p w14:paraId="750713D7"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DA" w14:textId="77777777" w:rsidTr="001071B4">
        <w:trPr>
          <w:trHeight w:val="300"/>
        </w:trPr>
        <w:tc>
          <w:tcPr>
            <w:tcW w:w="14046" w:type="dxa"/>
            <w:gridSpan w:val="2"/>
            <w:shd w:val="clear" w:color="auto" w:fill="DAE9F7" w:themeFill="text2" w:themeFillTint="1A"/>
          </w:tcPr>
          <w:p w14:paraId="750713D9" w14:textId="77777777" w:rsidR="002B060A" w:rsidRDefault="006040A7" w:rsidP="00C07A0A">
            <w:pPr>
              <w:rPr>
                <w:rFonts w:ascii="Calibri" w:eastAsia="Calibri" w:hAnsi="Calibri" w:cs="Calibri"/>
              </w:rPr>
            </w:pPr>
            <w:r>
              <w:rPr>
                <w:rFonts w:ascii="Calibri" w:eastAsia="Calibri" w:hAnsi="Calibri" w:cs="Calibri"/>
              </w:rPr>
              <w:t xml:space="preserve">Other reporting documents </w:t>
            </w:r>
          </w:p>
        </w:tc>
      </w:tr>
      <w:tr w:rsidR="002B060A" w14:paraId="750713DD" w14:textId="77777777" w:rsidTr="001071B4">
        <w:trPr>
          <w:trHeight w:val="300"/>
        </w:trPr>
        <w:tc>
          <w:tcPr>
            <w:tcW w:w="6585" w:type="dxa"/>
          </w:tcPr>
          <w:p w14:paraId="750713DB" w14:textId="77777777" w:rsidR="002B060A" w:rsidRDefault="006040A7" w:rsidP="00C07A0A">
            <w:pPr>
              <w:rPr>
                <w:rFonts w:ascii="Calibri" w:eastAsia="Calibri" w:hAnsi="Calibri" w:cs="Calibri"/>
              </w:rPr>
            </w:pPr>
            <w:r>
              <w:rPr>
                <w:rFonts w:ascii="Calibri" w:eastAsia="Calibri" w:hAnsi="Calibri" w:cs="Calibri"/>
              </w:rPr>
              <w:t xml:space="preserve">051017 5400 Regional Health LDC Adaptation_tracking_tool </w:t>
            </w:r>
          </w:p>
        </w:tc>
        <w:tc>
          <w:tcPr>
            <w:tcW w:w="7461" w:type="dxa"/>
          </w:tcPr>
          <w:p w14:paraId="750713DC" w14:textId="77777777" w:rsidR="002B060A" w:rsidRDefault="006040A7" w:rsidP="00C07A0A">
            <w:pPr>
              <w:rPr>
                <w:rFonts w:ascii="Calibri" w:eastAsia="Calibri" w:hAnsi="Calibri" w:cs="Calibri"/>
              </w:rPr>
            </w:pPr>
            <w:r>
              <w:rPr>
                <w:rFonts w:ascii="Calibri" w:eastAsia="Calibri" w:hAnsi="Calibri" w:cs="Calibri"/>
              </w:rPr>
              <w:t>Nepal + Timor Leste</w:t>
            </w:r>
          </w:p>
        </w:tc>
      </w:tr>
      <w:tr w:rsidR="002B060A" w14:paraId="750713E0" w14:textId="77777777" w:rsidTr="001071B4">
        <w:trPr>
          <w:trHeight w:val="300"/>
        </w:trPr>
        <w:tc>
          <w:tcPr>
            <w:tcW w:w="6585" w:type="dxa"/>
          </w:tcPr>
          <w:p w14:paraId="750713DE" w14:textId="77777777" w:rsidR="002B060A" w:rsidRDefault="006040A7" w:rsidP="00C07A0A">
            <w:pPr>
              <w:rPr>
                <w:rFonts w:ascii="Calibri" w:eastAsia="Calibri" w:hAnsi="Calibri" w:cs="Calibri"/>
              </w:rPr>
            </w:pPr>
            <w:r>
              <w:rPr>
                <w:rFonts w:ascii="Calibri" w:eastAsia="Calibri" w:hAnsi="Calibri" w:cs="Calibri"/>
              </w:rPr>
              <w:t xml:space="preserve">ABD LAO_FINAL REPORT_ EN </w:t>
            </w:r>
          </w:p>
        </w:tc>
        <w:tc>
          <w:tcPr>
            <w:tcW w:w="7461" w:type="dxa"/>
          </w:tcPr>
          <w:p w14:paraId="750713DF" w14:textId="77777777" w:rsidR="002B060A" w:rsidRDefault="006040A7" w:rsidP="00C07A0A">
            <w:pPr>
              <w:rPr>
                <w:rFonts w:ascii="Calibri" w:eastAsia="Calibri" w:hAnsi="Calibri" w:cs="Calibri"/>
              </w:rPr>
            </w:pPr>
            <w:r>
              <w:rPr>
                <w:rFonts w:ascii="Calibri" w:eastAsia="Calibri" w:hAnsi="Calibri" w:cs="Calibri"/>
              </w:rPr>
              <w:t>Lao PDR</w:t>
            </w:r>
          </w:p>
        </w:tc>
      </w:tr>
      <w:tr w:rsidR="002B060A" w14:paraId="750713E3" w14:textId="77777777" w:rsidTr="001071B4">
        <w:trPr>
          <w:trHeight w:val="300"/>
        </w:trPr>
        <w:tc>
          <w:tcPr>
            <w:tcW w:w="6585" w:type="dxa"/>
          </w:tcPr>
          <w:p w14:paraId="750713E1" w14:textId="77777777" w:rsidR="002B060A" w:rsidRDefault="006040A7" w:rsidP="00C07A0A">
            <w:pPr>
              <w:rPr>
                <w:rFonts w:ascii="Calibri" w:eastAsia="Calibri" w:hAnsi="Calibri" w:cs="Calibri"/>
              </w:rPr>
            </w:pPr>
            <w:r>
              <w:rPr>
                <w:rFonts w:ascii="Calibri" w:eastAsia="Calibri" w:hAnsi="Calibri" w:cs="Calibri"/>
              </w:rPr>
              <w:t>Mid-term Review MTR</w:t>
            </w:r>
          </w:p>
        </w:tc>
        <w:tc>
          <w:tcPr>
            <w:tcW w:w="7461" w:type="dxa"/>
          </w:tcPr>
          <w:p w14:paraId="750713E2" w14:textId="77777777" w:rsidR="002B060A" w:rsidRDefault="006040A7" w:rsidP="00C07A0A">
            <w:pPr>
              <w:rPr>
                <w:rFonts w:ascii="Calibri" w:eastAsia="Calibri" w:hAnsi="Calibri" w:cs="Calibri"/>
              </w:rPr>
            </w:pPr>
            <w:r>
              <w:rPr>
                <w:rFonts w:ascii="Calibri" w:eastAsia="Calibri" w:hAnsi="Calibri" w:cs="Calibri"/>
              </w:rPr>
              <w:t>Whole project</w:t>
            </w:r>
          </w:p>
        </w:tc>
      </w:tr>
      <w:tr w:rsidR="002B060A" w14:paraId="750713E6" w14:textId="77777777" w:rsidTr="001071B4">
        <w:trPr>
          <w:trHeight w:val="300"/>
        </w:trPr>
        <w:tc>
          <w:tcPr>
            <w:tcW w:w="6585" w:type="dxa"/>
          </w:tcPr>
          <w:p w14:paraId="750713E4" w14:textId="77777777" w:rsidR="002B060A" w:rsidRDefault="006040A7" w:rsidP="00C07A0A">
            <w:pPr>
              <w:rPr>
                <w:rFonts w:ascii="Calibri" w:eastAsia="Calibri" w:hAnsi="Calibri" w:cs="Calibri"/>
              </w:rPr>
            </w:pPr>
            <w:r>
              <w:rPr>
                <w:rFonts w:ascii="Calibri" w:eastAsia="Calibri" w:hAnsi="Calibri" w:cs="Calibri"/>
              </w:rPr>
              <w:t xml:space="preserve">GEF Cambodia - Project Detail </w:t>
            </w:r>
          </w:p>
        </w:tc>
        <w:tc>
          <w:tcPr>
            <w:tcW w:w="7461" w:type="dxa"/>
          </w:tcPr>
          <w:p w14:paraId="750713E5"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3E9" w14:textId="77777777" w:rsidTr="001071B4">
        <w:trPr>
          <w:trHeight w:val="300"/>
        </w:trPr>
        <w:tc>
          <w:tcPr>
            <w:tcW w:w="6585" w:type="dxa"/>
          </w:tcPr>
          <w:p w14:paraId="750713E7" w14:textId="77777777" w:rsidR="002B060A" w:rsidRDefault="006040A7" w:rsidP="00C07A0A">
            <w:pPr>
              <w:rPr>
                <w:rFonts w:ascii="Calibri" w:eastAsia="Calibri" w:hAnsi="Calibri" w:cs="Calibri"/>
              </w:rPr>
            </w:pPr>
            <w:r>
              <w:rPr>
                <w:rFonts w:ascii="Calibri" w:eastAsia="Calibri" w:hAnsi="Calibri" w:cs="Calibri"/>
              </w:rPr>
              <w:t>CAMBODIA VA FINAL REPORT_EN</w:t>
            </w:r>
          </w:p>
        </w:tc>
        <w:tc>
          <w:tcPr>
            <w:tcW w:w="7461" w:type="dxa"/>
          </w:tcPr>
          <w:p w14:paraId="750713E8"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3EC" w14:textId="77777777" w:rsidTr="001071B4">
        <w:trPr>
          <w:trHeight w:val="300"/>
        </w:trPr>
        <w:tc>
          <w:tcPr>
            <w:tcW w:w="6585" w:type="dxa"/>
          </w:tcPr>
          <w:p w14:paraId="750713EA" w14:textId="77777777" w:rsidR="002B060A" w:rsidRDefault="006040A7" w:rsidP="00C07A0A">
            <w:pPr>
              <w:rPr>
                <w:rFonts w:ascii="Calibri" w:eastAsia="Calibri" w:hAnsi="Calibri" w:cs="Calibri"/>
              </w:rPr>
            </w:pPr>
            <w:r>
              <w:rPr>
                <w:rFonts w:ascii="Calibri" w:eastAsia="Calibri" w:hAnsi="Calibri" w:cs="Calibri"/>
              </w:rPr>
              <w:t xml:space="preserve">GEF-multi-year workplan with funding </w:t>
            </w:r>
          </w:p>
        </w:tc>
        <w:tc>
          <w:tcPr>
            <w:tcW w:w="7461" w:type="dxa"/>
          </w:tcPr>
          <w:p w14:paraId="750713EB" w14:textId="77777777" w:rsidR="002B060A" w:rsidRDefault="006040A7" w:rsidP="00C07A0A">
            <w:pPr>
              <w:rPr>
                <w:rFonts w:ascii="Calibri" w:eastAsia="Calibri" w:hAnsi="Calibri" w:cs="Calibri"/>
              </w:rPr>
            </w:pPr>
            <w:r>
              <w:rPr>
                <w:rFonts w:ascii="Calibri" w:eastAsia="Calibri" w:hAnsi="Calibri" w:cs="Calibri"/>
              </w:rPr>
              <w:t xml:space="preserve">Cambodia </w:t>
            </w:r>
          </w:p>
        </w:tc>
      </w:tr>
      <w:tr w:rsidR="002B060A" w14:paraId="750713EF" w14:textId="77777777" w:rsidTr="001071B4">
        <w:trPr>
          <w:trHeight w:val="300"/>
        </w:trPr>
        <w:tc>
          <w:tcPr>
            <w:tcW w:w="6585" w:type="dxa"/>
          </w:tcPr>
          <w:p w14:paraId="750713ED" w14:textId="77777777" w:rsidR="002B060A" w:rsidRDefault="006040A7" w:rsidP="00C07A0A">
            <w:pPr>
              <w:rPr>
                <w:rFonts w:ascii="Calibri" w:eastAsia="Calibri" w:hAnsi="Calibri" w:cs="Calibri"/>
              </w:rPr>
            </w:pPr>
            <w:r>
              <w:rPr>
                <w:rFonts w:ascii="Calibri" w:eastAsia="Calibri" w:hAnsi="Calibri" w:cs="Calibri"/>
              </w:rPr>
              <w:t xml:space="preserve">GEF Project Technical Report Timor Leste final </w:t>
            </w:r>
          </w:p>
        </w:tc>
        <w:tc>
          <w:tcPr>
            <w:tcW w:w="7461" w:type="dxa"/>
          </w:tcPr>
          <w:p w14:paraId="750713EE" w14:textId="77777777" w:rsidR="002B060A" w:rsidRDefault="006040A7" w:rsidP="00C07A0A">
            <w:pPr>
              <w:rPr>
                <w:rFonts w:ascii="Calibri" w:eastAsia="Calibri" w:hAnsi="Calibri" w:cs="Calibri"/>
              </w:rPr>
            </w:pPr>
            <w:r>
              <w:rPr>
                <w:rFonts w:ascii="Calibri" w:eastAsia="Calibri" w:hAnsi="Calibri" w:cs="Calibri"/>
              </w:rPr>
              <w:t>Timor Leste</w:t>
            </w:r>
          </w:p>
        </w:tc>
      </w:tr>
    </w:tbl>
    <w:p w14:paraId="750713F0" w14:textId="77777777" w:rsidR="002B060A" w:rsidRDefault="002B060A" w:rsidP="00C07A0A">
      <w:pPr>
        <w:pStyle w:val="paragraph"/>
        <w:suppressAutoHyphens/>
        <w:spacing w:before="0" w:beforeAutospacing="0" w:after="0" w:afterAutospacing="0"/>
        <w:rPr>
          <w:rFonts w:ascii="Calibri" w:hAnsi="Calibri" w:cs="Calibri"/>
        </w:rPr>
      </w:pPr>
    </w:p>
    <w:p w14:paraId="750713F1" w14:textId="77777777" w:rsidR="002B060A" w:rsidRDefault="002B060A" w:rsidP="00C07A0A">
      <w:pPr>
        <w:pStyle w:val="paragraph"/>
        <w:suppressAutoHyphens/>
        <w:spacing w:before="0" w:beforeAutospacing="0" w:after="0" w:afterAutospacing="0"/>
        <w:textAlignment w:val="baseline"/>
        <w:rPr>
          <w:rFonts w:ascii="Calibri" w:hAnsi="Calibri" w:cs="Calibri"/>
        </w:rPr>
      </w:pPr>
    </w:p>
    <w:p w14:paraId="750713F2" w14:textId="77777777" w:rsidR="002B060A" w:rsidRDefault="002B060A" w:rsidP="00C07A0A">
      <w:pPr>
        <w:pStyle w:val="paragraph"/>
        <w:suppressAutoHyphens/>
        <w:spacing w:before="0" w:beforeAutospacing="0" w:after="0" w:afterAutospacing="0"/>
        <w:textAlignment w:val="baseline"/>
        <w:rPr>
          <w:rFonts w:ascii="Calibri" w:hAnsi="Calibri" w:cs="Calibri"/>
        </w:rPr>
      </w:pPr>
    </w:p>
    <w:p w14:paraId="750713F3" w14:textId="77777777" w:rsidR="002B060A" w:rsidRDefault="002B060A" w:rsidP="00C07A0A">
      <w:pPr>
        <w:pStyle w:val="paragraph"/>
        <w:suppressAutoHyphens/>
        <w:spacing w:before="0" w:beforeAutospacing="0" w:after="0" w:afterAutospacing="0"/>
        <w:textAlignment w:val="baseline"/>
        <w:rPr>
          <w:rFonts w:ascii="Calibri" w:hAnsi="Calibri" w:cs="Calibri"/>
        </w:rPr>
      </w:pPr>
    </w:p>
    <w:p w14:paraId="750713F4" w14:textId="77777777" w:rsidR="002B060A" w:rsidRDefault="002B060A" w:rsidP="00C07A0A">
      <w:pPr>
        <w:pStyle w:val="paragraph"/>
        <w:suppressAutoHyphens/>
        <w:spacing w:before="0" w:beforeAutospacing="0" w:after="0" w:afterAutospacing="0"/>
        <w:rPr>
          <w:rFonts w:ascii="Calibri" w:hAnsi="Calibri" w:cs="Calibri"/>
        </w:rPr>
      </w:pPr>
    </w:p>
    <w:p w14:paraId="750713F5" w14:textId="77777777" w:rsidR="002B060A" w:rsidRDefault="002B060A" w:rsidP="00C07A0A">
      <w:pPr>
        <w:pStyle w:val="paragraph"/>
        <w:suppressAutoHyphens/>
        <w:spacing w:before="0" w:beforeAutospacing="0" w:after="0" w:afterAutospacing="0"/>
        <w:rPr>
          <w:rFonts w:ascii="Calibri" w:hAnsi="Calibri" w:cs="Calibri"/>
        </w:rPr>
      </w:pPr>
    </w:p>
    <w:p w14:paraId="750713F6" w14:textId="77777777" w:rsidR="002B060A" w:rsidRDefault="002B060A" w:rsidP="00C07A0A">
      <w:pPr>
        <w:pStyle w:val="paragraph"/>
        <w:suppressAutoHyphens/>
        <w:spacing w:before="0" w:beforeAutospacing="0" w:after="0" w:afterAutospacing="0"/>
        <w:rPr>
          <w:rFonts w:ascii="Calibri" w:hAnsi="Calibri" w:cs="Calibri"/>
        </w:rPr>
      </w:pPr>
    </w:p>
    <w:p w14:paraId="750713F7" w14:textId="77777777" w:rsidR="002B060A" w:rsidRDefault="002B060A" w:rsidP="00C07A0A">
      <w:pPr>
        <w:pStyle w:val="paragraph"/>
        <w:suppressAutoHyphens/>
        <w:spacing w:before="0" w:beforeAutospacing="0" w:after="0" w:afterAutospacing="0"/>
        <w:rPr>
          <w:rFonts w:ascii="Calibri" w:hAnsi="Calibri" w:cs="Calibri"/>
        </w:rPr>
      </w:pPr>
    </w:p>
    <w:p w14:paraId="750713F8" w14:textId="77777777" w:rsidR="002B060A" w:rsidRDefault="002B060A" w:rsidP="00C07A0A">
      <w:pPr>
        <w:pStyle w:val="paragraph"/>
        <w:suppressAutoHyphens/>
        <w:spacing w:before="0" w:beforeAutospacing="0" w:after="0" w:afterAutospacing="0"/>
        <w:rPr>
          <w:rFonts w:ascii="Calibri" w:hAnsi="Calibri" w:cs="Calibri"/>
        </w:rPr>
      </w:pPr>
    </w:p>
    <w:p w14:paraId="750713F9" w14:textId="77777777" w:rsidR="002B060A" w:rsidRDefault="002B060A" w:rsidP="00C07A0A">
      <w:pPr>
        <w:pStyle w:val="paragraph"/>
        <w:suppressAutoHyphens/>
        <w:spacing w:before="0" w:beforeAutospacing="0" w:after="0" w:afterAutospacing="0"/>
        <w:rPr>
          <w:rFonts w:ascii="Calibri" w:hAnsi="Calibri" w:cs="Calibri"/>
        </w:rPr>
      </w:pPr>
    </w:p>
    <w:p w14:paraId="750713FA" w14:textId="77777777" w:rsidR="002B060A" w:rsidRDefault="002B060A" w:rsidP="00C07A0A">
      <w:pPr>
        <w:pStyle w:val="paragraph"/>
        <w:suppressAutoHyphens/>
        <w:spacing w:before="0" w:beforeAutospacing="0" w:after="0" w:afterAutospacing="0"/>
        <w:rPr>
          <w:rFonts w:ascii="Calibri" w:hAnsi="Calibri" w:cs="Calibri"/>
        </w:rPr>
      </w:pPr>
    </w:p>
    <w:p w14:paraId="750713FB" w14:textId="77777777" w:rsidR="002B060A" w:rsidRDefault="002B060A" w:rsidP="00C07A0A">
      <w:pPr>
        <w:pStyle w:val="paragraph"/>
        <w:suppressAutoHyphens/>
        <w:spacing w:before="0" w:beforeAutospacing="0" w:after="0" w:afterAutospacing="0"/>
        <w:rPr>
          <w:rFonts w:ascii="Calibri" w:hAnsi="Calibri" w:cs="Calibri"/>
        </w:rPr>
      </w:pPr>
    </w:p>
    <w:p w14:paraId="750713FC" w14:textId="77777777" w:rsidR="002B060A" w:rsidRDefault="002B060A" w:rsidP="00C07A0A">
      <w:pPr>
        <w:pStyle w:val="paragraph"/>
        <w:suppressAutoHyphens/>
        <w:spacing w:before="0" w:beforeAutospacing="0" w:after="0" w:afterAutospacing="0"/>
        <w:rPr>
          <w:rFonts w:ascii="Calibri" w:hAnsi="Calibri" w:cs="Calibri"/>
        </w:rPr>
      </w:pPr>
    </w:p>
    <w:p w14:paraId="750713FD" w14:textId="6195A3D2" w:rsidR="002B060A" w:rsidRDefault="002B060A" w:rsidP="00C07A0A">
      <w:pPr>
        <w:rPr>
          <w:rFonts w:ascii="Calibri" w:eastAsiaTheme="majorEastAsia" w:hAnsi="Calibri" w:cs="Calibri"/>
          <w:color w:val="0F4761" w:themeColor="accent1" w:themeShade="BF"/>
          <w:kern w:val="2"/>
          <w:sz w:val="32"/>
          <w:szCs w:val="32"/>
          <w:lang w:eastAsia="en-US"/>
          <w14:ligatures w14:val="standardContextual"/>
        </w:rPr>
      </w:pPr>
    </w:p>
    <w:p w14:paraId="498D2C48" w14:textId="77777777" w:rsidR="00191F00" w:rsidRDefault="00191F00" w:rsidP="00C07A0A">
      <w:pPr>
        <w:rPr>
          <w:rFonts w:ascii="Calibri" w:eastAsiaTheme="majorEastAsia" w:hAnsi="Calibri" w:cs="Calibri"/>
          <w:color w:val="0F4761" w:themeColor="accent1" w:themeShade="BF"/>
          <w:kern w:val="2"/>
          <w:sz w:val="32"/>
          <w:szCs w:val="32"/>
          <w:lang w:eastAsia="en-US"/>
          <w14:ligatures w14:val="standardContextual"/>
        </w:rPr>
      </w:pPr>
      <w:r>
        <w:rPr>
          <w:rFonts w:ascii="Calibri" w:hAnsi="Calibri" w:cs="Calibri"/>
        </w:rPr>
        <w:br w:type="page"/>
      </w:r>
    </w:p>
    <w:p w14:paraId="750713FE" w14:textId="53BB0A76" w:rsidR="002B060A" w:rsidRDefault="006040A7" w:rsidP="00C07A0A">
      <w:pPr>
        <w:pStyle w:val="Heading2"/>
        <w:rPr>
          <w:rFonts w:ascii="Calibri" w:hAnsi="Calibri" w:cs="Calibri"/>
        </w:rPr>
      </w:pPr>
      <w:bookmarkStart w:id="40" w:name="_Toc173429991"/>
      <w:r>
        <w:rPr>
          <w:rFonts w:ascii="Calibri" w:hAnsi="Calibri" w:cs="Calibri"/>
        </w:rPr>
        <w:lastRenderedPageBreak/>
        <w:t>Appendix 4: TE Rating Scale</w:t>
      </w:r>
      <w:bookmarkEnd w:id="40"/>
      <w:r>
        <w:rPr>
          <w:rFonts w:ascii="Calibri" w:hAnsi="Calibri" w:cs="Calibri"/>
        </w:rPr>
        <w:t xml:space="preserve"> </w:t>
      </w:r>
    </w:p>
    <w:p w14:paraId="750713FF" w14:textId="77777777" w:rsidR="002B060A" w:rsidRDefault="002B060A" w:rsidP="00C07A0A">
      <w:pPr>
        <w:pStyle w:val="paragraph"/>
        <w:suppressAutoHyphens/>
        <w:spacing w:before="0" w:beforeAutospacing="0" w:after="0" w:afterAutospacing="0"/>
        <w:textAlignment w:val="baseline"/>
        <w:rPr>
          <w:rFonts w:ascii="Calibri" w:hAnsi="Calibri" w:cs="Calibri"/>
        </w:rPr>
      </w:pPr>
    </w:p>
    <w:tbl>
      <w:tblPr>
        <w:tblStyle w:val="TableGrid"/>
        <w:tblW w:w="0" w:type="auto"/>
        <w:tblLayout w:type="fixed"/>
        <w:tblLook w:val="06A0" w:firstRow="1" w:lastRow="0" w:firstColumn="1" w:lastColumn="0" w:noHBand="1" w:noVBand="1"/>
      </w:tblPr>
      <w:tblGrid>
        <w:gridCol w:w="3816"/>
        <w:gridCol w:w="10230"/>
      </w:tblGrid>
      <w:tr w:rsidR="002B060A" w14:paraId="75071401" w14:textId="77777777" w:rsidTr="001071B4">
        <w:trPr>
          <w:trHeight w:val="300"/>
        </w:trPr>
        <w:tc>
          <w:tcPr>
            <w:tcW w:w="14046" w:type="dxa"/>
            <w:gridSpan w:val="2"/>
            <w:shd w:val="clear" w:color="auto" w:fill="000000" w:themeFill="text1"/>
          </w:tcPr>
          <w:p w14:paraId="75071400" w14:textId="77777777" w:rsidR="002B060A" w:rsidRDefault="006040A7" w:rsidP="00C07A0A">
            <w:pPr>
              <w:rPr>
                <w:rFonts w:ascii="Calibri" w:eastAsia="Calibri" w:hAnsi="Calibri" w:cs="Calibri"/>
                <w:color w:val="FFFFFF" w:themeColor="background1"/>
              </w:rPr>
            </w:pPr>
            <w:r>
              <w:rPr>
                <w:rFonts w:ascii="Calibri" w:eastAsia="Calibri" w:hAnsi="Calibri" w:cs="Calibri"/>
              </w:rPr>
              <w:t>Program results rating scale</w:t>
            </w:r>
          </w:p>
        </w:tc>
      </w:tr>
      <w:tr w:rsidR="002B060A" w14:paraId="75071404" w14:textId="77777777" w:rsidTr="001071B4">
        <w:trPr>
          <w:trHeight w:val="300"/>
        </w:trPr>
        <w:tc>
          <w:tcPr>
            <w:tcW w:w="3816" w:type="dxa"/>
            <w:shd w:val="clear" w:color="auto" w:fill="D1D1D1" w:themeFill="background2" w:themeFillShade="E6"/>
          </w:tcPr>
          <w:p w14:paraId="75071402" w14:textId="77777777" w:rsidR="002B060A" w:rsidRDefault="006040A7" w:rsidP="00C07A0A">
            <w:pPr>
              <w:rPr>
                <w:rFonts w:ascii="Calibri" w:eastAsia="Calibri" w:hAnsi="Calibri" w:cs="Calibri"/>
              </w:rPr>
            </w:pPr>
            <w:r>
              <w:rPr>
                <w:rFonts w:ascii="Calibri" w:eastAsia="Calibri" w:hAnsi="Calibri" w:cs="Calibri"/>
              </w:rPr>
              <w:t xml:space="preserve">Ratings for Outcomes, Effectiveness, Efficiency, M&amp;E, Implementation/Oversight, Execution, Relevance, Coherence </w:t>
            </w:r>
          </w:p>
        </w:tc>
        <w:tc>
          <w:tcPr>
            <w:tcW w:w="10230" w:type="dxa"/>
            <w:shd w:val="clear" w:color="auto" w:fill="D1D1D1" w:themeFill="background2" w:themeFillShade="E6"/>
          </w:tcPr>
          <w:p w14:paraId="75071403" w14:textId="77777777" w:rsidR="002B060A" w:rsidRDefault="006040A7" w:rsidP="00C07A0A">
            <w:pPr>
              <w:rPr>
                <w:rFonts w:ascii="Calibri" w:eastAsia="Calibri" w:hAnsi="Calibri" w:cs="Calibri"/>
              </w:rPr>
            </w:pPr>
            <w:r>
              <w:rPr>
                <w:rFonts w:ascii="Calibri" w:eastAsia="Calibri" w:hAnsi="Calibri" w:cs="Calibri"/>
              </w:rPr>
              <w:t xml:space="preserve">Sustainability ratings </w:t>
            </w:r>
          </w:p>
        </w:tc>
      </w:tr>
      <w:tr w:rsidR="002B060A" w14:paraId="75071407" w14:textId="77777777" w:rsidTr="001071B4">
        <w:trPr>
          <w:trHeight w:val="300"/>
        </w:trPr>
        <w:tc>
          <w:tcPr>
            <w:tcW w:w="3816" w:type="dxa"/>
          </w:tcPr>
          <w:p w14:paraId="75071405" w14:textId="77777777" w:rsidR="002B060A" w:rsidRDefault="006040A7" w:rsidP="00C07A0A">
            <w:pPr>
              <w:rPr>
                <w:rFonts w:ascii="Calibri" w:eastAsia="Calibri" w:hAnsi="Calibri" w:cs="Calibri"/>
              </w:rPr>
            </w:pPr>
            <w:r>
              <w:rPr>
                <w:rFonts w:ascii="Calibri" w:eastAsia="Calibri" w:hAnsi="Calibri" w:cs="Calibri"/>
              </w:rPr>
              <w:t xml:space="preserve">6 = Highly Satisfactory (HS): exceeds expectations and/or no shortcomings </w:t>
            </w:r>
          </w:p>
        </w:tc>
        <w:tc>
          <w:tcPr>
            <w:tcW w:w="10230" w:type="dxa"/>
          </w:tcPr>
          <w:p w14:paraId="75071406" w14:textId="77777777" w:rsidR="002B060A" w:rsidRDefault="006040A7" w:rsidP="00C07A0A">
            <w:pPr>
              <w:rPr>
                <w:rFonts w:ascii="Calibri" w:eastAsia="Calibri" w:hAnsi="Calibri" w:cs="Calibri"/>
              </w:rPr>
            </w:pPr>
            <w:r>
              <w:rPr>
                <w:rFonts w:ascii="Calibri" w:eastAsia="Calibri" w:hAnsi="Calibri" w:cs="Calibri"/>
              </w:rPr>
              <w:t>6 = Highly Likely (HL): There is negligible risk to continuation of benefits and based on the progress made so far it is expected that the long-term objectives of the project will be achieved.</w:t>
            </w:r>
          </w:p>
        </w:tc>
      </w:tr>
      <w:tr w:rsidR="002B060A" w14:paraId="7507140A" w14:textId="77777777" w:rsidTr="001071B4">
        <w:trPr>
          <w:trHeight w:val="300"/>
        </w:trPr>
        <w:tc>
          <w:tcPr>
            <w:tcW w:w="3816" w:type="dxa"/>
          </w:tcPr>
          <w:p w14:paraId="75071408" w14:textId="77777777" w:rsidR="002B060A" w:rsidRDefault="006040A7" w:rsidP="00C07A0A">
            <w:pPr>
              <w:rPr>
                <w:rFonts w:ascii="Calibri" w:eastAsia="Calibri" w:hAnsi="Calibri" w:cs="Calibri"/>
              </w:rPr>
            </w:pPr>
            <w:r>
              <w:rPr>
                <w:rFonts w:ascii="Calibri" w:eastAsia="Calibri" w:hAnsi="Calibri" w:cs="Calibri"/>
              </w:rPr>
              <w:t xml:space="preserve">5 = Satisfactory (S): meets expectations and/or no or minor shortcomings </w:t>
            </w:r>
          </w:p>
        </w:tc>
        <w:tc>
          <w:tcPr>
            <w:tcW w:w="10230" w:type="dxa"/>
          </w:tcPr>
          <w:p w14:paraId="75071409" w14:textId="77777777" w:rsidR="002B060A" w:rsidRDefault="006040A7" w:rsidP="00C07A0A">
            <w:pPr>
              <w:rPr>
                <w:rFonts w:ascii="Calibri" w:eastAsia="Calibri" w:hAnsi="Calibri" w:cs="Calibri"/>
              </w:rPr>
            </w:pPr>
            <w:r>
              <w:rPr>
                <w:rFonts w:ascii="Calibri" w:eastAsia="Calibri" w:hAnsi="Calibri" w:cs="Calibri"/>
              </w:rPr>
              <w:t xml:space="preserve">5 = Likely (L): Either there is negligible risk to continuation of benefits or there are some risks, but the magnitude of their effect is too small and/or the probability that they will materialize is too small. Overall, it is likely that the net benefits of the project will continue. </w:t>
            </w:r>
          </w:p>
        </w:tc>
      </w:tr>
      <w:tr w:rsidR="002B060A" w14:paraId="7507140D" w14:textId="77777777" w:rsidTr="001071B4">
        <w:trPr>
          <w:trHeight w:val="300"/>
        </w:trPr>
        <w:tc>
          <w:tcPr>
            <w:tcW w:w="3816" w:type="dxa"/>
          </w:tcPr>
          <w:p w14:paraId="7507140B" w14:textId="77777777" w:rsidR="002B060A" w:rsidRDefault="006040A7" w:rsidP="00C07A0A">
            <w:pPr>
              <w:rPr>
                <w:rFonts w:ascii="Calibri" w:eastAsia="Calibri" w:hAnsi="Calibri" w:cs="Calibri"/>
              </w:rPr>
            </w:pPr>
            <w:r>
              <w:rPr>
                <w:rFonts w:ascii="Calibri" w:eastAsia="Calibri" w:hAnsi="Calibri" w:cs="Calibri"/>
              </w:rPr>
              <w:t xml:space="preserve">4 = Moderately Satisfactory (MS): more or less meets expectation and/or some shortcomings </w:t>
            </w:r>
          </w:p>
        </w:tc>
        <w:tc>
          <w:tcPr>
            <w:tcW w:w="10230" w:type="dxa"/>
          </w:tcPr>
          <w:p w14:paraId="7507140C" w14:textId="77777777" w:rsidR="002B060A" w:rsidRDefault="006040A7" w:rsidP="00C07A0A">
            <w:pPr>
              <w:rPr>
                <w:rFonts w:ascii="Calibri" w:eastAsia="Calibri" w:hAnsi="Calibri" w:cs="Calibri"/>
              </w:rPr>
            </w:pPr>
            <w:r>
              <w:rPr>
                <w:rFonts w:ascii="Calibri" w:eastAsia="Calibri" w:hAnsi="Calibri" w:cs="Calibri"/>
              </w:rPr>
              <w:t xml:space="preserve">4 = Moderately Likely (ML): There are some risks to sustainability, and they may have some effect on continuation of benefits if they materialize. However, probability of materialization of these risks is low. Net benefits are more likely to continue that abate. </w:t>
            </w:r>
          </w:p>
        </w:tc>
      </w:tr>
      <w:tr w:rsidR="002B060A" w14:paraId="75071410" w14:textId="77777777" w:rsidTr="001071B4">
        <w:trPr>
          <w:trHeight w:val="300"/>
        </w:trPr>
        <w:tc>
          <w:tcPr>
            <w:tcW w:w="3816" w:type="dxa"/>
          </w:tcPr>
          <w:p w14:paraId="7507140E" w14:textId="77777777" w:rsidR="002B060A" w:rsidRDefault="006040A7" w:rsidP="00C07A0A">
            <w:pPr>
              <w:rPr>
                <w:rFonts w:ascii="Calibri" w:eastAsia="Calibri" w:hAnsi="Calibri" w:cs="Calibri"/>
              </w:rPr>
            </w:pPr>
            <w:r>
              <w:rPr>
                <w:rFonts w:ascii="Calibri" w:eastAsia="Calibri" w:hAnsi="Calibri" w:cs="Calibri"/>
              </w:rPr>
              <w:t xml:space="preserve">3 = Moderately Unsatisfactory (MU): somewhat below expectations and/or some shortcomings </w:t>
            </w:r>
          </w:p>
        </w:tc>
        <w:tc>
          <w:tcPr>
            <w:tcW w:w="10230" w:type="dxa"/>
          </w:tcPr>
          <w:p w14:paraId="7507140F" w14:textId="77777777" w:rsidR="002B060A" w:rsidRDefault="006040A7" w:rsidP="00C07A0A">
            <w:pPr>
              <w:rPr>
                <w:rFonts w:ascii="Calibri" w:eastAsia="Calibri" w:hAnsi="Calibri" w:cs="Calibri"/>
              </w:rPr>
            </w:pPr>
            <w:r>
              <w:rPr>
                <w:rFonts w:ascii="Calibri" w:eastAsia="Calibri" w:hAnsi="Calibri" w:cs="Calibri"/>
              </w:rPr>
              <w:t xml:space="preserve">3 = Moderately Unlikely (MU): There are significant risks to sustainability. The effect on continuation of benefits would be substantial if these risks materialise and the probability of materialization of these risks is significant. Overall, net benefits of the project are likely to abate. </w:t>
            </w:r>
          </w:p>
        </w:tc>
      </w:tr>
      <w:tr w:rsidR="002B060A" w14:paraId="75071413" w14:textId="77777777" w:rsidTr="001071B4">
        <w:trPr>
          <w:trHeight w:val="300"/>
        </w:trPr>
        <w:tc>
          <w:tcPr>
            <w:tcW w:w="3816" w:type="dxa"/>
          </w:tcPr>
          <w:p w14:paraId="75071411" w14:textId="77777777" w:rsidR="002B060A" w:rsidRDefault="006040A7" w:rsidP="00C07A0A">
            <w:pPr>
              <w:rPr>
                <w:rFonts w:ascii="Calibri" w:eastAsia="Calibri" w:hAnsi="Calibri" w:cs="Calibri"/>
              </w:rPr>
            </w:pPr>
            <w:r>
              <w:rPr>
                <w:rFonts w:ascii="Calibri" w:eastAsia="Calibri" w:hAnsi="Calibri" w:cs="Calibri"/>
              </w:rPr>
              <w:t xml:space="preserve">2 = Unsatisfactory (U): substantially below expectations and/or major shortcomings </w:t>
            </w:r>
          </w:p>
        </w:tc>
        <w:tc>
          <w:tcPr>
            <w:tcW w:w="10230" w:type="dxa"/>
          </w:tcPr>
          <w:p w14:paraId="75071412" w14:textId="77777777" w:rsidR="002B060A" w:rsidRDefault="006040A7" w:rsidP="00C07A0A">
            <w:pPr>
              <w:rPr>
                <w:rFonts w:ascii="Calibri" w:eastAsia="Calibri" w:hAnsi="Calibri" w:cs="Calibri"/>
              </w:rPr>
            </w:pPr>
            <w:r>
              <w:rPr>
                <w:rFonts w:ascii="Calibri" w:eastAsia="Calibri" w:hAnsi="Calibri" w:cs="Calibri"/>
              </w:rPr>
              <w:t xml:space="preserve">2 = Unlikely (U): Because of the high risks it is unlikely that net benefits of the project will continue to accrue, and the progress made so far is likely to be lost. It is unlikely that the project will achieve its long-term objectives </w:t>
            </w:r>
          </w:p>
        </w:tc>
      </w:tr>
      <w:tr w:rsidR="002B060A" w14:paraId="75071416" w14:textId="77777777" w:rsidTr="001071B4">
        <w:trPr>
          <w:trHeight w:val="300"/>
        </w:trPr>
        <w:tc>
          <w:tcPr>
            <w:tcW w:w="3816" w:type="dxa"/>
          </w:tcPr>
          <w:p w14:paraId="75071414" w14:textId="77777777" w:rsidR="002B060A" w:rsidRDefault="006040A7" w:rsidP="00C07A0A">
            <w:pPr>
              <w:rPr>
                <w:rFonts w:ascii="Calibri" w:eastAsia="Calibri" w:hAnsi="Calibri" w:cs="Calibri"/>
              </w:rPr>
            </w:pPr>
            <w:r>
              <w:rPr>
                <w:rFonts w:ascii="Calibri" w:eastAsia="Calibri" w:hAnsi="Calibri" w:cs="Calibri"/>
              </w:rPr>
              <w:t xml:space="preserve">1 = Highly Unsatisfactory (HU): severe shortcomings </w:t>
            </w:r>
          </w:p>
        </w:tc>
        <w:tc>
          <w:tcPr>
            <w:tcW w:w="10230" w:type="dxa"/>
          </w:tcPr>
          <w:p w14:paraId="75071415" w14:textId="77777777" w:rsidR="002B060A" w:rsidRDefault="006040A7" w:rsidP="00C07A0A">
            <w:pPr>
              <w:rPr>
                <w:rFonts w:ascii="Calibri" w:eastAsia="Calibri" w:hAnsi="Calibri" w:cs="Calibri"/>
              </w:rPr>
            </w:pPr>
            <w:r>
              <w:rPr>
                <w:rFonts w:ascii="Calibri" w:eastAsia="Calibri" w:hAnsi="Calibri" w:cs="Calibri"/>
              </w:rPr>
              <w:t xml:space="preserve">1 = Highly Unlikely (HU): It is expected that the project will not achieve its long-term objectives. Major risks have either already materialized and halted accrual of net benefits or have high probability of materializing soon and will halt accrual of net benefits when they materialize. </w:t>
            </w:r>
          </w:p>
        </w:tc>
      </w:tr>
      <w:tr w:rsidR="002B060A" w14:paraId="75071419" w14:textId="77777777" w:rsidTr="001071B4">
        <w:trPr>
          <w:trHeight w:val="300"/>
        </w:trPr>
        <w:tc>
          <w:tcPr>
            <w:tcW w:w="3816" w:type="dxa"/>
          </w:tcPr>
          <w:p w14:paraId="75071417" w14:textId="77777777" w:rsidR="002B060A" w:rsidRDefault="006040A7" w:rsidP="00C07A0A">
            <w:pPr>
              <w:rPr>
                <w:rFonts w:ascii="Calibri" w:eastAsia="Calibri" w:hAnsi="Calibri" w:cs="Calibri"/>
              </w:rPr>
            </w:pPr>
            <w:r>
              <w:rPr>
                <w:rFonts w:ascii="Calibri" w:eastAsia="Calibri" w:hAnsi="Calibri" w:cs="Calibri"/>
              </w:rPr>
              <w:t xml:space="preserve">Unable to Assess (U/A): available information does not allow an assessment </w:t>
            </w:r>
          </w:p>
        </w:tc>
        <w:tc>
          <w:tcPr>
            <w:tcW w:w="10230" w:type="dxa"/>
          </w:tcPr>
          <w:p w14:paraId="75071418" w14:textId="77777777" w:rsidR="002B060A" w:rsidRDefault="006040A7" w:rsidP="00C07A0A">
            <w:pPr>
              <w:rPr>
                <w:rFonts w:ascii="Calibri" w:eastAsia="Calibri" w:hAnsi="Calibri" w:cs="Calibri"/>
              </w:rPr>
            </w:pPr>
            <w:r>
              <w:rPr>
                <w:rFonts w:ascii="Calibri" w:eastAsia="Calibri" w:hAnsi="Calibri" w:cs="Calibri"/>
              </w:rPr>
              <w:t>Unable to Assess (U/A): Unable to assess the expected incidence and magnitude of risks to sustainability</w:t>
            </w:r>
          </w:p>
        </w:tc>
      </w:tr>
    </w:tbl>
    <w:p w14:paraId="7507141A" w14:textId="77777777" w:rsidR="002B060A" w:rsidRDefault="002B060A" w:rsidP="00C07A0A">
      <w:pPr>
        <w:pStyle w:val="paragraph"/>
        <w:suppressAutoHyphens/>
        <w:spacing w:before="0" w:beforeAutospacing="0" w:after="0" w:afterAutospacing="0"/>
        <w:rPr>
          <w:rStyle w:val="eop"/>
          <w:rFonts w:ascii="Calibri" w:eastAsiaTheme="majorEastAsia" w:hAnsi="Calibri" w:cs="Calibri"/>
          <w:color w:val="094183"/>
        </w:rPr>
      </w:pPr>
    </w:p>
    <w:p w14:paraId="7507141B" w14:textId="77777777" w:rsidR="002B060A" w:rsidRDefault="002B060A" w:rsidP="00C07A0A">
      <w:pPr>
        <w:pStyle w:val="paragraph"/>
        <w:suppressAutoHyphens/>
        <w:spacing w:before="0" w:beforeAutospacing="0" w:after="0" w:afterAutospacing="0"/>
        <w:rPr>
          <w:rStyle w:val="eop"/>
          <w:rFonts w:ascii="Calibri" w:eastAsiaTheme="majorEastAsia" w:hAnsi="Calibri" w:cs="Calibri"/>
          <w:color w:val="094183"/>
        </w:rPr>
      </w:pPr>
    </w:p>
    <w:p w14:paraId="7507141C" w14:textId="77777777" w:rsidR="002B060A" w:rsidRDefault="006040A7" w:rsidP="00C07A0A">
      <w:pPr>
        <w:pStyle w:val="Heading2"/>
        <w:rPr>
          <w:rFonts w:ascii="Calibri" w:eastAsia="Calibri" w:hAnsi="Calibri" w:cs="Calibri"/>
          <w:color w:val="2F5496"/>
          <w:sz w:val="24"/>
          <w:szCs w:val="24"/>
        </w:rPr>
      </w:pPr>
      <w:bookmarkStart w:id="41" w:name="_Toc173429992"/>
      <w:r>
        <w:rPr>
          <w:rFonts w:ascii="Calibri" w:hAnsi="Calibri" w:cs="Calibri"/>
        </w:rPr>
        <w:t>Appendix 5: National standards and guidelines for climate-resilient health systems developed</w:t>
      </w:r>
      <w:bookmarkEnd w:id="41"/>
    </w:p>
    <w:p w14:paraId="7507141D" w14:textId="77777777" w:rsidR="002B060A" w:rsidRDefault="002B060A" w:rsidP="00C07A0A">
      <w:pPr>
        <w:pStyle w:val="paragraph"/>
        <w:suppressAutoHyphens/>
        <w:spacing w:before="0" w:beforeAutospacing="0" w:after="0" w:afterAutospacing="0"/>
        <w:rPr>
          <w:rStyle w:val="eop"/>
          <w:rFonts w:ascii="Calibri" w:eastAsiaTheme="majorEastAsia" w:hAnsi="Calibri" w:cs="Calibri"/>
          <w:color w:val="094183"/>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20"/>
        <w:gridCol w:w="5730"/>
        <w:gridCol w:w="1890"/>
        <w:gridCol w:w="4565"/>
      </w:tblGrid>
      <w:tr w:rsidR="00CB0E8D" w14:paraId="75071422" w14:textId="77777777" w:rsidTr="001071B4">
        <w:trPr>
          <w:trHeight w:val="300"/>
        </w:trPr>
        <w:tc>
          <w:tcPr>
            <w:tcW w:w="1920" w:type="dxa"/>
            <w:shd w:val="clear" w:color="auto" w:fill="D9E2F3"/>
            <w:tcMar>
              <w:left w:w="105" w:type="dxa"/>
              <w:right w:w="105" w:type="dxa"/>
            </w:tcMar>
            <w:vAlign w:val="center"/>
          </w:tcPr>
          <w:p w14:paraId="7507141E" w14:textId="77777777" w:rsidR="002B060A" w:rsidRPr="00191F00" w:rsidRDefault="002B060A" w:rsidP="00C07A0A">
            <w:pPr>
              <w:rPr>
                <w:rFonts w:ascii="Calibri" w:eastAsia="Calibri" w:hAnsi="Calibri" w:cs="Calibri"/>
                <w:b/>
                <w:bCs/>
                <w:color w:val="000000" w:themeColor="text1"/>
                <w:sz w:val="20"/>
                <w:szCs w:val="20"/>
              </w:rPr>
            </w:pPr>
          </w:p>
        </w:tc>
        <w:tc>
          <w:tcPr>
            <w:tcW w:w="5730" w:type="dxa"/>
            <w:shd w:val="clear" w:color="auto" w:fill="D9E2F3"/>
            <w:tcMar>
              <w:left w:w="105" w:type="dxa"/>
              <w:right w:w="105" w:type="dxa"/>
            </w:tcMar>
            <w:vAlign w:val="center"/>
          </w:tcPr>
          <w:p w14:paraId="7507141F" w14:textId="77777777" w:rsidR="002B060A" w:rsidRPr="00191F00" w:rsidRDefault="006040A7" w:rsidP="00C07A0A">
            <w:pPr>
              <w:rPr>
                <w:rFonts w:ascii="Calibri" w:eastAsia="Calibri" w:hAnsi="Calibri" w:cs="Calibri"/>
                <w:b/>
                <w:bCs/>
                <w:color w:val="000000" w:themeColor="text1"/>
                <w:sz w:val="20"/>
                <w:szCs w:val="20"/>
              </w:rPr>
            </w:pPr>
            <w:r w:rsidRPr="00191F00">
              <w:rPr>
                <w:rFonts w:ascii="Calibri" w:eastAsia="Calibri" w:hAnsi="Calibri" w:cs="Calibri"/>
                <w:b/>
                <w:bCs/>
                <w:color w:val="000000" w:themeColor="text1"/>
                <w:sz w:val="20"/>
                <w:szCs w:val="20"/>
                <w:lang w:val="en-US"/>
              </w:rPr>
              <w:t>National standards/guidelines/SOPs for climate-resilient health systems</w:t>
            </w:r>
          </w:p>
        </w:tc>
        <w:tc>
          <w:tcPr>
            <w:tcW w:w="1890" w:type="dxa"/>
            <w:shd w:val="clear" w:color="auto" w:fill="D9E2F3"/>
            <w:tcMar>
              <w:left w:w="105" w:type="dxa"/>
              <w:right w:w="105" w:type="dxa"/>
            </w:tcMar>
            <w:vAlign w:val="center"/>
          </w:tcPr>
          <w:p w14:paraId="75071420" w14:textId="77777777" w:rsidR="002B060A" w:rsidRPr="00191F00" w:rsidRDefault="006040A7" w:rsidP="00C07A0A">
            <w:pPr>
              <w:rPr>
                <w:rFonts w:ascii="Calibri" w:eastAsia="Calibri" w:hAnsi="Calibri" w:cs="Calibri"/>
                <w:b/>
                <w:bCs/>
                <w:color w:val="000000" w:themeColor="text1"/>
                <w:sz w:val="20"/>
                <w:szCs w:val="20"/>
              </w:rPr>
            </w:pPr>
            <w:r w:rsidRPr="00191F00">
              <w:rPr>
                <w:rFonts w:ascii="Calibri" w:eastAsia="Calibri" w:hAnsi="Calibri" w:cs="Calibri"/>
                <w:b/>
                <w:bCs/>
                <w:color w:val="000000" w:themeColor="text1"/>
                <w:sz w:val="20"/>
                <w:szCs w:val="20"/>
                <w:lang w:val="en-US"/>
              </w:rPr>
              <w:t>Status (Draft/Final)</w:t>
            </w:r>
          </w:p>
        </w:tc>
        <w:tc>
          <w:tcPr>
            <w:tcW w:w="4565" w:type="dxa"/>
            <w:shd w:val="clear" w:color="auto" w:fill="D9E2F3"/>
            <w:tcMar>
              <w:left w:w="105" w:type="dxa"/>
              <w:right w:w="105" w:type="dxa"/>
            </w:tcMar>
            <w:vAlign w:val="center"/>
          </w:tcPr>
          <w:p w14:paraId="75071421" w14:textId="77777777" w:rsidR="002B060A" w:rsidRPr="00191F00" w:rsidRDefault="006040A7" w:rsidP="00C07A0A">
            <w:pPr>
              <w:rPr>
                <w:rFonts w:ascii="Calibri" w:eastAsia="Calibri" w:hAnsi="Calibri" w:cs="Calibri"/>
                <w:b/>
                <w:bCs/>
                <w:color w:val="000000" w:themeColor="text1"/>
                <w:sz w:val="20"/>
                <w:szCs w:val="20"/>
              </w:rPr>
            </w:pPr>
            <w:r w:rsidRPr="00191F00">
              <w:rPr>
                <w:rFonts w:ascii="Calibri" w:eastAsia="Calibri" w:hAnsi="Calibri" w:cs="Calibri"/>
                <w:b/>
                <w:bCs/>
                <w:color w:val="000000" w:themeColor="text1"/>
                <w:sz w:val="20"/>
                <w:szCs w:val="20"/>
                <w:lang w:val="en-US"/>
              </w:rPr>
              <w:t xml:space="preserve">If draft, timelines for completion </w:t>
            </w:r>
          </w:p>
        </w:tc>
      </w:tr>
      <w:tr w:rsidR="002B060A" w14:paraId="75071427" w14:textId="77777777" w:rsidTr="001071B4">
        <w:trPr>
          <w:trHeight w:val="300"/>
        </w:trPr>
        <w:tc>
          <w:tcPr>
            <w:tcW w:w="1920" w:type="dxa"/>
            <w:tcMar>
              <w:left w:w="105" w:type="dxa"/>
              <w:right w:w="105" w:type="dxa"/>
            </w:tcMar>
            <w:vAlign w:val="center"/>
          </w:tcPr>
          <w:p w14:paraId="75071423" w14:textId="77777777" w:rsidR="002B060A" w:rsidRPr="00191F00" w:rsidRDefault="006040A7" w:rsidP="00C07A0A">
            <w:pPr>
              <w:rPr>
                <w:rFonts w:ascii="Calibri" w:eastAsia="Calibri" w:hAnsi="Calibri" w:cs="Calibri"/>
                <w:b/>
                <w:bCs/>
                <w:sz w:val="20"/>
                <w:szCs w:val="20"/>
              </w:rPr>
            </w:pPr>
            <w:r w:rsidRPr="00191F00">
              <w:rPr>
                <w:rFonts w:ascii="Calibri" w:eastAsia="Calibri" w:hAnsi="Calibri" w:cs="Calibri"/>
                <w:b/>
                <w:bCs/>
                <w:sz w:val="20"/>
                <w:szCs w:val="20"/>
                <w:lang w:val="en-US"/>
              </w:rPr>
              <w:t>Bangladesh</w:t>
            </w:r>
          </w:p>
        </w:tc>
        <w:tc>
          <w:tcPr>
            <w:tcW w:w="5730" w:type="dxa"/>
            <w:tcMar>
              <w:left w:w="105" w:type="dxa"/>
              <w:right w:w="105" w:type="dxa"/>
            </w:tcMar>
            <w:vAlign w:val="center"/>
          </w:tcPr>
          <w:p w14:paraId="75071424"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National WASH standards towards climate resilient health care facilities</w:t>
            </w:r>
          </w:p>
        </w:tc>
        <w:tc>
          <w:tcPr>
            <w:tcW w:w="1890" w:type="dxa"/>
            <w:tcMar>
              <w:left w:w="105" w:type="dxa"/>
              <w:right w:w="105" w:type="dxa"/>
            </w:tcMar>
            <w:vAlign w:val="center"/>
          </w:tcPr>
          <w:p w14:paraId="75071425"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 (published)</w:t>
            </w:r>
          </w:p>
        </w:tc>
        <w:tc>
          <w:tcPr>
            <w:tcW w:w="4565" w:type="dxa"/>
            <w:tcMar>
              <w:left w:w="105" w:type="dxa"/>
              <w:right w:w="105" w:type="dxa"/>
            </w:tcMar>
            <w:vAlign w:val="center"/>
          </w:tcPr>
          <w:p w14:paraId="75071426"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NA</w:t>
            </w:r>
          </w:p>
        </w:tc>
      </w:tr>
      <w:tr w:rsidR="002B060A" w14:paraId="7507142C" w14:textId="77777777" w:rsidTr="001071B4">
        <w:trPr>
          <w:trHeight w:val="300"/>
        </w:trPr>
        <w:tc>
          <w:tcPr>
            <w:tcW w:w="1920" w:type="dxa"/>
            <w:vAlign w:val="center"/>
          </w:tcPr>
          <w:p w14:paraId="75071428"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29"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Guidelines for building climate resilient healthcare facilities through effective WASH and Health care waste management facilities</w:t>
            </w:r>
          </w:p>
        </w:tc>
        <w:tc>
          <w:tcPr>
            <w:tcW w:w="1890" w:type="dxa"/>
            <w:tcMar>
              <w:left w:w="105" w:type="dxa"/>
              <w:right w:w="105" w:type="dxa"/>
            </w:tcMar>
            <w:vAlign w:val="center"/>
          </w:tcPr>
          <w:p w14:paraId="7507142A"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 draft</w:t>
            </w:r>
          </w:p>
        </w:tc>
        <w:tc>
          <w:tcPr>
            <w:tcW w:w="4565" w:type="dxa"/>
            <w:tcMar>
              <w:left w:w="105" w:type="dxa"/>
              <w:right w:w="105" w:type="dxa"/>
            </w:tcMar>
            <w:vAlign w:val="center"/>
          </w:tcPr>
          <w:p w14:paraId="7507142B"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December 2022</w:t>
            </w:r>
          </w:p>
        </w:tc>
      </w:tr>
      <w:tr w:rsidR="002B060A" w14:paraId="75071431" w14:textId="77777777" w:rsidTr="001071B4">
        <w:trPr>
          <w:trHeight w:val="300"/>
        </w:trPr>
        <w:tc>
          <w:tcPr>
            <w:tcW w:w="1920" w:type="dxa"/>
            <w:vAlign w:val="center"/>
          </w:tcPr>
          <w:p w14:paraId="7507142D"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2E"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Detailed guidelines on Early Warning and Response System and Risk Mapping dashboard</w:t>
            </w:r>
          </w:p>
        </w:tc>
        <w:tc>
          <w:tcPr>
            <w:tcW w:w="1890" w:type="dxa"/>
            <w:tcMar>
              <w:left w:w="105" w:type="dxa"/>
              <w:right w:w="105" w:type="dxa"/>
            </w:tcMar>
            <w:vAlign w:val="center"/>
          </w:tcPr>
          <w:p w14:paraId="7507142F"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30"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NA</w:t>
            </w:r>
          </w:p>
        </w:tc>
      </w:tr>
      <w:tr w:rsidR="002B060A" w14:paraId="75071436" w14:textId="77777777" w:rsidTr="001071B4">
        <w:trPr>
          <w:trHeight w:val="300"/>
        </w:trPr>
        <w:tc>
          <w:tcPr>
            <w:tcW w:w="1920" w:type="dxa"/>
            <w:vAlign w:val="center"/>
          </w:tcPr>
          <w:p w14:paraId="75071432"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33"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SOP for biological sample collection, transportation, storage, and testing.</w:t>
            </w:r>
          </w:p>
        </w:tc>
        <w:tc>
          <w:tcPr>
            <w:tcW w:w="1890" w:type="dxa"/>
            <w:tcMar>
              <w:left w:w="105" w:type="dxa"/>
              <w:right w:w="105" w:type="dxa"/>
            </w:tcMar>
            <w:vAlign w:val="center"/>
          </w:tcPr>
          <w:p w14:paraId="75071434"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Draft</w:t>
            </w:r>
          </w:p>
        </w:tc>
        <w:tc>
          <w:tcPr>
            <w:tcW w:w="4565" w:type="dxa"/>
            <w:tcMar>
              <w:left w:w="105" w:type="dxa"/>
              <w:right w:w="105" w:type="dxa"/>
            </w:tcMar>
            <w:vAlign w:val="center"/>
          </w:tcPr>
          <w:p w14:paraId="75071435"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December 2023</w:t>
            </w:r>
          </w:p>
        </w:tc>
      </w:tr>
      <w:tr w:rsidR="002B060A" w14:paraId="7507143B" w14:textId="77777777" w:rsidTr="001071B4">
        <w:trPr>
          <w:trHeight w:val="300"/>
        </w:trPr>
        <w:tc>
          <w:tcPr>
            <w:tcW w:w="1920" w:type="dxa"/>
            <w:vAlign w:val="center"/>
          </w:tcPr>
          <w:p w14:paraId="75071437"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38"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Standard Operating Procedure (SOP) for Outbreak Investigation of Climate sensitive Diseases </w:t>
            </w:r>
          </w:p>
        </w:tc>
        <w:tc>
          <w:tcPr>
            <w:tcW w:w="1890" w:type="dxa"/>
            <w:tcMar>
              <w:left w:w="105" w:type="dxa"/>
              <w:right w:w="105" w:type="dxa"/>
            </w:tcMar>
            <w:vAlign w:val="center"/>
          </w:tcPr>
          <w:p w14:paraId="75071439"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3A"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NA</w:t>
            </w:r>
          </w:p>
        </w:tc>
      </w:tr>
      <w:tr w:rsidR="002B060A" w14:paraId="75071440" w14:textId="77777777" w:rsidTr="001071B4">
        <w:trPr>
          <w:trHeight w:val="300"/>
        </w:trPr>
        <w:tc>
          <w:tcPr>
            <w:tcW w:w="1920" w:type="dxa"/>
            <w:tcMar>
              <w:left w:w="105" w:type="dxa"/>
              <w:right w:w="105" w:type="dxa"/>
            </w:tcMar>
            <w:vAlign w:val="center"/>
          </w:tcPr>
          <w:p w14:paraId="7507143C" w14:textId="77777777" w:rsidR="002B060A" w:rsidRPr="00191F00" w:rsidRDefault="006040A7" w:rsidP="00C07A0A">
            <w:pPr>
              <w:rPr>
                <w:rFonts w:ascii="Calibri" w:eastAsia="Calibri" w:hAnsi="Calibri" w:cs="Calibri"/>
                <w:b/>
                <w:bCs/>
                <w:sz w:val="20"/>
                <w:szCs w:val="20"/>
              </w:rPr>
            </w:pPr>
            <w:r w:rsidRPr="00191F00">
              <w:rPr>
                <w:rFonts w:ascii="Calibri" w:eastAsia="Calibri" w:hAnsi="Calibri" w:cs="Calibri"/>
                <w:b/>
                <w:bCs/>
                <w:sz w:val="20"/>
                <w:szCs w:val="20"/>
                <w:lang w:val="en-US"/>
              </w:rPr>
              <w:t>Cambodia</w:t>
            </w:r>
          </w:p>
        </w:tc>
        <w:tc>
          <w:tcPr>
            <w:tcW w:w="5730" w:type="dxa"/>
            <w:tcMar>
              <w:left w:w="105" w:type="dxa"/>
              <w:right w:w="105" w:type="dxa"/>
            </w:tcMar>
            <w:vAlign w:val="center"/>
          </w:tcPr>
          <w:p w14:paraId="7507143D"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SOP for Rapid Diagnostic Test (RDT) for dengue</w:t>
            </w:r>
          </w:p>
        </w:tc>
        <w:tc>
          <w:tcPr>
            <w:tcW w:w="1890" w:type="dxa"/>
            <w:tcMar>
              <w:left w:w="105" w:type="dxa"/>
              <w:right w:w="105" w:type="dxa"/>
            </w:tcMar>
            <w:vAlign w:val="center"/>
          </w:tcPr>
          <w:p w14:paraId="7507143E"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3F" w14:textId="77777777" w:rsidR="002B060A" w:rsidRPr="00ED6FA8" w:rsidRDefault="002B060A" w:rsidP="00C07A0A">
            <w:pPr>
              <w:rPr>
                <w:rFonts w:ascii="Calibri" w:eastAsia="Calibri" w:hAnsi="Calibri" w:cs="Calibri"/>
                <w:sz w:val="20"/>
                <w:szCs w:val="20"/>
              </w:rPr>
            </w:pPr>
          </w:p>
        </w:tc>
      </w:tr>
      <w:tr w:rsidR="002B060A" w14:paraId="75071445" w14:textId="77777777" w:rsidTr="001071B4">
        <w:trPr>
          <w:trHeight w:val="300"/>
        </w:trPr>
        <w:tc>
          <w:tcPr>
            <w:tcW w:w="1920" w:type="dxa"/>
            <w:vAlign w:val="center"/>
          </w:tcPr>
          <w:p w14:paraId="75071441"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42"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SOP for Dengue Surveillance</w:t>
            </w:r>
          </w:p>
        </w:tc>
        <w:tc>
          <w:tcPr>
            <w:tcW w:w="1890" w:type="dxa"/>
            <w:tcMar>
              <w:left w:w="105" w:type="dxa"/>
              <w:right w:w="105" w:type="dxa"/>
            </w:tcMar>
            <w:vAlign w:val="center"/>
          </w:tcPr>
          <w:p w14:paraId="75071443"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44" w14:textId="77777777" w:rsidR="002B060A" w:rsidRPr="00ED6FA8" w:rsidRDefault="002B060A" w:rsidP="00C07A0A">
            <w:pPr>
              <w:rPr>
                <w:rFonts w:ascii="Calibri" w:eastAsia="Calibri" w:hAnsi="Calibri" w:cs="Calibri"/>
                <w:sz w:val="20"/>
                <w:szCs w:val="20"/>
              </w:rPr>
            </w:pPr>
          </w:p>
        </w:tc>
      </w:tr>
      <w:tr w:rsidR="002B060A" w14:paraId="7507144A" w14:textId="77777777" w:rsidTr="001071B4">
        <w:trPr>
          <w:trHeight w:val="300"/>
        </w:trPr>
        <w:tc>
          <w:tcPr>
            <w:tcW w:w="1920" w:type="dxa"/>
            <w:vAlign w:val="center"/>
          </w:tcPr>
          <w:p w14:paraId="75071446"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47"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Health Education Textbooks on Climate Change and Health Environment for teachers and student grades 2, 5, 8, 10 and 11</w:t>
            </w:r>
          </w:p>
        </w:tc>
        <w:tc>
          <w:tcPr>
            <w:tcW w:w="1890" w:type="dxa"/>
            <w:tcMar>
              <w:left w:w="105" w:type="dxa"/>
              <w:right w:w="105" w:type="dxa"/>
            </w:tcMar>
            <w:vAlign w:val="center"/>
          </w:tcPr>
          <w:p w14:paraId="75071448"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49" w14:textId="77777777" w:rsidR="002B060A" w:rsidRPr="00ED6FA8" w:rsidRDefault="002B060A" w:rsidP="00C07A0A">
            <w:pPr>
              <w:rPr>
                <w:rFonts w:ascii="Calibri" w:eastAsia="Calibri" w:hAnsi="Calibri" w:cs="Calibri"/>
                <w:sz w:val="20"/>
                <w:szCs w:val="20"/>
              </w:rPr>
            </w:pPr>
          </w:p>
        </w:tc>
      </w:tr>
      <w:tr w:rsidR="002B060A" w14:paraId="7507144F" w14:textId="77777777" w:rsidTr="001071B4">
        <w:trPr>
          <w:trHeight w:val="300"/>
        </w:trPr>
        <w:tc>
          <w:tcPr>
            <w:tcW w:w="1920" w:type="dxa"/>
            <w:vAlign w:val="center"/>
          </w:tcPr>
          <w:p w14:paraId="7507144B"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4C"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10,000 BCC information, education and communication (BCC IEC) material products (Khmer language) including dengue and diarrhoeal diseases,(ii) posters on the importance of boiling drinking water, (iii) posters on food hygiene, and (iv) posters on mosquito elimination. Final</w:t>
            </w:r>
          </w:p>
        </w:tc>
        <w:tc>
          <w:tcPr>
            <w:tcW w:w="1890" w:type="dxa"/>
            <w:tcMar>
              <w:left w:w="105" w:type="dxa"/>
              <w:right w:w="105" w:type="dxa"/>
            </w:tcMar>
            <w:vAlign w:val="center"/>
          </w:tcPr>
          <w:p w14:paraId="7507144D"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4E" w14:textId="77777777" w:rsidR="002B060A" w:rsidRPr="00ED6FA8" w:rsidRDefault="002B060A" w:rsidP="00C07A0A">
            <w:pPr>
              <w:rPr>
                <w:rFonts w:ascii="Calibri" w:eastAsia="Calibri" w:hAnsi="Calibri" w:cs="Calibri"/>
                <w:sz w:val="20"/>
                <w:szCs w:val="20"/>
              </w:rPr>
            </w:pPr>
          </w:p>
        </w:tc>
      </w:tr>
      <w:tr w:rsidR="002B060A" w14:paraId="75071454" w14:textId="77777777" w:rsidTr="001071B4">
        <w:trPr>
          <w:trHeight w:val="300"/>
        </w:trPr>
        <w:tc>
          <w:tcPr>
            <w:tcW w:w="1920" w:type="dxa"/>
            <w:tcMar>
              <w:left w:w="105" w:type="dxa"/>
              <w:right w:w="105" w:type="dxa"/>
            </w:tcMar>
            <w:vAlign w:val="center"/>
          </w:tcPr>
          <w:p w14:paraId="75071450" w14:textId="77777777" w:rsidR="002B060A" w:rsidRPr="00191F00" w:rsidRDefault="006040A7" w:rsidP="00C07A0A">
            <w:pPr>
              <w:rPr>
                <w:rFonts w:ascii="Calibri" w:eastAsia="Calibri" w:hAnsi="Calibri" w:cs="Calibri"/>
                <w:b/>
                <w:bCs/>
                <w:sz w:val="20"/>
                <w:szCs w:val="20"/>
              </w:rPr>
            </w:pPr>
            <w:r w:rsidRPr="00191F00">
              <w:rPr>
                <w:rFonts w:ascii="Calibri" w:eastAsia="Calibri" w:hAnsi="Calibri" w:cs="Calibri"/>
                <w:b/>
                <w:bCs/>
                <w:sz w:val="20"/>
                <w:szCs w:val="20"/>
                <w:lang w:val="en-US"/>
              </w:rPr>
              <w:t>Lao PDR</w:t>
            </w:r>
          </w:p>
        </w:tc>
        <w:tc>
          <w:tcPr>
            <w:tcW w:w="5730" w:type="dxa"/>
            <w:tcMar>
              <w:left w:w="105" w:type="dxa"/>
              <w:right w:w="105" w:type="dxa"/>
            </w:tcMar>
            <w:vAlign w:val="center"/>
          </w:tcPr>
          <w:p w14:paraId="75071451"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SOPs for cleaning and disinfecting boreholes and wells</w:t>
            </w:r>
          </w:p>
        </w:tc>
        <w:tc>
          <w:tcPr>
            <w:tcW w:w="1890" w:type="dxa"/>
            <w:tcMar>
              <w:left w:w="105" w:type="dxa"/>
              <w:right w:w="105" w:type="dxa"/>
            </w:tcMar>
            <w:vAlign w:val="center"/>
          </w:tcPr>
          <w:p w14:paraId="75071452"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53" w14:textId="77777777" w:rsidR="002B060A" w:rsidRPr="00ED6FA8" w:rsidRDefault="002B060A" w:rsidP="00C07A0A">
            <w:pPr>
              <w:rPr>
                <w:rFonts w:ascii="Calibri" w:eastAsia="Calibri" w:hAnsi="Calibri" w:cs="Calibri"/>
                <w:sz w:val="20"/>
                <w:szCs w:val="20"/>
              </w:rPr>
            </w:pPr>
          </w:p>
        </w:tc>
      </w:tr>
      <w:tr w:rsidR="002B060A" w14:paraId="75071459" w14:textId="77777777" w:rsidTr="001071B4">
        <w:trPr>
          <w:trHeight w:val="300"/>
        </w:trPr>
        <w:tc>
          <w:tcPr>
            <w:tcW w:w="1920" w:type="dxa"/>
            <w:vAlign w:val="center"/>
          </w:tcPr>
          <w:p w14:paraId="75071455"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56"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SOPs for testing residual chlorine, E. coli, pH and turbidity and action for disaster/flood response and preparedness</w:t>
            </w:r>
          </w:p>
        </w:tc>
        <w:tc>
          <w:tcPr>
            <w:tcW w:w="1890" w:type="dxa"/>
            <w:tcMar>
              <w:left w:w="105" w:type="dxa"/>
              <w:right w:w="105" w:type="dxa"/>
            </w:tcMar>
            <w:vAlign w:val="center"/>
          </w:tcPr>
          <w:p w14:paraId="75071457"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58" w14:textId="77777777" w:rsidR="002B060A" w:rsidRPr="00ED6FA8" w:rsidRDefault="002B060A" w:rsidP="00C07A0A">
            <w:pPr>
              <w:rPr>
                <w:rFonts w:ascii="Calibri" w:eastAsia="Calibri" w:hAnsi="Calibri" w:cs="Calibri"/>
                <w:sz w:val="20"/>
                <w:szCs w:val="20"/>
              </w:rPr>
            </w:pPr>
          </w:p>
        </w:tc>
      </w:tr>
      <w:tr w:rsidR="002B060A" w14:paraId="7507145E" w14:textId="77777777" w:rsidTr="001071B4">
        <w:trPr>
          <w:trHeight w:val="300"/>
        </w:trPr>
        <w:tc>
          <w:tcPr>
            <w:tcW w:w="1920" w:type="dxa"/>
            <w:vAlign w:val="center"/>
          </w:tcPr>
          <w:p w14:paraId="7507145A"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5B"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SOPs for prevention and control of water-related diseases and water quality surveillance including climate/weather considerations</w:t>
            </w:r>
          </w:p>
        </w:tc>
        <w:tc>
          <w:tcPr>
            <w:tcW w:w="1890" w:type="dxa"/>
            <w:tcMar>
              <w:left w:w="105" w:type="dxa"/>
              <w:right w:w="105" w:type="dxa"/>
            </w:tcMar>
            <w:vAlign w:val="center"/>
          </w:tcPr>
          <w:p w14:paraId="7507145C"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5D" w14:textId="77777777" w:rsidR="002B060A" w:rsidRPr="00ED6FA8" w:rsidRDefault="002B060A" w:rsidP="00C07A0A">
            <w:pPr>
              <w:rPr>
                <w:rFonts w:ascii="Calibri" w:eastAsia="Calibri" w:hAnsi="Calibri" w:cs="Calibri"/>
                <w:sz w:val="20"/>
                <w:szCs w:val="20"/>
              </w:rPr>
            </w:pPr>
          </w:p>
        </w:tc>
      </w:tr>
      <w:tr w:rsidR="002B060A" w14:paraId="75071463" w14:textId="77777777" w:rsidTr="001071B4">
        <w:trPr>
          <w:trHeight w:val="300"/>
        </w:trPr>
        <w:tc>
          <w:tcPr>
            <w:tcW w:w="1920" w:type="dxa"/>
            <w:vAlign w:val="center"/>
          </w:tcPr>
          <w:p w14:paraId="7507145F"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60"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SOPs on operation, regular check-up and maintenance of new autoclaves purchased as green technology for waste treatment (translated into Lao language)</w:t>
            </w:r>
          </w:p>
        </w:tc>
        <w:tc>
          <w:tcPr>
            <w:tcW w:w="1890" w:type="dxa"/>
            <w:tcMar>
              <w:left w:w="105" w:type="dxa"/>
              <w:right w:w="105" w:type="dxa"/>
            </w:tcMar>
            <w:vAlign w:val="center"/>
          </w:tcPr>
          <w:p w14:paraId="75071461"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62" w14:textId="77777777" w:rsidR="002B060A" w:rsidRPr="00ED6FA8" w:rsidRDefault="002B060A" w:rsidP="00C07A0A">
            <w:pPr>
              <w:rPr>
                <w:rFonts w:ascii="Calibri" w:eastAsia="Calibri" w:hAnsi="Calibri" w:cs="Calibri"/>
                <w:sz w:val="20"/>
                <w:szCs w:val="20"/>
              </w:rPr>
            </w:pPr>
          </w:p>
        </w:tc>
      </w:tr>
      <w:tr w:rsidR="002B060A" w14:paraId="75071468" w14:textId="77777777" w:rsidTr="001071B4">
        <w:trPr>
          <w:trHeight w:val="300"/>
        </w:trPr>
        <w:tc>
          <w:tcPr>
            <w:tcW w:w="1920" w:type="dxa"/>
            <w:vAlign w:val="center"/>
          </w:tcPr>
          <w:p w14:paraId="75071464"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65"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WASH FIT guide, and training presentations been translated and customized for the country context and climate smart green hospitals included in the technical module.  </w:t>
            </w:r>
          </w:p>
        </w:tc>
        <w:tc>
          <w:tcPr>
            <w:tcW w:w="1890" w:type="dxa"/>
            <w:tcMar>
              <w:left w:w="105" w:type="dxa"/>
              <w:right w:w="105" w:type="dxa"/>
            </w:tcMar>
            <w:vAlign w:val="center"/>
          </w:tcPr>
          <w:p w14:paraId="75071466"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67" w14:textId="77777777" w:rsidR="002B060A" w:rsidRPr="00ED6FA8" w:rsidRDefault="002B060A" w:rsidP="00C07A0A">
            <w:pPr>
              <w:rPr>
                <w:rFonts w:ascii="Calibri" w:eastAsia="Calibri" w:hAnsi="Calibri" w:cs="Calibri"/>
                <w:sz w:val="20"/>
                <w:szCs w:val="20"/>
              </w:rPr>
            </w:pPr>
          </w:p>
        </w:tc>
      </w:tr>
      <w:tr w:rsidR="002B060A" w14:paraId="7507146D" w14:textId="77777777" w:rsidTr="001071B4">
        <w:trPr>
          <w:trHeight w:val="300"/>
        </w:trPr>
        <w:tc>
          <w:tcPr>
            <w:tcW w:w="1920" w:type="dxa"/>
            <w:vAlign w:val="center"/>
          </w:tcPr>
          <w:p w14:paraId="75071469"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6A"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Guide for campaigns on climate change and health risks</w:t>
            </w:r>
          </w:p>
        </w:tc>
        <w:tc>
          <w:tcPr>
            <w:tcW w:w="1890" w:type="dxa"/>
            <w:tcMar>
              <w:left w:w="105" w:type="dxa"/>
              <w:right w:w="105" w:type="dxa"/>
            </w:tcMar>
            <w:vAlign w:val="center"/>
          </w:tcPr>
          <w:p w14:paraId="7507146B"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Draft</w:t>
            </w:r>
          </w:p>
        </w:tc>
        <w:tc>
          <w:tcPr>
            <w:tcW w:w="4565" w:type="dxa"/>
            <w:tcMar>
              <w:left w:w="105" w:type="dxa"/>
              <w:right w:w="105" w:type="dxa"/>
            </w:tcMar>
            <w:vAlign w:val="center"/>
          </w:tcPr>
          <w:p w14:paraId="7507146C"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Planned for completion in Q2 2022</w:t>
            </w:r>
          </w:p>
        </w:tc>
      </w:tr>
      <w:tr w:rsidR="002B060A" w14:paraId="75071472" w14:textId="77777777" w:rsidTr="001071B4">
        <w:trPr>
          <w:trHeight w:val="300"/>
        </w:trPr>
        <w:tc>
          <w:tcPr>
            <w:tcW w:w="1920" w:type="dxa"/>
            <w:vAlign w:val="center"/>
          </w:tcPr>
          <w:p w14:paraId="7507146E"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6F"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Incorporation of Climate Resilient Water Safety Plans (CR WSP) into existing WSP training course package.</w:t>
            </w:r>
          </w:p>
        </w:tc>
        <w:tc>
          <w:tcPr>
            <w:tcW w:w="1890" w:type="dxa"/>
            <w:tcMar>
              <w:left w:w="105" w:type="dxa"/>
              <w:right w:w="105" w:type="dxa"/>
            </w:tcMar>
            <w:vAlign w:val="center"/>
          </w:tcPr>
          <w:p w14:paraId="75071470"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71" w14:textId="77777777" w:rsidR="002B060A" w:rsidRPr="00ED6FA8" w:rsidRDefault="002B060A" w:rsidP="00C07A0A">
            <w:pPr>
              <w:rPr>
                <w:rFonts w:ascii="Calibri" w:eastAsia="Calibri" w:hAnsi="Calibri" w:cs="Calibri"/>
                <w:sz w:val="20"/>
                <w:szCs w:val="20"/>
              </w:rPr>
            </w:pPr>
          </w:p>
        </w:tc>
      </w:tr>
      <w:tr w:rsidR="002B060A" w14:paraId="75071477" w14:textId="77777777" w:rsidTr="001071B4">
        <w:trPr>
          <w:trHeight w:val="300"/>
        </w:trPr>
        <w:tc>
          <w:tcPr>
            <w:tcW w:w="1920" w:type="dxa"/>
            <w:vAlign w:val="center"/>
          </w:tcPr>
          <w:p w14:paraId="75071473"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74"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Tool guide for climate smart green hospital was customized for use of central and provincial hospitals</w:t>
            </w:r>
          </w:p>
        </w:tc>
        <w:tc>
          <w:tcPr>
            <w:tcW w:w="1890" w:type="dxa"/>
            <w:tcMar>
              <w:left w:w="105" w:type="dxa"/>
              <w:right w:w="105" w:type="dxa"/>
            </w:tcMar>
            <w:vAlign w:val="center"/>
          </w:tcPr>
          <w:p w14:paraId="75071475"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Draft</w:t>
            </w:r>
          </w:p>
        </w:tc>
        <w:tc>
          <w:tcPr>
            <w:tcW w:w="4565" w:type="dxa"/>
            <w:tcMar>
              <w:left w:w="105" w:type="dxa"/>
              <w:right w:w="105" w:type="dxa"/>
            </w:tcMar>
            <w:vAlign w:val="center"/>
          </w:tcPr>
          <w:p w14:paraId="75071476"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fr-FR"/>
              </w:rPr>
              <w:t>Tentative complétion date: Q3-Q4 2022</w:t>
            </w:r>
          </w:p>
        </w:tc>
      </w:tr>
      <w:tr w:rsidR="002B060A" w14:paraId="7507147C" w14:textId="77777777" w:rsidTr="001071B4">
        <w:trPr>
          <w:trHeight w:val="300"/>
        </w:trPr>
        <w:tc>
          <w:tcPr>
            <w:tcW w:w="1920" w:type="dxa"/>
            <w:vAlign w:val="center"/>
          </w:tcPr>
          <w:p w14:paraId="75071478"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79"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Glossary of 156 climate change terms developed and translated into Lao language</w:t>
            </w:r>
          </w:p>
        </w:tc>
        <w:tc>
          <w:tcPr>
            <w:tcW w:w="1890" w:type="dxa"/>
            <w:tcMar>
              <w:left w:w="105" w:type="dxa"/>
              <w:right w:w="105" w:type="dxa"/>
            </w:tcMar>
            <w:vAlign w:val="center"/>
          </w:tcPr>
          <w:p w14:paraId="7507147A"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7B"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Dissemination workshop planned for Q1 2022</w:t>
            </w:r>
          </w:p>
        </w:tc>
      </w:tr>
      <w:tr w:rsidR="002B060A" w14:paraId="75071481" w14:textId="77777777" w:rsidTr="001071B4">
        <w:trPr>
          <w:trHeight w:val="300"/>
        </w:trPr>
        <w:tc>
          <w:tcPr>
            <w:tcW w:w="1920" w:type="dxa"/>
            <w:vAlign w:val="center"/>
          </w:tcPr>
          <w:p w14:paraId="7507147D"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7E"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A consultation meeting within health sector conducted on 19 August 2022 to discuss on standard operating procedure (SOPs/or guidance  document) for accepting international assistance for health during natural disasters/emergencies. During the meeting ideas and comments were gathered from relevant departments and centers. A final draft of the guidance document has been circulated to all relevant ministries. It has been agreed that a multisectoral meeting will be held in December 2022 to endorse the document.</w:t>
            </w:r>
          </w:p>
        </w:tc>
        <w:tc>
          <w:tcPr>
            <w:tcW w:w="1890" w:type="dxa"/>
            <w:tcMar>
              <w:left w:w="105" w:type="dxa"/>
              <w:right w:w="105" w:type="dxa"/>
            </w:tcMar>
            <w:vAlign w:val="center"/>
          </w:tcPr>
          <w:p w14:paraId="7507147F"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Draft</w:t>
            </w:r>
          </w:p>
        </w:tc>
        <w:tc>
          <w:tcPr>
            <w:tcW w:w="4565" w:type="dxa"/>
            <w:tcMar>
              <w:left w:w="105" w:type="dxa"/>
              <w:right w:w="105" w:type="dxa"/>
            </w:tcMar>
            <w:vAlign w:val="center"/>
          </w:tcPr>
          <w:p w14:paraId="75071480"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Endorsement planned for Q4 2022</w:t>
            </w:r>
          </w:p>
        </w:tc>
      </w:tr>
      <w:tr w:rsidR="002B060A" w14:paraId="75071486" w14:textId="77777777" w:rsidTr="001071B4">
        <w:trPr>
          <w:trHeight w:val="300"/>
        </w:trPr>
        <w:tc>
          <w:tcPr>
            <w:tcW w:w="1920" w:type="dxa"/>
            <w:vAlign w:val="center"/>
          </w:tcPr>
          <w:p w14:paraId="75071482"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83" w14:textId="77777777" w:rsidR="002B060A" w:rsidRDefault="006040A7" w:rsidP="00C07A0A">
            <w:pPr>
              <w:rPr>
                <w:rFonts w:ascii="Calibri" w:eastAsia="Calibri" w:hAnsi="Calibri" w:cs="Calibri"/>
                <w:sz w:val="20"/>
                <w:szCs w:val="20"/>
              </w:rPr>
            </w:pPr>
            <w:r>
              <w:rPr>
                <w:rFonts w:ascii="Calibri" w:eastAsia="Calibri" w:hAnsi="Calibri" w:cs="Calibri"/>
                <w:sz w:val="20"/>
                <w:szCs w:val="20"/>
                <w:lang w:val="en-US"/>
              </w:rPr>
              <w:t>HNAP in Lao language</w:t>
            </w:r>
          </w:p>
        </w:tc>
        <w:tc>
          <w:tcPr>
            <w:tcW w:w="1890" w:type="dxa"/>
            <w:tcMar>
              <w:left w:w="105" w:type="dxa"/>
              <w:right w:w="105" w:type="dxa"/>
            </w:tcMar>
            <w:vAlign w:val="center"/>
          </w:tcPr>
          <w:p w14:paraId="75071484" w14:textId="77777777" w:rsidR="002B060A" w:rsidRDefault="006040A7" w:rsidP="00C07A0A">
            <w:pPr>
              <w:rPr>
                <w:rFonts w:ascii="Calibri" w:eastAsia="Calibri" w:hAnsi="Calibri" w:cs="Calibri"/>
                <w:sz w:val="20"/>
                <w:szCs w:val="20"/>
              </w:rPr>
            </w:pPr>
            <w:r>
              <w:rPr>
                <w:rFonts w:ascii="Calibri" w:eastAsia="Calibri" w:hAnsi="Calibri" w:cs="Calibri"/>
                <w:sz w:val="20"/>
                <w:szCs w:val="20"/>
                <w:lang w:val="en-US"/>
              </w:rPr>
              <w:t>Final draft</w:t>
            </w:r>
          </w:p>
        </w:tc>
        <w:tc>
          <w:tcPr>
            <w:tcW w:w="4565" w:type="dxa"/>
            <w:tcMar>
              <w:left w:w="105" w:type="dxa"/>
              <w:right w:w="105" w:type="dxa"/>
            </w:tcMar>
            <w:vAlign w:val="center"/>
          </w:tcPr>
          <w:p w14:paraId="75071485" w14:textId="77777777" w:rsidR="002B060A" w:rsidRDefault="006040A7" w:rsidP="00C07A0A">
            <w:pPr>
              <w:rPr>
                <w:rFonts w:ascii="Calibri" w:eastAsia="Calibri" w:hAnsi="Calibri" w:cs="Calibri"/>
                <w:sz w:val="20"/>
                <w:szCs w:val="20"/>
              </w:rPr>
            </w:pPr>
            <w:r>
              <w:rPr>
                <w:rFonts w:ascii="Calibri" w:eastAsia="Calibri" w:hAnsi="Calibri" w:cs="Calibri"/>
                <w:sz w:val="20"/>
                <w:szCs w:val="20"/>
                <w:lang w:val="en-US"/>
              </w:rPr>
              <w:t>2023</w:t>
            </w:r>
          </w:p>
        </w:tc>
      </w:tr>
      <w:tr w:rsidR="002B060A" w14:paraId="7507148B" w14:textId="77777777" w:rsidTr="001071B4">
        <w:trPr>
          <w:trHeight w:val="300"/>
        </w:trPr>
        <w:tc>
          <w:tcPr>
            <w:tcW w:w="1920" w:type="dxa"/>
            <w:tcMar>
              <w:left w:w="105" w:type="dxa"/>
              <w:right w:w="105" w:type="dxa"/>
            </w:tcMar>
            <w:vAlign w:val="center"/>
          </w:tcPr>
          <w:p w14:paraId="75071487" w14:textId="77777777" w:rsidR="002B060A" w:rsidRPr="00191F00" w:rsidRDefault="002B060A" w:rsidP="00C07A0A">
            <w:pPr>
              <w:rPr>
                <w:rFonts w:ascii="Calibri" w:eastAsia="Calibri" w:hAnsi="Calibri" w:cs="Calibri"/>
                <w:b/>
                <w:bCs/>
                <w:sz w:val="20"/>
                <w:szCs w:val="20"/>
              </w:rPr>
            </w:pPr>
          </w:p>
        </w:tc>
        <w:tc>
          <w:tcPr>
            <w:tcW w:w="5730" w:type="dxa"/>
            <w:tcMar>
              <w:left w:w="105" w:type="dxa"/>
              <w:right w:w="105" w:type="dxa"/>
            </w:tcMar>
            <w:vAlign w:val="center"/>
          </w:tcPr>
          <w:p w14:paraId="75071488" w14:textId="77777777" w:rsidR="002B060A" w:rsidRDefault="006040A7" w:rsidP="00C07A0A">
            <w:pPr>
              <w:rPr>
                <w:rFonts w:ascii="Calibri" w:eastAsia="Calibri" w:hAnsi="Calibri" w:cs="Calibri"/>
                <w:sz w:val="20"/>
                <w:szCs w:val="20"/>
              </w:rPr>
            </w:pPr>
            <w:r>
              <w:rPr>
                <w:rFonts w:ascii="Calibri" w:eastAsia="Calibri" w:hAnsi="Calibri" w:cs="Calibri"/>
                <w:sz w:val="20"/>
                <w:szCs w:val="20"/>
                <w:lang w:val="en-US"/>
              </w:rPr>
              <w:t>Textbook on climate change and health for public health, medical and postgraduate students (attached - see verification document 04. LAO Q1 23)</w:t>
            </w:r>
          </w:p>
        </w:tc>
        <w:tc>
          <w:tcPr>
            <w:tcW w:w="1890" w:type="dxa"/>
            <w:tcMar>
              <w:left w:w="105" w:type="dxa"/>
              <w:right w:w="105" w:type="dxa"/>
            </w:tcMar>
            <w:vAlign w:val="center"/>
          </w:tcPr>
          <w:p w14:paraId="75071489" w14:textId="77777777" w:rsidR="002B060A" w:rsidRDefault="006040A7" w:rsidP="00C07A0A">
            <w:pPr>
              <w:rPr>
                <w:rFonts w:ascii="Calibri" w:eastAsia="Calibri" w:hAnsi="Calibri" w:cs="Calibri"/>
                <w:sz w:val="20"/>
                <w:szCs w:val="20"/>
              </w:rPr>
            </w:pPr>
            <w:r>
              <w:rPr>
                <w:rFonts w:ascii="Calibri" w:eastAsia="Calibri" w:hAnsi="Calibri" w:cs="Calibri"/>
                <w:sz w:val="20"/>
                <w:szCs w:val="20"/>
                <w:lang w:val="en-US"/>
              </w:rPr>
              <w:t>Final</w:t>
            </w:r>
          </w:p>
        </w:tc>
        <w:tc>
          <w:tcPr>
            <w:tcW w:w="4565" w:type="dxa"/>
            <w:tcMar>
              <w:left w:w="105" w:type="dxa"/>
              <w:right w:w="105" w:type="dxa"/>
            </w:tcMar>
            <w:vAlign w:val="center"/>
          </w:tcPr>
          <w:p w14:paraId="7507148A" w14:textId="77777777" w:rsidR="002B060A" w:rsidRDefault="006040A7" w:rsidP="00C07A0A">
            <w:pPr>
              <w:rPr>
                <w:rFonts w:ascii="Calibri" w:eastAsia="Calibri" w:hAnsi="Calibri" w:cs="Calibri"/>
                <w:sz w:val="20"/>
                <w:szCs w:val="20"/>
              </w:rPr>
            </w:pPr>
            <w:r>
              <w:rPr>
                <w:rFonts w:ascii="Calibri" w:eastAsia="Calibri" w:hAnsi="Calibri" w:cs="Calibri"/>
                <w:sz w:val="20"/>
                <w:szCs w:val="20"/>
                <w:lang w:val="en-US"/>
              </w:rPr>
              <w:t>2023</w:t>
            </w:r>
          </w:p>
        </w:tc>
      </w:tr>
      <w:tr w:rsidR="002B060A" w14:paraId="75071490" w14:textId="77777777" w:rsidTr="001071B4">
        <w:trPr>
          <w:trHeight w:val="300"/>
        </w:trPr>
        <w:tc>
          <w:tcPr>
            <w:tcW w:w="1920" w:type="dxa"/>
            <w:tcMar>
              <w:left w:w="105" w:type="dxa"/>
              <w:right w:w="105" w:type="dxa"/>
            </w:tcMar>
            <w:vAlign w:val="center"/>
          </w:tcPr>
          <w:p w14:paraId="7507148C" w14:textId="77777777" w:rsidR="002B060A" w:rsidRPr="00191F00" w:rsidRDefault="006040A7" w:rsidP="00C07A0A">
            <w:pPr>
              <w:rPr>
                <w:rFonts w:ascii="Calibri" w:eastAsia="Calibri" w:hAnsi="Calibri" w:cs="Calibri"/>
                <w:b/>
                <w:bCs/>
                <w:sz w:val="20"/>
                <w:szCs w:val="20"/>
              </w:rPr>
            </w:pPr>
            <w:r w:rsidRPr="00191F00">
              <w:rPr>
                <w:rFonts w:ascii="Calibri" w:eastAsia="Calibri" w:hAnsi="Calibri" w:cs="Calibri"/>
                <w:b/>
                <w:bCs/>
                <w:sz w:val="20"/>
                <w:szCs w:val="20"/>
                <w:lang w:val="en-US"/>
              </w:rPr>
              <w:t>Myanmar</w:t>
            </w:r>
          </w:p>
        </w:tc>
        <w:tc>
          <w:tcPr>
            <w:tcW w:w="5730" w:type="dxa"/>
            <w:tcMar>
              <w:left w:w="105" w:type="dxa"/>
              <w:right w:w="105" w:type="dxa"/>
            </w:tcMar>
            <w:vAlign w:val="center"/>
          </w:tcPr>
          <w:p w14:paraId="7507148D"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Standards for early detection and surveillance systems that include weather/climate data for Malaria, Dengue, Hemorrhagic Fever, Japanese Encephalitis</w:t>
            </w:r>
          </w:p>
        </w:tc>
        <w:tc>
          <w:tcPr>
            <w:tcW w:w="1890" w:type="dxa"/>
            <w:tcMar>
              <w:left w:w="105" w:type="dxa"/>
              <w:right w:w="105" w:type="dxa"/>
            </w:tcMar>
            <w:vAlign w:val="center"/>
          </w:tcPr>
          <w:p w14:paraId="7507148E" w14:textId="77777777" w:rsidR="002B060A" w:rsidRPr="00ED6FA8" w:rsidRDefault="002B060A" w:rsidP="00C07A0A">
            <w:pPr>
              <w:rPr>
                <w:rFonts w:ascii="Calibri" w:eastAsia="Calibri" w:hAnsi="Calibri" w:cs="Calibri"/>
                <w:sz w:val="20"/>
                <w:szCs w:val="20"/>
              </w:rPr>
            </w:pPr>
          </w:p>
        </w:tc>
        <w:tc>
          <w:tcPr>
            <w:tcW w:w="4565" w:type="dxa"/>
            <w:tcMar>
              <w:left w:w="105" w:type="dxa"/>
              <w:right w:w="105" w:type="dxa"/>
            </w:tcMar>
            <w:vAlign w:val="center"/>
          </w:tcPr>
          <w:p w14:paraId="7507148F" w14:textId="77777777" w:rsidR="002B060A" w:rsidRPr="00ED6FA8" w:rsidRDefault="002B060A" w:rsidP="00C07A0A">
            <w:pPr>
              <w:rPr>
                <w:rFonts w:ascii="Calibri" w:eastAsia="Calibri" w:hAnsi="Calibri" w:cs="Calibri"/>
                <w:sz w:val="20"/>
                <w:szCs w:val="20"/>
              </w:rPr>
            </w:pPr>
          </w:p>
        </w:tc>
      </w:tr>
      <w:tr w:rsidR="002B060A" w14:paraId="75071495" w14:textId="77777777" w:rsidTr="001071B4">
        <w:trPr>
          <w:trHeight w:val="300"/>
        </w:trPr>
        <w:tc>
          <w:tcPr>
            <w:tcW w:w="1920" w:type="dxa"/>
            <w:vAlign w:val="center"/>
          </w:tcPr>
          <w:p w14:paraId="75071491"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92"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National guidelines on minimal requirements for WASH in HCF</w:t>
            </w:r>
          </w:p>
        </w:tc>
        <w:tc>
          <w:tcPr>
            <w:tcW w:w="1890" w:type="dxa"/>
            <w:tcMar>
              <w:left w:w="105" w:type="dxa"/>
              <w:right w:w="105" w:type="dxa"/>
            </w:tcMar>
            <w:vAlign w:val="center"/>
          </w:tcPr>
          <w:p w14:paraId="75071493"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Draft</w:t>
            </w:r>
          </w:p>
        </w:tc>
        <w:tc>
          <w:tcPr>
            <w:tcW w:w="4565" w:type="dxa"/>
            <w:tcMar>
              <w:left w:w="105" w:type="dxa"/>
              <w:right w:w="105" w:type="dxa"/>
            </w:tcMar>
            <w:vAlign w:val="center"/>
          </w:tcPr>
          <w:p w14:paraId="75071494"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Early 2022</w:t>
            </w:r>
          </w:p>
        </w:tc>
      </w:tr>
      <w:tr w:rsidR="002B060A" w14:paraId="7507149A" w14:textId="77777777" w:rsidTr="001071B4">
        <w:trPr>
          <w:trHeight w:val="300"/>
        </w:trPr>
        <w:tc>
          <w:tcPr>
            <w:tcW w:w="1920" w:type="dxa"/>
            <w:vAlign w:val="center"/>
          </w:tcPr>
          <w:p w14:paraId="75071496"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97"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National Rural Sanitation and Hygiene Policy (incorporating Climate Change)</w:t>
            </w:r>
          </w:p>
        </w:tc>
        <w:tc>
          <w:tcPr>
            <w:tcW w:w="1890" w:type="dxa"/>
            <w:tcMar>
              <w:left w:w="105" w:type="dxa"/>
              <w:right w:w="105" w:type="dxa"/>
            </w:tcMar>
            <w:vAlign w:val="center"/>
          </w:tcPr>
          <w:p w14:paraId="75071498"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Draft</w:t>
            </w:r>
          </w:p>
        </w:tc>
        <w:tc>
          <w:tcPr>
            <w:tcW w:w="4565" w:type="dxa"/>
            <w:tcMar>
              <w:left w:w="105" w:type="dxa"/>
              <w:right w:w="105" w:type="dxa"/>
            </w:tcMar>
            <w:vAlign w:val="center"/>
          </w:tcPr>
          <w:p w14:paraId="75071499"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2022</w:t>
            </w:r>
          </w:p>
        </w:tc>
      </w:tr>
      <w:tr w:rsidR="002B060A" w14:paraId="7507149F" w14:textId="77777777" w:rsidTr="001071B4">
        <w:trPr>
          <w:trHeight w:val="300"/>
        </w:trPr>
        <w:tc>
          <w:tcPr>
            <w:tcW w:w="1920" w:type="dxa"/>
            <w:vAlign w:val="center"/>
          </w:tcPr>
          <w:p w14:paraId="7507149B"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9C"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National Malaria Control Programme Strategy (2021-2025) includes a dedicated section on climate change and malaria.  </w:t>
            </w:r>
          </w:p>
        </w:tc>
        <w:tc>
          <w:tcPr>
            <w:tcW w:w="1890" w:type="dxa"/>
            <w:tcMar>
              <w:left w:w="105" w:type="dxa"/>
              <w:right w:w="105" w:type="dxa"/>
            </w:tcMar>
            <w:vAlign w:val="center"/>
          </w:tcPr>
          <w:p w14:paraId="7507149D"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9E" w14:textId="77777777" w:rsidR="002B060A" w:rsidRPr="00ED6FA8" w:rsidRDefault="002B060A" w:rsidP="00C07A0A">
            <w:pPr>
              <w:rPr>
                <w:rFonts w:ascii="Calibri" w:eastAsia="Calibri" w:hAnsi="Calibri" w:cs="Calibri"/>
                <w:sz w:val="20"/>
                <w:szCs w:val="20"/>
              </w:rPr>
            </w:pPr>
          </w:p>
        </w:tc>
      </w:tr>
      <w:tr w:rsidR="002B060A" w14:paraId="750714A4" w14:textId="77777777" w:rsidTr="001071B4">
        <w:trPr>
          <w:trHeight w:val="300"/>
        </w:trPr>
        <w:tc>
          <w:tcPr>
            <w:tcW w:w="1920" w:type="dxa"/>
            <w:tcMar>
              <w:left w:w="105" w:type="dxa"/>
              <w:right w:w="105" w:type="dxa"/>
            </w:tcMar>
            <w:vAlign w:val="center"/>
          </w:tcPr>
          <w:p w14:paraId="750714A0" w14:textId="77777777" w:rsidR="002B060A" w:rsidRPr="00191F00" w:rsidRDefault="006040A7" w:rsidP="00C07A0A">
            <w:pPr>
              <w:rPr>
                <w:rFonts w:ascii="Calibri" w:eastAsia="Calibri" w:hAnsi="Calibri" w:cs="Calibri"/>
                <w:b/>
                <w:bCs/>
                <w:sz w:val="20"/>
                <w:szCs w:val="20"/>
              </w:rPr>
            </w:pPr>
            <w:r w:rsidRPr="00191F00">
              <w:rPr>
                <w:rFonts w:ascii="Calibri" w:eastAsia="Calibri" w:hAnsi="Calibri" w:cs="Calibri"/>
                <w:b/>
                <w:bCs/>
                <w:sz w:val="20"/>
                <w:szCs w:val="20"/>
                <w:lang w:val="en-US"/>
              </w:rPr>
              <w:t>Nepal</w:t>
            </w:r>
          </w:p>
        </w:tc>
        <w:tc>
          <w:tcPr>
            <w:tcW w:w="5730" w:type="dxa"/>
            <w:tcMar>
              <w:left w:w="105" w:type="dxa"/>
              <w:right w:w="105" w:type="dxa"/>
            </w:tcMar>
            <w:vAlign w:val="center"/>
          </w:tcPr>
          <w:p w14:paraId="750714A1"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Baseline Assessment of the Ministry of Health and Population and other Key Ministerial Staff’s Knowledge on the Relationship between Climate Change and Health and Climate Sensitive Diseases and Risks</w:t>
            </w:r>
          </w:p>
        </w:tc>
        <w:tc>
          <w:tcPr>
            <w:tcW w:w="1890" w:type="dxa"/>
            <w:tcMar>
              <w:left w:w="105" w:type="dxa"/>
              <w:right w:w="105" w:type="dxa"/>
            </w:tcMar>
            <w:vAlign w:val="center"/>
          </w:tcPr>
          <w:p w14:paraId="750714A2"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A3" w14:textId="77777777" w:rsidR="002B060A" w:rsidRPr="00ED6FA8" w:rsidRDefault="002B060A" w:rsidP="00C07A0A">
            <w:pPr>
              <w:rPr>
                <w:rFonts w:ascii="Calibri" w:eastAsia="Calibri" w:hAnsi="Calibri" w:cs="Calibri"/>
                <w:sz w:val="20"/>
                <w:szCs w:val="20"/>
              </w:rPr>
            </w:pPr>
          </w:p>
        </w:tc>
      </w:tr>
      <w:tr w:rsidR="002B060A" w14:paraId="750714A9" w14:textId="77777777" w:rsidTr="001071B4">
        <w:trPr>
          <w:trHeight w:val="300"/>
        </w:trPr>
        <w:tc>
          <w:tcPr>
            <w:tcW w:w="1920" w:type="dxa"/>
            <w:vAlign w:val="center"/>
          </w:tcPr>
          <w:p w14:paraId="750714A5"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A6"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Guidelines on water quality surveillance and water quality standards.</w:t>
            </w:r>
          </w:p>
        </w:tc>
        <w:tc>
          <w:tcPr>
            <w:tcW w:w="1890" w:type="dxa"/>
            <w:tcMar>
              <w:left w:w="105" w:type="dxa"/>
              <w:right w:w="105" w:type="dxa"/>
            </w:tcMar>
            <w:vAlign w:val="center"/>
          </w:tcPr>
          <w:p w14:paraId="750714A7"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A8" w14:textId="77777777" w:rsidR="002B060A" w:rsidRPr="00ED6FA8" w:rsidRDefault="002B060A" w:rsidP="00C07A0A">
            <w:pPr>
              <w:rPr>
                <w:rFonts w:ascii="Calibri" w:eastAsia="Calibri" w:hAnsi="Calibri" w:cs="Calibri"/>
                <w:sz w:val="20"/>
                <w:szCs w:val="20"/>
              </w:rPr>
            </w:pPr>
          </w:p>
        </w:tc>
      </w:tr>
      <w:tr w:rsidR="002B060A" w14:paraId="750714AE" w14:textId="77777777" w:rsidTr="001071B4">
        <w:trPr>
          <w:trHeight w:val="300"/>
        </w:trPr>
        <w:tc>
          <w:tcPr>
            <w:tcW w:w="1920" w:type="dxa"/>
            <w:vAlign w:val="center"/>
          </w:tcPr>
          <w:p w14:paraId="750714AA"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AB"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Environmental health related technical guidelines in the COVID-19 context mainly in relation to water, sanitation and hygiene (includes strengthening WASH services by enhancing preparedness and response during extreme weather events)</w:t>
            </w:r>
          </w:p>
        </w:tc>
        <w:tc>
          <w:tcPr>
            <w:tcW w:w="1890" w:type="dxa"/>
            <w:tcMar>
              <w:left w:w="105" w:type="dxa"/>
              <w:right w:w="105" w:type="dxa"/>
            </w:tcMar>
            <w:vAlign w:val="center"/>
          </w:tcPr>
          <w:p w14:paraId="750714AC"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AD" w14:textId="77777777" w:rsidR="002B060A" w:rsidRPr="00ED6FA8" w:rsidRDefault="002B060A" w:rsidP="00C07A0A">
            <w:pPr>
              <w:rPr>
                <w:rFonts w:ascii="Calibri" w:eastAsia="Calibri" w:hAnsi="Calibri" w:cs="Calibri"/>
                <w:sz w:val="20"/>
                <w:szCs w:val="20"/>
              </w:rPr>
            </w:pPr>
          </w:p>
        </w:tc>
      </w:tr>
      <w:tr w:rsidR="002B060A" w14:paraId="750714B3" w14:textId="77777777" w:rsidTr="001071B4">
        <w:trPr>
          <w:trHeight w:val="300"/>
        </w:trPr>
        <w:tc>
          <w:tcPr>
            <w:tcW w:w="1920" w:type="dxa"/>
            <w:vAlign w:val="center"/>
          </w:tcPr>
          <w:p w14:paraId="750714AF"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B0"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Revised standards on drinking water quality</w:t>
            </w:r>
          </w:p>
        </w:tc>
        <w:tc>
          <w:tcPr>
            <w:tcW w:w="1890" w:type="dxa"/>
            <w:tcMar>
              <w:left w:w="105" w:type="dxa"/>
              <w:right w:w="105" w:type="dxa"/>
            </w:tcMar>
            <w:vAlign w:val="center"/>
          </w:tcPr>
          <w:p w14:paraId="750714B1"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B2" w14:textId="77777777" w:rsidR="002B060A" w:rsidRPr="00ED6FA8" w:rsidRDefault="002B060A" w:rsidP="00C07A0A">
            <w:pPr>
              <w:rPr>
                <w:rFonts w:ascii="Calibri" w:eastAsia="Calibri" w:hAnsi="Calibri" w:cs="Calibri"/>
                <w:sz w:val="20"/>
                <w:szCs w:val="20"/>
              </w:rPr>
            </w:pPr>
          </w:p>
        </w:tc>
      </w:tr>
      <w:tr w:rsidR="002B060A" w14:paraId="750714B8" w14:textId="77777777" w:rsidTr="001071B4">
        <w:trPr>
          <w:trHeight w:val="300"/>
        </w:trPr>
        <w:tc>
          <w:tcPr>
            <w:tcW w:w="1920" w:type="dxa"/>
            <w:vAlign w:val="center"/>
          </w:tcPr>
          <w:p w14:paraId="750714B4"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B5"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Operational manual for climate sensitive disease surveillance</w:t>
            </w:r>
          </w:p>
        </w:tc>
        <w:tc>
          <w:tcPr>
            <w:tcW w:w="1890" w:type="dxa"/>
            <w:tcMar>
              <w:left w:w="105" w:type="dxa"/>
              <w:right w:w="105" w:type="dxa"/>
            </w:tcMar>
            <w:vAlign w:val="center"/>
          </w:tcPr>
          <w:p w14:paraId="750714B6"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Draft</w:t>
            </w:r>
          </w:p>
        </w:tc>
        <w:tc>
          <w:tcPr>
            <w:tcW w:w="4565" w:type="dxa"/>
            <w:tcMar>
              <w:left w:w="105" w:type="dxa"/>
              <w:right w:w="105" w:type="dxa"/>
            </w:tcMar>
            <w:vAlign w:val="center"/>
          </w:tcPr>
          <w:p w14:paraId="750714B7"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2023</w:t>
            </w:r>
          </w:p>
        </w:tc>
      </w:tr>
      <w:tr w:rsidR="002B060A" w14:paraId="750714BD" w14:textId="77777777" w:rsidTr="001071B4">
        <w:trPr>
          <w:trHeight w:val="300"/>
        </w:trPr>
        <w:tc>
          <w:tcPr>
            <w:tcW w:w="1920" w:type="dxa"/>
            <w:vAlign w:val="center"/>
          </w:tcPr>
          <w:p w14:paraId="750714B9"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BA"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Learning resource package (LRP) on climate resilient water safety plan (CR-WSP)</w:t>
            </w:r>
          </w:p>
        </w:tc>
        <w:tc>
          <w:tcPr>
            <w:tcW w:w="1890" w:type="dxa"/>
            <w:tcMar>
              <w:left w:w="105" w:type="dxa"/>
              <w:right w:w="105" w:type="dxa"/>
            </w:tcMar>
            <w:vAlign w:val="center"/>
          </w:tcPr>
          <w:p w14:paraId="750714BB"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BC"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2023 </w:t>
            </w:r>
          </w:p>
        </w:tc>
      </w:tr>
      <w:tr w:rsidR="002B060A" w14:paraId="750714C2" w14:textId="77777777" w:rsidTr="001071B4">
        <w:trPr>
          <w:trHeight w:val="300"/>
        </w:trPr>
        <w:tc>
          <w:tcPr>
            <w:tcW w:w="1920" w:type="dxa"/>
            <w:vAlign w:val="center"/>
          </w:tcPr>
          <w:p w14:paraId="750714BE"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BF"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Training manual on climate change and health at local level</w:t>
            </w:r>
          </w:p>
        </w:tc>
        <w:tc>
          <w:tcPr>
            <w:tcW w:w="1890" w:type="dxa"/>
            <w:tcMar>
              <w:left w:w="105" w:type="dxa"/>
              <w:right w:w="105" w:type="dxa"/>
            </w:tcMar>
            <w:vAlign w:val="center"/>
          </w:tcPr>
          <w:p w14:paraId="750714C0"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C1"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2023 </w:t>
            </w:r>
          </w:p>
        </w:tc>
      </w:tr>
      <w:tr w:rsidR="002B060A" w14:paraId="750714C7" w14:textId="77777777" w:rsidTr="001071B4">
        <w:trPr>
          <w:trHeight w:val="300"/>
        </w:trPr>
        <w:tc>
          <w:tcPr>
            <w:tcW w:w="1920" w:type="dxa"/>
            <w:tcMar>
              <w:left w:w="105" w:type="dxa"/>
              <w:right w:w="105" w:type="dxa"/>
            </w:tcMar>
            <w:vAlign w:val="center"/>
          </w:tcPr>
          <w:p w14:paraId="750714C3" w14:textId="77777777" w:rsidR="002B060A" w:rsidRPr="00191F00" w:rsidRDefault="006040A7" w:rsidP="00C07A0A">
            <w:pPr>
              <w:rPr>
                <w:rFonts w:ascii="Calibri" w:eastAsia="Calibri" w:hAnsi="Calibri" w:cs="Calibri"/>
                <w:b/>
                <w:bCs/>
                <w:sz w:val="20"/>
                <w:szCs w:val="20"/>
              </w:rPr>
            </w:pPr>
            <w:r w:rsidRPr="00191F00">
              <w:rPr>
                <w:rFonts w:ascii="Calibri" w:eastAsia="Calibri" w:hAnsi="Calibri" w:cs="Calibri"/>
                <w:b/>
                <w:bCs/>
                <w:sz w:val="20"/>
                <w:szCs w:val="20"/>
                <w:lang w:val="en-US"/>
              </w:rPr>
              <w:t>Timor-Leste</w:t>
            </w:r>
          </w:p>
        </w:tc>
        <w:tc>
          <w:tcPr>
            <w:tcW w:w="5730" w:type="dxa"/>
            <w:tcMar>
              <w:left w:w="105" w:type="dxa"/>
              <w:right w:w="105" w:type="dxa"/>
            </w:tcMar>
            <w:vAlign w:val="center"/>
          </w:tcPr>
          <w:p w14:paraId="750714C4"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National Strategy for Environmental Health and Climate Change 2020-2024 drafted.</w:t>
            </w:r>
          </w:p>
        </w:tc>
        <w:tc>
          <w:tcPr>
            <w:tcW w:w="1890" w:type="dxa"/>
            <w:tcMar>
              <w:left w:w="105" w:type="dxa"/>
              <w:right w:w="105" w:type="dxa"/>
            </w:tcMar>
            <w:vAlign w:val="center"/>
          </w:tcPr>
          <w:p w14:paraId="750714C5"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 draft</w:t>
            </w:r>
          </w:p>
        </w:tc>
        <w:tc>
          <w:tcPr>
            <w:tcW w:w="4565" w:type="dxa"/>
            <w:tcMar>
              <w:left w:w="105" w:type="dxa"/>
              <w:right w:w="105" w:type="dxa"/>
            </w:tcMar>
            <w:vAlign w:val="center"/>
          </w:tcPr>
          <w:p w14:paraId="750714C6" w14:textId="77777777" w:rsidR="002B060A" w:rsidRPr="00ED6FA8" w:rsidRDefault="002B060A" w:rsidP="00C07A0A">
            <w:pPr>
              <w:rPr>
                <w:rFonts w:ascii="Calibri" w:eastAsia="Calibri" w:hAnsi="Calibri" w:cs="Calibri"/>
                <w:sz w:val="20"/>
                <w:szCs w:val="20"/>
              </w:rPr>
            </w:pPr>
          </w:p>
        </w:tc>
      </w:tr>
      <w:tr w:rsidR="002B060A" w14:paraId="750714CC" w14:textId="77777777" w:rsidTr="001071B4">
        <w:trPr>
          <w:trHeight w:val="300"/>
        </w:trPr>
        <w:tc>
          <w:tcPr>
            <w:tcW w:w="1920" w:type="dxa"/>
            <w:vAlign w:val="center"/>
          </w:tcPr>
          <w:p w14:paraId="750714C8"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C9"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National Strategy for Environmental Health </w:t>
            </w:r>
          </w:p>
        </w:tc>
        <w:tc>
          <w:tcPr>
            <w:tcW w:w="1890" w:type="dxa"/>
            <w:tcMar>
              <w:left w:w="105" w:type="dxa"/>
              <w:right w:w="105" w:type="dxa"/>
            </w:tcMar>
            <w:vAlign w:val="center"/>
          </w:tcPr>
          <w:p w14:paraId="750714CA"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Launched </w:t>
            </w:r>
          </w:p>
        </w:tc>
        <w:tc>
          <w:tcPr>
            <w:tcW w:w="4565" w:type="dxa"/>
            <w:tcMar>
              <w:left w:w="105" w:type="dxa"/>
              <w:right w:w="105" w:type="dxa"/>
            </w:tcMar>
            <w:vAlign w:val="center"/>
          </w:tcPr>
          <w:p w14:paraId="750714CB"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WHD, 7 April 2022</w:t>
            </w:r>
          </w:p>
        </w:tc>
      </w:tr>
      <w:tr w:rsidR="002B060A" w14:paraId="750714D1" w14:textId="77777777" w:rsidTr="001071B4">
        <w:trPr>
          <w:trHeight w:val="300"/>
        </w:trPr>
        <w:tc>
          <w:tcPr>
            <w:tcW w:w="1920" w:type="dxa"/>
            <w:vAlign w:val="center"/>
          </w:tcPr>
          <w:p w14:paraId="750714CD"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CE"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Health National Adaptation Plan for Climate Change (H-NAP)</w:t>
            </w:r>
          </w:p>
        </w:tc>
        <w:tc>
          <w:tcPr>
            <w:tcW w:w="1890" w:type="dxa"/>
            <w:tcMar>
              <w:left w:w="105" w:type="dxa"/>
              <w:right w:w="105" w:type="dxa"/>
            </w:tcMar>
            <w:vAlign w:val="center"/>
          </w:tcPr>
          <w:p w14:paraId="750714CF"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Launched</w:t>
            </w:r>
          </w:p>
        </w:tc>
        <w:tc>
          <w:tcPr>
            <w:tcW w:w="4565" w:type="dxa"/>
            <w:tcMar>
              <w:left w:w="105" w:type="dxa"/>
              <w:right w:w="105" w:type="dxa"/>
            </w:tcMar>
            <w:vAlign w:val="center"/>
          </w:tcPr>
          <w:p w14:paraId="750714D0"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WHD, 7 April 2022</w:t>
            </w:r>
          </w:p>
        </w:tc>
      </w:tr>
      <w:tr w:rsidR="002B060A" w14:paraId="750714D6" w14:textId="77777777" w:rsidTr="001071B4">
        <w:trPr>
          <w:trHeight w:val="300"/>
        </w:trPr>
        <w:tc>
          <w:tcPr>
            <w:tcW w:w="1920" w:type="dxa"/>
            <w:vAlign w:val="center"/>
          </w:tcPr>
          <w:p w14:paraId="750714D2"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D3"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National Guidelines for Health Care Waste Management </w:t>
            </w:r>
          </w:p>
        </w:tc>
        <w:tc>
          <w:tcPr>
            <w:tcW w:w="1890" w:type="dxa"/>
            <w:tcMar>
              <w:left w:w="105" w:type="dxa"/>
              <w:right w:w="105" w:type="dxa"/>
            </w:tcMar>
            <w:vAlign w:val="center"/>
          </w:tcPr>
          <w:p w14:paraId="750714D4"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Launched </w:t>
            </w:r>
          </w:p>
        </w:tc>
        <w:tc>
          <w:tcPr>
            <w:tcW w:w="4565" w:type="dxa"/>
            <w:tcMar>
              <w:left w:w="105" w:type="dxa"/>
              <w:right w:w="105" w:type="dxa"/>
            </w:tcMar>
            <w:vAlign w:val="center"/>
          </w:tcPr>
          <w:p w14:paraId="750714D5"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WHD, 7 April 2022</w:t>
            </w:r>
          </w:p>
        </w:tc>
      </w:tr>
      <w:tr w:rsidR="002B060A" w14:paraId="750714DB" w14:textId="77777777" w:rsidTr="001071B4">
        <w:trPr>
          <w:trHeight w:val="300"/>
        </w:trPr>
        <w:tc>
          <w:tcPr>
            <w:tcW w:w="1920" w:type="dxa"/>
            <w:vAlign w:val="center"/>
          </w:tcPr>
          <w:p w14:paraId="750714D7"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D8"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Health V&amp;A assessment for climate change </w:t>
            </w:r>
          </w:p>
        </w:tc>
        <w:tc>
          <w:tcPr>
            <w:tcW w:w="1890" w:type="dxa"/>
            <w:tcMar>
              <w:left w:w="105" w:type="dxa"/>
              <w:right w:w="105" w:type="dxa"/>
            </w:tcMar>
            <w:vAlign w:val="center"/>
          </w:tcPr>
          <w:p w14:paraId="750714D9"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Launched </w:t>
            </w:r>
          </w:p>
        </w:tc>
        <w:tc>
          <w:tcPr>
            <w:tcW w:w="4565" w:type="dxa"/>
            <w:tcMar>
              <w:left w:w="105" w:type="dxa"/>
              <w:right w:w="105" w:type="dxa"/>
            </w:tcMar>
            <w:vAlign w:val="center"/>
          </w:tcPr>
          <w:p w14:paraId="750714DA"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WHD, 7 April 2022</w:t>
            </w:r>
          </w:p>
        </w:tc>
      </w:tr>
      <w:tr w:rsidR="002B060A" w14:paraId="750714E0" w14:textId="77777777" w:rsidTr="001071B4">
        <w:trPr>
          <w:trHeight w:val="300"/>
        </w:trPr>
        <w:tc>
          <w:tcPr>
            <w:tcW w:w="1920" w:type="dxa"/>
            <w:vAlign w:val="center"/>
          </w:tcPr>
          <w:p w14:paraId="750714DC"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DD"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National Standards/Guidelines for Climate Change and Health Systems</w:t>
            </w:r>
          </w:p>
        </w:tc>
        <w:tc>
          <w:tcPr>
            <w:tcW w:w="1890" w:type="dxa"/>
            <w:tcMar>
              <w:left w:w="105" w:type="dxa"/>
              <w:right w:w="105" w:type="dxa"/>
            </w:tcMar>
            <w:vAlign w:val="center"/>
          </w:tcPr>
          <w:p w14:paraId="750714DE"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Draft</w:t>
            </w:r>
          </w:p>
        </w:tc>
        <w:tc>
          <w:tcPr>
            <w:tcW w:w="4565" w:type="dxa"/>
            <w:tcMar>
              <w:left w:w="105" w:type="dxa"/>
              <w:right w:w="105" w:type="dxa"/>
            </w:tcMar>
            <w:vAlign w:val="center"/>
          </w:tcPr>
          <w:p w14:paraId="750714DF"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2022</w:t>
            </w:r>
          </w:p>
        </w:tc>
      </w:tr>
      <w:tr w:rsidR="002B060A" w14:paraId="750714E5" w14:textId="77777777" w:rsidTr="001071B4">
        <w:trPr>
          <w:trHeight w:val="300"/>
        </w:trPr>
        <w:tc>
          <w:tcPr>
            <w:tcW w:w="1920" w:type="dxa"/>
            <w:vAlign w:val="center"/>
          </w:tcPr>
          <w:p w14:paraId="750714E1"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E2"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National Assessment of Opportunities for Transition to Clean Household Energy in Timor-Leste.</w:t>
            </w:r>
          </w:p>
        </w:tc>
        <w:tc>
          <w:tcPr>
            <w:tcW w:w="1890" w:type="dxa"/>
            <w:tcMar>
              <w:left w:w="105" w:type="dxa"/>
              <w:right w:w="105" w:type="dxa"/>
            </w:tcMar>
            <w:vAlign w:val="center"/>
          </w:tcPr>
          <w:p w14:paraId="750714E3"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 draft</w:t>
            </w:r>
          </w:p>
        </w:tc>
        <w:tc>
          <w:tcPr>
            <w:tcW w:w="4565" w:type="dxa"/>
            <w:tcMar>
              <w:left w:w="105" w:type="dxa"/>
              <w:right w:w="105" w:type="dxa"/>
            </w:tcMar>
            <w:vAlign w:val="center"/>
          </w:tcPr>
          <w:p w14:paraId="750714E4" w14:textId="77777777" w:rsidR="002B060A" w:rsidRPr="00ED6FA8" w:rsidRDefault="002B060A" w:rsidP="00C07A0A">
            <w:pPr>
              <w:rPr>
                <w:rFonts w:ascii="Calibri" w:eastAsia="Calibri" w:hAnsi="Calibri" w:cs="Calibri"/>
                <w:sz w:val="20"/>
                <w:szCs w:val="20"/>
              </w:rPr>
            </w:pPr>
          </w:p>
        </w:tc>
      </w:tr>
      <w:tr w:rsidR="002B060A" w14:paraId="750714EA" w14:textId="77777777" w:rsidTr="001071B4">
        <w:trPr>
          <w:trHeight w:val="300"/>
        </w:trPr>
        <w:tc>
          <w:tcPr>
            <w:tcW w:w="1920" w:type="dxa"/>
            <w:vAlign w:val="center"/>
          </w:tcPr>
          <w:p w14:paraId="750714E6"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E7"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Inclusion of climate/weather considerations in the Dengue Prevention and Control Strategy and National Malaria Strategy</w:t>
            </w:r>
          </w:p>
        </w:tc>
        <w:tc>
          <w:tcPr>
            <w:tcW w:w="1890" w:type="dxa"/>
            <w:tcMar>
              <w:left w:w="105" w:type="dxa"/>
              <w:right w:w="105" w:type="dxa"/>
            </w:tcMar>
            <w:vAlign w:val="center"/>
          </w:tcPr>
          <w:p w14:paraId="750714E8"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Inputs provided for dengue and malaria strategy and guidelines.</w:t>
            </w:r>
          </w:p>
        </w:tc>
        <w:tc>
          <w:tcPr>
            <w:tcW w:w="4565" w:type="dxa"/>
            <w:tcMar>
              <w:left w:w="105" w:type="dxa"/>
              <w:right w:w="105" w:type="dxa"/>
            </w:tcMar>
            <w:vAlign w:val="center"/>
          </w:tcPr>
          <w:p w14:paraId="750714E9" w14:textId="77777777" w:rsidR="002B060A" w:rsidRPr="00ED6FA8" w:rsidRDefault="002B060A" w:rsidP="00C07A0A">
            <w:pPr>
              <w:rPr>
                <w:rFonts w:ascii="Calibri" w:eastAsia="Calibri" w:hAnsi="Calibri" w:cs="Calibri"/>
                <w:sz w:val="20"/>
                <w:szCs w:val="20"/>
              </w:rPr>
            </w:pPr>
          </w:p>
        </w:tc>
      </w:tr>
      <w:tr w:rsidR="002B060A" w14:paraId="750714EF" w14:textId="77777777" w:rsidTr="001071B4">
        <w:trPr>
          <w:trHeight w:val="300"/>
        </w:trPr>
        <w:tc>
          <w:tcPr>
            <w:tcW w:w="1920" w:type="dxa"/>
            <w:vAlign w:val="center"/>
          </w:tcPr>
          <w:p w14:paraId="750714EB"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EC" w14:textId="1DB904FC" w:rsidR="002B060A" w:rsidRDefault="00C27C8D" w:rsidP="00C07A0A">
            <w:pPr>
              <w:rPr>
                <w:rFonts w:ascii="Calibri" w:eastAsia="Calibri" w:hAnsi="Calibri" w:cs="Calibri"/>
                <w:sz w:val="20"/>
                <w:szCs w:val="20"/>
              </w:rPr>
            </w:pPr>
            <w:r w:rsidRPr="00C27C8D">
              <w:rPr>
                <w:rFonts w:ascii="Calibri" w:eastAsia="Calibri" w:hAnsi="Calibri" w:cs="Calibri"/>
                <w:sz w:val="20"/>
                <w:szCs w:val="20"/>
                <w:lang w:val="en-GB"/>
              </w:rPr>
              <w:t>Climate Resilient and Environmentally Sustainable Health Care Facilities Policy and Strategy</w:t>
            </w:r>
          </w:p>
        </w:tc>
        <w:tc>
          <w:tcPr>
            <w:tcW w:w="1890" w:type="dxa"/>
            <w:tcMar>
              <w:left w:w="105" w:type="dxa"/>
              <w:right w:w="105" w:type="dxa"/>
            </w:tcMar>
            <w:vAlign w:val="center"/>
          </w:tcPr>
          <w:p w14:paraId="750714ED"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EE"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2023</w:t>
            </w:r>
          </w:p>
        </w:tc>
      </w:tr>
      <w:tr w:rsidR="002B060A" w14:paraId="750714F4" w14:textId="77777777" w:rsidTr="001071B4">
        <w:trPr>
          <w:trHeight w:val="300"/>
        </w:trPr>
        <w:tc>
          <w:tcPr>
            <w:tcW w:w="1920" w:type="dxa"/>
            <w:vAlign w:val="center"/>
          </w:tcPr>
          <w:p w14:paraId="750714F0"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F1" w14:textId="77777777" w:rsidR="002B060A" w:rsidRDefault="006040A7" w:rsidP="00C07A0A">
            <w:pPr>
              <w:rPr>
                <w:rFonts w:ascii="Calibri" w:eastAsia="Calibri" w:hAnsi="Calibri" w:cs="Calibri"/>
                <w:sz w:val="20"/>
                <w:szCs w:val="20"/>
              </w:rPr>
            </w:pPr>
            <w:r>
              <w:rPr>
                <w:rFonts w:ascii="Calibri" w:eastAsia="Calibri" w:hAnsi="Calibri" w:cs="Calibri"/>
                <w:sz w:val="20"/>
                <w:szCs w:val="20"/>
                <w:lang w:val="en-US"/>
              </w:rPr>
              <w:t>National Health Care Waste Management Policy and Strategy including climate considerations.</w:t>
            </w:r>
          </w:p>
        </w:tc>
        <w:tc>
          <w:tcPr>
            <w:tcW w:w="1890" w:type="dxa"/>
            <w:tcMar>
              <w:left w:w="105" w:type="dxa"/>
              <w:right w:w="105" w:type="dxa"/>
            </w:tcMar>
            <w:vAlign w:val="center"/>
          </w:tcPr>
          <w:p w14:paraId="750714F2"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F3"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2023</w:t>
            </w:r>
          </w:p>
        </w:tc>
      </w:tr>
      <w:tr w:rsidR="002B060A" w14:paraId="750714F9" w14:textId="77777777" w:rsidTr="001071B4">
        <w:trPr>
          <w:trHeight w:val="300"/>
        </w:trPr>
        <w:tc>
          <w:tcPr>
            <w:tcW w:w="1920" w:type="dxa"/>
            <w:vAlign w:val="center"/>
          </w:tcPr>
          <w:p w14:paraId="750714F5"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F6" w14:textId="77777777" w:rsidR="002B060A" w:rsidRDefault="006040A7" w:rsidP="00C07A0A">
            <w:pPr>
              <w:rPr>
                <w:rFonts w:ascii="Calibri" w:eastAsia="Calibri" w:hAnsi="Calibri" w:cs="Calibri"/>
                <w:sz w:val="20"/>
                <w:szCs w:val="20"/>
              </w:rPr>
            </w:pPr>
            <w:r>
              <w:rPr>
                <w:rFonts w:ascii="Calibri" w:eastAsia="Calibri" w:hAnsi="Calibri" w:cs="Calibri"/>
                <w:sz w:val="20"/>
                <w:szCs w:val="20"/>
                <w:lang w:val="en-ID"/>
              </w:rPr>
              <w:t>Standard Operational Procedures (SOP) for</w:t>
            </w:r>
            <w:r>
              <w:rPr>
                <w:rFonts w:ascii="Calibri" w:eastAsia="Calibri" w:hAnsi="Calibri" w:cs="Calibri"/>
                <w:sz w:val="20"/>
                <w:szCs w:val="20"/>
                <w:lang w:val="en-US"/>
              </w:rPr>
              <w:t xml:space="preserve"> Toxicology Water Environment Lab Analysis</w:t>
            </w:r>
          </w:p>
        </w:tc>
        <w:tc>
          <w:tcPr>
            <w:tcW w:w="1890" w:type="dxa"/>
            <w:tcMar>
              <w:left w:w="105" w:type="dxa"/>
              <w:right w:w="105" w:type="dxa"/>
            </w:tcMar>
            <w:vAlign w:val="center"/>
          </w:tcPr>
          <w:p w14:paraId="750714F7"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Final</w:t>
            </w:r>
          </w:p>
        </w:tc>
        <w:tc>
          <w:tcPr>
            <w:tcW w:w="4565" w:type="dxa"/>
            <w:tcMar>
              <w:left w:w="105" w:type="dxa"/>
              <w:right w:w="105" w:type="dxa"/>
            </w:tcMar>
            <w:vAlign w:val="center"/>
          </w:tcPr>
          <w:p w14:paraId="750714F8" w14:textId="77777777" w:rsidR="002B060A" w:rsidRPr="00ED6FA8" w:rsidRDefault="002B060A" w:rsidP="00C07A0A">
            <w:pPr>
              <w:rPr>
                <w:rFonts w:ascii="Calibri" w:eastAsia="Calibri" w:hAnsi="Calibri" w:cs="Calibri"/>
                <w:sz w:val="20"/>
                <w:szCs w:val="20"/>
              </w:rPr>
            </w:pPr>
          </w:p>
        </w:tc>
      </w:tr>
      <w:tr w:rsidR="002B060A" w14:paraId="750714FE" w14:textId="77777777" w:rsidTr="001071B4">
        <w:trPr>
          <w:trHeight w:val="300"/>
        </w:trPr>
        <w:tc>
          <w:tcPr>
            <w:tcW w:w="1920" w:type="dxa"/>
            <w:vAlign w:val="center"/>
          </w:tcPr>
          <w:p w14:paraId="750714FA" w14:textId="77777777" w:rsidR="002B060A" w:rsidRPr="00191F00" w:rsidRDefault="002B060A" w:rsidP="00C07A0A">
            <w:pPr>
              <w:rPr>
                <w:rFonts w:ascii="Calibri" w:hAnsi="Calibri" w:cs="Calibri"/>
                <w:b/>
                <w:bCs/>
              </w:rPr>
            </w:pPr>
          </w:p>
        </w:tc>
        <w:tc>
          <w:tcPr>
            <w:tcW w:w="5730" w:type="dxa"/>
            <w:tcMar>
              <w:left w:w="105" w:type="dxa"/>
              <w:right w:w="105" w:type="dxa"/>
            </w:tcMar>
            <w:vAlign w:val="center"/>
          </w:tcPr>
          <w:p w14:paraId="750714FB" w14:textId="77777777" w:rsidR="002B060A" w:rsidRPr="00ED6FA8" w:rsidRDefault="006040A7" w:rsidP="00C07A0A">
            <w:pPr>
              <w:jc w:val="both"/>
              <w:rPr>
                <w:rFonts w:ascii="Calibri" w:eastAsia="Calibri" w:hAnsi="Calibri" w:cs="Calibri"/>
                <w:sz w:val="20"/>
                <w:szCs w:val="20"/>
              </w:rPr>
            </w:pPr>
            <w:r w:rsidRPr="00ED6FA8">
              <w:rPr>
                <w:rFonts w:ascii="Calibri" w:eastAsia="Calibri" w:hAnsi="Calibri" w:cs="Calibri"/>
                <w:sz w:val="20"/>
                <w:szCs w:val="20"/>
                <w:lang w:val="en-US"/>
              </w:rPr>
              <w:t xml:space="preserve">Standard Operational Procedures (SOPs) for medical waste segregation, internal waste collection and transportation,  and infectious waste storage, incorporating climate dimensions </w:t>
            </w:r>
          </w:p>
        </w:tc>
        <w:tc>
          <w:tcPr>
            <w:tcW w:w="1890" w:type="dxa"/>
            <w:tcMar>
              <w:left w:w="105" w:type="dxa"/>
              <w:right w:w="105" w:type="dxa"/>
            </w:tcMar>
            <w:vAlign w:val="center"/>
          </w:tcPr>
          <w:p w14:paraId="750714FC"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 xml:space="preserve">Final </w:t>
            </w:r>
          </w:p>
        </w:tc>
        <w:tc>
          <w:tcPr>
            <w:tcW w:w="4565" w:type="dxa"/>
            <w:tcMar>
              <w:left w:w="105" w:type="dxa"/>
              <w:right w:w="105" w:type="dxa"/>
            </w:tcMar>
            <w:vAlign w:val="center"/>
          </w:tcPr>
          <w:p w14:paraId="750714FD" w14:textId="77777777" w:rsidR="002B060A" w:rsidRPr="00ED6FA8" w:rsidRDefault="006040A7" w:rsidP="00C07A0A">
            <w:pPr>
              <w:rPr>
                <w:rFonts w:ascii="Calibri" w:eastAsia="Calibri" w:hAnsi="Calibri" w:cs="Calibri"/>
                <w:sz w:val="20"/>
                <w:szCs w:val="20"/>
              </w:rPr>
            </w:pPr>
            <w:r w:rsidRPr="00ED6FA8">
              <w:rPr>
                <w:rFonts w:ascii="Calibri" w:eastAsia="Calibri" w:hAnsi="Calibri" w:cs="Calibri"/>
                <w:sz w:val="20"/>
                <w:szCs w:val="20"/>
                <w:lang w:val="en-US"/>
              </w:rPr>
              <w:t>2023</w:t>
            </w:r>
          </w:p>
        </w:tc>
      </w:tr>
    </w:tbl>
    <w:p w14:paraId="750714FF" w14:textId="77777777" w:rsidR="002B060A" w:rsidRDefault="006040A7" w:rsidP="00C07A0A">
      <w:pPr>
        <w:pStyle w:val="Heading2"/>
        <w:rPr>
          <w:rStyle w:val="eop"/>
          <w:rFonts w:ascii="Calibri" w:hAnsi="Calibri" w:cs="Calibri"/>
          <w:color w:val="094183"/>
        </w:rPr>
      </w:pPr>
      <w:bookmarkStart w:id="42" w:name="_Toc173429993"/>
      <w:r>
        <w:rPr>
          <w:rFonts w:ascii="Calibri" w:hAnsi="Calibri" w:cs="Calibri"/>
        </w:rPr>
        <w:lastRenderedPageBreak/>
        <w:t>Appendix 6: Country training data</w:t>
      </w:r>
      <w:bookmarkEnd w:id="42"/>
    </w:p>
    <w:p w14:paraId="75071500" w14:textId="77777777" w:rsidR="002B060A" w:rsidRDefault="002B060A" w:rsidP="00C07A0A">
      <w:pPr>
        <w:rPr>
          <w:rFonts w:ascii="Calibri" w:eastAsia="Calibri" w:hAnsi="Calibri" w:cs="Calibri"/>
        </w:rPr>
      </w:pPr>
    </w:p>
    <w:p w14:paraId="75071501" w14:textId="77777777" w:rsidR="002B060A" w:rsidRDefault="006040A7" w:rsidP="00C07A0A">
      <w:pPr>
        <w:rPr>
          <w:rFonts w:ascii="Calibri" w:eastAsia="Calibri" w:hAnsi="Calibri" w:cs="Calibri"/>
        </w:rPr>
      </w:pPr>
      <w:r>
        <w:rPr>
          <w:rFonts w:ascii="Calibri" w:eastAsia="Calibri" w:hAnsi="Calibri" w:cs="Calibri"/>
        </w:rPr>
        <w:t>Climate change and health national trainings summary table</w:t>
      </w:r>
    </w:p>
    <w:tbl>
      <w:tblPr>
        <w:tblW w:w="13742"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1417"/>
        <w:gridCol w:w="1701"/>
        <w:gridCol w:w="1276"/>
        <w:gridCol w:w="1418"/>
        <w:gridCol w:w="1701"/>
        <w:gridCol w:w="1414"/>
      </w:tblGrid>
      <w:tr w:rsidR="003C1DAE" w:rsidRPr="00345010" w14:paraId="4BE90008" w14:textId="77777777" w:rsidTr="00191F00">
        <w:trPr>
          <w:trHeight w:val="885"/>
        </w:trPr>
        <w:tc>
          <w:tcPr>
            <w:tcW w:w="4815" w:type="dxa"/>
            <w:tcBorders>
              <w:top w:val="single" w:sz="6" w:space="0" w:color="000000"/>
              <w:left w:val="single" w:sz="6" w:space="0" w:color="000000"/>
              <w:bottom w:val="single" w:sz="6" w:space="0" w:color="000000"/>
              <w:right w:val="single" w:sz="6" w:space="0" w:color="000000"/>
            </w:tcBorders>
            <w:shd w:val="clear" w:color="auto" w:fill="D9E2F3"/>
            <w:vAlign w:val="bottom"/>
            <w:hideMark/>
          </w:tcPr>
          <w:p w14:paraId="41EF8A3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b/>
                <w:bCs/>
                <w:sz w:val="20"/>
                <w:szCs w:val="20"/>
                <w:lang w:val="en-US"/>
              </w:rPr>
              <w:t>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D9E2F3"/>
            <w:vAlign w:val="center"/>
            <w:hideMark/>
          </w:tcPr>
          <w:p w14:paraId="1D970DCB" w14:textId="77777777" w:rsidR="003C1DAE" w:rsidRPr="00345010" w:rsidRDefault="003C1DAE" w:rsidP="00C07A0A">
            <w:pPr>
              <w:ind w:right="75"/>
              <w:jc w:val="center"/>
              <w:textAlignment w:val="baseline"/>
              <w:rPr>
                <w:rFonts w:ascii="Segoe UI" w:hAnsi="Segoe UI" w:cs="Segoe UI"/>
                <w:sz w:val="18"/>
                <w:szCs w:val="18"/>
              </w:rPr>
            </w:pPr>
            <w:r w:rsidRPr="00345010">
              <w:rPr>
                <w:rFonts w:ascii="Calibri" w:hAnsi="Calibri" w:cs="Calibri"/>
                <w:b/>
                <w:bCs/>
                <w:sz w:val="20"/>
                <w:szCs w:val="20"/>
                <w:lang w:val="en-US"/>
              </w:rPr>
              <w:t>Date</w:t>
            </w:r>
            <w:r w:rsidRPr="00345010">
              <w:rPr>
                <w:rFonts w:ascii="Calibri" w:hAnsi="Calibri" w:cs="Calibri"/>
                <w:sz w:val="20"/>
                <w:szCs w:val="20"/>
              </w:rPr>
              <w:t> </w:t>
            </w:r>
          </w:p>
        </w:tc>
        <w:tc>
          <w:tcPr>
            <w:tcW w:w="4395" w:type="dxa"/>
            <w:gridSpan w:val="3"/>
            <w:tcBorders>
              <w:top w:val="single" w:sz="6" w:space="0" w:color="000000"/>
              <w:left w:val="single" w:sz="6" w:space="0" w:color="000000"/>
              <w:bottom w:val="single" w:sz="6" w:space="0" w:color="000000"/>
              <w:right w:val="single" w:sz="6" w:space="0" w:color="000000"/>
            </w:tcBorders>
            <w:shd w:val="clear" w:color="auto" w:fill="D9E2F3"/>
          </w:tcPr>
          <w:p w14:paraId="46F8F11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b/>
                <w:bCs/>
                <w:sz w:val="20"/>
                <w:szCs w:val="20"/>
                <w:lang w:val="en-US"/>
              </w:rPr>
              <w:t># Participants</w:t>
            </w:r>
            <w:r w:rsidRPr="00345010">
              <w:rPr>
                <w:rFonts w:ascii="Calibri" w:hAnsi="Calibri" w:cs="Calibri"/>
                <w:sz w:val="20"/>
                <w:szCs w:val="20"/>
              </w:rPr>
              <w:t xml:space="preserve"> </w:t>
            </w:r>
            <w:r w:rsidRPr="00345010">
              <w:rPr>
                <w:rFonts w:ascii="Calibri" w:hAnsi="Calibri" w:cs="Calibri"/>
                <w:b/>
                <w:bCs/>
                <w:sz w:val="20"/>
                <w:szCs w:val="20"/>
              </w:rPr>
              <w:t>(Gender disaggregated data included where available)</w:t>
            </w:r>
          </w:p>
        </w:tc>
        <w:tc>
          <w:tcPr>
            <w:tcW w:w="1701" w:type="dxa"/>
            <w:tcBorders>
              <w:top w:val="single" w:sz="6" w:space="0" w:color="000000"/>
              <w:left w:val="single" w:sz="6" w:space="0" w:color="000000"/>
              <w:bottom w:val="single" w:sz="6" w:space="0" w:color="000000"/>
              <w:right w:val="single" w:sz="6" w:space="0" w:color="000000"/>
            </w:tcBorders>
            <w:shd w:val="clear" w:color="auto" w:fill="D9E2F3"/>
            <w:vAlign w:val="center"/>
            <w:hideMark/>
          </w:tcPr>
          <w:p w14:paraId="57462971" w14:textId="77777777" w:rsidR="003C1DAE" w:rsidRPr="00345010" w:rsidRDefault="003C1DAE" w:rsidP="00C07A0A">
            <w:pPr>
              <w:ind w:right="75"/>
              <w:jc w:val="center"/>
              <w:textAlignment w:val="baseline"/>
              <w:rPr>
                <w:rFonts w:ascii="Segoe UI" w:hAnsi="Segoe UI" w:cs="Segoe UI"/>
                <w:sz w:val="18"/>
                <w:szCs w:val="18"/>
              </w:rPr>
            </w:pPr>
            <w:r w:rsidRPr="00345010">
              <w:rPr>
                <w:rFonts w:ascii="Calibri" w:hAnsi="Calibri" w:cs="Calibri"/>
                <w:b/>
                <w:bCs/>
                <w:sz w:val="20"/>
                <w:szCs w:val="20"/>
                <w:lang w:val="en-US"/>
              </w:rPr>
              <w:t>Organized By</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D9E2F3"/>
            <w:hideMark/>
          </w:tcPr>
          <w:p w14:paraId="39B0BA5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b/>
                <w:bCs/>
                <w:sz w:val="20"/>
                <w:szCs w:val="20"/>
                <w:lang w:val="en-US"/>
              </w:rPr>
              <w:t>Related to which outcome (1, 2, or 3)</w:t>
            </w:r>
            <w:r w:rsidRPr="00345010">
              <w:rPr>
                <w:rFonts w:ascii="Calibri" w:hAnsi="Calibri" w:cs="Calibri"/>
                <w:sz w:val="20"/>
                <w:szCs w:val="20"/>
              </w:rPr>
              <w:t> </w:t>
            </w:r>
          </w:p>
        </w:tc>
      </w:tr>
      <w:tr w:rsidR="003C1DAE" w:rsidRPr="00345010" w14:paraId="28F533E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D9E2F3"/>
            <w:vAlign w:val="bottom"/>
            <w:hideMark/>
          </w:tcPr>
          <w:p w14:paraId="44B312B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b/>
                <w:bCs/>
                <w:sz w:val="20"/>
                <w:szCs w:val="20"/>
                <w:lang w:val="en-US"/>
              </w:rPr>
              <w:t>Bangladesh</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D9E2F3"/>
            <w:vAlign w:val="bottom"/>
            <w:hideMark/>
          </w:tcPr>
          <w:p w14:paraId="24E2C2B7"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b/>
                <w:bCs/>
                <w:sz w:val="20"/>
                <w:szCs w:val="20"/>
                <w:lang w:val="en-US"/>
              </w:rPr>
              <w:t>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9E2F3"/>
          </w:tcPr>
          <w:p w14:paraId="2A54A918" w14:textId="77777777" w:rsidR="003C1DAE" w:rsidRPr="00345010" w:rsidRDefault="003C1DAE" w:rsidP="00C07A0A">
            <w:pPr>
              <w:jc w:val="center"/>
              <w:textAlignment w:val="baseline"/>
              <w:rPr>
                <w:rFonts w:ascii="Calibri" w:hAnsi="Calibri" w:cs="Calibri"/>
                <w:b/>
                <w:bCs/>
                <w:sz w:val="20"/>
                <w:szCs w:val="20"/>
              </w:rPr>
            </w:pPr>
            <w:r w:rsidRPr="00345010">
              <w:rPr>
                <w:rFonts w:ascii="Calibri" w:hAnsi="Calibri" w:cs="Calibri"/>
                <w:b/>
                <w:bCs/>
                <w:sz w:val="20"/>
                <w:szCs w:val="20"/>
              </w:rPr>
              <w:t xml:space="preserve">Male </w:t>
            </w:r>
          </w:p>
        </w:tc>
        <w:tc>
          <w:tcPr>
            <w:tcW w:w="1276" w:type="dxa"/>
            <w:tcBorders>
              <w:top w:val="single" w:sz="6" w:space="0" w:color="000000"/>
              <w:left w:val="single" w:sz="6" w:space="0" w:color="000000"/>
              <w:bottom w:val="single" w:sz="6" w:space="0" w:color="000000"/>
              <w:right w:val="single" w:sz="6" w:space="0" w:color="000000"/>
            </w:tcBorders>
            <w:shd w:val="clear" w:color="auto" w:fill="D9E2F3"/>
          </w:tcPr>
          <w:p w14:paraId="0CE7C38E" w14:textId="77777777" w:rsidR="003C1DAE" w:rsidRPr="00345010" w:rsidRDefault="003C1DAE" w:rsidP="00C07A0A">
            <w:pPr>
              <w:jc w:val="center"/>
              <w:textAlignment w:val="baseline"/>
              <w:rPr>
                <w:rFonts w:ascii="Calibri" w:hAnsi="Calibri" w:cs="Calibri"/>
                <w:b/>
                <w:bCs/>
                <w:sz w:val="20"/>
                <w:szCs w:val="20"/>
              </w:rPr>
            </w:pPr>
            <w:r w:rsidRPr="00345010">
              <w:rPr>
                <w:rFonts w:ascii="Calibri" w:hAnsi="Calibri" w:cs="Calibri"/>
                <w:b/>
                <w:bCs/>
                <w:sz w:val="20"/>
                <w:szCs w:val="20"/>
              </w:rPr>
              <w:t xml:space="preserve">Female </w:t>
            </w:r>
          </w:p>
        </w:tc>
        <w:tc>
          <w:tcPr>
            <w:tcW w:w="1418" w:type="dxa"/>
            <w:tcBorders>
              <w:top w:val="single" w:sz="6" w:space="0" w:color="000000"/>
              <w:left w:val="single" w:sz="6" w:space="0" w:color="000000"/>
              <w:bottom w:val="single" w:sz="6" w:space="0" w:color="000000"/>
              <w:right w:val="single" w:sz="6" w:space="0" w:color="000000"/>
            </w:tcBorders>
            <w:shd w:val="clear" w:color="auto" w:fill="D9E2F3"/>
            <w:vAlign w:val="bottom"/>
            <w:hideMark/>
          </w:tcPr>
          <w:p w14:paraId="3245DD27" w14:textId="77777777" w:rsidR="003C1DAE" w:rsidRPr="00345010" w:rsidRDefault="003C1DAE" w:rsidP="00C07A0A">
            <w:pPr>
              <w:jc w:val="center"/>
              <w:textAlignment w:val="baseline"/>
              <w:rPr>
                <w:rFonts w:ascii="Segoe UI" w:hAnsi="Segoe UI" w:cs="Segoe UI"/>
                <w:b/>
                <w:bCs/>
                <w:sz w:val="18"/>
                <w:szCs w:val="18"/>
              </w:rPr>
            </w:pPr>
            <w:r w:rsidRPr="00345010">
              <w:rPr>
                <w:rFonts w:ascii="Calibri" w:hAnsi="Calibri" w:cs="Calibri"/>
                <w:b/>
                <w:bCs/>
                <w:sz w:val="20"/>
                <w:szCs w:val="20"/>
              </w:rPr>
              <w:t>TOTAL </w:t>
            </w:r>
          </w:p>
        </w:tc>
        <w:tc>
          <w:tcPr>
            <w:tcW w:w="1701" w:type="dxa"/>
            <w:tcBorders>
              <w:top w:val="single" w:sz="6" w:space="0" w:color="000000"/>
              <w:left w:val="single" w:sz="6" w:space="0" w:color="000000"/>
              <w:bottom w:val="single" w:sz="6" w:space="0" w:color="000000"/>
              <w:right w:val="single" w:sz="6" w:space="0" w:color="000000"/>
            </w:tcBorders>
            <w:shd w:val="clear" w:color="auto" w:fill="D9E2F3"/>
            <w:hideMark/>
          </w:tcPr>
          <w:p w14:paraId="3D41EE58"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D9E2F3"/>
            <w:hideMark/>
          </w:tcPr>
          <w:p w14:paraId="2561834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37B2ACE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1D5C05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(Global)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41DBF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6 - 7 Jul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9A0A2A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28D515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763A9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CB19CD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4DB2F4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A301CF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CA0F5D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603A5B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 Aug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4F89C2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08B024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FE3E2C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47F6C2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7649EE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0C75F3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D41A0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DF85B4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 Sep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BD1DA7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CB6681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CC2F21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DCD889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0FDB9A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1F4D86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B9C488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9809F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Oct 19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4C2F9C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6F6532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E056D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370F40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F4EED5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08A368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91FF76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DHIS Dashboard App Demo</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A625B5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A580D2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EFD492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5EBB7D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EF914D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4A246F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1EA611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15B5C2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EAD5A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16 Nov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412415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B61041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E5BDC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FADEDE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E8BBD4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19A2DC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79C27B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Bi-regional water safety audit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CAD833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9 - 13 Nov 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78E6FC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E62E6A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36975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057B65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FFA54F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5AD0F4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2DBB77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21A073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Jan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B942DD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EAFC3F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7FEEDE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9F8C9F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8692B3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58B2B4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B2F757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regional risk mapping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6B99D3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15 Feb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9D0F1B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FD4DB4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EE2E8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37BE02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2536D0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D24C54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707BB9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EB4CC0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23 March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902F9A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230A42E"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F17661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FB4FB2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D136C0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90CE0D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6B1021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FAB241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 May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395905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BCEC2E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617F06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F6EB37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4E8262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07DE0F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E19774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Dashboard Training HQ</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202F32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July 2021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638119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0088F1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36599F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BD0F00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99411D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A9A418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82B43F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Regional training on advancing health-climate action through improved vulnerability and adaptation assessment and planning Virtual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EDBEA7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17-19 and 25 August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5BFDCB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C82EC0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5A5FEC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C2B9BD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005690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5FEBA9F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AD09CA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Dashboard Training HQ</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017816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0CB0242"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7229BA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5B960D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3C5849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B7C057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462C8F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EE5021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Regional training on ‘Climate Resilient Water Safety Planning (CR-WSP) Virtual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28DE22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13-16 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829DC3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8F11E7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52A8CF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C6F334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10E15B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1AA27F9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CC3B4B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on EWARS dashboard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AF9CC2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October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C19693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5E6C258"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0BA6F8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B5470E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17CC51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F3844C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704A096"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lastRenderedPageBreak/>
              <w:t>Training on WASH, IPC and waste management for developing climate-resilient health care facilities for doctors, nurses and hospital staffs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7917C3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35684F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938132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742CE8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670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8FAD0D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92A84D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305B999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CB2E07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559A67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23 February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B542BBF"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71F3CA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4663BF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1174B2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5AAB12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6CF8B2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51FE22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w:t>
            </w:r>
            <w:r w:rsidRPr="00345010">
              <w:rPr>
                <w:rFonts w:ascii="Calibri" w:hAnsi="Calibri" w:cs="Calibri"/>
                <w:sz w:val="16"/>
                <w:szCs w:val="16"/>
                <w:vertAlign w:val="superscript"/>
                <w:lang w:val="en-US"/>
              </w:rPr>
              <w:t>+</w:t>
            </w:r>
            <w:r w:rsidRPr="00345010">
              <w:rPr>
                <w:rFonts w:ascii="Calibri" w:hAnsi="Calibri" w:cs="Calibri"/>
                <w:sz w:val="20"/>
                <w:szCs w:val="20"/>
                <w:lang w:val="en-US"/>
              </w:rPr>
              <w:t xml:space="preserve">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3333FF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30 June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029CC1D"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E881ED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7151C8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FF4B79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A3322E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34F274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319513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D4CCDB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67BFA08"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3D33F2FA"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CFD342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8C6225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41F641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14B14C8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EA2009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w:t>
            </w:r>
            <w:r w:rsidRPr="00345010">
              <w:rPr>
                <w:rFonts w:ascii="Calibri" w:hAnsi="Calibri" w:cs="Calibri"/>
                <w:sz w:val="16"/>
                <w:szCs w:val="16"/>
                <w:vertAlign w:val="superscript"/>
                <w:lang w:val="en-US"/>
              </w:rPr>
              <w:t>+</w:t>
            </w:r>
            <w:r w:rsidRPr="00345010">
              <w:rPr>
                <w:rFonts w:ascii="Calibri" w:hAnsi="Calibri" w:cs="Calibri"/>
                <w:sz w:val="20"/>
                <w:szCs w:val="20"/>
                <w:lang w:val="en-US"/>
              </w:rPr>
              <w:t xml:space="preserve">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7FCA29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September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1F6C55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2FC5FF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6FA284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5E8EAE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388DDC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68089F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0D0943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(2 Batches of medical professionals)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CD36B1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25-29 September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5BFE1C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D44ED9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85B044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6C01CD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3203AE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6929F71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C3A48C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w:t>
            </w:r>
            <w:r w:rsidRPr="00345010">
              <w:rPr>
                <w:rFonts w:ascii="Calibri" w:hAnsi="Calibri" w:cs="Calibri"/>
                <w:sz w:val="16"/>
                <w:szCs w:val="16"/>
                <w:vertAlign w:val="superscript"/>
                <w:lang w:val="en-US"/>
              </w:rPr>
              <w:t>+</w:t>
            </w:r>
            <w:r w:rsidRPr="00345010">
              <w:rPr>
                <w:rFonts w:ascii="Calibri" w:hAnsi="Calibri" w:cs="Calibri"/>
                <w:sz w:val="20"/>
                <w:szCs w:val="20"/>
                <w:lang w:val="en-US"/>
              </w:rPr>
              <w:t xml:space="preserve">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3062DD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 November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F1A6D0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3D45A3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494D55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CC8D4F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F9E5B8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E633A7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9F8741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Training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B8B38B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28-29 November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70B25C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1B4718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274DB2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8094CF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7D9ECE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A2E28C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FC665B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Climate informed Disease surveillance for Central level medical professionals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9399ED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1-2 February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290354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15929C8"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4A4A59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B7153B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CO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5A586B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DC676C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7DEE4E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Integrated disease surveillance and EWARS for Cholera Sentinel site’s professionals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D0176E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16 April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C3A1EE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CBF7DB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946EFD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16B9F1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CO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8C3E21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488987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1C7C75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disease surveillance early warning for Rota Sentinel site’s professionals/staffs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837825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 April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4910C3D"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B8F73E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95F170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00234F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CO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FB7AD8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80E0E3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74DDC3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for health professionals in Mymensingh region (Health impact of climate change, Adaptation, resilience etc.)</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105A1F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June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02349DC"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4D5618E"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90C35F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47F131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CO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A0CCC7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35CB444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E44F56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for health professionals in Dhaka Division (Health impact of climate change, Adaptation, resilience etc.)</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6884A7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6 June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59C7D7C"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F86CCD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16E642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304D72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CO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BBFBD3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785A202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207402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TOT on climate informed hospital emergency preparedness and response plan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358C6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3-5 Oct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0595DD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F728B2E"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52176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58FDB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CO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A6F3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65BFF1B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49012F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 xml:space="preserve">Training on "Climate Informed Hospital Emergency Preparedness and Response Plan" for health managers, doctors, nurses and allied staffs of primary secondary and </w:t>
            </w:r>
            <w:r w:rsidRPr="00345010">
              <w:rPr>
                <w:rFonts w:ascii="Calibri" w:hAnsi="Calibri" w:cs="Calibri"/>
                <w:sz w:val="20"/>
                <w:szCs w:val="20"/>
                <w:lang w:val="en-US"/>
              </w:rPr>
              <w:lastRenderedPageBreak/>
              <w:t>tertiary level hospitals at divisional district towns (8 batches)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35755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lastRenderedPageBreak/>
              <w:t>8 Oct - 2 Nov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BE24C2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38FBEE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B2B6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DD3B4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CO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37EE5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1EBE73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0FA83560" w14:textId="77777777" w:rsidR="003C1DAE" w:rsidRPr="00345010" w:rsidRDefault="003C1DAE" w:rsidP="00C07A0A">
            <w:pPr>
              <w:textAlignment w:val="baseline"/>
              <w:rPr>
                <w:rFonts w:ascii="Calibri" w:hAnsi="Calibri" w:cs="Calibri"/>
                <w:b/>
                <w:bCs/>
                <w:sz w:val="20"/>
                <w:szCs w:val="20"/>
                <w:lang w:val="en-US"/>
              </w:rPr>
            </w:pPr>
            <w:r w:rsidRPr="00345010">
              <w:rPr>
                <w:rFonts w:ascii="Calibri" w:hAnsi="Calibri" w:cs="Calibri"/>
                <w:b/>
                <w:bCs/>
                <w:sz w:val="20"/>
                <w:szCs w:val="20"/>
                <w:lang w:val="en-US"/>
              </w:rPr>
              <w:t>TOTAL</w:t>
            </w:r>
          </w:p>
        </w:tc>
        <w:tc>
          <w:tcPr>
            <w:tcW w:w="1417"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43145314" w14:textId="77777777" w:rsidR="003C1DAE" w:rsidRPr="00345010" w:rsidRDefault="003C1DAE" w:rsidP="00C07A0A">
            <w:pPr>
              <w:ind w:right="75"/>
              <w:textAlignment w:val="baseline"/>
              <w:rPr>
                <w:rFonts w:ascii="Calibri" w:hAnsi="Calibri" w:cs="Calibri"/>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7DC410BC"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65C300C5"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050164CE" w14:textId="77777777" w:rsidR="003C1DAE" w:rsidRPr="00345010" w:rsidRDefault="003C1DAE" w:rsidP="00C07A0A">
            <w:pPr>
              <w:jc w:val="center"/>
              <w:textAlignment w:val="baseline"/>
              <w:rPr>
                <w:rFonts w:ascii="Calibri" w:hAnsi="Calibri" w:cs="Calibri"/>
                <w:b/>
                <w:bCs/>
                <w:sz w:val="20"/>
                <w:szCs w:val="20"/>
              </w:rPr>
            </w:pPr>
            <w:r w:rsidRPr="00345010">
              <w:rPr>
                <w:rFonts w:ascii="Calibri" w:hAnsi="Calibri" w:cs="Calibri"/>
                <w:b/>
                <w:bCs/>
                <w:sz w:val="20"/>
                <w:szCs w:val="20"/>
              </w:rPr>
              <w:t>1,074</w:t>
            </w: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2184E125" w14:textId="77777777" w:rsidR="003C1DAE" w:rsidRPr="00345010" w:rsidRDefault="003C1DAE" w:rsidP="00C07A0A">
            <w:pPr>
              <w:ind w:right="75"/>
              <w:textAlignment w:val="baseline"/>
              <w:rPr>
                <w:rFonts w:ascii="Calibri" w:hAnsi="Calibri" w:cs="Calibri"/>
                <w:sz w:val="20"/>
                <w:szCs w:val="20"/>
              </w:rPr>
            </w:pPr>
          </w:p>
        </w:tc>
        <w:tc>
          <w:tcPr>
            <w:tcW w:w="1414"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01BE05A9" w14:textId="77777777" w:rsidR="003C1DAE" w:rsidRPr="00345010" w:rsidRDefault="003C1DAE" w:rsidP="00C07A0A">
            <w:pPr>
              <w:textAlignment w:val="baseline"/>
              <w:rPr>
                <w:rFonts w:ascii="Calibri" w:hAnsi="Calibri" w:cs="Calibri"/>
                <w:sz w:val="20"/>
                <w:szCs w:val="20"/>
              </w:rPr>
            </w:pPr>
          </w:p>
        </w:tc>
      </w:tr>
      <w:tr w:rsidR="003C1DAE" w:rsidRPr="00345010" w14:paraId="2E3169E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DDEBF7"/>
            <w:hideMark/>
          </w:tcPr>
          <w:p w14:paraId="02129D2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b/>
                <w:bCs/>
                <w:sz w:val="20"/>
                <w:szCs w:val="20"/>
                <w:lang w:val="en-US"/>
              </w:rPr>
              <w:t>Nepal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DDEBF7"/>
            <w:hideMark/>
          </w:tcPr>
          <w:p w14:paraId="1F24908E"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tcPr>
          <w:p w14:paraId="58CA5CD2"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DDEBF7"/>
          </w:tcPr>
          <w:p w14:paraId="6657CED6"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DDEBF7"/>
            <w:hideMark/>
          </w:tcPr>
          <w:p w14:paraId="51A6CCD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070C6F68"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DDEBF7"/>
            <w:hideMark/>
          </w:tcPr>
          <w:p w14:paraId="031A977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3C2921E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8B97DB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F17E2E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18 Aug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2690F4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37B588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E000F0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34E680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1F9832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BE0CC3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10626E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40F6E8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 Sep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F0FAEC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7B190B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20996B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4E6F8D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BE42EB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8F859C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A073A7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25BA57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0E7170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C6B30C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739FAF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65E691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EF2858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70FD93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A996F8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DHIS Dashboard App Demo</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57688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351D39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52F2BE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B369C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6ECACC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0AC8FA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7C78599" w14:textId="77777777" w:rsidTr="00191F00">
        <w:trPr>
          <w:trHeight w:val="27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60C6A1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4E07A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16 Nov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D87BC8D"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B5939D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90E193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CEB5BD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C2EBAF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3734AB7" w14:textId="77777777" w:rsidTr="00191F00">
        <w:trPr>
          <w:trHeight w:val="27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C5D1FB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Bi-regional water safety audit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958C5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9 - 13 Nov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336952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004594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1E0B78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4EE8B1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E5BD12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4D5F9A3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90612E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90F887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Jan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3F2728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7207B3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4239C1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528C1A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79AEC1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1065CA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7AB75A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regional risk mapping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7CEAEA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15 Feb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F0E8AE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BF41BD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EDC98A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FD8926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274AC6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AFBD4A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C1D7B3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introductory &amp; piloting discussion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20BCF5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23 Feb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A1DC31F"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2D374E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5385FF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EC65A5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A84FD7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73C075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A1A0D7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4847A4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26 Mar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954F2E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AF674D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BECFA1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D429DE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FB1133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A3FCB0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4F1877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Impacts at provincial level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0E5CBC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13-15 March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AC8317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D1E92B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8EEB4A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895681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6C7637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3959F01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C5BF27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E71271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Jun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5F5FDE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91AE24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768C48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948EC2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D985DF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6B64DE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A5BE1D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Workshop on Integration of Health in National Adaptation Plan (NAP) preparation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1F3E63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29-30 July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4D4E35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62356E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4C8C56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549440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6C38AF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98FB9C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AD7E85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7F945B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04 August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0F578D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429C2D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123CFA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5E1F99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930A0A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33838C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9D6C6F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Advocacy programme on climate change and health at Gandaki province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F9C742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08 August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0210EB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F3EDA7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9512DA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A52234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C206E6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26870A5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EE863C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Advocacy programme on climate change and health at Lumbini province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4485F1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15 August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775167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1EB27D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564832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C08486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4CEA46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66EB5A9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5A3B70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WHO SEARO Regional training on Advancing health-climate action through improved vulnerability and adaptation assessment and planning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4B0FC6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17-19, 25 August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4CEEC9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157C83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FA8612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9A5304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13AC6D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286855E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DFFDC1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BABAB9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01 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3E260C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EA675A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2FB46B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CD531F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9EB069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11925C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5B4353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at Province 1</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D6B597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20-23 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A53670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CA4074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BB80E2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F04B6F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2EB89F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77CB21D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CCACA4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lastRenderedPageBreak/>
              <w:t>Advocacy programme on climate change and health at Province 1</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ABE420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 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FF90B7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03ADD1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D402F4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26320B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FEB0FD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654BA4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6DD14A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at Province 2</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A6F5B9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Oct. 5-8,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D1A47F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4469AF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3B44C0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6D56EE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50C5CE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0D02657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B79E2C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at Gandaki Province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DFE72C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Oct. 24-27,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585AE0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4733BA8"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3C47D7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40D109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44382E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0AB9CEA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FFA3B0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at Lumbini Province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DB73E0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Oct. 31 – Nov. 3,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9D28A9F"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D1CE2E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83AB74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F94F69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0C46DE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52F6E3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538AC7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at Sudurpaschim Province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A3C21A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Nov. 22 – 25,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FE33D5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BB55A4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755DCB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40140C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F1F0C8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03BD313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7A49E4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technical orientation on climate sensitive disease surveillance tool in BPKHIS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159099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Dec. 1,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FD2EDF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9FF97A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D69149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346DC0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0742BB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AD10A8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C15035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technical orientation on climate sensitive disease surveillance tool in Bharatpur hospital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D2ECE9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Dec. 3,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7B8ACE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2CE572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0F39F8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D3C0F2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41F2B6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0CD96E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08CA28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at Karnali Province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E44AAB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Dec. 22-25,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B56818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0B4F24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8BFC23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F8AC72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A079AE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51D574A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A23351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3B7D7D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October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EE141C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2A653B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1E6E2E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19AC98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A3301B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2A26EF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4E8830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6F7A05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 November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4D04DE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64883C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6F38D3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87CFB0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DB70E0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29434D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C87278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80482A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18 January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014BFB2"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70ADBA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699037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7269A6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EFD9D9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25C94F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ABB639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EWARSplus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1E9332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23 February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A5C946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CB6599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A988B0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919EE0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2CD204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6A4752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4CCB38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C0F56E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02 March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38572C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190D8C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CD8B1F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02F433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031841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26752F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E2EBCB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Plenary session of Climate Change and Health in the Eighth National Summit of Health and Population Scientists of Nepal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209D19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12 April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DBAF21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7E61A7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19274B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800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A9370E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55E6C2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5CA4F61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0E73FF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28E16A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26 April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0083E1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743CDE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F3E1E6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D225F2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AA9BC2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271818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F81D85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workshop on operational research on climate resilient health systems in Nepal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355C22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3-8 May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C06E4C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F839B8E"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6F37AB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5B6A58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AF9F67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4ACA96D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782343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Workshop to enhance climate sensitive disease surveillance (CSDS) at national and sub-national levels.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91AE41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30-31 May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7AD680C"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27D93D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69C6B4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9CC5F0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066976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294656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90A9DA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750370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30 June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B5B524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96FF54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721D1A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774CF3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73EE2E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437801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20403C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F12BD5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20 Sept.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CF5B15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8A1BD3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FE5841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308F8F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A42EAD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F4E708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03A9BB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lastRenderedPageBreak/>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375C59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 Nov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82A8F4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3C71A3E"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8467DA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34EAA2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BE1C4F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A7E531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F3EDBD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data verification at BPKIHS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98535F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20-21 Dec.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674945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16C4D6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2E293A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946633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C5881F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9B3831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B46977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Local Level Sensitization at Dharan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E2D583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Dec.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C9F1C5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F0FED7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1157AE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018716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4C3E19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E06473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6B95D5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data verification at KAHS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03E340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29-30 Dec.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D5F12E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365661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40A33F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67903C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B9353E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3EB590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1E7E13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Local Level Sensitization at Jumla</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7B74D0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31 Dec.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E13B84C"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5922DE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3F6C44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CD5238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7C0A0F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C4A111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6C337B6"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CR-WSP Audit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A3D169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Nov. 28 – Dec. 1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499422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68C9A9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B12FE9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2BF185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814AD5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3C48C7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07E3AD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Local level sensitization at PAHS-Kaski</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5A4B06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9 Jan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A117A1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B8600E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EDC6B8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9156E2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62EFD9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F60FCB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64E551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data verification at PAHS-Kaski</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622A6A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10-11 Jan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A5F111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C200F8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4FF816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9145FC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DAC205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575867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6CC269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0F233F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8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6C0904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46ADB5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26C73C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5A1E8A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F67A01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4232D1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8B57E9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Local level sensitization at Bharatpur hospital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5C6599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6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567136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E60165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745926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30E0C8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D0356B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8CD30F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4846C4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data verification at Bharatpur hospital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73B5CE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7-8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B67D3B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93236E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670F57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6859CE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EE0955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9ED6B2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2DD881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training on Climate Resilience and Environmentally Sustainable Healthcare facilities (CRESHCF) for medical staffs at KAHS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7BBCCC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21-22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AACAF82"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DD602B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633F7E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2B9702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F10FE0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0E80154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4342AC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Orientation on CRESHCF for doctors and admin staff at KAHS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05AFBC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D7AAE9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6884C1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5DAFC0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D032F7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E40FEE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6138F7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2BCF61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Orientation on WASH facilities and infrastructure at KAHS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639E47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5FF6D3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30DE71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7665C6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CF3C47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EC4FC6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2E1399B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774EF0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Orientation on CRESHCF and role of public health professionals on climate and health for academic faculty and students at KAHS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C039F9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23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20D28FD"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DEA24F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A97D96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E7C9A4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D36E59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43DB3B5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0FDE27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training on CRESHCF for support staff at KAHS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6E5E44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23-24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C72FA4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1F7DC5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CCBF28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725175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4FD48B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51DFEF7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C81696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Orientation on CRESHCF to doctors and admin staff at Gaur hospital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BB56F9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26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A87695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7E04AB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29F968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F5F053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B58346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201E9EE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6F2BF7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training on CRESHCF for medical staffs at Gaur hospital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9A6F44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27-28 Feb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4F6BB7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8826C0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E76C09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CC7A40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1ED1A8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5E107AA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1C2EE2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training on CRESHCF for support staffs at Gaur hospital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E37B0D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March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9877A3F"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D69BCC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C7CA5F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18</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4F7D5F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2D91BE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6C975B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93F588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Orientation on CRESHCF for doctors and admin at Dhaulagiri hospital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E34126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March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EB3C23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12E203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1973B0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1C0028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E2D315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1D56FC4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9B6F64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lastRenderedPageBreak/>
              <w:t>Meeting on extreme weather and monsoon preparedness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B11FBB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April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BF3A9F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DCBA7E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8F5B7A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592DD2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E3BF5F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FA63D8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D195F4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u w:val="single"/>
                <w:lang w:val="en-US"/>
              </w:rPr>
              <w:t>Training on baseline assessment of GHG emissions from health sector operations in Nepal</w:t>
            </w:r>
            <w:r w:rsidRPr="00345010">
              <w:rPr>
                <w:rFonts w:ascii="Calibri" w:hAnsi="Calibri" w:cs="Calibri"/>
                <w:sz w:val="20"/>
                <w:szCs w:val="20"/>
              </w:rPr>
              <w:t> </w:t>
            </w:r>
          </w:p>
          <w:p w14:paraId="4168E9B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0DA801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2-5 May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971138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206F0C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F5071E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C2EF37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040591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039B55A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793B8D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926E48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9 May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41AC3E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1DA1DC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7B44EB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B3D18B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1E970D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462313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930D3A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Advocacy program on climate change and its impacts on health</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135C46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June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6BB94F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54F2F8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9E05AA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F02094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C2C23B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090E13B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606E4B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1823E1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9 August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C94D5D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4DD738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EA4C4C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21DC08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A6F409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296091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C16F6B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local level in Dolakha (Mountain region)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802F2B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5-7 October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427220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C51AA4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3FD6A8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BECEB5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B0CBC0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0DC4C5B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0E7D28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at local level in Rasuwa (Hilly region)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8848C1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12-14 October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FFE3EC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7BBCAB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A5B8CB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5322CF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0F3A31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1F5733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0E273F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change and health at local level in Rupandehi (Terai region)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A88C80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17-19 October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C6F0FA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BB7983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D56373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F91014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8EB324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D9DCA0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051C426"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BDE9E0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26 October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66048AF"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6D11D8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F6636C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F506AB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B1B33C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960367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95B867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climate resilient water safety plan (CR-WSP) for health professionals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74277F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27-30 Nov.,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C013EC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6D268C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10995B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7C28DD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DC92A1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30CD3A0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2B15DD47" w14:textId="77777777" w:rsidR="003C1DAE" w:rsidRPr="00345010" w:rsidRDefault="003C1DAE" w:rsidP="00C07A0A">
            <w:pPr>
              <w:textAlignment w:val="baseline"/>
              <w:rPr>
                <w:rFonts w:ascii="Calibri" w:hAnsi="Calibri" w:cs="Calibri"/>
                <w:b/>
                <w:bCs/>
                <w:sz w:val="20"/>
                <w:szCs w:val="20"/>
                <w:lang w:val="en-US"/>
              </w:rPr>
            </w:pPr>
            <w:r w:rsidRPr="00345010">
              <w:rPr>
                <w:rFonts w:ascii="Calibri" w:hAnsi="Calibri" w:cs="Calibri"/>
                <w:b/>
                <w:bCs/>
                <w:sz w:val="20"/>
                <w:szCs w:val="20"/>
                <w:lang w:val="en-US"/>
              </w:rPr>
              <w:t>TOTAL</w:t>
            </w:r>
          </w:p>
        </w:tc>
        <w:tc>
          <w:tcPr>
            <w:tcW w:w="1417"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00D6BE2B" w14:textId="77777777" w:rsidR="003C1DAE" w:rsidRPr="00345010" w:rsidRDefault="003C1DAE" w:rsidP="00C07A0A">
            <w:pPr>
              <w:ind w:right="75"/>
              <w:textAlignment w:val="baseline"/>
              <w:rPr>
                <w:rFonts w:ascii="Calibri" w:hAnsi="Calibri" w:cs="Calibri"/>
                <w:b/>
                <w:bCs/>
                <w:sz w:val="20"/>
                <w:szCs w:val="20"/>
                <w:lang w:val="en-US"/>
              </w:rPr>
            </w:pP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494A3523"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3EE55E6D"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00645152" w14:textId="77777777" w:rsidR="003C1DAE" w:rsidRPr="00345010" w:rsidRDefault="003C1DAE" w:rsidP="00C07A0A">
            <w:pPr>
              <w:jc w:val="center"/>
              <w:textAlignment w:val="baseline"/>
              <w:rPr>
                <w:rFonts w:ascii="Calibri" w:hAnsi="Calibri" w:cs="Calibri"/>
                <w:b/>
                <w:bCs/>
                <w:sz w:val="20"/>
                <w:szCs w:val="20"/>
              </w:rPr>
            </w:pPr>
            <w:r w:rsidRPr="00345010">
              <w:rPr>
                <w:rFonts w:ascii="Calibri" w:hAnsi="Calibri" w:cs="Calibri"/>
                <w:b/>
                <w:bCs/>
                <w:sz w:val="20"/>
                <w:szCs w:val="20"/>
              </w:rPr>
              <w:t>4,399</w:t>
            </w: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23906279" w14:textId="77777777" w:rsidR="003C1DAE" w:rsidRPr="00345010" w:rsidRDefault="003C1DAE" w:rsidP="00C07A0A">
            <w:pPr>
              <w:ind w:right="75"/>
              <w:textAlignment w:val="baseline"/>
              <w:rPr>
                <w:rFonts w:ascii="Calibri" w:hAnsi="Calibri" w:cs="Calibri"/>
                <w:sz w:val="20"/>
                <w:szCs w:val="20"/>
              </w:rPr>
            </w:pPr>
          </w:p>
        </w:tc>
        <w:tc>
          <w:tcPr>
            <w:tcW w:w="1414"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751E91D3" w14:textId="77777777" w:rsidR="003C1DAE" w:rsidRPr="00345010" w:rsidRDefault="003C1DAE" w:rsidP="00C07A0A">
            <w:pPr>
              <w:jc w:val="center"/>
              <w:textAlignment w:val="baseline"/>
              <w:rPr>
                <w:rFonts w:ascii="Calibri" w:hAnsi="Calibri" w:cs="Calibri"/>
                <w:sz w:val="20"/>
                <w:szCs w:val="20"/>
              </w:rPr>
            </w:pPr>
          </w:p>
        </w:tc>
      </w:tr>
      <w:tr w:rsidR="003C1DAE" w:rsidRPr="00345010" w14:paraId="5FFD4A3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4C37C116"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b/>
                <w:bCs/>
                <w:sz w:val="20"/>
                <w:szCs w:val="20"/>
                <w:lang w:val="en-US"/>
              </w:rPr>
              <w:t>Myanmar</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11F738B8"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b/>
                <w:bCs/>
                <w:sz w:val="20"/>
                <w:szCs w:val="20"/>
                <w:lang w:val="en-US"/>
              </w:rPr>
              <w:t>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tcPr>
          <w:p w14:paraId="5447A882"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DDEBF7"/>
          </w:tcPr>
          <w:p w14:paraId="5C186FDF"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3088A66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hideMark/>
          </w:tcPr>
          <w:p w14:paraId="0563FEC8"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DDEBF7"/>
            <w:hideMark/>
          </w:tcPr>
          <w:p w14:paraId="6831F7D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6E7C736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314334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8FF55A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18 Aug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6869A8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4E1F35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B42594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B68DE5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126F47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1CFB48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7644D4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F45C7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 Sep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28B9D9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1288BD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B89412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B950F5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0798AD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A104DD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84D888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7A9CD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7DE8E9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00FEA3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998A9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6667C5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4BC623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480533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88037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DHIS Dashboard App Demo</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FA6A9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BD8D636" w14:textId="77777777" w:rsidR="003C1DAE" w:rsidRPr="00345010" w:rsidRDefault="003C1DAE" w:rsidP="00C07A0A">
            <w:pPr>
              <w:jc w:val="center"/>
              <w:textAlignment w:val="baseline"/>
              <w:rPr>
                <w:rFonts w:ascii="Calibri" w:hAnsi="Calibri" w:cs="Calibri"/>
                <w:b/>
                <w:bCs/>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89EB2E7" w14:textId="77777777" w:rsidR="003C1DAE" w:rsidRPr="00345010" w:rsidRDefault="003C1DAE" w:rsidP="00C07A0A">
            <w:pPr>
              <w:jc w:val="center"/>
              <w:textAlignment w:val="baseline"/>
              <w:rPr>
                <w:rFonts w:ascii="Calibri" w:hAnsi="Calibri" w:cs="Calibri"/>
                <w:b/>
                <w:bCs/>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B42273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b/>
                <w:bCs/>
                <w:sz w:val="20"/>
                <w:szCs w:val="20"/>
                <w:lang w:val="en-US"/>
              </w:rPr>
              <w:t>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3E7B7B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B7F7A3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6816A8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04560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Bi-regional water safety audit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364C1C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29 Oct; 9 - 13 Nov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B6ABF78" w14:textId="77777777" w:rsidR="003C1DAE" w:rsidRPr="00345010" w:rsidRDefault="003C1DAE" w:rsidP="00C07A0A">
            <w:pPr>
              <w:jc w:val="center"/>
              <w:textAlignment w:val="baseline"/>
              <w:rPr>
                <w:rFonts w:ascii="Calibri" w:hAnsi="Calibri" w:cs="Calibri"/>
                <w:b/>
                <w:bCs/>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9401FB6" w14:textId="77777777" w:rsidR="003C1DAE" w:rsidRPr="00345010" w:rsidRDefault="003C1DAE" w:rsidP="00C07A0A">
            <w:pPr>
              <w:jc w:val="center"/>
              <w:textAlignment w:val="baseline"/>
              <w:rPr>
                <w:rFonts w:ascii="Calibri" w:hAnsi="Calibri" w:cs="Calibri"/>
                <w:b/>
                <w:bCs/>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C0D36A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b/>
                <w:bCs/>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1F74F1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7A2AAD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01B098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E178B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DE0E7F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16 Nov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83090C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A2F013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4EED3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6EFBE2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65E060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3C18E9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84A1E1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E72521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Jan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2C3575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AFAF73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8EB5C9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84CC62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459CAB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78EA82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38809B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regional risk mapping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4E9FA5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15 Feb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F369ACD"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CDD7C3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7F350B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C6BD37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F9D7B4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A0A4F8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6D5F92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9C4E36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30 Mar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153C44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59D889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78D2C6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DECF32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638546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D738D1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899C7A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E8D5B2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03 May 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FEF19B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2BAA24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CF04FF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A3980B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B0BC43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FB9D74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4F8387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lastRenderedPageBreak/>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19B254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Jun 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7F17B1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60C15F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8B2B0A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A305C1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C4A0BF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F07F09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78387E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risk mapping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C01274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4 August 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34C5C0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37464B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347D1D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548E78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8E75DD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085980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EA6023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risk mapping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1AFA94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 September 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AFE1D1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1AE4DA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6E5BAC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63B96E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719B6C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DC90D1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025428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risk mapping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076A2B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October</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24D269D"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4CF309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B88361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38F3E3C"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9535AA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C54E23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506DD3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risk mapping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361DFA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8 November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CCEAF0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01CE4A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F7C96F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9B923DA"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EA1480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F15894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F78837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TOT on Management of Highly infectious diseases (3 Batches)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D57904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August, 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3476BF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605604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74A9E0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95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49DCC36"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DMS, MoH </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4B000A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4017766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840C38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Multiplier training on management of Highly infectious diseases (17 S/R)</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799341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B6FEC03"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2FBDF586"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580E5A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CF6240F"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9D233B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b/>
                <w:bCs/>
                <w:sz w:val="20"/>
                <w:szCs w:val="20"/>
                <w:lang w:val="en-US"/>
              </w:rPr>
              <w:t>3</w:t>
            </w:r>
            <w:r w:rsidRPr="00345010">
              <w:rPr>
                <w:rFonts w:ascii="Calibri" w:hAnsi="Calibri" w:cs="Calibri"/>
                <w:sz w:val="20"/>
                <w:szCs w:val="20"/>
              </w:rPr>
              <w:t> </w:t>
            </w:r>
          </w:p>
        </w:tc>
      </w:tr>
      <w:tr w:rsidR="003C1DAE" w:rsidRPr="00345010" w14:paraId="08AB40F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F27509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Dengue web-based surveillance training (Rakhine state) (2 trainings)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24ADF7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November, December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D6C67D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2D8B47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E9038C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DDE4A2A"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MoH</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3CFDF0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B78BE3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2CE74913" w14:textId="77777777" w:rsidR="003C1DAE" w:rsidRPr="00345010" w:rsidRDefault="003C1DAE" w:rsidP="00C07A0A">
            <w:pPr>
              <w:textAlignment w:val="baseline"/>
              <w:rPr>
                <w:rFonts w:ascii="Calibri" w:hAnsi="Calibri" w:cs="Calibri"/>
                <w:b/>
                <w:bCs/>
                <w:sz w:val="20"/>
                <w:szCs w:val="20"/>
                <w:lang w:val="en-US"/>
              </w:rPr>
            </w:pPr>
            <w:r w:rsidRPr="00345010">
              <w:rPr>
                <w:rFonts w:ascii="Calibri" w:hAnsi="Calibri" w:cs="Calibri"/>
                <w:b/>
                <w:bCs/>
                <w:sz w:val="20"/>
                <w:szCs w:val="20"/>
                <w:lang w:val="en-US"/>
              </w:rPr>
              <w:t>TOTAL</w:t>
            </w:r>
          </w:p>
        </w:tc>
        <w:tc>
          <w:tcPr>
            <w:tcW w:w="1417"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3FEB2A7B" w14:textId="77777777" w:rsidR="003C1DAE" w:rsidRPr="00345010" w:rsidRDefault="003C1DAE" w:rsidP="00C07A0A">
            <w:pPr>
              <w:ind w:right="75"/>
              <w:textAlignment w:val="baseline"/>
              <w:rPr>
                <w:rFonts w:ascii="Calibri" w:hAnsi="Calibri" w:cs="Calibri"/>
                <w:b/>
                <w:bCs/>
                <w:sz w:val="20"/>
                <w:szCs w:val="20"/>
                <w:lang w:val="en-US"/>
              </w:rPr>
            </w:pP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3BC97C96"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3BBD6068"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6B284E6B" w14:textId="77777777" w:rsidR="003C1DAE" w:rsidRPr="00345010" w:rsidRDefault="003C1DAE" w:rsidP="00C07A0A">
            <w:pPr>
              <w:jc w:val="center"/>
              <w:textAlignment w:val="baseline"/>
              <w:rPr>
                <w:rFonts w:ascii="Calibri" w:hAnsi="Calibri" w:cs="Calibri"/>
                <w:b/>
                <w:bCs/>
                <w:sz w:val="20"/>
                <w:szCs w:val="20"/>
              </w:rPr>
            </w:pPr>
            <w:r w:rsidRPr="00345010">
              <w:rPr>
                <w:rFonts w:ascii="Calibri" w:hAnsi="Calibri" w:cs="Calibri"/>
                <w:b/>
                <w:bCs/>
                <w:sz w:val="20"/>
                <w:szCs w:val="20"/>
              </w:rPr>
              <w:t>215</w:t>
            </w: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04555A82" w14:textId="77777777" w:rsidR="003C1DAE" w:rsidRPr="00345010" w:rsidRDefault="003C1DAE" w:rsidP="00C07A0A">
            <w:pPr>
              <w:ind w:right="75"/>
              <w:textAlignment w:val="baseline"/>
              <w:rPr>
                <w:rFonts w:ascii="Calibri" w:hAnsi="Calibri" w:cs="Calibri"/>
                <w:sz w:val="20"/>
                <w:szCs w:val="20"/>
              </w:rPr>
            </w:pPr>
          </w:p>
        </w:tc>
        <w:tc>
          <w:tcPr>
            <w:tcW w:w="1414"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597DD59D" w14:textId="77777777" w:rsidR="003C1DAE" w:rsidRPr="00345010" w:rsidRDefault="003C1DAE" w:rsidP="00C07A0A">
            <w:pPr>
              <w:textAlignment w:val="baseline"/>
              <w:rPr>
                <w:rFonts w:ascii="Calibri" w:hAnsi="Calibri" w:cs="Calibri"/>
                <w:sz w:val="20"/>
                <w:szCs w:val="20"/>
              </w:rPr>
            </w:pPr>
          </w:p>
        </w:tc>
      </w:tr>
      <w:tr w:rsidR="003C1DAE" w:rsidRPr="00345010" w14:paraId="25A9B63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7225A66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b/>
                <w:bCs/>
                <w:sz w:val="20"/>
                <w:szCs w:val="20"/>
                <w:lang w:val="en-US"/>
              </w:rPr>
              <w:t>Timor-Leste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296CE11C"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b/>
                <w:bCs/>
                <w:sz w:val="20"/>
                <w:szCs w:val="20"/>
                <w:lang w:val="en-US"/>
              </w:rPr>
              <w:t>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tcPr>
          <w:p w14:paraId="5104AB0A"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DDEBF7"/>
          </w:tcPr>
          <w:p w14:paraId="3B227D7E"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353522F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hideMark/>
          </w:tcPr>
          <w:p w14:paraId="528B2F8D"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DDEBF7"/>
            <w:hideMark/>
          </w:tcPr>
          <w:p w14:paraId="40AC1B8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57B6781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ABFDBC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D5E666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 Aug 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98BA82F"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DBFC4F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F4839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F69DAE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AFEB01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FC4085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E28D48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F6D38C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 Sep 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C27CA9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D93C15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86D398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145448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963411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B9C65F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E8098F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6783D4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DD2A912"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5AD1C2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1E3E3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C459E5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5D8720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F16CB1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01922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DHIS Dashboard App Demo</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4F88B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B3D1CC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28552D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FC7A81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9887E1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459AB8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AA5899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879F1C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GCF Readiness Training/meeting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93DDAA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07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4FB083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D764ED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BB5E6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522710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5564BC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64D21C5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B9BB17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Bi-regional water safety audit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EF496C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9 - 13 Nov 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849E52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5E8E94E"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34B0A8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0E0024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CC38BA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4751675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95957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dengue prevention and control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951C8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12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774366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05781E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1E6FA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2AD33A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9A26D8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36327D2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F5E8B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of community water management groups in three municipalities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ECACB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14-19 Sep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EAA96DD"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16A6078"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903C0A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100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003619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CC3FFA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5FE5B03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9F948D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B6B647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16 Nov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1FA5B0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C83437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BFBB8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08992E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8D509C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34DBE44" w14:textId="77777777" w:rsidTr="00191F00">
        <w:trPr>
          <w:trHeight w:val="24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9A578B6"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C148BF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Jan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B4AAF9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B3F0F6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3F545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1943B3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EAFA4B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1094D3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8917B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 xml:space="preserve">Support the National Health Laboratory in conducting 2-day Refreshing training on Water Quality Testing and Evaluation of Water Safety Plan programme was </w:t>
            </w:r>
            <w:r w:rsidRPr="00345010">
              <w:rPr>
                <w:rFonts w:ascii="Calibri" w:hAnsi="Calibri" w:cs="Calibri"/>
                <w:sz w:val="20"/>
                <w:szCs w:val="20"/>
                <w:lang w:val="en-US"/>
              </w:rPr>
              <w:lastRenderedPageBreak/>
              <w:t>conducted by the National Health Laboratory, Ministry of Health. </w:t>
            </w:r>
            <w:r w:rsidRPr="00345010">
              <w:rPr>
                <w:rFonts w:ascii="Calibri" w:hAnsi="Calibri" w:cs="Calibri"/>
                <w:sz w:val="20"/>
                <w:szCs w:val="20"/>
              </w:rPr>
              <w:t> </w:t>
            </w:r>
          </w:p>
          <w:p w14:paraId="6E6069C0"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C5DE8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lastRenderedPageBreak/>
              <w:t>15-16 Feb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8F639D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9166078"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7FDA9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5F1F4E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E4DFDA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23CAECC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CE4AE9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0BC99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15 Feb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B41E97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AA76AB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B6474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2D8286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992120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9A23A7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AE9DA9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Online Regional training on ‘Advancing health-climate action through improved vulnerability and adaptation assessment and planning’, 17-19 August and 25 August 2021</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73C65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17-19 August and 25 August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C8C0E1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406053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03D06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B5FA23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EDEEFC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78735B2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FA949B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Regional training on Climate Resilient Water Safety Plan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7D8F3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13-16 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7EC822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74AFDF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FD019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F3294D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2858CB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5FD9F69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C7D0D3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Support MoH delegation to attend COP26 meeting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097D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Oct-12 Nov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E7F3C5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23A0EB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53AF7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D8037E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UN</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AEDCCE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26A5C7E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7D60A6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Virtual training/workshop on Enabling Sectoral Intervention for Clean Air in cities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5A309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8-9 December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405FD0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4C89AA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E10F5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B1587C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40749C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0EA65ED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0F3EC9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Evidence &amp; Policy Lecture on Air Pollution &amp; Health: how climate change is increasing both acute and chronic disease risk Confirmation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C87C1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7 Dec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E4CE49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6E9EF6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9178E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2D87B95"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The George Institute for Global Health, India</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609BD0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10DF71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F91EE2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Webinar Building back better for clean air: “Lessons from Asian Cities”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6AD61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29 Nov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9A319F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128507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A35AA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FDA1481"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Asia Pacific Clean Air Partnership</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C5196A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6462D7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FCBEBA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Dengue Case Management for health professional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1CC43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39FEADD"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6901F04E"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6CE03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DE36053"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WCO-TLS</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6F313A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6C18E5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D4BC7E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Orientation of web internet access on Air Quality Data Monitoring for the staff of department of Centre for Environment, Secretary of State for Environment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40212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30 June-1 July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A44151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0EA7B1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81B3E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0DF200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p w14:paraId="5ADD5914"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Facilitated by Local company (Klinik Moris Foun) </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8AF439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 and 2</w:t>
            </w:r>
            <w:r w:rsidRPr="00345010">
              <w:rPr>
                <w:rFonts w:ascii="Calibri" w:hAnsi="Calibri" w:cs="Calibri"/>
                <w:sz w:val="20"/>
                <w:szCs w:val="20"/>
              </w:rPr>
              <w:t> </w:t>
            </w:r>
          </w:p>
        </w:tc>
      </w:tr>
      <w:tr w:rsidR="003C1DAE" w:rsidRPr="00345010" w14:paraId="7365CC4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A7F65C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National Training on Climate-Resilient and Environmentally Sustainable Health Care Facilities (CRESH) and Climate Sensitive Disease Surveillance (CSD)</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70044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16-17 February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8608C7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AFA141E"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276A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25 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8EF920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SEARO/WCO-TLS</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9C205D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1,2,3</w:t>
            </w:r>
            <w:r w:rsidRPr="00345010">
              <w:rPr>
                <w:rFonts w:ascii="Calibri" w:hAnsi="Calibri" w:cs="Calibri"/>
                <w:sz w:val="20"/>
                <w:szCs w:val="20"/>
              </w:rPr>
              <w:t> </w:t>
            </w:r>
          </w:p>
        </w:tc>
      </w:tr>
      <w:tr w:rsidR="003C1DAE" w:rsidRPr="00345010" w14:paraId="2372139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35AF08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WASH and climate change partnership meeting with RA-WSC, WHO-SEARO</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CB179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13-14 February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454781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790A10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7DDE0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25 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1BADE7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SEARO/WCO-TLS</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8F5A97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w:t>
            </w:r>
            <w:r w:rsidRPr="00345010">
              <w:rPr>
                <w:rFonts w:ascii="Calibri" w:hAnsi="Calibri" w:cs="Calibri"/>
                <w:sz w:val="20"/>
                <w:szCs w:val="20"/>
              </w:rPr>
              <w:t> </w:t>
            </w:r>
          </w:p>
        </w:tc>
      </w:tr>
      <w:tr w:rsidR="003C1DAE" w:rsidRPr="00345010" w14:paraId="3F17C52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A6662E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 xml:space="preserve">In collaboration with the National Authority of Water and Sanitation and INGOs, NNGOs and other UN agencies celebrated World Water Day- Advocacy and awareness </w:t>
            </w:r>
            <w:r w:rsidRPr="00345010">
              <w:rPr>
                <w:rFonts w:ascii="Calibri" w:hAnsi="Calibri" w:cs="Calibri"/>
                <w:sz w:val="20"/>
                <w:szCs w:val="20"/>
                <w:lang w:val="en-US"/>
              </w:rPr>
              <w:lastRenderedPageBreak/>
              <w:t>raising session on climate impact and resilience of water supply in Timor-Leste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ECB94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lastRenderedPageBreak/>
              <w:t>22 March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88C49E2"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8FB376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8904C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100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B89B73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ANAS I.P and WASH partners (WASH forum)</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D45854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1, 3</w:t>
            </w:r>
            <w:r w:rsidRPr="00345010">
              <w:rPr>
                <w:rFonts w:ascii="Calibri" w:hAnsi="Calibri" w:cs="Calibri"/>
                <w:sz w:val="20"/>
                <w:szCs w:val="20"/>
              </w:rPr>
              <w:t> </w:t>
            </w:r>
          </w:p>
        </w:tc>
      </w:tr>
      <w:tr w:rsidR="003C1DAE" w:rsidRPr="00345010" w14:paraId="67EEAB2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DF3050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Web-based Climate Resilience and Environmental Sustainability scorecard for Healthcare Facilities followed by field visit to 3 health care facilities (Hospital Referral of Maubessi, Community Health Centre of Liquica and National Hospital of Guido Valadares).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15405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17-21 April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D528FD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36602F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8C132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7C8523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SEARO/WCO-TLS </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B0773B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1,2, 3</w:t>
            </w:r>
            <w:r w:rsidRPr="00345010">
              <w:rPr>
                <w:rFonts w:ascii="Calibri" w:hAnsi="Calibri" w:cs="Calibri"/>
                <w:sz w:val="20"/>
                <w:szCs w:val="20"/>
              </w:rPr>
              <w:t> </w:t>
            </w:r>
          </w:p>
        </w:tc>
      </w:tr>
      <w:tr w:rsidR="003C1DAE" w:rsidRPr="00345010" w14:paraId="15E6600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A293DF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First Meeting of SEA Expert Group on Environment Determinants of Health and Climate Change, New Delhi, India</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3A8F5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13 March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09A8E7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458677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5F9D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4CEF94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33E3E3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1,2, 3</w:t>
            </w:r>
            <w:r w:rsidRPr="00345010">
              <w:rPr>
                <w:rFonts w:ascii="Calibri" w:hAnsi="Calibri" w:cs="Calibri"/>
                <w:sz w:val="20"/>
                <w:szCs w:val="20"/>
              </w:rPr>
              <w:t> </w:t>
            </w:r>
          </w:p>
        </w:tc>
      </w:tr>
      <w:tr w:rsidR="003C1DAE" w:rsidRPr="00345010" w14:paraId="6C8139A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1FF03C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Regional Meeting on Health Impacts of Pollution, with specific focus on Air Pollution and Marine Pollution and Health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3FA55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14-16 March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7B76E4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30E419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6B5F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7B081F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977303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1,3</w:t>
            </w:r>
            <w:r w:rsidRPr="00345010">
              <w:rPr>
                <w:rFonts w:ascii="Calibri" w:hAnsi="Calibri" w:cs="Calibri"/>
                <w:sz w:val="20"/>
                <w:szCs w:val="20"/>
              </w:rPr>
              <w:t> </w:t>
            </w:r>
          </w:p>
        </w:tc>
      </w:tr>
      <w:tr w:rsidR="003C1DAE" w:rsidRPr="00345010" w14:paraId="605DF62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48E3BD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2"/>
                <w:szCs w:val="22"/>
                <w:lang w:val="en-US"/>
              </w:rPr>
              <w:t>Water Quality testing training (AAS and HPLC) This includes use of mobile water quality test kits and application of chlorine in flood water. Changes in rainfall and runoff timing, coupled with higher temperatures due to climate change, thereby increasing capacity of health professionals and promoting the most appropriate new technologies to respond to waterborne diseases.</w:t>
            </w:r>
            <w:r w:rsidRPr="00345010">
              <w:rPr>
                <w:rFonts w:ascii="Calibri" w:hAnsi="Calibri" w:cs="Calibri"/>
                <w:sz w:val="22"/>
                <w:szCs w:val="22"/>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9ACED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6 month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0FF0F1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3F2A32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6AA33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10 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C03ED7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WCO, NHL and international consultant </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DBAA7F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1,2,3</w:t>
            </w:r>
            <w:r w:rsidRPr="00345010">
              <w:rPr>
                <w:rFonts w:ascii="Calibri" w:hAnsi="Calibri" w:cs="Calibri"/>
                <w:sz w:val="20"/>
                <w:szCs w:val="20"/>
              </w:rPr>
              <w:t> </w:t>
            </w:r>
          </w:p>
          <w:p w14:paraId="3CCA29D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p w14:paraId="32B4BE2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p w14:paraId="5AF0BBB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43E0C56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FB9297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To provide technical support to the Ministry of Health in conducting Vulnerability, capacity and Adaptation assessment (VCA) for all municipalities of Timor-Leste including development of Climate and Health Risk profile of each municipality and publication of scientific papers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79426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 xml:space="preserve">1 month (8 November – 3 December 2023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FF63B4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44CA09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B937C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E9E1B0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WCO, Environmental Health Department/MoH, UNTL, INSPTL, James Cook University, Menzies research schools </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2806CF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728C15E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102B8F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Inception workshop on Healthcare Waste Management (HCWM) policy development </w:t>
            </w:r>
            <w:r w:rsidRPr="00345010">
              <w:rPr>
                <w:rFonts w:ascii="Calibri" w:hAnsi="Calibri" w:cs="Calibri"/>
                <w:sz w:val="20"/>
                <w:szCs w:val="20"/>
              </w:rPr>
              <w:t> </w:t>
            </w:r>
          </w:p>
          <w:p w14:paraId="007DE74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EF7B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day</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413298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E2C64C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2E62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DE376E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WCO and Environmental Health Department, MoH</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A55398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7E8B169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3312B6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p w14:paraId="105B5BF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lastRenderedPageBreak/>
              <w:t>Inception workshop on V&amp;A assessment and Climate and Health Risk profile development for Timor-Leste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E335F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lastRenderedPageBreak/>
              <w:t>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69A60E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B83864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C268D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03C07C6"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 xml:space="preserve">WCO, Environmental </w:t>
            </w:r>
            <w:r w:rsidRPr="00345010">
              <w:rPr>
                <w:rFonts w:ascii="Calibri" w:hAnsi="Calibri" w:cs="Calibri"/>
                <w:sz w:val="20"/>
                <w:szCs w:val="20"/>
                <w:lang w:val="en-US"/>
              </w:rPr>
              <w:lastRenderedPageBreak/>
              <w:t>Health Department, MoH</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A02F55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lastRenderedPageBreak/>
              <w:t> </w:t>
            </w:r>
          </w:p>
        </w:tc>
      </w:tr>
      <w:tr w:rsidR="003C1DAE" w:rsidRPr="00345010" w14:paraId="104E1CE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8EDD2E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Briefing meeting with environmental health department team, MoH and DG of Public Health to provide technical support to develop the national policy for Health Care Waste management, CRESH Policy and Strategy Development for Timor-Leste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1FC7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day</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AFEE1F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F302CF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3A680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9B4F1D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WCO and Environmental Health Department, MoH</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DAF7CA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6D79C25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FB7F55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Debriefing meeting with WR and EHD, MoH on health care waste management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4C6E4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Half day</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230CD20" w14:textId="77777777" w:rsidR="003C1DAE" w:rsidRPr="00345010" w:rsidRDefault="003C1DAE" w:rsidP="00C07A0A">
            <w:pP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53A2B5B" w14:textId="77777777" w:rsidR="003C1DAE" w:rsidRPr="00345010" w:rsidRDefault="003C1DAE" w:rsidP="00C07A0A">
            <w:pP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9DF6A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15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E0C787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WCO </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F77AEC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72DF1C4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320811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Meeting with Prof. Dr. Rufus (University of California Irvine) and Environmental Health Department team, MoH   on air pollution and health</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04CC9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Half day</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02954C1" w14:textId="77777777" w:rsidR="003C1DAE" w:rsidRPr="00345010" w:rsidRDefault="003C1DAE" w:rsidP="00C07A0A">
            <w:pP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CA56E24" w14:textId="77777777" w:rsidR="003C1DAE" w:rsidRPr="00345010" w:rsidRDefault="003C1DAE" w:rsidP="00C07A0A">
            <w:pP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7F48F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10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B204A76"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0D5530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186083E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744D4089" w14:textId="77777777" w:rsidR="003C1DAE" w:rsidRPr="00345010" w:rsidRDefault="003C1DAE" w:rsidP="00C07A0A">
            <w:pPr>
              <w:textAlignment w:val="baseline"/>
              <w:rPr>
                <w:rFonts w:ascii="Segoe UI" w:hAnsi="Segoe UI" w:cs="Segoe UI"/>
                <w:b/>
                <w:bCs/>
                <w:sz w:val="18"/>
                <w:szCs w:val="18"/>
              </w:rPr>
            </w:pPr>
            <w:r w:rsidRPr="00345010">
              <w:rPr>
                <w:rFonts w:ascii="Calibri" w:hAnsi="Calibri" w:cs="Calibri"/>
                <w:b/>
                <w:bCs/>
                <w:sz w:val="20"/>
                <w:szCs w:val="20"/>
              </w:rPr>
              <w:t> TOTAL</w:t>
            </w:r>
          </w:p>
        </w:tc>
        <w:tc>
          <w:tcPr>
            <w:tcW w:w="1417" w:type="dxa"/>
            <w:tcBorders>
              <w:top w:val="single" w:sz="6" w:space="0" w:color="000000"/>
              <w:left w:val="single" w:sz="6" w:space="0" w:color="000000"/>
              <w:bottom w:val="single" w:sz="6" w:space="0" w:color="000000"/>
              <w:right w:val="single" w:sz="6" w:space="0" w:color="000000"/>
            </w:tcBorders>
            <w:shd w:val="clear" w:color="auto" w:fill="E8E8E8" w:themeFill="background2"/>
            <w:vAlign w:val="center"/>
            <w:hideMark/>
          </w:tcPr>
          <w:p w14:paraId="52B1B92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071846D0"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49615DE6"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E8E8E8" w:themeFill="background2"/>
            <w:vAlign w:val="center"/>
            <w:hideMark/>
          </w:tcPr>
          <w:p w14:paraId="375C0D35" w14:textId="77777777" w:rsidR="003C1DAE" w:rsidRPr="00345010" w:rsidRDefault="003C1DAE" w:rsidP="00C07A0A">
            <w:pPr>
              <w:jc w:val="center"/>
              <w:textAlignment w:val="baseline"/>
              <w:rPr>
                <w:rFonts w:ascii="Segoe UI" w:hAnsi="Segoe UI" w:cs="Segoe UI"/>
                <w:b/>
                <w:bCs/>
                <w:sz w:val="18"/>
                <w:szCs w:val="18"/>
              </w:rPr>
            </w:pPr>
            <w:r w:rsidRPr="00345010">
              <w:rPr>
                <w:rFonts w:ascii="Calibri" w:hAnsi="Calibri" w:cs="Calibri"/>
                <w:b/>
                <w:bCs/>
                <w:sz w:val="20"/>
                <w:szCs w:val="20"/>
              </w:rPr>
              <w:t>791 </w:t>
            </w: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61737D1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26940A6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53FFEB1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49B06D36"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b/>
                <w:bCs/>
                <w:sz w:val="20"/>
                <w:szCs w:val="20"/>
                <w:lang w:val="en-US"/>
              </w:rPr>
              <w:t>Cambodia</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105A90FA"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b/>
                <w:bCs/>
                <w:sz w:val="20"/>
                <w:szCs w:val="20"/>
                <w:lang w:val="en-US"/>
              </w:rPr>
              <w:t>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tcPr>
          <w:p w14:paraId="7D7890EC"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DDEBF7"/>
          </w:tcPr>
          <w:p w14:paraId="155CA03A"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1D7B998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hideMark/>
          </w:tcPr>
          <w:p w14:paraId="29BD9C52"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DDEBF7"/>
            <w:hideMark/>
          </w:tcPr>
          <w:p w14:paraId="6A22CC2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3891906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BEB685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10DA86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 Aug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402E52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E1E635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ED697D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98CD22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66E5F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1131BDE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35E489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139C0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 Sep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25583D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5AFE45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7D8970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B26E02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73092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8B887A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C4E55D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40625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20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50A5F4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9F60A4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F5E7D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ACC01F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7438E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EF49E3A" w14:textId="77777777" w:rsidTr="00191F00">
        <w:trPr>
          <w:trHeight w:val="585"/>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A3819D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workshops for healthcare providers on surveillance indicators reporting for diarrheal diseases and COVID-19 prevention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44D5C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27-28 Aug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CC915DF"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958CDC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EDBF76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90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7AE302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7977C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5BFF12A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966F2D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Workshop to launch curriculum on CCH for postgraduate course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D7FA8F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29 Dec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58179F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3311D7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457B6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A9B4E5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1872F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276CC06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37C190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regional risk mapping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AD898B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15 Feb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266FA9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3A884D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2FC197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C69FEB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5E72F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BD36FB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21DE70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of Trainers on Dengue/CHIKV Case Management (TOT) Siem Riep and Battambang provinces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03455C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1 -2 Mar and 4-5 Mar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2CA83A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E29CD3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4B2F3F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0458F0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8C48D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7C041AA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972BC1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1A73E9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26 Mar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81858A2"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90D006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2D5B9E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C48984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067D5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30FDC0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47F1F2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BDC0FA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Jun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450B79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79FA10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1F1517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1CF772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1C12F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4F618C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279CE9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5F7580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July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CF941A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158DBE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8F992F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987402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B5FEA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CCA23F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020EC7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A1CAC8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25 August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914B22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A046C7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6C1342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CFB3EE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A8B8E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FA3137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1D3E2B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Country Risk Mapping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AEB5F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01-09-21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188ADD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380C48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0133B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F29827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7EF5A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979D40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2F53A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Standard procedures training (dengue database)</w:t>
            </w:r>
            <w:r w:rsidRPr="00345010">
              <w:rPr>
                <w:rFonts w:ascii="Calibri" w:hAnsi="Calibri" w:cs="Calibri"/>
                <w:sz w:val="20"/>
                <w:szCs w:val="20"/>
              </w:rPr>
              <w:t> </w:t>
            </w:r>
          </w:p>
          <w:p w14:paraId="38A87B04" w14:textId="77777777" w:rsidR="003C1DAE" w:rsidRPr="00345010" w:rsidRDefault="003C1DAE" w:rsidP="00C07A0A">
            <w:pPr>
              <w:numPr>
                <w:ilvl w:val="0"/>
                <w:numId w:val="53"/>
              </w:numPr>
              <w:ind w:left="1080" w:firstLine="0"/>
              <w:textAlignment w:val="baseline"/>
              <w:rPr>
                <w:rFonts w:ascii="Calibri" w:hAnsi="Calibri" w:cs="Calibri"/>
                <w:sz w:val="20"/>
                <w:szCs w:val="20"/>
              </w:rPr>
            </w:pPr>
            <w:r w:rsidRPr="00345010">
              <w:rPr>
                <w:rFonts w:ascii="Calibri" w:hAnsi="Calibri" w:cs="Calibri"/>
                <w:sz w:val="20"/>
                <w:szCs w:val="20"/>
              </w:rPr>
              <w:t>Kampong Thom </w:t>
            </w:r>
          </w:p>
          <w:p w14:paraId="32842A63" w14:textId="77777777" w:rsidR="003C1DAE" w:rsidRPr="00345010" w:rsidRDefault="003C1DAE" w:rsidP="00C07A0A">
            <w:pPr>
              <w:numPr>
                <w:ilvl w:val="0"/>
                <w:numId w:val="54"/>
              </w:numPr>
              <w:ind w:left="1080" w:firstLine="0"/>
              <w:textAlignment w:val="baseline"/>
              <w:rPr>
                <w:rFonts w:ascii="Calibri" w:hAnsi="Calibri" w:cs="Calibri"/>
                <w:sz w:val="20"/>
                <w:szCs w:val="20"/>
              </w:rPr>
            </w:pPr>
            <w:r w:rsidRPr="00345010">
              <w:rPr>
                <w:rFonts w:ascii="Calibri" w:hAnsi="Calibri" w:cs="Calibri"/>
                <w:sz w:val="20"/>
                <w:szCs w:val="20"/>
              </w:rPr>
              <w:lastRenderedPageBreak/>
              <w:t>Takeo </w:t>
            </w:r>
          </w:p>
          <w:p w14:paraId="135ADAF4" w14:textId="77777777" w:rsidR="003C1DAE" w:rsidRPr="00345010" w:rsidRDefault="003C1DAE" w:rsidP="00C07A0A">
            <w:pPr>
              <w:numPr>
                <w:ilvl w:val="0"/>
                <w:numId w:val="55"/>
              </w:numPr>
              <w:ind w:left="1080" w:firstLine="0"/>
              <w:textAlignment w:val="baseline"/>
              <w:rPr>
                <w:rFonts w:ascii="Calibri" w:hAnsi="Calibri" w:cs="Calibri"/>
                <w:sz w:val="20"/>
                <w:szCs w:val="20"/>
              </w:rPr>
            </w:pPr>
            <w:r w:rsidRPr="00345010">
              <w:rPr>
                <w:rFonts w:ascii="Calibri" w:hAnsi="Calibri" w:cs="Calibri"/>
                <w:sz w:val="20"/>
                <w:szCs w:val="20"/>
              </w:rPr>
              <w:t>Svay Rieng </w:t>
            </w:r>
          </w:p>
          <w:p w14:paraId="1F8E84F4" w14:textId="77777777" w:rsidR="003C1DAE" w:rsidRPr="00345010" w:rsidRDefault="003C1DAE" w:rsidP="00C07A0A">
            <w:pPr>
              <w:numPr>
                <w:ilvl w:val="0"/>
                <w:numId w:val="56"/>
              </w:numPr>
              <w:ind w:left="1080" w:firstLine="0"/>
              <w:textAlignment w:val="baseline"/>
              <w:rPr>
                <w:rFonts w:ascii="Calibri" w:hAnsi="Calibri" w:cs="Calibri"/>
                <w:sz w:val="20"/>
                <w:szCs w:val="20"/>
              </w:rPr>
            </w:pPr>
            <w:r w:rsidRPr="00345010">
              <w:rPr>
                <w:rFonts w:ascii="Calibri" w:hAnsi="Calibri" w:cs="Calibri"/>
                <w:sz w:val="20"/>
                <w:szCs w:val="20"/>
              </w:rPr>
              <w:t>Battambang </w:t>
            </w:r>
          </w:p>
          <w:p w14:paraId="398F54F7" w14:textId="77777777" w:rsidR="003C1DAE" w:rsidRPr="00345010" w:rsidRDefault="003C1DAE" w:rsidP="00C07A0A">
            <w:pPr>
              <w:numPr>
                <w:ilvl w:val="0"/>
                <w:numId w:val="57"/>
              </w:numPr>
              <w:ind w:left="1080" w:firstLine="0"/>
              <w:textAlignment w:val="baseline"/>
              <w:rPr>
                <w:rFonts w:ascii="Calibri" w:hAnsi="Calibri" w:cs="Calibri"/>
                <w:sz w:val="20"/>
                <w:szCs w:val="20"/>
              </w:rPr>
            </w:pPr>
            <w:r w:rsidRPr="00345010">
              <w:rPr>
                <w:rFonts w:ascii="Calibri" w:hAnsi="Calibri" w:cs="Calibri"/>
                <w:sz w:val="20"/>
                <w:szCs w:val="20"/>
              </w:rPr>
              <w:t>Siem Reap </w:t>
            </w:r>
          </w:p>
          <w:p w14:paraId="4ABB56C8" w14:textId="77777777" w:rsidR="003C1DAE" w:rsidRPr="00345010" w:rsidRDefault="003C1DAE" w:rsidP="00C07A0A">
            <w:pPr>
              <w:numPr>
                <w:ilvl w:val="0"/>
                <w:numId w:val="58"/>
              </w:numPr>
              <w:ind w:left="1080" w:firstLine="0"/>
              <w:textAlignment w:val="baseline"/>
              <w:rPr>
                <w:rFonts w:ascii="Calibri" w:hAnsi="Calibri" w:cs="Calibri"/>
                <w:sz w:val="20"/>
                <w:szCs w:val="20"/>
              </w:rPr>
            </w:pPr>
            <w:r w:rsidRPr="00345010">
              <w:rPr>
                <w:rFonts w:ascii="Calibri" w:hAnsi="Calibri" w:cs="Calibri"/>
                <w:sz w:val="20"/>
                <w:szCs w:val="20"/>
              </w:rPr>
              <w:t>Kampong Cham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FFD025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lastRenderedPageBreak/>
              <w:t> </w:t>
            </w:r>
          </w:p>
          <w:p w14:paraId="784F623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11-12 Oct 2021</w:t>
            </w:r>
            <w:r w:rsidRPr="00345010">
              <w:rPr>
                <w:rFonts w:ascii="Calibri" w:hAnsi="Calibri" w:cs="Calibri"/>
                <w:sz w:val="20"/>
                <w:szCs w:val="20"/>
              </w:rPr>
              <w:t> </w:t>
            </w:r>
          </w:p>
          <w:p w14:paraId="1879164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lastRenderedPageBreak/>
              <w:t>14-15 Oct 2021</w:t>
            </w:r>
            <w:r w:rsidRPr="00345010">
              <w:rPr>
                <w:rFonts w:ascii="Calibri" w:hAnsi="Calibri" w:cs="Calibri"/>
                <w:sz w:val="20"/>
                <w:szCs w:val="20"/>
              </w:rPr>
              <w:t> </w:t>
            </w:r>
          </w:p>
          <w:p w14:paraId="78578FC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25-26 Oct 2021</w:t>
            </w:r>
            <w:r w:rsidRPr="00345010">
              <w:rPr>
                <w:rFonts w:ascii="Calibri" w:hAnsi="Calibri" w:cs="Calibri"/>
                <w:sz w:val="20"/>
                <w:szCs w:val="20"/>
              </w:rPr>
              <w:t> </w:t>
            </w:r>
          </w:p>
          <w:p w14:paraId="5232DEA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25-27 Nov 2021</w:t>
            </w:r>
            <w:r w:rsidRPr="00345010">
              <w:rPr>
                <w:rFonts w:ascii="Calibri" w:hAnsi="Calibri" w:cs="Calibri"/>
                <w:sz w:val="20"/>
                <w:szCs w:val="20"/>
              </w:rPr>
              <w:t> </w:t>
            </w:r>
          </w:p>
          <w:p w14:paraId="0494196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21-24 Nov 2021</w:t>
            </w:r>
            <w:r w:rsidRPr="00345010">
              <w:rPr>
                <w:rFonts w:ascii="Calibri" w:hAnsi="Calibri" w:cs="Calibri"/>
                <w:sz w:val="20"/>
                <w:szCs w:val="20"/>
              </w:rPr>
              <w:t> </w:t>
            </w:r>
          </w:p>
          <w:p w14:paraId="409FB73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07-08 Dec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A43E22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94744E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2B839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160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636B9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22EA0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59CD8C9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C8128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Improving diarrhoeal disease surveillance and COVID-19 prevention and control</w:t>
            </w:r>
            <w:r w:rsidRPr="00345010">
              <w:rPr>
                <w:rFonts w:ascii="Calibri" w:hAnsi="Calibri" w:cs="Calibri"/>
                <w:sz w:val="20"/>
                <w:szCs w:val="20"/>
              </w:rPr>
              <w:t> </w:t>
            </w:r>
          </w:p>
          <w:p w14:paraId="437C3DF4" w14:textId="77777777" w:rsidR="003C1DAE" w:rsidRPr="00345010" w:rsidRDefault="003C1DAE" w:rsidP="00C07A0A">
            <w:pPr>
              <w:numPr>
                <w:ilvl w:val="0"/>
                <w:numId w:val="59"/>
              </w:numPr>
              <w:ind w:left="1080" w:firstLine="0"/>
              <w:textAlignment w:val="baseline"/>
              <w:rPr>
                <w:rFonts w:ascii="Calibri" w:hAnsi="Calibri" w:cs="Calibri"/>
                <w:sz w:val="20"/>
                <w:szCs w:val="20"/>
              </w:rPr>
            </w:pPr>
            <w:r w:rsidRPr="00345010">
              <w:rPr>
                <w:rFonts w:ascii="Calibri" w:hAnsi="Calibri" w:cs="Calibri"/>
                <w:sz w:val="20"/>
                <w:szCs w:val="20"/>
              </w:rPr>
              <w:t>Kampong Chhnang </w:t>
            </w:r>
          </w:p>
          <w:p w14:paraId="1061A338" w14:textId="77777777" w:rsidR="003C1DAE" w:rsidRPr="00345010" w:rsidRDefault="003C1DAE" w:rsidP="00C07A0A">
            <w:pPr>
              <w:numPr>
                <w:ilvl w:val="0"/>
                <w:numId w:val="60"/>
              </w:numPr>
              <w:ind w:left="1080" w:firstLine="0"/>
              <w:textAlignment w:val="baseline"/>
              <w:rPr>
                <w:rFonts w:ascii="Calibri" w:hAnsi="Calibri" w:cs="Calibri"/>
                <w:sz w:val="20"/>
                <w:szCs w:val="20"/>
              </w:rPr>
            </w:pPr>
            <w:r w:rsidRPr="00345010">
              <w:rPr>
                <w:rFonts w:ascii="Calibri" w:hAnsi="Calibri" w:cs="Calibri"/>
                <w:sz w:val="20"/>
                <w:szCs w:val="20"/>
              </w:rPr>
              <w:t>Takeo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CBF4C3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p w14:paraId="21DB047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p w14:paraId="6A47FF9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11-12 Nov 2021</w:t>
            </w:r>
            <w:r w:rsidRPr="00345010">
              <w:rPr>
                <w:rFonts w:ascii="Calibri" w:hAnsi="Calibri" w:cs="Calibri"/>
                <w:sz w:val="20"/>
                <w:szCs w:val="20"/>
              </w:rPr>
              <w:t> </w:t>
            </w:r>
          </w:p>
          <w:p w14:paraId="6724DE9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15-16 Nov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C7CB43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71AFFB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D0155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CFCE5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D2B1B9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6FF0838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D96C9C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First CC&amp;H capacity building training at Kampong Cham Province for provincial and national MoH staff. (see more detail and photos in technical report number 1: “01. Capacity Building Trainings on CC&amp;H Feb-Mar 22.docx”</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CC6CF9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 – 18 Feb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216FC4B"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26</w:t>
            </w:r>
          </w:p>
        </w:tc>
        <w:tc>
          <w:tcPr>
            <w:tcW w:w="1276" w:type="dxa"/>
            <w:tcBorders>
              <w:top w:val="single" w:sz="6" w:space="0" w:color="000000"/>
              <w:left w:val="single" w:sz="6" w:space="0" w:color="000000"/>
              <w:bottom w:val="single" w:sz="6" w:space="0" w:color="000000"/>
              <w:right w:val="single" w:sz="6" w:space="0" w:color="000000"/>
            </w:tcBorders>
          </w:tcPr>
          <w:p w14:paraId="56D9AFAC"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353EE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 xml:space="preserve">30 </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(4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C54C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0D3D2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6897633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8F26A8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6EE3FA0" w14:textId="77777777" w:rsidR="003C1DAE" w:rsidRPr="00345010" w:rsidRDefault="003C1DAE" w:rsidP="00C07A0A">
            <w:pPr>
              <w:ind w:right="75"/>
              <w:jc w:val="center"/>
              <w:textAlignment w:val="baseline"/>
              <w:rPr>
                <w:rFonts w:ascii="Segoe UI" w:hAnsi="Segoe UI" w:cs="Segoe UI"/>
                <w:sz w:val="18"/>
                <w:szCs w:val="18"/>
              </w:rPr>
            </w:pPr>
            <w:r w:rsidRPr="00345010">
              <w:rPr>
                <w:rFonts w:ascii="Calibri" w:hAnsi="Calibri" w:cs="Calibri"/>
                <w:sz w:val="20"/>
                <w:szCs w:val="20"/>
                <w:lang w:val="en-US"/>
              </w:rPr>
              <w:t>19 Sept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D0B8A9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ED13FF7"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C8FB0A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F7A0E2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7CD8D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80A292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2C5BD9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Second capacity building training at Kampong Cham Province for provincial and national MoH staff.</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7076C2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 23 Feb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2CCD848"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18</w:t>
            </w:r>
          </w:p>
        </w:tc>
        <w:tc>
          <w:tcPr>
            <w:tcW w:w="1276" w:type="dxa"/>
            <w:tcBorders>
              <w:top w:val="single" w:sz="6" w:space="0" w:color="000000"/>
              <w:left w:val="single" w:sz="6" w:space="0" w:color="000000"/>
              <w:bottom w:val="single" w:sz="6" w:space="0" w:color="000000"/>
              <w:right w:val="single" w:sz="6" w:space="0" w:color="000000"/>
            </w:tcBorders>
          </w:tcPr>
          <w:p w14:paraId="0791F9E8"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2CF22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 xml:space="preserve">27 </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(9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52ADD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E38FA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6C1441A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8DADDD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Third capacity building training at Kampong Cham Province for provincial and national MoH staff.</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F7D854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09 – 10 Mar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D6EDE83"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21</w:t>
            </w:r>
          </w:p>
        </w:tc>
        <w:tc>
          <w:tcPr>
            <w:tcW w:w="1276" w:type="dxa"/>
            <w:tcBorders>
              <w:top w:val="single" w:sz="6" w:space="0" w:color="000000"/>
              <w:left w:val="single" w:sz="6" w:space="0" w:color="000000"/>
              <w:bottom w:val="single" w:sz="6" w:space="0" w:color="000000"/>
              <w:right w:val="single" w:sz="6" w:space="0" w:color="000000"/>
            </w:tcBorders>
          </w:tcPr>
          <w:p w14:paraId="215B531C"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90150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 xml:space="preserve">25 </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(4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83FF7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ED5CF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302DF28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026856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5 x full day sessions of WASH awareness raising in communities and villages (chiefs, vice-chiefs, commune councils and VHSGs), 25 participants per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0D9421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During March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9C985F5"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97</w:t>
            </w:r>
          </w:p>
        </w:tc>
        <w:tc>
          <w:tcPr>
            <w:tcW w:w="1276" w:type="dxa"/>
            <w:tcBorders>
              <w:top w:val="single" w:sz="6" w:space="0" w:color="000000"/>
              <w:left w:val="single" w:sz="6" w:space="0" w:color="000000"/>
              <w:bottom w:val="single" w:sz="6" w:space="0" w:color="000000"/>
              <w:right w:val="single" w:sz="6" w:space="0" w:color="000000"/>
            </w:tcBorders>
          </w:tcPr>
          <w:p w14:paraId="7324EFC7"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28</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0F951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125</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(28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D7472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 xml:space="preserve">CO </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(PMD team)</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D0AA9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064CB7B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DBEB076"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5 x full day sessions of WASH awareness raising in communities and villages (villagers and community members), 40 participants per session lead by PHD Ratanakiri</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784834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During March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1ACD731"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79</w:t>
            </w:r>
          </w:p>
        </w:tc>
        <w:tc>
          <w:tcPr>
            <w:tcW w:w="1276" w:type="dxa"/>
            <w:tcBorders>
              <w:top w:val="single" w:sz="6" w:space="0" w:color="000000"/>
              <w:left w:val="single" w:sz="6" w:space="0" w:color="000000"/>
              <w:bottom w:val="single" w:sz="6" w:space="0" w:color="000000"/>
              <w:right w:val="single" w:sz="6" w:space="0" w:color="000000"/>
            </w:tcBorders>
          </w:tcPr>
          <w:p w14:paraId="1EC84693"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121</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482BB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200</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(121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C24C7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 xml:space="preserve">CO </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(PMD team)</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FD7A6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5859C84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8302D6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Climate Change and Health (CC&amp;H) capacity building training on the publication guidelines for climate sensitive diseases for health staff and TWG members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B4AF7B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15 – 16 Mar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60F5C17"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29</w:t>
            </w:r>
          </w:p>
        </w:tc>
        <w:tc>
          <w:tcPr>
            <w:tcW w:w="1276" w:type="dxa"/>
            <w:tcBorders>
              <w:top w:val="single" w:sz="6" w:space="0" w:color="000000"/>
              <w:left w:val="single" w:sz="6" w:space="0" w:color="000000"/>
              <w:bottom w:val="single" w:sz="6" w:space="0" w:color="000000"/>
              <w:right w:val="single" w:sz="6" w:space="0" w:color="000000"/>
            </w:tcBorders>
          </w:tcPr>
          <w:p w14:paraId="164CA205"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F04E1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 xml:space="preserve">35 </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(6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F1A67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D289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62AADAC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765D6F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8F5776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4 April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BF2C645"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6</w:t>
            </w:r>
          </w:p>
        </w:tc>
        <w:tc>
          <w:tcPr>
            <w:tcW w:w="1276" w:type="dxa"/>
            <w:tcBorders>
              <w:top w:val="single" w:sz="6" w:space="0" w:color="000000"/>
              <w:left w:val="single" w:sz="6" w:space="0" w:color="000000"/>
              <w:bottom w:val="single" w:sz="6" w:space="0" w:color="000000"/>
              <w:right w:val="single" w:sz="6" w:space="0" w:color="000000"/>
            </w:tcBorders>
          </w:tcPr>
          <w:p w14:paraId="1BAD17B7"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3885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p w14:paraId="1D43638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(0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E02A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C91EA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0D2483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F977E3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1D2359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26 April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85D9B84"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6</w:t>
            </w:r>
          </w:p>
        </w:tc>
        <w:tc>
          <w:tcPr>
            <w:tcW w:w="1276" w:type="dxa"/>
            <w:tcBorders>
              <w:top w:val="single" w:sz="6" w:space="0" w:color="000000"/>
              <w:left w:val="single" w:sz="6" w:space="0" w:color="000000"/>
              <w:bottom w:val="single" w:sz="6" w:space="0" w:color="000000"/>
              <w:right w:val="single" w:sz="6" w:space="0" w:color="000000"/>
            </w:tcBorders>
          </w:tcPr>
          <w:p w14:paraId="3A241EBA"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BB953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7 </w:t>
            </w:r>
            <w:r w:rsidRPr="00345010">
              <w:rPr>
                <w:rFonts w:ascii="Calibri" w:hAnsi="Calibri" w:cs="Calibri"/>
                <w:sz w:val="20"/>
                <w:szCs w:val="20"/>
              </w:rPr>
              <w:t> </w:t>
            </w:r>
          </w:p>
          <w:p w14:paraId="3558626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lastRenderedPageBreak/>
              <w:t>(1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C3FA3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lastRenderedPageBreak/>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61C51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939B79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E2A1A0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Capacity building training workshops on managing and analysing dengue data, incorporating climate attributes, for effective program intervention and response – Siem Reap Province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34B45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14-16 June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0F8345E"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21</w:t>
            </w:r>
          </w:p>
        </w:tc>
        <w:tc>
          <w:tcPr>
            <w:tcW w:w="1276" w:type="dxa"/>
            <w:tcBorders>
              <w:top w:val="single" w:sz="6" w:space="0" w:color="000000"/>
              <w:left w:val="single" w:sz="6" w:space="0" w:color="000000"/>
              <w:bottom w:val="single" w:sz="6" w:space="0" w:color="000000"/>
              <w:right w:val="single" w:sz="6" w:space="0" w:color="000000"/>
            </w:tcBorders>
          </w:tcPr>
          <w:p w14:paraId="3CFDD93C"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83998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47 </w:t>
            </w:r>
            <w:r w:rsidRPr="00345010">
              <w:rPr>
                <w:rFonts w:ascii="Calibri" w:hAnsi="Calibri" w:cs="Calibri"/>
                <w:sz w:val="20"/>
                <w:szCs w:val="20"/>
              </w:rPr>
              <w:t> </w:t>
            </w:r>
          </w:p>
          <w:p w14:paraId="60A5BBD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(26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24F5C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CNM</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F6EEF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366E9CE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64426F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Capacity building training workshops on managing and analysing dengue data, incorporating climate attributes, for effective program intervention and response – Pursat Province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97C42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21-23 June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C4CA74B"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36</w:t>
            </w:r>
          </w:p>
        </w:tc>
        <w:tc>
          <w:tcPr>
            <w:tcW w:w="1276" w:type="dxa"/>
            <w:tcBorders>
              <w:top w:val="single" w:sz="6" w:space="0" w:color="000000"/>
              <w:left w:val="single" w:sz="6" w:space="0" w:color="000000"/>
              <w:bottom w:val="single" w:sz="6" w:space="0" w:color="000000"/>
              <w:right w:val="single" w:sz="6" w:space="0" w:color="000000"/>
            </w:tcBorders>
          </w:tcPr>
          <w:p w14:paraId="63BAB8A4"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A67F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52 </w:t>
            </w:r>
            <w:r w:rsidRPr="00345010">
              <w:rPr>
                <w:rFonts w:ascii="Calibri" w:hAnsi="Calibri" w:cs="Calibri"/>
                <w:sz w:val="20"/>
                <w:szCs w:val="20"/>
              </w:rPr>
              <w:t> </w:t>
            </w:r>
          </w:p>
          <w:p w14:paraId="7A830FE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(16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06BC7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CNM</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799C5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455252C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C861CB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Refresher trainings for Dengue Sentinel Surveillance including Dengue-RDT integrated COVID-19 prevention and control conducted in Kampot. Focus on reporting at new sentinel sites and SOPs for the rapid response plan integrated with the dengue surveillance and early warning system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008674E"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p w14:paraId="6D6FF878"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p w14:paraId="7B9C0B53"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26-27 April 2022</w:t>
            </w:r>
            <w:r w:rsidRPr="00345010">
              <w:rPr>
                <w:rFonts w:ascii="Calibri" w:hAnsi="Calibri" w:cs="Calibri"/>
                <w:sz w:val="20"/>
                <w:szCs w:val="20"/>
              </w:rPr>
              <w:t> </w:t>
            </w:r>
          </w:p>
          <w:p w14:paraId="2C6B798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222B638"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24</w:t>
            </w:r>
          </w:p>
        </w:tc>
        <w:tc>
          <w:tcPr>
            <w:tcW w:w="1276" w:type="dxa"/>
            <w:tcBorders>
              <w:top w:val="single" w:sz="6" w:space="0" w:color="000000"/>
              <w:left w:val="single" w:sz="6" w:space="0" w:color="000000"/>
              <w:bottom w:val="single" w:sz="6" w:space="0" w:color="000000"/>
              <w:right w:val="single" w:sz="6" w:space="0" w:color="000000"/>
            </w:tcBorders>
          </w:tcPr>
          <w:p w14:paraId="78B54B52"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1785D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53</w:t>
            </w:r>
            <w:r w:rsidRPr="00345010">
              <w:rPr>
                <w:rFonts w:ascii="Calibri" w:hAnsi="Calibri" w:cs="Calibri"/>
                <w:sz w:val="20"/>
                <w:szCs w:val="20"/>
              </w:rPr>
              <w:t> </w:t>
            </w:r>
          </w:p>
          <w:p w14:paraId="47768F7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(29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6A22C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CNM</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C499F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1536D9F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23E2D7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Refresher trainings for Dengue Sentinel Surveillance conducted in Takeo on Capacity building on dengue rapid test usage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6628579"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p w14:paraId="2CA72DA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19-20 April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48E4C96"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27</w:t>
            </w:r>
          </w:p>
        </w:tc>
        <w:tc>
          <w:tcPr>
            <w:tcW w:w="1276" w:type="dxa"/>
            <w:tcBorders>
              <w:top w:val="single" w:sz="6" w:space="0" w:color="000000"/>
              <w:left w:val="single" w:sz="6" w:space="0" w:color="000000"/>
              <w:bottom w:val="single" w:sz="6" w:space="0" w:color="000000"/>
              <w:right w:val="single" w:sz="6" w:space="0" w:color="000000"/>
            </w:tcBorders>
          </w:tcPr>
          <w:p w14:paraId="021CDAD5"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03C3A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42</w:t>
            </w:r>
            <w:r w:rsidRPr="00345010">
              <w:rPr>
                <w:rFonts w:ascii="Calibri" w:hAnsi="Calibri" w:cs="Calibri"/>
                <w:sz w:val="20"/>
                <w:szCs w:val="20"/>
              </w:rPr>
              <w:t> </w:t>
            </w:r>
          </w:p>
          <w:p w14:paraId="337649F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(15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1821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CNM</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E7BC7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671FD6F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455527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Capacity building on CRWSP infrastructure improvement for 25 health Centers with WASH Ratanakiri Technical Working Group (TWG) (1</w:t>
            </w:r>
            <w:r w:rsidRPr="00345010">
              <w:rPr>
                <w:rFonts w:ascii="Calibri" w:hAnsi="Calibri" w:cs="Calibri"/>
                <w:sz w:val="16"/>
                <w:szCs w:val="16"/>
                <w:vertAlign w:val="superscript"/>
                <w:lang w:val="en-US"/>
              </w:rPr>
              <w:t>st</w:t>
            </w:r>
            <w:r w:rsidRPr="00345010">
              <w:rPr>
                <w:rFonts w:ascii="Calibri" w:hAnsi="Calibri" w:cs="Calibri"/>
                <w:sz w:val="20"/>
                <w:szCs w:val="20"/>
                <w:lang w:val="en-US"/>
              </w:rPr>
              <w:t xml:space="preserve"> batch)</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84988B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29-30 June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80F3E2F"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45</w:t>
            </w:r>
          </w:p>
        </w:tc>
        <w:tc>
          <w:tcPr>
            <w:tcW w:w="1276" w:type="dxa"/>
            <w:tcBorders>
              <w:top w:val="single" w:sz="6" w:space="0" w:color="000000"/>
              <w:left w:val="single" w:sz="6" w:space="0" w:color="000000"/>
              <w:bottom w:val="single" w:sz="6" w:space="0" w:color="000000"/>
              <w:right w:val="single" w:sz="6" w:space="0" w:color="000000"/>
            </w:tcBorders>
          </w:tcPr>
          <w:p w14:paraId="4BD15928"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56235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50 </w:t>
            </w:r>
            <w:r w:rsidRPr="00345010">
              <w:rPr>
                <w:rFonts w:ascii="Calibri" w:hAnsi="Calibri" w:cs="Calibri"/>
                <w:sz w:val="20"/>
                <w:szCs w:val="20"/>
              </w:rPr>
              <w:t> </w:t>
            </w:r>
          </w:p>
          <w:p w14:paraId="3896388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02E21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PMD</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7A95B4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46D60E3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B86743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Capacity building on CRWSP infrastructure improvement for 25 health Centers with WASH Ratanakiri Technical Working Group (TWG) (2</w:t>
            </w:r>
            <w:r w:rsidRPr="00345010">
              <w:rPr>
                <w:rFonts w:ascii="Calibri" w:hAnsi="Calibri" w:cs="Calibri"/>
                <w:sz w:val="16"/>
                <w:szCs w:val="16"/>
                <w:vertAlign w:val="superscript"/>
                <w:lang w:val="en-US"/>
              </w:rPr>
              <w:t>nd</w:t>
            </w:r>
            <w:r w:rsidRPr="00345010">
              <w:rPr>
                <w:rFonts w:ascii="Calibri" w:hAnsi="Calibri" w:cs="Calibri"/>
                <w:sz w:val="20"/>
                <w:szCs w:val="20"/>
                <w:lang w:val="en-US"/>
              </w:rPr>
              <w:t xml:space="preserve"> batch)</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025E59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8-9 August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8E653E9"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42</w:t>
            </w:r>
          </w:p>
        </w:tc>
        <w:tc>
          <w:tcPr>
            <w:tcW w:w="1276" w:type="dxa"/>
            <w:tcBorders>
              <w:top w:val="single" w:sz="6" w:space="0" w:color="000000"/>
              <w:left w:val="single" w:sz="6" w:space="0" w:color="000000"/>
              <w:bottom w:val="single" w:sz="6" w:space="0" w:color="000000"/>
              <w:right w:val="single" w:sz="6" w:space="0" w:color="000000"/>
            </w:tcBorders>
          </w:tcPr>
          <w:p w14:paraId="472DDB00"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7</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37708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50 </w:t>
            </w:r>
            <w:r w:rsidRPr="00345010">
              <w:rPr>
                <w:rFonts w:ascii="Calibri" w:hAnsi="Calibri" w:cs="Calibri"/>
                <w:sz w:val="20"/>
                <w:szCs w:val="20"/>
              </w:rPr>
              <w:t> </w:t>
            </w:r>
          </w:p>
          <w:p w14:paraId="7AE5E47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7A336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PMD</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B1384A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1682E2E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CECD36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Capacity building on CRWSP infrastructure improvement for 25 health Centers with WASH Ratanakiri Technical Working Group (TWG) (3</w:t>
            </w:r>
            <w:r w:rsidRPr="00345010">
              <w:rPr>
                <w:rFonts w:ascii="Calibri" w:hAnsi="Calibri" w:cs="Calibri"/>
                <w:sz w:val="16"/>
                <w:szCs w:val="16"/>
                <w:vertAlign w:val="superscript"/>
                <w:lang w:val="en-US"/>
              </w:rPr>
              <w:t>rd</w:t>
            </w:r>
            <w:r w:rsidRPr="00345010">
              <w:rPr>
                <w:rFonts w:ascii="Calibri" w:hAnsi="Calibri" w:cs="Calibri"/>
                <w:sz w:val="20"/>
                <w:szCs w:val="20"/>
                <w:lang w:val="en-US"/>
              </w:rPr>
              <w:t xml:space="preserve"> batch)</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477452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30-31 September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EA4B320"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34</w:t>
            </w:r>
          </w:p>
        </w:tc>
        <w:tc>
          <w:tcPr>
            <w:tcW w:w="1276" w:type="dxa"/>
            <w:tcBorders>
              <w:top w:val="single" w:sz="6" w:space="0" w:color="000000"/>
              <w:left w:val="single" w:sz="6" w:space="0" w:color="000000"/>
              <w:bottom w:val="single" w:sz="6" w:space="0" w:color="000000"/>
              <w:right w:val="single" w:sz="6" w:space="0" w:color="000000"/>
            </w:tcBorders>
          </w:tcPr>
          <w:p w14:paraId="7F7890D0"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58729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49 </w:t>
            </w:r>
            <w:r w:rsidRPr="00345010">
              <w:rPr>
                <w:rFonts w:ascii="Calibri" w:hAnsi="Calibri" w:cs="Calibri"/>
                <w:sz w:val="20"/>
                <w:szCs w:val="20"/>
              </w:rPr>
              <w:t> </w:t>
            </w:r>
          </w:p>
          <w:p w14:paraId="0F322FB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(15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5DD6F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PMD</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20CF79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5178869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36476E3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WASH awareness raising in villages and communities (village chief, commune council and VHSGs -1</w:t>
            </w:r>
            <w:r w:rsidRPr="00345010">
              <w:rPr>
                <w:rFonts w:ascii="Calibri" w:hAnsi="Calibri" w:cs="Calibri"/>
                <w:sz w:val="16"/>
                <w:szCs w:val="16"/>
                <w:vertAlign w:val="superscript"/>
                <w:lang w:val="en-US"/>
              </w:rPr>
              <w:t>st</w:t>
            </w:r>
            <w:r w:rsidRPr="00345010">
              <w:rPr>
                <w:rFonts w:ascii="Calibri" w:hAnsi="Calibri" w:cs="Calibri"/>
                <w:sz w:val="20"/>
                <w:szCs w:val="20"/>
                <w:lang w:val="en-US"/>
              </w:rPr>
              <w:t xml:space="preserve"> Phase)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5D0E7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March – 22 April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6002806"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305</w:t>
            </w:r>
          </w:p>
        </w:tc>
        <w:tc>
          <w:tcPr>
            <w:tcW w:w="1276" w:type="dxa"/>
            <w:tcBorders>
              <w:top w:val="single" w:sz="6" w:space="0" w:color="000000"/>
              <w:left w:val="single" w:sz="6" w:space="0" w:color="000000"/>
              <w:bottom w:val="single" w:sz="6" w:space="0" w:color="000000"/>
              <w:right w:val="single" w:sz="6" w:space="0" w:color="000000"/>
            </w:tcBorders>
          </w:tcPr>
          <w:p w14:paraId="6F0C245A"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70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DB770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375 </w:t>
            </w:r>
            <w:r w:rsidRPr="00345010">
              <w:rPr>
                <w:rFonts w:ascii="Calibri" w:hAnsi="Calibri" w:cs="Calibri"/>
                <w:sz w:val="20"/>
                <w:szCs w:val="20"/>
              </w:rPr>
              <w:t> </w:t>
            </w:r>
          </w:p>
          <w:p w14:paraId="6172E5F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(70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EE2AE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PMD</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EF17DE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09FEDB7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7CF85F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WASH awareness raising in villages and communities (villages and communities -1</w:t>
            </w:r>
            <w:r w:rsidRPr="00345010">
              <w:rPr>
                <w:rFonts w:ascii="Calibri" w:hAnsi="Calibri" w:cs="Calibri"/>
                <w:sz w:val="16"/>
                <w:szCs w:val="16"/>
                <w:vertAlign w:val="superscript"/>
                <w:lang w:val="en-US"/>
              </w:rPr>
              <w:t>st</w:t>
            </w:r>
            <w:r w:rsidRPr="00345010">
              <w:rPr>
                <w:rFonts w:ascii="Calibri" w:hAnsi="Calibri" w:cs="Calibri"/>
                <w:sz w:val="20"/>
                <w:szCs w:val="20"/>
                <w:lang w:val="en-US"/>
              </w:rPr>
              <w:t xml:space="preserve"> Phase)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F529F3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25 March – 27 April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FB3801C"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231</w:t>
            </w:r>
          </w:p>
        </w:tc>
        <w:tc>
          <w:tcPr>
            <w:tcW w:w="1276" w:type="dxa"/>
            <w:tcBorders>
              <w:top w:val="single" w:sz="6" w:space="0" w:color="000000"/>
              <w:left w:val="single" w:sz="6" w:space="0" w:color="000000"/>
              <w:bottom w:val="single" w:sz="6" w:space="0" w:color="000000"/>
              <w:right w:val="single" w:sz="6" w:space="0" w:color="000000"/>
            </w:tcBorders>
          </w:tcPr>
          <w:p w14:paraId="54469EAB"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369</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41E09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600 </w:t>
            </w:r>
            <w:r w:rsidRPr="00345010">
              <w:rPr>
                <w:rFonts w:ascii="Calibri" w:hAnsi="Calibri" w:cs="Calibri"/>
                <w:sz w:val="20"/>
                <w:szCs w:val="20"/>
              </w:rPr>
              <w:t> </w:t>
            </w:r>
          </w:p>
          <w:p w14:paraId="5E50B10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(369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3522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PMD</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C934D0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5D5827E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1370B0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Climate Change and Health (CC&amp;H) and Water Sanitation and Hygiene (WASH) awareness raising in villages and communities (village chief, commune council and VHSGs -2</w:t>
            </w:r>
            <w:r w:rsidRPr="00345010">
              <w:rPr>
                <w:rFonts w:ascii="Calibri" w:hAnsi="Calibri" w:cs="Calibri"/>
                <w:sz w:val="16"/>
                <w:szCs w:val="16"/>
                <w:vertAlign w:val="superscript"/>
                <w:lang w:val="en-US"/>
              </w:rPr>
              <w:t>nd</w:t>
            </w:r>
            <w:r w:rsidRPr="00345010">
              <w:rPr>
                <w:rFonts w:ascii="Calibri" w:hAnsi="Calibri" w:cs="Calibri"/>
                <w:sz w:val="20"/>
                <w:szCs w:val="20"/>
                <w:lang w:val="en-US"/>
              </w:rPr>
              <w:t xml:space="preserve"> Phase)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7ADC882"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6 -10 June 2022</w:t>
            </w:r>
            <w:r w:rsidRPr="00345010">
              <w:rPr>
                <w:rFonts w:ascii="Calibri" w:hAnsi="Calibri" w:cs="Calibri"/>
                <w:sz w:val="20"/>
                <w:szCs w:val="20"/>
              </w:rPr>
              <w:t> </w:t>
            </w:r>
          </w:p>
          <w:p w14:paraId="30F1DDF9"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20-24 June 2022</w:t>
            </w:r>
            <w:r w:rsidRPr="00345010">
              <w:rPr>
                <w:rFonts w:ascii="Calibri" w:hAnsi="Calibri" w:cs="Calibri"/>
                <w:sz w:val="20"/>
                <w:szCs w:val="20"/>
              </w:rPr>
              <w:t> </w:t>
            </w:r>
          </w:p>
          <w:p w14:paraId="49DD5C85"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8-12 July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C332399"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304</w:t>
            </w:r>
          </w:p>
        </w:tc>
        <w:tc>
          <w:tcPr>
            <w:tcW w:w="1276" w:type="dxa"/>
            <w:tcBorders>
              <w:top w:val="single" w:sz="6" w:space="0" w:color="000000"/>
              <w:left w:val="single" w:sz="6" w:space="0" w:color="000000"/>
              <w:bottom w:val="single" w:sz="6" w:space="0" w:color="000000"/>
              <w:right w:val="single" w:sz="6" w:space="0" w:color="000000"/>
            </w:tcBorders>
          </w:tcPr>
          <w:p w14:paraId="60E970C8"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71</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989E7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375 </w:t>
            </w:r>
            <w:r w:rsidRPr="00345010">
              <w:rPr>
                <w:rFonts w:ascii="Calibri" w:hAnsi="Calibri" w:cs="Calibri"/>
                <w:sz w:val="20"/>
                <w:szCs w:val="20"/>
              </w:rPr>
              <w:t> </w:t>
            </w:r>
          </w:p>
          <w:p w14:paraId="5803439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(71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440EE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PMD</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DFBBB9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6FE82C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9FFD4E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lastRenderedPageBreak/>
              <w:t>Climate Change and Health (CC&amp;H) and Water Sanitation and Hygiene (WASH) awareness raising in villages and communities (villages and communities -2</w:t>
            </w:r>
            <w:r w:rsidRPr="00345010">
              <w:rPr>
                <w:rFonts w:ascii="Calibri" w:hAnsi="Calibri" w:cs="Calibri"/>
                <w:sz w:val="16"/>
                <w:szCs w:val="16"/>
                <w:vertAlign w:val="superscript"/>
                <w:lang w:val="en-US"/>
              </w:rPr>
              <w:t>nd</w:t>
            </w:r>
            <w:r w:rsidRPr="00345010">
              <w:rPr>
                <w:rFonts w:ascii="Calibri" w:hAnsi="Calibri" w:cs="Calibri"/>
                <w:sz w:val="20"/>
                <w:szCs w:val="20"/>
                <w:lang w:val="en-US"/>
              </w:rPr>
              <w:t xml:space="preserve"> Phase)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696C7A2"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11-15 June 2022</w:t>
            </w:r>
            <w:r w:rsidRPr="00345010">
              <w:rPr>
                <w:rFonts w:ascii="Calibri" w:hAnsi="Calibri" w:cs="Calibri"/>
                <w:sz w:val="20"/>
                <w:szCs w:val="20"/>
              </w:rPr>
              <w:t> </w:t>
            </w:r>
          </w:p>
          <w:p w14:paraId="61754A0C"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25-29 June 2022</w:t>
            </w:r>
            <w:r w:rsidRPr="00345010">
              <w:rPr>
                <w:rFonts w:ascii="Calibri" w:hAnsi="Calibri" w:cs="Calibri"/>
                <w:sz w:val="20"/>
                <w:szCs w:val="20"/>
              </w:rPr>
              <w:t> </w:t>
            </w:r>
          </w:p>
          <w:p w14:paraId="6BA6910A"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13-17 July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0170EF0"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254</w:t>
            </w:r>
          </w:p>
        </w:tc>
        <w:tc>
          <w:tcPr>
            <w:tcW w:w="1276" w:type="dxa"/>
            <w:tcBorders>
              <w:top w:val="single" w:sz="6" w:space="0" w:color="000000"/>
              <w:left w:val="single" w:sz="6" w:space="0" w:color="000000"/>
              <w:bottom w:val="single" w:sz="6" w:space="0" w:color="000000"/>
              <w:right w:val="single" w:sz="6" w:space="0" w:color="000000"/>
            </w:tcBorders>
          </w:tcPr>
          <w:p w14:paraId="3FA4F304"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346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0BB49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600 </w:t>
            </w:r>
            <w:r w:rsidRPr="00345010">
              <w:rPr>
                <w:rFonts w:ascii="Calibri" w:hAnsi="Calibri" w:cs="Calibri"/>
                <w:sz w:val="20"/>
                <w:szCs w:val="20"/>
              </w:rPr>
              <w:t> </w:t>
            </w:r>
          </w:p>
          <w:p w14:paraId="7A1C2AB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(346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A0C11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PMD</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231BA7B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2381B2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CEB0D7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Climate Change and Health (CC&amp;H) and Water Sanitation and Hygiene (WASH) awareness raising in villages and communities (village chief, commune council and VHSGs -3</w:t>
            </w:r>
            <w:r w:rsidRPr="00345010">
              <w:rPr>
                <w:rFonts w:ascii="Calibri" w:hAnsi="Calibri" w:cs="Calibri"/>
                <w:sz w:val="16"/>
                <w:szCs w:val="16"/>
                <w:vertAlign w:val="superscript"/>
                <w:lang w:val="en-US"/>
              </w:rPr>
              <w:t>rd</w:t>
            </w:r>
            <w:r w:rsidRPr="00345010">
              <w:rPr>
                <w:rFonts w:ascii="Calibri" w:hAnsi="Calibri" w:cs="Calibri"/>
                <w:sz w:val="20"/>
                <w:szCs w:val="20"/>
                <w:lang w:val="en-US"/>
              </w:rPr>
              <w:t xml:space="preserve"> Phase)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06F6E1D"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1 -5 August 2022</w:t>
            </w:r>
            <w:r w:rsidRPr="00345010">
              <w:rPr>
                <w:rFonts w:ascii="Calibri" w:hAnsi="Calibri" w:cs="Calibri"/>
                <w:sz w:val="20"/>
                <w:szCs w:val="20"/>
              </w:rPr>
              <w:t> </w:t>
            </w:r>
          </w:p>
          <w:p w14:paraId="4DDFFBA4"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15-19 August 2022</w:t>
            </w:r>
            <w:r w:rsidRPr="00345010">
              <w:rPr>
                <w:rFonts w:ascii="Calibri" w:hAnsi="Calibri" w:cs="Calibri"/>
                <w:sz w:val="20"/>
                <w:szCs w:val="20"/>
              </w:rPr>
              <w:t> </w:t>
            </w:r>
          </w:p>
          <w:p w14:paraId="24C5A9C2"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5-9 Sept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E0E3AFD"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320</w:t>
            </w:r>
          </w:p>
        </w:tc>
        <w:tc>
          <w:tcPr>
            <w:tcW w:w="1276" w:type="dxa"/>
            <w:tcBorders>
              <w:top w:val="single" w:sz="6" w:space="0" w:color="000000"/>
              <w:left w:val="single" w:sz="6" w:space="0" w:color="000000"/>
              <w:bottom w:val="single" w:sz="6" w:space="0" w:color="000000"/>
              <w:right w:val="single" w:sz="6" w:space="0" w:color="000000"/>
            </w:tcBorders>
          </w:tcPr>
          <w:p w14:paraId="12F9C8A4"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55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92EF0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375 </w:t>
            </w:r>
            <w:r w:rsidRPr="00345010">
              <w:rPr>
                <w:rFonts w:ascii="Calibri" w:hAnsi="Calibri" w:cs="Calibri"/>
                <w:sz w:val="20"/>
                <w:szCs w:val="20"/>
              </w:rPr>
              <w:t> </w:t>
            </w:r>
          </w:p>
          <w:p w14:paraId="06E9BDC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(55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2194D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PMD</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358D6E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008D4294"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D758CF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Climate Change and Health (CC&amp;H) and Water Sanitation and Hygiene (WASH)  awareness raising in villages and communities (villages and communities -3</w:t>
            </w:r>
            <w:r w:rsidRPr="00345010">
              <w:rPr>
                <w:rFonts w:ascii="Calibri" w:hAnsi="Calibri" w:cs="Calibri"/>
                <w:sz w:val="16"/>
                <w:szCs w:val="16"/>
                <w:vertAlign w:val="superscript"/>
                <w:lang w:val="en-US"/>
              </w:rPr>
              <w:t>rd</w:t>
            </w:r>
            <w:r w:rsidRPr="00345010">
              <w:rPr>
                <w:rFonts w:ascii="Calibri" w:hAnsi="Calibri" w:cs="Calibri"/>
                <w:sz w:val="20"/>
                <w:szCs w:val="20"/>
                <w:lang w:val="en-US"/>
              </w:rPr>
              <w:t xml:space="preserve"> Phase)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1ADC0C3"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6-10 August 2022 20-24 August 2022</w:t>
            </w:r>
            <w:r w:rsidRPr="00345010">
              <w:rPr>
                <w:rFonts w:ascii="Calibri" w:hAnsi="Calibri" w:cs="Calibri"/>
                <w:sz w:val="20"/>
                <w:szCs w:val="20"/>
              </w:rPr>
              <w:t> </w:t>
            </w:r>
          </w:p>
          <w:p w14:paraId="11C8DB60"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lang w:val="en-US"/>
              </w:rPr>
              <w:t>5-9 Sept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1949FE1"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263</w:t>
            </w:r>
          </w:p>
        </w:tc>
        <w:tc>
          <w:tcPr>
            <w:tcW w:w="1276" w:type="dxa"/>
            <w:tcBorders>
              <w:top w:val="single" w:sz="6" w:space="0" w:color="000000"/>
              <w:left w:val="single" w:sz="6" w:space="0" w:color="000000"/>
              <w:bottom w:val="single" w:sz="6" w:space="0" w:color="000000"/>
              <w:right w:val="single" w:sz="6" w:space="0" w:color="000000"/>
            </w:tcBorders>
          </w:tcPr>
          <w:p w14:paraId="1DC668CF"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337</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AFA08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600 </w:t>
            </w:r>
            <w:r w:rsidRPr="00345010">
              <w:rPr>
                <w:rFonts w:ascii="Calibri" w:hAnsi="Calibri" w:cs="Calibri"/>
                <w:sz w:val="20"/>
                <w:szCs w:val="20"/>
              </w:rPr>
              <w:t> </w:t>
            </w:r>
          </w:p>
          <w:p w14:paraId="6FADE78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(337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99193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PMD</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56A0D4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258F334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63FE82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Orientation training (ToT) on Phom sart and Ptak komrou (behaviour change)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CB914F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365A737"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32</w:t>
            </w:r>
          </w:p>
        </w:tc>
        <w:tc>
          <w:tcPr>
            <w:tcW w:w="1276" w:type="dxa"/>
            <w:tcBorders>
              <w:top w:val="single" w:sz="6" w:space="0" w:color="000000"/>
              <w:left w:val="single" w:sz="6" w:space="0" w:color="000000"/>
              <w:bottom w:val="single" w:sz="6" w:space="0" w:color="000000"/>
              <w:right w:val="single" w:sz="6" w:space="0" w:color="000000"/>
            </w:tcBorders>
          </w:tcPr>
          <w:p w14:paraId="6DCCA2E6"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923B0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42 </w:t>
            </w:r>
            <w:r w:rsidRPr="00345010">
              <w:rPr>
                <w:rFonts w:ascii="Calibri" w:hAnsi="Calibri" w:cs="Calibri"/>
                <w:sz w:val="20"/>
                <w:szCs w:val="20"/>
              </w:rPr>
              <w:t> </w:t>
            </w:r>
          </w:p>
          <w:p w14:paraId="2AF0585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(10 female)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79A35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7B76F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29E692E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1AEECF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Within the context of climate change impacts on water-borne diseases, refresher training on improvement of diarrhoeal disease surveillance for provincial health staff, in Kampot province.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EC5356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20-21 September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E9E149F"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32</w:t>
            </w:r>
          </w:p>
        </w:tc>
        <w:tc>
          <w:tcPr>
            <w:tcW w:w="1276" w:type="dxa"/>
            <w:tcBorders>
              <w:top w:val="single" w:sz="6" w:space="0" w:color="000000"/>
              <w:left w:val="single" w:sz="6" w:space="0" w:color="000000"/>
              <w:bottom w:val="single" w:sz="6" w:space="0" w:color="000000"/>
              <w:right w:val="single" w:sz="6" w:space="0" w:color="000000"/>
            </w:tcBorders>
          </w:tcPr>
          <w:p w14:paraId="7189F9B1"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53CE4A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38 (6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C1C9D22" w14:textId="77777777" w:rsidR="003C1DAE" w:rsidRPr="00345010" w:rsidRDefault="003C1DAE" w:rsidP="00C07A0A">
            <w:pPr>
              <w:ind w:right="75"/>
              <w:jc w:val="center"/>
              <w:textAlignment w:val="baseline"/>
              <w:rPr>
                <w:rFonts w:ascii="Segoe UI" w:hAnsi="Segoe UI" w:cs="Segoe UI"/>
                <w:sz w:val="18"/>
                <w:szCs w:val="18"/>
              </w:rPr>
            </w:pPr>
            <w:r w:rsidRPr="00345010">
              <w:rPr>
                <w:rFonts w:ascii="Calibri" w:hAnsi="Calibri" w:cs="Calibri"/>
                <w:sz w:val="20"/>
                <w:szCs w:val="20"/>
                <w:lang w:val="en-US"/>
              </w:rPr>
              <w:t>CDC/MoH &amp; WHO</w:t>
            </w:r>
            <w:r w:rsidRPr="00345010">
              <w:rPr>
                <w:rFonts w:ascii="Calibri" w:hAnsi="Calibri" w:cs="Calibri"/>
                <w:sz w:val="20"/>
                <w:szCs w:val="20"/>
              </w:rPr>
              <w:t> </w:t>
            </w:r>
          </w:p>
          <w:p w14:paraId="10C4D940" w14:textId="77777777" w:rsidR="003C1DAE" w:rsidRPr="00345010" w:rsidRDefault="003C1DAE" w:rsidP="00C07A0A">
            <w:pPr>
              <w:ind w:right="75"/>
              <w:jc w:val="center"/>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ACF330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0CBA2C8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D9D7FB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Within the context of climate change impacts on water-borne diseases, refresher training on improvement of diarrhoeal disease surveillance for provincial health staff, in Battambang province.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E38FE8B" w14:textId="77777777" w:rsidR="003C1DAE" w:rsidRPr="00345010" w:rsidRDefault="003C1DAE" w:rsidP="00C07A0A">
            <w:pPr>
              <w:ind w:right="75"/>
              <w:jc w:val="center"/>
              <w:textAlignment w:val="baseline"/>
              <w:rPr>
                <w:rFonts w:ascii="Segoe UI" w:hAnsi="Segoe UI" w:cs="Segoe UI"/>
                <w:sz w:val="18"/>
                <w:szCs w:val="18"/>
              </w:rPr>
            </w:pPr>
            <w:r w:rsidRPr="00345010">
              <w:rPr>
                <w:rFonts w:ascii="Calibri" w:hAnsi="Calibri" w:cs="Calibri"/>
                <w:sz w:val="20"/>
                <w:szCs w:val="20"/>
                <w:lang w:val="en-US"/>
              </w:rPr>
              <w:t>28-29 September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B8A18C1"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37</w:t>
            </w:r>
          </w:p>
        </w:tc>
        <w:tc>
          <w:tcPr>
            <w:tcW w:w="1276" w:type="dxa"/>
            <w:tcBorders>
              <w:top w:val="single" w:sz="6" w:space="0" w:color="000000"/>
              <w:left w:val="single" w:sz="6" w:space="0" w:color="000000"/>
              <w:bottom w:val="single" w:sz="6" w:space="0" w:color="000000"/>
              <w:right w:val="single" w:sz="6" w:space="0" w:color="000000"/>
            </w:tcBorders>
          </w:tcPr>
          <w:p w14:paraId="1BE45A24"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2262C92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38 (1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2CADDB7" w14:textId="77777777" w:rsidR="003C1DAE" w:rsidRPr="00345010" w:rsidRDefault="003C1DAE" w:rsidP="00C07A0A">
            <w:pPr>
              <w:ind w:right="75"/>
              <w:jc w:val="center"/>
              <w:textAlignment w:val="baseline"/>
              <w:rPr>
                <w:rFonts w:ascii="Segoe UI" w:hAnsi="Segoe UI" w:cs="Segoe UI"/>
                <w:sz w:val="18"/>
                <w:szCs w:val="18"/>
              </w:rPr>
            </w:pPr>
            <w:r w:rsidRPr="00345010">
              <w:rPr>
                <w:rFonts w:ascii="Calibri" w:hAnsi="Calibri" w:cs="Calibri"/>
                <w:sz w:val="20"/>
                <w:szCs w:val="20"/>
                <w:lang w:val="en-US"/>
              </w:rPr>
              <w:t>CDC/MoH &amp; WHO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BA8907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F76A01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D4AD2B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“phom sart and Pkak komrou” behaviour change trainings in 8 villages</w:t>
            </w:r>
            <w:r w:rsidRPr="00345010">
              <w:rPr>
                <w:rFonts w:ascii="Calibri" w:hAnsi="Calibri" w:cs="Calibri"/>
                <w:sz w:val="20"/>
                <w:szCs w:val="20"/>
              </w:rPr>
              <w:t> </w:t>
            </w:r>
          </w:p>
          <w:p w14:paraId="1A81AB1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p w14:paraId="7B8E571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EAF17B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March – April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E2DC117"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573</w:t>
            </w:r>
          </w:p>
        </w:tc>
        <w:tc>
          <w:tcPr>
            <w:tcW w:w="1276" w:type="dxa"/>
            <w:tcBorders>
              <w:top w:val="single" w:sz="6" w:space="0" w:color="000000"/>
              <w:left w:val="single" w:sz="6" w:space="0" w:color="000000"/>
              <w:bottom w:val="single" w:sz="6" w:space="0" w:color="000000"/>
              <w:right w:val="single" w:sz="6" w:space="0" w:color="000000"/>
            </w:tcBorders>
          </w:tcPr>
          <w:p w14:paraId="7C5561A0"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883</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F21E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1456 participants (883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14483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VHSGs / village chiefs</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24950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501F810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4E844B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Awareness raising on prevention and control of Diarrhea and Dengue in villages and communities in Koun Mom, Veun Sai and Bor Keo districts of Ratanakiri province (VHSGs and community) (see detailed information in supporting document number 2)</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DA0AFF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Sep – Nov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88C6DC1"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388</w:t>
            </w:r>
          </w:p>
        </w:tc>
        <w:tc>
          <w:tcPr>
            <w:tcW w:w="1276" w:type="dxa"/>
            <w:tcBorders>
              <w:top w:val="single" w:sz="6" w:space="0" w:color="000000"/>
              <w:left w:val="single" w:sz="6" w:space="0" w:color="000000"/>
              <w:bottom w:val="single" w:sz="6" w:space="0" w:color="000000"/>
              <w:right w:val="single" w:sz="6" w:space="0" w:color="000000"/>
            </w:tcBorders>
          </w:tcPr>
          <w:p w14:paraId="7E5B4DB7"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392</w:t>
            </w: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FC1661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780 participants (392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9751B9A" w14:textId="77777777" w:rsidR="003C1DAE" w:rsidRPr="00345010" w:rsidRDefault="003C1DAE" w:rsidP="00C07A0A">
            <w:pPr>
              <w:ind w:right="75"/>
              <w:jc w:val="center"/>
              <w:textAlignment w:val="baseline"/>
              <w:rPr>
                <w:rFonts w:ascii="Segoe UI" w:hAnsi="Segoe UI" w:cs="Segoe UI"/>
                <w:sz w:val="18"/>
                <w:szCs w:val="18"/>
              </w:rPr>
            </w:pPr>
            <w:r w:rsidRPr="00345010">
              <w:rPr>
                <w:rFonts w:ascii="Calibri" w:hAnsi="Calibri" w:cs="Calibri"/>
                <w:sz w:val="20"/>
                <w:szCs w:val="20"/>
                <w:lang w:val="en-US"/>
              </w:rPr>
              <w:t>CNM</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CB0A7B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AB2D1A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3A5F07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 xml:space="preserve">Awareness raising on dengue and diarrhea related to climate change in villages and communities in Lumphat, </w:t>
            </w:r>
            <w:r w:rsidRPr="00345010">
              <w:rPr>
                <w:rFonts w:ascii="Calibri" w:hAnsi="Calibri" w:cs="Calibri"/>
                <w:sz w:val="20"/>
                <w:szCs w:val="20"/>
                <w:lang w:val="en-US"/>
              </w:rPr>
              <w:lastRenderedPageBreak/>
              <w:t>Ou Chum, and Banlung districts of Ratanakiri province (VHSGs and community) (See detail and photos in technical report supporting document number 3)</w:t>
            </w:r>
            <w:r w:rsidRPr="00345010">
              <w:rPr>
                <w:rFonts w:ascii="Calibri" w:hAnsi="Calibri" w:cs="Calibri"/>
                <w:sz w:val="20"/>
                <w:szCs w:val="20"/>
              </w:rPr>
              <w:t> </w:t>
            </w:r>
          </w:p>
          <w:p w14:paraId="7007CA6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5ED50F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lastRenderedPageBreak/>
              <w:t>Oct – Dec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C4936A8"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350</w:t>
            </w:r>
          </w:p>
        </w:tc>
        <w:tc>
          <w:tcPr>
            <w:tcW w:w="1276" w:type="dxa"/>
            <w:tcBorders>
              <w:top w:val="single" w:sz="6" w:space="0" w:color="000000"/>
              <w:left w:val="single" w:sz="6" w:space="0" w:color="000000"/>
              <w:bottom w:val="single" w:sz="6" w:space="0" w:color="000000"/>
              <w:right w:val="single" w:sz="6" w:space="0" w:color="000000"/>
            </w:tcBorders>
          </w:tcPr>
          <w:p w14:paraId="0FC293CA"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430</w:t>
            </w: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6AC6E2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780 participants (430 female)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00B53E5" w14:textId="77777777" w:rsidR="003C1DAE" w:rsidRPr="00345010" w:rsidRDefault="003C1DAE" w:rsidP="00C07A0A">
            <w:pPr>
              <w:ind w:right="75"/>
              <w:jc w:val="center"/>
              <w:textAlignment w:val="baseline"/>
              <w:rPr>
                <w:rFonts w:ascii="Segoe UI" w:hAnsi="Segoe UI" w:cs="Segoe UI"/>
                <w:sz w:val="18"/>
                <w:szCs w:val="18"/>
              </w:rPr>
            </w:pPr>
            <w:r w:rsidRPr="00345010">
              <w:rPr>
                <w:rFonts w:ascii="Calibri" w:hAnsi="Calibri" w:cs="Calibri"/>
                <w:sz w:val="20"/>
                <w:szCs w:val="20"/>
                <w:lang w:val="en-US"/>
              </w:rPr>
              <w:t>NCHP</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D9E3DB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23CAA4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1920C4CA" w14:textId="77777777" w:rsidR="003C1DAE" w:rsidRPr="00345010" w:rsidRDefault="003C1DAE" w:rsidP="00C07A0A">
            <w:pPr>
              <w:textAlignment w:val="baseline"/>
              <w:rPr>
                <w:rFonts w:ascii="Calibri" w:hAnsi="Calibri" w:cs="Calibri"/>
                <w:b/>
                <w:bCs/>
                <w:sz w:val="20"/>
                <w:szCs w:val="20"/>
                <w:lang w:val="en-US"/>
              </w:rPr>
            </w:pPr>
            <w:r w:rsidRPr="00345010">
              <w:rPr>
                <w:rFonts w:ascii="Calibri" w:hAnsi="Calibri" w:cs="Calibri"/>
                <w:b/>
                <w:bCs/>
                <w:sz w:val="20"/>
                <w:szCs w:val="20"/>
                <w:lang w:val="en-US"/>
              </w:rPr>
              <w:t>TOTAL</w:t>
            </w:r>
          </w:p>
        </w:tc>
        <w:tc>
          <w:tcPr>
            <w:tcW w:w="1417"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192A2ECF" w14:textId="77777777" w:rsidR="003C1DAE" w:rsidRPr="00345010" w:rsidRDefault="003C1DAE" w:rsidP="00C07A0A">
            <w:pPr>
              <w:ind w:right="75"/>
              <w:textAlignment w:val="baseline"/>
              <w:rPr>
                <w:rFonts w:ascii="Calibri" w:hAnsi="Calibri" w:cs="Calibri"/>
                <w:b/>
                <w:bCs/>
                <w:sz w:val="20"/>
                <w:szCs w:val="20"/>
                <w:lang w:val="en-US"/>
              </w:rPr>
            </w:pP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0252823C" w14:textId="77777777" w:rsidR="003C1DAE" w:rsidRPr="00345010" w:rsidRDefault="003C1DAE" w:rsidP="00C07A0A">
            <w:pPr>
              <w:jc w:val="center"/>
              <w:textAlignment w:val="baseline"/>
              <w:rPr>
                <w:rFonts w:ascii="Calibri" w:hAnsi="Calibri" w:cs="Calibri"/>
                <w:b/>
                <w:bCs/>
                <w:sz w:val="20"/>
                <w:szCs w:val="20"/>
              </w:rPr>
            </w:pPr>
            <w:r w:rsidRPr="00345010">
              <w:rPr>
                <w:rFonts w:ascii="Calibri" w:hAnsi="Calibri" w:cs="Calibri"/>
                <w:b/>
                <w:bCs/>
                <w:sz w:val="20"/>
                <w:szCs w:val="20"/>
              </w:rPr>
              <w:t>3,396</w:t>
            </w:r>
          </w:p>
        </w:tc>
        <w:tc>
          <w:tcPr>
            <w:tcW w:w="1276"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325AF2C4" w14:textId="77777777" w:rsidR="003C1DAE" w:rsidRPr="00345010" w:rsidRDefault="003C1DAE" w:rsidP="00C07A0A">
            <w:pPr>
              <w:jc w:val="center"/>
              <w:textAlignment w:val="baseline"/>
              <w:rPr>
                <w:rFonts w:ascii="Calibri" w:hAnsi="Calibri" w:cs="Calibri"/>
                <w:b/>
                <w:bCs/>
                <w:sz w:val="20"/>
                <w:szCs w:val="20"/>
              </w:rPr>
            </w:pPr>
            <w:r w:rsidRPr="00345010">
              <w:rPr>
                <w:rFonts w:ascii="Calibri" w:hAnsi="Calibri" w:cs="Calibri"/>
                <w:b/>
                <w:bCs/>
                <w:sz w:val="20"/>
                <w:szCs w:val="20"/>
              </w:rPr>
              <w:t>3,251</w:t>
            </w:r>
          </w:p>
        </w:tc>
        <w:tc>
          <w:tcPr>
            <w:tcW w:w="1418"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6620212B" w14:textId="77777777" w:rsidR="003C1DAE" w:rsidRPr="00345010" w:rsidRDefault="003C1DAE" w:rsidP="00C07A0A">
            <w:pPr>
              <w:jc w:val="center"/>
              <w:textAlignment w:val="baseline"/>
              <w:rPr>
                <w:rFonts w:ascii="Calibri" w:hAnsi="Calibri" w:cs="Calibri"/>
                <w:b/>
                <w:bCs/>
                <w:sz w:val="20"/>
                <w:szCs w:val="20"/>
              </w:rPr>
            </w:pPr>
            <w:r w:rsidRPr="00345010">
              <w:rPr>
                <w:rFonts w:ascii="Calibri" w:hAnsi="Calibri" w:cs="Calibri"/>
                <w:b/>
                <w:bCs/>
                <w:sz w:val="20"/>
                <w:szCs w:val="20"/>
              </w:rPr>
              <w:t>7,361</w:t>
            </w: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79A568E7" w14:textId="77777777" w:rsidR="003C1DAE" w:rsidRPr="00345010" w:rsidRDefault="003C1DAE" w:rsidP="00C07A0A">
            <w:pPr>
              <w:ind w:right="75"/>
              <w:textAlignment w:val="baseline"/>
              <w:rPr>
                <w:rFonts w:ascii="Calibri" w:hAnsi="Calibri" w:cs="Calibri"/>
                <w:sz w:val="20"/>
                <w:szCs w:val="20"/>
              </w:rPr>
            </w:pPr>
          </w:p>
        </w:tc>
        <w:tc>
          <w:tcPr>
            <w:tcW w:w="1414"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59B6508A" w14:textId="77777777" w:rsidR="003C1DAE" w:rsidRPr="00345010" w:rsidRDefault="003C1DAE" w:rsidP="00C07A0A">
            <w:pPr>
              <w:textAlignment w:val="baseline"/>
              <w:rPr>
                <w:rFonts w:ascii="Calibri" w:hAnsi="Calibri" w:cs="Calibri"/>
                <w:sz w:val="20"/>
                <w:szCs w:val="20"/>
              </w:rPr>
            </w:pPr>
          </w:p>
        </w:tc>
      </w:tr>
      <w:tr w:rsidR="003C1DAE" w:rsidRPr="00345010" w14:paraId="6B7C76B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2C5C5D9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b/>
                <w:bCs/>
                <w:sz w:val="20"/>
                <w:szCs w:val="20"/>
                <w:lang w:val="en-US"/>
              </w:rPr>
              <w:t>Lao PDR</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6E7EA1B2"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b/>
                <w:bCs/>
                <w:sz w:val="20"/>
                <w:szCs w:val="20"/>
                <w:lang w:val="en-US"/>
              </w:rPr>
              <w:t>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tcPr>
          <w:p w14:paraId="0B0E2CF1"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DDEBF7"/>
          </w:tcPr>
          <w:p w14:paraId="39DED605"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34C547B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hideMark/>
          </w:tcPr>
          <w:p w14:paraId="0F5C5541" w14:textId="77777777" w:rsidR="003C1DAE" w:rsidRPr="00345010" w:rsidRDefault="003C1DAE" w:rsidP="00C07A0A">
            <w:pPr>
              <w:ind w:right="75"/>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DDEBF7"/>
            <w:hideMark/>
          </w:tcPr>
          <w:p w14:paraId="643F4D1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04A70E5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0E2454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WASHFIT refresher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87D09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18 Aug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C5AF67F"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8AF295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D2128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01E6F2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 MOH</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9C2E3F"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5C64941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7DED9B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Onsite training for water quality monitoring and surveillance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B52B90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Q3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F90942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88FD9B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19FCA2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A1BD68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0192AB"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FC5280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9914A3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CR-WSP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D9B58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Aug - Sep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C155B0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A50E4F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6BD88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05D965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Master trainer, MOPWT</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5E7541"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63993BC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9DD0E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Climate Resilient WASH FIT implementation and monitoring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6646D5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Q3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5C43FC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4CFC1E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14FC55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150+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C527A6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3000BE"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4B554F2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89761C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DHIS2 dashboard demo</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8F761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4B17BC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7E5BEE8"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D9A6A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FDBC68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5C5C7F"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0341B6B"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2CB3F6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Climate resilient water safety plan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4CF66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Oct - Dec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59614B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9A603B5"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E8EBF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110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2B0C82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MOPWT</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FA87B0"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52D16D2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A0C9F5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the use of the guideline for dengue vector management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14A247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Nov - Dec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4661B9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C3C227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A0380E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3741A6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MOH</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265D2D"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04C55379"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7562B6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on health care waste management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FCC7A1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March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273C1F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DE591E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B1BFF8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C277E8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 MOH</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D73EE"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47B2BC0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11FEC8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regional risk mapping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0C29B6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06 Oct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4D1023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14E76C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A2FB41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31CC39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88C9CF"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6B8C328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EE42A5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monthly session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23A191E"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 xml:space="preserve">26 Aug, 02 Sep 2021, 22 Nov 2021, 20 Jan 2022, </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25 Feb 2022,</w:t>
            </w:r>
            <w:r w:rsidRPr="00345010">
              <w:rPr>
                <w:rFonts w:ascii="Calibri" w:hAnsi="Calibri" w:cs="Calibri"/>
                <w:sz w:val="20"/>
                <w:szCs w:val="20"/>
              </w:rPr>
              <w:t> </w:t>
            </w:r>
          </w:p>
          <w:p w14:paraId="09E2338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27 Apr 2022,</w:t>
            </w:r>
            <w:r w:rsidRPr="00345010">
              <w:rPr>
                <w:rFonts w:ascii="Calibri" w:hAnsi="Calibri" w:cs="Calibri"/>
                <w:sz w:val="20"/>
                <w:szCs w:val="20"/>
              </w:rPr>
              <w:t> </w:t>
            </w:r>
          </w:p>
          <w:p w14:paraId="45DF41D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May 2022</w:t>
            </w:r>
            <w:r w:rsidRPr="00345010">
              <w:rPr>
                <w:rFonts w:ascii="Calibri" w:hAnsi="Calibri" w:cs="Calibri"/>
                <w:sz w:val="20"/>
                <w:szCs w:val="20"/>
              </w:rPr>
              <w:t> </w:t>
            </w:r>
          </w:p>
          <w:p w14:paraId="20ECF13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June 2022</w:t>
            </w:r>
            <w:r w:rsidRPr="00345010">
              <w:rPr>
                <w:rFonts w:ascii="Calibri" w:hAnsi="Calibri" w:cs="Calibri"/>
                <w:sz w:val="20"/>
                <w:szCs w:val="20"/>
              </w:rPr>
              <w:t> </w:t>
            </w:r>
          </w:p>
          <w:p w14:paraId="3CEEB70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01 July 2022</w:t>
            </w:r>
            <w:r w:rsidRPr="00345010">
              <w:rPr>
                <w:rFonts w:ascii="Calibri" w:hAnsi="Calibri" w:cs="Calibri"/>
                <w:sz w:val="20"/>
                <w:szCs w:val="20"/>
              </w:rPr>
              <w:t> </w:t>
            </w:r>
          </w:p>
          <w:p w14:paraId="2CF05E8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August 2022</w:t>
            </w:r>
            <w:r w:rsidRPr="00345010">
              <w:rPr>
                <w:rFonts w:ascii="Calibri" w:hAnsi="Calibri" w:cs="Calibri"/>
                <w:sz w:val="20"/>
                <w:szCs w:val="20"/>
              </w:rPr>
              <w:t> </w:t>
            </w:r>
          </w:p>
          <w:p w14:paraId="1C67833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20 September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A20A4F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165CAC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92245B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p w14:paraId="52D8264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r w:rsidRPr="00345010">
              <w:rPr>
                <w:rFonts w:ascii="Calibri" w:hAnsi="Calibri" w:cs="Calibri"/>
                <w:sz w:val="20"/>
                <w:szCs w:val="20"/>
              </w:rPr>
              <w:t> </w:t>
            </w:r>
          </w:p>
          <w:p w14:paraId="4941A4F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p w14:paraId="7661BD5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p w14:paraId="1EAA96B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p w14:paraId="1165B78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p w14:paraId="063EEBAC"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p w14:paraId="36E3E45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p w14:paraId="5FBC136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p w14:paraId="4D40636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A32473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E3499F"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4490A48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C7B2FB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CR WSP for water safety plan team of urban water suppliers in Phongsalay, Sasomboune provinces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CE38FF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Mid- Dec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117185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E0E06D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B285CC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30 </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67B80B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MOPWT WCO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054764"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31B12A8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C051A7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lastRenderedPageBreak/>
              <w:t>Training to prepare lecturers to teach CR WSP training in School of Medical technology and laboratory  conducted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AD573B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Last week of Jan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9C512B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86BCB3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A60344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7C186B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6590F6A"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1C8A733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4BA434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shd w:val="clear" w:color="auto" w:fill="FFFFFF"/>
                <w:lang w:val="en-US"/>
              </w:rPr>
              <w:t>Training of trainers (TOT) for climate change and health training -  9 modules for public health specialists at national and subnational level</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8B3F5C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21-23 July</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1AE7A37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375CD9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95DD648"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FF23E4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 MOH</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B4B22FF"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7CDB180"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673ECD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shd w:val="clear" w:color="auto" w:fill="FFFFFF"/>
                <w:lang w:val="en-US"/>
              </w:rPr>
              <w:t>Community awareness raising activities on climate resilient water and sanitation safety planning in selected communities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8529DD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Planned for Nov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47F47B6" w14:textId="77777777" w:rsidR="003C1DAE" w:rsidRPr="00345010" w:rsidRDefault="003C1DAE" w:rsidP="00C07A0A">
            <w:pPr>
              <w:jc w:val="center"/>
              <w:textAlignment w:val="baseline"/>
              <w:rPr>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21EEC079" w14:textId="77777777" w:rsidR="003C1DAE" w:rsidRPr="00345010" w:rsidRDefault="003C1DAE" w:rsidP="00C07A0A">
            <w:pPr>
              <w:jc w:val="center"/>
              <w:textAlignment w:val="baseline"/>
              <w:rPr>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5F5AB400" w14:textId="77777777" w:rsidR="003C1DAE" w:rsidRPr="00345010" w:rsidRDefault="003C1DAE" w:rsidP="00C07A0A">
            <w:pPr>
              <w:jc w:val="center"/>
              <w:textAlignment w:val="baseline"/>
              <w:rPr>
                <w:rFonts w:ascii="Segoe UI" w:hAnsi="Segoe UI" w:cs="Segoe UI"/>
                <w:sz w:val="18"/>
                <w:szCs w:val="18"/>
              </w:rPr>
            </w:pPr>
            <w:r w:rsidRPr="00345010">
              <w:rPr>
                <w:sz w:val="20"/>
                <w:szCs w:val="20"/>
                <w:lang w:val="en-US"/>
              </w:rPr>
              <w:t>1</w:t>
            </w:r>
            <w:r w:rsidRPr="00345010">
              <w:rPr>
                <w:rFonts w:ascii="Calibri" w:hAnsi="Calibri" w:cs="Calibri"/>
                <w:sz w:val="20"/>
                <w:szCs w:val="20"/>
                <w:lang w:val="en-US"/>
              </w:rPr>
              <w:t>56</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5B8603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 MOH</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D50976A"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62BC654C" w14:textId="77777777" w:rsidTr="00191F00">
        <w:trPr>
          <w:trHeight w:val="96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91F35D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shd w:val="clear" w:color="auto" w:fill="FFFFFF"/>
                <w:lang w:val="en-US"/>
              </w:rPr>
              <w:t>Technical support for safe clean green hospital initiative (in VTE Capital Region, Xiengkhuang province and Sekong province) included hands-on training on how to use autoclave to treat infectious waste and sharp waste.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D62729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Jul 2022</w:t>
            </w:r>
            <w:r w:rsidRPr="00345010">
              <w:rPr>
                <w:rFonts w:ascii="Calibri" w:hAnsi="Calibri" w:cs="Calibri"/>
                <w:sz w:val="20"/>
                <w:szCs w:val="20"/>
              </w:rPr>
              <w:t> </w:t>
            </w:r>
          </w:p>
          <w:p w14:paraId="54D30F1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10 Aug 2022</w:t>
            </w:r>
            <w:r w:rsidRPr="00345010">
              <w:rPr>
                <w:rFonts w:ascii="Calibri" w:hAnsi="Calibri" w:cs="Calibri"/>
                <w:sz w:val="20"/>
                <w:szCs w:val="20"/>
              </w:rPr>
              <w:t> </w:t>
            </w:r>
          </w:p>
          <w:p w14:paraId="3FF7492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 Sep 2022</w:t>
            </w:r>
            <w:r w:rsidRPr="00345010">
              <w:rPr>
                <w:rFonts w:ascii="Calibri" w:hAnsi="Calibri" w:cs="Calibri"/>
                <w:sz w:val="20"/>
                <w:szCs w:val="20"/>
              </w:rPr>
              <w:t> </w:t>
            </w:r>
          </w:p>
          <w:p w14:paraId="0CBDA4C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20 Oct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26615D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160CCE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9A052D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p w14:paraId="1696D50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w:t>
            </w:r>
            <w:r w:rsidRPr="00345010">
              <w:rPr>
                <w:rFonts w:ascii="Calibri" w:hAnsi="Calibri" w:cs="Calibri"/>
                <w:sz w:val="20"/>
                <w:szCs w:val="20"/>
              </w:rPr>
              <w:t> </w:t>
            </w:r>
          </w:p>
          <w:p w14:paraId="33783C1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w:t>
            </w:r>
            <w:r w:rsidRPr="00345010">
              <w:rPr>
                <w:rFonts w:ascii="Calibri" w:hAnsi="Calibri" w:cs="Calibri"/>
                <w:sz w:val="20"/>
                <w:szCs w:val="20"/>
              </w:rPr>
              <w:t> </w:t>
            </w:r>
          </w:p>
          <w:p w14:paraId="26A665E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89FE1B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w:t>
            </w:r>
            <w:r w:rsidRPr="00345010">
              <w:rPr>
                <w:rFonts w:ascii="Calibri" w:hAnsi="Calibri" w:cs="Calibri"/>
                <w:sz w:val="20"/>
                <w:szCs w:val="20"/>
              </w:rPr>
              <w:t> </w:t>
            </w:r>
          </w:p>
          <w:p w14:paraId="08A366C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w:t>
            </w:r>
            <w:r w:rsidRPr="00345010">
              <w:rPr>
                <w:rFonts w:ascii="Calibri" w:hAnsi="Calibri" w:cs="Calibri"/>
                <w:sz w:val="20"/>
                <w:szCs w:val="20"/>
              </w:rPr>
              <w:t> </w:t>
            </w:r>
          </w:p>
          <w:p w14:paraId="7FA9A6D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w:t>
            </w:r>
            <w:r w:rsidRPr="00345010">
              <w:rPr>
                <w:rFonts w:ascii="Calibri" w:hAnsi="Calibri" w:cs="Calibri"/>
                <w:sz w:val="20"/>
                <w:szCs w:val="20"/>
              </w:rPr>
              <w:t> </w:t>
            </w:r>
          </w:p>
          <w:p w14:paraId="2A72972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91E1947"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175D80C1"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08710C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and monitoring support on the use of guidance for dengue vector control for subnational dengue teams.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89B083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14-20 August 2022 Attapeu </w:t>
            </w:r>
            <w:r w:rsidRPr="00345010">
              <w:rPr>
                <w:rFonts w:ascii="Calibri" w:hAnsi="Calibri" w:cs="Calibri"/>
                <w:sz w:val="20"/>
                <w:szCs w:val="20"/>
              </w:rPr>
              <w:t> </w:t>
            </w:r>
          </w:p>
          <w:p w14:paraId="3E971E1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p w14:paraId="466A38B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21-27 August 2022 in Saravan and Sekong provinces.</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40E8E9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D80DC9E"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39C883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w:t>
            </w:r>
          </w:p>
          <w:p w14:paraId="272298B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p w14:paraId="7548C20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p w14:paraId="0348467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w:t>
            </w:r>
          </w:p>
          <w:p w14:paraId="06C3CE1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p w14:paraId="20C6558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3CBC83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WCO </w:t>
            </w:r>
            <w:r w:rsidRPr="00345010">
              <w:rPr>
                <w:rFonts w:ascii="Calibri" w:hAnsi="Calibri" w:cs="Calibri"/>
                <w:sz w:val="20"/>
                <w:szCs w:val="20"/>
              </w:rPr>
              <w:t> </w:t>
            </w:r>
          </w:p>
          <w:p w14:paraId="6BCDC38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Center for malariology, parasitology and entomology (CMPE)</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FD41CB1"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2497CED7" w14:textId="77777777" w:rsidTr="00191F00">
        <w:trPr>
          <w:trHeight w:val="9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921266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 xml:space="preserve">3-day TOT (for Master Trainers) workshop on CR WSPing </w:t>
            </w:r>
            <w:r w:rsidRPr="00345010">
              <w:rPr>
                <w:rFonts w:ascii="Calibri" w:hAnsi="Calibri" w:cs="Calibri"/>
                <w:sz w:val="20"/>
                <w:szCs w:val="20"/>
              </w:rPr>
              <w:t> </w:t>
            </w:r>
            <w:r w:rsidRPr="00345010">
              <w:rPr>
                <w:rFonts w:ascii="Calibri" w:hAnsi="Calibri" w:cs="Calibri"/>
                <w:sz w:val="20"/>
                <w:szCs w:val="20"/>
              </w:rPr>
              <w:br/>
            </w:r>
            <w:r w:rsidRPr="00345010">
              <w:rPr>
                <w:rFonts w:ascii="Calibri" w:hAnsi="Calibri" w:cs="Calibri"/>
                <w:sz w:val="20"/>
                <w:szCs w:val="20"/>
                <w:lang w:val="en-US"/>
              </w:rPr>
              <w:t>2 day consultation workshop to revise and prepare guidance for further development of SOPs for some key CR water safety operations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7CB49C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 21 Dec 22</w:t>
            </w:r>
            <w:r w:rsidRPr="00345010">
              <w:rPr>
                <w:rFonts w:ascii="Calibri" w:hAnsi="Calibri" w:cs="Calibri"/>
                <w:sz w:val="20"/>
                <w:szCs w:val="20"/>
              </w:rPr>
              <w:t> </w:t>
            </w:r>
          </w:p>
          <w:p w14:paraId="1CD9798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p w14:paraId="5E1933D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22 – 23 Dec 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7E7D27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381307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6E2DF36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8 Master Trainers</w:t>
            </w:r>
            <w:r w:rsidRPr="00345010">
              <w:rPr>
                <w:rFonts w:ascii="Calibri" w:hAnsi="Calibri" w:cs="Calibri"/>
                <w:sz w:val="20"/>
                <w:szCs w:val="20"/>
              </w:rPr>
              <w:t> </w:t>
            </w:r>
          </w:p>
          <w:p w14:paraId="73E018B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7207A2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MoPW&amp;T</w:t>
            </w:r>
            <w:r w:rsidRPr="00345010">
              <w:rPr>
                <w:rFonts w:ascii="Calibri" w:hAnsi="Calibri" w:cs="Calibri"/>
                <w:sz w:val="20"/>
                <w:szCs w:val="20"/>
              </w:rPr>
              <w:t> </w:t>
            </w:r>
          </w:p>
          <w:p w14:paraId="33FAC5A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p w14:paraId="367DFE1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A88E749"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p w14:paraId="111DA0D5"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p w14:paraId="38AFBF88"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p w14:paraId="49538811"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7D7A660F" w14:textId="77777777" w:rsidTr="00191F00">
        <w:trPr>
          <w:trHeight w:val="9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EE6DFB3"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Climate resilient WASH-FIT (including healthcare waste management) Master Trainer Refresher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A20CED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16 – 17 Mar 23</w:t>
            </w:r>
            <w:r w:rsidRPr="00345010">
              <w:rPr>
                <w:rFonts w:ascii="Calibri" w:hAnsi="Calibri" w:cs="Calibri"/>
                <w:sz w:val="20"/>
                <w:szCs w:val="20"/>
              </w:rPr>
              <w:t> </w:t>
            </w:r>
          </w:p>
          <w:p w14:paraId="47AAD3E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F905D0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04D7EA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801A86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2A69DC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WHO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CFEFE9C"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607BFCD7" w14:textId="77777777" w:rsidTr="00191F00">
        <w:trPr>
          <w:trHeight w:val="9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BAA40E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Refresher training on water quality monitoring in northern Lao PDR (poor water quality appears to link to raised diarrhoea incidence in dry season)</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D89276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 23 February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1B95E7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F695F48"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4879308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C46FCE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Nam Saat</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A606E7F"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D9901AE" w14:textId="77777777" w:rsidTr="00191F00">
        <w:trPr>
          <w:trHeight w:val="9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F9FA3F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Refresher training on water quality monitoring in northern Lao PDR (poor water quality appears to link to raised diarrhoea incidence in dry season, and possible dry season links to raised arsenic in water)</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A61143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20 – 22 March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9525122"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5FF719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3B6CCB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6D9185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Nam Saat</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186DB54"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53CD5D0D" w14:textId="77777777" w:rsidTr="00191F00">
        <w:trPr>
          <w:trHeight w:val="900"/>
        </w:trPr>
        <w:tc>
          <w:tcPr>
            <w:tcW w:w="4815" w:type="dxa"/>
            <w:tcBorders>
              <w:top w:val="nil"/>
              <w:left w:val="single" w:sz="6" w:space="0" w:color="auto"/>
              <w:bottom w:val="single" w:sz="6" w:space="0" w:color="auto"/>
              <w:right w:val="single" w:sz="6" w:space="0" w:color="auto"/>
            </w:tcBorders>
            <w:shd w:val="clear" w:color="auto" w:fill="auto"/>
            <w:hideMark/>
          </w:tcPr>
          <w:p w14:paraId="11E233B9" w14:textId="77777777" w:rsidR="003C1DAE" w:rsidRPr="00345010" w:rsidRDefault="003C1DAE" w:rsidP="00C07A0A">
            <w:pPr>
              <w:jc w:val="both"/>
              <w:textAlignment w:val="baseline"/>
              <w:rPr>
                <w:rFonts w:ascii="Segoe UI" w:hAnsi="Segoe UI" w:cs="Segoe UI"/>
                <w:sz w:val="18"/>
                <w:szCs w:val="18"/>
              </w:rPr>
            </w:pPr>
            <w:r w:rsidRPr="00345010">
              <w:rPr>
                <w:rFonts w:ascii="Calibri" w:hAnsi="Calibri" w:cs="Calibri"/>
                <w:sz w:val="20"/>
                <w:szCs w:val="20"/>
                <w:lang w:val="en-US"/>
              </w:rPr>
              <w:lastRenderedPageBreak/>
              <w:t>Water quality surveillance and monitoring training (for working professionals)</w:t>
            </w:r>
            <w:r w:rsidRPr="00345010">
              <w:rPr>
                <w:rFonts w:ascii="Calibri" w:hAnsi="Calibri" w:cs="Calibri"/>
                <w:sz w:val="20"/>
                <w:szCs w:val="20"/>
              </w:rPr>
              <w:t> </w:t>
            </w:r>
          </w:p>
          <w:p w14:paraId="2DE70CEF" w14:textId="77777777" w:rsidR="003C1DAE" w:rsidRPr="00345010" w:rsidRDefault="003C1DAE" w:rsidP="00C07A0A">
            <w:pPr>
              <w:jc w:val="both"/>
              <w:textAlignment w:val="baseline"/>
              <w:rPr>
                <w:rFonts w:ascii="Segoe UI" w:hAnsi="Segoe UI" w:cs="Segoe UI"/>
                <w:sz w:val="18"/>
                <w:szCs w:val="18"/>
              </w:rPr>
            </w:pPr>
            <w:r w:rsidRPr="00345010">
              <w:rPr>
                <w:rFonts w:ascii="Calibri" w:hAnsi="Calibri" w:cs="Calibri"/>
                <w:sz w:val="20"/>
                <w:szCs w:val="20"/>
              </w:rPr>
              <w:t> </w:t>
            </w:r>
          </w:p>
          <w:p w14:paraId="13E806A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c>
          <w:tcPr>
            <w:tcW w:w="1417" w:type="dxa"/>
            <w:tcBorders>
              <w:top w:val="nil"/>
              <w:left w:val="single" w:sz="6" w:space="0" w:color="auto"/>
              <w:bottom w:val="single" w:sz="6" w:space="0" w:color="auto"/>
              <w:right w:val="single" w:sz="6" w:space="0" w:color="auto"/>
            </w:tcBorders>
            <w:shd w:val="clear" w:color="auto" w:fill="auto"/>
            <w:hideMark/>
          </w:tcPr>
          <w:p w14:paraId="4754796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4-6 Jan 2023</w:t>
            </w:r>
            <w:r w:rsidRPr="00345010">
              <w:rPr>
                <w:rFonts w:ascii="Calibri" w:hAnsi="Calibri" w:cs="Calibri"/>
                <w:sz w:val="20"/>
                <w:szCs w:val="20"/>
              </w:rPr>
              <w:t> </w:t>
            </w:r>
          </w:p>
          <w:p w14:paraId="0EC34A5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tcPr>
          <w:p w14:paraId="75082CEB"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15</w:t>
            </w:r>
          </w:p>
        </w:tc>
        <w:tc>
          <w:tcPr>
            <w:tcW w:w="1276" w:type="dxa"/>
            <w:tcBorders>
              <w:top w:val="nil"/>
              <w:left w:val="single" w:sz="6" w:space="0" w:color="auto"/>
              <w:bottom w:val="single" w:sz="6" w:space="0" w:color="auto"/>
              <w:right w:val="single" w:sz="6" w:space="0" w:color="auto"/>
            </w:tcBorders>
          </w:tcPr>
          <w:p w14:paraId="55B0257C"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20</w:t>
            </w:r>
          </w:p>
        </w:tc>
        <w:tc>
          <w:tcPr>
            <w:tcW w:w="1418" w:type="dxa"/>
            <w:tcBorders>
              <w:top w:val="nil"/>
              <w:left w:val="single" w:sz="6" w:space="0" w:color="auto"/>
              <w:bottom w:val="single" w:sz="6" w:space="0" w:color="auto"/>
              <w:right w:val="single" w:sz="6" w:space="0" w:color="auto"/>
            </w:tcBorders>
            <w:shd w:val="clear" w:color="auto" w:fill="auto"/>
            <w:hideMark/>
          </w:tcPr>
          <w:p w14:paraId="619AF87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35</w:t>
            </w:r>
            <w:r w:rsidRPr="00345010">
              <w:rPr>
                <w:rFonts w:ascii="Calibri" w:hAnsi="Calibri" w:cs="Calibri"/>
                <w:sz w:val="20"/>
                <w:szCs w:val="20"/>
              </w:rPr>
              <w:t> </w:t>
            </w:r>
          </w:p>
          <w:p w14:paraId="113AAEB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(20 Female)</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shd w:val="clear" w:color="auto" w:fill="auto"/>
            <w:hideMark/>
          </w:tcPr>
          <w:p w14:paraId="134D993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Nam Papa</w:t>
            </w:r>
            <w:r w:rsidRPr="00345010">
              <w:rPr>
                <w:rFonts w:ascii="Calibri" w:hAnsi="Calibri" w:cs="Calibri"/>
                <w:sz w:val="20"/>
                <w:szCs w:val="20"/>
              </w:rPr>
              <w:t> </w:t>
            </w:r>
          </w:p>
        </w:tc>
        <w:tc>
          <w:tcPr>
            <w:tcW w:w="1414" w:type="dxa"/>
            <w:tcBorders>
              <w:top w:val="nil"/>
              <w:left w:val="single" w:sz="6" w:space="0" w:color="auto"/>
              <w:bottom w:val="single" w:sz="6" w:space="0" w:color="auto"/>
              <w:right w:val="single" w:sz="6" w:space="0" w:color="auto"/>
            </w:tcBorders>
            <w:shd w:val="clear" w:color="auto" w:fill="auto"/>
            <w:hideMark/>
          </w:tcPr>
          <w:p w14:paraId="22FCB58B"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5E8952D7" w14:textId="77777777" w:rsidTr="00191F00">
        <w:trPr>
          <w:trHeight w:val="900"/>
        </w:trPr>
        <w:tc>
          <w:tcPr>
            <w:tcW w:w="4815" w:type="dxa"/>
            <w:tcBorders>
              <w:top w:val="nil"/>
              <w:left w:val="single" w:sz="6" w:space="0" w:color="auto"/>
              <w:bottom w:val="single" w:sz="6" w:space="0" w:color="auto"/>
              <w:right w:val="single" w:sz="6" w:space="0" w:color="auto"/>
            </w:tcBorders>
            <w:shd w:val="clear" w:color="auto" w:fill="auto"/>
            <w:hideMark/>
          </w:tcPr>
          <w:p w14:paraId="0877A779" w14:textId="77777777" w:rsidR="003C1DAE" w:rsidRPr="00345010" w:rsidRDefault="003C1DAE" w:rsidP="00C07A0A">
            <w:pPr>
              <w:jc w:val="both"/>
              <w:textAlignment w:val="baseline"/>
              <w:rPr>
                <w:rFonts w:ascii="Segoe UI" w:hAnsi="Segoe UI" w:cs="Segoe UI"/>
                <w:sz w:val="18"/>
                <w:szCs w:val="18"/>
              </w:rPr>
            </w:pPr>
            <w:r w:rsidRPr="00345010">
              <w:rPr>
                <w:rFonts w:ascii="Calibri" w:hAnsi="Calibri" w:cs="Calibri"/>
                <w:sz w:val="20"/>
                <w:szCs w:val="20"/>
                <w:lang w:val="en-US"/>
              </w:rPr>
              <w:t>Climate resilient water safety planning and surveillance training for lecturers, students and researchers</w:t>
            </w:r>
            <w:r w:rsidRPr="00345010">
              <w:rPr>
                <w:rFonts w:ascii="Calibri" w:hAnsi="Calibri" w:cs="Calibri"/>
                <w:sz w:val="20"/>
                <w:szCs w:val="20"/>
              </w:rPr>
              <w:t> </w:t>
            </w:r>
          </w:p>
        </w:tc>
        <w:tc>
          <w:tcPr>
            <w:tcW w:w="1417" w:type="dxa"/>
            <w:tcBorders>
              <w:top w:val="nil"/>
              <w:left w:val="single" w:sz="6" w:space="0" w:color="auto"/>
              <w:bottom w:val="single" w:sz="6" w:space="0" w:color="auto"/>
              <w:right w:val="single" w:sz="6" w:space="0" w:color="auto"/>
            </w:tcBorders>
            <w:shd w:val="clear" w:color="auto" w:fill="auto"/>
            <w:hideMark/>
          </w:tcPr>
          <w:p w14:paraId="7160881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29-30 March</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tcPr>
          <w:p w14:paraId="1F5126CF" w14:textId="77777777" w:rsidR="003C1DAE" w:rsidRPr="00345010" w:rsidRDefault="003C1DAE" w:rsidP="00C07A0A">
            <w:pPr>
              <w:jc w:val="center"/>
              <w:textAlignment w:val="baseline"/>
              <w:rPr>
                <w:rFonts w:ascii="Calibri" w:hAnsi="Calibri" w:cs="Calibri"/>
                <w:sz w:val="20"/>
                <w:szCs w:val="20"/>
              </w:rPr>
            </w:pPr>
          </w:p>
        </w:tc>
        <w:tc>
          <w:tcPr>
            <w:tcW w:w="1276" w:type="dxa"/>
            <w:tcBorders>
              <w:top w:val="nil"/>
              <w:left w:val="single" w:sz="6" w:space="0" w:color="auto"/>
              <w:bottom w:val="single" w:sz="6" w:space="0" w:color="auto"/>
              <w:right w:val="single" w:sz="6" w:space="0" w:color="auto"/>
            </w:tcBorders>
          </w:tcPr>
          <w:p w14:paraId="074A87E1" w14:textId="77777777" w:rsidR="003C1DAE" w:rsidRPr="00345010" w:rsidRDefault="003C1DAE" w:rsidP="00C07A0A">
            <w:pPr>
              <w:jc w:val="center"/>
              <w:textAlignment w:val="baseline"/>
              <w:rPr>
                <w:rFonts w:ascii="Calibri" w:hAnsi="Calibri" w:cs="Calibri"/>
                <w:sz w:val="20"/>
                <w:szCs w:val="20"/>
              </w:rPr>
            </w:pPr>
          </w:p>
        </w:tc>
        <w:tc>
          <w:tcPr>
            <w:tcW w:w="1418" w:type="dxa"/>
            <w:tcBorders>
              <w:top w:val="nil"/>
              <w:left w:val="single" w:sz="6" w:space="0" w:color="auto"/>
              <w:bottom w:val="single" w:sz="6" w:space="0" w:color="auto"/>
              <w:right w:val="single" w:sz="6" w:space="0" w:color="auto"/>
            </w:tcBorders>
            <w:shd w:val="clear" w:color="auto" w:fill="auto"/>
            <w:hideMark/>
          </w:tcPr>
          <w:p w14:paraId="514B6A7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shd w:val="clear" w:color="auto" w:fill="auto"/>
            <w:hideMark/>
          </w:tcPr>
          <w:p w14:paraId="553FA1F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nil"/>
              <w:left w:val="single" w:sz="6" w:space="0" w:color="auto"/>
              <w:bottom w:val="single" w:sz="6" w:space="0" w:color="auto"/>
              <w:right w:val="single" w:sz="6" w:space="0" w:color="auto"/>
            </w:tcBorders>
            <w:shd w:val="clear" w:color="auto" w:fill="auto"/>
            <w:hideMark/>
          </w:tcPr>
          <w:p w14:paraId="0535083A"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4A216F7D" w14:textId="77777777" w:rsidTr="00191F00">
        <w:trPr>
          <w:trHeight w:val="900"/>
        </w:trPr>
        <w:tc>
          <w:tcPr>
            <w:tcW w:w="4815" w:type="dxa"/>
            <w:tcBorders>
              <w:top w:val="nil"/>
              <w:left w:val="single" w:sz="6" w:space="0" w:color="auto"/>
              <w:bottom w:val="single" w:sz="6" w:space="0" w:color="auto"/>
              <w:right w:val="single" w:sz="6" w:space="0" w:color="auto"/>
            </w:tcBorders>
            <w:shd w:val="clear" w:color="auto" w:fill="auto"/>
            <w:hideMark/>
          </w:tcPr>
          <w:p w14:paraId="553BDDAB" w14:textId="77777777" w:rsidR="003C1DAE" w:rsidRPr="00345010" w:rsidRDefault="003C1DAE" w:rsidP="00C07A0A">
            <w:pPr>
              <w:jc w:val="both"/>
              <w:textAlignment w:val="baseline"/>
              <w:rPr>
                <w:rFonts w:ascii="Segoe UI" w:hAnsi="Segoe UI" w:cs="Segoe UI"/>
                <w:sz w:val="18"/>
                <w:szCs w:val="18"/>
              </w:rPr>
            </w:pPr>
            <w:r w:rsidRPr="00345010">
              <w:rPr>
                <w:rFonts w:ascii="Calibri" w:hAnsi="Calibri" w:cs="Calibri"/>
                <w:sz w:val="20"/>
                <w:szCs w:val="20"/>
              </w:rPr>
              <w:t>Water quality surveillance and monitoring</w:t>
            </w:r>
            <w:r w:rsidRPr="00345010">
              <w:rPr>
                <w:sz w:val="20"/>
                <w:szCs w:val="20"/>
                <w:lang w:val="en-US"/>
              </w:rPr>
              <w:t>,</w:t>
            </w:r>
            <w:r w:rsidRPr="00345010">
              <w:rPr>
                <w:rFonts w:ascii="Calibri" w:hAnsi="Calibri" w:cs="Calibri"/>
                <w:sz w:val="20"/>
                <w:szCs w:val="20"/>
              </w:rPr>
              <w:t xml:space="preserve"> including use of rapid testing equipment (for postgraduate and graduate students) </w:t>
            </w:r>
          </w:p>
        </w:tc>
        <w:tc>
          <w:tcPr>
            <w:tcW w:w="1417" w:type="dxa"/>
            <w:tcBorders>
              <w:top w:val="nil"/>
              <w:left w:val="single" w:sz="6" w:space="0" w:color="auto"/>
              <w:bottom w:val="single" w:sz="6" w:space="0" w:color="auto"/>
              <w:right w:val="single" w:sz="6" w:space="0" w:color="auto"/>
            </w:tcBorders>
            <w:shd w:val="clear" w:color="auto" w:fill="auto"/>
            <w:hideMark/>
          </w:tcPr>
          <w:p w14:paraId="74B3C19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June 2023</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tcPr>
          <w:p w14:paraId="2F176B5E"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nil"/>
              <w:left w:val="single" w:sz="6" w:space="0" w:color="auto"/>
              <w:bottom w:val="single" w:sz="6" w:space="0" w:color="auto"/>
              <w:right w:val="single" w:sz="6" w:space="0" w:color="auto"/>
            </w:tcBorders>
          </w:tcPr>
          <w:p w14:paraId="307ECBFE"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nil"/>
              <w:left w:val="single" w:sz="6" w:space="0" w:color="auto"/>
              <w:bottom w:val="single" w:sz="6" w:space="0" w:color="auto"/>
              <w:right w:val="single" w:sz="6" w:space="0" w:color="auto"/>
            </w:tcBorders>
            <w:shd w:val="clear" w:color="auto" w:fill="auto"/>
            <w:hideMark/>
          </w:tcPr>
          <w:p w14:paraId="0B6496C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22</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shd w:val="clear" w:color="auto" w:fill="auto"/>
            <w:hideMark/>
          </w:tcPr>
          <w:p w14:paraId="2CF84EE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School of Medical Technology</w:t>
            </w:r>
            <w:r w:rsidRPr="00345010">
              <w:rPr>
                <w:rFonts w:ascii="Calibri" w:hAnsi="Calibri" w:cs="Calibri"/>
                <w:sz w:val="20"/>
                <w:szCs w:val="20"/>
              </w:rPr>
              <w:t> </w:t>
            </w:r>
          </w:p>
        </w:tc>
        <w:tc>
          <w:tcPr>
            <w:tcW w:w="1414" w:type="dxa"/>
            <w:tcBorders>
              <w:top w:val="nil"/>
              <w:left w:val="single" w:sz="6" w:space="0" w:color="auto"/>
              <w:bottom w:val="single" w:sz="6" w:space="0" w:color="auto"/>
              <w:right w:val="single" w:sz="6" w:space="0" w:color="auto"/>
            </w:tcBorders>
            <w:shd w:val="clear" w:color="auto" w:fill="auto"/>
            <w:hideMark/>
          </w:tcPr>
          <w:p w14:paraId="4CF7666E"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2DCEF5E0" w14:textId="77777777" w:rsidTr="00191F00">
        <w:trPr>
          <w:trHeight w:val="900"/>
        </w:trPr>
        <w:tc>
          <w:tcPr>
            <w:tcW w:w="4815" w:type="dxa"/>
            <w:tcBorders>
              <w:top w:val="nil"/>
              <w:left w:val="single" w:sz="6" w:space="0" w:color="auto"/>
              <w:bottom w:val="single" w:sz="6" w:space="0" w:color="auto"/>
              <w:right w:val="single" w:sz="6" w:space="0" w:color="auto"/>
            </w:tcBorders>
            <w:shd w:val="clear" w:color="auto" w:fill="auto"/>
            <w:hideMark/>
          </w:tcPr>
          <w:p w14:paraId="7FBEECF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Climate Change and health training modules for public health specialists (HNAP implementers)</w:t>
            </w:r>
            <w:r w:rsidRPr="00345010">
              <w:rPr>
                <w:rFonts w:ascii="Calibri" w:hAnsi="Calibri" w:cs="Calibri"/>
                <w:sz w:val="20"/>
                <w:szCs w:val="20"/>
              </w:rPr>
              <w:t> </w:t>
            </w:r>
          </w:p>
        </w:tc>
        <w:tc>
          <w:tcPr>
            <w:tcW w:w="1417" w:type="dxa"/>
            <w:tcBorders>
              <w:top w:val="nil"/>
              <w:left w:val="single" w:sz="6" w:space="0" w:color="auto"/>
              <w:bottom w:val="single" w:sz="6" w:space="0" w:color="auto"/>
              <w:right w:val="single" w:sz="6" w:space="0" w:color="auto"/>
            </w:tcBorders>
            <w:shd w:val="clear" w:color="auto" w:fill="auto"/>
            <w:hideMark/>
          </w:tcPr>
          <w:p w14:paraId="5A95C8C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18-19 July, 2023</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tcPr>
          <w:p w14:paraId="3F443650"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30</w:t>
            </w:r>
          </w:p>
        </w:tc>
        <w:tc>
          <w:tcPr>
            <w:tcW w:w="1276" w:type="dxa"/>
            <w:tcBorders>
              <w:top w:val="nil"/>
              <w:left w:val="single" w:sz="6" w:space="0" w:color="auto"/>
              <w:bottom w:val="single" w:sz="6" w:space="0" w:color="auto"/>
              <w:right w:val="single" w:sz="6" w:space="0" w:color="auto"/>
            </w:tcBorders>
          </w:tcPr>
          <w:p w14:paraId="36E4617F"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36</w:t>
            </w:r>
          </w:p>
        </w:tc>
        <w:tc>
          <w:tcPr>
            <w:tcW w:w="1418" w:type="dxa"/>
            <w:tcBorders>
              <w:top w:val="nil"/>
              <w:left w:val="single" w:sz="6" w:space="0" w:color="auto"/>
              <w:bottom w:val="single" w:sz="6" w:space="0" w:color="auto"/>
              <w:right w:val="single" w:sz="6" w:space="0" w:color="auto"/>
            </w:tcBorders>
            <w:shd w:val="clear" w:color="auto" w:fill="auto"/>
            <w:hideMark/>
          </w:tcPr>
          <w:p w14:paraId="727D151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66 (36 or  54.6%</w:t>
            </w:r>
            <w:r w:rsidRPr="00345010">
              <w:rPr>
                <w:rFonts w:ascii="Calibri" w:hAnsi="Calibri" w:cs="Calibri"/>
                <w:sz w:val="20"/>
                <w:szCs w:val="20"/>
              </w:rPr>
              <w:t> </w:t>
            </w:r>
          </w:p>
          <w:p w14:paraId="439EBF9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 female)</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shd w:val="clear" w:color="auto" w:fill="auto"/>
            <w:hideMark/>
          </w:tcPr>
          <w:p w14:paraId="3C27D7B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DHHP</w:t>
            </w:r>
            <w:r w:rsidRPr="00345010">
              <w:rPr>
                <w:rFonts w:ascii="Calibri" w:hAnsi="Calibri" w:cs="Calibri"/>
                <w:sz w:val="20"/>
                <w:szCs w:val="20"/>
              </w:rPr>
              <w:t> </w:t>
            </w:r>
          </w:p>
        </w:tc>
        <w:tc>
          <w:tcPr>
            <w:tcW w:w="1414" w:type="dxa"/>
            <w:tcBorders>
              <w:top w:val="nil"/>
              <w:left w:val="single" w:sz="6" w:space="0" w:color="auto"/>
              <w:bottom w:val="single" w:sz="6" w:space="0" w:color="auto"/>
              <w:right w:val="single" w:sz="6" w:space="0" w:color="auto"/>
            </w:tcBorders>
            <w:shd w:val="clear" w:color="auto" w:fill="auto"/>
            <w:hideMark/>
          </w:tcPr>
          <w:p w14:paraId="5F8C8B75"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14FB5E2C" w14:textId="77777777" w:rsidTr="00191F00">
        <w:trPr>
          <w:trHeight w:val="900"/>
        </w:trPr>
        <w:tc>
          <w:tcPr>
            <w:tcW w:w="4815" w:type="dxa"/>
            <w:tcBorders>
              <w:top w:val="nil"/>
              <w:left w:val="single" w:sz="6" w:space="0" w:color="auto"/>
              <w:bottom w:val="single" w:sz="6" w:space="0" w:color="auto"/>
              <w:right w:val="single" w:sz="6" w:space="0" w:color="auto"/>
            </w:tcBorders>
            <w:shd w:val="clear" w:color="auto" w:fill="auto"/>
            <w:hideMark/>
          </w:tcPr>
          <w:p w14:paraId="77BB5B3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‍Health National Adaptation Plan High Level Advocacy Meeting</w:t>
            </w:r>
            <w:r w:rsidRPr="00345010">
              <w:rPr>
                <w:rFonts w:ascii="Calibri" w:hAnsi="Calibri" w:cs="Calibri"/>
                <w:sz w:val="20"/>
                <w:szCs w:val="20"/>
              </w:rPr>
              <w:t> </w:t>
            </w:r>
          </w:p>
        </w:tc>
        <w:tc>
          <w:tcPr>
            <w:tcW w:w="1417" w:type="dxa"/>
            <w:tcBorders>
              <w:top w:val="nil"/>
              <w:left w:val="single" w:sz="6" w:space="0" w:color="auto"/>
              <w:bottom w:val="single" w:sz="6" w:space="0" w:color="auto"/>
              <w:right w:val="single" w:sz="6" w:space="0" w:color="auto"/>
            </w:tcBorders>
            <w:shd w:val="clear" w:color="auto" w:fill="auto"/>
            <w:hideMark/>
          </w:tcPr>
          <w:p w14:paraId="69A6C90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16"/>
                <w:szCs w:val="16"/>
                <w:vertAlign w:val="superscript"/>
                <w:lang w:val="en-US"/>
              </w:rPr>
              <w:t>rd</w:t>
            </w:r>
            <w:r w:rsidRPr="00345010">
              <w:rPr>
                <w:rFonts w:ascii="Calibri" w:hAnsi="Calibri" w:cs="Calibri"/>
                <w:sz w:val="20"/>
                <w:szCs w:val="20"/>
                <w:lang w:val="en-US"/>
              </w:rPr>
              <w:t xml:space="preserve"> August 2023</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tcPr>
          <w:p w14:paraId="3E7A39F4"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30</w:t>
            </w:r>
          </w:p>
        </w:tc>
        <w:tc>
          <w:tcPr>
            <w:tcW w:w="1276" w:type="dxa"/>
            <w:tcBorders>
              <w:top w:val="nil"/>
              <w:left w:val="single" w:sz="6" w:space="0" w:color="auto"/>
              <w:bottom w:val="single" w:sz="6" w:space="0" w:color="auto"/>
              <w:right w:val="single" w:sz="6" w:space="0" w:color="auto"/>
            </w:tcBorders>
          </w:tcPr>
          <w:p w14:paraId="720E1284"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36</w:t>
            </w:r>
          </w:p>
        </w:tc>
        <w:tc>
          <w:tcPr>
            <w:tcW w:w="1418" w:type="dxa"/>
            <w:tcBorders>
              <w:top w:val="nil"/>
              <w:left w:val="single" w:sz="6" w:space="0" w:color="auto"/>
              <w:bottom w:val="single" w:sz="6" w:space="0" w:color="auto"/>
              <w:right w:val="single" w:sz="6" w:space="0" w:color="auto"/>
            </w:tcBorders>
            <w:shd w:val="clear" w:color="auto" w:fill="auto"/>
            <w:hideMark/>
          </w:tcPr>
          <w:p w14:paraId="20E939B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69 (36 female = 52.2% female)</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shd w:val="clear" w:color="auto" w:fill="auto"/>
            <w:hideMark/>
          </w:tcPr>
          <w:p w14:paraId="2E58847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DHHP</w:t>
            </w:r>
            <w:r w:rsidRPr="00345010">
              <w:rPr>
                <w:rFonts w:ascii="Calibri" w:hAnsi="Calibri" w:cs="Calibri"/>
                <w:sz w:val="20"/>
                <w:szCs w:val="20"/>
              </w:rPr>
              <w:t> </w:t>
            </w:r>
          </w:p>
        </w:tc>
        <w:tc>
          <w:tcPr>
            <w:tcW w:w="1414" w:type="dxa"/>
            <w:tcBorders>
              <w:top w:val="nil"/>
              <w:left w:val="single" w:sz="6" w:space="0" w:color="auto"/>
              <w:bottom w:val="single" w:sz="6" w:space="0" w:color="auto"/>
              <w:right w:val="single" w:sz="6" w:space="0" w:color="auto"/>
            </w:tcBorders>
            <w:shd w:val="clear" w:color="auto" w:fill="auto"/>
            <w:hideMark/>
          </w:tcPr>
          <w:p w14:paraId="14DD9DCC"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636BC2C7" w14:textId="77777777" w:rsidTr="00191F00">
        <w:trPr>
          <w:trHeight w:val="900"/>
        </w:trPr>
        <w:tc>
          <w:tcPr>
            <w:tcW w:w="4815" w:type="dxa"/>
            <w:tcBorders>
              <w:top w:val="nil"/>
              <w:left w:val="single" w:sz="6" w:space="0" w:color="auto"/>
              <w:bottom w:val="single" w:sz="6" w:space="0" w:color="auto"/>
              <w:right w:val="single" w:sz="6" w:space="0" w:color="auto"/>
            </w:tcBorders>
            <w:shd w:val="clear" w:color="auto" w:fill="auto"/>
            <w:hideMark/>
          </w:tcPr>
          <w:p w14:paraId="0A58874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‍Regional workshop f(southern region) or Climate Change and Health Adaptation Planning</w:t>
            </w:r>
            <w:r w:rsidRPr="00345010">
              <w:rPr>
                <w:rFonts w:ascii="Calibri" w:hAnsi="Calibri" w:cs="Calibri"/>
                <w:sz w:val="20"/>
                <w:szCs w:val="20"/>
              </w:rPr>
              <w:t> </w:t>
            </w:r>
          </w:p>
        </w:tc>
        <w:tc>
          <w:tcPr>
            <w:tcW w:w="1417" w:type="dxa"/>
            <w:tcBorders>
              <w:top w:val="nil"/>
              <w:left w:val="single" w:sz="6" w:space="0" w:color="auto"/>
              <w:bottom w:val="single" w:sz="6" w:space="0" w:color="auto"/>
              <w:right w:val="single" w:sz="6" w:space="0" w:color="auto"/>
            </w:tcBorders>
            <w:shd w:val="clear" w:color="auto" w:fill="auto"/>
            <w:hideMark/>
          </w:tcPr>
          <w:p w14:paraId="014A07E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18 – 20 September</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tcPr>
          <w:p w14:paraId="101E1EB5"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27</w:t>
            </w:r>
          </w:p>
        </w:tc>
        <w:tc>
          <w:tcPr>
            <w:tcW w:w="1276" w:type="dxa"/>
            <w:tcBorders>
              <w:top w:val="nil"/>
              <w:left w:val="single" w:sz="6" w:space="0" w:color="auto"/>
              <w:bottom w:val="single" w:sz="6" w:space="0" w:color="auto"/>
              <w:right w:val="single" w:sz="6" w:space="0" w:color="auto"/>
            </w:tcBorders>
          </w:tcPr>
          <w:p w14:paraId="6E8CCDE9"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17</w:t>
            </w:r>
          </w:p>
        </w:tc>
        <w:tc>
          <w:tcPr>
            <w:tcW w:w="1418" w:type="dxa"/>
            <w:tcBorders>
              <w:top w:val="nil"/>
              <w:left w:val="single" w:sz="6" w:space="0" w:color="auto"/>
              <w:bottom w:val="single" w:sz="6" w:space="0" w:color="auto"/>
              <w:right w:val="single" w:sz="6" w:space="0" w:color="auto"/>
            </w:tcBorders>
            <w:shd w:val="clear" w:color="auto" w:fill="auto"/>
            <w:hideMark/>
          </w:tcPr>
          <w:p w14:paraId="2AC445E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44 (17 female = 38.6% female)</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shd w:val="clear" w:color="auto" w:fill="auto"/>
            <w:hideMark/>
          </w:tcPr>
          <w:p w14:paraId="46BAF13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DHHP</w:t>
            </w:r>
            <w:r w:rsidRPr="00345010">
              <w:rPr>
                <w:rFonts w:ascii="Calibri" w:hAnsi="Calibri" w:cs="Calibri"/>
                <w:sz w:val="20"/>
                <w:szCs w:val="20"/>
              </w:rPr>
              <w:t> </w:t>
            </w:r>
          </w:p>
        </w:tc>
        <w:tc>
          <w:tcPr>
            <w:tcW w:w="1414" w:type="dxa"/>
            <w:tcBorders>
              <w:top w:val="nil"/>
              <w:left w:val="single" w:sz="6" w:space="0" w:color="auto"/>
              <w:bottom w:val="single" w:sz="6" w:space="0" w:color="auto"/>
              <w:right w:val="single" w:sz="6" w:space="0" w:color="auto"/>
            </w:tcBorders>
            <w:shd w:val="clear" w:color="auto" w:fill="auto"/>
            <w:hideMark/>
          </w:tcPr>
          <w:p w14:paraId="0CC457DF"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224D06C1" w14:textId="77777777" w:rsidTr="00191F00">
        <w:trPr>
          <w:trHeight w:val="900"/>
        </w:trPr>
        <w:tc>
          <w:tcPr>
            <w:tcW w:w="4815" w:type="dxa"/>
            <w:tcBorders>
              <w:top w:val="nil"/>
              <w:left w:val="single" w:sz="6" w:space="0" w:color="auto"/>
              <w:bottom w:val="single" w:sz="6" w:space="0" w:color="auto"/>
              <w:right w:val="single" w:sz="6" w:space="0" w:color="auto"/>
            </w:tcBorders>
            <w:shd w:val="clear" w:color="auto" w:fill="auto"/>
            <w:hideMark/>
          </w:tcPr>
          <w:p w14:paraId="381C320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‍Regional workshop (northern region) for Climate Change and Health Adaptation Planning</w:t>
            </w:r>
            <w:r w:rsidRPr="00345010">
              <w:rPr>
                <w:rFonts w:ascii="Calibri" w:hAnsi="Calibri" w:cs="Calibri"/>
                <w:sz w:val="20"/>
                <w:szCs w:val="20"/>
              </w:rPr>
              <w:t> </w:t>
            </w:r>
          </w:p>
        </w:tc>
        <w:tc>
          <w:tcPr>
            <w:tcW w:w="1417" w:type="dxa"/>
            <w:tcBorders>
              <w:top w:val="nil"/>
              <w:left w:val="single" w:sz="6" w:space="0" w:color="auto"/>
              <w:bottom w:val="single" w:sz="6" w:space="0" w:color="auto"/>
              <w:right w:val="single" w:sz="6" w:space="0" w:color="auto"/>
            </w:tcBorders>
            <w:shd w:val="clear" w:color="auto" w:fill="auto"/>
            <w:hideMark/>
          </w:tcPr>
          <w:p w14:paraId="2CB8C37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6 -8 September</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tcPr>
          <w:p w14:paraId="472F5C2F"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nil"/>
              <w:left w:val="single" w:sz="6" w:space="0" w:color="auto"/>
              <w:bottom w:val="single" w:sz="6" w:space="0" w:color="auto"/>
              <w:right w:val="single" w:sz="6" w:space="0" w:color="auto"/>
            </w:tcBorders>
          </w:tcPr>
          <w:p w14:paraId="7EF05A8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nil"/>
              <w:left w:val="single" w:sz="6" w:space="0" w:color="auto"/>
              <w:bottom w:val="single" w:sz="6" w:space="0" w:color="auto"/>
              <w:right w:val="single" w:sz="6" w:space="0" w:color="auto"/>
            </w:tcBorders>
            <w:shd w:val="clear" w:color="auto" w:fill="auto"/>
            <w:hideMark/>
          </w:tcPr>
          <w:p w14:paraId="65CCE22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51 (20 female = 39.2% female)</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shd w:val="clear" w:color="auto" w:fill="auto"/>
            <w:hideMark/>
          </w:tcPr>
          <w:p w14:paraId="000BC8C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DHHP</w:t>
            </w:r>
            <w:r w:rsidRPr="00345010">
              <w:rPr>
                <w:rFonts w:ascii="Calibri" w:hAnsi="Calibri" w:cs="Calibri"/>
                <w:sz w:val="20"/>
                <w:szCs w:val="20"/>
              </w:rPr>
              <w:t> </w:t>
            </w:r>
          </w:p>
        </w:tc>
        <w:tc>
          <w:tcPr>
            <w:tcW w:w="1414" w:type="dxa"/>
            <w:tcBorders>
              <w:top w:val="nil"/>
              <w:left w:val="single" w:sz="6" w:space="0" w:color="auto"/>
              <w:bottom w:val="single" w:sz="6" w:space="0" w:color="auto"/>
              <w:right w:val="single" w:sz="6" w:space="0" w:color="auto"/>
            </w:tcBorders>
            <w:shd w:val="clear" w:color="auto" w:fill="auto"/>
            <w:hideMark/>
          </w:tcPr>
          <w:p w14:paraId="5F2179DD"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42067417" w14:textId="77777777" w:rsidTr="00191F00">
        <w:trPr>
          <w:trHeight w:val="900"/>
        </w:trPr>
        <w:tc>
          <w:tcPr>
            <w:tcW w:w="4815" w:type="dxa"/>
            <w:tcBorders>
              <w:top w:val="nil"/>
              <w:left w:val="single" w:sz="6" w:space="0" w:color="auto"/>
              <w:bottom w:val="single" w:sz="6" w:space="0" w:color="auto"/>
              <w:right w:val="single" w:sz="6" w:space="0" w:color="auto"/>
            </w:tcBorders>
            <w:hideMark/>
          </w:tcPr>
          <w:p w14:paraId="0008D7B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u w:val="single"/>
                <w:lang w:val="en-US"/>
              </w:rPr>
              <w:t>Certified training for autoclave operators and health care waste management for health staff from selected provinces (3 provinces: Champasack-4 staff, Sekong-2 staff, Attapeu-3 staff).</w:t>
            </w:r>
            <w:r w:rsidRPr="00345010">
              <w:rPr>
                <w:rFonts w:ascii="Calibri" w:hAnsi="Calibri" w:cs="Calibri"/>
                <w:strike/>
                <w:sz w:val="20"/>
                <w:szCs w:val="20"/>
                <w:lang w:val="en-US"/>
              </w:rPr>
              <w:t>‍</w:t>
            </w:r>
            <w:r w:rsidRPr="00345010">
              <w:rPr>
                <w:rFonts w:ascii="Calibri" w:hAnsi="Calibri" w:cs="Calibri"/>
                <w:sz w:val="20"/>
                <w:szCs w:val="20"/>
              </w:rPr>
              <w:t> </w:t>
            </w:r>
          </w:p>
        </w:tc>
        <w:tc>
          <w:tcPr>
            <w:tcW w:w="1417" w:type="dxa"/>
            <w:tcBorders>
              <w:top w:val="nil"/>
              <w:left w:val="single" w:sz="6" w:space="0" w:color="auto"/>
              <w:bottom w:val="single" w:sz="6" w:space="0" w:color="auto"/>
              <w:right w:val="single" w:sz="6" w:space="0" w:color="auto"/>
            </w:tcBorders>
            <w:hideMark/>
          </w:tcPr>
          <w:p w14:paraId="6E47FA1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u w:val="single"/>
                <w:lang w:val="en-US"/>
              </w:rPr>
              <w:t>27 Aug-28 Oct</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tcPr>
          <w:p w14:paraId="5A514AAC"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4</w:t>
            </w:r>
          </w:p>
        </w:tc>
        <w:tc>
          <w:tcPr>
            <w:tcW w:w="1276" w:type="dxa"/>
            <w:tcBorders>
              <w:top w:val="nil"/>
              <w:left w:val="single" w:sz="6" w:space="0" w:color="auto"/>
              <w:bottom w:val="single" w:sz="6" w:space="0" w:color="auto"/>
              <w:right w:val="single" w:sz="6" w:space="0" w:color="auto"/>
            </w:tcBorders>
          </w:tcPr>
          <w:p w14:paraId="7BAA90B5"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5</w:t>
            </w:r>
          </w:p>
        </w:tc>
        <w:tc>
          <w:tcPr>
            <w:tcW w:w="1418" w:type="dxa"/>
            <w:tcBorders>
              <w:top w:val="nil"/>
              <w:left w:val="single" w:sz="6" w:space="0" w:color="auto"/>
              <w:bottom w:val="single" w:sz="6" w:space="0" w:color="auto"/>
              <w:right w:val="single" w:sz="6" w:space="0" w:color="auto"/>
            </w:tcBorders>
            <w:hideMark/>
          </w:tcPr>
          <w:p w14:paraId="597E62FE"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u w:val="single"/>
                <w:lang w:val="en-US"/>
              </w:rPr>
              <w:t>9 (5 females = 56% female)</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hideMark/>
          </w:tcPr>
          <w:p w14:paraId="60A8923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u w:val="single"/>
                <w:lang w:val="en-US"/>
              </w:rPr>
              <w:t>School of Medical Technology</w:t>
            </w:r>
            <w:r w:rsidRPr="00345010">
              <w:rPr>
                <w:rFonts w:ascii="Calibri" w:hAnsi="Calibri" w:cs="Calibri"/>
                <w:sz w:val="20"/>
                <w:szCs w:val="20"/>
              </w:rPr>
              <w:t> </w:t>
            </w:r>
          </w:p>
        </w:tc>
        <w:tc>
          <w:tcPr>
            <w:tcW w:w="1414" w:type="dxa"/>
            <w:tcBorders>
              <w:top w:val="nil"/>
              <w:left w:val="single" w:sz="6" w:space="0" w:color="auto"/>
              <w:bottom w:val="single" w:sz="6" w:space="0" w:color="auto"/>
              <w:right w:val="single" w:sz="6" w:space="0" w:color="auto"/>
            </w:tcBorders>
            <w:hideMark/>
          </w:tcPr>
          <w:p w14:paraId="3DFD85E5"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u w:val="single"/>
                <w:lang w:val="en-US"/>
              </w:rPr>
              <w:t>3</w:t>
            </w:r>
            <w:r w:rsidRPr="00345010">
              <w:rPr>
                <w:rFonts w:ascii="Calibri" w:hAnsi="Calibri" w:cs="Calibri"/>
                <w:sz w:val="20"/>
                <w:szCs w:val="20"/>
              </w:rPr>
              <w:t> </w:t>
            </w:r>
          </w:p>
        </w:tc>
      </w:tr>
      <w:tr w:rsidR="003C1DAE" w:rsidRPr="00345010" w14:paraId="7DA45DD3" w14:textId="77777777" w:rsidTr="00191F00">
        <w:trPr>
          <w:trHeight w:val="900"/>
        </w:trPr>
        <w:tc>
          <w:tcPr>
            <w:tcW w:w="4815" w:type="dxa"/>
            <w:tcBorders>
              <w:top w:val="nil"/>
              <w:left w:val="single" w:sz="6" w:space="0" w:color="auto"/>
              <w:bottom w:val="single" w:sz="6" w:space="0" w:color="auto"/>
              <w:right w:val="single" w:sz="6" w:space="0" w:color="auto"/>
            </w:tcBorders>
            <w:hideMark/>
          </w:tcPr>
          <w:p w14:paraId="0CA05E4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u w:val="single"/>
                <w:lang w:val="en-US"/>
              </w:rPr>
              <w:t>TOT on WASH FIT for three regions (Northern, Central, Southern) under the Safe Clean Green and Climate Resilient Health Care Facility Initiative.</w:t>
            </w:r>
            <w:r w:rsidRPr="00345010">
              <w:rPr>
                <w:rFonts w:ascii="Calibri" w:hAnsi="Calibri" w:cs="Calibri"/>
                <w:strike/>
                <w:sz w:val="20"/>
                <w:szCs w:val="20"/>
                <w:lang w:val="en-US"/>
              </w:rPr>
              <w:t>‍</w:t>
            </w:r>
            <w:r w:rsidRPr="00345010">
              <w:rPr>
                <w:rFonts w:ascii="Calibri" w:hAnsi="Calibri" w:cs="Calibri"/>
                <w:sz w:val="20"/>
                <w:szCs w:val="20"/>
              </w:rPr>
              <w:t> </w:t>
            </w:r>
          </w:p>
        </w:tc>
        <w:tc>
          <w:tcPr>
            <w:tcW w:w="1417" w:type="dxa"/>
            <w:tcBorders>
              <w:top w:val="nil"/>
              <w:left w:val="single" w:sz="6" w:space="0" w:color="auto"/>
              <w:bottom w:val="single" w:sz="6" w:space="0" w:color="auto"/>
              <w:right w:val="single" w:sz="6" w:space="0" w:color="auto"/>
            </w:tcBorders>
            <w:hideMark/>
          </w:tcPr>
          <w:p w14:paraId="7F4DFEB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u w:val="single"/>
                <w:lang w:val="en-US"/>
              </w:rPr>
              <w:t xml:space="preserve">North: 6-8 December; Central: 19-21 December; </w:t>
            </w:r>
            <w:r w:rsidRPr="00345010">
              <w:rPr>
                <w:rFonts w:ascii="Calibri" w:hAnsi="Calibri" w:cs="Calibri"/>
                <w:sz w:val="20"/>
                <w:szCs w:val="20"/>
                <w:u w:val="single"/>
                <w:lang w:val="en-US"/>
              </w:rPr>
              <w:lastRenderedPageBreak/>
              <w:t>Sothern: 26-28 December </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tcPr>
          <w:p w14:paraId="6E32B243"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lastRenderedPageBreak/>
              <w:t>94</w:t>
            </w:r>
          </w:p>
        </w:tc>
        <w:tc>
          <w:tcPr>
            <w:tcW w:w="1276" w:type="dxa"/>
            <w:tcBorders>
              <w:top w:val="nil"/>
              <w:left w:val="single" w:sz="6" w:space="0" w:color="auto"/>
              <w:bottom w:val="single" w:sz="6" w:space="0" w:color="auto"/>
              <w:right w:val="single" w:sz="6" w:space="0" w:color="auto"/>
            </w:tcBorders>
          </w:tcPr>
          <w:p w14:paraId="29ED9C44"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78</w:t>
            </w:r>
          </w:p>
        </w:tc>
        <w:tc>
          <w:tcPr>
            <w:tcW w:w="1418" w:type="dxa"/>
            <w:tcBorders>
              <w:top w:val="nil"/>
              <w:left w:val="single" w:sz="6" w:space="0" w:color="auto"/>
              <w:bottom w:val="single" w:sz="6" w:space="0" w:color="auto"/>
              <w:right w:val="single" w:sz="6" w:space="0" w:color="auto"/>
            </w:tcBorders>
            <w:hideMark/>
          </w:tcPr>
          <w:p w14:paraId="1B90B42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u w:val="single"/>
                <w:lang w:val="en-US"/>
              </w:rPr>
              <w:t>172(78 females = 45% female)</w:t>
            </w:r>
            <w:r w:rsidRPr="00345010">
              <w:rPr>
                <w:rFonts w:ascii="Calibri" w:hAnsi="Calibri" w:cs="Calibri"/>
                <w:sz w:val="20"/>
                <w:szCs w:val="20"/>
              </w:rPr>
              <w:t> </w:t>
            </w:r>
          </w:p>
        </w:tc>
        <w:tc>
          <w:tcPr>
            <w:tcW w:w="1701" w:type="dxa"/>
            <w:tcBorders>
              <w:top w:val="nil"/>
              <w:left w:val="single" w:sz="6" w:space="0" w:color="auto"/>
              <w:bottom w:val="single" w:sz="6" w:space="0" w:color="auto"/>
              <w:right w:val="single" w:sz="6" w:space="0" w:color="auto"/>
            </w:tcBorders>
            <w:hideMark/>
          </w:tcPr>
          <w:p w14:paraId="195BC84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u w:val="single"/>
                <w:lang w:val="en-US"/>
              </w:rPr>
              <w:t>DHHP</w:t>
            </w:r>
            <w:r w:rsidRPr="00345010">
              <w:rPr>
                <w:rFonts w:ascii="Calibri" w:hAnsi="Calibri" w:cs="Calibri"/>
                <w:sz w:val="20"/>
                <w:szCs w:val="20"/>
              </w:rPr>
              <w:t> </w:t>
            </w:r>
          </w:p>
        </w:tc>
        <w:tc>
          <w:tcPr>
            <w:tcW w:w="1414" w:type="dxa"/>
            <w:tcBorders>
              <w:top w:val="nil"/>
              <w:left w:val="single" w:sz="6" w:space="0" w:color="auto"/>
              <w:bottom w:val="single" w:sz="6" w:space="0" w:color="auto"/>
              <w:right w:val="single" w:sz="6" w:space="0" w:color="auto"/>
            </w:tcBorders>
            <w:hideMark/>
          </w:tcPr>
          <w:p w14:paraId="71204282"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u w:val="single"/>
                <w:lang w:val="en-US"/>
              </w:rPr>
              <w:t>3</w:t>
            </w:r>
            <w:r w:rsidRPr="00345010">
              <w:rPr>
                <w:rFonts w:ascii="Calibri" w:hAnsi="Calibri" w:cs="Calibri"/>
                <w:sz w:val="20"/>
                <w:szCs w:val="20"/>
              </w:rPr>
              <w:t> </w:t>
            </w:r>
          </w:p>
        </w:tc>
      </w:tr>
      <w:tr w:rsidR="003C1DAE" w:rsidRPr="00345010" w14:paraId="68D31B2E" w14:textId="77777777" w:rsidTr="00191F00">
        <w:trPr>
          <w:trHeight w:val="210"/>
        </w:trPr>
        <w:tc>
          <w:tcPr>
            <w:tcW w:w="4815"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25B0575F" w14:textId="77777777" w:rsidR="003C1DAE" w:rsidRPr="00345010" w:rsidRDefault="003C1DAE" w:rsidP="00C07A0A">
            <w:pPr>
              <w:jc w:val="both"/>
              <w:textAlignment w:val="baseline"/>
              <w:rPr>
                <w:rFonts w:ascii="Calibri" w:hAnsi="Calibri" w:cs="Calibri"/>
                <w:b/>
                <w:bCs/>
                <w:sz w:val="20"/>
                <w:szCs w:val="20"/>
                <w:lang w:val="en-US"/>
              </w:rPr>
            </w:pPr>
            <w:r w:rsidRPr="00345010">
              <w:rPr>
                <w:rFonts w:ascii="Calibri" w:hAnsi="Calibri" w:cs="Calibri"/>
                <w:b/>
                <w:bCs/>
                <w:sz w:val="20"/>
                <w:szCs w:val="20"/>
                <w:lang w:val="en-US"/>
              </w:rPr>
              <w:t>TOTAL</w:t>
            </w:r>
          </w:p>
        </w:tc>
        <w:tc>
          <w:tcPr>
            <w:tcW w:w="1417"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7914AAC1" w14:textId="77777777" w:rsidR="003C1DAE" w:rsidRPr="00345010" w:rsidRDefault="003C1DAE" w:rsidP="00C07A0A">
            <w:pPr>
              <w:ind w:right="75"/>
              <w:jc w:val="right"/>
              <w:textAlignment w:val="baseline"/>
              <w:rPr>
                <w:rFonts w:ascii="Calibri" w:hAnsi="Calibri" w:cs="Calibri"/>
                <w:b/>
                <w:bCs/>
                <w:sz w:val="20"/>
                <w:szCs w:val="20"/>
                <w:lang w:val="en-US"/>
              </w:rPr>
            </w:pP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28E7A6C0" w14:textId="77777777" w:rsidR="003C1DAE" w:rsidRPr="00345010" w:rsidRDefault="003C1DAE" w:rsidP="00C07A0A">
            <w:pPr>
              <w:jc w:val="center"/>
              <w:textAlignment w:val="baseline"/>
              <w:rPr>
                <w:rFonts w:ascii="Calibri" w:hAnsi="Calibri" w:cs="Calibri"/>
                <w:b/>
                <w:bCs/>
                <w:sz w:val="20"/>
                <w:szCs w:val="20"/>
                <w:lang w:val="en-US"/>
              </w:rPr>
            </w:pPr>
            <w:r w:rsidRPr="00345010">
              <w:rPr>
                <w:rFonts w:ascii="Calibri" w:hAnsi="Calibri" w:cs="Calibri"/>
                <w:b/>
                <w:bCs/>
                <w:sz w:val="20"/>
                <w:szCs w:val="20"/>
                <w:lang w:val="en-US"/>
              </w:rPr>
              <w:t>137</w:t>
            </w:r>
          </w:p>
        </w:tc>
        <w:tc>
          <w:tcPr>
            <w:tcW w:w="1276"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59F4D84F" w14:textId="77777777" w:rsidR="003C1DAE" w:rsidRPr="00345010" w:rsidRDefault="003C1DAE" w:rsidP="00C07A0A">
            <w:pPr>
              <w:jc w:val="center"/>
              <w:textAlignment w:val="baseline"/>
              <w:rPr>
                <w:rFonts w:ascii="Calibri" w:hAnsi="Calibri" w:cs="Calibri"/>
                <w:b/>
                <w:bCs/>
                <w:sz w:val="20"/>
                <w:szCs w:val="20"/>
                <w:lang w:val="en-US"/>
              </w:rPr>
            </w:pPr>
            <w:r w:rsidRPr="00345010">
              <w:rPr>
                <w:rFonts w:ascii="Calibri" w:hAnsi="Calibri" w:cs="Calibri"/>
                <w:b/>
                <w:bCs/>
                <w:sz w:val="20"/>
                <w:szCs w:val="20"/>
                <w:lang w:val="en-US"/>
              </w:rPr>
              <w:t>212</w:t>
            </w:r>
          </w:p>
        </w:tc>
        <w:tc>
          <w:tcPr>
            <w:tcW w:w="1418"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211B3042" w14:textId="77777777" w:rsidR="003C1DAE" w:rsidRPr="00345010" w:rsidRDefault="003C1DAE" w:rsidP="00C07A0A">
            <w:pPr>
              <w:jc w:val="center"/>
              <w:textAlignment w:val="baseline"/>
              <w:rPr>
                <w:rFonts w:ascii="Calibri" w:hAnsi="Calibri" w:cs="Calibri"/>
                <w:b/>
                <w:bCs/>
                <w:sz w:val="20"/>
                <w:szCs w:val="20"/>
                <w:lang w:val="en-US"/>
              </w:rPr>
            </w:pPr>
            <w:r w:rsidRPr="00345010">
              <w:rPr>
                <w:rFonts w:ascii="Calibri" w:hAnsi="Calibri" w:cs="Calibri"/>
                <w:b/>
                <w:bCs/>
                <w:sz w:val="20"/>
                <w:szCs w:val="20"/>
                <w:lang w:val="en-US"/>
              </w:rPr>
              <w:t>1,352</w:t>
            </w: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2B171A7C" w14:textId="77777777" w:rsidR="003C1DAE" w:rsidRPr="00345010" w:rsidRDefault="003C1DAE" w:rsidP="00C07A0A">
            <w:pPr>
              <w:ind w:right="75"/>
              <w:jc w:val="right"/>
              <w:textAlignment w:val="baseline"/>
              <w:rPr>
                <w:rFonts w:ascii="Calibri" w:hAnsi="Calibri" w:cs="Calibri"/>
                <w:sz w:val="20"/>
                <w:szCs w:val="20"/>
              </w:rPr>
            </w:pPr>
          </w:p>
        </w:tc>
        <w:tc>
          <w:tcPr>
            <w:tcW w:w="1414"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305FDDF7" w14:textId="77777777" w:rsidR="003C1DAE" w:rsidRPr="00345010" w:rsidRDefault="003C1DAE" w:rsidP="00C07A0A">
            <w:pPr>
              <w:jc w:val="right"/>
              <w:textAlignment w:val="baseline"/>
              <w:rPr>
                <w:rFonts w:ascii="Calibri" w:hAnsi="Calibri" w:cs="Calibri"/>
                <w:sz w:val="20"/>
                <w:szCs w:val="20"/>
              </w:rPr>
            </w:pPr>
          </w:p>
        </w:tc>
      </w:tr>
      <w:tr w:rsidR="003C1DAE" w:rsidRPr="00345010" w14:paraId="22FAC4FA" w14:textId="77777777" w:rsidTr="00191F00">
        <w:trPr>
          <w:trHeight w:val="210"/>
        </w:trPr>
        <w:tc>
          <w:tcPr>
            <w:tcW w:w="4815"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05C6945F" w14:textId="77777777" w:rsidR="003C1DAE" w:rsidRPr="00345010" w:rsidRDefault="003C1DAE" w:rsidP="00C07A0A">
            <w:pPr>
              <w:jc w:val="both"/>
              <w:textAlignment w:val="baseline"/>
              <w:rPr>
                <w:rFonts w:ascii="Segoe UI" w:hAnsi="Segoe UI" w:cs="Segoe UI"/>
                <w:sz w:val="18"/>
                <w:szCs w:val="18"/>
              </w:rPr>
            </w:pPr>
            <w:r w:rsidRPr="00345010">
              <w:rPr>
                <w:rFonts w:ascii="Calibri" w:hAnsi="Calibri" w:cs="Calibri"/>
                <w:b/>
                <w:bCs/>
                <w:sz w:val="20"/>
                <w:szCs w:val="20"/>
                <w:lang w:val="en-US"/>
              </w:rPr>
              <w:t>Regional &amp; Global trainings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2E36C02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b/>
                <w:bCs/>
                <w:sz w:val="20"/>
                <w:szCs w:val="20"/>
                <w:lang w:val="en-US"/>
              </w:rPr>
              <w:t>Date</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tcPr>
          <w:p w14:paraId="05756DA3" w14:textId="77777777" w:rsidR="003C1DAE" w:rsidRPr="00345010" w:rsidRDefault="003C1DAE" w:rsidP="00C07A0A">
            <w:pPr>
              <w:jc w:val="center"/>
              <w:textAlignment w:val="baseline"/>
              <w:rPr>
                <w:rFonts w:ascii="Calibri" w:hAnsi="Calibri" w:cs="Calibri"/>
                <w:b/>
                <w:bCs/>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shd w:val="clear" w:color="auto" w:fill="DDEBF7"/>
          </w:tcPr>
          <w:p w14:paraId="04FBA9CF" w14:textId="77777777" w:rsidR="003C1DAE" w:rsidRPr="00345010" w:rsidRDefault="003C1DAE" w:rsidP="00C07A0A">
            <w:pPr>
              <w:jc w:val="center"/>
              <w:textAlignment w:val="baseline"/>
              <w:rPr>
                <w:rFonts w:ascii="Calibri" w:hAnsi="Calibri" w:cs="Calibri"/>
                <w:b/>
                <w:bCs/>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DDEBF7"/>
            <w:vAlign w:val="bottom"/>
            <w:hideMark/>
          </w:tcPr>
          <w:p w14:paraId="45AE286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b/>
                <w:bCs/>
                <w:sz w:val="20"/>
                <w:szCs w:val="20"/>
                <w:lang w:val="en-US"/>
              </w:rPr>
              <w:t># Participants</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DDEBF7"/>
            <w:hideMark/>
          </w:tcPr>
          <w:p w14:paraId="4550550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DDEBF7"/>
            <w:hideMark/>
          </w:tcPr>
          <w:p w14:paraId="35DAB912"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0F58A0E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96371B5" w14:textId="77777777" w:rsidR="003C1DAE" w:rsidRPr="00345010" w:rsidRDefault="003C1DAE" w:rsidP="00C07A0A">
            <w:pPr>
              <w:jc w:val="both"/>
              <w:textAlignment w:val="baseline"/>
              <w:rPr>
                <w:rFonts w:ascii="Segoe UI" w:hAnsi="Segoe UI" w:cs="Segoe UI"/>
                <w:sz w:val="18"/>
                <w:szCs w:val="18"/>
              </w:rPr>
            </w:pPr>
            <w:r w:rsidRPr="00345010">
              <w:rPr>
                <w:rFonts w:ascii="Calibri" w:hAnsi="Calibri" w:cs="Calibri"/>
                <w:sz w:val="20"/>
                <w:szCs w:val="20"/>
                <w:lang w:val="en-US"/>
              </w:rPr>
              <w:t>Country Training Workshop on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70DD9C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6-7 Jul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968D43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5A2979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099EC36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ABAA20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4E5CF90"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5339548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622873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Launch - Climate Resilient and Environmentally Friendly Healthcare Facilities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5AAA1D4"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13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E0EE8C0"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D040A6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F110164"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279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A6F3498"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74167D5"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3928B397"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96DC74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DHIS2 Dashboard App Demo</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3835DD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21 Oct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1B2DF0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6233A62"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10837A7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EFE48A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C3505B5"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6B12DA1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97E8297"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564D9C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16 Nov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903C25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20429683"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3594E77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49</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C7FE1AC"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4101547B"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8095CF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D454AF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Bi-regional water safety audit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658EE5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9 - 13 Nov 2020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4CBD7ECA"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CB5E1E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8A9131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94D687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9AC74CC"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F3ECD9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5A4186E4"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Risk Mapping Training II (EWARS)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EE0B40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19 Jan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D66D97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DB1862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E74F496"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64</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7D81DF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901A5B4"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89DA91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7622CF1"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regional risk mapping training (Joined from Bangladesh, Nepal, Myanmar, Timor-Leste, South Korea, Sweden, Germany, USA, Swiss, and India)</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C62E29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15 Feb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89C31F7"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1B35D309"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hideMark/>
          </w:tcPr>
          <w:p w14:paraId="7AEDAEF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B5D805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D1137FD"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32124F9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36CE2CD"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WHO SEARO Regional training on Advancing health-climate action through improved vulnerability and adaptation assessment and planning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345873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17-19, 25 August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D616AC1"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D4927D0"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A8904CB"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100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589BC5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00BDC62"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72C5A896"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384A309"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Regional training on Climate Resilient Water Safety Planning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26F4CD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13-16 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52E29869"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9FDCD9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8C5AED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2D2424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7459082"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48F62CF8"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3E168C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Webinar: Accessing Green Climate Fund Readiness Programme funding for Climate Change and Health</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97D2529"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28 September 2021</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107565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187DCCF"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42EDAA0"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39 (12 countries)</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485F56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 &amp; 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22462FD"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w:t>
            </w:r>
            <w:r w:rsidRPr="00345010">
              <w:rPr>
                <w:rFonts w:ascii="Calibri" w:hAnsi="Calibri" w:cs="Calibri"/>
                <w:sz w:val="20"/>
                <w:szCs w:val="20"/>
              </w:rPr>
              <w:t> </w:t>
            </w:r>
          </w:p>
        </w:tc>
      </w:tr>
      <w:tr w:rsidR="003C1DAE" w:rsidRPr="00345010" w14:paraId="2D7BCB3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728149E"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Global webinars on COP26 Health Programme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7ABB8C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29 September 2021 – 2 sessions</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1DD94A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4C9C67AA"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741C9EA"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245 (81 countries)</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1EBD1BA"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6ED99D7E"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 &amp; 3</w:t>
            </w:r>
            <w:r w:rsidRPr="00345010">
              <w:rPr>
                <w:rFonts w:ascii="Calibri" w:hAnsi="Calibri" w:cs="Calibri"/>
                <w:sz w:val="20"/>
                <w:szCs w:val="20"/>
              </w:rPr>
              <w:t> </w:t>
            </w:r>
          </w:p>
        </w:tc>
      </w:tr>
      <w:tr w:rsidR="003C1DAE" w:rsidRPr="00345010" w14:paraId="13B15D1E"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012F816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MTR workshop</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6841B6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14 October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651BB66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331620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8B599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All project countries</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4F92A8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5E09499"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All</w:t>
            </w:r>
            <w:r w:rsidRPr="00345010">
              <w:rPr>
                <w:rFonts w:ascii="Calibri" w:hAnsi="Calibri" w:cs="Calibri"/>
                <w:sz w:val="20"/>
                <w:szCs w:val="20"/>
              </w:rPr>
              <w:t> </w:t>
            </w:r>
          </w:p>
        </w:tc>
      </w:tr>
      <w:tr w:rsidR="003C1DAE" w:rsidRPr="00345010" w14:paraId="5DEC247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164E0FD5"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EWARS plus Training</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BC2203E"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23 February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15BB76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6697ABD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3A7D3E2"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 project countries</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8786636"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DF5E8AD"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w:t>
            </w:r>
            <w:r w:rsidRPr="00345010">
              <w:rPr>
                <w:rFonts w:ascii="Calibri" w:hAnsi="Calibri" w:cs="Calibri"/>
                <w:sz w:val="20"/>
                <w:szCs w:val="20"/>
              </w:rPr>
              <w:t> </w:t>
            </w:r>
          </w:p>
        </w:tc>
      </w:tr>
      <w:tr w:rsidR="003C1DAE" w:rsidRPr="00345010" w14:paraId="5ECD123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740C220"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Expert meeting on advancing low carbon sustainable health systems</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1A6422FD"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4 May</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E9F03D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5628D2C"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CE8A7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57</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EA26A3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HQ</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37D0C2C7"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CEDEC7D"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C401A6C"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lastRenderedPageBreak/>
              <w:t>Capacity Building and knowledge exchange on WASH and Climate Resilience and environmental sustainability in health care facilities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24290A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10-13 October 2022</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EB43468"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324B362D"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A6A1F43"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43E08A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ADFF604"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070221BA"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4E966D1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First Meeting of SEA Expert Group on Environment Determinants of Health and Climate Change’, New Delhi, India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BE525E2"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13 March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20EB575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7F81C75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C86929"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70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37711C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9F0D401"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1,2,3</w:t>
            </w:r>
            <w:r w:rsidRPr="00345010">
              <w:rPr>
                <w:rFonts w:ascii="Calibri" w:hAnsi="Calibri" w:cs="Calibri"/>
                <w:sz w:val="20"/>
                <w:szCs w:val="20"/>
              </w:rPr>
              <w:t> </w:t>
            </w:r>
          </w:p>
        </w:tc>
      </w:tr>
      <w:tr w:rsidR="003C1DAE" w:rsidRPr="00345010" w14:paraId="134F3862"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77D49D9B"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Training and pilot of the ‘Web-based Climate Resilience and Environmental Sustainability Scorecard for Healthcare Facilities in Timor-Leste’</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2AF36A0"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17-20 April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06CF6096"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CB90068"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516C2D"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30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EAFBE63"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07278CBF"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104B21F3"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132B588"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Regional meeting on climate resilient water and sanitation safety planning and audit in Kathmandu, Nepal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16B098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24-27 April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325897AB"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BBF5411"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608B497"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60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704E955"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727851F8"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p w14:paraId="0CED8D1C"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rPr>
              <w:t> </w:t>
            </w:r>
          </w:p>
        </w:tc>
      </w:tr>
      <w:tr w:rsidR="003C1DAE" w:rsidRPr="00345010" w14:paraId="07910675"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2D62124A"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National Training on Climate-Resilient and Environmentally Sustainable Health Care Facilities (CRESH) and Climate Sensitive Disease Surveillance ( CSD) in Timor Leste </w:t>
            </w: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6645E67"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16-17 February</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3864DC3"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02622276"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9D0BCA5"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25</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7E1CD21"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1C872487"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2,3</w:t>
            </w:r>
            <w:r w:rsidRPr="00345010">
              <w:rPr>
                <w:rFonts w:ascii="Calibri" w:hAnsi="Calibri" w:cs="Calibri"/>
                <w:sz w:val="20"/>
                <w:szCs w:val="20"/>
              </w:rPr>
              <w:t> </w:t>
            </w:r>
          </w:p>
        </w:tc>
      </w:tr>
      <w:tr w:rsidR="003C1DAE" w:rsidRPr="00345010" w14:paraId="708D2ABF"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auto"/>
            <w:hideMark/>
          </w:tcPr>
          <w:p w14:paraId="61B16332"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Regional meeting on Health care waste</w:t>
            </w:r>
            <w:r w:rsidRPr="00345010">
              <w:rPr>
                <w:rFonts w:ascii="Calibri" w:hAnsi="Calibri" w:cs="Calibri"/>
                <w:sz w:val="20"/>
                <w:szCs w:val="20"/>
              </w:rPr>
              <w:t> </w:t>
            </w:r>
          </w:p>
          <w:p w14:paraId="6D376F8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lang w:val="en-US"/>
              </w:rPr>
              <w:t>management in the WHO South East Asia Region</w:t>
            </w:r>
            <w:r w:rsidRPr="00345010">
              <w:rPr>
                <w:rFonts w:ascii="Calibri" w:hAnsi="Calibri" w:cs="Calibri"/>
                <w:sz w:val="20"/>
                <w:szCs w:val="20"/>
              </w:rPr>
              <w:t> </w:t>
            </w:r>
          </w:p>
          <w:p w14:paraId="02BFA2CF" w14:textId="77777777" w:rsidR="003C1DAE" w:rsidRPr="00345010" w:rsidRDefault="003C1DAE" w:rsidP="00C07A0A">
            <w:pPr>
              <w:textAlignment w:val="baseline"/>
              <w:rPr>
                <w:rFonts w:ascii="Segoe UI" w:hAnsi="Segoe UI" w:cs="Segoe UI"/>
                <w:sz w:val="18"/>
                <w:szCs w:val="18"/>
              </w:rPr>
            </w:pPr>
            <w:r w:rsidRPr="00345010">
              <w:rPr>
                <w:rFonts w:ascii="Calibri" w:hAnsi="Calibri" w:cs="Calibri"/>
                <w:sz w:val="20"/>
                <w:szCs w:val="20"/>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CD59B5F"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24-27 July 2023</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tcPr>
          <w:p w14:paraId="79B63984"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tcPr>
          <w:p w14:paraId="5EC98204"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8DB4EF" w14:textId="77777777" w:rsidR="003C1DAE" w:rsidRPr="00345010" w:rsidRDefault="003C1DAE" w:rsidP="00C07A0A">
            <w:pPr>
              <w:jc w:val="center"/>
              <w:textAlignment w:val="baseline"/>
              <w:rPr>
                <w:rFonts w:ascii="Segoe UI" w:hAnsi="Segoe UI" w:cs="Segoe UI"/>
                <w:sz w:val="18"/>
                <w:szCs w:val="18"/>
              </w:rPr>
            </w:pPr>
            <w:r w:rsidRPr="00345010">
              <w:rPr>
                <w:rFonts w:ascii="Calibri" w:hAnsi="Calibri" w:cs="Calibri"/>
                <w:sz w:val="20"/>
                <w:szCs w:val="20"/>
                <w:lang w:val="en-US"/>
              </w:rPr>
              <w:t>40</w:t>
            </w:r>
            <w:r w:rsidRPr="00345010">
              <w:rPr>
                <w:rFonts w:ascii="Calibri" w:hAnsi="Calibri" w:cs="Calibri"/>
                <w:sz w:val="20"/>
                <w:szCs w:val="20"/>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E631ABB" w14:textId="77777777" w:rsidR="003C1DAE" w:rsidRPr="00345010" w:rsidRDefault="003C1DAE" w:rsidP="00C07A0A">
            <w:pPr>
              <w:ind w:right="75"/>
              <w:jc w:val="right"/>
              <w:textAlignment w:val="baseline"/>
              <w:rPr>
                <w:rFonts w:ascii="Segoe UI" w:hAnsi="Segoe UI" w:cs="Segoe UI"/>
                <w:sz w:val="18"/>
                <w:szCs w:val="18"/>
              </w:rPr>
            </w:pPr>
            <w:r w:rsidRPr="00345010">
              <w:rPr>
                <w:rFonts w:ascii="Calibri" w:hAnsi="Calibri" w:cs="Calibri"/>
                <w:sz w:val="20"/>
                <w:szCs w:val="20"/>
                <w:lang w:val="en-US"/>
              </w:rPr>
              <w:t>SEARO</w:t>
            </w:r>
            <w:r w:rsidRPr="00345010">
              <w:rPr>
                <w:rFonts w:ascii="Calibri" w:hAnsi="Calibri" w:cs="Calibri"/>
                <w:sz w:val="20"/>
                <w:szCs w:val="20"/>
              </w:rPr>
              <w:t> </w:t>
            </w:r>
          </w:p>
        </w:tc>
        <w:tc>
          <w:tcPr>
            <w:tcW w:w="1414" w:type="dxa"/>
            <w:tcBorders>
              <w:top w:val="single" w:sz="6" w:space="0" w:color="000000"/>
              <w:left w:val="single" w:sz="6" w:space="0" w:color="000000"/>
              <w:bottom w:val="single" w:sz="6" w:space="0" w:color="000000"/>
              <w:right w:val="single" w:sz="6" w:space="0" w:color="000000"/>
            </w:tcBorders>
            <w:shd w:val="clear" w:color="auto" w:fill="auto"/>
            <w:hideMark/>
          </w:tcPr>
          <w:p w14:paraId="5B052C9B" w14:textId="77777777" w:rsidR="003C1DAE" w:rsidRPr="00345010" w:rsidRDefault="003C1DAE" w:rsidP="00C07A0A">
            <w:pPr>
              <w:jc w:val="right"/>
              <w:textAlignment w:val="baseline"/>
              <w:rPr>
                <w:rFonts w:ascii="Segoe UI" w:hAnsi="Segoe UI" w:cs="Segoe UI"/>
                <w:sz w:val="18"/>
                <w:szCs w:val="18"/>
              </w:rPr>
            </w:pPr>
            <w:r w:rsidRPr="00345010">
              <w:rPr>
                <w:rFonts w:ascii="Calibri" w:hAnsi="Calibri" w:cs="Calibri"/>
                <w:sz w:val="20"/>
                <w:szCs w:val="20"/>
                <w:lang w:val="en-US"/>
              </w:rPr>
              <w:t>3</w:t>
            </w:r>
            <w:r w:rsidRPr="00345010">
              <w:rPr>
                <w:rFonts w:ascii="Calibri" w:hAnsi="Calibri" w:cs="Calibri"/>
                <w:sz w:val="20"/>
                <w:szCs w:val="20"/>
              </w:rPr>
              <w:t> </w:t>
            </w:r>
          </w:p>
        </w:tc>
      </w:tr>
      <w:tr w:rsidR="003C1DAE" w:rsidRPr="00345010" w14:paraId="7FE5A99C" w14:textId="77777777" w:rsidTr="00191F00">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72ADC590" w14:textId="77777777" w:rsidR="003C1DAE" w:rsidRPr="00345010" w:rsidRDefault="003C1DAE" w:rsidP="00C07A0A">
            <w:pPr>
              <w:textAlignment w:val="baseline"/>
              <w:rPr>
                <w:rFonts w:ascii="Calibri" w:hAnsi="Calibri" w:cs="Calibri"/>
                <w:b/>
                <w:bCs/>
                <w:sz w:val="20"/>
                <w:szCs w:val="20"/>
                <w:lang w:val="en-US"/>
              </w:rPr>
            </w:pPr>
            <w:r w:rsidRPr="00345010">
              <w:rPr>
                <w:rFonts w:ascii="Calibri" w:hAnsi="Calibri" w:cs="Calibri"/>
                <w:b/>
                <w:bCs/>
                <w:sz w:val="20"/>
                <w:szCs w:val="20"/>
                <w:lang w:val="en-US"/>
              </w:rPr>
              <w:t>TOTAL</w:t>
            </w:r>
          </w:p>
        </w:tc>
        <w:tc>
          <w:tcPr>
            <w:tcW w:w="1417"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0F811FF9" w14:textId="77777777" w:rsidR="003C1DAE" w:rsidRPr="00345010" w:rsidRDefault="003C1DAE" w:rsidP="00C07A0A">
            <w:pPr>
              <w:ind w:right="75"/>
              <w:jc w:val="right"/>
              <w:textAlignment w:val="baseline"/>
              <w:rPr>
                <w:rFonts w:ascii="Calibri" w:hAnsi="Calibri" w:cs="Calibri"/>
                <w:sz w:val="20"/>
                <w:szCs w:val="20"/>
                <w:lang w:val="en-US"/>
              </w:rPr>
            </w:pP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67B45445" w14:textId="77777777" w:rsidR="003C1DAE" w:rsidRPr="00345010" w:rsidRDefault="003C1DAE" w:rsidP="00C07A0A">
            <w:pPr>
              <w:jc w:val="center"/>
              <w:textAlignment w:val="baseline"/>
              <w:rPr>
                <w:rFonts w:ascii="Calibri" w:hAnsi="Calibri" w:cs="Calibri"/>
                <w:sz w:val="20"/>
                <w:szCs w:val="20"/>
                <w:lang w:val="en-US"/>
              </w:rPr>
            </w:pPr>
          </w:p>
        </w:tc>
        <w:tc>
          <w:tcPr>
            <w:tcW w:w="1276"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0C11B97B" w14:textId="77777777" w:rsidR="003C1DAE" w:rsidRPr="00345010" w:rsidRDefault="003C1DAE" w:rsidP="00C07A0A">
            <w:pPr>
              <w:jc w:val="center"/>
              <w:textAlignment w:val="baseline"/>
              <w:rPr>
                <w:rFonts w:ascii="Calibri" w:hAnsi="Calibri" w:cs="Calibri"/>
                <w:sz w:val="20"/>
                <w:szCs w:val="20"/>
                <w:lang w:val="en-US"/>
              </w:rPr>
            </w:pPr>
          </w:p>
        </w:tc>
        <w:tc>
          <w:tcPr>
            <w:tcW w:w="1418" w:type="dxa"/>
            <w:tcBorders>
              <w:top w:val="single" w:sz="6" w:space="0" w:color="000000"/>
              <w:left w:val="single" w:sz="6" w:space="0" w:color="000000"/>
              <w:bottom w:val="single" w:sz="6" w:space="0" w:color="000000"/>
              <w:right w:val="single" w:sz="6" w:space="0" w:color="000000"/>
            </w:tcBorders>
            <w:shd w:val="clear" w:color="auto" w:fill="E8E8E8" w:themeFill="background2"/>
            <w:vAlign w:val="bottom"/>
          </w:tcPr>
          <w:p w14:paraId="1F055211" w14:textId="77777777" w:rsidR="003C1DAE" w:rsidRPr="00345010" w:rsidRDefault="003C1DAE" w:rsidP="00C07A0A">
            <w:pPr>
              <w:jc w:val="center"/>
              <w:textAlignment w:val="baseline"/>
              <w:rPr>
                <w:rFonts w:ascii="Calibri" w:hAnsi="Calibri" w:cs="Calibri"/>
                <w:sz w:val="20"/>
                <w:szCs w:val="20"/>
                <w:lang w:val="en-US"/>
              </w:rPr>
            </w:pPr>
            <w:r w:rsidRPr="00345010">
              <w:rPr>
                <w:rFonts w:ascii="Calibri" w:hAnsi="Calibri" w:cs="Calibri"/>
                <w:sz w:val="20"/>
                <w:szCs w:val="20"/>
                <w:lang w:val="en-US"/>
              </w:rPr>
              <w:t>1,394</w:t>
            </w:r>
          </w:p>
        </w:tc>
        <w:tc>
          <w:tcPr>
            <w:tcW w:w="1701"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2A2A1A5D" w14:textId="77777777" w:rsidR="003C1DAE" w:rsidRPr="00345010" w:rsidRDefault="003C1DAE" w:rsidP="00C07A0A">
            <w:pPr>
              <w:ind w:right="75"/>
              <w:jc w:val="right"/>
              <w:textAlignment w:val="baseline"/>
              <w:rPr>
                <w:rFonts w:ascii="Calibri" w:hAnsi="Calibri" w:cs="Calibri"/>
                <w:sz w:val="20"/>
                <w:szCs w:val="20"/>
                <w:lang w:val="en-US"/>
              </w:rPr>
            </w:pPr>
          </w:p>
        </w:tc>
        <w:tc>
          <w:tcPr>
            <w:tcW w:w="1414"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2C422080" w14:textId="77777777" w:rsidR="003C1DAE" w:rsidRPr="00345010" w:rsidRDefault="003C1DAE" w:rsidP="00C07A0A">
            <w:pPr>
              <w:jc w:val="right"/>
              <w:textAlignment w:val="baseline"/>
              <w:rPr>
                <w:rFonts w:ascii="Calibri" w:hAnsi="Calibri" w:cs="Calibri"/>
                <w:sz w:val="20"/>
                <w:szCs w:val="20"/>
                <w:lang w:val="en-US"/>
              </w:rPr>
            </w:pPr>
          </w:p>
        </w:tc>
      </w:tr>
    </w:tbl>
    <w:p w14:paraId="75071B47" w14:textId="77777777" w:rsidR="002B060A" w:rsidRDefault="006040A7" w:rsidP="00C07A0A">
      <w:pPr>
        <w:spacing w:after="160" w:line="259" w:lineRule="auto"/>
        <w:rPr>
          <w:rFonts w:ascii="Calibri" w:hAnsi="Calibri" w:cs="Calibri"/>
        </w:rPr>
      </w:pPr>
      <w:r w:rsidRPr="00CB0E8D">
        <w:rPr>
          <w:rFonts w:ascii="Calibri" w:hAnsi="Calibri"/>
        </w:rPr>
        <w:br w:type="page"/>
      </w:r>
    </w:p>
    <w:p w14:paraId="75071B48" w14:textId="77777777" w:rsidR="002B060A" w:rsidRDefault="006040A7" w:rsidP="00C07A0A">
      <w:pPr>
        <w:pStyle w:val="Heading2"/>
        <w:rPr>
          <w:rFonts w:ascii="Calibri" w:eastAsia="Calibri" w:hAnsi="Calibri" w:cs="Calibri"/>
        </w:rPr>
      </w:pPr>
      <w:bookmarkStart w:id="43" w:name="_Toc173429994"/>
      <w:r>
        <w:rPr>
          <w:rFonts w:ascii="Calibri" w:hAnsi="Calibri" w:cs="Calibri"/>
        </w:rPr>
        <w:lastRenderedPageBreak/>
        <w:t>Appendix 7: Updates on training modules/course materials developed</w:t>
      </w:r>
      <w:bookmarkEnd w:id="43"/>
    </w:p>
    <w:p w14:paraId="75071B49" w14:textId="77777777" w:rsidR="002B060A" w:rsidRDefault="002B060A" w:rsidP="00C07A0A">
      <w:pPr>
        <w:spacing w:after="160" w:line="259" w:lineRule="auto"/>
        <w:rPr>
          <w:rFonts w:ascii="Calibri" w:hAnsi="Calibri" w:cs="Calibri"/>
        </w:rPr>
      </w:pPr>
    </w:p>
    <w:tbl>
      <w:tblPr>
        <w:tblStyle w:val="TableGrid"/>
        <w:tblW w:w="0" w:type="auto"/>
        <w:tblLook w:val="04A0" w:firstRow="1" w:lastRow="0" w:firstColumn="1" w:lastColumn="0" w:noHBand="0" w:noVBand="1"/>
      </w:tblPr>
      <w:tblGrid>
        <w:gridCol w:w="3588"/>
        <w:gridCol w:w="3689"/>
        <w:gridCol w:w="1873"/>
        <w:gridCol w:w="1966"/>
        <w:gridCol w:w="2832"/>
      </w:tblGrid>
      <w:tr w:rsidR="006F250C" w:rsidRPr="006F250C" w14:paraId="75071B4F" w14:textId="77777777" w:rsidTr="001071B4">
        <w:trPr>
          <w:trHeight w:val="300"/>
        </w:trPr>
        <w:tc>
          <w:tcPr>
            <w:tcW w:w="1623" w:type="dxa"/>
            <w:shd w:val="clear" w:color="auto" w:fill="C1E4F5" w:themeFill="accent1" w:themeFillTint="33"/>
          </w:tcPr>
          <w:p w14:paraId="75071B4A" w14:textId="77777777" w:rsidR="002B060A" w:rsidRPr="006F250C" w:rsidRDefault="002B060A" w:rsidP="00C07A0A">
            <w:pPr>
              <w:rPr>
                <w:rFonts w:ascii="Calibri" w:hAnsi="Calibri" w:cs="Calibri"/>
                <w:sz w:val="20"/>
                <w:szCs w:val="20"/>
              </w:rPr>
            </w:pPr>
          </w:p>
        </w:tc>
        <w:tc>
          <w:tcPr>
            <w:tcW w:w="4370" w:type="dxa"/>
            <w:shd w:val="clear" w:color="auto" w:fill="C1E4F5" w:themeFill="accent1" w:themeFillTint="33"/>
            <w:vAlign w:val="center"/>
          </w:tcPr>
          <w:p w14:paraId="75071B4B"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Training Modules/Course Materials</w:t>
            </w:r>
          </w:p>
        </w:tc>
        <w:tc>
          <w:tcPr>
            <w:tcW w:w="2075" w:type="dxa"/>
            <w:shd w:val="clear" w:color="auto" w:fill="C1E4F5" w:themeFill="accent1" w:themeFillTint="33"/>
            <w:vAlign w:val="center"/>
          </w:tcPr>
          <w:p w14:paraId="75071B4C"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Status (Draft/Final)</w:t>
            </w:r>
          </w:p>
        </w:tc>
        <w:tc>
          <w:tcPr>
            <w:tcW w:w="2231" w:type="dxa"/>
            <w:shd w:val="clear" w:color="auto" w:fill="C1E4F5" w:themeFill="accent1" w:themeFillTint="33"/>
            <w:vAlign w:val="center"/>
          </w:tcPr>
          <w:p w14:paraId="75071B4D"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If draft, expected completion date</w:t>
            </w:r>
          </w:p>
        </w:tc>
        <w:tc>
          <w:tcPr>
            <w:tcW w:w="3439" w:type="dxa"/>
            <w:shd w:val="clear" w:color="auto" w:fill="C1E4F5" w:themeFill="accent1" w:themeFillTint="33"/>
            <w:vAlign w:val="center"/>
          </w:tcPr>
          <w:p w14:paraId="75071B4E"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Related to which outcome (1, 2, or 3)</w:t>
            </w:r>
          </w:p>
        </w:tc>
      </w:tr>
      <w:tr w:rsidR="006F250C" w:rsidRPr="006F250C" w14:paraId="75071B55" w14:textId="77777777" w:rsidTr="001071B4">
        <w:trPr>
          <w:trHeight w:val="300"/>
        </w:trPr>
        <w:tc>
          <w:tcPr>
            <w:tcW w:w="1623" w:type="dxa"/>
          </w:tcPr>
          <w:p w14:paraId="75071B50"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Bangladesh</w:t>
            </w:r>
          </w:p>
        </w:tc>
        <w:tc>
          <w:tcPr>
            <w:tcW w:w="4370" w:type="dxa"/>
          </w:tcPr>
          <w:p w14:paraId="75071B51" w14:textId="77777777" w:rsidR="002B060A" w:rsidRPr="006F250C" w:rsidRDefault="006040A7" w:rsidP="00C07A0A">
            <w:pPr>
              <w:rPr>
                <w:rFonts w:ascii="Calibri" w:hAnsi="Calibri" w:cs="Calibri"/>
                <w:sz w:val="20"/>
                <w:szCs w:val="20"/>
                <w:lang w:eastAsia="en-AU" w:bidi="km-KH"/>
              </w:rPr>
            </w:pPr>
            <w:r w:rsidRPr="006F250C">
              <w:rPr>
                <w:rFonts w:ascii="Calibri" w:hAnsi="Calibri" w:cs="Calibri"/>
                <w:sz w:val="20"/>
                <w:szCs w:val="20"/>
                <w:lang w:eastAsia="en-AU" w:bidi="km-KH"/>
              </w:rPr>
              <w:t>Training package for Health Professionals (National and Facility level) on Climate Change and Health (Health impact, WBD, VBD, Multisectoral coordination and Financing)</w:t>
            </w:r>
          </w:p>
        </w:tc>
        <w:tc>
          <w:tcPr>
            <w:tcW w:w="2075" w:type="dxa"/>
            <w:vAlign w:val="center"/>
          </w:tcPr>
          <w:p w14:paraId="75071B52" w14:textId="77777777" w:rsidR="002B060A" w:rsidRPr="006F250C" w:rsidRDefault="006040A7" w:rsidP="00C07A0A">
            <w:pPr>
              <w:rPr>
                <w:rFonts w:ascii="Calibri" w:eastAsiaTheme="minorEastAsia" w:hAnsi="Calibri" w:cs="Calibri"/>
                <w:sz w:val="20"/>
                <w:szCs w:val="20"/>
              </w:rPr>
            </w:pPr>
            <w:r w:rsidRPr="006F250C">
              <w:rPr>
                <w:rFonts w:ascii="Calibri" w:eastAsiaTheme="minorEastAsia" w:hAnsi="Calibri" w:cs="Calibri"/>
                <w:sz w:val="20"/>
                <w:szCs w:val="20"/>
              </w:rPr>
              <w:t xml:space="preserve">Final </w:t>
            </w:r>
          </w:p>
        </w:tc>
        <w:tc>
          <w:tcPr>
            <w:tcW w:w="2231" w:type="dxa"/>
            <w:vAlign w:val="center"/>
          </w:tcPr>
          <w:p w14:paraId="75071B53" w14:textId="77777777" w:rsidR="002B060A" w:rsidRPr="006F250C" w:rsidRDefault="006040A7" w:rsidP="00C07A0A">
            <w:pPr>
              <w:jc w:val="center"/>
              <w:rPr>
                <w:rFonts w:ascii="Calibri" w:eastAsiaTheme="minorEastAsia" w:hAnsi="Calibri" w:cs="Calibri"/>
                <w:sz w:val="20"/>
                <w:szCs w:val="20"/>
              </w:rPr>
            </w:pPr>
            <w:r w:rsidRPr="006F250C">
              <w:rPr>
                <w:rFonts w:ascii="Calibri" w:eastAsiaTheme="minorEastAsia" w:hAnsi="Calibri" w:cs="Calibri"/>
                <w:sz w:val="20"/>
                <w:szCs w:val="20"/>
              </w:rPr>
              <w:t>NA</w:t>
            </w:r>
          </w:p>
        </w:tc>
        <w:tc>
          <w:tcPr>
            <w:tcW w:w="3439" w:type="dxa"/>
            <w:vAlign w:val="center"/>
          </w:tcPr>
          <w:p w14:paraId="75071B54" w14:textId="77777777" w:rsidR="002B060A" w:rsidRPr="006F250C" w:rsidRDefault="006040A7" w:rsidP="00C07A0A">
            <w:pPr>
              <w:jc w:val="center"/>
              <w:rPr>
                <w:rFonts w:ascii="Calibri" w:eastAsiaTheme="minorEastAsia" w:hAnsi="Calibri" w:cs="Calibri"/>
                <w:sz w:val="20"/>
                <w:szCs w:val="20"/>
              </w:rPr>
            </w:pPr>
            <w:r w:rsidRPr="006F250C">
              <w:rPr>
                <w:rFonts w:ascii="Calibri" w:eastAsiaTheme="minorEastAsia" w:hAnsi="Calibri" w:cs="Calibri"/>
                <w:sz w:val="20"/>
                <w:szCs w:val="20"/>
              </w:rPr>
              <w:t>1</w:t>
            </w:r>
          </w:p>
        </w:tc>
      </w:tr>
      <w:tr w:rsidR="006F250C" w:rsidRPr="006F250C" w14:paraId="75071B5B" w14:textId="77777777" w:rsidTr="001071B4">
        <w:trPr>
          <w:trHeight w:val="300"/>
        </w:trPr>
        <w:tc>
          <w:tcPr>
            <w:tcW w:w="4370" w:type="dxa"/>
          </w:tcPr>
          <w:p w14:paraId="75071B56" w14:textId="77777777" w:rsidR="002B060A" w:rsidRPr="006F250C" w:rsidRDefault="002B060A" w:rsidP="00C07A0A">
            <w:pPr>
              <w:rPr>
                <w:rFonts w:ascii="Calibri" w:hAnsi="Calibri" w:cs="Calibri"/>
              </w:rPr>
            </w:pPr>
          </w:p>
        </w:tc>
        <w:tc>
          <w:tcPr>
            <w:tcW w:w="4370" w:type="dxa"/>
          </w:tcPr>
          <w:p w14:paraId="75071B57" w14:textId="77777777" w:rsidR="002B060A" w:rsidRPr="006F250C" w:rsidRDefault="006040A7" w:rsidP="00C07A0A">
            <w:pPr>
              <w:rPr>
                <w:rFonts w:ascii="Calibri" w:hAnsi="Calibri" w:cs="Calibri"/>
                <w:sz w:val="20"/>
                <w:szCs w:val="20"/>
                <w:lang w:eastAsia="en-AU" w:bidi="km-KH"/>
              </w:rPr>
            </w:pPr>
            <w:r w:rsidRPr="006F250C">
              <w:rPr>
                <w:rFonts w:ascii="Calibri" w:hAnsi="Calibri" w:cs="Calibri"/>
                <w:sz w:val="20"/>
                <w:szCs w:val="20"/>
                <w:lang w:eastAsia="en-AU" w:bidi="km-KH"/>
              </w:rPr>
              <w:t xml:space="preserve">Training manual on climate informed hospital emergency preparedness and response plan </w:t>
            </w:r>
          </w:p>
        </w:tc>
        <w:tc>
          <w:tcPr>
            <w:tcW w:w="2075" w:type="dxa"/>
            <w:vAlign w:val="center"/>
          </w:tcPr>
          <w:p w14:paraId="75071B58" w14:textId="77777777" w:rsidR="002B060A" w:rsidRPr="006F250C" w:rsidRDefault="006040A7" w:rsidP="00C07A0A">
            <w:pPr>
              <w:rPr>
                <w:rFonts w:ascii="Calibri" w:eastAsiaTheme="minorEastAsia" w:hAnsi="Calibri" w:cs="Calibri"/>
                <w:sz w:val="20"/>
                <w:szCs w:val="20"/>
              </w:rPr>
            </w:pPr>
            <w:r w:rsidRPr="006F250C">
              <w:rPr>
                <w:rFonts w:ascii="Calibri" w:eastAsiaTheme="minorEastAsia" w:hAnsi="Calibri" w:cs="Calibri"/>
                <w:sz w:val="20"/>
                <w:szCs w:val="20"/>
              </w:rPr>
              <w:t xml:space="preserve">Final </w:t>
            </w:r>
          </w:p>
        </w:tc>
        <w:tc>
          <w:tcPr>
            <w:tcW w:w="2231" w:type="dxa"/>
            <w:vAlign w:val="center"/>
          </w:tcPr>
          <w:p w14:paraId="75071B59" w14:textId="77777777" w:rsidR="002B060A" w:rsidRPr="006F250C" w:rsidRDefault="006040A7" w:rsidP="00C07A0A">
            <w:pPr>
              <w:jc w:val="center"/>
              <w:rPr>
                <w:rFonts w:ascii="Calibri" w:eastAsiaTheme="minorEastAsia" w:hAnsi="Calibri" w:cs="Calibri"/>
                <w:sz w:val="20"/>
                <w:szCs w:val="20"/>
              </w:rPr>
            </w:pPr>
            <w:r w:rsidRPr="006F250C">
              <w:rPr>
                <w:rFonts w:ascii="Calibri" w:eastAsiaTheme="minorEastAsia" w:hAnsi="Calibri" w:cs="Calibri"/>
                <w:sz w:val="20"/>
                <w:szCs w:val="20"/>
              </w:rPr>
              <w:t>NA</w:t>
            </w:r>
          </w:p>
        </w:tc>
        <w:tc>
          <w:tcPr>
            <w:tcW w:w="3439" w:type="dxa"/>
            <w:vAlign w:val="center"/>
          </w:tcPr>
          <w:p w14:paraId="75071B5A" w14:textId="77777777" w:rsidR="002B060A" w:rsidRPr="006F250C" w:rsidRDefault="006040A7" w:rsidP="00C07A0A">
            <w:pPr>
              <w:jc w:val="center"/>
              <w:rPr>
                <w:rFonts w:ascii="Calibri" w:eastAsiaTheme="minorEastAsia" w:hAnsi="Calibri" w:cs="Calibri"/>
                <w:sz w:val="20"/>
                <w:szCs w:val="20"/>
              </w:rPr>
            </w:pPr>
            <w:r w:rsidRPr="006F250C">
              <w:rPr>
                <w:rFonts w:ascii="Calibri" w:eastAsiaTheme="minorEastAsia" w:hAnsi="Calibri" w:cs="Calibri"/>
                <w:sz w:val="20"/>
                <w:szCs w:val="20"/>
              </w:rPr>
              <w:t>3</w:t>
            </w:r>
          </w:p>
        </w:tc>
      </w:tr>
      <w:tr w:rsidR="006F250C" w:rsidRPr="006F250C" w14:paraId="75071B61" w14:textId="77777777" w:rsidTr="001071B4">
        <w:trPr>
          <w:trHeight w:val="300"/>
        </w:trPr>
        <w:tc>
          <w:tcPr>
            <w:tcW w:w="4370" w:type="dxa"/>
          </w:tcPr>
          <w:p w14:paraId="75071B5C" w14:textId="77777777" w:rsidR="002B060A" w:rsidRPr="006F250C" w:rsidRDefault="002B060A" w:rsidP="00C07A0A">
            <w:pPr>
              <w:rPr>
                <w:rFonts w:ascii="Calibri" w:hAnsi="Calibri" w:cs="Calibri"/>
              </w:rPr>
            </w:pPr>
          </w:p>
        </w:tc>
        <w:tc>
          <w:tcPr>
            <w:tcW w:w="4370" w:type="dxa"/>
          </w:tcPr>
          <w:p w14:paraId="75071B5D" w14:textId="77777777" w:rsidR="002B060A" w:rsidRPr="006F250C" w:rsidRDefault="006040A7" w:rsidP="00C07A0A">
            <w:pPr>
              <w:rPr>
                <w:rFonts w:ascii="Calibri" w:hAnsi="Calibri" w:cs="Calibri"/>
                <w:sz w:val="20"/>
                <w:szCs w:val="20"/>
                <w:lang w:eastAsia="en-AU" w:bidi="km-KH"/>
              </w:rPr>
            </w:pPr>
            <w:r w:rsidRPr="006F250C">
              <w:rPr>
                <w:rFonts w:ascii="Calibri" w:hAnsi="Calibri" w:cs="Calibri"/>
                <w:sz w:val="20"/>
                <w:szCs w:val="20"/>
                <w:lang w:eastAsia="en-AU" w:bidi="km-KH"/>
              </w:rPr>
              <w:t xml:space="preserve">Handbook on climate change and its linkages with relevant issues within the MBBS course including acute emergency healthcare </w:t>
            </w:r>
          </w:p>
        </w:tc>
        <w:tc>
          <w:tcPr>
            <w:tcW w:w="2075" w:type="dxa"/>
            <w:vAlign w:val="center"/>
          </w:tcPr>
          <w:p w14:paraId="75071B5E" w14:textId="77777777" w:rsidR="002B060A" w:rsidRPr="006F250C" w:rsidRDefault="006040A7" w:rsidP="00C07A0A">
            <w:pPr>
              <w:rPr>
                <w:rFonts w:ascii="Calibri" w:eastAsiaTheme="minorEastAsia" w:hAnsi="Calibri" w:cs="Calibri"/>
                <w:sz w:val="20"/>
                <w:szCs w:val="20"/>
              </w:rPr>
            </w:pPr>
            <w:r w:rsidRPr="006F250C">
              <w:rPr>
                <w:rFonts w:ascii="Calibri" w:eastAsiaTheme="minorEastAsia" w:hAnsi="Calibri" w:cs="Calibri"/>
                <w:sz w:val="20"/>
                <w:szCs w:val="20"/>
              </w:rPr>
              <w:t>Final</w:t>
            </w:r>
          </w:p>
        </w:tc>
        <w:tc>
          <w:tcPr>
            <w:tcW w:w="2231" w:type="dxa"/>
            <w:vAlign w:val="center"/>
          </w:tcPr>
          <w:p w14:paraId="75071B5F" w14:textId="77777777" w:rsidR="002B060A" w:rsidRPr="006F250C" w:rsidRDefault="006040A7" w:rsidP="00C07A0A">
            <w:pPr>
              <w:jc w:val="center"/>
              <w:rPr>
                <w:rFonts w:ascii="Calibri" w:eastAsiaTheme="minorEastAsia" w:hAnsi="Calibri" w:cs="Calibri"/>
                <w:sz w:val="20"/>
                <w:szCs w:val="20"/>
              </w:rPr>
            </w:pPr>
            <w:r w:rsidRPr="006F250C">
              <w:rPr>
                <w:rFonts w:ascii="Calibri" w:eastAsiaTheme="minorEastAsia" w:hAnsi="Calibri" w:cs="Calibri"/>
                <w:sz w:val="20"/>
                <w:szCs w:val="20"/>
              </w:rPr>
              <w:t>NA</w:t>
            </w:r>
          </w:p>
        </w:tc>
        <w:tc>
          <w:tcPr>
            <w:tcW w:w="3439" w:type="dxa"/>
            <w:vAlign w:val="center"/>
          </w:tcPr>
          <w:p w14:paraId="75071B60" w14:textId="77777777" w:rsidR="002B060A" w:rsidRPr="006F250C" w:rsidRDefault="006040A7" w:rsidP="00C07A0A">
            <w:pPr>
              <w:jc w:val="center"/>
              <w:rPr>
                <w:rFonts w:ascii="Calibri" w:eastAsiaTheme="minorEastAsia" w:hAnsi="Calibri" w:cs="Calibri"/>
                <w:sz w:val="20"/>
                <w:szCs w:val="20"/>
              </w:rPr>
            </w:pPr>
            <w:r w:rsidRPr="006F250C">
              <w:rPr>
                <w:rFonts w:ascii="Calibri" w:eastAsiaTheme="minorEastAsia" w:hAnsi="Calibri" w:cs="Calibri"/>
                <w:sz w:val="20"/>
                <w:szCs w:val="20"/>
              </w:rPr>
              <w:t>1</w:t>
            </w:r>
          </w:p>
        </w:tc>
      </w:tr>
      <w:tr w:rsidR="006F250C" w:rsidRPr="006F250C" w14:paraId="75071B67" w14:textId="77777777" w:rsidTr="001071B4">
        <w:trPr>
          <w:trHeight w:val="300"/>
        </w:trPr>
        <w:tc>
          <w:tcPr>
            <w:tcW w:w="4370" w:type="dxa"/>
          </w:tcPr>
          <w:p w14:paraId="75071B62" w14:textId="77777777" w:rsidR="002B060A" w:rsidRPr="006F250C" w:rsidRDefault="002B060A" w:rsidP="00C07A0A">
            <w:pPr>
              <w:rPr>
                <w:rFonts w:ascii="Calibri" w:hAnsi="Calibri" w:cs="Calibri"/>
              </w:rPr>
            </w:pPr>
          </w:p>
        </w:tc>
        <w:tc>
          <w:tcPr>
            <w:tcW w:w="4370" w:type="dxa"/>
          </w:tcPr>
          <w:p w14:paraId="75071B63" w14:textId="77777777" w:rsidR="002B060A" w:rsidRPr="006F250C" w:rsidRDefault="006040A7" w:rsidP="00C07A0A">
            <w:pPr>
              <w:rPr>
                <w:rFonts w:ascii="Calibri" w:hAnsi="Calibri" w:cs="Calibri"/>
                <w:sz w:val="20"/>
                <w:szCs w:val="20"/>
                <w:lang w:eastAsia="en-AU" w:bidi="km-KH"/>
              </w:rPr>
            </w:pPr>
            <w:r w:rsidRPr="006F250C">
              <w:rPr>
                <w:rFonts w:ascii="Calibri" w:hAnsi="Calibri" w:cs="Calibri"/>
                <w:sz w:val="20"/>
                <w:szCs w:val="20"/>
                <w:lang w:eastAsia="en-AU" w:bidi="km-KH"/>
              </w:rPr>
              <w:t>Operational manual for MBBS curriculum- 2021</w:t>
            </w:r>
          </w:p>
        </w:tc>
        <w:tc>
          <w:tcPr>
            <w:tcW w:w="2075" w:type="dxa"/>
            <w:vAlign w:val="center"/>
          </w:tcPr>
          <w:p w14:paraId="75071B64" w14:textId="77777777" w:rsidR="002B060A" w:rsidRPr="006F250C" w:rsidRDefault="006040A7" w:rsidP="00C07A0A">
            <w:pPr>
              <w:rPr>
                <w:rFonts w:ascii="Calibri" w:eastAsiaTheme="minorEastAsia" w:hAnsi="Calibri" w:cs="Calibri"/>
                <w:sz w:val="20"/>
                <w:szCs w:val="20"/>
              </w:rPr>
            </w:pPr>
            <w:r w:rsidRPr="006F250C">
              <w:rPr>
                <w:rFonts w:ascii="Calibri" w:eastAsiaTheme="minorEastAsia" w:hAnsi="Calibri" w:cs="Calibri"/>
                <w:sz w:val="20"/>
                <w:szCs w:val="20"/>
              </w:rPr>
              <w:t>Final</w:t>
            </w:r>
          </w:p>
        </w:tc>
        <w:tc>
          <w:tcPr>
            <w:tcW w:w="2231" w:type="dxa"/>
            <w:vAlign w:val="center"/>
          </w:tcPr>
          <w:p w14:paraId="75071B65" w14:textId="77777777" w:rsidR="002B060A" w:rsidRPr="006F250C" w:rsidRDefault="006040A7" w:rsidP="00C07A0A">
            <w:pPr>
              <w:jc w:val="center"/>
              <w:rPr>
                <w:rFonts w:ascii="Calibri" w:eastAsiaTheme="minorEastAsia" w:hAnsi="Calibri" w:cs="Calibri"/>
                <w:sz w:val="20"/>
                <w:szCs w:val="20"/>
              </w:rPr>
            </w:pPr>
            <w:r w:rsidRPr="006F250C">
              <w:rPr>
                <w:rFonts w:ascii="Calibri" w:eastAsiaTheme="minorEastAsia" w:hAnsi="Calibri" w:cs="Calibri"/>
                <w:sz w:val="20"/>
                <w:szCs w:val="20"/>
              </w:rPr>
              <w:t>NA</w:t>
            </w:r>
          </w:p>
        </w:tc>
        <w:tc>
          <w:tcPr>
            <w:tcW w:w="3439" w:type="dxa"/>
            <w:vAlign w:val="center"/>
          </w:tcPr>
          <w:p w14:paraId="75071B66" w14:textId="77777777" w:rsidR="002B060A" w:rsidRPr="006F250C" w:rsidRDefault="006040A7" w:rsidP="00C07A0A">
            <w:pPr>
              <w:jc w:val="center"/>
              <w:rPr>
                <w:rFonts w:ascii="Calibri" w:eastAsiaTheme="minorEastAsia" w:hAnsi="Calibri" w:cs="Calibri"/>
                <w:sz w:val="20"/>
                <w:szCs w:val="20"/>
              </w:rPr>
            </w:pPr>
            <w:r w:rsidRPr="006F250C">
              <w:rPr>
                <w:rFonts w:ascii="Calibri" w:eastAsiaTheme="minorEastAsia" w:hAnsi="Calibri" w:cs="Calibri"/>
                <w:sz w:val="20"/>
                <w:szCs w:val="20"/>
              </w:rPr>
              <w:t>1</w:t>
            </w:r>
          </w:p>
        </w:tc>
      </w:tr>
      <w:tr w:rsidR="006F250C" w:rsidRPr="006F250C" w14:paraId="75071B6D" w14:textId="77777777" w:rsidTr="001071B4">
        <w:trPr>
          <w:trHeight w:val="300"/>
        </w:trPr>
        <w:tc>
          <w:tcPr>
            <w:tcW w:w="1623" w:type="dxa"/>
          </w:tcPr>
          <w:p w14:paraId="75071B68"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Cambodia</w:t>
            </w:r>
          </w:p>
        </w:tc>
        <w:tc>
          <w:tcPr>
            <w:tcW w:w="4370" w:type="dxa"/>
          </w:tcPr>
          <w:p w14:paraId="75071B69" w14:textId="77777777" w:rsidR="002B060A" w:rsidRPr="006F250C" w:rsidRDefault="006040A7" w:rsidP="00C07A0A">
            <w:pPr>
              <w:rPr>
                <w:rFonts w:ascii="Calibri" w:hAnsi="Calibri" w:cs="Calibri"/>
                <w:sz w:val="20"/>
                <w:szCs w:val="20"/>
              </w:rPr>
            </w:pPr>
            <w:r w:rsidRPr="006F250C">
              <w:rPr>
                <w:rFonts w:ascii="Calibri" w:hAnsi="Calibri" w:cs="Calibri"/>
                <w:sz w:val="20"/>
                <w:szCs w:val="20"/>
                <w:lang w:eastAsia="en-AU"/>
              </w:rPr>
              <w:t>Climate Change and Health (CC&amp;H) in MSc program at Royal University of Phnom Penh- three subjects (courses) that have been integrated with CC&amp; H and key aspects on health sections</w:t>
            </w:r>
          </w:p>
        </w:tc>
        <w:tc>
          <w:tcPr>
            <w:tcW w:w="2075" w:type="dxa"/>
            <w:vAlign w:val="center"/>
          </w:tcPr>
          <w:p w14:paraId="75071B6A"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w:t>
            </w:r>
          </w:p>
        </w:tc>
        <w:tc>
          <w:tcPr>
            <w:tcW w:w="2231" w:type="dxa"/>
            <w:vAlign w:val="center"/>
          </w:tcPr>
          <w:p w14:paraId="75071B6B" w14:textId="77777777" w:rsidR="002B060A" w:rsidRPr="006F250C" w:rsidRDefault="002B060A" w:rsidP="00C07A0A">
            <w:pPr>
              <w:jc w:val="center"/>
              <w:rPr>
                <w:rFonts w:ascii="Calibri" w:hAnsi="Calibri" w:cs="Calibri"/>
                <w:sz w:val="20"/>
                <w:szCs w:val="20"/>
              </w:rPr>
            </w:pPr>
          </w:p>
        </w:tc>
        <w:tc>
          <w:tcPr>
            <w:tcW w:w="3439" w:type="dxa"/>
            <w:vAlign w:val="center"/>
          </w:tcPr>
          <w:p w14:paraId="75071B6C"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w:t>
            </w:r>
          </w:p>
        </w:tc>
      </w:tr>
      <w:tr w:rsidR="006F250C" w:rsidRPr="006F250C" w14:paraId="75071B75" w14:textId="77777777" w:rsidTr="001071B4">
        <w:trPr>
          <w:trHeight w:val="300"/>
        </w:trPr>
        <w:tc>
          <w:tcPr>
            <w:tcW w:w="4370" w:type="dxa"/>
          </w:tcPr>
          <w:p w14:paraId="75071B6E" w14:textId="77777777" w:rsidR="002B060A" w:rsidRPr="006F250C" w:rsidRDefault="002B060A" w:rsidP="00C07A0A">
            <w:pPr>
              <w:rPr>
                <w:rFonts w:ascii="Calibri" w:hAnsi="Calibri" w:cs="Calibri"/>
              </w:rPr>
            </w:pPr>
          </w:p>
        </w:tc>
        <w:tc>
          <w:tcPr>
            <w:tcW w:w="4370" w:type="dxa"/>
          </w:tcPr>
          <w:p w14:paraId="75071B6F" w14:textId="77777777" w:rsidR="002B060A" w:rsidRPr="006F250C" w:rsidRDefault="006040A7" w:rsidP="00C07A0A">
            <w:pPr>
              <w:rPr>
                <w:rFonts w:ascii="Calibri" w:hAnsi="Calibri" w:cs="Calibri"/>
                <w:sz w:val="20"/>
                <w:szCs w:val="20"/>
                <w:lang w:eastAsia="en-AU" w:bidi="km-KH"/>
              </w:rPr>
            </w:pPr>
            <w:r w:rsidRPr="006F250C">
              <w:rPr>
                <w:rFonts w:ascii="Calibri" w:hAnsi="Calibri" w:cs="Calibri"/>
                <w:sz w:val="20"/>
                <w:szCs w:val="20"/>
                <w:lang w:eastAsia="en-AU" w:bidi="km-KH"/>
              </w:rPr>
              <w:t>The Royal University of Phnom Penh on Monitoring and follow-up of implementation of the postgraduate curriculum on climate change and health (CC&amp;H) for MSc in Climate Change Program (MCC) at the Royal University of Phnom Penh from April to June 2022.</w:t>
            </w:r>
          </w:p>
          <w:p w14:paraId="75071B70" w14:textId="77777777" w:rsidR="002B060A" w:rsidRPr="006F250C" w:rsidRDefault="002B060A" w:rsidP="00C07A0A">
            <w:pPr>
              <w:rPr>
                <w:rFonts w:ascii="Calibri" w:hAnsi="Calibri" w:cs="Calibri"/>
                <w:sz w:val="20"/>
                <w:szCs w:val="20"/>
              </w:rPr>
            </w:pPr>
          </w:p>
        </w:tc>
        <w:tc>
          <w:tcPr>
            <w:tcW w:w="2075" w:type="dxa"/>
          </w:tcPr>
          <w:p w14:paraId="75071B71"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 xml:space="preserve">Final for the product and ongoing for the integrated three teaching courses on CC&amp;H.  </w:t>
            </w:r>
          </w:p>
        </w:tc>
        <w:tc>
          <w:tcPr>
            <w:tcW w:w="2231" w:type="dxa"/>
          </w:tcPr>
          <w:p w14:paraId="75071B72"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 xml:space="preserve">June 2022 </w:t>
            </w:r>
          </w:p>
          <w:p w14:paraId="75071B73" w14:textId="77777777" w:rsidR="002B060A" w:rsidRPr="006F250C" w:rsidRDefault="002B060A" w:rsidP="00C07A0A">
            <w:pPr>
              <w:rPr>
                <w:rFonts w:ascii="Calibri" w:hAnsi="Calibri" w:cs="Calibri"/>
                <w:sz w:val="20"/>
                <w:szCs w:val="20"/>
              </w:rPr>
            </w:pPr>
          </w:p>
        </w:tc>
        <w:tc>
          <w:tcPr>
            <w:tcW w:w="3439" w:type="dxa"/>
          </w:tcPr>
          <w:p w14:paraId="75071B74"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w:t>
            </w:r>
          </w:p>
        </w:tc>
      </w:tr>
      <w:tr w:rsidR="006F250C" w:rsidRPr="006F250C" w14:paraId="75071B7B" w14:textId="77777777" w:rsidTr="001071B4">
        <w:trPr>
          <w:trHeight w:val="300"/>
        </w:trPr>
        <w:tc>
          <w:tcPr>
            <w:tcW w:w="4370" w:type="dxa"/>
          </w:tcPr>
          <w:p w14:paraId="75071B76" w14:textId="77777777" w:rsidR="002B060A" w:rsidRPr="006F250C" w:rsidRDefault="002B060A" w:rsidP="00C07A0A">
            <w:pPr>
              <w:rPr>
                <w:rFonts w:ascii="Calibri" w:hAnsi="Calibri" w:cs="Calibri"/>
              </w:rPr>
            </w:pPr>
          </w:p>
        </w:tc>
        <w:tc>
          <w:tcPr>
            <w:tcW w:w="4370" w:type="dxa"/>
          </w:tcPr>
          <w:p w14:paraId="75071B77"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Training modules on basic science of climate change, and climate change vulnerability and adaptation</w:t>
            </w:r>
          </w:p>
        </w:tc>
        <w:tc>
          <w:tcPr>
            <w:tcW w:w="2075" w:type="dxa"/>
          </w:tcPr>
          <w:p w14:paraId="75071B78"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w:t>
            </w:r>
          </w:p>
        </w:tc>
        <w:tc>
          <w:tcPr>
            <w:tcW w:w="2231" w:type="dxa"/>
          </w:tcPr>
          <w:p w14:paraId="75071B79" w14:textId="77777777" w:rsidR="002B060A" w:rsidRPr="006F250C" w:rsidRDefault="002B060A" w:rsidP="00C07A0A">
            <w:pPr>
              <w:rPr>
                <w:rFonts w:ascii="Calibri" w:hAnsi="Calibri" w:cs="Calibri"/>
                <w:sz w:val="20"/>
                <w:szCs w:val="20"/>
              </w:rPr>
            </w:pPr>
          </w:p>
        </w:tc>
        <w:tc>
          <w:tcPr>
            <w:tcW w:w="3439" w:type="dxa"/>
          </w:tcPr>
          <w:p w14:paraId="75071B7A"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w:t>
            </w:r>
          </w:p>
        </w:tc>
      </w:tr>
      <w:tr w:rsidR="006F250C" w:rsidRPr="006F250C" w14:paraId="75071B81" w14:textId="77777777" w:rsidTr="001071B4">
        <w:trPr>
          <w:trHeight w:val="300"/>
        </w:trPr>
        <w:tc>
          <w:tcPr>
            <w:tcW w:w="1623" w:type="dxa"/>
          </w:tcPr>
          <w:p w14:paraId="75071B7C"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lastRenderedPageBreak/>
              <w:t>Lao PDR</w:t>
            </w:r>
          </w:p>
        </w:tc>
        <w:tc>
          <w:tcPr>
            <w:tcW w:w="4370" w:type="dxa"/>
          </w:tcPr>
          <w:p w14:paraId="75071B7D" w14:textId="77777777" w:rsidR="002B060A" w:rsidRPr="006F250C" w:rsidRDefault="006040A7" w:rsidP="00C07A0A">
            <w:pPr>
              <w:rPr>
                <w:rFonts w:ascii="Calibri" w:hAnsi="Calibri" w:cs="Calibri"/>
                <w:sz w:val="20"/>
                <w:szCs w:val="20"/>
              </w:rPr>
            </w:pPr>
            <w:r w:rsidRPr="006F250C">
              <w:rPr>
                <w:rFonts w:ascii="Calibri" w:hAnsi="Calibri" w:cs="Calibri"/>
                <w:sz w:val="20"/>
                <w:szCs w:val="20"/>
                <w:lang w:eastAsia="en-AU"/>
              </w:rPr>
              <w:t xml:space="preserve">Climate Change and Health Training 9 modules for public health specialists at national and subnational level. Additionally, it is to be used for Master of Public health and Master of environmental health training </w:t>
            </w:r>
          </w:p>
        </w:tc>
        <w:tc>
          <w:tcPr>
            <w:tcW w:w="2075" w:type="dxa"/>
          </w:tcPr>
          <w:p w14:paraId="75071B7E"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 (translation completed Q2 2022, first training session was completed in July 2022).</w:t>
            </w:r>
          </w:p>
        </w:tc>
        <w:tc>
          <w:tcPr>
            <w:tcW w:w="2231" w:type="dxa"/>
          </w:tcPr>
          <w:p w14:paraId="75071B7F" w14:textId="77777777" w:rsidR="002B060A" w:rsidRPr="006F250C" w:rsidRDefault="002B060A" w:rsidP="00C07A0A">
            <w:pPr>
              <w:rPr>
                <w:rFonts w:ascii="Calibri" w:hAnsi="Calibri" w:cs="Calibri"/>
                <w:sz w:val="20"/>
                <w:szCs w:val="20"/>
              </w:rPr>
            </w:pPr>
          </w:p>
        </w:tc>
        <w:tc>
          <w:tcPr>
            <w:tcW w:w="3439" w:type="dxa"/>
          </w:tcPr>
          <w:p w14:paraId="75071B80"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w:t>
            </w:r>
          </w:p>
        </w:tc>
      </w:tr>
      <w:tr w:rsidR="006F250C" w:rsidRPr="006F250C" w14:paraId="75071B87" w14:textId="77777777" w:rsidTr="001071B4">
        <w:trPr>
          <w:trHeight w:val="300"/>
        </w:trPr>
        <w:tc>
          <w:tcPr>
            <w:tcW w:w="4370" w:type="dxa"/>
          </w:tcPr>
          <w:p w14:paraId="75071B82" w14:textId="77777777" w:rsidR="002B060A" w:rsidRPr="006F250C" w:rsidRDefault="002B060A" w:rsidP="00C07A0A">
            <w:pPr>
              <w:rPr>
                <w:rFonts w:ascii="Calibri" w:hAnsi="Calibri" w:cs="Calibri"/>
              </w:rPr>
            </w:pPr>
          </w:p>
        </w:tc>
        <w:tc>
          <w:tcPr>
            <w:tcW w:w="4370" w:type="dxa"/>
          </w:tcPr>
          <w:p w14:paraId="75071B83" w14:textId="77777777" w:rsidR="002B060A" w:rsidRPr="006F250C" w:rsidRDefault="006040A7" w:rsidP="00C07A0A">
            <w:pPr>
              <w:rPr>
                <w:rFonts w:ascii="Calibri" w:hAnsi="Calibri" w:cs="Calibri"/>
                <w:sz w:val="20"/>
                <w:szCs w:val="20"/>
                <w:lang w:eastAsia="en-AU"/>
              </w:rPr>
            </w:pPr>
            <w:r w:rsidRPr="006F250C">
              <w:rPr>
                <w:rFonts w:ascii="Calibri" w:hAnsi="Calibri" w:cs="Calibri"/>
                <w:sz w:val="20"/>
                <w:szCs w:val="20"/>
                <w:lang w:eastAsia="en-AU"/>
              </w:rPr>
              <w:t xml:space="preserve">Climate Resilient WSP developed using WHO HQ manual of CR WSP for use of urban water suppliers (Nam papa system) </w:t>
            </w:r>
          </w:p>
        </w:tc>
        <w:tc>
          <w:tcPr>
            <w:tcW w:w="2075" w:type="dxa"/>
          </w:tcPr>
          <w:p w14:paraId="75071B84"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 used for CR WSP training at water supply/team</w:t>
            </w:r>
          </w:p>
        </w:tc>
        <w:tc>
          <w:tcPr>
            <w:tcW w:w="2231" w:type="dxa"/>
          </w:tcPr>
          <w:p w14:paraId="75071B85" w14:textId="77777777" w:rsidR="002B060A" w:rsidRPr="006F250C" w:rsidRDefault="002B060A" w:rsidP="00C07A0A">
            <w:pPr>
              <w:rPr>
                <w:rFonts w:ascii="Calibri" w:hAnsi="Calibri" w:cs="Calibri"/>
                <w:sz w:val="20"/>
                <w:szCs w:val="20"/>
              </w:rPr>
            </w:pPr>
          </w:p>
        </w:tc>
        <w:tc>
          <w:tcPr>
            <w:tcW w:w="3439" w:type="dxa"/>
          </w:tcPr>
          <w:p w14:paraId="75071B86"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3</w:t>
            </w:r>
          </w:p>
        </w:tc>
      </w:tr>
      <w:tr w:rsidR="006F250C" w:rsidRPr="006F250C" w14:paraId="75071B8D" w14:textId="77777777" w:rsidTr="001071B4">
        <w:trPr>
          <w:trHeight w:val="300"/>
        </w:trPr>
        <w:tc>
          <w:tcPr>
            <w:tcW w:w="4370" w:type="dxa"/>
          </w:tcPr>
          <w:p w14:paraId="75071B88" w14:textId="77777777" w:rsidR="002B060A" w:rsidRPr="006F250C" w:rsidRDefault="002B060A" w:rsidP="00C07A0A">
            <w:pPr>
              <w:rPr>
                <w:rFonts w:ascii="Calibri" w:hAnsi="Calibri" w:cs="Calibri"/>
              </w:rPr>
            </w:pPr>
          </w:p>
        </w:tc>
        <w:tc>
          <w:tcPr>
            <w:tcW w:w="4370" w:type="dxa"/>
          </w:tcPr>
          <w:p w14:paraId="75071B89" w14:textId="77777777" w:rsidR="002B060A" w:rsidRPr="006F250C" w:rsidRDefault="006040A7" w:rsidP="00C07A0A">
            <w:pPr>
              <w:rPr>
                <w:rFonts w:ascii="Calibri" w:hAnsi="Calibri" w:cs="Calibri"/>
                <w:sz w:val="20"/>
                <w:szCs w:val="20"/>
              </w:rPr>
            </w:pPr>
            <w:r w:rsidRPr="006F250C">
              <w:rPr>
                <w:rFonts w:ascii="Calibri" w:hAnsi="Calibri" w:cs="Calibri"/>
                <w:sz w:val="20"/>
                <w:szCs w:val="20"/>
                <w:lang w:eastAsia="en-AU"/>
              </w:rPr>
              <w:t xml:space="preserve">CR WASH with focus on climate resilient water safety plan for community manage water suppliers – with 7 modules for provincial, district climate and WASH staff and community health care workers at health centres </w:t>
            </w:r>
          </w:p>
        </w:tc>
        <w:tc>
          <w:tcPr>
            <w:tcW w:w="2075" w:type="dxa"/>
          </w:tcPr>
          <w:p w14:paraId="75071B8A"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 xml:space="preserve">PPT finalized </w:t>
            </w:r>
            <w:r w:rsidRPr="006F250C">
              <w:rPr>
                <w:rFonts w:ascii="Calibri" w:hAnsi="Calibri" w:cs="Calibri"/>
              </w:rPr>
              <w:br/>
            </w:r>
            <w:r w:rsidRPr="006F250C">
              <w:rPr>
                <w:rFonts w:ascii="Calibri" w:hAnsi="Calibri" w:cs="Calibri"/>
                <w:sz w:val="20"/>
                <w:szCs w:val="20"/>
              </w:rPr>
              <w:t>translation finalized in August 2022</w:t>
            </w:r>
          </w:p>
        </w:tc>
        <w:tc>
          <w:tcPr>
            <w:tcW w:w="2231" w:type="dxa"/>
          </w:tcPr>
          <w:p w14:paraId="75071B8B"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N/A</w:t>
            </w:r>
          </w:p>
        </w:tc>
        <w:tc>
          <w:tcPr>
            <w:tcW w:w="3439" w:type="dxa"/>
          </w:tcPr>
          <w:p w14:paraId="75071B8C"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3</w:t>
            </w:r>
          </w:p>
        </w:tc>
      </w:tr>
      <w:tr w:rsidR="006F250C" w:rsidRPr="006F250C" w14:paraId="75071B93" w14:textId="77777777" w:rsidTr="001071B4">
        <w:trPr>
          <w:trHeight w:val="300"/>
        </w:trPr>
        <w:tc>
          <w:tcPr>
            <w:tcW w:w="1623" w:type="dxa"/>
          </w:tcPr>
          <w:p w14:paraId="75071B8E"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Myanmar</w:t>
            </w:r>
          </w:p>
        </w:tc>
        <w:tc>
          <w:tcPr>
            <w:tcW w:w="4370" w:type="dxa"/>
          </w:tcPr>
          <w:p w14:paraId="75071B8F"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Manual for Dengue web-based surveillance system.</w:t>
            </w:r>
          </w:p>
        </w:tc>
        <w:tc>
          <w:tcPr>
            <w:tcW w:w="2075" w:type="dxa"/>
          </w:tcPr>
          <w:p w14:paraId="75071B90"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 xml:space="preserve">Final </w:t>
            </w:r>
          </w:p>
        </w:tc>
        <w:tc>
          <w:tcPr>
            <w:tcW w:w="2231" w:type="dxa"/>
          </w:tcPr>
          <w:p w14:paraId="75071B91" w14:textId="77777777" w:rsidR="002B060A" w:rsidRPr="006F250C" w:rsidRDefault="002B060A" w:rsidP="00C07A0A">
            <w:pPr>
              <w:rPr>
                <w:rFonts w:ascii="Calibri" w:hAnsi="Calibri" w:cs="Calibri"/>
                <w:sz w:val="20"/>
                <w:szCs w:val="20"/>
              </w:rPr>
            </w:pPr>
          </w:p>
        </w:tc>
        <w:tc>
          <w:tcPr>
            <w:tcW w:w="3439" w:type="dxa"/>
          </w:tcPr>
          <w:p w14:paraId="75071B92"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2</w:t>
            </w:r>
          </w:p>
        </w:tc>
      </w:tr>
      <w:tr w:rsidR="006F250C" w:rsidRPr="006F250C" w14:paraId="75071B99" w14:textId="77777777" w:rsidTr="001071B4">
        <w:trPr>
          <w:trHeight w:val="300"/>
        </w:trPr>
        <w:tc>
          <w:tcPr>
            <w:tcW w:w="4370" w:type="dxa"/>
          </w:tcPr>
          <w:p w14:paraId="75071B94" w14:textId="77777777" w:rsidR="002B060A" w:rsidRPr="006F250C" w:rsidRDefault="002B060A" w:rsidP="00C07A0A">
            <w:pPr>
              <w:rPr>
                <w:rFonts w:ascii="Calibri" w:hAnsi="Calibri" w:cs="Calibri"/>
              </w:rPr>
            </w:pPr>
          </w:p>
        </w:tc>
        <w:tc>
          <w:tcPr>
            <w:tcW w:w="4370" w:type="dxa"/>
          </w:tcPr>
          <w:p w14:paraId="75071B95"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Malaria elimination field Implementation Manual</w:t>
            </w:r>
          </w:p>
        </w:tc>
        <w:tc>
          <w:tcPr>
            <w:tcW w:w="2075" w:type="dxa"/>
          </w:tcPr>
          <w:p w14:paraId="75071B96"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w:t>
            </w:r>
          </w:p>
        </w:tc>
        <w:tc>
          <w:tcPr>
            <w:tcW w:w="2231" w:type="dxa"/>
          </w:tcPr>
          <w:p w14:paraId="75071B97" w14:textId="77777777" w:rsidR="002B060A" w:rsidRPr="006F250C" w:rsidRDefault="002B060A" w:rsidP="00C07A0A">
            <w:pPr>
              <w:rPr>
                <w:rFonts w:ascii="Calibri" w:hAnsi="Calibri" w:cs="Calibri"/>
                <w:sz w:val="20"/>
                <w:szCs w:val="20"/>
              </w:rPr>
            </w:pPr>
          </w:p>
        </w:tc>
        <w:tc>
          <w:tcPr>
            <w:tcW w:w="3439" w:type="dxa"/>
          </w:tcPr>
          <w:p w14:paraId="75071B98"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3</w:t>
            </w:r>
          </w:p>
        </w:tc>
      </w:tr>
      <w:tr w:rsidR="006F250C" w:rsidRPr="006F250C" w14:paraId="75071B9F" w14:textId="77777777" w:rsidTr="001071B4">
        <w:trPr>
          <w:trHeight w:val="300"/>
        </w:trPr>
        <w:tc>
          <w:tcPr>
            <w:tcW w:w="1623" w:type="dxa"/>
          </w:tcPr>
          <w:p w14:paraId="75071B9A"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Nepal</w:t>
            </w:r>
          </w:p>
        </w:tc>
        <w:tc>
          <w:tcPr>
            <w:tcW w:w="4370" w:type="dxa"/>
          </w:tcPr>
          <w:p w14:paraId="75071B9B" w14:textId="77777777" w:rsidR="002B060A" w:rsidRPr="006F250C" w:rsidRDefault="006040A7" w:rsidP="00C07A0A">
            <w:pPr>
              <w:rPr>
                <w:rFonts w:ascii="Calibri" w:hAnsi="Calibri" w:cs="Calibri"/>
                <w:sz w:val="20"/>
                <w:szCs w:val="20"/>
              </w:rPr>
            </w:pPr>
            <w:r w:rsidRPr="006F250C">
              <w:rPr>
                <w:rFonts w:ascii="Calibri" w:hAnsi="Calibri" w:cs="Calibri"/>
                <w:sz w:val="20"/>
                <w:szCs w:val="20"/>
                <w:lang w:eastAsia="en-AU"/>
              </w:rPr>
              <w:t>Training manuals on climate change and vector borne diseases (VBDs)- consisting of Facilitators Handbook, Participants Workbook and Reference Book</w:t>
            </w:r>
          </w:p>
        </w:tc>
        <w:tc>
          <w:tcPr>
            <w:tcW w:w="2075" w:type="dxa"/>
          </w:tcPr>
          <w:p w14:paraId="75071B9C"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w:t>
            </w:r>
          </w:p>
        </w:tc>
        <w:tc>
          <w:tcPr>
            <w:tcW w:w="2231" w:type="dxa"/>
          </w:tcPr>
          <w:p w14:paraId="75071B9D" w14:textId="77777777" w:rsidR="002B060A" w:rsidRPr="006F250C" w:rsidRDefault="002B060A" w:rsidP="00C07A0A">
            <w:pPr>
              <w:rPr>
                <w:rFonts w:ascii="Calibri" w:hAnsi="Calibri" w:cs="Calibri"/>
                <w:sz w:val="20"/>
                <w:szCs w:val="20"/>
              </w:rPr>
            </w:pPr>
          </w:p>
        </w:tc>
        <w:tc>
          <w:tcPr>
            <w:tcW w:w="3439" w:type="dxa"/>
          </w:tcPr>
          <w:p w14:paraId="75071B9E"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3</w:t>
            </w:r>
          </w:p>
        </w:tc>
      </w:tr>
      <w:tr w:rsidR="006F250C" w:rsidRPr="006F250C" w14:paraId="75071BA5" w14:textId="77777777" w:rsidTr="001071B4">
        <w:trPr>
          <w:trHeight w:val="300"/>
        </w:trPr>
        <w:tc>
          <w:tcPr>
            <w:tcW w:w="4370" w:type="dxa"/>
          </w:tcPr>
          <w:p w14:paraId="75071BA0" w14:textId="77777777" w:rsidR="002B060A" w:rsidRPr="006F250C" w:rsidRDefault="002B060A" w:rsidP="00C07A0A">
            <w:pPr>
              <w:rPr>
                <w:rFonts w:ascii="Calibri" w:hAnsi="Calibri" w:cs="Calibri"/>
              </w:rPr>
            </w:pPr>
          </w:p>
        </w:tc>
        <w:tc>
          <w:tcPr>
            <w:tcW w:w="4370" w:type="dxa"/>
          </w:tcPr>
          <w:p w14:paraId="75071BA1" w14:textId="77777777" w:rsidR="002B060A" w:rsidRPr="006F250C" w:rsidRDefault="006040A7" w:rsidP="00C07A0A">
            <w:pPr>
              <w:rPr>
                <w:rFonts w:ascii="Calibri" w:hAnsi="Calibri" w:cs="Calibri"/>
                <w:sz w:val="20"/>
                <w:szCs w:val="20"/>
                <w:lang w:eastAsia="en-AU"/>
              </w:rPr>
            </w:pPr>
            <w:r w:rsidRPr="006F250C">
              <w:rPr>
                <w:rFonts w:ascii="Calibri" w:hAnsi="Calibri" w:cs="Calibri"/>
                <w:sz w:val="20"/>
                <w:szCs w:val="20"/>
                <w:lang w:eastAsia="en-AU"/>
              </w:rPr>
              <w:t>Training manuals on climate change and health</w:t>
            </w:r>
          </w:p>
        </w:tc>
        <w:tc>
          <w:tcPr>
            <w:tcW w:w="2075" w:type="dxa"/>
          </w:tcPr>
          <w:p w14:paraId="75071BA2"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 xml:space="preserve">Final </w:t>
            </w:r>
          </w:p>
        </w:tc>
        <w:tc>
          <w:tcPr>
            <w:tcW w:w="2231" w:type="dxa"/>
          </w:tcPr>
          <w:p w14:paraId="75071BA3"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2023</w:t>
            </w:r>
          </w:p>
        </w:tc>
        <w:tc>
          <w:tcPr>
            <w:tcW w:w="3439" w:type="dxa"/>
          </w:tcPr>
          <w:p w14:paraId="75071BA4"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w:t>
            </w:r>
          </w:p>
        </w:tc>
      </w:tr>
      <w:tr w:rsidR="006F250C" w:rsidRPr="006F250C" w14:paraId="75071BAB" w14:textId="77777777" w:rsidTr="001071B4">
        <w:trPr>
          <w:trHeight w:val="300"/>
        </w:trPr>
        <w:tc>
          <w:tcPr>
            <w:tcW w:w="4370" w:type="dxa"/>
          </w:tcPr>
          <w:p w14:paraId="75071BA6" w14:textId="77777777" w:rsidR="002B060A" w:rsidRPr="006F250C" w:rsidRDefault="002B060A" w:rsidP="00C07A0A">
            <w:pPr>
              <w:rPr>
                <w:rFonts w:ascii="Calibri" w:hAnsi="Calibri" w:cs="Calibri"/>
              </w:rPr>
            </w:pPr>
          </w:p>
        </w:tc>
        <w:tc>
          <w:tcPr>
            <w:tcW w:w="4370" w:type="dxa"/>
          </w:tcPr>
          <w:p w14:paraId="75071BA7" w14:textId="77777777" w:rsidR="002B060A" w:rsidRPr="006F250C" w:rsidRDefault="006040A7" w:rsidP="00C07A0A">
            <w:pPr>
              <w:rPr>
                <w:rFonts w:ascii="Calibri" w:hAnsi="Calibri" w:cs="Calibri"/>
                <w:sz w:val="20"/>
                <w:szCs w:val="20"/>
                <w:lang w:eastAsia="en-AU"/>
              </w:rPr>
            </w:pPr>
            <w:r w:rsidRPr="006F250C">
              <w:rPr>
                <w:rFonts w:ascii="Calibri" w:hAnsi="Calibri" w:cs="Calibri"/>
                <w:sz w:val="20"/>
                <w:szCs w:val="20"/>
                <w:lang w:eastAsia="en-AU"/>
              </w:rPr>
              <w:t>Training manual on climate change and health research for Nepal</w:t>
            </w:r>
          </w:p>
        </w:tc>
        <w:tc>
          <w:tcPr>
            <w:tcW w:w="2075" w:type="dxa"/>
          </w:tcPr>
          <w:p w14:paraId="75071BA8"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w:t>
            </w:r>
          </w:p>
        </w:tc>
        <w:tc>
          <w:tcPr>
            <w:tcW w:w="2231" w:type="dxa"/>
          </w:tcPr>
          <w:p w14:paraId="75071BA9"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2023</w:t>
            </w:r>
          </w:p>
        </w:tc>
        <w:tc>
          <w:tcPr>
            <w:tcW w:w="3439" w:type="dxa"/>
          </w:tcPr>
          <w:p w14:paraId="75071BAA"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w:t>
            </w:r>
          </w:p>
        </w:tc>
      </w:tr>
      <w:tr w:rsidR="006F250C" w:rsidRPr="006F250C" w14:paraId="75071BB1" w14:textId="77777777" w:rsidTr="001071B4">
        <w:trPr>
          <w:trHeight w:val="300"/>
        </w:trPr>
        <w:tc>
          <w:tcPr>
            <w:tcW w:w="4370" w:type="dxa"/>
          </w:tcPr>
          <w:p w14:paraId="75071BAC" w14:textId="77777777" w:rsidR="002B060A" w:rsidRPr="006F250C" w:rsidRDefault="002B060A" w:rsidP="00C07A0A">
            <w:pPr>
              <w:rPr>
                <w:rFonts w:ascii="Calibri" w:hAnsi="Calibri" w:cs="Calibri"/>
              </w:rPr>
            </w:pPr>
          </w:p>
        </w:tc>
        <w:tc>
          <w:tcPr>
            <w:tcW w:w="4370" w:type="dxa"/>
          </w:tcPr>
          <w:p w14:paraId="75071BAD" w14:textId="77777777" w:rsidR="002B060A" w:rsidRPr="006F250C" w:rsidRDefault="006040A7" w:rsidP="00C07A0A">
            <w:pPr>
              <w:rPr>
                <w:rFonts w:ascii="Calibri" w:hAnsi="Calibri" w:cs="Calibri"/>
                <w:sz w:val="20"/>
                <w:szCs w:val="20"/>
                <w:lang w:eastAsia="en-AU"/>
              </w:rPr>
            </w:pPr>
            <w:r w:rsidRPr="006F250C">
              <w:rPr>
                <w:rFonts w:ascii="Calibri" w:hAnsi="Calibri" w:cs="Calibri"/>
                <w:sz w:val="20"/>
                <w:szCs w:val="20"/>
                <w:lang w:eastAsia="en-AU"/>
              </w:rPr>
              <w:t>Learning Resource Package (LRP) on climate resilient water safety plan (CR-WSP)</w:t>
            </w:r>
          </w:p>
        </w:tc>
        <w:tc>
          <w:tcPr>
            <w:tcW w:w="2075" w:type="dxa"/>
          </w:tcPr>
          <w:p w14:paraId="75071BAE"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 Draft</w:t>
            </w:r>
          </w:p>
        </w:tc>
        <w:tc>
          <w:tcPr>
            <w:tcW w:w="2231" w:type="dxa"/>
          </w:tcPr>
          <w:p w14:paraId="75071BAF"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2023</w:t>
            </w:r>
          </w:p>
        </w:tc>
        <w:tc>
          <w:tcPr>
            <w:tcW w:w="3439" w:type="dxa"/>
          </w:tcPr>
          <w:p w14:paraId="75071BB0"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3</w:t>
            </w:r>
          </w:p>
        </w:tc>
      </w:tr>
      <w:tr w:rsidR="006F250C" w:rsidRPr="006F250C" w14:paraId="75071BB7" w14:textId="77777777" w:rsidTr="001071B4">
        <w:trPr>
          <w:trHeight w:val="300"/>
        </w:trPr>
        <w:tc>
          <w:tcPr>
            <w:tcW w:w="4370" w:type="dxa"/>
          </w:tcPr>
          <w:p w14:paraId="75071BB2" w14:textId="77777777" w:rsidR="002B060A" w:rsidRPr="006F250C" w:rsidRDefault="002B060A" w:rsidP="00C07A0A">
            <w:pPr>
              <w:rPr>
                <w:rFonts w:ascii="Calibri" w:hAnsi="Calibri" w:cs="Calibri"/>
              </w:rPr>
            </w:pPr>
          </w:p>
        </w:tc>
        <w:tc>
          <w:tcPr>
            <w:tcW w:w="4370" w:type="dxa"/>
          </w:tcPr>
          <w:p w14:paraId="75071BB3" w14:textId="77777777" w:rsidR="002B060A" w:rsidRPr="006F250C" w:rsidRDefault="006040A7" w:rsidP="00C07A0A">
            <w:pPr>
              <w:rPr>
                <w:rFonts w:ascii="Calibri" w:hAnsi="Calibri" w:cs="Calibri"/>
                <w:sz w:val="20"/>
                <w:szCs w:val="20"/>
                <w:lang w:eastAsia="en-AU"/>
              </w:rPr>
            </w:pPr>
            <w:r w:rsidRPr="006F250C">
              <w:rPr>
                <w:rFonts w:ascii="Calibri" w:hAnsi="Calibri" w:cs="Calibri"/>
                <w:sz w:val="20"/>
                <w:szCs w:val="20"/>
                <w:lang w:eastAsia="en-AU"/>
              </w:rPr>
              <w:t>Training Manual on climate change and health for officials working at local level</w:t>
            </w:r>
          </w:p>
        </w:tc>
        <w:tc>
          <w:tcPr>
            <w:tcW w:w="2075" w:type="dxa"/>
          </w:tcPr>
          <w:p w14:paraId="75071BB4"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 Draft</w:t>
            </w:r>
          </w:p>
        </w:tc>
        <w:tc>
          <w:tcPr>
            <w:tcW w:w="2231" w:type="dxa"/>
          </w:tcPr>
          <w:p w14:paraId="75071BB5"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2023</w:t>
            </w:r>
          </w:p>
        </w:tc>
        <w:tc>
          <w:tcPr>
            <w:tcW w:w="3439" w:type="dxa"/>
          </w:tcPr>
          <w:p w14:paraId="75071BB6"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w:t>
            </w:r>
          </w:p>
        </w:tc>
      </w:tr>
      <w:tr w:rsidR="006F250C" w:rsidRPr="006F250C" w14:paraId="75071BBD" w14:textId="77777777" w:rsidTr="001071B4">
        <w:trPr>
          <w:trHeight w:val="300"/>
        </w:trPr>
        <w:tc>
          <w:tcPr>
            <w:tcW w:w="1623" w:type="dxa"/>
          </w:tcPr>
          <w:p w14:paraId="75071BB8"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Timor-Leste</w:t>
            </w:r>
          </w:p>
        </w:tc>
        <w:tc>
          <w:tcPr>
            <w:tcW w:w="4370" w:type="dxa"/>
          </w:tcPr>
          <w:p w14:paraId="75071BB9"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 xml:space="preserve">Climate Change and health training modules and curriculum for the Environmental Health training programme at the National Institute of Health </w:t>
            </w:r>
          </w:p>
        </w:tc>
        <w:tc>
          <w:tcPr>
            <w:tcW w:w="2075" w:type="dxa"/>
          </w:tcPr>
          <w:p w14:paraId="75071BBA"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Draft under finalization</w:t>
            </w:r>
          </w:p>
        </w:tc>
        <w:tc>
          <w:tcPr>
            <w:tcW w:w="2231" w:type="dxa"/>
          </w:tcPr>
          <w:p w14:paraId="75071BBB"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2022</w:t>
            </w:r>
          </w:p>
        </w:tc>
        <w:tc>
          <w:tcPr>
            <w:tcW w:w="3439" w:type="dxa"/>
          </w:tcPr>
          <w:p w14:paraId="75071BBC"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w:t>
            </w:r>
          </w:p>
        </w:tc>
      </w:tr>
      <w:tr w:rsidR="006F250C" w:rsidRPr="006F250C" w14:paraId="75071BC3" w14:textId="77777777" w:rsidTr="001071B4">
        <w:trPr>
          <w:trHeight w:val="300"/>
        </w:trPr>
        <w:tc>
          <w:tcPr>
            <w:tcW w:w="4370" w:type="dxa"/>
          </w:tcPr>
          <w:p w14:paraId="75071BBE" w14:textId="77777777" w:rsidR="002B060A" w:rsidRPr="006F250C" w:rsidRDefault="002B060A" w:rsidP="00C07A0A">
            <w:pPr>
              <w:rPr>
                <w:rFonts w:ascii="Calibri" w:hAnsi="Calibri" w:cs="Calibri"/>
              </w:rPr>
            </w:pPr>
          </w:p>
        </w:tc>
        <w:tc>
          <w:tcPr>
            <w:tcW w:w="4370" w:type="dxa"/>
          </w:tcPr>
          <w:p w14:paraId="75071BBF" w14:textId="77777777" w:rsidR="002B060A" w:rsidRPr="006F250C" w:rsidRDefault="006040A7" w:rsidP="00C07A0A">
            <w:pPr>
              <w:tabs>
                <w:tab w:val="left" w:pos="1698"/>
              </w:tabs>
              <w:rPr>
                <w:rFonts w:ascii="Calibri" w:hAnsi="Calibri" w:cs="Calibri"/>
                <w:sz w:val="20"/>
                <w:szCs w:val="20"/>
              </w:rPr>
            </w:pPr>
            <w:r w:rsidRPr="006F250C">
              <w:rPr>
                <w:rFonts w:ascii="Calibri" w:hAnsi="Calibri" w:cs="Calibri"/>
                <w:sz w:val="20"/>
                <w:szCs w:val="20"/>
              </w:rPr>
              <w:t>Training modules and curriculum for water and climate resilience for health</w:t>
            </w:r>
          </w:p>
        </w:tc>
        <w:tc>
          <w:tcPr>
            <w:tcW w:w="2075" w:type="dxa"/>
          </w:tcPr>
          <w:p w14:paraId="75071BC0"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 draft for approval</w:t>
            </w:r>
          </w:p>
        </w:tc>
        <w:tc>
          <w:tcPr>
            <w:tcW w:w="2231" w:type="dxa"/>
          </w:tcPr>
          <w:p w14:paraId="75071BC1"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2022</w:t>
            </w:r>
          </w:p>
        </w:tc>
        <w:tc>
          <w:tcPr>
            <w:tcW w:w="3439" w:type="dxa"/>
          </w:tcPr>
          <w:p w14:paraId="75071BC2"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3</w:t>
            </w:r>
          </w:p>
        </w:tc>
      </w:tr>
      <w:tr w:rsidR="006F250C" w:rsidRPr="006F250C" w14:paraId="75071BC9" w14:textId="77777777" w:rsidTr="001071B4">
        <w:trPr>
          <w:trHeight w:val="300"/>
        </w:trPr>
        <w:tc>
          <w:tcPr>
            <w:tcW w:w="4370" w:type="dxa"/>
          </w:tcPr>
          <w:p w14:paraId="75071BC4" w14:textId="77777777" w:rsidR="002B060A" w:rsidRPr="006F250C" w:rsidRDefault="002B060A" w:rsidP="00C07A0A">
            <w:pPr>
              <w:rPr>
                <w:rFonts w:ascii="Calibri" w:hAnsi="Calibri" w:cs="Calibri"/>
              </w:rPr>
            </w:pPr>
          </w:p>
        </w:tc>
        <w:tc>
          <w:tcPr>
            <w:tcW w:w="4370" w:type="dxa"/>
          </w:tcPr>
          <w:p w14:paraId="75071BC5"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 xml:space="preserve">CR-WSP training manual.  </w:t>
            </w:r>
          </w:p>
        </w:tc>
        <w:tc>
          <w:tcPr>
            <w:tcW w:w="2075" w:type="dxa"/>
          </w:tcPr>
          <w:p w14:paraId="75071BC6"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w:t>
            </w:r>
          </w:p>
        </w:tc>
        <w:tc>
          <w:tcPr>
            <w:tcW w:w="2231" w:type="dxa"/>
          </w:tcPr>
          <w:p w14:paraId="75071BC7"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2022</w:t>
            </w:r>
          </w:p>
        </w:tc>
        <w:tc>
          <w:tcPr>
            <w:tcW w:w="3439" w:type="dxa"/>
          </w:tcPr>
          <w:p w14:paraId="75071BC8"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3</w:t>
            </w:r>
          </w:p>
        </w:tc>
      </w:tr>
      <w:tr w:rsidR="006F250C" w:rsidRPr="006F250C" w14:paraId="75071BCF" w14:textId="77777777" w:rsidTr="001071B4">
        <w:trPr>
          <w:trHeight w:val="300"/>
        </w:trPr>
        <w:tc>
          <w:tcPr>
            <w:tcW w:w="4370" w:type="dxa"/>
          </w:tcPr>
          <w:p w14:paraId="75071BCA" w14:textId="77777777" w:rsidR="002B060A" w:rsidRPr="006F250C" w:rsidRDefault="002B060A" w:rsidP="00C07A0A">
            <w:pPr>
              <w:rPr>
                <w:rFonts w:ascii="Calibri" w:hAnsi="Calibri" w:cs="Calibri"/>
              </w:rPr>
            </w:pPr>
          </w:p>
        </w:tc>
        <w:tc>
          <w:tcPr>
            <w:tcW w:w="4370" w:type="dxa"/>
          </w:tcPr>
          <w:p w14:paraId="75071BCB"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Climate Resilient and Environmentally Sustainable  Health Care Facilities Policy and Strategy for Timor-Leste</w:t>
            </w:r>
          </w:p>
        </w:tc>
        <w:tc>
          <w:tcPr>
            <w:tcW w:w="2075" w:type="dxa"/>
          </w:tcPr>
          <w:p w14:paraId="75071BCC"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 xml:space="preserve">Final draft in place and stakeholder consultation completed </w:t>
            </w:r>
          </w:p>
        </w:tc>
        <w:tc>
          <w:tcPr>
            <w:tcW w:w="2231" w:type="dxa"/>
          </w:tcPr>
          <w:p w14:paraId="75071BCD"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2023</w:t>
            </w:r>
          </w:p>
        </w:tc>
        <w:tc>
          <w:tcPr>
            <w:tcW w:w="3439" w:type="dxa"/>
          </w:tcPr>
          <w:p w14:paraId="75071BCE"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1,2,3</w:t>
            </w:r>
          </w:p>
        </w:tc>
      </w:tr>
      <w:tr w:rsidR="006F250C" w:rsidRPr="006F250C" w14:paraId="75071BD5" w14:textId="77777777" w:rsidTr="001071B4">
        <w:trPr>
          <w:trHeight w:val="300"/>
        </w:trPr>
        <w:tc>
          <w:tcPr>
            <w:tcW w:w="4370" w:type="dxa"/>
          </w:tcPr>
          <w:p w14:paraId="75071BD0" w14:textId="77777777" w:rsidR="002B060A" w:rsidRPr="006F250C" w:rsidRDefault="002B060A" w:rsidP="00C07A0A">
            <w:pPr>
              <w:rPr>
                <w:rFonts w:ascii="Calibri" w:hAnsi="Calibri" w:cs="Calibri"/>
              </w:rPr>
            </w:pPr>
          </w:p>
        </w:tc>
        <w:tc>
          <w:tcPr>
            <w:tcW w:w="4370" w:type="dxa"/>
          </w:tcPr>
          <w:p w14:paraId="75071BD1"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National Health Care Waste Management Policy, National Health Care Waste Management Strategy and reviewing existing National Guidelines of HCWM</w:t>
            </w:r>
          </w:p>
        </w:tc>
        <w:tc>
          <w:tcPr>
            <w:tcW w:w="2075" w:type="dxa"/>
          </w:tcPr>
          <w:p w14:paraId="75071BD2" w14:textId="77777777" w:rsidR="002B060A" w:rsidRPr="006F250C" w:rsidRDefault="006040A7" w:rsidP="00C07A0A">
            <w:pPr>
              <w:rPr>
                <w:rFonts w:ascii="Calibri" w:hAnsi="Calibri" w:cs="Calibri"/>
                <w:sz w:val="20"/>
                <w:szCs w:val="20"/>
                <w:highlight w:val="green"/>
              </w:rPr>
            </w:pPr>
            <w:r w:rsidRPr="006F250C">
              <w:rPr>
                <w:rFonts w:ascii="Calibri" w:hAnsi="Calibri" w:cs="Calibri"/>
                <w:sz w:val="20"/>
                <w:szCs w:val="20"/>
              </w:rPr>
              <w:t xml:space="preserve">Drafted and final stakeholder consultation completed </w:t>
            </w:r>
          </w:p>
        </w:tc>
        <w:tc>
          <w:tcPr>
            <w:tcW w:w="2231" w:type="dxa"/>
          </w:tcPr>
          <w:p w14:paraId="75071BD3"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2023</w:t>
            </w:r>
          </w:p>
        </w:tc>
        <w:tc>
          <w:tcPr>
            <w:tcW w:w="3439" w:type="dxa"/>
          </w:tcPr>
          <w:p w14:paraId="75071BD4"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1,3</w:t>
            </w:r>
          </w:p>
        </w:tc>
      </w:tr>
      <w:tr w:rsidR="006F250C" w:rsidRPr="006F250C" w14:paraId="75071BDB" w14:textId="77777777" w:rsidTr="001071B4">
        <w:trPr>
          <w:trHeight w:val="300"/>
        </w:trPr>
        <w:tc>
          <w:tcPr>
            <w:tcW w:w="4370" w:type="dxa"/>
          </w:tcPr>
          <w:p w14:paraId="75071BD6" w14:textId="77777777" w:rsidR="002B060A" w:rsidRPr="006F250C" w:rsidRDefault="002B060A" w:rsidP="00C07A0A">
            <w:pPr>
              <w:rPr>
                <w:rFonts w:ascii="Calibri" w:hAnsi="Calibri" w:cs="Calibri"/>
              </w:rPr>
            </w:pPr>
          </w:p>
        </w:tc>
        <w:tc>
          <w:tcPr>
            <w:tcW w:w="4370" w:type="dxa"/>
          </w:tcPr>
          <w:p w14:paraId="75071BD7" w14:textId="77777777" w:rsidR="002B060A" w:rsidRPr="006F250C" w:rsidRDefault="006040A7" w:rsidP="00C07A0A">
            <w:pPr>
              <w:rPr>
                <w:rFonts w:ascii="Calibri" w:hAnsi="Calibri" w:cs="Calibri"/>
                <w:sz w:val="20"/>
                <w:szCs w:val="20"/>
              </w:rPr>
            </w:pPr>
            <w:r w:rsidRPr="006F250C">
              <w:rPr>
                <w:rFonts w:ascii="Calibri" w:hAnsi="Calibri" w:cs="Calibri"/>
                <w:sz w:val="20"/>
                <w:szCs w:val="20"/>
                <w:lang w:val="en-ID"/>
              </w:rPr>
              <w:t>Standard Operational Procedures (SOP) for</w:t>
            </w:r>
            <w:r w:rsidRPr="006F250C">
              <w:rPr>
                <w:rFonts w:ascii="Calibri" w:hAnsi="Calibri" w:cs="Calibri"/>
                <w:sz w:val="20"/>
                <w:szCs w:val="20"/>
              </w:rPr>
              <w:t xml:space="preserve"> Toxicology Water Environment Lab Analysis </w:t>
            </w:r>
          </w:p>
        </w:tc>
        <w:tc>
          <w:tcPr>
            <w:tcW w:w="2075" w:type="dxa"/>
          </w:tcPr>
          <w:p w14:paraId="75071BD8" w14:textId="77777777" w:rsidR="002B060A" w:rsidRPr="006F250C" w:rsidRDefault="006040A7" w:rsidP="00C07A0A">
            <w:pPr>
              <w:rPr>
                <w:rFonts w:ascii="Calibri" w:hAnsi="Calibri" w:cs="Calibri"/>
                <w:sz w:val="20"/>
                <w:szCs w:val="20"/>
                <w:highlight w:val="green"/>
              </w:rPr>
            </w:pPr>
            <w:r w:rsidRPr="006F250C">
              <w:rPr>
                <w:rFonts w:ascii="Calibri" w:hAnsi="Calibri" w:cs="Calibri"/>
                <w:sz w:val="20"/>
                <w:szCs w:val="20"/>
              </w:rPr>
              <w:t>Final</w:t>
            </w:r>
          </w:p>
        </w:tc>
        <w:tc>
          <w:tcPr>
            <w:tcW w:w="2231" w:type="dxa"/>
          </w:tcPr>
          <w:p w14:paraId="75071BD9"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2022-2023</w:t>
            </w:r>
          </w:p>
        </w:tc>
        <w:tc>
          <w:tcPr>
            <w:tcW w:w="3439" w:type="dxa"/>
          </w:tcPr>
          <w:p w14:paraId="75071BDA"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1,3</w:t>
            </w:r>
          </w:p>
        </w:tc>
      </w:tr>
      <w:tr w:rsidR="006F250C" w:rsidRPr="006F250C" w14:paraId="75071BE1" w14:textId="77777777" w:rsidTr="001071B4">
        <w:trPr>
          <w:trHeight w:val="300"/>
        </w:trPr>
        <w:tc>
          <w:tcPr>
            <w:tcW w:w="4370" w:type="dxa"/>
          </w:tcPr>
          <w:p w14:paraId="75071BDC" w14:textId="77777777" w:rsidR="002B060A" w:rsidRPr="006F250C" w:rsidRDefault="002B060A" w:rsidP="00C07A0A">
            <w:pPr>
              <w:rPr>
                <w:rFonts w:ascii="Calibri" w:hAnsi="Calibri" w:cs="Calibri"/>
              </w:rPr>
            </w:pPr>
          </w:p>
        </w:tc>
        <w:tc>
          <w:tcPr>
            <w:tcW w:w="4370" w:type="dxa"/>
          </w:tcPr>
          <w:p w14:paraId="75071BDD" w14:textId="77777777" w:rsidR="002B060A" w:rsidRPr="006F250C" w:rsidRDefault="006040A7" w:rsidP="00C07A0A">
            <w:pPr>
              <w:rPr>
                <w:rFonts w:ascii="Calibri" w:hAnsi="Calibri" w:cs="Calibri"/>
                <w:sz w:val="20"/>
                <w:szCs w:val="20"/>
                <w:lang w:val="en-ID"/>
              </w:rPr>
            </w:pPr>
            <w:r w:rsidRPr="006F250C">
              <w:rPr>
                <w:rFonts w:ascii="Calibri" w:hAnsi="Calibri" w:cs="Calibri"/>
                <w:sz w:val="20"/>
                <w:szCs w:val="20"/>
                <w:lang w:val="en-ID"/>
              </w:rPr>
              <w:t xml:space="preserve">SOP for climate resilient health care waste management - Waste segregation, internal waste collection and transport and waste storage  </w:t>
            </w:r>
          </w:p>
        </w:tc>
        <w:tc>
          <w:tcPr>
            <w:tcW w:w="2075" w:type="dxa"/>
          </w:tcPr>
          <w:p w14:paraId="75071BDE"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Final</w:t>
            </w:r>
          </w:p>
        </w:tc>
        <w:tc>
          <w:tcPr>
            <w:tcW w:w="2231" w:type="dxa"/>
          </w:tcPr>
          <w:p w14:paraId="75071BDF" w14:textId="77777777" w:rsidR="002B060A" w:rsidRPr="006F250C" w:rsidRDefault="006040A7" w:rsidP="00C07A0A">
            <w:pPr>
              <w:rPr>
                <w:rFonts w:ascii="Calibri" w:hAnsi="Calibri" w:cs="Calibri"/>
                <w:sz w:val="20"/>
                <w:szCs w:val="20"/>
              </w:rPr>
            </w:pPr>
            <w:r w:rsidRPr="006F250C">
              <w:rPr>
                <w:rFonts w:ascii="Calibri" w:hAnsi="Calibri" w:cs="Calibri"/>
                <w:sz w:val="20"/>
                <w:szCs w:val="20"/>
              </w:rPr>
              <w:t>July 2023</w:t>
            </w:r>
          </w:p>
        </w:tc>
        <w:tc>
          <w:tcPr>
            <w:tcW w:w="3439" w:type="dxa"/>
          </w:tcPr>
          <w:p w14:paraId="75071BE0" w14:textId="77777777" w:rsidR="002B060A" w:rsidRPr="006F250C" w:rsidRDefault="006040A7" w:rsidP="00C07A0A">
            <w:pPr>
              <w:jc w:val="center"/>
              <w:rPr>
                <w:rFonts w:ascii="Calibri" w:hAnsi="Calibri" w:cs="Calibri"/>
                <w:sz w:val="20"/>
                <w:szCs w:val="20"/>
              </w:rPr>
            </w:pPr>
            <w:r w:rsidRPr="006F250C">
              <w:rPr>
                <w:rFonts w:ascii="Calibri" w:hAnsi="Calibri" w:cs="Calibri"/>
                <w:sz w:val="20"/>
                <w:szCs w:val="20"/>
              </w:rPr>
              <w:t>3</w:t>
            </w:r>
          </w:p>
        </w:tc>
      </w:tr>
    </w:tbl>
    <w:p w14:paraId="75071BE2" w14:textId="77777777" w:rsidR="002B060A" w:rsidRDefault="002B060A" w:rsidP="00C07A0A">
      <w:pPr>
        <w:rPr>
          <w:rFonts w:ascii="Calibri" w:hAnsi="Calibri" w:cs="Calibri"/>
        </w:rPr>
      </w:pPr>
    </w:p>
    <w:p w14:paraId="75071BE3" w14:textId="77777777" w:rsidR="002B060A" w:rsidRDefault="002B060A" w:rsidP="00C07A0A">
      <w:pPr>
        <w:rPr>
          <w:rFonts w:ascii="Calibri" w:hAnsi="Calibri" w:cs="Calibri"/>
        </w:rPr>
      </w:pPr>
    </w:p>
    <w:p w14:paraId="75071BE4" w14:textId="77777777" w:rsidR="002B060A" w:rsidRDefault="002B060A" w:rsidP="00C07A0A">
      <w:pPr>
        <w:rPr>
          <w:rFonts w:ascii="Calibri" w:hAnsi="Calibri" w:cs="Calibri"/>
        </w:rPr>
      </w:pPr>
    </w:p>
    <w:p w14:paraId="75071BE5" w14:textId="77777777" w:rsidR="002B060A" w:rsidRDefault="002B060A" w:rsidP="00C07A0A">
      <w:pPr>
        <w:rPr>
          <w:rFonts w:ascii="Calibri" w:hAnsi="Calibri" w:cs="Calibri"/>
        </w:rPr>
      </w:pPr>
    </w:p>
    <w:p w14:paraId="75071BE6" w14:textId="77777777" w:rsidR="002B060A" w:rsidRDefault="002B060A" w:rsidP="00C07A0A">
      <w:pPr>
        <w:rPr>
          <w:rFonts w:ascii="Calibri" w:hAnsi="Calibri" w:cs="Calibri"/>
        </w:rPr>
      </w:pPr>
    </w:p>
    <w:p w14:paraId="75071BE7" w14:textId="77777777" w:rsidR="002B060A" w:rsidRDefault="002B060A" w:rsidP="00C07A0A">
      <w:pPr>
        <w:rPr>
          <w:rFonts w:ascii="Calibri" w:hAnsi="Calibri" w:cs="Calibri"/>
        </w:rPr>
      </w:pPr>
    </w:p>
    <w:p w14:paraId="75071BE8" w14:textId="77777777" w:rsidR="002B060A" w:rsidRDefault="002B060A" w:rsidP="00C07A0A">
      <w:pPr>
        <w:rPr>
          <w:rFonts w:ascii="Calibri" w:hAnsi="Calibri" w:cs="Calibri"/>
        </w:rPr>
      </w:pPr>
    </w:p>
    <w:p w14:paraId="75071BE9" w14:textId="77777777" w:rsidR="002B060A" w:rsidRDefault="002B060A" w:rsidP="00C07A0A">
      <w:pPr>
        <w:rPr>
          <w:rFonts w:ascii="Calibri" w:hAnsi="Calibri" w:cs="Calibri"/>
        </w:rPr>
      </w:pPr>
    </w:p>
    <w:p w14:paraId="75071BEA" w14:textId="77777777" w:rsidR="002B060A" w:rsidRDefault="002B060A" w:rsidP="00C07A0A">
      <w:pPr>
        <w:rPr>
          <w:rFonts w:ascii="Calibri" w:hAnsi="Calibri" w:cs="Calibri"/>
        </w:rPr>
      </w:pPr>
    </w:p>
    <w:p w14:paraId="75071BEB" w14:textId="77777777" w:rsidR="002B060A" w:rsidRDefault="002B060A" w:rsidP="00C07A0A">
      <w:pPr>
        <w:rPr>
          <w:rFonts w:ascii="Calibri" w:hAnsi="Calibri" w:cs="Calibri"/>
        </w:rPr>
      </w:pPr>
    </w:p>
    <w:p w14:paraId="75071BEC" w14:textId="77777777" w:rsidR="002B060A" w:rsidRDefault="002B060A" w:rsidP="00C07A0A">
      <w:pPr>
        <w:rPr>
          <w:rFonts w:ascii="Calibri" w:hAnsi="Calibri" w:cs="Calibri"/>
        </w:rPr>
      </w:pPr>
    </w:p>
    <w:p w14:paraId="75071BED" w14:textId="77777777" w:rsidR="002B060A" w:rsidRDefault="006040A7" w:rsidP="00C07A0A">
      <w:pPr>
        <w:rPr>
          <w:rFonts w:ascii="Calibri" w:eastAsiaTheme="majorEastAsia" w:hAnsi="Calibri" w:cs="Calibri"/>
          <w:color w:val="0F4761" w:themeColor="accent1" w:themeShade="BF"/>
          <w:kern w:val="2"/>
          <w:sz w:val="40"/>
          <w:szCs w:val="40"/>
          <w:lang w:eastAsia="en-US"/>
          <w14:ligatures w14:val="standardContextual"/>
        </w:rPr>
      </w:pPr>
      <w:r w:rsidRPr="00CB0E8D">
        <w:rPr>
          <w:rFonts w:ascii="Calibri" w:hAnsi="Calibri"/>
        </w:rPr>
        <w:br w:type="page"/>
      </w:r>
    </w:p>
    <w:p w14:paraId="75071BEE" w14:textId="77777777" w:rsidR="002B060A" w:rsidRDefault="006040A7" w:rsidP="00C07A0A">
      <w:pPr>
        <w:pStyle w:val="Heading1"/>
        <w:rPr>
          <w:rFonts w:ascii="Calibri" w:hAnsi="Calibri" w:cs="Calibri"/>
        </w:rPr>
      </w:pPr>
      <w:bookmarkStart w:id="44" w:name="_Toc173429995"/>
      <w:r>
        <w:rPr>
          <w:rFonts w:ascii="Calibri" w:hAnsi="Calibri" w:cs="Calibri"/>
        </w:rPr>
        <w:lastRenderedPageBreak/>
        <w:t>List of Annexes</w:t>
      </w:r>
      <w:bookmarkEnd w:id="44"/>
      <w:r>
        <w:rPr>
          <w:rFonts w:ascii="Calibri" w:hAnsi="Calibri" w:cs="Calibri"/>
        </w:rPr>
        <w:t xml:space="preserve"> </w:t>
      </w:r>
    </w:p>
    <w:p w14:paraId="75071BEF" w14:textId="77777777" w:rsidR="002B060A" w:rsidRDefault="002B060A" w:rsidP="00C07A0A">
      <w:pPr>
        <w:pStyle w:val="paragraph"/>
        <w:suppressAutoHyphens/>
        <w:spacing w:before="0" w:beforeAutospacing="0" w:after="0" w:afterAutospacing="0"/>
        <w:textAlignment w:val="baseline"/>
        <w:rPr>
          <w:rFonts w:ascii="Calibri" w:hAnsi="Calibri" w:cs="Calibri"/>
        </w:rPr>
      </w:pPr>
    </w:p>
    <w:p w14:paraId="75071BF0" w14:textId="77777777" w:rsidR="002B060A" w:rsidRDefault="006040A7" w:rsidP="00C07A0A">
      <w:pPr>
        <w:pStyle w:val="Heading2"/>
        <w:numPr>
          <w:ilvl w:val="0"/>
          <w:numId w:val="30"/>
        </w:numPr>
        <w:rPr>
          <w:rFonts w:ascii="Calibri" w:hAnsi="Calibri" w:cs="Calibri"/>
          <w:sz w:val="24"/>
          <w:szCs w:val="24"/>
        </w:rPr>
      </w:pPr>
      <w:bookmarkStart w:id="45" w:name="_Toc173429996"/>
      <w:r>
        <w:rPr>
          <w:rFonts w:ascii="Calibri" w:hAnsi="Calibri" w:cs="Calibri"/>
          <w:sz w:val="24"/>
          <w:szCs w:val="24"/>
        </w:rPr>
        <w:t>Annex A: GEF UNDP Project Results Framework</w:t>
      </w:r>
      <w:bookmarkEnd w:id="45"/>
    </w:p>
    <w:p w14:paraId="75071BF1" w14:textId="77777777" w:rsidR="002B060A" w:rsidRDefault="006040A7" w:rsidP="00C07A0A">
      <w:pPr>
        <w:pStyle w:val="Heading2"/>
        <w:numPr>
          <w:ilvl w:val="0"/>
          <w:numId w:val="30"/>
        </w:numPr>
        <w:rPr>
          <w:rFonts w:ascii="Calibri" w:hAnsi="Calibri" w:cs="Calibri"/>
          <w:sz w:val="24"/>
          <w:szCs w:val="24"/>
        </w:rPr>
      </w:pPr>
      <w:bookmarkStart w:id="46" w:name="_Toc173429997"/>
      <w:r>
        <w:rPr>
          <w:rFonts w:ascii="Calibri" w:hAnsi="Calibri" w:cs="Calibri"/>
          <w:sz w:val="24"/>
          <w:szCs w:val="24"/>
        </w:rPr>
        <w:t>Annex B: UNDP GEF TE Terms of Reference</w:t>
      </w:r>
      <w:bookmarkEnd w:id="46"/>
    </w:p>
    <w:p w14:paraId="75071BF2" w14:textId="77777777" w:rsidR="002B060A" w:rsidRDefault="006040A7" w:rsidP="00C07A0A">
      <w:pPr>
        <w:pStyle w:val="Heading2"/>
        <w:numPr>
          <w:ilvl w:val="0"/>
          <w:numId w:val="30"/>
        </w:numPr>
        <w:rPr>
          <w:rFonts w:ascii="Calibri" w:hAnsi="Calibri" w:cs="Calibri"/>
          <w:sz w:val="24"/>
          <w:szCs w:val="24"/>
        </w:rPr>
      </w:pPr>
      <w:bookmarkStart w:id="47" w:name="_Toc173429998"/>
      <w:r>
        <w:rPr>
          <w:rFonts w:ascii="Calibri" w:hAnsi="Calibri" w:cs="Calibri"/>
          <w:sz w:val="24"/>
          <w:szCs w:val="24"/>
        </w:rPr>
        <w:t>Annex C: Inception Report</w:t>
      </w:r>
      <w:bookmarkEnd w:id="47"/>
    </w:p>
    <w:p w14:paraId="75071BF3" w14:textId="77777777" w:rsidR="002B060A" w:rsidRDefault="006040A7" w:rsidP="00C07A0A">
      <w:pPr>
        <w:pStyle w:val="Heading2"/>
        <w:numPr>
          <w:ilvl w:val="0"/>
          <w:numId w:val="30"/>
        </w:numPr>
        <w:rPr>
          <w:rFonts w:ascii="Calibri" w:hAnsi="Calibri" w:cs="Calibri"/>
          <w:sz w:val="24"/>
          <w:szCs w:val="24"/>
        </w:rPr>
      </w:pPr>
      <w:bookmarkStart w:id="48" w:name="_Toc173429999"/>
      <w:r>
        <w:rPr>
          <w:rFonts w:ascii="Calibri" w:hAnsi="Calibri" w:cs="Calibri"/>
          <w:sz w:val="24"/>
          <w:szCs w:val="24"/>
        </w:rPr>
        <w:t>Annex D: Interview Guide and note taking template</w:t>
      </w:r>
      <w:bookmarkEnd w:id="48"/>
    </w:p>
    <w:p w14:paraId="75071BF4" w14:textId="77777777" w:rsidR="002B060A" w:rsidRDefault="006040A7" w:rsidP="00C07A0A">
      <w:pPr>
        <w:pStyle w:val="Heading2"/>
        <w:numPr>
          <w:ilvl w:val="0"/>
          <w:numId w:val="30"/>
        </w:numPr>
        <w:rPr>
          <w:rFonts w:ascii="Calibri" w:hAnsi="Calibri" w:cs="Calibri"/>
          <w:sz w:val="24"/>
          <w:szCs w:val="24"/>
        </w:rPr>
      </w:pPr>
      <w:bookmarkStart w:id="49" w:name="_Toc173430000"/>
      <w:r>
        <w:rPr>
          <w:rFonts w:ascii="Calibri" w:hAnsi="Calibri" w:cs="Calibri"/>
          <w:sz w:val="24"/>
          <w:szCs w:val="24"/>
        </w:rPr>
        <w:t>Annex E: Consent Form</w:t>
      </w:r>
      <w:bookmarkEnd w:id="49"/>
      <w:r>
        <w:rPr>
          <w:rFonts w:ascii="Calibri" w:hAnsi="Calibri" w:cs="Calibri"/>
          <w:sz w:val="24"/>
          <w:szCs w:val="24"/>
        </w:rPr>
        <w:t xml:space="preserve"> </w:t>
      </w:r>
    </w:p>
    <w:p w14:paraId="75071BF5" w14:textId="77777777" w:rsidR="002B060A" w:rsidRDefault="006040A7" w:rsidP="00C07A0A">
      <w:pPr>
        <w:pStyle w:val="Heading2"/>
        <w:numPr>
          <w:ilvl w:val="0"/>
          <w:numId w:val="30"/>
        </w:numPr>
        <w:rPr>
          <w:rStyle w:val="normaltextrun"/>
          <w:rFonts w:ascii="Calibri" w:hAnsi="Calibri" w:cs="Calibri"/>
          <w:color w:val="000000"/>
          <w:sz w:val="20"/>
          <w:szCs w:val="20"/>
        </w:rPr>
      </w:pPr>
      <w:bookmarkStart w:id="50" w:name="_Toc173430001"/>
      <w:r>
        <w:rPr>
          <w:rFonts w:ascii="Calibri" w:hAnsi="Calibri" w:cs="Calibri"/>
          <w:sz w:val="24"/>
          <w:szCs w:val="24"/>
        </w:rPr>
        <w:t>Annex F: Plain Language Statement</w:t>
      </w:r>
      <w:bookmarkEnd w:id="50"/>
    </w:p>
    <w:p w14:paraId="75071BF6" w14:textId="77777777" w:rsidR="002B060A" w:rsidRDefault="002B060A" w:rsidP="00C07A0A">
      <w:pPr>
        <w:pStyle w:val="paragraph"/>
        <w:suppressAutoHyphens/>
        <w:spacing w:before="0" w:beforeAutospacing="0" w:after="0" w:afterAutospacing="0"/>
        <w:textAlignment w:val="baseline"/>
        <w:rPr>
          <w:rStyle w:val="normaltextrun"/>
          <w:rFonts w:ascii="Calibri" w:eastAsiaTheme="majorEastAsia" w:hAnsi="Calibri" w:cs="Calibri"/>
          <w:color w:val="000000"/>
          <w:sz w:val="20"/>
          <w:szCs w:val="20"/>
        </w:rPr>
      </w:pPr>
    </w:p>
    <w:p w14:paraId="75071BF7" w14:textId="77777777" w:rsidR="002B060A" w:rsidRDefault="002B060A" w:rsidP="00C07A0A">
      <w:pPr>
        <w:pStyle w:val="paragraph"/>
        <w:suppressAutoHyphens/>
        <w:spacing w:before="0" w:beforeAutospacing="0" w:after="0" w:afterAutospacing="0"/>
        <w:textAlignment w:val="baseline"/>
        <w:rPr>
          <w:rStyle w:val="normaltextrun"/>
          <w:rFonts w:ascii="Calibri" w:eastAsiaTheme="majorEastAsia" w:hAnsi="Calibri" w:cs="Calibri"/>
          <w:color w:val="000000"/>
          <w:sz w:val="20"/>
          <w:szCs w:val="20"/>
        </w:rPr>
      </w:pPr>
    </w:p>
    <w:p w14:paraId="75071BF8" w14:textId="77777777" w:rsidR="002B060A" w:rsidRDefault="006040A7" w:rsidP="00C07A0A">
      <w:pPr>
        <w:pStyle w:val="paragraph"/>
        <w:suppressAutoHyphens/>
        <w:spacing w:before="0" w:beforeAutospacing="0" w:after="0" w:afterAutospacing="0"/>
        <w:textAlignment w:val="baseline"/>
        <w:rPr>
          <w:rFonts w:ascii="Calibri" w:hAnsi="Calibri" w:cs="Calibri"/>
          <w:sz w:val="18"/>
          <w:szCs w:val="18"/>
        </w:rPr>
      </w:pPr>
      <w:r>
        <w:rPr>
          <w:rStyle w:val="eop"/>
          <w:rFonts w:ascii="Calibri" w:eastAsiaTheme="majorEastAsia" w:hAnsi="Calibri" w:cs="Calibri"/>
          <w:color w:val="094183"/>
        </w:rPr>
        <w:t> </w:t>
      </w:r>
    </w:p>
    <w:p w14:paraId="75071BF9" w14:textId="77777777" w:rsidR="002B060A" w:rsidRDefault="006040A7" w:rsidP="00C07A0A">
      <w:pPr>
        <w:pStyle w:val="paragraph"/>
        <w:suppressAutoHyphens/>
        <w:spacing w:before="0" w:beforeAutospacing="0" w:after="0" w:afterAutospacing="0"/>
        <w:textAlignment w:val="baseline"/>
        <w:rPr>
          <w:rFonts w:ascii="Calibri" w:hAnsi="Calibri" w:cs="Calibri"/>
          <w:sz w:val="18"/>
          <w:szCs w:val="18"/>
        </w:rPr>
      </w:pPr>
      <w:r>
        <w:rPr>
          <w:rStyle w:val="eop"/>
          <w:rFonts w:ascii="Calibri" w:eastAsiaTheme="majorEastAsia" w:hAnsi="Calibri" w:cs="Calibri"/>
          <w:color w:val="094183"/>
        </w:rPr>
        <w:t> </w:t>
      </w:r>
    </w:p>
    <w:p w14:paraId="75071BFA" w14:textId="77777777" w:rsidR="002B060A" w:rsidRDefault="006040A7" w:rsidP="00C07A0A">
      <w:pPr>
        <w:pStyle w:val="paragraph"/>
        <w:suppressAutoHyphens/>
        <w:spacing w:before="0" w:beforeAutospacing="0" w:after="0" w:afterAutospacing="0"/>
        <w:textAlignment w:val="baseline"/>
        <w:rPr>
          <w:rFonts w:ascii="Calibri" w:hAnsi="Calibri" w:cs="Calibri"/>
          <w:sz w:val="18"/>
          <w:szCs w:val="18"/>
        </w:rPr>
      </w:pPr>
      <w:r>
        <w:rPr>
          <w:rStyle w:val="eop"/>
          <w:rFonts w:ascii="Calibri" w:eastAsiaTheme="majorEastAsia" w:hAnsi="Calibri" w:cs="Calibri"/>
          <w:color w:val="094183"/>
        </w:rPr>
        <w:t> </w:t>
      </w:r>
    </w:p>
    <w:p w14:paraId="75071BFB" w14:textId="77777777" w:rsidR="002B060A" w:rsidRDefault="006040A7" w:rsidP="00C07A0A">
      <w:pPr>
        <w:pStyle w:val="paragraph"/>
        <w:suppressAutoHyphens/>
        <w:spacing w:before="0" w:beforeAutospacing="0" w:after="0" w:afterAutospacing="0"/>
        <w:textAlignment w:val="baseline"/>
        <w:rPr>
          <w:rFonts w:ascii="Calibri" w:hAnsi="Calibri" w:cs="Calibri"/>
          <w:sz w:val="18"/>
          <w:szCs w:val="18"/>
        </w:rPr>
      </w:pPr>
      <w:r>
        <w:rPr>
          <w:rStyle w:val="eop"/>
          <w:rFonts w:ascii="Calibri" w:eastAsiaTheme="majorEastAsia" w:hAnsi="Calibri" w:cs="Calibri"/>
          <w:color w:val="094183"/>
        </w:rPr>
        <w:t> </w:t>
      </w:r>
    </w:p>
    <w:p w14:paraId="75071BFC" w14:textId="77777777" w:rsidR="002B060A" w:rsidRDefault="002B060A" w:rsidP="00C07A0A">
      <w:pPr>
        <w:rPr>
          <w:rFonts w:ascii="Calibri" w:hAnsi="Calibri" w:cs="Calibri"/>
        </w:rPr>
      </w:pPr>
    </w:p>
    <w:sectPr w:rsidR="002B060A" w:rsidSect="00CB0E8D">
      <w:headerReference w:type="default" r:id="rId26"/>
      <w:footerReference w:type="default" r:id="rId27"/>
      <w:headerReference w:type="first" r:id="rId28"/>
      <w:footerReference w:type="firs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E5686" w14:textId="77777777" w:rsidR="00C53EAC" w:rsidRDefault="00C53EAC">
      <w:r>
        <w:separator/>
      </w:r>
    </w:p>
    <w:p w14:paraId="42AA3835" w14:textId="77777777" w:rsidR="00C53EAC" w:rsidRDefault="00C53EAC"/>
  </w:endnote>
  <w:endnote w:type="continuationSeparator" w:id="0">
    <w:p w14:paraId="5373393E" w14:textId="77777777" w:rsidR="00C53EAC" w:rsidRDefault="00C53EAC">
      <w:r>
        <w:continuationSeparator/>
      </w:r>
    </w:p>
    <w:p w14:paraId="0667E1D5" w14:textId="77777777" w:rsidR="00C53EAC" w:rsidRDefault="00C53EAC"/>
  </w:endnote>
  <w:endnote w:type="continuationNotice" w:id="1">
    <w:p w14:paraId="334F9D8A" w14:textId="77777777" w:rsidR="00C53EAC" w:rsidRDefault="00C53EAC"/>
    <w:p w14:paraId="105B8955" w14:textId="77777777" w:rsidR="00C53EAC" w:rsidRDefault="00C53E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istaSansAltReg">
    <w:altName w:val="Cambria"/>
    <w:charset w:val="01"/>
    <w:family w:val="roman"/>
    <w:pitch w:val="variable"/>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rPr>
      <w:id w:val="-592016345"/>
      <w:docPartObj>
        <w:docPartGallery w:val="Page Numbers (Bottom of Page)"/>
        <w:docPartUnique/>
      </w:docPartObj>
    </w:sdtPr>
    <w:sdtEndPr/>
    <w:sdtContent>
      <w:p w14:paraId="75071C49" w14:textId="562CED12" w:rsidR="002B060A" w:rsidRDefault="00263C74">
        <w:pPr>
          <w:pStyle w:val="Footer"/>
          <w:jc w:val="right"/>
          <w:rPr>
            <w:rFonts w:ascii="Calibri" w:hAnsi="Calibri" w:cs="Calibri"/>
          </w:rPr>
        </w:pPr>
        <w:r w:rsidRPr="00183A8A">
          <w:rPr>
            <w:rFonts w:ascii="Calibri" w:hAnsi="Calibri" w:cs="Calibri"/>
          </w:rPr>
          <w:fldChar w:fldCharType="begin"/>
        </w:r>
        <w:r w:rsidRPr="00183A8A">
          <w:rPr>
            <w:rFonts w:ascii="Calibri" w:hAnsi="Calibri" w:cs="Calibri"/>
          </w:rPr>
          <w:instrText xml:space="preserve"> PAGE   \* MERGEFORMAT </w:instrText>
        </w:r>
        <w:r w:rsidRPr="00183A8A">
          <w:rPr>
            <w:rFonts w:ascii="Calibri" w:hAnsi="Calibri" w:cs="Calibri"/>
          </w:rPr>
          <w:fldChar w:fldCharType="separate"/>
        </w:r>
        <w:r w:rsidRPr="00183A8A">
          <w:rPr>
            <w:rFonts w:ascii="Calibri" w:hAnsi="Calibri" w:cs="Calibri"/>
            <w:noProof/>
          </w:rPr>
          <w:t>2</w:t>
        </w:r>
        <w:r w:rsidRPr="00183A8A">
          <w:rPr>
            <w:rFonts w:ascii="Calibri" w:hAnsi="Calibri" w:cs="Calibri"/>
            <w:noProof/>
          </w:rPr>
          <w:fldChar w:fldCharType="end"/>
        </w:r>
      </w:p>
    </w:sdtContent>
  </w:sdt>
  <w:p w14:paraId="75071C4A" w14:textId="77777777" w:rsidR="002B060A" w:rsidRDefault="002B0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4C" w14:textId="2E5A3D05" w:rsidR="002B060A" w:rsidRDefault="002B060A">
    <w:pPr>
      <w:pStyle w:val="Footer"/>
      <w:jc w:val="right"/>
      <w:rPr>
        <w:rFonts w:ascii="Calibri" w:hAnsi="Calibri" w:cs="Calibri"/>
      </w:rPr>
    </w:pPr>
  </w:p>
  <w:p w14:paraId="75071C4D" w14:textId="77777777" w:rsidR="002B060A" w:rsidRDefault="002B06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CD12C" w14:textId="77777777" w:rsidR="009C7645" w:rsidRPr="00183A8A" w:rsidRDefault="009C7645" w:rsidP="00183A8A">
    <w:pPr>
      <w:pStyle w:val="Footer"/>
      <w:jc w:val="right"/>
      <w:rPr>
        <w:rFonts w:ascii="Calibri" w:hAnsi="Calibri" w:cs="Calibri"/>
      </w:rPr>
    </w:pPr>
    <w:r w:rsidRPr="00183A8A">
      <w:rPr>
        <w:rFonts w:ascii="Calibri" w:hAnsi="Calibri" w:cs="Calibri"/>
      </w:rPr>
      <w:fldChar w:fldCharType="begin"/>
    </w:r>
    <w:r w:rsidRPr="00183A8A">
      <w:rPr>
        <w:rFonts w:ascii="Calibri" w:hAnsi="Calibri" w:cs="Calibri"/>
      </w:rPr>
      <w:instrText xml:space="preserve"> PAGE   \* MERGEFORMAT </w:instrText>
    </w:r>
    <w:r w:rsidRPr="00183A8A">
      <w:rPr>
        <w:rFonts w:ascii="Calibri" w:hAnsi="Calibri" w:cs="Calibri"/>
      </w:rPr>
      <w:fldChar w:fldCharType="separate"/>
    </w:r>
    <w:r w:rsidRPr="00183A8A">
      <w:rPr>
        <w:rFonts w:ascii="Calibri" w:hAnsi="Calibri" w:cs="Calibri"/>
        <w:noProof/>
      </w:rPr>
      <w:t>2</w:t>
    </w:r>
    <w:r w:rsidRPr="00183A8A">
      <w:rPr>
        <w:rFonts w:ascii="Calibri" w:hAnsi="Calibri" w:cs="Calibri"/>
        <w:noProof/>
      </w:rPr>
      <w:fldChar w:fldCharType="end"/>
    </w:r>
  </w:p>
  <w:p w14:paraId="75071C55" w14:textId="26D61ABD" w:rsidR="002B060A" w:rsidRDefault="002B06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57" w14:textId="77777777" w:rsidR="002B060A" w:rsidRDefault="002B060A" w:rsidP="00CB0E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8AA38" w14:textId="77777777" w:rsidR="003419B5" w:rsidRPr="00183A8A" w:rsidRDefault="003419B5" w:rsidP="00183A8A">
    <w:pPr>
      <w:pStyle w:val="Footer"/>
      <w:jc w:val="right"/>
      <w:rPr>
        <w:rFonts w:ascii="Calibri" w:hAnsi="Calibri" w:cs="Calibri"/>
      </w:rPr>
    </w:pPr>
    <w:r w:rsidRPr="00183A8A">
      <w:rPr>
        <w:rFonts w:ascii="Calibri" w:hAnsi="Calibri" w:cs="Calibri"/>
      </w:rPr>
      <w:fldChar w:fldCharType="begin"/>
    </w:r>
    <w:r w:rsidRPr="00183A8A">
      <w:rPr>
        <w:rFonts w:ascii="Calibri" w:hAnsi="Calibri" w:cs="Calibri"/>
      </w:rPr>
      <w:instrText xml:space="preserve"> PAGE   \* MERGEFORMAT </w:instrText>
    </w:r>
    <w:r w:rsidRPr="00183A8A">
      <w:rPr>
        <w:rFonts w:ascii="Calibri" w:hAnsi="Calibri" w:cs="Calibri"/>
      </w:rPr>
      <w:fldChar w:fldCharType="separate"/>
    </w:r>
    <w:r w:rsidRPr="00183A8A">
      <w:rPr>
        <w:rFonts w:ascii="Calibri" w:hAnsi="Calibri" w:cs="Calibri"/>
        <w:noProof/>
      </w:rPr>
      <w:t>2</w:t>
    </w:r>
    <w:r w:rsidRPr="00183A8A">
      <w:rPr>
        <w:rFonts w:ascii="Calibri" w:hAnsi="Calibri" w:cs="Calibri"/>
        <w:noProof/>
      </w:rPr>
      <w:fldChar w:fldCharType="end"/>
    </w:r>
  </w:p>
  <w:p w14:paraId="75071C5A" w14:textId="7081A1FF" w:rsidR="002B060A" w:rsidRDefault="002B06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5C" w14:textId="77777777" w:rsidR="002B060A" w:rsidRDefault="002B060A" w:rsidP="00CB0E8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5442D" w14:textId="77777777" w:rsidR="003419B5" w:rsidRPr="00183A8A" w:rsidRDefault="003419B5" w:rsidP="00183A8A">
    <w:pPr>
      <w:pStyle w:val="Footer"/>
      <w:jc w:val="right"/>
      <w:rPr>
        <w:rFonts w:ascii="Calibri" w:hAnsi="Calibri" w:cs="Calibri"/>
      </w:rPr>
    </w:pPr>
    <w:r w:rsidRPr="00183A8A">
      <w:rPr>
        <w:rFonts w:ascii="Calibri" w:hAnsi="Calibri" w:cs="Calibri"/>
      </w:rPr>
      <w:fldChar w:fldCharType="begin"/>
    </w:r>
    <w:r w:rsidRPr="00183A8A">
      <w:rPr>
        <w:rFonts w:ascii="Calibri" w:hAnsi="Calibri" w:cs="Calibri"/>
      </w:rPr>
      <w:instrText xml:space="preserve"> PAGE   \* MERGEFORMAT </w:instrText>
    </w:r>
    <w:r w:rsidRPr="00183A8A">
      <w:rPr>
        <w:rFonts w:ascii="Calibri" w:hAnsi="Calibri" w:cs="Calibri"/>
      </w:rPr>
      <w:fldChar w:fldCharType="separate"/>
    </w:r>
    <w:r w:rsidRPr="00183A8A">
      <w:rPr>
        <w:rFonts w:ascii="Calibri" w:hAnsi="Calibri" w:cs="Calibri"/>
        <w:noProof/>
      </w:rPr>
      <w:t>2</w:t>
    </w:r>
    <w:r w:rsidRPr="00183A8A">
      <w:rPr>
        <w:rFonts w:ascii="Calibri" w:hAnsi="Calibri" w:cs="Calibri"/>
        <w:noProof/>
      </w:rPr>
      <w:fldChar w:fldCharType="end"/>
    </w:r>
  </w:p>
  <w:p w14:paraId="75071C5F" w14:textId="40CF5D69" w:rsidR="002B060A" w:rsidRDefault="002B060A">
    <w:pPr>
      <w:pStyle w:val="Footer"/>
    </w:pPr>
  </w:p>
  <w:p w14:paraId="35B680C6" w14:textId="77777777" w:rsidR="00512AA7" w:rsidRDefault="00512AA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61" w14:textId="77777777" w:rsidR="002B060A" w:rsidRDefault="002B060A" w:rsidP="00CB0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A74FD" w14:textId="77777777" w:rsidR="00C53EAC" w:rsidRPr="00CB0E8D" w:rsidRDefault="00C53EAC">
      <w:r>
        <w:separator/>
      </w:r>
    </w:p>
    <w:p w14:paraId="0F970952" w14:textId="77777777" w:rsidR="00C53EAC" w:rsidRDefault="00C53EAC"/>
  </w:footnote>
  <w:footnote w:type="continuationSeparator" w:id="0">
    <w:p w14:paraId="1FE57184" w14:textId="77777777" w:rsidR="00C53EAC" w:rsidRPr="00CB0E8D" w:rsidRDefault="00C53EAC">
      <w:r>
        <w:continuationSeparator/>
      </w:r>
    </w:p>
    <w:p w14:paraId="40408715" w14:textId="77777777" w:rsidR="00C53EAC" w:rsidRDefault="00C53EAC"/>
  </w:footnote>
  <w:footnote w:type="continuationNotice" w:id="1">
    <w:p w14:paraId="1C576F36" w14:textId="77777777" w:rsidR="00C53EAC" w:rsidRDefault="00C53EAC"/>
    <w:p w14:paraId="61523219" w14:textId="77777777" w:rsidR="00C53EAC" w:rsidRDefault="00C53EAC"/>
  </w:footnote>
  <w:footnote w:id="2">
    <w:p w14:paraId="75071C68" w14:textId="77777777" w:rsidR="002B060A" w:rsidRDefault="006040A7">
      <w:pPr>
        <w:pStyle w:val="FootnoteText"/>
        <w:rPr>
          <w:rFonts w:ascii="Calibri" w:hAnsi="Calibri" w:cs="Calibri"/>
        </w:rPr>
      </w:pPr>
      <w:r w:rsidRPr="00CB0E8D">
        <w:rPr>
          <w:rStyle w:val="FootnoteReference"/>
          <w:rFonts w:ascii="Calibri" w:hAnsi="Calibri"/>
        </w:rPr>
        <w:footnoteRef/>
      </w:r>
      <w:r>
        <w:rPr>
          <w:rFonts w:ascii="Calibri" w:hAnsi="Calibri" w:cs="Calibri"/>
        </w:rPr>
        <w:t xml:space="preserve"> Professor Ebi was a member of the mid-term review team. In her participation in this Terminal Evaluation, she retains her objectivity as an independent technical advisor and is not affiliated with the project or any of its funding and implementing partners.  </w:t>
      </w:r>
    </w:p>
  </w:footnote>
  <w:footnote w:id="3">
    <w:p w14:paraId="4DF4E0C0" w14:textId="77777777" w:rsidR="00524826" w:rsidRDefault="00524826" w:rsidP="00524826">
      <w:pPr>
        <w:pStyle w:val="FootnoteText"/>
        <w:rPr>
          <w:rStyle w:val="cf01"/>
          <w:rFonts w:ascii="Calibri" w:eastAsiaTheme="majorEastAsia" w:hAnsi="Calibri" w:cs="Calibri"/>
        </w:rPr>
      </w:pPr>
      <w:r w:rsidRPr="00CB0E8D">
        <w:rPr>
          <w:rStyle w:val="FootnoteReference"/>
          <w:rFonts w:ascii="Calibri" w:hAnsi="Calibri"/>
        </w:rPr>
        <w:footnoteRef/>
      </w:r>
      <w:r>
        <w:rPr>
          <w:rFonts w:ascii="Calibri" w:hAnsi="Calibri" w:cs="Calibri"/>
        </w:rPr>
        <w:t xml:space="preserve"> Rating system: 6=</w:t>
      </w:r>
      <w:r>
        <w:rPr>
          <w:rStyle w:val="cf01"/>
          <w:rFonts w:ascii="Calibri" w:eastAsiaTheme="majorEastAsia" w:hAnsi="Calibri" w:cs="Calibri"/>
        </w:rPr>
        <w:t>Highly Satisfactory (HS), 5=Satisfactory (S), 4=Moderately Satisfactory (MS), 3=Moderately Unsatisfactory (MU), 2=Unsatisfactory (U), 1=Highly Unsatisfactory (HU).</w:t>
      </w:r>
    </w:p>
    <w:p w14:paraId="465F03B6" w14:textId="77777777" w:rsidR="00524826" w:rsidRDefault="00524826" w:rsidP="00524826">
      <w:pPr>
        <w:pStyle w:val="FootnoteText"/>
        <w:rPr>
          <w:rFonts w:ascii="Calibri" w:eastAsiaTheme="majorEastAsia" w:hAnsi="Calibri" w:cs="Calibri"/>
          <w:sz w:val="18"/>
          <w:szCs w:val="18"/>
        </w:rPr>
      </w:pPr>
    </w:p>
  </w:footnote>
  <w:footnote w:id="4">
    <w:p w14:paraId="461E2E6A" w14:textId="77777777" w:rsidR="00524826" w:rsidRDefault="00524826" w:rsidP="00524826">
      <w:pPr>
        <w:pStyle w:val="FootnoteText"/>
      </w:pPr>
      <w:r w:rsidRPr="00CB0E8D">
        <w:rPr>
          <w:rStyle w:val="FootnoteReference"/>
        </w:rPr>
        <w:footnoteRef/>
      </w:r>
      <w:r>
        <w:t xml:space="preserve"> </w:t>
      </w:r>
      <w:r>
        <w:rPr>
          <w:rStyle w:val="cf01"/>
          <w:rFonts w:ascii="Calibri" w:eastAsiaTheme="majorEastAsia" w:hAnsi="Calibri" w:cs="Calibri"/>
        </w:rPr>
        <w:t>Sustainability is rated on a different 6-point scale: 6=Highly Likely (HL), 5-Likely (L), 4=Moderately Likely (ML), 3=Moderately Unlikely (MU), 2=Unlikely (U), 1=Highly Unlikely (HU)</w:t>
      </w:r>
    </w:p>
  </w:footnote>
  <w:footnote w:id="5">
    <w:p w14:paraId="07892946" w14:textId="77777777" w:rsidR="008111D3" w:rsidRDefault="008111D3" w:rsidP="008111D3">
      <w:pPr>
        <w:pStyle w:val="FootnoteText"/>
        <w:rPr>
          <w:rFonts w:ascii="Calibri" w:hAnsi="Calibri" w:cs="Calibri"/>
          <w:sz w:val="18"/>
          <w:szCs w:val="18"/>
        </w:rPr>
      </w:pPr>
      <w:r>
        <w:rPr>
          <w:rStyle w:val="FootnoteCharacters"/>
        </w:rPr>
        <w:footnoteRef/>
      </w:r>
      <w:r>
        <w:rPr>
          <w:rFonts w:ascii="Calibri" w:hAnsi="Calibri" w:cs="Calibri"/>
          <w:sz w:val="18"/>
          <w:szCs w:val="18"/>
        </w:rPr>
        <w:t xml:space="preserve"> UNDP, 2020, </w:t>
      </w:r>
      <w:r>
        <w:rPr>
          <w:rFonts w:ascii="Calibri" w:eastAsiaTheme="minorEastAsia" w:hAnsi="Calibri" w:cs="Calibri"/>
          <w:i/>
          <w:iCs/>
          <w:sz w:val="18"/>
          <w:szCs w:val="18"/>
        </w:rPr>
        <w:t xml:space="preserve">Guidance for Conducting Terminal Evaluations of UNDP-Supported, GEF-Financed Projects, </w:t>
      </w:r>
      <w:hyperlink r:id="rId1">
        <w:r>
          <w:rPr>
            <w:rStyle w:val="Hyperlink"/>
            <w:rFonts w:ascii="Calibri" w:eastAsiaTheme="minorEastAsia" w:hAnsi="Calibri" w:cs="Calibri"/>
            <w:sz w:val="18"/>
            <w:szCs w:val="18"/>
          </w:rPr>
          <w:t>available online</w:t>
        </w:r>
      </w:hyperlink>
      <w:r>
        <w:rPr>
          <w:rFonts w:ascii="Calibri" w:eastAsiaTheme="minorEastAsia" w:hAnsi="Calibri" w:cs="Calibri"/>
          <w:sz w:val="18"/>
          <w:szCs w:val="18"/>
        </w:rPr>
        <w:t xml:space="preserve">. </w:t>
      </w:r>
    </w:p>
  </w:footnote>
  <w:footnote w:id="6">
    <w:p w14:paraId="34012232" w14:textId="77777777" w:rsidR="008111D3" w:rsidRDefault="008111D3" w:rsidP="008111D3">
      <w:pPr>
        <w:pStyle w:val="FootnoteText"/>
        <w:rPr>
          <w:rFonts w:ascii="Calibri" w:hAnsi="Calibri" w:cs="Calibri"/>
        </w:rPr>
      </w:pPr>
      <w:r>
        <w:rPr>
          <w:rStyle w:val="FootnoteCharacters"/>
        </w:rPr>
        <w:footnoteRef/>
      </w:r>
      <w:r>
        <w:rPr>
          <w:rFonts w:ascii="Calibri" w:hAnsi="Calibri" w:cs="Calibri"/>
          <w:sz w:val="18"/>
          <w:szCs w:val="18"/>
        </w:rPr>
        <w:t xml:space="preserve"> GEF, 2023,</w:t>
      </w:r>
      <w:r>
        <w:rPr>
          <w:rFonts w:ascii="Calibri" w:eastAsiaTheme="minorEastAsia" w:hAnsi="Calibri" w:cs="Calibri"/>
          <w:i/>
          <w:iCs/>
          <w:sz w:val="18"/>
          <w:szCs w:val="18"/>
        </w:rPr>
        <w:t xml:space="preserve"> Guidelines for Conducting Terminal Evaluations of Full-Size Projects</w:t>
      </w:r>
      <w:r>
        <w:rPr>
          <w:rFonts w:ascii="Calibri" w:eastAsiaTheme="minorEastAsia" w:hAnsi="Calibri" w:cs="Calibri"/>
          <w:sz w:val="18"/>
          <w:szCs w:val="18"/>
        </w:rPr>
        <w:t xml:space="preserve">, </w:t>
      </w:r>
      <w:hyperlink r:id="rId2">
        <w:r>
          <w:rPr>
            <w:rStyle w:val="Hyperlink"/>
            <w:rFonts w:ascii="Calibri" w:eastAsiaTheme="minorEastAsia" w:hAnsi="Calibri" w:cs="Calibri"/>
            <w:sz w:val="18"/>
            <w:szCs w:val="18"/>
          </w:rPr>
          <w:t>available online</w:t>
        </w:r>
      </w:hyperlink>
      <w:r>
        <w:rPr>
          <w:rFonts w:ascii="Calibri" w:eastAsiaTheme="minorEastAsia" w:hAnsi="Calibri" w:cs="Calibri"/>
          <w:sz w:val="18"/>
          <w:szCs w:val="18"/>
        </w:rPr>
        <w:t xml:space="preserve">. </w:t>
      </w:r>
    </w:p>
  </w:footnote>
  <w:footnote w:id="7">
    <w:p w14:paraId="4F6731E8" w14:textId="77777777" w:rsidR="00F83582" w:rsidRDefault="00F83582" w:rsidP="00524826">
      <w:pPr>
        <w:pStyle w:val="FootnoteText"/>
        <w:rPr>
          <w:rStyle w:val="cf01"/>
          <w:rFonts w:ascii="Calibri" w:eastAsiaTheme="majorEastAsia" w:hAnsi="Calibri" w:cs="Calibri"/>
        </w:rPr>
      </w:pPr>
      <w:r w:rsidRPr="00CB0E8D">
        <w:rPr>
          <w:rStyle w:val="FootnoteReference"/>
          <w:rFonts w:ascii="Calibri" w:hAnsi="Calibri"/>
        </w:rPr>
        <w:footnoteRef/>
      </w:r>
      <w:r>
        <w:rPr>
          <w:rFonts w:ascii="Calibri" w:hAnsi="Calibri" w:cs="Calibri"/>
        </w:rPr>
        <w:t xml:space="preserve"> Rating system: 6=</w:t>
      </w:r>
      <w:r>
        <w:rPr>
          <w:rStyle w:val="cf01"/>
          <w:rFonts w:ascii="Calibri" w:eastAsiaTheme="majorEastAsia" w:hAnsi="Calibri" w:cs="Calibri"/>
        </w:rPr>
        <w:t>Highly Satisfactory (HS), 5=Satisfactory (S), 4=Moderately Satisfactory (MS), 3=Moderately Unsatisfactory (MU), 2=Unsatisfactory (U), 1=Highly Unsatisfactory (HU).</w:t>
      </w:r>
    </w:p>
    <w:p w14:paraId="44F26F3E" w14:textId="77777777" w:rsidR="00F83582" w:rsidRDefault="00F83582" w:rsidP="00524826">
      <w:pPr>
        <w:pStyle w:val="FootnoteText"/>
        <w:rPr>
          <w:rFonts w:ascii="Calibri" w:eastAsiaTheme="majorEastAsia" w:hAnsi="Calibri" w:cs="Calibri"/>
          <w:sz w:val="18"/>
          <w:szCs w:val="18"/>
        </w:rPr>
      </w:pPr>
    </w:p>
  </w:footnote>
  <w:footnote w:id="8">
    <w:p w14:paraId="2C5C0291" w14:textId="77777777" w:rsidR="00F83582" w:rsidRDefault="00F83582" w:rsidP="00524826">
      <w:pPr>
        <w:pStyle w:val="FootnoteText"/>
      </w:pPr>
      <w:r w:rsidRPr="00CB0E8D">
        <w:rPr>
          <w:rStyle w:val="FootnoteReference"/>
        </w:rPr>
        <w:footnoteRef/>
      </w:r>
      <w:r>
        <w:t xml:space="preserve"> </w:t>
      </w:r>
      <w:r>
        <w:rPr>
          <w:rStyle w:val="cf01"/>
          <w:rFonts w:ascii="Calibri" w:eastAsiaTheme="majorEastAsia" w:hAnsi="Calibri" w:cs="Calibri"/>
        </w:rPr>
        <w:t>Sustainability is rated on a different 6-point scale: 6=Highly Likely (HL), 5-Likely (L), 4=Moderately Likely (ML), 3=Moderately Unlikely (MU), 2=Unlikely (U), 1=Highly Unlikely (HU)</w:t>
      </w:r>
    </w:p>
  </w:footnote>
  <w:footnote w:id="9">
    <w:p w14:paraId="7D30F537" w14:textId="77777777" w:rsidR="0061591F" w:rsidRPr="006B688F" w:rsidRDefault="0061591F" w:rsidP="0061591F">
      <w:pPr>
        <w:pStyle w:val="FootnoteText"/>
        <w:rPr>
          <w:rFonts w:ascii="Calibri" w:hAnsi="Calibri" w:cs="Calibri"/>
        </w:rPr>
      </w:pPr>
      <w:r w:rsidRPr="006B688F">
        <w:rPr>
          <w:rStyle w:val="FootnoteReference"/>
          <w:rFonts w:ascii="Calibri" w:hAnsi="Calibri" w:cs="Calibri"/>
        </w:rPr>
        <w:footnoteRef/>
      </w:r>
      <w:r w:rsidRPr="006B688F">
        <w:rPr>
          <w:rFonts w:ascii="Calibri" w:hAnsi="Calibri" w:cs="Calibri"/>
        </w:rPr>
        <w:t xml:space="preserve"> Country</w:t>
      </w:r>
      <w:r>
        <w:rPr>
          <w:rFonts w:ascii="Calibri" w:hAnsi="Calibri" w:cs="Calibri"/>
        </w:rPr>
        <w:t>-level outcome indicators have been extracted from national results frameworks included with the ProDoc files. A selection of relevant achievements in each country has been included to showcase diverse interventions and impacts.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47" w14:textId="49344B2F" w:rsidR="002B060A" w:rsidRDefault="002B0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53" w14:textId="73CFC492" w:rsidR="002B060A" w:rsidRDefault="002B06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56" w14:textId="77777777" w:rsidR="002B060A" w:rsidRDefault="002B060A" w:rsidP="00CB0E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58" w14:textId="13FC5658" w:rsidR="002B060A" w:rsidRDefault="002B06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5B" w14:textId="77777777" w:rsidR="002B060A" w:rsidRDefault="002B060A" w:rsidP="00CB0E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B3ABD" w14:textId="77777777" w:rsidR="00512AA7" w:rsidRDefault="00512AA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1C60" w14:textId="77777777" w:rsidR="002B060A" w:rsidRDefault="002B060A" w:rsidP="00CB0E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33EA"/>
    <w:multiLevelType w:val="multilevel"/>
    <w:tmpl w:val="B0C4FE98"/>
    <w:lvl w:ilvl="0">
      <w:numFmt w:val="bullet"/>
      <w:lvlText w:val="-"/>
      <w:lvlJc w:val="left"/>
      <w:pPr>
        <w:tabs>
          <w:tab w:val="num" w:pos="0"/>
        </w:tabs>
        <w:ind w:left="720" w:hanging="360"/>
      </w:pPr>
      <w:rPr>
        <w:rFonts w:ascii="Arial" w:hAnsi="Arial" w:cs="Arial" w:hint="default"/>
      </w:rPr>
    </w:lvl>
    <w:lvl w:ilvl="1">
      <w:start w:val="1"/>
      <w:numFmt w:val="lowerRoman"/>
      <w:lvlText w:val="%2."/>
      <w:lvlJc w:val="right"/>
      <w:pPr>
        <w:tabs>
          <w:tab w:val="num" w:pos="0"/>
        </w:tabs>
        <w:ind w:left="1440" w:hanging="360"/>
      </w:pPr>
      <w:rPr>
        <w:b/>
        <w:bCs/>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2576C39"/>
    <w:multiLevelType w:val="multilevel"/>
    <w:tmpl w:val="427E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0F54C1"/>
    <w:multiLevelType w:val="multilevel"/>
    <w:tmpl w:val="90A8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E351EE"/>
    <w:multiLevelType w:val="multilevel"/>
    <w:tmpl w:val="AB94EE56"/>
    <w:lvl w:ilvl="0">
      <w:numFmt w:val="bullet"/>
      <w:lvlText w:val="-"/>
      <w:lvlJc w:val="left"/>
      <w:pPr>
        <w:tabs>
          <w:tab w:val="num" w:pos="0"/>
        </w:tabs>
        <w:ind w:left="720" w:hanging="360"/>
      </w:pPr>
      <w:rPr>
        <w:rFonts w:ascii="Arial" w:hAnsi="Arial" w:cs="Arial" w:hint="default"/>
      </w:rPr>
    </w:lvl>
    <w:lvl w:ilvl="1">
      <w:start w:val="1"/>
      <w:numFmt w:val="lowerRoman"/>
      <w:lvlText w:val="%2."/>
      <w:lvlJc w:val="right"/>
      <w:pPr>
        <w:tabs>
          <w:tab w:val="num" w:pos="0"/>
        </w:tabs>
        <w:ind w:left="1440" w:hanging="360"/>
      </w:pPr>
      <w:rPr>
        <w:b/>
        <w:bCs/>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88E307A"/>
    <w:multiLevelType w:val="multilevel"/>
    <w:tmpl w:val="D2C0AC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CEE0F29"/>
    <w:multiLevelType w:val="multilevel"/>
    <w:tmpl w:val="0DA283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6" w15:restartNumberingAfterBreak="0">
    <w:nsid w:val="1E1847AA"/>
    <w:multiLevelType w:val="multilevel"/>
    <w:tmpl w:val="24B22656"/>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EB13312"/>
    <w:multiLevelType w:val="multilevel"/>
    <w:tmpl w:val="0DA283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8" w15:restartNumberingAfterBreak="0">
    <w:nsid w:val="1EE1639C"/>
    <w:multiLevelType w:val="multilevel"/>
    <w:tmpl w:val="343669BE"/>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1080" w:hanging="720"/>
      </w:pPr>
      <w:rPr>
        <w:rFonts w:asciiTheme="minorHAnsi" w:hAnsiTheme="minorHAnsi"/>
        <w:b/>
        <w:bCs/>
        <w:i w:val="0"/>
      </w:rPr>
    </w:lvl>
    <w:lvl w:ilvl="2">
      <w:start w:val="1"/>
      <w:numFmt w:val="decimal"/>
      <w:lvlText w:val="%1.%2.%3."/>
      <w:lvlJc w:val="left"/>
      <w:pPr>
        <w:tabs>
          <w:tab w:val="num" w:pos="0"/>
        </w:tabs>
        <w:ind w:left="1080" w:hanging="720"/>
      </w:pPr>
      <w:rPr>
        <w:i w:val="0"/>
      </w:rPr>
    </w:lvl>
    <w:lvl w:ilvl="3">
      <w:start w:val="1"/>
      <w:numFmt w:val="decimal"/>
      <w:lvlText w:val="%1.%2.%3.%4."/>
      <w:lvlJc w:val="left"/>
      <w:pPr>
        <w:tabs>
          <w:tab w:val="num" w:pos="0"/>
        </w:tabs>
        <w:ind w:left="1440" w:hanging="1080"/>
      </w:pPr>
      <w:rPr>
        <w:i w:val="0"/>
      </w:rPr>
    </w:lvl>
    <w:lvl w:ilvl="4">
      <w:start w:val="1"/>
      <w:numFmt w:val="decimal"/>
      <w:lvlText w:val="%1.%2.%3.%4.%5."/>
      <w:lvlJc w:val="left"/>
      <w:pPr>
        <w:tabs>
          <w:tab w:val="num" w:pos="0"/>
        </w:tabs>
        <w:ind w:left="1440" w:hanging="1080"/>
      </w:pPr>
      <w:rPr>
        <w:i w:val="0"/>
      </w:rPr>
    </w:lvl>
    <w:lvl w:ilvl="5">
      <w:start w:val="1"/>
      <w:numFmt w:val="decimal"/>
      <w:lvlText w:val="%1.%2.%3.%4.%5.%6."/>
      <w:lvlJc w:val="left"/>
      <w:pPr>
        <w:tabs>
          <w:tab w:val="num" w:pos="0"/>
        </w:tabs>
        <w:ind w:left="1800" w:hanging="1440"/>
      </w:pPr>
      <w:rPr>
        <w:i w:val="0"/>
      </w:rPr>
    </w:lvl>
    <w:lvl w:ilvl="6">
      <w:start w:val="1"/>
      <w:numFmt w:val="decimal"/>
      <w:lvlText w:val="%1.%2.%3.%4.%5.%6.%7."/>
      <w:lvlJc w:val="left"/>
      <w:pPr>
        <w:tabs>
          <w:tab w:val="num" w:pos="0"/>
        </w:tabs>
        <w:ind w:left="2160" w:hanging="1800"/>
      </w:pPr>
      <w:rPr>
        <w:i w:val="0"/>
      </w:rPr>
    </w:lvl>
    <w:lvl w:ilvl="7">
      <w:start w:val="1"/>
      <w:numFmt w:val="decimal"/>
      <w:lvlText w:val="%1.%2.%3.%4.%5.%6.%7.%8."/>
      <w:lvlJc w:val="left"/>
      <w:pPr>
        <w:tabs>
          <w:tab w:val="num" w:pos="0"/>
        </w:tabs>
        <w:ind w:left="2160" w:hanging="1800"/>
      </w:pPr>
      <w:rPr>
        <w:i w:val="0"/>
      </w:rPr>
    </w:lvl>
    <w:lvl w:ilvl="8">
      <w:start w:val="1"/>
      <w:numFmt w:val="decimal"/>
      <w:lvlText w:val="%1.%2.%3.%4.%5.%6.%7.%8.%9."/>
      <w:lvlJc w:val="left"/>
      <w:pPr>
        <w:tabs>
          <w:tab w:val="num" w:pos="0"/>
        </w:tabs>
        <w:ind w:left="2520" w:hanging="2160"/>
      </w:pPr>
      <w:rPr>
        <w:i w:val="0"/>
      </w:rPr>
    </w:lvl>
  </w:abstractNum>
  <w:abstractNum w:abstractNumId="9" w15:restartNumberingAfterBreak="0">
    <w:nsid w:val="20656F59"/>
    <w:multiLevelType w:val="multilevel"/>
    <w:tmpl w:val="F8A20128"/>
    <w:lvl w:ilvl="0">
      <w:start w:val="1"/>
      <w:numFmt w:val="bullet"/>
      <w:lvlText w:val=""/>
      <w:lvlJc w:val="left"/>
      <w:pPr>
        <w:tabs>
          <w:tab w:val="num" w:pos="0"/>
        </w:tabs>
        <w:ind w:left="720" w:hanging="360"/>
      </w:pPr>
      <w:rPr>
        <w:rFonts w:ascii="Symbol" w:hAnsi="Symbol" w:cs="Symbol" w:hint="default"/>
        <w:color w:val="000000"/>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6315CCC"/>
    <w:multiLevelType w:val="multilevel"/>
    <w:tmpl w:val="0DA283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1" w15:restartNumberingAfterBreak="0">
    <w:nsid w:val="27B5033F"/>
    <w:multiLevelType w:val="multilevel"/>
    <w:tmpl w:val="7E30688E"/>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rFonts w:asciiTheme="minorHAnsi" w:hAnsiTheme="minorHAnsi"/>
        <w:b/>
        <w:bCs/>
        <w:i w:val="0"/>
      </w:rPr>
    </w:lvl>
    <w:lvl w:ilvl="2">
      <w:start w:val="1"/>
      <w:numFmt w:val="decimal"/>
      <w:lvlText w:val="%1.%2.%3."/>
      <w:lvlJc w:val="left"/>
      <w:pPr>
        <w:tabs>
          <w:tab w:val="num" w:pos="0"/>
        </w:tabs>
        <w:ind w:left="1080" w:hanging="720"/>
      </w:pPr>
      <w:rPr>
        <w:i w:val="0"/>
      </w:rPr>
    </w:lvl>
    <w:lvl w:ilvl="3">
      <w:start w:val="1"/>
      <w:numFmt w:val="decimal"/>
      <w:lvlText w:val="%1.%2.%3.%4."/>
      <w:lvlJc w:val="left"/>
      <w:pPr>
        <w:tabs>
          <w:tab w:val="num" w:pos="0"/>
        </w:tabs>
        <w:ind w:left="1440" w:hanging="1080"/>
      </w:pPr>
      <w:rPr>
        <w:i w:val="0"/>
      </w:rPr>
    </w:lvl>
    <w:lvl w:ilvl="4">
      <w:start w:val="1"/>
      <w:numFmt w:val="decimal"/>
      <w:lvlText w:val="%1.%2.%3.%4.%5."/>
      <w:lvlJc w:val="left"/>
      <w:pPr>
        <w:tabs>
          <w:tab w:val="num" w:pos="0"/>
        </w:tabs>
        <w:ind w:left="1440" w:hanging="1080"/>
      </w:pPr>
      <w:rPr>
        <w:i w:val="0"/>
      </w:rPr>
    </w:lvl>
    <w:lvl w:ilvl="5">
      <w:start w:val="1"/>
      <w:numFmt w:val="decimal"/>
      <w:lvlText w:val="%1.%2.%3.%4.%5.%6."/>
      <w:lvlJc w:val="left"/>
      <w:pPr>
        <w:tabs>
          <w:tab w:val="num" w:pos="0"/>
        </w:tabs>
        <w:ind w:left="1800" w:hanging="1440"/>
      </w:pPr>
      <w:rPr>
        <w:i w:val="0"/>
      </w:rPr>
    </w:lvl>
    <w:lvl w:ilvl="6">
      <w:start w:val="1"/>
      <w:numFmt w:val="decimal"/>
      <w:lvlText w:val="%1.%2.%3.%4.%5.%6.%7."/>
      <w:lvlJc w:val="left"/>
      <w:pPr>
        <w:tabs>
          <w:tab w:val="num" w:pos="0"/>
        </w:tabs>
        <w:ind w:left="2160" w:hanging="1800"/>
      </w:pPr>
      <w:rPr>
        <w:i w:val="0"/>
      </w:rPr>
    </w:lvl>
    <w:lvl w:ilvl="7">
      <w:start w:val="1"/>
      <w:numFmt w:val="decimal"/>
      <w:lvlText w:val="%1.%2.%3.%4.%5.%6.%7.%8."/>
      <w:lvlJc w:val="left"/>
      <w:pPr>
        <w:tabs>
          <w:tab w:val="num" w:pos="0"/>
        </w:tabs>
        <w:ind w:left="2160" w:hanging="1800"/>
      </w:pPr>
      <w:rPr>
        <w:i w:val="0"/>
      </w:rPr>
    </w:lvl>
    <w:lvl w:ilvl="8">
      <w:start w:val="1"/>
      <w:numFmt w:val="decimal"/>
      <w:lvlText w:val="%1.%2.%3.%4.%5.%6.%7.%8.%9."/>
      <w:lvlJc w:val="left"/>
      <w:pPr>
        <w:tabs>
          <w:tab w:val="num" w:pos="0"/>
        </w:tabs>
        <w:ind w:left="2520" w:hanging="2160"/>
      </w:pPr>
      <w:rPr>
        <w:i w:val="0"/>
      </w:rPr>
    </w:lvl>
  </w:abstractNum>
  <w:abstractNum w:abstractNumId="12" w15:restartNumberingAfterBreak="0">
    <w:nsid w:val="280A3EE7"/>
    <w:multiLevelType w:val="multilevel"/>
    <w:tmpl w:val="DE82C88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28A33CB1"/>
    <w:multiLevelType w:val="multilevel"/>
    <w:tmpl w:val="2D8A77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A564D56"/>
    <w:multiLevelType w:val="multilevel"/>
    <w:tmpl w:val="30627EB0"/>
    <w:lvl w:ilvl="0">
      <w:start w:val="1"/>
      <w:numFmt w:val="lowerRoman"/>
      <w:lvlText w:val="%1."/>
      <w:lvlJc w:val="left"/>
      <w:pPr>
        <w:tabs>
          <w:tab w:val="num" w:pos="0"/>
        </w:tabs>
        <w:ind w:left="2280" w:hanging="720"/>
      </w:pPr>
      <w:rPr>
        <w:rFonts w:ascii="Calibri" w:hAnsi="Calibri"/>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A9433FA"/>
    <w:multiLevelType w:val="multilevel"/>
    <w:tmpl w:val="7F462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A835B4"/>
    <w:multiLevelType w:val="multilevel"/>
    <w:tmpl w:val="FA74B7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2B2432E4"/>
    <w:multiLevelType w:val="hybridMultilevel"/>
    <w:tmpl w:val="91561E7A"/>
    <w:lvl w:ilvl="0" w:tplc="0C090001">
      <w:start w:val="1"/>
      <w:numFmt w:val="bullet"/>
      <w:lvlText w:val=""/>
      <w:lvlJc w:val="left"/>
      <w:pPr>
        <w:ind w:left="720" w:hanging="360"/>
      </w:pPr>
      <w:rPr>
        <w:rFonts w:ascii="Symbol" w:hAnsi="Symbol" w:hint="default"/>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DA896C"/>
    <w:multiLevelType w:val="multilevel"/>
    <w:tmpl w:val="52E0BDCC"/>
    <w:lvl w:ilvl="0">
      <w:start w:val="1"/>
      <w:numFmt w:val="lowerRoman"/>
      <w:lvlText w:val="%1."/>
      <w:lvlJc w:val="left"/>
      <w:pPr>
        <w:ind w:left="2280" w:hanging="720"/>
      </w:pPr>
      <w:rPr>
        <w:rFonts w:ascii="Calibri" w:hAnsi="Calibri"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F80548"/>
    <w:multiLevelType w:val="multilevel"/>
    <w:tmpl w:val="7ECA9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D531F7"/>
    <w:multiLevelType w:val="multilevel"/>
    <w:tmpl w:val="D8B082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54D097A"/>
    <w:multiLevelType w:val="multilevel"/>
    <w:tmpl w:val="7ECA9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DB1956"/>
    <w:multiLevelType w:val="multilevel"/>
    <w:tmpl w:val="E20C884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asciiTheme="minorHAnsi" w:hAnsiTheme="minorHAnsi"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23" w15:restartNumberingAfterBreak="0">
    <w:nsid w:val="3B265E79"/>
    <w:multiLevelType w:val="multilevel"/>
    <w:tmpl w:val="271492E8"/>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3CEE3493"/>
    <w:multiLevelType w:val="multilevel"/>
    <w:tmpl w:val="60BA5A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3CFA710F"/>
    <w:multiLevelType w:val="multilevel"/>
    <w:tmpl w:val="280E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536922"/>
    <w:multiLevelType w:val="multilevel"/>
    <w:tmpl w:val="0E94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186724"/>
    <w:multiLevelType w:val="multilevel"/>
    <w:tmpl w:val="59F2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BD13DF"/>
    <w:multiLevelType w:val="multilevel"/>
    <w:tmpl w:val="05642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039726"/>
    <w:multiLevelType w:val="hybridMultilevel"/>
    <w:tmpl w:val="FFFFFFFF"/>
    <w:lvl w:ilvl="0" w:tplc="D3FC14DC">
      <w:start w:val="1"/>
      <w:numFmt w:val="bullet"/>
      <w:lvlText w:val=""/>
      <w:lvlJc w:val="left"/>
      <w:pPr>
        <w:ind w:left="720" w:hanging="360"/>
      </w:pPr>
      <w:rPr>
        <w:rFonts w:ascii="Symbol" w:hAnsi="Symbol" w:hint="default"/>
      </w:rPr>
    </w:lvl>
    <w:lvl w:ilvl="1" w:tplc="B600C958">
      <w:start w:val="1"/>
      <w:numFmt w:val="bullet"/>
      <w:lvlText w:val="o"/>
      <w:lvlJc w:val="left"/>
      <w:pPr>
        <w:ind w:left="1440" w:hanging="360"/>
      </w:pPr>
      <w:rPr>
        <w:rFonts w:ascii="Courier New" w:hAnsi="Courier New" w:hint="default"/>
      </w:rPr>
    </w:lvl>
    <w:lvl w:ilvl="2" w:tplc="AB849226">
      <w:start w:val="1"/>
      <w:numFmt w:val="bullet"/>
      <w:lvlText w:val=""/>
      <w:lvlJc w:val="left"/>
      <w:pPr>
        <w:ind w:left="2160" w:hanging="360"/>
      </w:pPr>
      <w:rPr>
        <w:rFonts w:ascii="Wingdings" w:hAnsi="Wingdings" w:hint="default"/>
      </w:rPr>
    </w:lvl>
    <w:lvl w:ilvl="3" w:tplc="2AF0817A">
      <w:start w:val="1"/>
      <w:numFmt w:val="bullet"/>
      <w:lvlText w:val=""/>
      <w:lvlJc w:val="left"/>
      <w:pPr>
        <w:ind w:left="2880" w:hanging="360"/>
      </w:pPr>
      <w:rPr>
        <w:rFonts w:ascii="Symbol" w:hAnsi="Symbol" w:hint="default"/>
      </w:rPr>
    </w:lvl>
    <w:lvl w:ilvl="4" w:tplc="9030125A">
      <w:start w:val="1"/>
      <w:numFmt w:val="bullet"/>
      <w:lvlText w:val="o"/>
      <w:lvlJc w:val="left"/>
      <w:pPr>
        <w:ind w:left="3600" w:hanging="360"/>
      </w:pPr>
      <w:rPr>
        <w:rFonts w:ascii="Courier New" w:hAnsi="Courier New" w:hint="default"/>
      </w:rPr>
    </w:lvl>
    <w:lvl w:ilvl="5" w:tplc="4BF44CE2">
      <w:start w:val="1"/>
      <w:numFmt w:val="bullet"/>
      <w:lvlText w:val=""/>
      <w:lvlJc w:val="left"/>
      <w:pPr>
        <w:ind w:left="4320" w:hanging="360"/>
      </w:pPr>
      <w:rPr>
        <w:rFonts w:ascii="Wingdings" w:hAnsi="Wingdings" w:hint="default"/>
      </w:rPr>
    </w:lvl>
    <w:lvl w:ilvl="6" w:tplc="C9A2F534">
      <w:start w:val="1"/>
      <w:numFmt w:val="bullet"/>
      <w:lvlText w:val=""/>
      <w:lvlJc w:val="left"/>
      <w:pPr>
        <w:ind w:left="5040" w:hanging="360"/>
      </w:pPr>
      <w:rPr>
        <w:rFonts w:ascii="Symbol" w:hAnsi="Symbol" w:hint="default"/>
      </w:rPr>
    </w:lvl>
    <w:lvl w:ilvl="7" w:tplc="6DD01B9C">
      <w:start w:val="1"/>
      <w:numFmt w:val="bullet"/>
      <w:lvlText w:val="o"/>
      <w:lvlJc w:val="left"/>
      <w:pPr>
        <w:ind w:left="5760" w:hanging="360"/>
      </w:pPr>
      <w:rPr>
        <w:rFonts w:ascii="Courier New" w:hAnsi="Courier New" w:hint="default"/>
      </w:rPr>
    </w:lvl>
    <w:lvl w:ilvl="8" w:tplc="987405FC">
      <w:start w:val="1"/>
      <w:numFmt w:val="bullet"/>
      <w:lvlText w:val=""/>
      <w:lvlJc w:val="left"/>
      <w:pPr>
        <w:ind w:left="6480" w:hanging="360"/>
      </w:pPr>
      <w:rPr>
        <w:rFonts w:ascii="Wingdings" w:hAnsi="Wingdings" w:hint="default"/>
      </w:rPr>
    </w:lvl>
  </w:abstractNum>
  <w:abstractNum w:abstractNumId="30" w15:restartNumberingAfterBreak="0">
    <w:nsid w:val="48995BFD"/>
    <w:multiLevelType w:val="multilevel"/>
    <w:tmpl w:val="7134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49780B"/>
    <w:multiLevelType w:val="multilevel"/>
    <w:tmpl w:val="9384B90C"/>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4FDB4223"/>
    <w:multiLevelType w:val="multilevel"/>
    <w:tmpl w:val="E9CCC7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35ABD26"/>
    <w:multiLevelType w:val="hybridMultilevel"/>
    <w:tmpl w:val="FFFFFFFF"/>
    <w:lvl w:ilvl="0" w:tplc="BE322F74">
      <w:start w:val="1"/>
      <w:numFmt w:val="bullet"/>
      <w:lvlText w:val=""/>
      <w:lvlJc w:val="left"/>
      <w:pPr>
        <w:ind w:left="720" w:hanging="360"/>
      </w:pPr>
      <w:rPr>
        <w:rFonts w:ascii="Symbol" w:hAnsi="Symbol" w:hint="default"/>
      </w:rPr>
    </w:lvl>
    <w:lvl w:ilvl="1" w:tplc="D7FA2BC8">
      <w:start w:val="1"/>
      <w:numFmt w:val="bullet"/>
      <w:lvlText w:val="o"/>
      <w:lvlJc w:val="left"/>
      <w:pPr>
        <w:ind w:left="1440" w:hanging="360"/>
      </w:pPr>
      <w:rPr>
        <w:rFonts w:ascii="Courier New" w:hAnsi="Courier New" w:hint="default"/>
      </w:rPr>
    </w:lvl>
    <w:lvl w:ilvl="2" w:tplc="1FA2E44C">
      <w:start w:val="1"/>
      <w:numFmt w:val="bullet"/>
      <w:lvlText w:val=""/>
      <w:lvlJc w:val="left"/>
      <w:pPr>
        <w:ind w:left="2160" w:hanging="360"/>
      </w:pPr>
      <w:rPr>
        <w:rFonts w:ascii="Wingdings" w:hAnsi="Wingdings" w:hint="default"/>
      </w:rPr>
    </w:lvl>
    <w:lvl w:ilvl="3" w:tplc="FCBAFCFC">
      <w:start w:val="1"/>
      <w:numFmt w:val="bullet"/>
      <w:lvlText w:val=""/>
      <w:lvlJc w:val="left"/>
      <w:pPr>
        <w:ind w:left="2880" w:hanging="360"/>
      </w:pPr>
      <w:rPr>
        <w:rFonts w:ascii="Symbol" w:hAnsi="Symbol" w:hint="default"/>
      </w:rPr>
    </w:lvl>
    <w:lvl w:ilvl="4" w:tplc="0B08AF4C">
      <w:start w:val="1"/>
      <w:numFmt w:val="bullet"/>
      <w:lvlText w:val="o"/>
      <w:lvlJc w:val="left"/>
      <w:pPr>
        <w:ind w:left="3600" w:hanging="360"/>
      </w:pPr>
      <w:rPr>
        <w:rFonts w:ascii="Courier New" w:hAnsi="Courier New" w:hint="default"/>
      </w:rPr>
    </w:lvl>
    <w:lvl w:ilvl="5" w:tplc="939C64A2">
      <w:start w:val="1"/>
      <w:numFmt w:val="bullet"/>
      <w:lvlText w:val=""/>
      <w:lvlJc w:val="left"/>
      <w:pPr>
        <w:ind w:left="4320" w:hanging="360"/>
      </w:pPr>
      <w:rPr>
        <w:rFonts w:ascii="Wingdings" w:hAnsi="Wingdings" w:hint="default"/>
      </w:rPr>
    </w:lvl>
    <w:lvl w:ilvl="6" w:tplc="FE2EDEB4">
      <w:start w:val="1"/>
      <w:numFmt w:val="bullet"/>
      <w:lvlText w:val=""/>
      <w:lvlJc w:val="left"/>
      <w:pPr>
        <w:ind w:left="5040" w:hanging="360"/>
      </w:pPr>
      <w:rPr>
        <w:rFonts w:ascii="Symbol" w:hAnsi="Symbol" w:hint="default"/>
      </w:rPr>
    </w:lvl>
    <w:lvl w:ilvl="7" w:tplc="2B56CB04">
      <w:start w:val="1"/>
      <w:numFmt w:val="bullet"/>
      <w:lvlText w:val="o"/>
      <w:lvlJc w:val="left"/>
      <w:pPr>
        <w:ind w:left="5760" w:hanging="360"/>
      </w:pPr>
      <w:rPr>
        <w:rFonts w:ascii="Courier New" w:hAnsi="Courier New" w:hint="default"/>
      </w:rPr>
    </w:lvl>
    <w:lvl w:ilvl="8" w:tplc="11789B3A">
      <w:start w:val="1"/>
      <w:numFmt w:val="bullet"/>
      <w:lvlText w:val=""/>
      <w:lvlJc w:val="left"/>
      <w:pPr>
        <w:ind w:left="6480" w:hanging="360"/>
      </w:pPr>
      <w:rPr>
        <w:rFonts w:ascii="Wingdings" w:hAnsi="Wingdings" w:hint="default"/>
      </w:rPr>
    </w:lvl>
  </w:abstractNum>
  <w:abstractNum w:abstractNumId="34" w15:restartNumberingAfterBreak="0">
    <w:nsid w:val="5399F1AA"/>
    <w:multiLevelType w:val="multilevel"/>
    <w:tmpl w:val="1E68F10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3DC5546"/>
    <w:multiLevelType w:val="multilevel"/>
    <w:tmpl w:val="4FB2EF8C"/>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rFonts w:asciiTheme="minorHAnsi" w:hAnsiTheme="minorHAnsi"/>
        <w:b/>
        <w:bCs/>
        <w:i w:val="0"/>
      </w:rPr>
    </w:lvl>
    <w:lvl w:ilvl="2">
      <w:start w:val="1"/>
      <w:numFmt w:val="decimal"/>
      <w:lvlText w:val="%1.%2.%3."/>
      <w:lvlJc w:val="left"/>
      <w:pPr>
        <w:tabs>
          <w:tab w:val="num" w:pos="0"/>
        </w:tabs>
        <w:ind w:left="1080" w:hanging="720"/>
      </w:pPr>
      <w:rPr>
        <w:i w:val="0"/>
      </w:rPr>
    </w:lvl>
    <w:lvl w:ilvl="3">
      <w:start w:val="1"/>
      <w:numFmt w:val="decimal"/>
      <w:lvlText w:val="%1.%2.%3.%4."/>
      <w:lvlJc w:val="left"/>
      <w:pPr>
        <w:tabs>
          <w:tab w:val="num" w:pos="0"/>
        </w:tabs>
        <w:ind w:left="1440" w:hanging="1080"/>
      </w:pPr>
      <w:rPr>
        <w:i w:val="0"/>
      </w:rPr>
    </w:lvl>
    <w:lvl w:ilvl="4">
      <w:start w:val="1"/>
      <w:numFmt w:val="decimal"/>
      <w:lvlText w:val="%1.%2.%3.%4.%5."/>
      <w:lvlJc w:val="left"/>
      <w:pPr>
        <w:tabs>
          <w:tab w:val="num" w:pos="0"/>
        </w:tabs>
        <w:ind w:left="1440" w:hanging="1080"/>
      </w:pPr>
      <w:rPr>
        <w:i w:val="0"/>
      </w:rPr>
    </w:lvl>
    <w:lvl w:ilvl="5">
      <w:start w:val="1"/>
      <w:numFmt w:val="decimal"/>
      <w:lvlText w:val="%1.%2.%3.%4.%5.%6."/>
      <w:lvlJc w:val="left"/>
      <w:pPr>
        <w:tabs>
          <w:tab w:val="num" w:pos="0"/>
        </w:tabs>
        <w:ind w:left="1800" w:hanging="1440"/>
      </w:pPr>
      <w:rPr>
        <w:i w:val="0"/>
      </w:rPr>
    </w:lvl>
    <w:lvl w:ilvl="6">
      <w:start w:val="1"/>
      <w:numFmt w:val="decimal"/>
      <w:lvlText w:val="%1.%2.%3.%4.%5.%6.%7."/>
      <w:lvlJc w:val="left"/>
      <w:pPr>
        <w:tabs>
          <w:tab w:val="num" w:pos="0"/>
        </w:tabs>
        <w:ind w:left="2160" w:hanging="1800"/>
      </w:pPr>
      <w:rPr>
        <w:i w:val="0"/>
      </w:rPr>
    </w:lvl>
    <w:lvl w:ilvl="7">
      <w:start w:val="1"/>
      <w:numFmt w:val="decimal"/>
      <w:lvlText w:val="%1.%2.%3.%4.%5.%6.%7.%8."/>
      <w:lvlJc w:val="left"/>
      <w:pPr>
        <w:tabs>
          <w:tab w:val="num" w:pos="0"/>
        </w:tabs>
        <w:ind w:left="2160" w:hanging="1800"/>
      </w:pPr>
      <w:rPr>
        <w:i w:val="0"/>
      </w:rPr>
    </w:lvl>
    <w:lvl w:ilvl="8">
      <w:start w:val="1"/>
      <w:numFmt w:val="decimal"/>
      <w:lvlText w:val="%1.%2.%3.%4.%5.%6.%7.%8.%9."/>
      <w:lvlJc w:val="left"/>
      <w:pPr>
        <w:tabs>
          <w:tab w:val="num" w:pos="0"/>
        </w:tabs>
        <w:ind w:left="2520" w:hanging="2160"/>
      </w:pPr>
      <w:rPr>
        <w:i w:val="0"/>
      </w:rPr>
    </w:lvl>
  </w:abstractNum>
  <w:abstractNum w:abstractNumId="36" w15:restartNumberingAfterBreak="0">
    <w:nsid w:val="5423B037"/>
    <w:multiLevelType w:val="multilevel"/>
    <w:tmpl w:val="68FC0D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5717682C"/>
    <w:multiLevelType w:val="hybridMultilevel"/>
    <w:tmpl w:val="2F90EE52"/>
    <w:lvl w:ilvl="0" w:tplc="4582EA0E">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75764FF"/>
    <w:multiLevelType w:val="multilevel"/>
    <w:tmpl w:val="89B4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7F526AF"/>
    <w:multiLevelType w:val="hybridMultilevel"/>
    <w:tmpl w:val="90F6B4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9B95D5D"/>
    <w:multiLevelType w:val="multilevel"/>
    <w:tmpl w:val="E7C4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DB171D4"/>
    <w:multiLevelType w:val="hybridMultilevel"/>
    <w:tmpl w:val="FFFFFFFF"/>
    <w:lvl w:ilvl="0" w:tplc="A412B8AE">
      <w:start w:val="1"/>
      <w:numFmt w:val="bullet"/>
      <w:lvlText w:val=""/>
      <w:lvlJc w:val="left"/>
      <w:pPr>
        <w:ind w:left="720" w:hanging="360"/>
      </w:pPr>
      <w:rPr>
        <w:rFonts w:ascii="Symbol" w:hAnsi="Symbol" w:hint="default"/>
      </w:rPr>
    </w:lvl>
    <w:lvl w:ilvl="1" w:tplc="6A9A30F0">
      <w:start w:val="1"/>
      <w:numFmt w:val="bullet"/>
      <w:lvlText w:val="o"/>
      <w:lvlJc w:val="left"/>
      <w:pPr>
        <w:ind w:left="1440" w:hanging="360"/>
      </w:pPr>
      <w:rPr>
        <w:rFonts w:ascii="Courier New" w:hAnsi="Courier New" w:hint="default"/>
      </w:rPr>
    </w:lvl>
    <w:lvl w:ilvl="2" w:tplc="C608CF46">
      <w:start w:val="1"/>
      <w:numFmt w:val="bullet"/>
      <w:lvlText w:val=""/>
      <w:lvlJc w:val="left"/>
      <w:pPr>
        <w:ind w:left="2160" w:hanging="360"/>
      </w:pPr>
      <w:rPr>
        <w:rFonts w:ascii="Wingdings" w:hAnsi="Wingdings" w:hint="default"/>
      </w:rPr>
    </w:lvl>
    <w:lvl w:ilvl="3" w:tplc="4D784D3E">
      <w:start w:val="1"/>
      <w:numFmt w:val="bullet"/>
      <w:lvlText w:val=""/>
      <w:lvlJc w:val="left"/>
      <w:pPr>
        <w:ind w:left="2880" w:hanging="360"/>
      </w:pPr>
      <w:rPr>
        <w:rFonts w:ascii="Symbol" w:hAnsi="Symbol" w:hint="default"/>
      </w:rPr>
    </w:lvl>
    <w:lvl w:ilvl="4" w:tplc="961C5904">
      <w:start w:val="1"/>
      <w:numFmt w:val="bullet"/>
      <w:lvlText w:val="o"/>
      <w:lvlJc w:val="left"/>
      <w:pPr>
        <w:ind w:left="3600" w:hanging="360"/>
      </w:pPr>
      <w:rPr>
        <w:rFonts w:ascii="Courier New" w:hAnsi="Courier New" w:hint="default"/>
      </w:rPr>
    </w:lvl>
    <w:lvl w:ilvl="5" w:tplc="7550EC00">
      <w:start w:val="1"/>
      <w:numFmt w:val="bullet"/>
      <w:lvlText w:val=""/>
      <w:lvlJc w:val="left"/>
      <w:pPr>
        <w:ind w:left="4320" w:hanging="360"/>
      </w:pPr>
      <w:rPr>
        <w:rFonts w:ascii="Wingdings" w:hAnsi="Wingdings" w:hint="default"/>
      </w:rPr>
    </w:lvl>
    <w:lvl w:ilvl="6" w:tplc="64A6A1D4">
      <w:start w:val="1"/>
      <w:numFmt w:val="bullet"/>
      <w:lvlText w:val=""/>
      <w:lvlJc w:val="left"/>
      <w:pPr>
        <w:ind w:left="5040" w:hanging="360"/>
      </w:pPr>
      <w:rPr>
        <w:rFonts w:ascii="Symbol" w:hAnsi="Symbol" w:hint="default"/>
      </w:rPr>
    </w:lvl>
    <w:lvl w:ilvl="7" w:tplc="DD9C359C">
      <w:start w:val="1"/>
      <w:numFmt w:val="bullet"/>
      <w:lvlText w:val="o"/>
      <w:lvlJc w:val="left"/>
      <w:pPr>
        <w:ind w:left="5760" w:hanging="360"/>
      </w:pPr>
      <w:rPr>
        <w:rFonts w:ascii="Courier New" w:hAnsi="Courier New" w:hint="default"/>
      </w:rPr>
    </w:lvl>
    <w:lvl w:ilvl="8" w:tplc="1CF4097A">
      <w:start w:val="1"/>
      <w:numFmt w:val="bullet"/>
      <w:lvlText w:val=""/>
      <w:lvlJc w:val="left"/>
      <w:pPr>
        <w:ind w:left="6480" w:hanging="360"/>
      </w:pPr>
      <w:rPr>
        <w:rFonts w:ascii="Wingdings" w:hAnsi="Wingdings" w:hint="default"/>
      </w:rPr>
    </w:lvl>
  </w:abstractNum>
  <w:abstractNum w:abstractNumId="42" w15:restartNumberingAfterBreak="0">
    <w:nsid w:val="609B1652"/>
    <w:multiLevelType w:val="hybridMultilevel"/>
    <w:tmpl w:val="FFFFFFFF"/>
    <w:lvl w:ilvl="0" w:tplc="18EEB948">
      <w:start w:val="1"/>
      <w:numFmt w:val="bullet"/>
      <w:lvlText w:val=""/>
      <w:lvlJc w:val="left"/>
      <w:pPr>
        <w:ind w:left="720" w:hanging="360"/>
      </w:pPr>
      <w:rPr>
        <w:rFonts w:ascii="Symbol" w:hAnsi="Symbol" w:hint="default"/>
      </w:rPr>
    </w:lvl>
    <w:lvl w:ilvl="1" w:tplc="8F66DAFE">
      <w:start w:val="1"/>
      <w:numFmt w:val="bullet"/>
      <w:lvlText w:val="o"/>
      <w:lvlJc w:val="left"/>
      <w:pPr>
        <w:ind w:left="1440" w:hanging="360"/>
      </w:pPr>
      <w:rPr>
        <w:rFonts w:ascii="Courier New" w:hAnsi="Courier New" w:hint="default"/>
      </w:rPr>
    </w:lvl>
    <w:lvl w:ilvl="2" w:tplc="F2C403E6">
      <w:start w:val="1"/>
      <w:numFmt w:val="bullet"/>
      <w:lvlText w:val=""/>
      <w:lvlJc w:val="left"/>
      <w:pPr>
        <w:ind w:left="2160" w:hanging="360"/>
      </w:pPr>
      <w:rPr>
        <w:rFonts w:ascii="Wingdings" w:hAnsi="Wingdings" w:hint="default"/>
      </w:rPr>
    </w:lvl>
    <w:lvl w:ilvl="3" w:tplc="03088904">
      <w:start w:val="1"/>
      <w:numFmt w:val="bullet"/>
      <w:lvlText w:val=""/>
      <w:lvlJc w:val="left"/>
      <w:pPr>
        <w:ind w:left="2880" w:hanging="360"/>
      </w:pPr>
      <w:rPr>
        <w:rFonts w:ascii="Symbol" w:hAnsi="Symbol" w:hint="default"/>
      </w:rPr>
    </w:lvl>
    <w:lvl w:ilvl="4" w:tplc="E6249618">
      <w:start w:val="1"/>
      <w:numFmt w:val="bullet"/>
      <w:lvlText w:val="o"/>
      <w:lvlJc w:val="left"/>
      <w:pPr>
        <w:ind w:left="3600" w:hanging="360"/>
      </w:pPr>
      <w:rPr>
        <w:rFonts w:ascii="Courier New" w:hAnsi="Courier New" w:hint="default"/>
      </w:rPr>
    </w:lvl>
    <w:lvl w:ilvl="5" w:tplc="85E879A2">
      <w:start w:val="1"/>
      <w:numFmt w:val="bullet"/>
      <w:lvlText w:val=""/>
      <w:lvlJc w:val="left"/>
      <w:pPr>
        <w:ind w:left="4320" w:hanging="360"/>
      </w:pPr>
      <w:rPr>
        <w:rFonts w:ascii="Wingdings" w:hAnsi="Wingdings" w:hint="default"/>
      </w:rPr>
    </w:lvl>
    <w:lvl w:ilvl="6" w:tplc="CFE418D4">
      <w:start w:val="1"/>
      <w:numFmt w:val="bullet"/>
      <w:lvlText w:val=""/>
      <w:lvlJc w:val="left"/>
      <w:pPr>
        <w:ind w:left="5040" w:hanging="360"/>
      </w:pPr>
      <w:rPr>
        <w:rFonts w:ascii="Symbol" w:hAnsi="Symbol" w:hint="default"/>
      </w:rPr>
    </w:lvl>
    <w:lvl w:ilvl="7" w:tplc="D9E4B90C">
      <w:start w:val="1"/>
      <w:numFmt w:val="bullet"/>
      <w:lvlText w:val="o"/>
      <w:lvlJc w:val="left"/>
      <w:pPr>
        <w:ind w:left="5760" w:hanging="360"/>
      </w:pPr>
      <w:rPr>
        <w:rFonts w:ascii="Courier New" w:hAnsi="Courier New" w:hint="default"/>
      </w:rPr>
    </w:lvl>
    <w:lvl w:ilvl="8" w:tplc="AE405E64">
      <w:start w:val="1"/>
      <w:numFmt w:val="bullet"/>
      <w:lvlText w:val=""/>
      <w:lvlJc w:val="left"/>
      <w:pPr>
        <w:ind w:left="6480" w:hanging="360"/>
      </w:pPr>
      <w:rPr>
        <w:rFonts w:ascii="Wingdings" w:hAnsi="Wingdings" w:hint="default"/>
      </w:rPr>
    </w:lvl>
  </w:abstractNum>
  <w:abstractNum w:abstractNumId="43" w15:restartNumberingAfterBreak="0">
    <w:nsid w:val="611C933A"/>
    <w:multiLevelType w:val="hybridMultilevel"/>
    <w:tmpl w:val="FFFFFFFF"/>
    <w:lvl w:ilvl="0" w:tplc="4B44C3E4">
      <w:start w:val="1"/>
      <w:numFmt w:val="bullet"/>
      <w:lvlText w:val=""/>
      <w:lvlJc w:val="left"/>
      <w:pPr>
        <w:ind w:left="720" w:hanging="360"/>
      </w:pPr>
      <w:rPr>
        <w:rFonts w:ascii="Symbol" w:hAnsi="Symbol" w:hint="default"/>
      </w:rPr>
    </w:lvl>
    <w:lvl w:ilvl="1" w:tplc="871A5852">
      <w:start w:val="1"/>
      <w:numFmt w:val="bullet"/>
      <w:lvlText w:val="o"/>
      <w:lvlJc w:val="left"/>
      <w:pPr>
        <w:ind w:left="1440" w:hanging="360"/>
      </w:pPr>
      <w:rPr>
        <w:rFonts w:ascii="Courier New" w:hAnsi="Courier New" w:hint="default"/>
      </w:rPr>
    </w:lvl>
    <w:lvl w:ilvl="2" w:tplc="C51C40F8">
      <w:start w:val="1"/>
      <w:numFmt w:val="bullet"/>
      <w:lvlText w:val=""/>
      <w:lvlJc w:val="left"/>
      <w:pPr>
        <w:ind w:left="2160" w:hanging="360"/>
      </w:pPr>
      <w:rPr>
        <w:rFonts w:ascii="Wingdings" w:hAnsi="Wingdings" w:hint="default"/>
      </w:rPr>
    </w:lvl>
    <w:lvl w:ilvl="3" w:tplc="DAAC787C">
      <w:start w:val="1"/>
      <w:numFmt w:val="bullet"/>
      <w:lvlText w:val=""/>
      <w:lvlJc w:val="left"/>
      <w:pPr>
        <w:ind w:left="2880" w:hanging="360"/>
      </w:pPr>
      <w:rPr>
        <w:rFonts w:ascii="Symbol" w:hAnsi="Symbol" w:hint="default"/>
      </w:rPr>
    </w:lvl>
    <w:lvl w:ilvl="4" w:tplc="B97C682A">
      <w:start w:val="1"/>
      <w:numFmt w:val="bullet"/>
      <w:lvlText w:val="o"/>
      <w:lvlJc w:val="left"/>
      <w:pPr>
        <w:ind w:left="3600" w:hanging="360"/>
      </w:pPr>
      <w:rPr>
        <w:rFonts w:ascii="Courier New" w:hAnsi="Courier New" w:hint="default"/>
      </w:rPr>
    </w:lvl>
    <w:lvl w:ilvl="5" w:tplc="ACFCC9A6">
      <w:start w:val="1"/>
      <w:numFmt w:val="bullet"/>
      <w:lvlText w:val=""/>
      <w:lvlJc w:val="left"/>
      <w:pPr>
        <w:ind w:left="4320" w:hanging="360"/>
      </w:pPr>
      <w:rPr>
        <w:rFonts w:ascii="Wingdings" w:hAnsi="Wingdings" w:hint="default"/>
      </w:rPr>
    </w:lvl>
    <w:lvl w:ilvl="6" w:tplc="94AE757E">
      <w:start w:val="1"/>
      <w:numFmt w:val="bullet"/>
      <w:lvlText w:val=""/>
      <w:lvlJc w:val="left"/>
      <w:pPr>
        <w:ind w:left="5040" w:hanging="360"/>
      </w:pPr>
      <w:rPr>
        <w:rFonts w:ascii="Symbol" w:hAnsi="Symbol" w:hint="default"/>
      </w:rPr>
    </w:lvl>
    <w:lvl w:ilvl="7" w:tplc="F0A0DC36">
      <w:start w:val="1"/>
      <w:numFmt w:val="bullet"/>
      <w:lvlText w:val="o"/>
      <w:lvlJc w:val="left"/>
      <w:pPr>
        <w:ind w:left="5760" w:hanging="360"/>
      </w:pPr>
      <w:rPr>
        <w:rFonts w:ascii="Courier New" w:hAnsi="Courier New" w:hint="default"/>
      </w:rPr>
    </w:lvl>
    <w:lvl w:ilvl="8" w:tplc="BBB21FE2">
      <w:start w:val="1"/>
      <w:numFmt w:val="bullet"/>
      <w:lvlText w:val=""/>
      <w:lvlJc w:val="left"/>
      <w:pPr>
        <w:ind w:left="6480" w:hanging="360"/>
      </w:pPr>
      <w:rPr>
        <w:rFonts w:ascii="Wingdings" w:hAnsi="Wingdings" w:hint="default"/>
      </w:rPr>
    </w:lvl>
  </w:abstractNum>
  <w:abstractNum w:abstractNumId="44" w15:restartNumberingAfterBreak="0">
    <w:nsid w:val="63352455"/>
    <w:multiLevelType w:val="multilevel"/>
    <w:tmpl w:val="EDF0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EF0261"/>
    <w:multiLevelType w:val="multilevel"/>
    <w:tmpl w:val="D122B7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65152BA8"/>
    <w:multiLevelType w:val="multilevel"/>
    <w:tmpl w:val="1864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354AA9"/>
    <w:multiLevelType w:val="multilevel"/>
    <w:tmpl w:val="8A30D7BA"/>
    <w:lvl w:ilvl="0">
      <w:start w:val="1"/>
      <w:numFmt w:val="decimal"/>
      <w:lvlText w:val="%1."/>
      <w:lvlJc w:val="left"/>
      <w:pPr>
        <w:ind w:left="720" w:hanging="360"/>
      </w:pPr>
      <w:rPr>
        <w:rFonts w:hint="default"/>
        <w:b/>
        <w:bCs/>
      </w:rPr>
    </w:lvl>
    <w:lvl w:ilvl="1">
      <w:start w:val="1"/>
      <w:numFmt w:val="lowerRoman"/>
      <w:lvlText w:val="%2."/>
      <w:lvlJc w:val="right"/>
      <w:pPr>
        <w:tabs>
          <w:tab w:val="num" w:pos="0"/>
        </w:tabs>
        <w:ind w:left="1440" w:hanging="360"/>
      </w:pPr>
      <w:rPr>
        <w:b/>
        <w:bCs/>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665935DE"/>
    <w:multiLevelType w:val="multilevel"/>
    <w:tmpl w:val="6CF67B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67929C1B"/>
    <w:multiLevelType w:val="multilevel"/>
    <w:tmpl w:val="AE266B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688B59B3"/>
    <w:multiLevelType w:val="multilevel"/>
    <w:tmpl w:val="C5A042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6A195F0B"/>
    <w:multiLevelType w:val="hybridMultilevel"/>
    <w:tmpl w:val="2370E9B0"/>
    <w:lvl w:ilvl="0" w:tplc="8D7C4512">
      <w:start w:val="1"/>
      <w:numFmt w:val="lowerRoman"/>
      <w:lvlText w:val="%1."/>
      <w:lvlJc w:val="right"/>
      <w:pPr>
        <w:ind w:left="720" w:hanging="360"/>
      </w:pPr>
    </w:lvl>
    <w:lvl w:ilvl="1" w:tplc="31307526">
      <w:start w:val="1"/>
      <w:numFmt w:val="lowerLetter"/>
      <w:lvlText w:val="%2."/>
      <w:lvlJc w:val="left"/>
      <w:pPr>
        <w:ind w:left="1440" w:hanging="360"/>
      </w:pPr>
    </w:lvl>
    <w:lvl w:ilvl="2" w:tplc="8C04FF4C">
      <w:start w:val="1"/>
      <w:numFmt w:val="lowerRoman"/>
      <w:lvlText w:val="%3."/>
      <w:lvlJc w:val="right"/>
      <w:pPr>
        <w:ind w:left="2160" w:hanging="180"/>
      </w:pPr>
    </w:lvl>
    <w:lvl w:ilvl="3" w:tplc="D4AEAD3C">
      <w:start w:val="1"/>
      <w:numFmt w:val="decimal"/>
      <w:lvlText w:val="%4."/>
      <w:lvlJc w:val="left"/>
      <w:pPr>
        <w:ind w:left="2880" w:hanging="360"/>
      </w:pPr>
    </w:lvl>
    <w:lvl w:ilvl="4" w:tplc="5B203D6C">
      <w:start w:val="1"/>
      <w:numFmt w:val="lowerLetter"/>
      <w:lvlText w:val="%5."/>
      <w:lvlJc w:val="left"/>
      <w:pPr>
        <w:ind w:left="3600" w:hanging="360"/>
      </w:pPr>
    </w:lvl>
    <w:lvl w:ilvl="5" w:tplc="A884479E">
      <w:start w:val="1"/>
      <w:numFmt w:val="lowerRoman"/>
      <w:lvlText w:val="%6."/>
      <w:lvlJc w:val="right"/>
      <w:pPr>
        <w:ind w:left="4320" w:hanging="180"/>
      </w:pPr>
    </w:lvl>
    <w:lvl w:ilvl="6" w:tplc="0AC23620">
      <w:start w:val="1"/>
      <w:numFmt w:val="decimal"/>
      <w:lvlText w:val="%7."/>
      <w:lvlJc w:val="left"/>
      <w:pPr>
        <w:ind w:left="5040" w:hanging="360"/>
      </w:pPr>
    </w:lvl>
    <w:lvl w:ilvl="7" w:tplc="B3A446D4">
      <w:start w:val="1"/>
      <w:numFmt w:val="lowerLetter"/>
      <w:lvlText w:val="%8."/>
      <w:lvlJc w:val="left"/>
      <w:pPr>
        <w:ind w:left="5760" w:hanging="360"/>
      </w:pPr>
    </w:lvl>
    <w:lvl w:ilvl="8" w:tplc="A40627FE">
      <w:start w:val="1"/>
      <w:numFmt w:val="lowerRoman"/>
      <w:lvlText w:val="%9."/>
      <w:lvlJc w:val="right"/>
      <w:pPr>
        <w:ind w:left="6480" w:hanging="180"/>
      </w:pPr>
    </w:lvl>
  </w:abstractNum>
  <w:abstractNum w:abstractNumId="52" w15:restartNumberingAfterBreak="0">
    <w:nsid w:val="6C095A6A"/>
    <w:multiLevelType w:val="multilevel"/>
    <w:tmpl w:val="AB94EE56"/>
    <w:lvl w:ilvl="0">
      <w:numFmt w:val="bullet"/>
      <w:lvlText w:val="-"/>
      <w:lvlJc w:val="left"/>
      <w:pPr>
        <w:tabs>
          <w:tab w:val="num" w:pos="0"/>
        </w:tabs>
        <w:ind w:left="720" w:hanging="360"/>
      </w:pPr>
      <w:rPr>
        <w:rFonts w:ascii="Arial" w:hAnsi="Arial" w:cs="Arial" w:hint="default"/>
      </w:rPr>
    </w:lvl>
    <w:lvl w:ilvl="1">
      <w:start w:val="1"/>
      <w:numFmt w:val="lowerRoman"/>
      <w:lvlText w:val="%2."/>
      <w:lvlJc w:val="right"/>
      <w:pPr>
        <w:tabs>
          <w:tab w:val="num" w:pos="0"/>
        </w:tabs>
        <w:ind w:left="1440" w:hanging="360"/>
      </w:pPr>
      <w:rPr>
        <w:b/>
        <w:bCs/>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711EA700"/>
    <w:multiLevelType w:val="hybridMultilevel"/>
    <w:tmpl w:val="E182E046"/>
    <w:lvl w:ilvl="0" w:tplc="A2DC4158">
      <w:start w:val="1"/>
      <w:numFmt w:val="bullet"/>
      <w:lvlText w:val=""/>
      <w:lvlJc w:val="left"/>
      <w:pPr>
        <w:ind w:left="720" w:hanging="360"/>
      </w:pPr>
      <w:rPr>
        <w:rFonts w:ascii="Symbol" w:hAnsi="Symbol" w:hint="default"/>
      </w:rPr>
    </w:lvl>
    <w:lvl w:ilvl="1" w:tplc="39D0507C">
      <w:start w:val="1"/>
      <w:numFmt w:val="bullet"/>
      <w:lvlText w:val="o"/>
      <w:lvlJc w:val="left"/>
      <w:pPr>
        <w:ind w:left="1440" w:hanging="360"/>
      </w:pPr>
      <w:rPr>
        <w:rFonts w:ascii="Courier New" w:hAnsi="Courier New" w:hint="default"/>
      </w:rPr>
    </w:lvl>
    <w:lvl w:ilvl="2" w:tplc="1F44E280">
      <w:start w:val="1"/>
      <w:numFmt w:val="bullet"/>
      <w:lvlText w:val=""/>
      <w:lvlJc w:val="left"/>
      <w:pPr>
        <w:ind w:left="2160" w:hanging="360"/>
      </w:pPr>
      <w:rPr>
        <w:rFonts w:ascii="Wingdings" w:hAnsi="Wingdings" w:hint="default"/>
      </w:rPr>
    </w:lvl>
    <w:lvl w:ilvl="3" w:tplc="0590C3FA">
      <w:start w:val="1"/>
      <w:numFmt w:val="bullet"/>
      <w:lvlText w:val=""/>
      <w:lvlJc w:val="left"/>
      <w:pPr>
        <w:ind w:left="2880" w:hanging="360"/>
      </w:pPr>
      <w:rPr>
        <w:rFonts w:ascii="Symbol" w:hAnsi="Symbol" w:hint="default"/>
      </w:rPr>
    </w:lvl>
    <w:lvl w:ilvl="4" w:tplc="E44A86CE">
      <w:start w:val="1"/>
      <w:numFmt w:val="bullet"/>
      <w:lvlText w:val="o"/>
      <w:lvlJc w:val="left"/>
      <w:pPr>
        <w:ind w:left="3600" w:hanging="360"/>
      </w:pPr>
      <w:rPr>
        <w:rFonts w:ascii="Courier New" w:hAnsi="Courier New" w:hint="default"/>
      </w:rPr>
    </w:lvl>
    <w:lvl w:ilvl="5" w:tplc="1A021226">
      <w:start w:val="1"/>
      <w:numFmt w:val="bullet"/>
      <w:lvlText w:val=""/>
      <w:lvlJc w:val="left"/>
      <w:pPr>
        <w:ind w:left="4320" w:hanging="360"/>
      </w:pPr>
      <w:rPr>
        <w:rFonts w:ascii="Wingdings" w:hAnsi="Wingdings" w:hint="default"/>
      </w:rPr>
    </w:lvl>
    <w:lvl w:ilvl="6" w:tplc="9724E876">
      <w:start w:val="1"/>
      <w:numFmt w:val="bullet"/>
      <w:lvlText w:val=""/>
      <w:lvlJc w:val="left"/>
      <w:pPr>
        <w:ind w:left="5040" w:hanging="360"/>
      </w:pPr>
      <w:rPr>
        <w:rFonts w:ascii="Symbol" w:hAnsi="Symbol" w:hint="default"/>
      </w:rPr>
    </w:lvl>
    <w:lvl w:ilvl="7" w:tplc="9C12FE6E">
      <w:start w:val="1"/>
      <w:numFmt w:val="bullet"/>
      <w:lvlText w:val="o"/>
      <w:lvlJc w:val="left"/>
      <w:pPr>
        <w:ind w:left="5760" w:hanging="360"/>
      </w:pPr>
      <w:rPr>
        <w:rFonts w:ascii="Courier New" w:hAnsi="Courier New" w:hint="default"/>
      </w:rPr>
    </w:lvl>
    <w:lvl w:ilvl="8" w:tplc="4CC0D1C8">
      <w:start w:val="1"/>
      <w:numFmt w:val="bullet"/>
      <w:lvlText w:val=""/>
      <w:lvlJc w:val="left"/>
      <w:pPr>
        <w:ind w:left="6480" w:hanging="360"/>
      </w:pPr>
      <w:rPr>
        <w:rFonts w:ascii="Wingdings" w:hAnsi="Wingdings" w:hint="default"/>
      </w:rPr>
    </w:lvl>
  </w:abstractNum>
  <w:abstractNum w:abstractNumId="54" w15:restartNumberingAfterBreak="0">
    <w:nsid w:val="74AF3663"/>
    <w:multiLevelType w:val="hybridMultilevel"/>
    <w:tmpl w:val="74AC8FFC"/>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55" w15:restartNumberingAfterBreak="0">
    <w:nsid w:val="767778BE"/>
    <w:multiLevelType w:val="multilevel"/>
    <w:tmpl w:val="AB52DC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76C12BB1"/>
    <w:multiLevelType w:val="multilevel"/>
    <w:tmpl w:val="A4862892"/>
    <w:lvl w:ilvl="0">
      <w:start w:val="1"/>
      <w:numFmt w:val="decimal"/>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7A3A618A"/>
    <w:multiLevelType w:val="multilevel"/>
    <w:tmpl w:val="4E3C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CFA5367"/>
    <w:multiLevelType w:val="multilevel"/>
    <w:tmpl w:val="DFBCB354"/>
    <w:lvl w:ilvl="0">
      <w:start w:val="1"/>
      <w:numFmt w:val="decimal"/>
      <w:lvlText w:val="%1."/>
      <w:lvlJc w:val="left"/>
      <w:pPr>
        <w:tabs>
          <w:tab w:val="num" w:pos="0"/>
        </w:tabs>
        <w:ind w:left="720" w:hanging="360"/>
      </w:pPr>
      <w:rPr>
        <w:b/>
        <w:bCs/>
      </w:rPr>
    </w:lvl>
    <w:lvl w:ilvl="1">
      <w:start w:val="1"/>
      <w:numFmt w:val="lowerRoman"/>
      <w:lvlText w:val="%2."/>
      <w:lvlJc w:val="right"/>
      <w:pPr>
        <w:tabs>
          <w:tab w:val="num" w:pos="0"/>
        </w:tabs>
        <w:ind w:left="1440" w:hanging="360"/>
      </w:pPr>
      <w:rPr>
        <w:b/>
        <w:bCs/>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7D1D09AB"/>
    <w:multiLevelType w:val="multilevel"/>
    <w:tmpl w:val="1DCEC3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7EC525B3"/>
    <w:multiLevelType w:val="multilevel"/>
    <w:tmpl w:val="0DA283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num w:numId="1" w16cid:durableId="2010405937">
    <w:abstractNumId w:val="53"/>
  </w:num>
  <w:num w:numId="2" w16cid:durableId="1256596126">
    <w:abstractNumId w:val="14"/>
  </w:num>
  <w:num w:numId="3" w16cid:durableId="1804543983">
    <w:abstractNumId w:val="13"/>
  </w:num>
  <w:num w:numId="4" w16cid:durableId="472917099">
    <w:abstractNumId w:val="6"/>
  </w:num>
  <w:num w:numId="5" w16cid:durableId="1786271039">
    <w:abstractNumId w:val="45"/>
  </w:num>
  <w:num w:numId="6" w16cid:durableId="1298994436">
    <w:abstractNumId w:val="56"/>
  </w:num>
  <w:num w:numId="7" w16cid:durableId="674264220">
    <w:abstractNumId w:val="55"/>
  </w:num>
  <w:num w:numId="8" w16cid:durableId="1763717284">
    <w:abstractNumId w:val="59"/>
  </w:num>
  <w:num w:numId="9" w16cid:durableId="461928701">
    <w:abstractNumId w:val="35"/>
  </w:num>
  <w:num w:numId="10" w16cid:durableId="28797632">
    <w:abstractNumId w:val="4"/>
  </w:num>
  <w:num w:numId="11" w16cid:durableId="2062093104">
    <w:abstractNumId w:val="23"/>
  </w:num>
  <w:num w:numId="12" w16cid:durableId="694116102">
    <w:abstractNumId w:val="8"/>
  </w:num>
  <w:num w:numId="13" w16cid:durableId="1186401204">
    <w:abstractNumId w:val="0"/>
  </w:num>
  <w:num w:numId="14" w16cid:durableId="2019191395">
    <w:abstractNumId w:val="58"/>
  </w:num>
  <w:num w:numId="15" w16cid:durableId="1771730004">
    <w:abstractNumId w:val="50"/>
  </w:num>
  <w:num w:numId="16" w16cid:durableId="1710757241">
    <w:abstractNumId w:val="48"/>
  </w:num>
  <w:num w:numId="17" w16cid:durableId="1488862024">
    <w:abstractNumId w:val="32"/>
  </w:num>
  <w:num w:numId="18" w16cid:durableId="217672171">
    <w:abstractNumId w:val="16"/>
  </w:num>
  <w:num w:numId="19" w16cid:durableId="1189641675">
    <w:abstractNumId w:val="9"/>
  </w:num>
  <w:num w:numId="20" w16cid:durableId="299073469">
    <w:abstractNumId w:val="11"/>
  </w:num>
  <w:num w:numId="21" w16cid:durableId="1668902023">
    <w:abstractNumId w:val="12"/>
  </w:num>
  <w:num w:numId="22" w16cid:durableId="86273993">
    <w:abstractNumId w:val="18"/>
  </w:num>
  <w:num w:numId="23" w16cid:durableId="924608565">
    <w:abstractNumId w:val="20"/>
  </w:num>
  <w:num w:numId="24" w16cid:durableId="281811441">
    <w:abstractNumId w:val="34"/>
  </w:num>
  <w:num w:numId="25" w16cid:durableId="1072970056">
    <w:abstractNumId w:val="24"/>
  </w:num>
  <w:num w:numId="26" w16cid:durableId="1787697654">
    <w:abstractNumId w:val="31"/>
  </w:num>
  <w:num w:numId="27" w16cid:durableId="777137789">
    <w:abstractNumId w:val="49"/>
  </w:num>
  <w:num w:numId="28" w16cid:durableId="1438015201">
    <w:abstractNumId w:val="36"/>
  </w:num>
  <w:num w:numId="29" w16cid:durableId="73282493">
    <w:abstractNumId w:val="5"/>
  </w:num>
  <w:num w:numId="30" w16cid:durableId="107747419">
    <w:abstractNumId w:val="29"/>
  </w:num>
  <w:num w:numId="31" w16cid:durableId="246504045">
    <w:abstractNumId w:val="39"/>
  </w:num>
  <w:num w:numId="32" w16cid:durableId="535585656">
    <w:abstractNumId w:val="22"/>
  </w:num>
  <w:num w:numId="33" w16cid:durableId="1331983559">
    <w:abstractNumId w:val="52"/>
  </w:num>
  <w:num w:numId="34" w16cid:durableId="16350488">
    <w:abstractNumId w:val="47"/>
  </w:num>
  <w:num w:numId="35" w16cid:durableId="809177557">
    <w:abstractNumId w:val="41"/>
  </w:num>
  <w:num w:numId="36" w16cid:durableId="822893889">
    <w:abstractNumId w:val="42"/>
  </w:num>
  <w:num w:numId="37" w16cid:durableId="290135559">
    <w:abstractNumId w:val="43"/>
  </w:num>
  <w:num w:numId="38" w16cid:durableId="16274371">
    <w:abstractNumId w:val="33"/>
  </w:num>
  <w:num w:numId="39" w16cid:durableId="143282319">
    <w:abstractNumId w:val="17"/>
  </w:num>
  <w:num w:numId="40" w16cid:durableId="2141653435">
    <w:abstractNumId w:val="60"/>
  </w:num>
  <w:num w:numId="41" w16cid:durableId="1105727808">
    <w:abstractNumId w:val="3"/>
  </w:num>
  <w:num w:numId="42" w16cid:durableId="899242605">
    <w:abstractNumId w:val="10"/>
  </w:num>
  <w:num w:numId="43" w16cid:durableId="67534713">
    <w:abstractNumId w:val="19"/>
  </w:num>
  <w:num w:numId="44" w16cid:durableId="1181890805">
    <w:abstractNumId w:val="15"/>
  </w:num>
  <w:num w:numId="45" w16cid:durableId="823086407">
    <w:abstractNumId w:val="28"/>
  </w:num>
  <w:num w:numId="46" w16cid:durableId="20810973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68102607">
    <w:abstractNumId w:val="21"/>
  </w:num>
  <w:num w:numId="48" w16cid:durableId="1948001588">
    <w:abstractNumId w:val="7"/>
  </w:num>
  <w:num w:numId="49" w16cid:durableId="523902237">
    <w:abstractNumId w:val="44"/>
  </w:num>
  <w:num w:numId="50" w16cid:durableId="270161703">
    <w:abstractNumId w:val="26"/>
  </w:num>
  <w:num w:numId="51" w16cid:durableId="1129662343">
    <w:abstractNumId w:val="30"/>
  </w:num>
  <w:num w:numId="52" w16cid:durableId="702242767">
    <w:abstractNumId w:val="37"/>
  </w:num>
  <w:num w:numId="53" w16cid:durableId="1524513915">
    <w:abstractNumId w:val="57"/>
  </w:num>
  <w:num w:numId="54" w16cid:durableId="38286362">
    <w:abstractNumId w:val="1"/>
  </w:num>
  <w:num w:numId="55" w16cid:durableId="1200892236">
    <w:abstractNumId w:val="25"/>
  </w:num>
  <w:num w:numId="56" w16cid:durableId="459150851">
    <w:abstractNumId w:val="46"/>
  </w:num>
  <w:num w:numId="57" w16cid:durableId="1818718175">
    <w:abstractNumId w:val="2"/>
  </w:num>
  <w:num w:numId="58" w16cid:durableId="1506170944">
    <w:abstractNumId w:val="40"/>
  </w:num>
  <w:num w:numId="59" w16cid:durableId="529798689">
    <w:abstractNumId w:val="27"/>
  </w:num>
  <w:num w:numId="60" w16cid:durableId="789856871">
    <w:abstractNumId w:val="38"/>
  </w:num>
  <w:num w:numId="61" w16cid:durableId="188221506">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60A"/>
    <w:rsid w:val="00000152"/>
    <w:rsid w:val="0000160A"/>
    <w:rsid w:val="00002042"/>
    <w:rsid w:val="000021ED"/>
    <w:rsid w:val="00002A6F"/>
    <w:rsid w:val="000033A7"/>
    <w:rsid w:val="00003476"/>
    <w:rsid w:val="0000349E"/>
    <w:rsid w:val="00003E82"/>
    <w:rsid w:val="00003EA6"/>
    <w:rsid w:val="00003F0A"/>
    <w:rsid w:val="000041B6"/>
    <w:rsid w:val="0000461C"/>
    <w:rsid w:val="0000479B"/>
    <w:rsid w:val="000047FA"/>
    <w:rsid w:val="000048DA"/>
    <w:rsid w:val="00004A22"/>
    <w:rsid w:val="0000507E"/>
    <w:rsid w:val="000053B1"/>
    <w:rsid w:val="0000576A"/>
    <w:rsid w:val="00005BF2"/>
    <w:rsid w:val="00005C2C"/>
    <w:rsid w:val="00005E93"/>
    <w:rsid w:val="00005E95"/>
    <w:rsid w:val="0000606A"/>
    <w:rsid w:val="0000631A"/>
    <w:rsid w:val="0000689C"/>
    <w:rsid w:val="00006D59"/>
    <w:rsid w:val="000075DD"/>
    <w:rsid w:val="00007648"/>
    <w:rsid w:val="00007684"/>
    <w:rsid w:val="000077E8"/>
    <w:rsid w:val="00007997"/>
    <w:rsid w:val="00007DF9"/>
    <w:rsid w:val="00007F65"/>
    <w:rsid w:val="00010389"/>
    <w:rsid w:val="000107E2"/>
    <w:rsid w:val="00010817"/>
    <w:rsid w:val="00010DDF"/>
    <w:rsid w:val="000110BE"/>
    <w:rsid w:val="000114B1"/>
    <w:rsid w:val="000115A1"/>
    <w:rsid w:val="000115FB"/>
    <w:rsid w:val="000117E0"/>
    <w:rsid w:val="000119F0"/>
    <w:rsid w:val="00011F56"/>
    <w:rsid w:val="00012149"/>
    <w:rsid w:val="00012DB1"/>
    <w:rsid w:val="00013A2F"/>
    <w:rsid w:val="00013CB1"/>
    <w:rsid w:val="00013D95"/>
    <w:rsid w:val="00013E72"/>
    <w:rsid w:val="000143B1"/>
    <w:rsid w:val="0001477E"/>
    <w:rsid w:val="000147D1"/>
    <w:rsid w:val="000151A0"/>
    <w:rsid w:val="00015831"/>
    <w:rsid w:val="00015A91"/>
    <w:rsid w:val="00015ACB"/>
    <w:rsid w:val="00015DA7"/>
    <w:rsid w:val="00015E11"/>
    <w:rsid w:val="00016065"/>
    <w:rsid w:val="00016456"/>
    <w:rsid w:val="000166B4"/>
    <w:rsid w:val="00016CB4"/>
    <w:rsid w:val="00016D76"/>
    <w:rsid w:val="00017178"/>
    <w:rsid w:val="00017413"/>
    <w:rsid w:val="00017805"/>
    <w:rsid w:val="00017D7B"/>
    <w:rsid w:val="00017F35"/>
    <w:rsid w:val="000203B4"/>
    <w:rsid w:val="0002077B"/>
    <w:rsid w:val="00020C8E"/>
    <w:rsid w:val="00020DE6"/>
    <w:rsid w:val="0002112F"/>
    <w:rsid w:val="000217BD"/>
    <w:rsid w:val="000218B5"/>
    <w:rsid w:val="00021D4B"/>
    <w:rsid w:val="00023606"/>
    <w:rsid w:val="0002362B"/>
    <w:rsid w:val="00023708"/>
    <w:rsid w:val="00023974"/>
    <w:rsid w:val="00023BD4"/>
    <w:rsid w:val="00023C75"/>
    <w:rsid w:val="00023D30"/>
    <w:rsid w:val="0002484B"/>
    <w:rsid w:val="00024D4C"/>
    <w:rsid w:val="000250D2"/>
    <w:rsid w:val="000252EC"/>
    <w:rsid w:val="00025646"/>
    <w:rsid w:val="000256C2"/>
    <w:rsid w:val="00025A2C"/>
    <w:rsid w:val="00025E2D"/>
    <w:rsid w:val="000266EB"/>
    <w:rsid w:val="0002690F"/>
    <w:rsid w:val="00026DC7"/>
    <w:rsid w:val="00026F9A"/>
    <w:rsid w:val="00027806"/>
    <w:rsid w:val="0003007F"/>
    <w:rsid w:val="00030975"/>
    <w:rsid w:val="000309F7"/>
    <w:rsid w:val="000317AD"/>
    <w:rsid w:val="00031B1E"/>
    <w:rsid w:val="0003254A"/>
    <w:rsid w:val="00032614"/>
    <w:rsid w:val="000329DD"/>
    <w:rsid w:val="0003303E"/>
    <w:rsid w:val="000335D8"/>
    <w:rsid w:val="0003384F"/>
    <w:rsid w:val="00033F69"/>
    <w:rsid w:val="00033FB0"/>
    <w:rsid w:val="000340C6"/>
    <w:rsid w:val="000342D2"/>
    <w:rsid w:val="000346EC"/>
    <w:rsid w:val="000346F0"/>
    <w:rsid w:val="000348AA"/>
    <w:rsid w:val="00034A7B"/>
    <w:rsid w:val="00034AC9"/>
    <w:rsid w:val="00035177"/>
    <w:rsid w:val="0003554C"/>
    <w:rsid w:val="000355E1"/>
    <w:rsid w:val="0003565E"/>
    <w:rsid w:val="00035ADB"/>
    <w:rsid w:val="00035B9C"/>
    <w:rsid w:val="00035DFC"/>
    <w:rsid w:val="00035E61"/>
    <w:rsid w:val="00035FE4"/>
    <w:rsid w:val="00036432"/>
    <w:rsid w:val="00036C60"/>
    <w:rsid w:val="00036F95"/>
    <w:rsid w:val="00036FFA"/>
    <w:rsid w:val="00036FFF"/>
    <w:rsid w:val="00037705"/>
    <w:rsid w:val="000377B6"/>
    <w:rsid w:val="00037A26"/>
    <w:rsid w:val="000403D8"/>
    <w:rsid w:val="0004043A"/>
    <w:rsid w:val="00040451"/>
    <w:rsid w:val="000405F1"/>
    <w:rsid w:val="00040A79"/>
    <w:rsid w:val="000411B3"/>
    <w:rsid w:val="00041E3A"/>
    <w:rsid w:val="00041F9F"/>
    <w:rsid w:val="00042067"/>
    <w:rsid w:val="00042370"/>
    <w:rsid w:val="00042526"/>
    <w:rsid w:val="0004343E"/>
    <w:rsid w:val="00043877"/>
    <w:rsid w:val="00043D85"/>
    <w:rsid w:val="00043DBB"/>
    <w:rsid w:val="000440B5"/>
    <w:rsid w:val="00044175"/>
    <w:rsid w:val="000443C9"/>
    <w:rsid w:val="00044494"/>
    <w:rsid w:val="00044674"/>
    <w:rsid w:val="00045113"/>
    <w:rsid w:val="0004513A"/>
    <w:rsid w:val="000456BD"/>
    <w:rsid w:val="000459AD"/>
    <w:rsid w:val="0004628B"/>
    <w:rsid w:val="00046644"/>
    <w:rsid w:val="000467AB"/>
    <w:rsid w:val="0004690B"/>
    <w:rsid w:val="00047000"/>
    <w:rsid w:val="000473F3"/>
    <w:rsid w:val="000475C2"/>
    <w:rsid w:val="00047D1E"/>
    <w:rsid w:val="00050218"/>
    <w:rsid w:val="00050308"/>
    <w:rsid w:val="00050817"/>
    <w:rsid w:val="00050A47"/>
    <w:rsid w:val="00050B6B"/>
    <w:rsid w:val="00050FE6"/>
    <w:rsid w:val="0005132C"/>
    <w:rsid w:val="000514DA"/>
    <w:rsid w:val="000514EE"/>
    <w:rsid w:val="000516A5"/>
    <w:rsid w:val="00051AB4"/>
    <w:rsid w:val="00051F78"/>
    <w:rsid w:val="0005213B"/>
    <w:rsid w:val="00052419"/>
    <w:rsid w:val="0005243E"/>
    <w:rsid w:val="00052723"/>
    <w:rsid w:val="00052ABC"/>
    <w:rsid w:val="0005307C"/>
    <w:rsid w:val="00053F28"/>
    <w:rsid w:val="00054190"/>
    <w:rsid w:val="00054D81"/>
    <w:rsid w:val="00054F7E"/>
    <w:rsid w:val="00055237"/>
    <w:rsid w:val="00055373"/>
    <w:rsid w:val="00055417"/>
    <w:rsid w:val="000555E3"/>
    <w:rsid w:val="0005587B"/>
    <w:rsid w:val="00055B5D"/>
    <w:rsid w:val="00055C82"/>
    <w:rsid w:val="00055D3D"/>
    <w:rsid w:val="00055E9B"/>
    <w:rsid w:val="0005601D"/>
    <w:rsid w:val="0005609F"/>
    <w:rsid w:val="00056140"/>
    <w:rsid w:val="000563C0"/>
    <w:rsid w:val="0005653A"/>
    <w:rsid w:val="000569CE"/>
    <w:rsid w:val="00056BCA"/>
    <w:rsid w:val="00056BF1"/>
    <w:rsid w:val="00056E60"/>
    <w:rsid w:val="00056EB9"/>
    <w:rsid w:val="00056F3A"/>
    <w:rsid w:val="00060212"/>
    <w:rsid w:val="000602C4"/>
    <w:rsid w:val="000603C4"/>
    <w:rsid w:val="00060AA9"/>
    <w:rsid w:val="00060BEE"/>
    <w:rsid w:val="0006142D"/>
    <w:rsid w:val="000614AB"/>
    <w:rsid w:val="00061929"/>
    <w:rsid w:val="00061B92"/>
    <w:rsid w:val="00061BB0"/>
    <w:rsid w:val="00061D3A"/>
    <w:rsid w:val="0006229B"/>
    <w:rsid w:val="0006234D"/>
    <w:rsid w:val="00062E10"/>
    <w:rsid w:val="00062F01"/>
    <w:rsid w:val="00062F44"/>
    <w:rsid w:val="00063282"/>
    <w:rsid w:val="00063453"/>
    <w:rsid w:val="00063BD8"/>
    <w:rsid w:val="00063EAB"/>
    <w:rsid w:val="000641FB"/>
    <w:rsid w:val="00064275"/>
    <w:rsid w:val="000642F9"/>
    <w:rsid w:val="00064752"/>
    <w:rsid w:val="000654AD"/>
    <w:rsid w:val="00065C2D"/>
    <w:rsid w:val="000667D7"/>
    <w:rsid w:val="00066928"/>
    <w:rsid w:val="0006696A"/>
    <w:rsid w:val="00066B69"/>
    <w:rsid w:val="00066D9B"/>
    <w:rsid w:val="00066FA6"/>
    <w:rsid w:val="0006715E"/>
    <w:rsid w:val="000706C3"/>
    <w:rsid w:val="0007071F"/>
    <w:rsid w:val="000708C6"/>
    <w:rsid w:val="00070F3D"/>
    <w:rsid w:val="000724E2"/>
    <w:rsid w:val="0007364E"/>
    <w:rsid w:val="000737BA"/>
    <w:rsid w:val="000738D3"/>
    <w:rsid w:val="00073FF8"/>
    <w:rsid w:val="00074265"/>
    <w:rsid w:val="00074365"/>
    <w:rsid w:val="00074C3A"/>
    <w:rsid w:val="00074EDF"/>
    <w:rsid w:val="000753B5"/>
    <w:rsid w:val="00075408"/>
    <w:rsid w:val="000758FC"/>
    <w:rsid w:val="00076073"/>
    <w:rsid w:val="00076502"/>
    <w:rsid w:val="000765DF"/>
    <w:rsid w:val="00076615"/>
    <w:rsid w:val="00076C40"/>
    <w:rsid w:val="00076CA2"/>
    <w:rsid w:val="00076F4C"/>
    <w:rsid w:val="0007711F"/>
    <w:rsid w:val="0007767C"/>
    <w:rsid w:val="0007776F"/>
    <w:rsid w:val="000777AA"/>
    <w:rsid w:val="00077B8F"/>
    <w:rsid w:val="0008018F"/>
    <w:rsid w:val="0008040E"/>
    <w:rsid w:val="0008041F"/>
    <w:rsid w:val="00080BB3"/>
    <w:rsid w:val="00080EF9"/>
    <w:rsid w:val="00081223"/>
    <w:rsid w:val="0008264A"/>
    <w:rsid w:val="000827D0"/>
    <w:rsid w:val="00083218"/>
    <w:rsid w:val="00083735"/>
    <w:rsid w:val="00083A6F"/>
    <w:rsid w:val="00083EDB"/>
    <w:rsid w:val="00084139"/>
    <w:rsid w:val="00084CFE"/>
    <w:rsid w:val="0008594C"/>
    <w:rsid w:val="00085B6E"/>
    <w:rsid w:val="00085D33"/>
    <w:rsid w:val="00085D89"/>
    <w:rsid w:val="000860CD"/>
    <w:rsid w:val="00086293"/>
    <w:rsid w:val="00086879"/>
    <w:rsid w:val="00086A83"/>
    <w:rsid w:val="00086DDF"/>
    <w:rsid w:val="00086E6B"/>
    <w:rsid w:val="000870CB"/>
    <w:rsid w:val="00087450"/>
    <w:rsid w:val="00087715"/>
    <w:rsid w:val="00087A08"/>
    <w:rsid w:val="00087DDC"/>
    <w:rsid w:val="00087F85"/>
    <w:rsid w:val="00090506"/>
    <w:rsid w:val="00090A49"/>
    <w:rsid w:val="00090F9A"/>
    <w:rsid w:val="00090FB5"/>
    <w:rsid w:val="0009136E"/>
    <w:rsid w:val="00091436"/>
    <w:rsid w:val="00091836"/>
    <w:rsid w:val="00092007"/>
    <w:rsid w:val="00092122"/>
    <w:rsid w:val="00092C97"/>
    <w:rsid w:val="000934D7"/>
    <w:rsid w:val="000937A5"/>
    <w:rsid w:val="00093A19"/>
    <w:rsid w:val="0009422F"/>
    <w:rsid w:val="00094280"/>
    <w:rsid w:val="00094754"/>
    <w:rsid w:val="00094A0D"/>
    <w:rsid w:val="00095252"/>
    <w:rsid w:val="000953E8"/>
    <w:rsid w:val="00095405"/>
    <w:rsid w:val="0009615F"/>
    <w:rsid w:val="0009631E"/>
    <w:rsid w:val="00096825"/>
    <w:rsid w:val="0009709A"/>
    <w:rsid w:val="0009739A"/>
    <w:rsid w:val="0009770B"/>
    <w:rsid w:val="00097DD4"/>
    <w:rsid w:val="000A034E"/>
    <w:rsid w:val="000A055D"/>
    <w:rsid w:val="000A1254"/>
    <w:rsid w:val="000A13C3"/>
    <w:rsid w:val="000A14EB"/>
    <w:rsid w:val="000A17BA"/>
    <w:rsid w:val="000A1D97"/>
    <w:rsid w:val="000A1F3A"/>
    <w:rsid w:val="000A1F55"/>
    <w:rsid w:val="000A21EE"/>
    <w:rsid w:val="000A25A6"/>
    <w:rsid w:val="000A268E"/>
    <w:rsid w:val="000A2701"/>
    <w:rsid w:val="000A27E0"/>
    <w:rsid w:val="000A2E80"/>
    <w:rsid w:val="000A3012"/>
    <w:rsid w:val="000A30CA"/>
    <w:rsid w:val="000A3405"/>
    <w:rsid w:val="000A3F51"/>
    <w:rsid w:val="000A4C50"/>
    <w:rsid w:val="000A55C3"/>
    <w:rsid w:val="000A5F52"/>
    <w:rsid w:val="000A6530"/>
    <w:rsid w:val="000A6E89"/>
    <w:rsid w:val="000A70E3"/>
    <w:rsid w:val="000A7504"/>
    <w:rsid w:val="000B0187"/>
    <w:rsid w:val="000B0523"/>
    <w:rsid w:val="000B07D5"/>
    <w:rsid w:val="000B0BD0"/>
    <w:rsid w:val="000B0C45"/>
    <w:rsid w:val="000B0EE2"/>
    <w:rsid w:val="000B1AF5"/>
    <w:rsid w:val="000B213D"/>
    <w:rsid w:val="000B2466"/>
    <w:rsid w:val="000B254A"/>
    <w:rsid w:val="000B28DD"/>
    <w:rsid w:val="000B2E78"/>
    <w:rsid w:val="000B33DC"/>
    <w:rsid w:val="000B350B"/>
    <w:rsid w:val="000B36D2"/>
    <w:rsid w:val="000B3913"/>
    <w:rsid w:val="000B3987"/>
    <w:rsid w:val="000B3A4B"/>
    <w:rsid w:val="000B3E8C"/>
    <w:rsid w:val="000B421E"/>
    <w:rsid w:val="000B4266"/>
    <w:rsid w:val="000B452B"/>
    <w:rsid w:val="000B4540"/>
    <w:rsid w:val="000B46F0"/>
    <w:rsid w:val="000B4A72"/>
    <w:rsid w:val="000B4CF0"/>
    <w:rsid w:val="000B4EC0"/>
    <w:rsid w:val="000B4FE2"/>
    <w:rsid w:val="000B522B"/>
    <w:rsid w:val="000B5488"/>
    <w:rsid w:val="000B54FE"/>
    <w:rsid w:val="000B6000"/>
    <w:rsid w:val="000B63BC"/>
    <w:rsid w:val="000B65DF"/>
    <w:rsid w:val="000B6860"/>
    <w:rsid w:val="000B68C1"/>
    <w:rsid w:val="000B70FF"/>
    <w:rsid w:val="000B7128"/>
    <w:rsid w:val="000B713D"/>
    <w:rsid w:val="000B7680"/>
    <w:rsid w:val="000B7B0F"/>
    <w:rsid w:val="000B7EC5"/>
    <w:rsid w:val="000C0038"/>
    <w:rsid w:val="000C0125"/>
    <w:rsid w:val="000C03DC"/>
    <w:rsid w:val="000C040E"/>
    <w:rsid w:val="000C06FE"/>
    <w:rsid w:val="000C0708"/>
    <w:rsid w:val="000C0924"/>
    <w:rsid w:val="000C0990"/>
    <w:rsid w:val="000C0F2D"/>
    <w:rsid w:val="000C0F41"/>
    <w:rsid w:val="000C14EC"/>
    <w:rsid w:val="000C17E2"/>
    <w:rsid w:val="000C1C30"/>
    <w:rsid w:val="000C2083"/>
    <w:rsid w:val="000C20FC"/>
    <w:rsid w:val="000C266B"/>
    <w:rsid w:val="000C2867"/>
    <w:rsid w:val="000C2ABB"/>
    <w:rsid w:val="000C2B56"/>
    <w:rsid w:val="000C2C80"/>
    <w:rsid w:val="000C2CF5"/>
    <w:rsid w:val="000C2FDC"/>
    <w:rsid w:val="000C30AA"/>
    <w:rsid w:val="000C3675"/>
    <w:rsid w:val="000C3DB6"/>
    <w:rsid w:val="000C435B"/>
    <w:rsid w:val="000C4434"/>
    <w:rsid w:val="000C4472"/>
    <w:rsid w:val="000C448E"/>
    <w:rsid w:val="000C48BE"/>
    <w:rsid w:val="000C4A36"/>
    <w:rsid w:val="000C59E1"/>
    <w:rsid w:val="000C5BF8"/>
    <w:rsid w:val="000C637A"/>
    <w:rsid w:val="000C66AA"/>
    <w:rsid w:val="000C6B42"/>
    <w:rsid w:val="000C7D30"/>
    <w:rsid w:val="000D0472"/>
    <w:rsid w:val="000D0900"/>
    <w:rsid w:val="000D0A63"/>
    <w:rsid w:val="000D1588"/>
    <w:rsid w:val="000D1679"/>
    <w:rsid w:val="000D17C8"/>
    <w:rsid w:val="000D217B"/>
    <w:rsid w:val="000D21CE"/>
    <w:rsid w:val="000D21D2"/>
    <w:rsid w:val="000D3214"/>
    <w:rsid w:val="000D34E2"/>
    <w:rsid w:val="000D363B"/>
    <w:rsid w:val="000D36A4"/>
    <w:rsid w:val="000D398C"/>
    <w:rsid w:val="000D459D"/>
    <w:rsid w:val="000D4635"/>
    <w:rsid w:val="000D4A0F"/>
    <w:rsid w:val="000D51F1"/>
    <w:rsid w:val="000D5624"/>
    <w:rsid w:val="000D5C6B"/>
    <w:rsid w:val="000D6455"/>
    <w:rsid w:val="000D64C0"/>
    <w:rsid w:val="000D66EB"/>
    <w:rsid w:val="000D673F"/>
    <w:rsid w:val="000D6C4B"/>
    <w:rsid w:val="000D7218"/>
    <w:rsid w:val="000D7278"/>
    <w:rsid w:val="000D7885"/>
    <w:rsid w:val="000E0772"/>
    <w:rsid w:val="000E0778"/>
    <w:rsid w:val="000E0952"/>
    <w:rsid w:val="000E0D5C"/>
    <w:rsid w:val="000E11B2"/>
    <w:rsid w:val="000E1243"/>
    <w:rsid w:val="000E148B"/>
    <w:rsid w:val="000E26E8"/>
    <w:rsid w:val="000E2714"/>
    <w:rsid w:val="000E276F"/>
    <w:rsid w:val="000E2869"/>
    <w:rsid w:val="000E3328"/>
    <w:rsid w:val="000E33B6"/>
    <w:rsid w:val="000E3854"/>
    <w:rsid w:val="000E3948"/>
    <w:rsid w:val="000E40BE"/>
    <w:rsid w:val="000E445C"/>
    <w:rsid w:val="000E4CB4"/>
    <w:rsid w:val="000E5136"/>
    <w:rsid w:val="000E5CC7"/>
    <w:rsid w:val="000E618B"/>
    <w:rsid w:val="000E6328"/>
    <w:rsid w:val="000E6B51"/>
    <w:rsid w:val="000E7005"/>
    <w:rsid w:val="000E719F"/>
    <w:rsid w:val="000E7391"/>
    <w:rsid w:val="000E7548"/>
    <w:rsid w:val="000E79E3"/>
    <w:rsid w:val="000E7CD6"/>
    <w:rsid w:val="000E7D60"/>
    <w:rsid w:val="000F05A6"/>
    <w:rsid w:val="000F08FC"/>
    <w:rsid w:val="000F0F42"/>
    <w:rsid w:val="000F15EB"/>
    <w:rsid w:val="000F1654"/>
    <w:rsid w:val="000F1663"/>
    <w:rsid w:val="000F1822"/>
    <w:rsid w:val="000F1A60"/>
    <w:rsid w:val="000F236B"/>
    <w:rsid w:val="000F271E"/>
    <w:rsid w:val="000F2DE8"/>
    <w:rsid w:val="000F2F75"/>
    <w:rsid w:val="000F326A"/>
    <w:rsid w:val="000F3366"/>
    <w:rsid w:val="000F3912"/>
    <w:rsid w:val="000F3CED"/>
    <w:rsid w:val="000F3D0D"/>
    <w:rsid w:val="000F42A9"/>
    <w:rsid w:val="000F44D7"/>
    <w:rsid w:val="000F4B0B"/>
    <w:rsid w:val="000F5C94"/>
    <w:rsid w:val="000F60FE"/>
    <w:rsid w:val="000F69D4"/>
    <w:rsid w:val="000F6C48"/>
    <w:rsid w:val="000F7689"/>
    <w:rsid w:val="00100070"/>
    <w:rsid w:val="00100D4C"/>
    <w:rsid w:val="001017AC"/>
    <w:rsid w:val="00101CF4"/>
    <w:rsid w:val="00101D21"/>
    <w:rsid w:val="00102182"/>
    <w:rsid w:val="0010221B"/>
    <w:rsid w:val="00102270"/>
    <w:rsid w:val="00102299"/>
    <w:rsid w:val="00102898"/>
    <w:rsid w:val="001034BC"/>
    <w:rsid w:val="001035A2"/>
    <w:rsid w:val="00103802"/>
    <w:rsid w:val="00104184"/>
    <w:rsid w:val="001041A6"/>
    <w:rsid w:val="00104510"/>
    <w:rsid w:val="001057D0"/>
    <w:rsid w:val="00105E81"/>
    <w:rsid w:val="00106638"/>
    <w:rsid w:val="0010695B"/>
    <w:rsid w:val="00106A53"/>
    <w:rsid w:val="00106C01"/>
    <w:rsid w:val="001071B4"/>
    <w:rsid w:val="0010734D"/>
    <w:rsid w:val="001075C3"/>
    <w:rsid w:val="001079BA"/>
    <w:rsid w:val="00107A58"/>
    <w:rsid w:val="00107D2F"/>
    <w:rsid w:val="00107DB3"/>
    <w:rsid w:val="00107FF9"/>
    <w:rsid w:val="001100B2"/>
    <w:rsid w:val="001101D2"/>
    <w:rsid w:val="001107C0"/>
    <w:rsid w:val="00110A4C"/>
    <w:rsid w:val="00111972"/>
    <w:rsid w:val="001119D4"/>
    <w:rsid w:val="00111E04"/>
    <w:rsid w:val="001122B6"/>
    <w:rsid w:val="00112450"/>
    <w:rsid w:val="00112AC6"/>
    <w:rsid w:val="00112F5A"/>
    <w:rsid w:val="00113000"/>
    <w:rsid w:val="00113039"/>
    <w:rsid w:val="00113852"/>
    <w:rsid w:val="00113AC9"/>
    <w:rsid w:val="00113FD2"/>
    <w:rsid w:val="001140AC"/>
    <w:rsid w:val="00114FEF"/>
    <w:rsid w:val="00115186"/>
    <w:rsid w:val="00116083"/>
    <w:rsid w:val="00116214"/>
    <w:rsid w:val="00116365"/>
    <w:rsid w:val="00116486"/>
    <w:rsid w:val="00116E67"/>
    <w:rsid w:val="00116FA7"/>
    <w:rsid w:val="00117111"/>
    <w:rsid w:val="001171DD"/>
    <w:rsid w:val="00117604"/>
    <w:rsid w:val="001176FE"/>
    <w:rsid w:val="0011782E"/>
    <w:rsid w:val="001178AC"/>
    <w:rsid w:val="001203CF"/>
    <w:rsid w:val="00120416"/>
    <w:rsid w:val="00120447"/>
    <w:rsid w:val="00120B7C"/>
    <w:rsid w:val="00121D5B"/>
    <w:rsid w:val="0012225D"/>
    <w:rsid w:val="001226ED"/>
    <w:rsid w:val="00123427"/>
    <w:rsid w:val="001237C5"/>
    <w:rsid w:val="00123A05"/>
    <w:rsid w:val="00123AD9"/>
    <w:rsid w:val="00123C84"/>
    <w:rsid w:val="00123F4F"/>
    <w:rsid w:val="00124203"/>
    <w:rsid w:val="001247CD"/>
    <w:rsid w:val="001247D6"/>
    <w:rsid w:val="00125397"/>
    <w:rsid w:val="0012552C"/>
    <w:rsid w:val="00125D23"/>
    <w:rsid w:val="00125EFE"/>
    <w:rsid w:val="00126803"/>
    <w:rsid w:val="001268B7"/>
    <w:rsid w:val="00126905"/>
    <w:rsid w:val="00126985"/>
    <w:rsid w:val="00127C50"/>
    <w:rsid w:val="00127D2C"/>
    <w:rsid w:val="00127DAE"/>
    <w:rsid w:val="00127E51"/>
    <w:rsid w:val="00127E8C"/>
    <w:rsid w:val="00127FE0"/>
    <w:rsid w:val="001303D4"/>
    <w:rsid w:val="00130CF8"/>
    <w:rsid w:val="0013128D"/>
    <w:rsid w:val="00132490"/>
    <w:rsid w:val="001325EE"/>
    <w:rsid w:val="0013281C"/>
    <w:rsid w:val="00132D33"/>
    <w:rsid w:val="00132E25"/>
    <w:rsid w:val="0013314D"/>
    <w:rsid w:val="001332A2"/>
    <w:rsid w:val="00133463"/>
    <w:rsid w:val="00133788"/>
    <w:rsid w:val="00133927"/>
    <w:rsid w:val="00134666"/>
    <w:rsid w:val="00134A50"/>
    <w:rsid w:val="00135314"/>
    <w:rsid w:val="00135343"/>
    <w:rsid w:val="00135693"/>
    <w:rsid w:val="00135898"/>
    <w:rsid w:val="001359C2"/>
    <w:rsid w:val="00135B3F"/>
    <w:rsid w:val="00136C81"/>
    <w:rsid w:val="00136C92"/>
    <w:rsid w:val="00136CBE"/>
    <w:rsid w:val="00136DE9"/>
    <w:rsid w:val="00136E74"/>
    <w:rsid w:val="00137347"/>
    <w:rsid w:val="00137788"/>
    <w:rsid w:val="00137AE5"/>
    <w:rsid w:val="00140004"/>
    <w:rsid w:val="001406E9"/>
    <w:rsid w:val="00140B29"/>
    <w:rsid w:val="0014150D"/>
    <w:rsid w:val="00141AF8"/>
    <w:rsid w:val="00141B40"/>
    <w:rsid w:val="00141B4F"/>
    <w:rsid w:val="00142152"/>
    <w:rsid w:val="001421A0"/>
    <w:rsid w:val="001428A7"/>
    <w:rsid w:val="00142CB9"/>
    <w:rsid w:val="00142F03"/>
    <w:rsid w:val="001432B8"/>
    <w:rsid w:val="001434F1"/>
    <w:rsid w:val="00143657"/>
    <w:rsid w:val="0014370F"/>
    <w:rsid w:val="00144381"/>
    <w:rsid w:val="001443ED"/>
    <w:rsid w:val="001445C4"/>
    <w:rsid w:val="001446C0"/>
    <w:rsid w:val="001446C5"/>
    <w:rsid w:val="00144ACC"/>
    <w:rsid w:val="00144ADB"/>
    <w:rsid w:val="00144C16"/>
    <w:rsid w:val="00145646"/>
    <w:rsid w:val="001459FB"/>
    <w:rsid w:val="00145B22"/>
    <w:rsid w:val="00145F9A"/>
    <w:rsid w:val="00145F9B"/>
    <w:rsid w:val="001464AA"/>
    <w:rsid w:val="00146C01"/>
    <w:rsid w:val="0014767B"/>
    <w:rsid w:val="00147F39"/>
    <w:rsid w:val="00147FD1"/>
    <w:rsid w:val="00150130"/>
    <w:rsid w:val="00150316"/>
    <w:rsid w:val="00150388"/>
    <w:rsid w:val="00150667"/>
    <w:rsid w:val="00150774"/>
    <w:rsid w:val="00150969"/>
    <w:rsid w:val="00150B7E"/>
    <w:rsid w:val="00150C0E"/>
    <w:rsid w:val="00150C7A"/>
    <w:rsid w:val="0015133F"/>
    <w:rsid w:val="001515BA"/>
    <w:rsid w:val="001518F9"/>
    <w:rsid w:val="00151A0E"/>
    <w:rsid w:val="00151BF3"/>
    <w:rsid w:val="00151D04"/>
    <w:rsid w:val="00151F1F"/>
    <w:rsid w:val="0015204E"/>
    <w:rsid w:val="001520F6"/>
    <w:rsid w:val="00152C66"/>
    <w:rsid w:val="001538E3"/>
    <w:rsid w:val="00154010"/>
    <w:rsid w:val="0015433A"/>
    <w:rsid w:val="00154B03"/>
    <w:rsid w:val="00155A54"/>
    <w:rsid w:val="00155B7F"/>
    <w:rsid w:val="00155F04"/>
    <w:rsid w:val="0015639C"/>
    <w:rsid w:val="0015668F"/>
    <w:rsid w:val="00156A0D"/>
    <w:rsid w:val="00156DCD"/>
    <w:rsid w:val="00156E2D"/>
    <w:rsid w:val="00157810"/>
    <w:rsid w:val="001601A6"/>
    <w:rsid w:val="00160D0C"/>
    <w:rsid w:val="00160E0E"/>
    <w:rsid w:val="00161191"/>
    <w:rsid w:val="001615BB"/>
    <w:rsid w:val="00161675"/>
    <w:rsid w:val="00161BA2"/>
    <w:rsid w:val="00161CE1"/>
    <w:rsid w:val="00161F1B"/>
    <w:rsid w:val="00162011"/>
    <w:rsid w:val="0016271D"/>
    <w:rsid w:val="00162727"/>
    <w:rsid w:val="001629EA"/>
    <w:rsid w:val="001630C3"/>
    <w:rsid w:val="001637DA"/>
    <w:rsid w:val="001639E1"/>
    <w:rsid w:val="00163D04"/>
    <w:rsid w:val="00163E0A"/>
    <w:rsid w:val="001642B9"/>
    <w:rsid w:val="0016469A"/>
    <w:rsid w:val="0016476E"/>
    <w:rsid w:val="00164A35"/>
    <w:rsid w:val="00164DF4"/>
    <w:rsid w:val="001652F4"/>
    <w:rsid w:val="001655D2"/>
    <w:rsid w:val="0016621F"/>
    <w:rsid w:val="00166724"/>
    <w:rsid w:val="00166A7E"/>
    <w:rsid w:val="001670A2"/>
    <w:rsid w:val="001672B0"/>
    <w:rsid w:val="001673A9"/>
    <w:rsid w:val="001673E7"/>
    <w:rsid w:val="00167414"/>
    <w:rsid w:val="0016781F"/>
    <w:rsid w:val="001704D6"/>
    <w:rsid w:val="00170678"/>
    <w:rsid w:val="0017068F"/>
    <w:rsid w:val="001708D9"/>
    <w:rsid w:val="00170E5D"/>
    <w:rsid w:val="0017105C"/>
    <w:rsid w:val="001714F2"/>
    <w:rsid w:val="00171699"/>
    <w:rsid w:val="00171C9E"/>
    <w:rsid w:val="00171CE9"/>
    <w:rsid w:val="00171D8F"/>
    <w:rsid w:val="00171F27"/>
    <w:rsid w:val="00171F3A"/>
    <w:rsid w:val="00172423"/>
    <w:rsid w:val="00172562"/>
    <w:rsid w:val="0017295A"/>
    <w:rsid w:val="00172DB4"/>
    <w:rsid w:val="00172E51"/>
    <w:rsid w:val="00173180"/>
    <w:rsid w:val="00173215"/>
    <w:rsid w:val="001736B3"/>
    <w:rsid w:val="001740EA"/>
    <w:rsid w:val="00174559"/>
    <w:rsid w:val="001745A1"/>
    <w:rsid w:val="00174869"/>
    <w:rsid w:val="001749E0"/>
    <w:rsid w:val="001751CD"/>
    <w:rsid w:val="0017616E"/>
    <w:rsid w:val="0017619C"/>
    <w:rsid w:val="001764F4"/>
    <w:rsid w:val="00176ACD"/>
    <w:rsid w:val="00176B19"/>
    <w:rsid w:val="00180260"/>
    <w:rsid w:val="00180558"/>
    <w:rsid w:val="0018143C"/>
    <w:rsid w:val="00181497"/>
    <w:rsid w:val="00181699"/>
    <w:rsid w:val="00182139"/>
    <w:rsid w:val="00182B79"/>
    <w:rsid w:val="00182E0A"/>
    <w:rsid w:val="00182E91"/>
    <w:rsid w:val="00182EE3"/>
    <w:rsid w:val="00182FC8"/>
    <w:rsid w:val="00183512"/>
    <w:rsid w:val="00183518"/>
    <w:rsid w:val="001836BE"/>
    <w:rsid w:val="00183A8A"/>
    <w:rsid w:val="00183BD0"/>
    <w:rsid w:val="00183BD8"/>
    <w:rsid w:val="0018403E"/>
    <w:rsid w:val="001841C7"/>
    <w:rsid w:val="001845CF"/>
    <w:rsid w:val="00184AC6"/>
    <w:rsid w:val="00184AFE"/>
    <w:rsid w:val="00185200"/>
    <w:rsid w:val="00185A2B"/>
    <w:rsid w:val="00185D9C"/>
    <w:rsid w:val="00185FB4"/>
    <w:rsid w:val="00186196"/>
    <w:rsid w:val="00186317"/>
    <w:rsid w:val="001865C9"/>
    <w:rsid w:val="00186ABC"/>
    <w:rsid w:val="00187AC1"/>
    <w:rsid w:val="001900DC"/>
    <w:rsid w:val="00190267"/>
    <w:rsid w:val="001903FA"/>
    <w:rsid w:val="0019058B"/>
    <w:rsid w:val="001911FE"/>
    <w:rsid w:val="00191513"/>
    <w:rsid w:val="001917B9"/>
    <w:rsid w:val="00191B04"/>
    <w:rsid w:val="00191F00"/>
    <w:rsid w:val="00191F4C"/>
    <w:rsid w:val="00191FD8"/>
    <w:rsid w:val="001924BD"/>
    <w:rsid w:val="00192702"/>
    <w:rsid w:val="00192893"/>
    <w:rsid w:val="00192908"/>
    <w:rsid w:val="00192CCF"/>
    <w:rsid w:val="001931FE"/>
    <w:rsid w:val="00193843"/>
    <w:rsid w:val="001940FA"/>
    <w:rsid w:val="001944C7"/>
    <w:rsid w:val="0019471B"/>
    <w:rsid w:val="001947F7"/>
    <w:rsid w:val="001948EF"/>
    <w:rsid w:val="00194A1B"/>
    <w:rsid w:val="00194B28"/>
    <w:rsid w:val="00194C6B"/>
    <w:rsid w:val="00194CE5"/>
    <w:rsid w:val="00194FF3"/>
    <w:rsid w:val="0019533D"/>
    <w:rsid w:val="001956EE"/>
    <w:rsid w:val="00195ECF"/>
    <w:rsid w:val="00196225"/>
    <w:rsid w:val="00196623"/>
    <w:rsid w:val="0019690C"/>
    <w:rsid w:val="00196BCA"/>
    <w:rsid w:val="00196CF3"/>
    <w:rsid w:val="00197DD6"/>
    <w:rsid w:val="001A0E72"/>
    <w:rsid w:val="001A0FE6"/>
    <w:rsid w:val="001A12F7"/>
    <w:rsid w:val="001A1E7A"/>
    <w:rsid w:val="001A2CA1"/>
    <w:rsid w:val="001A35B9"/>
    <w:rsid w:val="001A3731"/>
    <w:rsid w:val="001A3D19"/>
    <w:rsid w:val="001A3E7B"/>
    <w:rsid w:val="001A3ED3"/>
    <w:rsid w:val="001A3FE4"/>
    <w:rsid w:val="001A44D5"/>
    <w:rsid w:val="001A4687"/>
    <w:rsid w:val="001A4A92"/>
    <w:rsid w:val="001A5357"/>
    <w:rsid w:val="001A539D"/>
    <w:rsid w:val="001A551E"/>
    <w:rsid w:val="001A5C6E"/>
    <w:rsid w:val="001A5DDC"/>
    <w:rsid w:val="001A5FED"/>
    <w:rsid w:val="001A61C1"/>
    <w:rsid w:val="001A68FA"/>
    <w:rsid w:val="001A6F61"/>
    <w:rsid w:val="001A7270"/>
    <w:rsid w:val="001A74D6"/>
    <w:rsid w:val="001A7508"/>
    <w:rsid w:val="001A76D0"/>
    <w:rsid w:val="001A7B78"/>
    <w:rsid w:val="001A7D9A"/>
    <w:rsid w:val="001A7D9F"/>
    <w:rsid w:val="001A7E38"/>
    <w:rsid w:val="001B047D"/>
    <w:rsid w:val="001B05E2"/>
    <w:rsid w:val="001B06E5"/>
    <w:rsid w:val="001B08FB"/>
    <w:rsid w:val="001B0AA9"/>
    <w:rsid w:val="001B0CD0"/>
    <w:rsid w:val="001B0D4C"/>
    <w:rsid w:val="001B0E14"/>
    <w:rsid w:val="001B1F57"/>
    <w:rsid w:val="001B2812"/>
    <w:rsid w:val="001B2AF8"/>
    <w:rsid w:val="001B2C60"/>
    <w:rsid w:val="001B3070"/>
    <w:rsid w:val="001B3383"/>
    <w:rsid w:val="001B3462"/>
    <w:rsid w:val="001B3A24"/>
    <w:rsid w:val="001B3C4F"/>
    <w:rsid w:val="001B3E03"/>
    <w:rsid w:val="001B3E61"/>
    <w:rsid w:val="001B4790"/>
    <w:rsid w:val="001B49F7"/>
    <w:rsid w:val="001B50D0"/>
    <w:rsid w:val="001B6151"/>
    <w:rsid w:val="001B6416"/>
    <w:rsid w:val="001B6AA5"/>
    <w:rsid w:val="001B7308"/>
    <w:rsid w:val="001B7501"/>
    <w:rsid w:val="001B77C2"/>
    <w:rsid w:val="001C0049"/>
    <w:rsid w:val="001C0137"/>
    <w:rsid w:val="001C0241"/>
    <w:rsid w:val="001C0278"/>
    <w:rsid w:val="001C07CD"/>
    <w:rsid w:val="001C0CAB"/>
    <w:rsid w:val="001C0F35"/>
    <w:rsid w:val="001C0F82"/>
    <w:rsid w:val="001C1480"/>
    <w:rsid w:val="001C1BFA"/>
    <w:rsid w:val="001C1F96"/>
    <w:rsid w:val="001C207E"/>
    <w:rsid w:val="001C29A0"/>
    <w:rsid w:val="001C29DF"/>
    <w:rsid w:val="001C2AF5"/>
    <w:rsid w:val="001C2C92"/>
    <w:rsid w:val="001C2E05"/>
    <w:rsid w:val="001C2F64"/>
    <w:rsid w:val="001C3155"/>
    <w:rsid w:val="001C3186"/>
    <w:rsid w:val="001C34FE"/>
    <w:rsid w:val="001C369A"/>
    <w:rsid w:val="001C3787"/>
    <w:rsid w:val="001C39B0"/>
    <w:rsid w:val="001C39B4"/>
    <w:rsid w:val="001C3B4E"/>
    <w:rsid w:val="001C3CEC"/>
    <w:rsid w:val="001C41F1"/>
    <w:rsid w:val="001C47A2"/>
    <w:rsid w:val="001C4A21"/>
    <w:rsid w:val="001C4E1A"/>
    <w:rsid w:val="001C4F0D"/>
    <w:rsid w:val="001C4F1B"/>
    <w:rsid w:val="001C5326"/>
    <w:rsid w:val="001C5AFD"/>
    <w:rsid w:val="001C5EE7"/>
    <w:rsid w:val="001C5EEF"/>
    <w:rsid w:val="001C608A"/>
    <w:rsid w:val="001C624E"/>
    <w:rsid w:val="001C629D"/>
    <w:rsid w:val="001C65AE"/>
    <w:rsid w:val="001C669E"/>
    <w:rsid w:val="001C6B5C"/>
    <w:rsid w:val="001C72AB"/>
    <w:rsid w:val="001C741E"/>
    <w:rsid w:val="001C7B0B"/>
    <w:rsid w:val="001D0021"/>
    <w:rsid w:val="001D00EA"/>
    <w:rsid w:val="001D03AE"/>
    <w:rsid w:val="001D044F"/>
    <w:rsid w:val="001D067A"/>
    <w:rsid w:val="001D0CF6"/>
    <w:rsid w:val="001D0DE8"/>
    <w:rsid w:val="001D0E1E"/>
    <w:rsid w:val="001D11AD"/>
    <w:rsid w:val="001D1395"/>
    <w:rsid w:val="001D17F0"/>
    <w:rsid w:val="001D1C66"/>
    <w:rsid w:val="001D1D2B"/>
    <w:rsid w:val="001D1FE1"/>
    <w:rsid w:val="001D23A6"/>
    <w:rsid w:val="001D27EC"/>
    <w:rsid w:val="001D2A05"/>
    <w:rsid w:val="001D2EAD"/>
    <w:rsid w:val="001D2F41"/>
    <w:rsid w:val="001D33A1"/>
    <w:rsid w:val="001D3776"/>
    <w:rsid w:val="001D3F64"/>
    <w:rsid w:val="001D41E3"/>
    <w:rsid w:val="001D47C0"/>
    <w:rsid w:val="001D5183"/>
    <w:rsid w:val="001D52CB"/>
    <w:rsid w:val="001D5581"/>
    <w:rsid w:val="001D5AE4"/>
    <w:rsid w:val="001D5DAD"/>
    <w:rsid w:val="001D5EF5"/>
    <w:rsid w:val="001D60DA"/>
    <w:rsid w:val="001D647E"/>
    <w:rsid w:val="001D6700"/>
    <w:rsid w:val="001D6DDB"/>
    <w:rsid w:val="001D7519"/>
    <w:rsid w:val="001D7707"/>
    <w:rsid w:val="001D7FF1"/>
    <w:rsid w:val="001E01CD"/>
    <w:rsid w:val="001E06CE"/>
    <w:rsid w:val="001E0781"/>
    <w:rsid w:val="001E0A86"/>
    <w:rsid w:val="001E1026"/>
    <w:rsid w:val="001E104F"/>
    <w:rsid w:val="001E10B9"/>
    <w:rsid w:val="001E1124"/>
    <w:rsid w:val="001E1434"/>
    <w:rsid w:val="001E1855"/>
    <w:rsid w:val="001E19DD"/>
    <w:rsid w:val="001E1B6A"/>
    <w:rsid w:val="001E201C"/>
    <w:rsid w:val="001E2290"/>
    <w:rsid w:val="001E2869"/>
    <w:rsid w:val="001E2932"/>
    <w:rsid w:val="001E2FC1"/>
    <w:rsid w:val="001E3230"/>
    <w:rsid w:val="001E366D"/>
    <w:rsid w:val="001E38B7"/>
    <w:rsid w:val="001E3BDD"/>
    <w:rsid w:val="001E45A3"/>
    <w:rsid w:val="001E47DE"/>
    <w:rsid w:val="001E4D5D"/>
    <w:rsid w:val="001E5150"/>
    <w:rsid w:val="001E5371"/>
    <w:rsid w:val="001E5A4B"/>
    <w:rsid w:val="001E6763"/>
    <w:rsid w:val="001E7000"/>
    <w:rsid w:val="001E7164"/>
    <w:rsid w:val="001E725B"/>
    <w:rsid w:val="001E7349"/>
    <w:rsid w:val="001E7508"/>
    <w:rsid w:val="001E7BD3"/>
    <w:rsid w:val="001E7C98"/>
    <w:rsid w:val="001E7DEE"/>
    <w:rsid w:val="001F05B8"/>
    <w:rsid w:val="001F0694"/>
    <w:rsid w:val="001F0A1A"/>
    <w:rsid w:val="001F0B56"/>
    <w:rsid w:val="001F0FA5"/>
    <w:rsid w:val="001F14C5"/>
    <w:rsid w:val="001F179F"/>
    <w:rsid w:val="001F18AD"/>
    <w:rsid w:val="001F1E39"/>
    <w:rsid w:val="001F1FFE"/>
    <w:rsid w:val="001F2C29"/>
    <w:rsid w:val="001F2D7B"/>
    <w:rsid w:val="001F2E4C"/>
    <w:rsid w:val="001F2F39"/>
    <w:rsid w:val="001F370C"/>
    <w:rsid w:val="001F43D7"/>
    <w:rsid w:val="001F5AED"/>
    <w:rsid w:val="001F5E4F"/>
    <w:rsid w:val="001F6593"/>
    <w:rsid w:val="001F6B0B"/>
    <w:rsid w:val="001F6C4C"/>
    <w:rsid w:val="001F6F39"/>
    <w:rsid w:val="001F7147"/>
    <w:rsid w:val="001F7288"/>
    <w:rsid w:val="001F752B"/>
    <w:rsid w:val="001F7D02"/>
    <w:rsid w:val="001F7D78"/>
    <w:rsid w:val="002001A1"/>
    <w:rsid w:val="002001B3"/>
    <w:rsid w:val="0020040F"/>
    <w:rsid w:val="00200AA6"/>
    <w:rsid w:val="00200D29"/>
    <w:rsid w:val="00200D98"/>
    <w:rsid w:val="00201A6C"/>
    <w:rsid w:val="00201AF9"/>
    <w:rsid w:val="0020203F"/>
    <w:rsid w:val="0020214C"/>
    <w:rsid w:val="002023CA"/>
    <w:rsid w:val="0020294D"/>
    <w:rsid w:val="00202B04"/>
    <w:rsid w:val="00202E8E"/>
    <w:rsid w:val="0020359D"/>
    <w:rsid w:val="002037B6"/>
    <w:rsid w:val="00203A78"/>
    <w:rsid w:val="00203AD9"/>
    <w:rsid w:val="00203AE6"/>
    <w:rsid w:val="00203CCD"/>
    <w:rsid w:val="00203DED"/>
    <w:rsid w:val="00203E01"/>
    <w:rsid w:val="00203E97"/>
    <w:rsid w:val="00203F02"/>
    <w:rsid w:val="0020412F"/>
    <w:rsid w:val="002041FA"/>
    <w:rsid w:val="00204319"/>
    <w:rsid w:val="00204458"/>
    <w:rsid w:val="002044E0"/>
    <w:rsid w:val="00204740"/>
    <w:rsid w:val="00205268"/>
    <w:rsid w:val="002055E3"/>
    <w:rsid w:val="002058FB"/>
    <w:rsid w:val="00205C8E"/>
    <w:rsid w:val="00205DD7"/>
    <w:rsid w:val="00205E71"/>
    <w:rsid w:val="002061F5"/>
    <w:rsid w:val="0020623B"/>
    <w:rsid w:val="00206360"/>
    <w:rsid w:val="00206BAE"/>
    <w:rsid w:val="00206C0F"/>
    <w:rsid w:val="00206E01"/>
    <w:rsid w:val="00206F0D"/>
    <w:rsid w:val="00206F55"/>
    <w:rsid w:val="002070C7"/>
    <w:rsid w:val="0020712A"/>
    <w:rsid w:val="00207684"/>
    <w:rsid w:val="002077E7"/>
    <w:rsid w:val="00207CF4"/>
    <w:rsid w:val="0021035E"/>
    <w:rsid w:val="00211263"/>
    <w:rsid w:val="00211321"/>
    <w:rsid w:val="0021134E"/>
    <w:rsid w:val="00212450"/>
    <w:rsid w:val="00212FC1"/>
    <w:rsid w:val="002130DD"/>
    <w:rsid w:val="0021355C"/>
    <w:rsid w:val="002136BA"/>
    <w:rsid w:val="00213977"/>
    <w:rsid w:val="00214243"/>
    <w:rsid w:val="00214502"/>
    <w:rsid w:val="00214A76"/>
    <w:rsid w:val="00214B93"/>
    <w:rsid w:val="00214E89"/>
    <w:rsid w:val="002152BC"/>
    <w:rsid w:val="002153C2"/>
    <w:rsid w:val="002157E3"/>
    <w:rsid w:val="0021606B"/>
    <w:rsid w:val="00216664"/>
    <w:rsid w:val="00217024"/>
    <w:rsid w:val="00217092"/>
    <w:rsid w:val="002170C5"/>
    <w:rsid w:val="002170F1"/>
    <w:rsid w:val="0021760C"/>
    <w:rsid w:val="002179E0"/>
    <w:rsid w:val="00217A77"/>
    <w:rsid w:val="00220E74"/>
    <w:rsid w:val="0022110C"/>
    <w:rsid w:val="002215F4"/>
    <w:rsid w:val="00221757"/>
    <w:rsid w:val="00221962"/>
    <w:rsid w:val="00221D58"/>
    <w:rsid w:val="00221E0A"/>
    <w:rsid w:val="0022214B"/>
    <w:rsid w:val="0022253D"/>
    <w:rsid w:val="002226DB"/>
    <w:rsid w:val="0022274E"/>
    <w:rsid w:val="00222C42"/>
    <w:rsid w:val="00222F2C"/>
    <w:rsid w:val="00223401"/>
    <w:rsid w:val="002235A0"/>
    <w:rsid w:val="00223632"/>
    <w:rsid w:val="0022379B"/>
    <w:rsid w:val="00223A1E"/>
    <w:rsid w:val="00223D97"/>
    <w:rsid w:val="00223DF4"/>
    <w:rsid w:val="00223F45"/>
    <w:rsid w:val="00224E35"/>
    <w:rsid w:val="002250DA"/>
    <w:rsid w:val="00225335"/>
    <w:rsid w:val="0022565B"/>
    <w:rsid w:val="0022580E"/>
    <w:rsid w:val="00225958"/>
    <w:rsid w:val="00225CD3"/>
    <w:rsid w:val="00225D95"/>
    <w:rsid w:val="002261C5"/>
    <w:rsid w:val="0022628A"/>
    <w:rsid w:val="002262D6"/>
    <w:rsid w:val="002265C6"/>
    <w:rsid w:val="00226ADC"/>
    <w:rsid w:val="0022703E"/>
    <w:rsid w:val="002270DB"/>
    <w:rsid w:val="002275B3"/>
    <w:rsid w:val="002276BE"/>
    <w:rsid w:val="00227C5D"/>
    <w:rsid w:val="00230351"/>
    <w:rsid w:val="002303EB"/>
    <w:rsid w:val="00230668"/>
    <w:rsid w:val="00230BC1"/>
    <w:rsid w:val="00230D39"/>
    <w:rsid w:val="0023185D"/>
    <w:rsid w:val="002318E2"/>
    <w:rsid w:val="00231F28"/>
    <w:rsid w:val="00232988"/>
    <w:rsid w:val="00232A41"/>
    <w:rsid w:val="00232C68"/>
    <w:rsid w:val="00232C8D"/>
    <w:rsid w:val="00232CBF"/>
    <w:rsid w:val="00232D94"/>
    <w:rsid w:val="00232F23"/>
    <w:rsid w:val="0023358D"/>
    <w:rsid w:val="002336AA"/>
    <w:rsid w:val="002336E0"/>
    <w:rsid w:val="0023401E"/>
    <w:rsid w:val="00234253"/>
    <w:rsid w:val="002343EB"/>
    <w:rsid w:val="00234567"/>
    <w:rsid w:val="002346FF"/>
    <w:rsid w:val="00234C94"/>
    <w:rsid w:val="00234EC4"/>
    <w:rsid w:val="00235468"/>
    <w:rsid w:val="00235AC7"/>
    <w:rsid w:val="00236170"/>
    <w:rsid w:val="0023618F"/>
    <w:rsid w:val="002363D1"/>
    <w:rsid w:val="00236518"/>
    <w:rsid w:val="002366F0"/>
    <w:rsid w:val="00236A94"/>
    <w:rsid w:val="0023742A"/>
    <w:rsid w:val="00237ACC"/>
    <w:rsid w:val="00237BC6"/>
    <w:rsid w:val="00237E08"/>
    <w:rsid w:val="002400EF"/>
    <w:rsid w:val="002405E9"/>
    <w:rsid w:val="00241ADD"/>
    <w:rsid w:val="0024207E"/>
    <w:rsid w:val="0024232E"/>
    <w:rsid w:val="002424FC"/>
    <w:rsid w:val="00242855"/>
    <w:rsid w:val="00242972"/>
    <w:rsid w:val="00242A4C"/>
    <w:rsid w:val="00242C5F"/>
    <w:rsid w:val="00242DB9"/>
    <w:rsid w:val="002432CA"/>
    <w:rsid w:val="002434EF"/>
    <w:rsid w:val="002435BF"/>
    <w:rsid w:val="002437F4"/>
    <w:rsid w:val="00243C44"/>
    <w:rsid w:val="00244086"/>
    <w:rsid w:val="00244603"/>
    <w:rsid w:val="00244D1F"/>
    <w:rsid w:val="002451F4"/>
    <w:rsid w:val="00245BD1"/>
    <w:rsid w:val="00245C54"/>
    <w:rsid w:val="00246358"/>
    <w:rsid w:val="002465BE"/>
    <w:rsid w:val="002466F9"/>
    <w:rsid w:val="0024673E"/>
    <w:rsid w:val="0024787A"/>
    <w:rsid w:val="00250357"/>
    <w:rsid w:val="00250510"/>
    <w:rsid w:val="00250606"/>
    <w:rsid w:val="002506AF"/>
    <w:rsid w:val="00250AAB"/>
    <w:rsid w:val="00250D5E"/>
    <w:rsid w:val="00250DCF"/>
    <w:rsid w:val="002511C9"/>
    <w:rsid w:val="00251205"/>
    <w:rsid w:val="002516EF"/>
    <w:rsid w:val="00251701"/>
    <w:rsid w:val="0025192C"/>
    <w:rsid w:val="00252097"/>
    <w:rsid w:val="002526FA"/>
    <w:rsid w:val="00253082"/>
    <w:rsid w:val="0025352F"/>
    <w:rsid w:val="00253F97"/>
    <w:rsid w:val="002541D4"/>
    <w:rsid w:val="002549BC"/>
    <w:rsid w:val="002552F9"/>
    <w:rsid w:val="00255DAF"/>
    <w:rsid w:val="002562C0"/>
    <w:rsid w:val="0025706D"/>
    <w:rsid w:val="0025708F"/>
    <w:rsid w:val="002571BD"/>
    <w:rsid w:val="002575F5"/>
    <w:rsid w:val="00257708"/>
    <w:rsid w:val="00257A0F"/>
    <w:rsid w:val="00257ADA"/>
    <w:rsid w:val="00257CF6"/>
    <w:rsid w:val="0026005B"/>
    <w:rsid w:val="00260D0C"/>
    <w:rsid w:val="00260EC2"/>
    <w:rsid w:val="002621F1"/>
    <w:rsid w:val="00262260"/>
    <w:rsid w:val="002623CA"/>
    <w:rsid w:val="002624C3"/>
    <w:rsid w:val="0026277F"/>
    <w:rsid w:val="002629F5"/>
    <w:rsid w:val="00263620"/>
    <w:rsid w:val="00263C74"/>
    <w:rsid w:val="002641C2"/>
    <w:rsid w:val="0026434A"/>
    <w:rsid w:val="00264727"/>
    <w:rsid w:val="002648E1"/>
    <w:rsid w:val="00264C29"/>
    <w:rsid w:val="00264F68"/>
    <w:rsid w:val="0026587F"/>
    <w:rsid w:val="00266842"/>
    <w:rsid w:val="00266D1D"/>
    <w:rsid w:val="00267035"/>
    <w:rsid w:val="002670A2"/>
    <w:rsid w:val="00267EDB"/>
    <w:rsid w:val="00270014"/>
    <w:rsid w:val="00270BEA"/>
    <w:rsid w:val="0027139E"/>
    <w:rsid w:val="00271594"/>
    <w:rsid w:val="0027159C"/>
    <w:rsid w:val="002715C1"/>
    <w:rsid w:val="00271745"/>
    <w:rsid w:val="00271C3C"/>
    <w:rsid w:val="0027218B"/>
    <w:rsid w:val="002725E1"/>
    <w:rsid w:val="00272FEA"/>
    <w:rsid w:val="0027320C"/>
    <w:rsid w:val="002738BB"/>
    <w:rsid w:val="002738CC"/>
    <w:rsid w:val="00273B5B"/>
    <w:rsid w:val="00274BF6"/>
    <w:rsid w:val="00274CDC"/>
    <w:rsid w:val="00275551"/>
    <w:rsid w:val="00275BE0"/>
    <w:rsid w:val="00275DAA"/>
    <w:rsid w:val="00275E6C"/>
    <w:rsid w:val="00276449"/>
    <w:rsid w:val="00276E55"/>
    <w:rsid w:val="002771B0"/>
    <w:rsid w:val="00277210"/>
    <w:rsid w:val="0027744F"/>
    <w:rsid w:val="00277BFB"/>
    <w:rsid w:val="00280556"/>
    <w:rsid w:val="00280591"/>
    <w:rsid w:val="002807D9"/>
    <w:rsid w:val="002808C4"/>
    <w:rsid w:val="0028095C"/>
    <w:rsid w:val="00280D3C"/>
    <w:rsid w:val="002812E5"/>
    <w:rsid w:val="002815CD"/>
    <w:rsid w:val="00281A05"/>
    <w:rsid w:val="00281A65"/>
    <w:rsid w:val="00281E11"/>
    <w:rsid w:val="00282014"/>
    <w:rsid w:val="0028256B"/>
    <w:rsid w:val="0028286D"/>
    <w:rsid w:val="00282A70"/>
    <w:rsid w:val="00282E89"/>
    <w:rsid w:val="00282EB1"/>
    <w:rsid w:val="002836ED"/>
    <w:rsid w:val="002837A8"/>
    <w:rsid w:val="00283D62"/>
    <w:rsid w:val="0028401D"/>
    <w:rsid w:val="002841FB"/>
    <w:rsid w:val="00284238"/>
    <w:rsid w:val="0028467B"/>
    <w:rsid w:val="00284694"/>
    <w:rsid w:val="0028476F"/>
    <w:rsid w:val="00284D28"/>
    <w:rsid w:val="00284DAA"/>
    <w:rsid w:val="00285371"/>
    <w:rsid w:val="002853A0"/>
    <w:rsid w:val="00285521"/>
    <w:rsid w:val="00286014"/>
    <w:rsid w:val="002862C7"/>
    <w:rsid w:val="002865AB"/>
    <w:rsid w:val="002867A7"/>
    <w:rsid w:val="00286C64"/>
    <w:rsid w:val="00287A23"/>
    <w:rsid w:val="00287F4B"/>
    <w:rsid w:val="00287F82"/>
    <w:rsid w:val="0029074F"/>
    <w:rsid w:val="00291193"/>
    <w:rsid w:val="00291775"/>
    <w:rsid w:val="00291F3B"/>
    <w:rsid w:val="00292397"/>
    <w:rsid w:val="00292645"/>
    <w:rsid w:val="00292AFA"/>
    <w:rsid w:val="00292C84"/>
    <w:rsid w:val="00292D2D"/>
    <w:rsid w:val="00292FAB"/>
    <w:rsid w:val="002934DC"/>
    <w:rsid w:val="00293BA1"/>
    <w:rsid w:val="002940B1"/>
    <w:rsid w:val="002942E1"/>
    <w:rsid w:val="0029472B"/>
    <w:rsid w:val="00294875"/>
    <w:rsid w:val="002958C8"/>
    <w:rsid w:val="00295C59"/>
    <w:rsid w:val="00295CB1"/>
    <w:rsid w:val="002965DD"/>
    <w:rsid w:val="002966F1"/>
    <w:rsid w:val="00296796"/>
    <w:rsid w:val="00296F93"/>
    <w:rsid w:val="002974A7"/>
    <w:rsid w:val="0029753C"/>
    <w:rsid w:val="002977EA"/>
    <w:rsid w:val="00297A9C"/>
    <w:rsid w:val="00297AB9"/>
    <w:rsid w:val="00297BD4"/>
    <w:rsid w:val="002A0235"/>
    <w:rsid w:val="002A0688"/>
    <w:rsid w:val="002A0953"/>
    <w:rsid w:val="002A0E38"/>
    <w:rsid w:val="002A16D6"/>
    <w:rsid w:val="002A182E"/>
    <w:rsid w:val="002A1912"/>
    <w:rsid w:val="002A1932"/>
    <w:rsid w:val="002A1C6D"/>
    <w:rsid w:val="002A1D36"/>
    <w:rsid w:val="002A1E4D"/>
    <w:rsid w:val="002A2078"/>
    <w:rsid w:val="002A20AB"/>
    <w:rsid w:val="002A29C7"/>
    <w:rsid w:val="002A2E8E"/>
    <w:rsid w:val="002A3787"/>
    <w:rsid w:val="002A37E0"/>
    <w:rsid w:val="002A387D"/>
    <w:rsid w:val="002A39C6"/>
    <w:rsid w:val="002A39CE"/>
    <w:rsid w:val="002A39DC"/>
    <w:rsid w:val="002A3B03"/>
    <w:rsid w:val="002A3FA2"/>
    <w:rsid w:val="002A4583"/>
    <w:rsid w:val="002A463B"/>
    <w:rsid w:val="002A4875"/>
    <w:rsid w:val="002A4886"/>
    <w:rsid w:val="002A57CE"/>
    <w:rsid w:val="002A5BD8"/>
    <w:rsid w:val="002A5CB3"/>
    <w:rsid w:val="002A5DFF"/>
    <w:rsid w:val="002A6AF2"/>
    <w:rsid w:val="002A7667"/>
    <w:rsid w:val="002A7848"/>
    <w:rsid w:val="002A7B0B"/>
    <w:rsid w:val="002B060A"/>
    <w:rsid w:val="002B0BF5"/>
    <w:rsid w:val="002B0C36"/>
    <w:rsid w:val="002B13E3"/>
    <w:rsid w:val="002B1B7C"/>
    <w:rsid w:val="002B27B2"/>
    <w:rsid w:val="002B2909"/>
    <w:rsid w:val="002B31A5"/>
    <w:rsid w:val="002B3D32"/>
    <w:rsid w:val="002B3D99"/>
    <w:rsid w:val="002B4516"/>
    <w:rsid w:val="002B56C1"/>
    <w:rsid w:val="002B56CD"/>
    <w:rsid w:val="002B5A0D"/>
    <w:rsid w:val="002B5E4A"/>
    <w:rsid w:val="002B67CD"/>
    <w:rsid w:val="002B68DA"/>
    <w:rsid w:val="002B7211"/>
    <w:rsid w:val="002B7224"/>
    <w:rsid w:val="002B7413"/>
    <w:rsid w:val="002B79A0"/>
    <w:rsid w:val="002B7A25"/>
    <w:rsid w:val="002C0113"/>
    <w:rsid w:val="002C0472"/>
    <w:rsid w:val="002C0730"/>
    <w:rsid w:val="002C08BB"/>
    <w:rsid w:val="002C0A20"/>
    <w:rsid w:val="002C0A9A"/>
    <w:rsid w:val="002C0E48"/>
    <w:rsid w:val="002C1F7E"/>
    <w:rsid w:val="002C20AA"/>
    <w:rsid w:val="002C2248"/>
    <w:rsid w:val="002C26E7"/>
    <w:rsid w:val="002C3161"/>
    <w:rsid w:val="002C33F5"/>
    <w:rsid w:val="002C3424"/>
    <w:rsid w:val="002C348C"/>
    <w:rsid w:val="002C383B"/>
    <w:rsid w:val="002C3DB5"/>
    <w:rsid w:val="002C414F"/>
    <w:rsid w:val="002C4290"/>
    <w:rsid w:val="002C42EB"/>
    <w:rsid w:val="002C4344"/>
    <w:rsid w:val="002C44C5"/>
    <w:rsid w:val="002C457B"/>
    <w:rsid w:val="002C472E"/>
    <w:rsid w:val="002C4986"/>
    <w:rsid w:val="002C4B00"/>
    <w:rsid w:val="002C6004"/>
    <w:rsid w:val="002C65BE"/>
    <w:rsid w:val="002C6666"/>
    <w:rsid w:val="002C6A89"/>
    <w:rsid w:val="002C6C6A"/>
    <w:rsid w:val="002C6E20"/>
    <w:rsid w:val="002C7280"/>
    <w:rsid w:val="002C7BAD"/>
    <w:rsid w:val="002C7D59"/>
    <w:rsid w:val="002D0275"/>
    <w:rsid w:val="002D0795"/>
    <w:rsid w:val="002D079B"/>
    <w:rsid w:val="002D07A8"/>
    <w:rsid w:val="002D0AD5"/>
    <w:rsid w:val="002D0D60"/>
    <w:rsid w:val="002D106C"/>
    <w:rsid w:val="002D13CE"/>
    <w:rsid w:val="002D1C3E"/>
    <w:rsid w:val="002D1DFA"/>
    <w:rsid w:val="002D23D8"/>
    <w:rsid w:val="002D2706"/>
    <w:rsid w:val="002D2743"/>
    <w:rsid w:val="002D33AF"/>
    <w:rsid w:val="002D3702"/>
    <w:rsid w:val="002D3798"/>
    <w:rsid w:val="002D3ABE"/>
    <w:rsid w:val="002D3AF4"/>
    <w:rsid w:val="002D3B28"/>
    <w:rsid w:val="002D40CA"/>
    <w:rsid w:val="002D444E"/>
    <w:rsid w:val="002D46CD"/>
    <w:rsid w:val="002D4B52"/>
    <w:rsid w:val="002D4D71"/>
    <w:rsid w:val="002D5474"/>
    <w:rsid w:val="002D6471"/>
    <w:rsid w:val="002D6488"/>
    <w:rsid w:val="002D66F3"/>
    <w:rsid w:val="002D716E"/>
    <w:rsid w:val="002D7187"/>
    <w:rsid w:val="002D7D4D"/>
    <w:rsid w:val="002E04AA"/>
    <w:rsid w:val="002E0783"/>
    <w:rsid w:val="002E087B"/>
    <w:rsid w:val="002E0C10"/>
    <w:rsid w:val="002E104D"/>
    <w:rsid w:val="002E11F8"/>
    <w:rsid w:val="002E13CE"/>
    <w:rsid w:val="002E14CB"/>
    <w:rsid w:val="002E150D"/>
    <w:rsid w:val="002E1545"/>
    <w:rsid w:val="002E19D9"/>
    <w:rsid w:val="002E1F6F"/>
    <w:rsid w:val="002E2540"/>
    <w:rsid w:val="002E2E9D"/>
    <w:rsid w:val="002E30FD"/>
    <w:rsid w:val="002E3559"/>
    <w:rsid w:val="002E3A17"/>
    <w:rsid w:val="002E3CFB"/>
    <w:rsid w:val="002E3E04"/>
    <w:rsid w:val="002E3EC4"/>
    <w:rsid w:val="002E4363"/>
    <w:rsid w:val="002E5255"/>
    <w:rsid w:val="002E592F"/>
    <w:rsid w:val="002E6735"/>
    <w:rsid w:val="002E67C9"/>
    <w:rsid w:val="002E6887"/>
    <w:rsid w:val="002E7197"/>
    <w:rsid w:val="002E76EB"/>
    <w:rsid w:val="002E78CE"/>
    <w:rsid w:val="002E7C73"/>
    <w:rsid w:val="002F0372"/>
    <w:rsid w:val="002F0C46"/>
    <w:rsid w:val="002F10B0"/>
    <w:rsid w:val="002F11EC"/>
    <w:rsid w:val="002F13F5"/>
    <w:rsid w:val="002F1714"/>
    <w:rsid w:val="002F184F"/>
    <w:rsid w:val="002F1D92"/>
    <w:rsid w:val="002F23F9"/>
    <w:rsid w:val="002F241B"/>
    <w:rsid w:val="002F2424"/>
    <w:rsid w:val="002F26D7"/>
    <w:rsid w:val="002F2719"/>
    <w:rsid w:val="002F2CDE"/>
    <w:rsid w:val="002F2E1C"/>
    <w:rsid w:val="002F340E"/>
    <w:rsid w:val="002F361D"/>
    <w:rsid w:val="002F4261"/>
    <w:rsid w:val="002F4897"/>
    <w:rsid w:val="002F499B"/>
    <w:rsid w:val="002F5068"/>
    <w:rsid w:val="002F507E"/>
    <w:rsid w:val="002F65E5"/>
    <w:rsid w:val="002F6970"/>
    <w:rsid w:val="002F6B2E"/>
    <w:rsid w:val="002F6EE6"/>
    <w:rsid w:val="002F7139"/>
    <w:rsid w:val="002F716A"/>
    <w:rsid w:val="002F746B"/>
    <w:rsid w:val="00300AAB"/>
    <w:rsid w:val="00300C14"/>
    <w:rsid w:val="00301856"/>
    <w:rsid w:val="0030186C"/>
    <w:rsid w:val="00301A1A"/>
    <w:rsid w:val="00301DEA"/>
    <w:rsid w:val="00302227"/>
    <w:rsid w:val="00302480"/>
    <w:rsid w:val="00303093"/>
    <w:rsid w:val="0030323E"/>
    <w:rsid w:val="00303300"/>
    <w:rsid w:val="003040B6"/>
    <w:rsid w:val="00304576"/>
    <w:rsid w:val="003046A6"/>
    <w:rsid w:val="00304A88"/>
    <w:rsid w:val="00305001"/>
    <w:rsid w:val="00305098"/>
    <w:rsid w:val="0030567C"/>
    <w:rsid w:val="00305691"/>
    <w:rsid w:val="00305891"/>
    <w:rsid w:val="003058E5"/>
    <w:rsid w:val="00305A07"/>
    <w:rsid w:val="00305B5C"/>
    <w:rsid w:val="00305DBF"/>
    <w:rsid w:val="003063B4"/>
    <w:rsid w:val="0030652B"/>
    <w:rsid w:val="00306835"/>
    <w:rsid w:val="00306948"/>
    <w:rsid w:val="00306A0F"/>
    <w:rsid w:val="00306A48"/>
    <w:rsid w:val="00306E2D"/>
    <w:rsid w:val="00306E67"/>
    <w:rsid w:val="00307196"/>
    <w:rsid w:val="00307394"/>
    <w:rsid w:val="0030793D"/>
    <w:rsid w:val="0030795C"/>
    <w:rsid w:val="003079C5"/>
    <w:rsid w:val="00307FFB"/>
    <w:rsid w:val="0030859E"/>
    <w:rsid w:val="00311A36"/>
    <w:rsid w:val="003121F6"/>
    <w:rsid w:val="00312921"/>
    <w:rsid w:val="0031293E"/>
    <w:rsid w:val="00312D25"/>
    <w:rsid w:val="00312FB9"/>
    <w:rsid w:val="00312FED"/>
    <w:rsid w:val="00313794"/>
    <w:rsid w:val="00313BA9"/>
    <w:rsid w:val="00314DB5"/>
    <w:rsid w:val="00315338"/>
    <w:rsid w:val="0031555A"/>
    <w:rsid w:val="00315A07"/>
    <w:rsid w:val="00315DCA"/>
    <w:rsid w:val="003166A3"/>
    <w:rsid w:val="00316955"/>
    <w:rsid w:val="003169C3"/>
    <w:rsid w:val="00316B26"/>
    <w:rsid w:val="00316CEE"/>
    <w:rsid w:val="003170A6"/>
    <w:rsid w:val="00317338"/>
    <w:rsid w:val="00317495"/>
    <w:rsid w:val="00317518"/>
    <w:rsid w:val="003177B7"/>
    <w:rsid w:val="00317980"/>
    <w:rsid w:val="00317A25"/>
    <w:rsid w:val="00320371"/>
    <w:rsid w:val="00320A18"/>
    <w:rsid w:val="00320F0B"/>
    <w:rsid w:val="0032147C"/>
    <w:rsid w:val="0032175C"/>
    <w:rsid w:val="00321AE3"/>
    <w:rsid w:val="00321F6C"/>
    <w:rsid w:val="0032215D"/>
    <w:rsid w:val="0032269F"/>
    <w:rsid w:val="00322700"/>
    <w:rsid w:val="00323196"/>
    <w:rsid w:val="003233A0"/>
    <w:rsid w:val="0032349C"/>
    <w:rsid w:val="0032365D"/>
    <w:rsid w:val="003241EE"/>
    <w:rsid w:val="00324327"/>
    <w:rsid w:val="003243F8"/>
    <w:rsid w:val="00324DDA"/>
    <w:rsid w:val="003258D8"/>
    <w:rsid w:val="0032593E"/>
    <w:rsid w:val="00325A99"/>
    <w:rsid w:val="00325C79"/>
    <w:rsid w:val="00325E20"/>
    <w:rsid w:val="00325E5D"/>
    <w:rsid w:val="00326798"/>
    <w:rsid w:val="0032696E"/>
    <w:rsid w:val="0032739A"/>
    <w:rsid w:val="003278B5"/>
    <w:rsid w:val="003279E2"/>
    <w:rsid w:val="00327C6C"/>
    <w:rsid w:val="00327D6C"/>
    <w:rsid w:val="00327D7C"/>
    <w:rsid w:val="00327DAA"/>
    <w:rsid w:val="00330015"/>
    <w:rsid w:val="003300E4"/>
    <w:rsid w:val="00330575"/>
    <w:rsid w:val="003308AC"/>
    <w:rsid w:val="00330FF7"/>
    <w:rsid w:val="00330FFB"/>
    <w:rsid w:val="00331161"/>
    <w:rsid w:val="003319BE"/>
    <w:rsid w:val="00331E15"/>
    <w:rsid w:val="00331E4B"/>
    <w:rsid w:val="00331E9E"/>
    <w:rsid w:val="00332088"/>
    <w:rsid w:val="0033226B"/>
    <w:rsid w:val="00332973"/>
    <w:rsid w:val="00332C32"/>
    <w:rsid w:val="003335E6"/>
    <w:rsid w:val="00333920"/>
    <w:rsid w:val="00333BFF"/>
    <w:rsid w:val="00333E53"/>
    <w:rsid w:val="00333EDF"/>
    <w:rsid w:val="00333FE8"/>
    <w:rsid w:val="00334107"/>
    <w:rsid w:val="00334581"/>
    <w:rsid w:val="0033494A"/>
    <w:rsid w:val="00334A72"/>
    <w:rsid w:val="00335CAB"/>
    <w:rsid w:val="0033610E"/>
    <w:rsid w:val="003364DF"/>
    <w:rsid w:val="00336E53"/>
    <w:rsid w:val="00336E81"/>
    <w:rsid w:val="0033708F"/>
    <w:rsid w:val="00337DDF"/>
    <w:rsid w:val="003401BD"/>
    <w:rsid w:val="00340266"/>
    <w:rsid w:val="00340743"/>
    <w:rsid w:val="00340890"/>
    <w:rsid w:val="00341575"/>
    <w:rsid w:val="003416B7"/>
    <w:rsid w:val="003419B5"/>
    <w:rsid w:val="00341F16"/>
    <w:rsid w:val="00341F61"/>
    <w:rsid w:val="003421A7"/>
    <w:rsid w:val="00342D5D"/>
    <w:rsid w:val="003438C6"/>
    <w:rsid w:val="00343C5D"/>
    <w:rsid w:val="0034420F"/>
    <w:rsid w:val="003445E8"/>
    <w:rsid w:val="00344993"/>
    <w:rsid w:val="00344B0F"/>
    <w:rsid w:val="00344B6B"/>
    <w:rsid w:val="00345753"/>
    <w:rsid w:val="00345CFD"/>
    <w:rsid w:val="0034602B"/>
    <w:rsid w:val="0034686F"/>
    <w:rsid w:val="00347549"/>
    <w:rsid w:val="003475E0"/>
    <w:rsid w:val="003477D8"/>
    <w:rsid w:val="0035007F"/>
    <w:rsid w:val="00350A16"/>
    <w:rsid w:val="00350C79"/>
    <w:rsid w:val="00350CD3"/>
    <w:rsid w:val="003510AC"/>
    <w:rsid w:val="00351A51"/>
    <w:rsid w:val="00351B23"/>
    <w:rsid w:val="00351EC9"/>
    <w:rsid w:val="0035208D"/>
    <w:rsid w:val="003520A2"/>
    <w:rsid w:val="00352278"/>
    <w:rsid w:val="00352D79"/>
    <w:rsid w:val="00352F3B"/>
    <w:rsid w:val="00353282"/>
    <w:rsid w:val="003535DD"/>
    <w:rsid w:val="00353859"/>
    <w:rsid w:val="00353F07"/>
    <w:rsid w:val="00354707"/>
    <w:rsid w:val="0035472D"/>
    <w:rsid w:val="00354C05"/>
    <w:rsid w:val="00354D4C"/>
    <w:rsid w:val="0035501A"/>
    <w:rsid w:val="00355175"/>
    <w:rsid w:val="003559F1"/>
    <w:rsid w:val="00355A1F"/>
    <w:rsid w:val="00355A25"/>
    <w:rsid w:val="00355A94"/>
    <w:rsid w:val="00355E30"/>
    <w:rsid w:val="00355EBB"/>
    <w:rsid w:val="0035613A"/>
    <w:rsid w:val="0035613F"/>
    <w:rsid w:val="003561F4"/>
    <w:rsid w:val="00356661"/>
    <w:rsid w:val="00356EEE"/>
    <w:rsid w:val="003577DD"/>
    <w:rsid w:val="003577DE"/>
    <w:rsid w:val="003577FF"/>
    <w:rsid w:val="00357E60"/>
    <w:rsid w:val="00360360"/>
    <w:rsid w:val="0036037D"/>
    <w:rsid w:val="003606E6"/>
    <w:rsid w:val="00360A96"/>
    <w:rsid w:val="00360E20"/>
    <w:rsid w:val="00360E4B"/>
    <w:rsid w:val="0036142B"/>
    <w:rsid w:val="0036154A"/>
    <w:rsid w:val="003617C4"/>
    <w:rsid w:val="00361938"/>
    <w:rsid w:val="00362945"/>
    <w:rsid w:val="00362C13"/>
    <w:rsid w:val="003630FF"/>
    <w:rsid w:val="00363120"/>
    <w:rsid w:val="0036338A"/>
    <w:rsid w:val="00363CBF"/>
    <w:rsid w:val="003644B8"/>
    <w:rsid w:val="003645AE"/>
    <w:rsid w:val="003649BF"/>
    <w:rsid w:val="00364B08"/>
    <w:rsid w:val="00364F1A"/>
    <w:rsid w:val="0036519A"/>
    <w:rsid w:val="003658B6"/>
    <w:rsid w:val="00365A4E"/>
    <w:rsid w:val="00365D2B"/>
    <w:rsid w:val="00366143"/>
    <w:rsid w:val="003666CF"/>
    <w:rsid w:val="00366833"/>
    <w:rsid w:val="00366858"/>
    <w:rsid w:val="00367626"/>
    <w:rsid w:val="00367BCB"/>
    <w:rsid w:val="00367F09"/>
    <w:rsid w:val="0037088C"/>
    <w:rsid w:val="00370ACB"/>
    <w:rsid w:val="00370ADE"/>
    <w:rsid w:val="00370F1D"/>
    <w:rsid w:val="003715E5"/>
    <w:rsid w:val="00371B17"/>
    <w:rsid w:val="00371B7D"/>
    <w:rsid w:val="00372221"/>
    <w:rsid w:val="003724B9"/>
    <w:rsid w:val="003726C6"/>
    <w:rsid w:val="00372D19"/>
    <w:rsid w:val="00373257"/>
    <w:rsid w:val="00373941"/>
    <w:rsid w:val="00373C43"/>
    <w:rsid w:val="00373CA6"/>
    <w:rsid w:val="00373F19"/>
    <w:rsid w:val="0037423F"/>
    <w:rsid w:val="003742ED"/>
    <w:rsid w:val="0037467D"/>
    <w:rsid w:val="00374698"/>
    <w:rsid w:val="00375371"/>
    <w:rsid w:val="003754CD"/>
    <w:rsid w:val="003758C2"/>
    <w:rsid w:val="00375A2F"/>
    <w:rsid w:val="00375A4A"/>
    <w:rsid w:val="00375AB6"/>
    <w:rsid w:val="00375EF7"/>
    <w:rsid w:val="00375F97"/>
    <w:rsid w:val="003764D3"/>
    <w:rsid w:val="00376722"/>
    <w:rsid w:val="00377078"/>
    <w:rsid w:val="003771E4"/>
    <w:rsid w:val="00377280"/>
    <w:rsid w:val="0037779C"/>
    <w:rsid w:val="003777F5"/>
    <w:rsid w:val="003779F5"/>
    <w:rsid w:val="00377E0B"/>
    <w:rsid w:val="00377F4D"/>
    <w:rsid w:val="00377F61"/>
    <w:rsid w:val="00380707"/>
    <w:rsid w:val="00380737"/>
    <w:rsid w:val="0038097D"/>
    <w:rsid w:val="00380E52"/>
    <w:rsid w:val="00381227"/>
    <w:rsid w:val="003813B0"/>
    <w:rsid w:val="003814B2"/>
    <w:rsid w:val="003818B8"/>
    <w:rsid w:val="003819BB"/>
    <w:rsid w:val="00381DA0"/>
    <w:rsid w:val="0038216A"/>
    <w:rsid w:val="00382510"/>
    <w:rsid w:val="00382BDB"/>
    <w:rsid w:val="00382D0F"/>
    <w:rsid w:val="0038430D"/>
    <w:rsid w:val="00384404"/>
    <w:rsid w:val="003847D7"/>
    <w:rsid w:val="00385031"/>
    <w:rsid w:val="003851EA"/>
    <w:rsid w:val="00385558"/>
    <w:rsid w:val="00385BE5"/>
    <w:rsid w:val="00385E8B"/>
    <w:rsid w:val="0038616D"/>
    <w:rsid w:val="0038633A"/>
    <w:rsid w:val="00386D4C"/>
    <w:rsid w:val="00386E05"/>
    <w:rsid w:val="00386E9E"/>
    <w:rsid w:val="00387A80"/>
    <w:rsid w:val="00387AF0"/>
    <w:rsid w:val="00387C03"/>
    <w:rsid w:val="00390774"/>
    <w:rsid w:val="00390AFB"/>
    <w:rsid w:val="00390D60"/>
    <w:rsid w:val="00391E0B"/>
    <w:rsid w:val="00391FBC"/>
    <w:rsid w:val="00392532"/>
    <w:rsid w:val="003925E2"/>
    <w:rsid w:val="00392C51"/>
    <w:rsid w:val="00392C7F"/>
    <w:rsid w:val="00393693"/>
    <w:rsid w:val="003941D6"/>
    <w:rsid w:val="00394375"/>
    <w:rsid w:val="003946B6"/>
    <w:rsid w:val="00394F30"/>
    <w:rsid w:val="0039506B"/>
    <w:rsid w:val="003953AE"/>
    <w:rsid w:val="003954D9"/>
    <w:rsid w:val="00395574"/>
    <w:rsid w:val="00395C00"/>
    <w:rsid w:val="00396B67"/>
    <w:rsid w:val="00396C0B"/>
    <w:rsid w:val="00396F3B"/>
    <w:rsid w:val="003970C0"/>
    <w:rsid w:val="003977C3"/>
    <w:rsid w:val="00397C40"/>
    <w:rsid w:val="00397DD5"/>
    <w:rsid w:val="003A02AD"/>
    <w:rsid w:val="003A1029"/>
    <w:rsid w:val="003A155C"/>
    <w:rsid w:val="003A164D"/>
    <w:rsid w:val="003A1A4A"/>
    <w:rsid w:val="003A1DBD"/>
    <w:rsid w:val="003A2263"/>
    <w:rsid w:val="003A246C"/>
    <w:rsid w:val="003A2608"/>
    <w:rsid w:val="003A274A"/>
    <w:rsid w:val="003A2A80"/>
    <w:rsid w:val="003A2D38"/>
    <w:rsid w:val="003A32FB"/>
    <w:rsid w:val="003A4310"/>
    <w:rsid w:val="003A435A"/>
    <w:rsid w:val="003A43F9"/>
    <w:rsid w:val="003A49C0"/>
    <w:rsid w:val="003A57E4"/>
    <w:rsid w:val="003A57F0"/>
    <w:rsid w:val="003A5B2B"/>
    <w:rsid w:val="003A657B"/>
    <w:rsid w:val="003A68F1"/>
    <w:rsid w:val="003A6B62"/>
    <w:rsid w:val="003A76EF"/>
    <w:rsid w:val="003A7784"/>
    <w:rsid w:val="003A77FB"/>
    <w:rsid w:val="003A7F6C"/>
    <w:rsid w:val="003B035A"/>
    <w:rsid w:val="003B0406"/>
    <w:rsid w:val="003B070C"/>
    <w:rsid w:val="003B1582"/>
    <w:rsid w:val="003B1D19"/>
    <w:rsid w:val="003B27CC"/>
    <w:rsid w:val="003B2B36"/>
    <w:rsid w:val="003B2D43"/>
    <w:rsid w:val="003B38D9"/>
    <w:rsid w:val="003B3AEE"/>
    <w:rsid w:val="003B4307"/>
    <w:rsid w:val="003B4AFC"/>
    <w:rsid w:val="003B4C9A"/>
    <w:rsid w:val="003B4EF6"/>
    <w:rsid w:val="003B4F0F"/>
    <w:rsid w:val="003B4FDC"/>
    <w:rsid w:val="003B5578"/>
    <w:rsid w:val="003B56D7"/>
    <w:rsid w:val="003B5BCB"/>
    <w:rsid w:val="003B5E46"/>
    <w:rsid w:val="003B6B2E"/>
    <w:rsid w:val="003B6D75"/>
    <w:rsid w:val="003B6DF4"/>
    <w:rsid w:val="003B6F9B"/>
    <w:rsid w:val="003B7600"/>
    <w:rsid w:val="003B771A"/>
    <w:rsid w:val="003B78CA"/>
    <w:rsid w:val="003B7A8A"/>
    <w:rsid w:val="003B7B1E"/>
    <w:rsid w:val="003C07DB"/>
    <w:rsid w:val="003C097F"/>
    <w:rsid w:val="003C0C04"/>
    <w:rsid w:val="003C0FA9"/>
    <w:rsid w:val="003C1406"/>
    <w:rsid w:val="003C158B"/>
    <w:rsid w:val="003C1DAE"/>
    <w:rsid w:val="003C263B"/>
    <w:rsid w:val="003C274B"/>
    <w:rsid w:val="003C2BB7"/>
    <w:rsid w:val="003C2BE5"/>
    <w:rsid w:val="003C2C61"/>
    <w:rsid w:val="003C2D9D"/>
    <w:rsid w:val="003C2FB3"/>
    <w:rsid w:val="003C35CA"/>
    <w:rsid w:val="003C3B1B"/>
    <w:rsid w:val="003C3B3B"/>
    <w:rsid w:val="003C4052"/>
    <w:rsid w:val="003C4234"/>
    <w:rsid w:val="003C4A70"/>
    <w:rsid w:val="003C4CAC"/>
    <w:rsid w:val="003C4CEB"/>
    <w:rsid w:val="003C5030"/>
    <w:rsid w:val="003C5203"/>
    <w:rsid w:val="003C5533"/>
    <w:rsid w:val="003C5701"/>
    <w:rsid w:val="003C5810"/>
    <w:rsid w:val="003C5C01"/>
    <w:rsid w:val="003C5CCD"/>
    <w:rsid w:val="003C5CD8"/>
    <w:rsid w:val="003C5CF7"/>
    <w:rsid w:val="003C5E89"/>
    <w:rsid w:val="003C5E9E"/>
    <w:rsid w:val="003C61EE"/>
    <w:rsid w:val="003C6BAB"/>
    <w:rsid w:val="003C7091"/>
    <w:rsid w:val="003C70E9"/>
    <w:rsid w:val="003C79A7"/>
    <w:rsid w:val="003D0246"/>
    <w:rsid w:val="003D0478"/>
    <w:rsid w:val="003D086A"/>
    <w:rsid w:val="003D09BA"/>
    <w:rsid w:val="003D0CDC"/>
    <w:rsid w:val="003D11C7"/>
    <w:rsid w:val="003D1210"/>
    <w:rsid w:val="003D2275"/>
    <w:rsid w:val="003D250B"/>
    <w:rsid w:val="003D2F33"/>
    <w:rsid w:val="003D3B65"/>
    <w:rsid w:val="003D3F85"/>
    <w:rsid w:val="003D4B91"/>
    <w:rsid w:val="003D4C49"/>
    <w:rsid w:val="003D4EF7"/>
    <w:rsid w:val="003D4FAE"/>
    <w:rsid w:val="003D58B1"/>
    <w:rsid w:val="003D5D03"/>
    <w:rsid w:val="003D5D82"/>
    <w:rsid w:val="003D6014"/>
    <w:rsid w:val="003D65C4"/>
    <w:rsid w:val="003D68A5"/>
    <w:rsid w:val="003D696D"/>
    <w:rsid w:val="003D6CBD"/>
    <w:rsid w:val="003D6CF9"/>
    <w:rsid w:val="003D7159"/>
    <w:rsid w:val="003D77A6"/>
    <w:rsid w:val="003E02F7"/>
    <w:rsid w:val="003E0B97"/>
    <w:rsid w:val="003E0C39"/>
    <w:rsid w:val="003E0D76"/>
    <w:rsid w:val="003E0ECE"/>
    <w:rsid w:val="003E0F6D"/>
    <w:rsid w:val="003E14E3"/>
    <w:rsid w:val="003E15BC"/>
    <w:rsid w:val="003E160A"/>
    <w:rsid w:val="003E188A"/>
    <w:rsid w:val="003E1DB3"/>
    <w:rsid w:val="003E24E1"/>
    <w:rsid w:val="003E2C9A"/>
    <w:rsid w:val="003E2D35"/>
    <w:rsid w:val="003E2D83"/>
    <w:rsid w:val="003E2F1E"/>
    <w:rsid w:val="003E330F"/>
    <w:rsid w:val="003E339B"/>
    <w:rsid w:val="003E37BA"/>
    <w:rsid w:val="003E3B2B"/>
    <w:rsid w:val="003E4027"/>
    <w:rsid w:val="003E4154"/>
    <w:rsid w:val="003E4A4E"/>
    <w:rsid w:val="003E5473"/>
    <w:rsid w:val="003E552A"/>
    <w:rsid w:val="003E5D10"/>
    <w:rsid w:val="003E5F55"/>
    <w:rsid w:val="003E61B7"/>
    <w:rsid w:val="003E634C"/>
    <w:rsid w:val="003E638F"/>
    <w:rsid w:val="003E640F"/>
    <w:rsid w:val="003E6C04"/>
    <w:rsid w:val="003E6F6F"/>
    <w:rsid w:val="003E7111"/>
    <w:rsid w:val="003E7696"/>
    <w:rsid w:val="003E77ED"/>
    <w:rsid w:val="003E7B7F"/>
    <w:rsid w:val="003E7F16"/>
    <w:rsid w:val="003F009B"/>
    <w:rsid w:val="003F0145"/>
    <w:rsid w:val="003F01D2"/>
    <w:rsid w:val="003F04E7"/>
    <w:rsid w:val="003F060E"/>
    <w:rsid w:val="003F07D0"/>
    <w:rsid w:val="003F0C1B"/>
    <w:rsid w:val="003F0DC1"/>
    <w:rsid w:val="003F0EEC"/>
    <w:rsid w:val="003F0F07"/>
    <w:rsid w:val="003F1090"/>
    <w:rsid w:val="003F11AF"/>
    <w:rsid w:val="003F168B"/>
    <w:rsid w:val="003F16EF"/>
    <w:rsid w:val="003F1CAF"/>
    <w:rsid w:val="003F225B"/>
    <w:rsid w:val="003F29EC"/>
    <w:rsid w:val="003F2DB1"/>
    <w:rsid w:val="003F339E"/>
    <w:rsid w:val="003F3A84"/>
    <w:rsid w:val="003F3C02"/>
    <w:rsid w:val="003F3FE1"/>
    <w:rsid w:val="003F4C80"/>
    <w:rsid w:val="003F4CF5"/>
    <w:rsid w:val="003F4D50"/>
    <w:rsid w:val="003F4D7D"/>
    <w:rsid w:val="003F587C"/>
    <w:rsid w:val="003F59A2"/>
    <w:rsid w:val="003F59AC"/>
    <w:rsid w:val="003F5CEF"/>
    <w:rsid w:val="003F5DE8"/>
    <w:rsid w:val="003F6570"/>
    <w:rsid w:val="003F6E83"/>
    <w:rsid w:val="003F7153"/>
    <w:rsid w:val="003F725E"/>
    <w:rsid w:val="003F76C0"/>
    <w:rsid w:val="003F7ED3"/>
    <w:rsid w:val="003F7F6D"/>
    <w:rsid w:val="004003FD"/>
    <w:rsid w:val="00401A76"/>
    <w:rsid w:val="0040238D"/>
    <w:rsid w:val="004029B2"/>
    <w:rsid w:val="004030E7"/>
    <w:rsid w:val="0040340C"/>
    <w:rsid w:val="004037DA"/>
    <w:rsid w:val="0040381D"/>
    <w:rsid w:val="004041B9"/>
    <w:rsid w:val="0040485F"/>
    <w:rsid w:val="00404D85"/>
    <w:rsid w:val="0040509A"/>
    <w:rsid w:val="00405147"/>
    <w:rsid w:val="004052B0"/>
    <w:rsid w:val="0040552A"/>
    <w:rsid w:val="00405B46"/>
    <w:rsid w:val="00405FFE"/>
    <w:rsid w:val="00406042"/>
    <w:rsid w:val="004063CF"/>
    <w:rsid w:val="004063F8"/>
    <w:rsid w:val="00406BF9"/>
    <w:rsid w:val="00406D1B"/>
    <w:rsid w:val="00407452"/>
    <w:rsid w:val="004078F6"/>
    <w:rsid w:val="0040799A"/>
    <w:rsid w:val="004079A2"/>
    <w:rsid w:val="0041067C"/>
    <w:rsid w:val="00411010"/>
    <w:rsid w:val="0041128A"/>
    <w:rsid w:val="00411592"/>
    <w:rsid w:val="0041175B"/>
    <w:rsid w:val="00411C39"/>
    <w:rsid w:val="00411DBD"/>
    <w:rsid w:val="00411F73"/>
    <w:rsid w:val="00411F99"/>
    <w:rsid w:val="004120A6"/>
    <w:rsid w:val="0041212B"/>
    <w:rsid w:val="004123D9"/>
    <w:rsid w:val="00412707"/>
    <w:rsid w:val="004128BB"/>
    <w:rsid w:val="00412A59"/>
    <w:rsid w:val="004130A5"/>
    <w:rsid w:val="0041338A"/>
    <w:rsid w:val="0041363E"/>
    <w:rsid w:val="004140E9"/>
    <w:rsid w:val="00414391"/>
    <w:rsid w:val="00414E63"/>
    <w:rsid w:val="004159D1"/>
    <w:rsid w:val="00415A3C"/>
    <w:rsid w:val="00416762"/>
    <w:rsid w:val="00416CB0"/>
    <w:rsid w:val="00420738"/>
    <w:rsid w:val="004208A1"/>
    <w:rsid w:val="004218AC"/>
    <w:rsid w:val="004219B5"/>
    <w:rsid w:val="00421FBC"/>
    <w:rsid w:val="00422AD8"/>
    <w:rsid w:val="004233B7"/>
    <w:rsid w:val="00423583"/>
    <w:rsid w:val="004238E2"/>
    <w:rsid w:val="0042452C"/>
    <w:rsid w:val="00425FDC"/>
    <w:rsid w:val="00426AC9"/>
    <w:rsid w:val="00426B0F"/>
    <w:rsid w:val="00426DF7"/>
    <w:rsid w:val="00426ED4"/>
    <w:rsid w:val="00427022"/>
    <w:rsid w:val="004271C6"/>
    <w:rsid w:val="00427448"/>
    <w:rsid w:val="00430542"/>
    <w:rsid w:val="00430711"/>
    <w:rsid w:val="004308C9"/>
    <w:rsid w:val="004319E3"/>
    <w:rsid w:val="004321BC"/>
    <w:rsid w:val="00432409"/>
    <w:rsid w:val="0043266B"/>
    <w:rsid w:val="004327F9"/>
    <w:rsid w:val="0043282D"/>
    <w:rsid w:val="0043284C"/>
    <w:rsid w:val="004328A9"/>
    <w:rsid w:val="00432EC9"/>
    <w:rsid w:val="00432F50"/>
    <w:rsid w:val="00432F60"/>
    <w:rsid w:val="00433402"/>
    <w:rsid w:val="0043340B"/>
    <w:rsid w:val="0043444F"/>
    <w:rsid w:val="00434E67"/>
    <w:rsid w:val="00434F84"/>
    <w:rsid w:val="00435073"/>
    <w:rsid w:val="004350C0"/>
    <w:rsid w:val="004352DC"/>
    <w:rsid w:val="004355D2"/>
    <w:rsid w:val="00436A9D"/>
    <w:rsid w:val="004370A2"/>
    <w:rsid w:val="0043797E"/>
    <w:rsid w:val="00437B25"/>
    <w:rsid w:val="00437D65"/>
    <w:rsid w:val="00437FE0"/>
    <w:rsid w:val="00440895"/>
    <w:rsid w:val="00440A4B"/>
    <w:rsid w:val="00441341"/>
    <w:rsid w:val="00441410"/>
    <w:rsid w:val="004416ED"/>
    <w:rsid w:val="00441C04"/>
    <w:rsid w:val="004421D9"/>
    <w:rsid w:val="00442865"/>
    <w:rsid w:val="0044365E"/>
    <w:rsid w:val="0044399D"/>
    <w:rsid w:val="004439FD"/>
    <w:rsid w:val="00443C52"/>
    <w:rsid w:val="00443C99"/>
    <w:rsid w:val="004441FE"/>
    <w:rsid w:val="0044480E"/>
    <w:rsid w:val="00444C79"/>
    <w:rsid w:val="00444D27"/>
    <w:rsid w:val="00445053"/>
    <w:rsid w:val="00445089"/>
    <w:rsid w:val="004455F6"/>
    <w:rsid w:val="004456D3"/>
    <w:rsid w:val="00445DAB"/>
    <w:rsid w:val="0044608D"/>
    <w:rsid w:val="00446915"/>
    <w:rsid w:val="00446DAB"/>
    <w:rsid w:val="00447160"/>
    <w:rsid w:val="00447932"/>
    <w:rsid w:val="0044797D"/>
    <w:rsid w:val="00447CFA"/>
    <w:rsid w:val="00447F20"/>
    <w:rsid w:val="00450423"/>
    <w:rsid w:val="004506F3"/>
    <w:rsid w:val="00451115"/>
    <w:rsid w:val="00451429"/>
    <w:rsid w:val="004516AA"/>
    <w:rsid w:val="00451794"/>
    <w:rsid w:val="00451B65"/>
    <w:rsid w:val="00451ED1"/>
    <w:rsid w:val="00451F85"/>
    <w:rsid w:val="0045277E"/>
    <w:rsid w:val="004528FB"/>
    <w:rsid w:val="004529E8"/>
    <w:rsid w:val="00452F50"/>
    <w:rsid w:val="00453261"/>
    <w:rsid w:val="00453450"/>
    <w:rsid w:val="00453699"/>
    <w:rsid w:val="004537A3"/>
    <w:rsid w:val="00453BB3"/>
    <w:rsid w:val="00453F93"/>
    <w:rsid w:val="00453FD5"/>
    <w:rsid w:val="00453FFC"/>
    <w:rsid w:val="00454624"/>
    <w:rsid w:val="004548C3"/>
    <w:rsid w:val="00454FA9"/>
    <w:rsid w:val="00455544"/>
    <w:rsid w:val="004559E1"/>
    <w:rsid w:val="00455EBC"/>
    <w:rsid w:val="004561FB"/>
    <w:rsid w:val="00456C76"/>
    <w:rsid w:val="00456D72"/>
    <w:rsid w:val="00456E32"/>
    <w:rsid w:val="004570F7"/>
    <w:rsid w:val="0046008D"/>
    <w:rsid w:val="00460996"/>
    <w:rsid w:val="004609C0"/>
    <w:rsid w:val="00460A48"/>
    <w:rsid w:val="0046141C"/>
    <w:rsid w:val="004619C0"/>
    <w:rsid w:val="00462005"/>
    <w:rsid w:val="004620D0"/>
    <w:rsid w:val="0046212D"/>
    <w:rsid w:val="00462697"/>
    <w:rsid w:val="004626BA"/>
    <w:rsid w:val="004629EC"/>
    <w:rsid w:val="00462A8D"/>
    <w:rsid w:val="00463117"/>
    <w:rsid w:val="004637B7"/>
    <w:rsid w:val="00463F7A"/>
    <w:rsid w:val="004649CD"/>
    <w:rsid w:val="00464BE4"/>
    <w:rsid w:val="00464D6A"/>
    <w:rsid w:val="004652E6"/>
    <w:rsid w:val="00465E06"/>
    <w:rsid w:val="0046608D"/>
    <w:rsid w:val="00466280"/>
    <w:rsid w:val="004665DF"/>
    <w:rsid w:val="004666C9"/>
    <w:rsid w:val="00466BC1"/>
    <w:rsid w:val="0046723B"/>
    <w:rsid w:val="004673FD"/>
    <w:rsid w:val="00467542"/>
    <w:rsid w:val="00467A7B"/>
    <w:rsid w:val="0047043D"/>
    <w:rsid w:val="00470647"/>
    <w:rsid w:val="00470809"/>
    <w:rsid w:val="00471390"/>
    <w:rsid w:val="0047162A"/>
    <w:rsid w:val="00471737"/>
    <w:rsid w:val="004719AB"/>
    <w:rsid w:val="004719F0"/>
    <w:rsid w:val="00471CEF"/>
    <w:rsid w:val="00471D30"/>
    <w:rsid w:val="00472006"/>
    <w:rsid w:val="004720AC"/>
    <w:rsid w:val="00472B64"/>
    <w:rsid w:val="00472DF4"/>
    <w:rsid w:val="004730C4"/>
    <w:rsid w:val="00473334"/>
    <w:rsid w:val="0047378E"/>
    <w:rsid w:val="004738B5"/>
    <w:rsid w:val="00473DE6"/>
    <w:rsid w:val="00474008"/>
    <w:rsid w:val="00474457"/>
    <w:rsid w:val="00474BA6"/>
    <w:rsid w:val="00475096"/>
    <w:rsid w:val="0047514F"/>
    <w:rsid w:val="00475570"/>
    <w:rsid w:val="004755BB"/>
    <w:rsid w:val="004755F0"/>
    <w:rsid w:val="00475A73"/>
    <w:rsid w:val="00475D07"/>
    <w:rsid w:val="00475D2A"/>
    <w:rsid w:val="00475E08"/>
    <w:rsid w:val="00475EF0"/>
    <w:rsid w:val="00475FCB"/>
    <w:rsid w:val="00476180"/>
    <w:rsid w:val="00476420"/>
    <w:rsid w:val="00476929"/>
    <w:rsid w:val="00476D4F"/>
    <w:rsid w:val="00476F4E"/>
    <w:rsid w:val="00477086"/>
    <w:rsid w:val="004778D4"/>
    <w:rsid w:val="00477A78"/>
    <w:rsid w:val="00477CCF"/>
    <w:rsid w:val="00477DB9"/>
    <w:rsid w:val="00477DE3"/>
    <w:rsid w:val="00477EC4"/>
    <w:rsid w:val="00480368"/>
    <w:rsid w:val="00480393"/>
    <w:rsid w:val="00480F4D"/>
    <w:rsid w:val="00481BFC"/>
    <w:rsid w:val="00481CAF"/>
    <w:rsid w:val="00482C57"/>
    <w:rsid w:val="00482EF9"/>
    <w:rsid w:val="004834DF"/>
    <w:rsid w:val="004835FE"/>
    <w:rsid w:val="00483769"/>
    <w:rsid w:val="004839C0"/>
    <w:rsid w:val="00483A6D"/>
    <w:rsid w:val="00484179"/>
    <w:rsid w:val="00484691"/>
    <w:rsid w:val="00484BE8"/>
    <w:rsid w:val="00484FE4"/>
    <w:rsid w:val="00485016"/>
    <w:rsid w:val="0048503F"/>
    <w:rsid w:val="004855F6"/>
    <w:rsid w:val="004858FD"/>
    <w:rsid w:val="00485ADC"/>
    <w:rsid w:val="00485B73"/>
    <w:rsid w:val="00486093"/>
    <w:rsid w:val="004862F7"/>
    <w:rsid w:val="004867F7"/>
    <w:rsid w:val="00486B8C"/>
    <w:rsid w:val="00486C67"/>
    <w:rsid w:val="004872A1"/>
    <w:rsid w:val="00487743"/>
    <w:rsid w:val="004878D2"/>
    <w:rsid w:val="00487948"/>
    <w:rsid w:val="00487B14"/>
    <w:rsid w:val="00490385"/>
    <w:rsid w:val="0049060A"/>
    <w:rsid w:val="00490693"/>
    <w:rsid w:val="004906E5"/>
    <w:rsid w:val="004907D3"/>
    <w:rsid w:val="00490D49"/>
    <w:rsid w:val="00490E45"/>
    <w:rsid w:val="004913D4"/>
    <w:rsid w:val="004914AA"/>
    <w:rsid w:val="004918D6"/>
    <w:rsid w:val="00491A55"/>
    <w:rsid w:val="00491B0E"/>
    <w:rsid w:val="004923D0"/>
    <w:rsid w:val="00492AD5"/>
    <w:rsid w:val="00492C26"/>
    <w:rsid w:val="00492F04"/>
    <w:rsid w:val="00492F16"/>
    <w:rsid w:val="0049304D"/>
    <w:rsid w:val="004931A7"/>
    <w:rsid w:val="004934D7"/>
    <w:rsid w:val="0049392A"/>
    <w:rsid w:val="00494899"/>
    <w:rsid w:val="00495041"/>
    <w:rsid w:val="0049522C"/>
    <w:rsid w:val="0049551D"/>
    <w:rsid w:val="00495579"/>
    <w:rsid w:val="00495A51"/>
    <w:rsid w:val="0049630D"/>
    <w:rsid w:val="0049640D"/>
    <w:rsid w:val="00496D00"/>
    <w:rsid w:val="00496F93"/>
    <w:rsid w:val="004A0059"/>
    <w:rsid w:val="004A016C"/>
    <w:rsid w:val="004A027E"/>
    <w:rsid w:val="004A0351"/>
    <w:rsid w:val="004A055E"/>
    <w:rsid w:val="004A10C7"/>
    <w:rsid w:val="004A12A0"/>
    <w:rsid w:val="004A16EE"/>
    <w:rsid w:val="004A172F"/>
    <w:rsid w:val="004A173F"/>
    <w:rsid w:val="004A276B"/>
    <w:rsid w:val="004A291E"/>
    <w:rsid w:val="004A30C2"/>
    <w:rsid w:val="004A31E9"/>
    <w:rsid w:val="004A35AD"/>
    <w:rsid w:val="004A3C98"/>
    <w:rsid w:val="004A3E50"/>
    <w:rsid w:val="004A4404"/>
    <w:rsid w:val="004A44A6"/>
    <w:rsid w:val="004A466C"/>
    <w:rsid w:val="004A5349"/>
    <w:rsid w:val="004A63F6"/>
    <w:rsid w:val="004A67F3"/>
    <w:rsid w:val="004A6A94"/>
    <w:rsid w:val="004A6D5D"/>
    <w:rsid w:val="004A7363"/>
    <w:rsid w:val="004A7457"/>
    <w:rsid w:val="004B061B"/>
    <w:rsid w:val="004B06D2"/>
    <w:rsid w:val="004B0BFC"/>
    <w:rsid w:val="004B0C30"/>
    <w:rsid w:val="004B0D00"/>
    <w:rsid w:val="004B0E5A"/>
    <w:rsid w:val="004B0F30"/>
    <w:rsid w:val="004B0F6E"/>
    <w:rsid w:val="004B1088"/>
    <w:rsid w:val="004B126D"/>
    <w:rsid w:val="004B13CB"/>
    <w:rsid w:val="004B153A"/>
    <w:rsid w:val="004B1615"/>
    <w:rsid w:val="004B1BE0"/>
    <w:rsid w:val="004B1DAE"/>
    <w:rsid w:val="004B2006"/>
    <w:rsid w:val="004B2105"/>
    <w:rsid w:val="004B2647"/>
    <w:rsid w:val="004B33C2"/>
    <w:rsid w:val="004B3612"/>
    <w:rsid w:val="004B3750"/>
    <w:rsid w:val="004B3858"/>
    <w:rsid w:val="004B3B65"/>
    <w:rsid w:val="004B4B55"/>
    <w:rsid w:val="004B4E03"/>
    <w:rsid w:val="004B5C6A"/>
    <w:rsid w:val="004B6337"/>
    <w:rsid w:val="004B66FE"/>
    <w:rsid w:val="004B6A4C"/>
    <w:rsid w:val="004B6FBB"/>
    <w:rsid w:val="004B6FF2"/>
    <w:rsid w:val="004B7209"/>
    <w:rsid w:val="004B72E2"/>
    <w:rsid w:val="004B7558"/>
    <w:rsid w:val="004B7591"/>
    <w:rsid w:val="004C027D"/>
    <w:rsid w:val="004C0467"/>
    <w:rsid w:val="004C080A"/>
    <w:rsid w:val="004C0E23"/>
    <w:rsid w:val="004C0FCB"/>
    <w:rsid w:val="004C158C"/>
    <w:rsid w:val="004C17BA"/>
    <w:rsid w:val="004C1AB9"/>
    <w:rsid w:val="004C1E79"/>
    <w:rsid w:val="004C1EFE"/>
    <w:rsid w:val="004C1F82"/>
    <w:rsid w:val="004C20EE"/>
    <w:rsid w:val="004C2323"/>
    <w:rsid w:val="004C23FE"/>
    <w:rsid w:val="004C2BE0"/>
    <w:rsid w:val="004C2BFE"/>
    <w:rsid w:val="004C34A8"/>
    <w:rsid w:val="004C34D3"/>
    <w:rsid w:val="004C3A46"/>
    <w:rsid w:val="004C3BE3"/>
    <w:rsid w:val="004C3C91"/>
    <w:rsid w:val="004C3D2E"/>
    <w:rsid w:val="004C3F90"/>
    <w:rsid w:val="004C4284"/>
    <w:rsid w:val="004C5163"/>
    <w:rsid w:val="004C53A2"/>
    <w:rsid w:val="004C5817"/>
    <w:rsid w:val="004C5907"/>
    <w:rsid w:val="004C5C0D"/>
    <w:rsid w:val="004C5E6E"/>
    <w:rsid w:val="004C603F"/>
    <w:rsid w:val="004C63AF"/>
    <w:rsid w:val="004C641F"/>
    <w:rsid w:val="004C66D8"/>
    <w:rsid w:val="004C6E93"/>
    <w:rsid w:val="004C6FC7"/>
    <w:rsid w:val="004C75EE"/>
    <w:rsid w:val="004C7DEE"/>
    <w:rsid w:val="004C7FD9"/>
    <w:rsid w:val="004D0071"/>
    <w:rsid w:val="004D014B"/>
    <w:rsid w:val="004D0716"/>
    <w:rsid w:val="004D0C10"/>
    <w:rsid w:val="004D0E8C"/>
    <w:rsid w:val="004D16BD"/>
    <w:rsid w:val="004D1705"/>
    <w:rsid w:val="004D183C"/>
    <w:rsid w:val="004D1D62"/>
    <w:rsid w:val="004D1E76"/>
    <w:rsid w:val="004D314C"/>
    <w:rsid w:val="004D391B"/>
    <w:rsid w:val="004D39EE"/>
    <w:rsid w:val="004D3BE0"/>
    <w:rsid w:val="004D3DF1"/>
    <w:rsid w:val="004D41D8"/>
    <w:rsid w:val="004D448B"/>
    <w:rsid w:val="004D45BE"/>
    <w:rsid w:val="004D46BC"/>
    <w:rsid w:val="004D4C79"/>
    <w:rsid w:val="004D4FE5"/>
    <w:rsid w:val="004D5411"/>
    <w:rsid w:val="004D5B48"/>
    <w:rsid w:val="004D6623"/>
    <w:rsid w:val="004D66FB"/>
    <w:rsid w:val="004D78A4"/>
    <w:rsid w:val="004D7C65"/>
    <w:rsid w:val="004D7E30"/>
    <w:rsid w:val="004E06DB"/>
    <w:rsid w:val="004E06E3"/>
    <w:rsid w:val="004E0932"/>
    <w:rsid w:val="004E10A7"/>
    <w:rsid w:val="004E10F6"/>
    <w:rsid w:val="004E1588"/>
    <w:rsid w:val="004E1A49"/>
    <w:rsid w:val="004E1C01"/>
    <w:rsid w:val="004E203F"/>
    <w:rsid w:val="004E27FD"/>
    <w:rsid w:val="004E2A0E"/>
    <w:rsid w:val="004E2A33"/>
    <w:rsid w:val="004E2A80"/>
    <w:rsid w:val="004E2ED0"/>
    <w:rsid w:val="004E3447"/>
    <w:rsid w:val="004E3746"/>
    <w:rsid w:val="004E381A"/>
    <w:rsid w:val="004E3A54"/>
    <w:rsid w:val="004E3EAE"/>
    <w:rsid w:val="004E4065"/>
    <w:rsid w:val="004E432C"/>
    <w:rsid w:val="004E4A95"/>
    <w:rsid w:val="004E4DB3"/>
    <w:rsid w:val="004E5176"/>
    <w:rsid w:val="004E5C2D"/>
    <w:rsid w:val="004E5DD7"/>
    <w:rsid w:val="004E62FA"/>
    <w:rsid w:val="004E63B1"/>
    <w:rsid w:val="004E678D"/>
    <w:rsid w:val="004E6959"/>
    <w:rsid w:val="004E6C0A"/>
    <w:rsid w:val="004E6E03"/>
    <w:rsid w:val="004E7F44"/>
    <w:rsid w:val="004E7F53"/>
    <w:rsid w:val="004F0049"/>
    <w:rsid w:val="004F0491"/>
    <w:rsid w:val="004F0EFB"/>
    <w:rsid w:val="004F1541"/>
    <w:rsid w:val="004F1D8B"/>
    <w:rsid w:val="004F230F"/>
    <w:rsid w:val="004F24F5"/>
    <w:rsid w:val="004F2540"/>
    <w:rsid w:val="004F265D"/>
    <w:rsid w:val="004F270D"/>
    <w:rsid w:val="004F2A38"/>
    <w:rsid w:val="004F3485"/>
    <w:rsid w:val="004F39C4"/>
    <w:rsid w:val="004F3F22"/>
    <w:rsid w:val="004F46DE"/>
    <w:rsid w:val="004F499B"/>
    <w:rsid w:val="004F4C22"/>
    <w:rsid w:val="004F4E3F"/>
    <w:rsid w:val="004F57C7"/>
    <w:rsid w:val="004F5D7C"/>
    <w:rsid w:val="004F6706"/>
    <w:rsid w:val="004F6B28"/>
    <w:rsid w:val="004F6EEC"/>
    <w:rsid w:val="004F7405"/>
    <w:rsid w:val="004F7887"/>
    <w:rsid w:val="004F7C08"/>
    <w:rsid w:val="004F7EE3"/>
    <w:rsid w:val="004F7F07"/>
    <w:rsid w:val="00500085"/>
    <w:rsid w:val="005002C9"/>
    <w:rsid w:val="00500B97"/>
    <w:rsid w:val="00501037"/>
    <w:rsid w:val="005012D0"/>
    <w:rsid w:val="005015E2"/>
    <w:rsid w:val="00501698"/>
    <w:rsid w:val="00501B61"/>
    <w:rsid w:val="00501BC3"/>
    <w:rsid w:val="00502D42"/>
    <w:rsid w:val="005033B9"/>
    <w:rsid w:val="0050348B"/>
    <w:rsid w:val="005036C6"/>
    <w:rsid w:val="00503C73"/>
    <w:rsid w:val="00503DDD"/>
    <w:rsid w:val="00504D11"/>
    <w:rsid w:val="00504D21"/>
    <w:rsid w:val="00504EFA"/>
    <w:rsid w:val="00505525"/>
    <w:rsid w:val="00505CF2"/>
    <w:rsid w:val="005067C9"/>
    <w:rsid w:val="00506808"/>
    <w:rsid w:val="00506B2C"/>
    <w:rsid w:val="00506D15"/>
    <w:rsid w:val="00507508"/>
    <w:rsid w:val="0050798D"/>
    <w:rsid w:val="00507A4F"/>
    <w:rsid w:val="00507BC5"/>
    <w:rsid w:val="00507D5D"/>
    <w:rsid w:val="00507EF4"/>
    <w:rsid w:val="00507FE8"/>
    <w:rsid w:val="00510053"/>
    <w:rsid w:val="005105ED"/>
    <w:rsid w:val="00510770"/>
    <w:rsid w:val="00510B16"/>
    <w:rsid w:val="00510B36"/>
    <w:rsid w:val="005112BE"/>
    <w:rsid w:val="00511757"/>
    <w:rsid w:val="00511893"/>
    <w:rsid w:val="00511AFF"/>
    <w:rsid w:val="00511BC4"/>
    <w:rsid w:val="00511D12"/>
    <w:rsid w:val="00511DB3"/>
    <w:rsid w:val="00511DC6"/>
    <w:rsid w:val="0051281A"/>
    <w:rsid w:val="005129D9"/>
    <w:rsid w:val="00512AA7"/>
    <w:rsid w:val="00512C2E"/>
    <w:rsid w:val="005133C4"/>
    <w:rsid w:val="00513563"/>
    <w:rsid w:val="005141AA"/>
    <w:rsid w:val="0051442F"/>
    <w:rsid w:val="00514449"/>
    <w:rsid w:val="005146C1"/>
    <w:rsid w:val="00514951"/>
    <w:rsid w:val="00514B53"/>
    <w:rsid w:val="00515591"/>
    <w:rsid w:val="00515675"/>
    <w:rsid w:val="00515745"/>
    <w:rsid w:val="005158FB"/>
    <w:rsid w:val="00515BD6"/>
    <w:rsid w:val="00515D31"/>
    <w:rsid w:val="005161E7"/>
    <w:rsid w:val="0051662D"/>
    <w:rsid w:val="0051664A"/>
    <w:rsid w:val="005168FA"/>
    <w:rsid w:val="005170B4"/>
    <w:rsid w:val="00517357"/>
    <w:rsid w:val="0051781E"/>
    <w:rsid w:val="00517889"/>
    <w:rsid w:val="00517DDA"/>
    <w:rsid w:val="005202ED"/>
    <w:rsid w:val="005205B6"/>
    <w:rsid w:val="005211FB"/>
    <w:rsid w:val="0052134D"/>
    <w:rsid w:val="005221F7"/>
    <w:rsid w:val="00522213"/>
    <w:rsid w:val="0052236D"/>
    <w:rsid w:val="0052256D"/>
    <w:rsid w:val="00522659"/>
    <w:rsid w:val="00522CA4"/>
    <w:rsid w:val="00523086"/>
    <w:rsid w:val="00523326"/>
    <w:rsid w:val="00523451"/>
    <w:rsid w:val="0052362A"/>
    <w:rsid w:val="00523924"/>
    <w:rsid w:val="00524299"/>
    <w:rsid w:val="00524826"/>
    <w:rsid w:val="00525292"/>
    <w:rsid w:val="005258D4"/>
    <w:rsid w:val="00525E3C"/>
    <w:rsid w:val="00525FD0"/>
    <w:rsid w:val="00526B6E"/>
    <w:rsid w:val="00526DD5"/>
    <w:rsid w:val="00526F96"/>
    <w:rsid w:val="00527493"/>
    <w:rsid w:val="00527E2D"/>
    <w:rsid w:val="00527F00"/>
    <w:rsid w:val="005301ED"/>
    <w:rsid w:val="0053052F"/>
    <w:rsid w:val="00530638"/>
    <w:rsid w:val="005310DA"/>
    <w:rsid w:val="00531A39"/>
    <w:rsid w:val="00532207"/>
    <w:rsid w:val="00532230"/>
    <w:rsid w:val="00532629"/>
    <w:rsid w:val="00532878"/>
    <w:rsid w:val="00532CC1"/>
    <w:rsid w:val="005331FE"/>
    <w:rsid w:val="005332E3"/>
    <w:rsid w:val="00533626"/>
    <w:rsid w:val="00533BA3"/>
    <w:rsid w:val="00533D02"/>
    <w:rsid w:val="00534603"/>
    <w:rsid w:val="005347D6"/>
    <w:rsid w:val="005348D4"/>
    <w:rsid w:val="00534ADB"/>
    <w:rsid w:val="00534B35"/>
    <w:rsid w:val="00534C9A"/>
    <w:rsid w:val="00534CDC"/>
    <w:rsid w:val="005354E9"/>
    <w:rsid w:val="005356AB"/>
    <w:rsid w:val="00535F9F"/>
    <w:rsid w:val="00535FF6"/>
    <w:rsid w:val="00536145"/>
    <w:rsid w:val="00536C6B"/>
    <w:rsid w:val="00536ECC"/>
    <w:rsid w:val="005371B3"/>
    <w:rsid w:val="005371EE"/>
    <w:rsid w:val="005376D4"/>
    <w:rsid w:val="00540106"/>
    <w:rsid w:val="005402BE"/>
    <w:rsid w:val="00540CF0"/>
    <w:rsid w:val="005419E2"/>
    <w:rsid w:val="00541C2C"/>
    <w:rsid w:val="00541CF6"/>
    <w:rsid w:val="00541F2D"/>
    <w:rsid w:val="005422A3"/>
    <w:rsid w:val="005427DB"/>
    <w:rsid w:val="0054281D"/>
    <w:rsid w:val="00542877"/>
    <w:rsid w:val="00542ABB"/>
    <w:rsid w:val="00543644"/>
    <w:rsid w:val="00543777"/>
    <w:rsid w:val="00543ABB"/>
    <w:rsid w:val="00543C73"/>
    <w:rsid w:val="00543DFB"/>
    <w:rsid w:val="0054464A"/>
    <w:rsid w:val="00544727"/>
    <w:rsid w:val="00544C98"/>
    <w:rsid w:val="00544F2B"/>
    <w:rsid w:val="00545448"/>
    <w:rsid w:val="0054579C"/>
    <w:rsid w:val="005460DD"/>
    <w:rsid w:val="00546373"/>
    <w:rsid w:val="005465BC"/>
    <w:rsid w:val="005467D8"/>
    <w:rsid w:val="00546A82"/>
    <w:rsid w:val="0054727B"/>
    <w:rsid w:val="00550067"/>
    <w:rsid w:val="00550315"/>
    <w:rsid w:val="005503C5"/>
    <w:rsid w:val="0055059D"/>
    <w:rsid w:val="005507B0"/>
    <w:rsid w:val="00550A58"/>
    <w:rsid w:val="00550AC2"/>
    <w:rsid w:val="005511FC"/>
    <w:rsid w:val="00551689"/>
    <w:rsid w:val="005533CF"/>
    <w:rsid w:val="0055390B"/>
    <w:rsid w:val="00553DF8"/>
    <w:rsid w:val="00554433"/>
    <w:rsid w:val="00554A28"/>
    <w:rsid w:val="00554D3D"/>
    <w:rsid w:val="005555A4"/>
    <w:rsid w:val="00555AD5"/>
    <w:rsid w:val="00555BF6"/>
    <w:rsid w:val="00555F73"/>
    <w:rsid w:val="00556027"/>
    <w:rsid w:val="00556FB7"/>
    <w:rsid w:val="00557246"/>
    <w:rsid w:val="0055736E"/>
    <w:rsid w:val="005576C4"/>
    <w:rsid w:val="0055783F"/>
    <w:rsid w:val="00557BB2"/>
    <w:rsid w:val="00557C65"/>
    <w:rsid w:val="00557CE1"/>
    <w:rsid w:val="0056075E"/>
    <w:rsid w:val="005609AE"/>
    <w:rsid w:val="00560F05"/>
    <w:rsid w:val="00561352"/>
    <w:rsid w:val="005628BF"/>
    <w:rsid w:val="00562CA3"/>
    <w:rsid w:val="00563316"/>
    <w:rsid w:val="005633BA"/>
    <w:rsid w:val="0056366F"/>
    <w:rsid w:val="0056374C"/>
    <w:rsid w:val="00563A5B"/>
    <w:rsid w:val="00563D10"/>
    <w:rsid w:val="005643FF"/>
    <w:rsid w:val="005646BE"/>
    <w:rsid w:val="00564715"/>
    <w:rsid w:val="00564A7D"/>
    <w:rsid w:val="0056515C"/>
    <w:rsid w:val="005651B8"/>
    <w:rsid w:val="005657A3"/>
    <w:rsid w:val="00565893"/>
    <w:rsid w:val="0056602C"/>
    <w:rsid w:val="00566096"/>
    <w:rsid w:val="005665E9"/>
    <w:rsid w:val="00566669"/>
    <w:rsid w:val="00567065"/>
    <w:rsid w:val="005672EC"/>
    <w:rsid w:val="005674F5"/>
    <w:rsid w:val="0056770B"/>
    <w:rsid w:val="00567730"/>
    <w:rsid w:val="00567833"/>
    <w:rsid w:val="00567956"/>
    <w:rsid w:val="00567978"/>
    <w:rsid w:val="00567C05"/>
    <w:rsid w:val="00570244"/>
    <w:rsid w:val="005703DA"/>
    <w:rsid w:val="005704E6"/>
    <w:rsid w:val="005705D1"/>
    <w:rsid w:val="0057078F"/>
    <w:rsid w:val="00571C4D"/>
    <w:rsid w:val="00571E7E"/>
    <w:rsid w:val="00571E8A"/>
    <w:rsid w:val="00571FF6"/>
    <w:rsid w:val="00572578"/>
    <w:rsid w:val="0057309A"/>
    <w:rsid w:val="005733FF"/>
    <w:rsid w:val="005739BA"/>
    <w:rsid w:val="00573C05"/>
    <w:rsid w:val="00574166"/>
    <w:rsid w:val="005742CA"/>
    <w:rsid w:val="005746A4"/>
    <w:rsid w:val="00574989"/>
    <w:rsid w:val="00575DE0"/>
    <w:rsid w:val="00576083"/>
    <w:rsid w:val="005761B7"/>
    <w:rsid w:val="005765D5"/>
    <w:rsid w:val="00576A45"/>
    <w:rsid w:val="0057742F"/>
    <w:rsid w:val="005774D8"/>
    <w:rsid w:val="005778C9"/>
    <w:rsid w:val="00577E57"/>
    <w:rsid w:val="00577E85"/>
    <w:rsid w:val="0058063A"/>
    <w:rsid w:val="00580B24"/>
    <w:rsid w:val="005811CE"/>
    <w:rsid w:val="00581475"/>
    <w:rsid w:val="0058154D"/>
    <w:rsid w:val="00581647"/>
    <w:rsid w:val="005816E1"/>
    <w:rsid w:val="00581C04"/>
    <w:rsid w:val="00581FC2"/>
    <w:rsid w:val="00582060"/>
    <w:rsid w:val="005826B9"/>
    <w:rsid w:val="005828B5"/>
    <w:rsid w:val="005833C2"/>
    <w:rsid w:val="0058346E"/>
    <w:rsid w:val="00584121"/>
    <w:rsid w:val="00584709"/>
    <w:rsid w:val="005849A8"/>
    <w:rsid w:val="00584C04"/>
    <w:rsid w:val="00584D27"/>
    <w:rsid w:val="005854B4"/>
    <w:rsid w:val="00585BA7"/>
    <w:rsid w:val="00585EE6"/>
    <w:rsid w:val="00585EEE"/>
    <w:rsid w:val="00585FFD"/>
    <w:rsid w:val="00586193"/>
    <w:rsid w:val="005861BE"/>
    <w:rsid w:val="00586604"/>
    <w:rsid w:val="005870C4"/>
    <w:rsid w:val="005870DF"/>
    <w:rsid w:val="00587764"/>
    <w:rsid w:val="005878D5"/>
    <w:rsid w:val="00587D22"/>
    <w:rsid w:val="00590128"/>
    <w:rsid w:val="005903FF"/>
    <w:rsid w:val="00590D02"/>
    <w:rsid w:val="00590DA2"/>
    <w:rsid w:val="0059114F"/>
    <w:rsid w:val="005919C3"/>
    <w:rsid w:val="00592495"/>
    <w:rsid w:val="00593420"/>
    <w:rsid w:val="00593626"/>
    <w:rsid w:val="0059362D"/>
    <w:rsid w:val="00593C4F"/>
    <w:rsid w:val="005940C0"/>
    <w:rsid w:val="00594563"/>
    <w:rsid w:val="00594A7B"/>
    <w:rsid w:val="00594A99"/>
    <w:rsid w:val="00594BB1"/>
    <w:rsid w:val="0059519E"/>
    <w:rsid w:val="00595CBA"/>
    <w:rsid w:val="00596244"/>
    <w:rsid w:val="00596606"/>
    <w:rsid w:val="00596AEF"/>
    <w:rsid w:val="00596BEA"/>
    <w:rsid w:val="00596C50"/>
    <w:rsid w:val="00596D46"/>
    <w:rsid w:val="00596EAB"/>
    <w:rsid w:val="005976FA"/>
    <w:rsid w:val="00597A20"/>
    <w:rsid w:val="005A00FE"/>
    <w:rsid w:val="005A1492"/>
    <w:rsid w:val="005A15AD"/>
    <w:rsid w:val="005A1B35"/>
    <w:rsid w:val="005A21A5"/>
    <w:rsid w:val="005A2BA2"/>
    <w:rsid w:val="005A2D86"/>
    <w:rsid w:val="005A46D7"/>
    <w:rsid w:val="005A4AB3"/>
    <w:rsid w:val="005A4ABD"/>
    <w:rsid w:val="005A4BA6"/>
    <w:rsid w:val="005A4EA6"/>
    <w:rsid w:val="005A5E15"/>
    <w:rsid w:val="005A6A1E"/>
    <w:rsid w:val="005A7203"/>
    <w:rsid w:val="005A74B2"/>
    <w:rsid w:val="005A7F71"/>
    <w:rsid w:val="005B0573"/>
    <w:rsid w:val="005B091A"/>
    <w:rsid w:val="005B09B1"/>
    <w:rsid w:val="005B0C04"/>
    <w:rsid w:val="005B1176"/>
    <w:rsid w:val="005B1512"/>
    <w:rsid w:val="005B1714"/>
    <w:rsid w:val="005B1FD6"/>
    <w:rsid w:val="005B2100"/>
    <w:rsid w:val="005B221D"/>
    <w:rsid w:val="005B29CB"/>
    <w:rsid w:val="005B2FB1"/>
    <w:rsid w:val="005B3A0D"/>
    <w:rsid w:val="005B3FE0"/>
    <w:rsid w:val="005B4333"/>
    <w:rsid w:val="005B43AD"/>
    <w:rsid w:val="005B4795"/>
    <w:rsid w:val="005B4910"/>
    <w:rsid w:val="005B4CCA"/>
    <w:rsid w:val="005B53AD"/>
    <w:rsid w:val="005B5B0F"/>
    <w:rsid w:val="005B6142"/>
    <w:rsid w:val="005B7A54"/>
    <w:rsid w:val="005C055B"/>
    <w:rsid w:val="005C05E9"/>
    <w:rsid w:val="005C0F60"/>
    <w:rsid w:val="005C1636"/>
    <w:rsid w:val="005C1D06"/>
    <w:rsid w:val="005C1D97"/>
    <w:rsid w:val="005C1F4C"/>
    <w:rsid w:val="005C25B0"/>
    <w:rsid w:val="005C266A"/>
    <w:rsid w:val="005C28C2"/>
    <w:rsid w:val="005C2A0B"/>
    <w:rsid w:val="005C2D8E"/>
    <w:rsid w:val="005C2E5E"/>
    <w:rsid w:val="005C3157"/>
    <w:rsid w:val="005C3486"/>
    <w:rsid w:val="005C352E"/>
    <w:rsid w:val="005C3812"/>
    <w:rsid w:val="005C3AC5"/>
    <w:rsid w:val="005C4CC2"/>
    <w:rsid w:val="005C4F9F"/>
    <w:rsid w:val="005C522F"/>
    <w:rsid w:val="005C5A38"/>
    <w:rsid w:val="005C5AA3"/>
    <w:rsid w:val="005C5C0C"/>
    <w:rsid w:val="005C6313"/>
    <w:rsid w:val="005C63BA"/>
    <w:rsid w:val="005C6577"/>
    <w:rsid w:val="005C686C"/>
    <w:rsid w:val="005C6C2A"/>
    <w:rsid w:val="005C6D76"/>
    <w:rsid w:val="005C752C"/>
    <w:rsid w:val="005C7A65"/>
    <w:rsid w:val="005C7EC3"/>
    <w:rsid w:val="005D1211"/>
    <w:rsid w:val="005D1842"/>
    <w:rsid w:val="005D1FD3"/>
    <w:rsid w:val="005D2564"/>
    <w:rsid w:val="005D2ABE"/>
    <w:rsid w:val="005D2CA2"/>
    <w:rsid w:val="005D378F"/>
    <w:rsid w:val="005D3EBE"/>
    <w:rsid w:val="005D4704"/>
    <w:rsid w:val="005D4D07"/>
    <w:rsid w:val="005D4DAD"/>
    <w:rsid w:val="005D54A8"/>
    <w:rsid w:val="005D5886"/>
    <w:rsid w:val="005D6035"/>
    <w:rsid w:val="005D61DB"/>
    <w:rsid w:val="005D63C4"/>
    <w:rsid w:val="005D6453"/>
    <w:rsid w:val="005D65DF"/>
    <w:rsid w:val="005D6D24"/>
    <w:rsid w:val="005D79E2"/>
    <w:rsid w:val="005D7C70"/>
    <w:rsid w:val="005D7F84"/>
    <w:rsid w:val="005E00A5"/>
    <w:rsid w:val="005E03A8"/>
    <w:rsid w:val="005E09A6"/>
    <w:rsid w:val="005E0B7E"/>
    <w:rsid w:val="005E0CAC"/>
    <w:rsid w:val="005E141E"/>
    <w:rsid w:val="005E184D"/>
    <w:rsid w:val="005E1D99"/>
    <w:rsid w:val="005E1EED"/>
    <w:rsid w:val="005E1F3B"/>
    <w:rsid w:val="005E232A"/>
    <w:rsid w:val="005E2392"/>
    <w:rsid w:val="005E2FBE"/>
    <w:rsid w:val="005E2FBF"/>
    <w:rsid w:val="005E3098"/>
    <w:rsid w:val="005E30F5"/>
    <w:rsid w:val="005E36B5"/>
    <w:rsid w:val="005E384D"/>
    <w:rsid w:val="005E387F"/>
    <w:rsid w:val="005E396A"/>
    <w:rsid w:val="005E3C0F"/>
    <w:rsid w:val="005E3D25"/>
    <w:rsid w:val="005E454A"/>
    <w:rsid w:val="005E4AA0"/>
    <w:rsid w:val="005E4BE7"/>
    <w:rsid w:val="005E4C45"/>
    <w:rsid w:val="005E4E92"/>
    <w:rsid w:val="005E4E98"/>
    <w:rsid w:val="005E55F5"/>
    <w:rsid w:val="005E574F"/>
    <w:rsid w:val="005E5771"/>
    <w:rsid w:val="005E58C5"/>
    <w:rsid w:val="005E5CD9"/>
    <w:rsid w:val="005E5E11"/>
    <w:rsid w:val="005E5F52"/>
    <w:rsid w:val="005E639E"/>
    <w:rsid w:val="005E64F9"/>
    <w:rsid w:val="005E6D2F"/>
    <w:rsid w:val="005E6F5E"/>
    <w:rsid w:val="005E776D"/>
    <w:rsid w:val="005E7903"/>
    <w:rsid w:val="005E7D14"/>
    <w:rsid w:val="005E7DA3"/>
    <w:rsid w:val="005F1480"/>
    <w:rsid w:val="005F167A"/>
    <w:rsid w:val="005F1710"/>
    <w:rsid w:val="005F17A8"/>
    <w:rsid w:val="005F1BB3"/>
    <w:rsid w:val="005F1FBA"/>
    <w:rsid w:val="005F2A46"/>
    <w:rsid w:val="005F2AC5"/>
    <w:rsid w:val="005F2B3F"/>
    <w:rsid w:val="005F2C48"/>
    <w:rsid w:val="005F2C89"/>
    <w:rsid w:val="005F2D28"/>
    <w:rsid w:val="005F2D3C"/>
    <w:rsid w:val="005F2DDC"/>
    <w:rsid w:val="005F2E35"/>
    <w:rsid w:val="005F2E4D"/>
    <w:rsid w:val="005F3273"/>
    <w:rsid w:val="005F371C"/>
    <w:rsid w:val="005F3C4C"/>
    <w:rsid w:val="005F3C79"/>
    <w:rsid w:val="005F3DE7"/>
    <w:rsid w:val="005F3EA9"/>
    <w:rsid w:val="005F5D50"/>
    <w:rsid w:val="005F5DED"/>
    <w:rsid w:val="005F6056"/>
    <w:rsid w:val="005F627C"/>
    <w:rsid w:val="005F675F"/>
    <w:rsid w:val="005F6798"/>
    <w:rsid w:val="005F6A45"/>
    <w:rsid w:val="005F6EF7"/>
    <w:rsid w:val="005F6FE7"/>
    <w:rsid w:val="005F70DB"/>
    <w:rsid w:val="005F75CB"/>
    <w:rsid w:val="005F7687"/>
    <w:rsid w:val="005F7CB5"/>
    <w:rsid w:val="0060017C"/>
    <w:rsid w:val="00600328"/>
    <w:rsid w:val="0060098E"/>
    <w:rsid w:val="006016D5"/>
    <w:rsid w:val="00602230"/>
    <w:rsid w:val="0060264A"/>
    <w:rsid w:val="006026D9"/>
    <w:rsid w:val="00602B2D"/>
    <w:rsid w:val="00602D86"/>
    <w:rsid w:val="00602DAD"/>
    <w:rsid w:val="0060323C"/>
    <w:rsid w:val="00603967"/>
    <w:rsid w:val="006040A7"/>
    <w:rsid w:val="0060455A"/>
    <w:rsid w:val="00604901"/>
    <w:rsid w:val="00604F7F"/>
    <w:rsid w:val="00605424"/>
    <w:rsid w:val="006056E0"/>
    <w:rsid w:val="00605ADA"/>
    <w:rsid w:val="00605E64"/>
    <w:rsid w:val="00605E7E"/>
    <w:rsid w:val="00605F48"/>
    <w:rsid w:val="00606123"/>
    <w:rsid w:val="00606F49"/>
    <w:rsid w:val="00606FD9"/>
    <w:rsid w:val="00607042"/>
    <w:rsid w:val="006075D4"/>
    <w:rsid w:val="006079F6"/>
    <w:rsid w:val="00607B91"/>
    <w:rsid w:val="0061052F"/>
    <w:rsid w:val="00610784"/>
    <w:rsid w:val="00610B19"/>
    <w:rsid w:val="00611313"/>
    <w:rsid w:val="00611821"/>
    <w:rsid w:val="006118BC"/>
    <w:rsid w:val="00612BA3"/>
    <w:rsid w:val="00612EA2"/>
    <w:rsid w:val="00613649"/>
    <w:rsid w:val="00613AB3"/>
    <w:rsid w:val="00614985"/>
    <w:rsid w:val="00614C85"/>
    <w:rsid w:val="00615080"/>
    <w:rsid w:val="006150E9"/>
    <w:rsid w:val="0061521A"/>
    <w:rsid w:val="00615369"/>
    <w:rsid w:val="006153EC"/>
    <w:rsid w:val="00615524"/>
    <w:rsid w:val="0061569C"/>
    <w:rsid w:val="00615867"/>
    <w:rsid w:val="0061591F"/>
    <w:rsid w:val="00615B12"/>
    <w:rsid w:val="00615EE3"/>
    <w:rsid w:val="0061628D"/>
    <w:rsid w:val="00616307"/>
    <w:rsid w:val="00616594"/>
    <w:rsid w:val="00616608"/>
    <w:rsid w:val="0061669F"/>
    <w:rsid w:val="00616B7B"/>
    <w:rsid w:val="00617835"/>
    <w:rsid w:val="00617BB7"/>
    <w:rsid w:val="00617F3E"/>
    <w:rsid w:val="006200C0"/>
    <w:rsid w:val="00620E38"/>
    <w:rsid w:val="0062136D"/>
    <w:rsid w:val="00621B84"/>
    <w:rsid w:val="00621E11"/>
    <w:rsid w:val="0062239C"/>
    <w:rsid w:val="00622918"/>
    <w:rsid w:val="00622C1D"/>
    <w:rsid w:val="00623FAE"/>
    <w:rsid w:val="00624390"/>
    <w:rsid w:val="00624392"/>
    <w:rsid w:val="00624411"/>
    <w:rsid w:val="006244EE"/>
    <w:rsid w:val="00624538"/>
    <w:rsid w:val="00624D96"/>
    <w:rsid w:val="00624E56"/>
    <w:rsid w:val="00625734"/>
    <w:rsid w:val="00625A9B"/>
    <w:rsid w:val="00625C48"/>
    <w:rsid w:val="00625DA8"/>
    <w:rsid w:val="00625E60"/>
    <w:rsid w:val="0062662D"/>
    <w:rsid w:val="00626C1B"/>
    <w:rsid w:val="00626C44"/>
    <w:rsid w:val="00626EF2"/>
    <w:rsid w:val="0062746F"/>
    <w:rsid w:val="006279AF"/>
    <w:rsid w:val="006302FA"/>
    <w:rsid w:val="00630419"/>
    <w:rsid w:val="00630842"/>
    <w:rsid w:val="00630C78"/>
    <w:rsid w:val="006315A8"/>
    <w:rsid w:val="006317A3"/>
    <w:rsid w:val="00632339"/>
    <w:rsid w:val="006324FB"/>
    <w:rsid w:val="00632717"/>
    <w:rsid w:val="006327DF"/>
    <w:rsid w:val="006329E9"/>
    <w:rsid w:val="00632FB0"/>
    <w:rsid w:val="00633933"/>
    <w:rsid w:val="00633DFC"/>
    <w:rsid w:val="00634512"/>
    <w:rsid w:val="00634540"/>
    <w:rsid w:val="0063497D"/>
    <w:rsid w:val="0063533C"/>
    <w:rsid w:val="00635D58"/>
    <w:rsid w:val="00636136"/>
    <w:rsid w:val="006364EE"/>
    <w:rsid w:val="00636CBF"/>
    <w:rsid w:val="00636DE1"/>
    <w:rsid w:val="00636DF4"/>
    <w:rsid w:val="00637A06"/>
    <w:rsid w:val="00637BF7"/>
    <w:rsid w:val="00637CFF"/>
    <w:rsid w:val="00640372"/>
    <w:rsid w:val="0064038B"/>
    <w:rsid w:val="006405BF"/>
    <w:rsid w:val="006408DF"/>
    <w:rsid w:val="00640BF2"/>
    <w:rsid w:val="0064126C"/>
    <w:rsid w:val="00641577"/>
    <w:rsid w:val="00641698"/>
    <w:rsid w:val="00641FE6"/>
    <w:rsid w:val="00642A4E"/>
    <w:rsid w:val="00642CA5"/>
    <w:rsid w:val="006433C1"/>
    <w:rsid w:val="00643513"/>
    <w:rsid w:val="00643786"/>
    <w:rsid w:val="00643B32"/>
    <w:rsid w:val="00643CB3"/>
    <w:rsid w:val="00644D2B"/>
    <w:rsid w:val="00644DAB"/>
    <w:rsid w:val="00644F4D"/>
    <w:rsid w:val="006456DA"/>
    <w:rsid w:val="006457DE"/>
    <w:rsid w:val="006458D1"/>
    <w:rsid w:val="006459FC"/>
    <w:rsid w:val="006463B6"/>
    <w:rsid w:val="0064692E"/>
    <w:rsid w:val="006475A8"/>
    <w:rsid w:val="006500DD"/>
    <w:rsid w:val="0065082F"/>
    <w:rsid w:val="00650E6C"/>
    <w:rsid w:val="006512EC"/>
    <w:rsid w:val="0065228C"/>
    <w:rsid w:val="006529ED"/>
    <w:rsid w:val="00652F86"/>
    <w:rsid w:val="00653323"/>
    <w:rsid w:val="00653534"/>
    <w:rsid w:val="00653B70"/>
    <w:rsid w:val="00654095"/>
    <w:rsid w:val="00654288"/>
    <w:rsid w:val="00654988"/>
    <w:rsid w:val="00654AA6"/>
    <w:rsid w:val="006561D6"/>
    <w:rsid w:val="00656233"/>
    <w:rsid w:val="00656CB4"/>
    <w:rsid w:val="0065714F"/>
    <w:rsid w:val="006573CE"/>
    <w:rsid w:val="006577A8"/>
    <w:rsid w:val="00657879"/>
    <w:rsid w:val="00657DDA"/>
    <w:rsid w:val="006601E8"/>
    <w:rsid w:val="006604F1"/>
    <w:rsid w:val="00660DE4"/>
    <w:rsid w:val="00660F09"/>
    <w:rsid w:val="0066129E"/>
    <w:rsid w:val="006613BC"/>
    <w:rsid w:val="006614DB"/>
    <w:rsid w:val="00661C2D"/>
    <w:rsid w:val="0066224B"/>
    <w:rsid w:val="006624B3"/>
    <w:rsid w:val="006626A4"/>
    <w:rsid w:val="006627A4"/>
    <w:rsid w:val="00662C38"/>
    <w:rsid w:val="00662E31"/>
    <w:rsid w:val="00662F67"/>
    <w:rsid w:val="006633E6"/>
    <w:rsid w:val="0066344A"/>
    <w:rsid w:val="00663B15"/>
    <w:rsid w:val="00663DB8"/>
    <w:rsid w:val="00663EA5"/>
    <w:rsid w:val="00663F59"/>
    <w:rsid w:val="006641E3"/>
    <w:rsid w:val="006642EF"/>
    <w:rsid w:val="00664BE7"/>
    <w:rsid w:val="00664F46"/>
    <w:rsid w:val="00664FAE"/>
    <w:rsid w:val="006651D2"/>
    <w:rsid w:val="00665263"/>
    <w:rsid w:val="006657F2"/>
    <w:rsid w:val="00665811"/>
    <w:rsid w:val="00665AE2"/>
    <w:rsid w:val="00665CC2"/>
    <w:rsid w:val="00665CF7"/>
    <w:rsid w:val="00666474"/>
    <w:rsid w:val="0066650B"/>
    <w:rsid w:val="00666801"/>
    <w:rsid w:val="00666B2B"/>
    <w:rsid w:val="0066731C"/>
    <w:rsid w:val="006673E4"/>
    <w:rsid w:val="0066784E"/>
    <w:rsid w:val="00667A42"/>
    <w:rsid w:val="006703A7"/>
    <w:rsid w:val="006708D2"/>
    <w:rsid w:val="00670D71"/>
    <w:rsid w:val="00671B14"/>
    <w:rsid w:val="0067283C"/>
    <w:rsid w:val="00672906"/>
    <w:rsid w:val="006729A7"/>
    <w:rsid w:val="00672C73"/>
    <w:rsid w:val="00673D28"/>
    <w:rsid w:val="00674584"/>
    <w:rsid w:val="006750F3"/>
    <w:rsid w:val="0067539A"/>
    <w:rsid w:val="00675C05"/>
    <w:rsid w:val="00675D92"/>
    <w:rsid w:val="00675FC4"/>
    <w:rsid w:val="00676147"/>
    <w:rsid w:val="00676506"/>
    <w:rsid w:val="00676609"/>
    <w:rsid w:val="00676804"/>
    <w:rsid w:val="0067692B"/>
    <w:rsid w:val="0067789A"/>
    <w:rsid w:val="006778AF"/>
    <w:rsid w:val="00677939"/>
    <w:rsid w:val="00677EDD"/>
    <w:rsid w:val="006804D9"/>
    <w:rsid w:val="006804E7"/>
    <w:rsid w:val="006805A6"/>
    <w:rsid w:val="00680770"/>
    <w:rsid w:val="00680799"/>
    <w:rsid w:val="0068092F"/>
    <w:rsid w:val="006812B0"/>
    <w:rsid w:val="0068176B"/>
    <w:rsid w:val="00681770"/>
    <w:rsid w:val="00681D9F"/>
    <w:rsid w:val="00681DCB"/>
    <w:rsid w:val="00681FA5"/>
    <w:rsid w:val="00682E4A"/>
    <w:rsid w:val="00682ECD"/>
    <w:rsid w:val="0068412C"/>
    <w:rsid w:val="0068450C"/>
    <w:rsid w:val="00684AD5"/>
    <w:rsid w:val="006852EB"/>
    <w:rsid w:val="0068572C"/>
    <w:rsid w:val="006857F3"/>
    <w:rsid w:val="00685D33"/>
    <w:rsid w:val="00685D72"/>
    <w:rsid w:val="00685FF4"/>
    <w:rsid w:val="006860C2"/>
    <w:rsid w:val="00686467"/>
    <w:rsid w:val="00686D8F"/>
    <w:rsid w:val="00687259"/>
    <w:rsid w:val="006874DC"/>
    <w:rsid w:val="006874E0"/>
    <w:rsid w:val="00687A60"/>
    <w:rsid w:val="0069002D"/>
    <w:rsid w:val="00690197"/>
    <w:rsid w:val="0069030D"/>
    <w:rsid w:val="00690720"/>
    <w:rsid w:val="00690DB4"/>
    <w:rsid w:val="006913C0"/>
    <w:rsid w:val="006914EC"/>
    <w:rsid w:val="00691AB6"/>
    <w:rsid w:val="00691AC4"/>
    <w:rsid w:val="00691C8C"/>
    <w:rsid w:val="006926FE"/>
    <w:rsid w:val="006933AC"/>
    <w:rsid w:val="00693604"/>
    <w:rsid w:val="00693FA6"/>
    <w:rsid w:val="00694042"/>
    <w:rsid w:val="006942B9"/>
    <w:rsid w:val="00694601"/>
    <w:rsid w:val="0069574D"/>
    <w:rsid w:val="006957EF"/>
    <w:rsid w:val="00695891"/>
    <w:rsid w:val="00695A62"/>
    <w:rsid w:val="00695E56"/>
    <w:rsid w:val="00696197"/>
    <w:rsid w:val="00696200"/>
    <w:rsid w:val="006962F8"/>
    <w:rsid w:val="00696E11"/>
    <w:rsid w:val="00696EDF"/>
    <w:rsid w:val="00696FDE"/>
    <w:rsid w:val="006971B0"/>
    <w:rsid w:val="0069738E"/>
    <w:rsid w:val="0069745F"/>
    <w:rsid w:val="006974AD"/>
    <w:rsid w:val="00697BA9"/>
    <w:rsid w:val="00697C39"/>
    <w:rsid w:val="006A01A6"/>
    <w:rsid w:val="006A02A3"/>
    <w:rsid w:val="006A03A6"/>
    <w:rsid w:val="006A06B0"/>
    <w:rsid w:val="006A090E"/>
    <w:rsid w:val="006A0964"/>
    <w:rsid w:val="006A0D77"/>
    <w:rsid w:val="006A124B"/>
    <w:rsid w:val="006A172D"/>
    <w:rsid w:val="006A1764"/>
    <w:rsid w:val="006A226A"/>
    <w:rsid w:val="006A2E60"/>
    <w:rsid w:val="006A3698"/>
    <w:rsid w:val="006A391B"/>
    <w:rsid w:val="006A3BC3"/>
    <w:rsid w:val="006A3F33"/>
    <w:rsid w:val="006A422D"/>
    <w:rsid w:val="006A46FE"/>
    <w:rsid w:val="006A4760"/>
    <w:rsid w:val="006A52F8"/>
    <w:rsid w:val="006A5441"/>
    <w:rsid w:val="006A5626"/>
    <w:rsid w:val="006A57D4"/>
    <w:rsid w:val="006A5AF5"/>
    <w:rsid w:val="006A66AF"/>
    <w:rsid w:val="006A679C"/>
    <w:rsid w:val="006A6875"/>
    <w:rsid w:val="006A6FDF"/>
    <w:rsid w:val="006A738A"/>
    <w:rsid w:val="006A7782"/>
    <w:rsid w:val="006B03A7"/>
    <w:rsid w:val="006B078A"/>
    <w:rsid w:val="006B1559"/>
    <w:rsid w:val="006B3123"/>
    <w:rsid w:val="006B32EC"/>
    <w:rsid w:val="006B33B7"/>
    <w:rsid w:val="006B3771"/>
    <w:rsid w:val="006B395A"/>
    <w:rsid w:val="006B488D"/>
    <w:rsid w:val="006B4A74"/>
    <w:rsid w:val="006B4BE0"/>
    <w:rsid w:val="006B546B"/>
    <w:rsid w:val="006B58C1"/>
    <w:rsid w:val="006B5E5D"/>
    <w:rsid w:val="006B5FAA"/>
    <w:rsid w:val="006B6070"/>
    <w:rsid w:val="006B60E1"/>
    <w:rsid w:val="006B62E8"/>
    <w:rsid w:val="006B6429"/>
    <w:rsid w:val="006B65CF"/>
    <w:rsid w:val="006B688F"/>
    <w:rsid w:val="006B6B1E"/>
    <w:rsid w:val="006B6C57"/>
    <w:rsid w:val="006B6D79"/>
    <w:rsid w:val="006B6E05"/>
    <w:rsid w:val="006B7086"/>
    <w:rsid w:val="006B7505"/>
    <w:rsid w:val="006B750F"/>
    <w:rsid w:val="006B7771"/>
    <w:rsid w:val="006B79E2"/>
    <w:rsid w:val="006B7BD9"/>
    <w:rsid w:val="006B7E13"/>
    <w:rsid w:val="006C107A"/>
    <w:rsid w:val="006C1B80"/>
    <w:rsid w:val="006C2336"/>
    <w:rsid w:val="006C2B70"/>
    <w:rsid w:val="006C2C3C"/>
    <w:rsid w:val="006C2D80"/>
    <w:rsid w:val="006C2F6E"/>
    <w:rsid w:val="006C320B"/>
    <w:rsid w:val="006C340C"/>
    <w:rsid w:val="006C3517"/>
    <w:rsid w:val="006C3A63"/>
    <w:rsid w:val="006C3C66"/>
    <w:rsid w:val="006C3CC1"/>
    <w:rsid w:val="006C4090"/>
    <w:rsid w:val="006C46BC"/>
    <w:rsid w:val="006C487C"/>
    <w:rsid w:val="006C4FEF"/>
    <w:rsid w:val="006C593B"/>
    <w:rsid w:val="006C680F"/>
    <w:rsid w:val="006C6A73"/>
    <w:rsid w:val="006C6C6E"/>
    <w:rsid w:val="006C7202"/>
    <w:rsid w:val="006D0054"/>
    <w:rsid w:val="006D042F"/>
    <w:rsid w:val="006D0448"/>
    <w:rsid w:val="006D04DF"/>
    <w:rsid w:val="006D05C0"/>
    <w:rsid w:val="006D0946"/>
    <w:rsid w:val="006D0F35"/>
    <w:rsid w:val="006D1225"/>
    <w:rsid w:val="006D150D"/>
    <w:rsid w:val="006D1A81"/>
    <w:rsid w:val="006D2161"/>
    <w:rsid w:val="006D24FA"/>
    <w:rsid w:val="006D2B08"/>
    <w:rsid w:val="006D35C7"/>
    <w:rsid w:val="006D3B5E"/>
    <w:rsid w:val="006D412C"/>
    <w:rsid w:val="006D4173"/>
    <w:rsid w:val="006D470E"/>
    <w:rsid w:val="006D4BF8"/>
    <w:rsid w:val="006D4DE5"/>
    <w:rsid w:val="006D4E47"/>
    <w:rsid w:val="006D4EFC"/>
    <w:rsid w:val="006D513D"/>
    <w:rsid w:val="006D520B"/>
    <w:rsid w:val="006D6826"/>
    <w:rsid w:val="006D68C9"/>
    <w:rsid w:val="006D72A9"/>
    <w:rsid w:val="006D76EE"/>
    <w:rsid w:val="006D799A"/>
    <w:rsid w:val="006D7ACA"/>
    <w:rsid w:val="006E0047"/>
    <w:rsid w:val="006E08D4"/>
    <w:rsid w:val="006E1190"/>
    <w:rsid w:val="006E1325"/>
    <w:rsid w:val="006E14F1"/>
    <w:rsid w:val="006E1802"/>
    <w:rsid w:val="006E1AEF"/>
    <w:rsid w:val="006E1F35"/>
    <w:rsid w:val="006E2C89"/>
    <w:rsid w:val="006E3343"/>
    <w:rsid w:val="006E33FA"/>
    <w:rsid w:val="006E4326"/>
    <w:rsid w:val="006E4356"/>
    <w:rsid w:val="006E4B68"/>
    <w:rsid w:val="006E50BB"/>
    <w:rsid w:val="006E5312"/>
    <w:rsid w:val="006E53DD"/>
    <w:rsid w:val="006E5AE3"/>
    <w:rsid w:val="006E5E30"/>
    <w:rsid w:val="006E60FD"/>
    <w:rsid w:val="006E68EC"/>
    <w:rsid w:val="006E6E9F"/>
    <w:rsid w:val="006E73D6"/>
    <w:rsid w:val="006E75B2"/>
    <w:rsid w:val="006E776E"/>
    <w:rsid w:val="006F02FE"/>
    <w:rsid w:val="006F03EB"/>
    <w:rsid w:val="006F0756"/>
    <w:rsid w:val="006F0BDC"/>
    <w:rsid w:val="006F0DFF"/>
    <w:rsid w:val="006F14E2"/>
    <w:rsid w:val="006F1534"/>
    <w:rsid w:val="006F1546"/>
    <w:rsid w:val="006F175E"/>
    <w:rsid w:val="006F222D"/>
    <w:rsid w:val="006F250C"/>
    <w:rsid w:val="006F2A43"/>
    <w:rsid w:val="006F2EBB"/>
    <w:rsid w:val="006F3823"/>
    <w:rsid w:val="006F38E3"/>
    <w:rsid w:val="006F3CB4"/>
    <w:rsid w:val="006F3EED"/>
    <w:rsid w:val="006F3F57"/>
    <w:rsid w:val="006F3F96"/>
    <w:rsid w:val="006F3F9A"/>
    <w:rsid w:val="006F42CC"/>
    <w:rsid w:val="006F4F23"/>
    <w:rsid w:val="006F5607"/>
    <w:rsid w:val="006F5884"/>
    <w:rsid w:val="006F5FD1"/>
    <w:rsid w:val="006F60E9"/>
    <w:rsid w:val="006F61F4"/>
    <w:rsid w:val="006F6240"/>
    <w:rsid w:val="006F6522"/>
    <w:rsid w:val="006F659B"/>
    <w:rsid w:val="006F68E9"/>
    <w:rsid w:val="006F6C60"/>
    <w:rsid w:val="006F6E9F"/>
    <w:rsid w:val="006F7B41"/>
    <w:rsid w:val="007004DD"/>
    <w:rsid w:val="007006C0"/>
    <w:rsid w:val="007007AA"/>
    <w:rsid w:val="00700EC6"/>
    <w:rsid w:val="00700ECB"/>
    <w:rsid w:val="00700FAB"/>
    <w:rsid w:val="00700FD7"/>
    <w:rsid w:val="00701081"/>
    <w:rsid w:val="007013D2"/>
    <w:rsid w:val="007014B9"/>
    <w:rsid w:val="00701D18"/>
    <w:rsid w:val="00701DE5"/>
    <w:rsid w:val="0070221F"/>
    <w:rsid w:val="00702A69"/>
    <w:rsid w:val="007031C2"/>
    <w:rsid w:val="007031D1"/>
    <w:rsid w:val="00703791"/>
    <w:rsid w:val="0070440F"/>
    <w:rsid w:val="00704665"/>
    <w:rsid w:val="00704707"/>
    <w:rsid w:val="00704FA7"/>
    <w:rsid w:val="0070518B"/>
    <w:rsid w:val="007053FF"/>
    <w:rsid w:val="00705478"/>
    <w:rsid w:val="0070547B"/>
    <w:rsid w:val="00705E4E"/>
    <w:rsid w:val="007061B9"/>
    <w:rsid w:val="007061EC"/>
    <w:rsid w:val="007070BC"/>
    <w:rsid w:val="007074C1"/>
    <w:rsid w:val="0070758A"/>
    <w:rsid w:val="00707ACA"/>
    <w:rsid w:val="0070C5E3"/>
    <w:rsid w:val="0071036D"/>
    <w:rsid w:val="0071076B"/>
    <w:rsid w:val="0071098E"/>
    <w:rsid w:val="00710AAA"/>
    <w:rsid w:val="00710FF6"/>
    <w:rsid w:val="00711EA4"/>
    <w:rsid w:val="00711FC3"/>
    <w:rsid w:val="0071243C"/>
    <w:rsid w:val="0071269B"/>
    <w:rsid w:val="00712C03"/>
    <w:rsid w:val="007133B6"/>
    <w:rsid w:val="007134A5"/>
    <w:rsid w:val="00713B0A"/>
    <w:rsid w:val="00713BDB"/>
    <w:rsid w:val="00714027"/>
    <w:rsid w:val="00714276"/>
    <w:rsid w:val="007142FE"/>
    <w:rsid w:val="00714FF1"/>
    <w:rsid w:val="007152F4"/>
    <w:rsid w:val="007153E2"/>
    <w:rsid w:val="00715570"/>
    <w:rsid w:val="0071573A"/>
    <w:rsid w:val="00715DC2"/>
    <w:rsid w:val="0071612D"/>
    <w:rsid w:val="00716D97"/>
    <w:rsid w:val="00716EB6"/>
    <w:rsid w:val="00717051"/>
    <w:rsid w:val="00717AA8"/>
    <w:rsid w:val="00717E91"/>
    <w:rsid w:val="00717FBA"/>
    <w:rsid w:val="007201A0"/>
    <w:rsid w:val="0072077C"/>
    <w:rsid w:val="00720871"/>
    <w:rsid w:val="00720988"/>
    <w:rsid w:val="00720DB6"/>
    <w:rsid w:val="00720DEA"/>
    <w:rsid w:val="0072185B"/>
    <w:rsid w:val="00722693"/>
    <w:rsid w:val="007230A6"/>
    <w:rsid w:val="00723EC6"/>
    <w:rsid w:val="007241CF"/>
    <w:rsid w:val="0072455A"/>
    <w:rsid w:val="00724757"/>
    <w:rsid w:val="00724AF8"/>
    <w:rsid w:val="00724DE6"/>
    <w:rsid w:val="0072503A"/>
    <w:rsid w:val="0072520A"/>
    <w:rsid w:val="007252D6"/>
    <w:rsid w:val="00726942"/>
    <w:rsid w:val="00726D9F"/>
    <w:rsid w:val="00726DFE"/>
    <w:rsid w:val="00726F7E"/>
    <w:rsid w:val="0072772E"/>
    <w:rsid w:val="00727762"/>
    <w:rsid w:val="00727CC5"/>
    <w:rsid w:val="00730175"/>
    <w:rsid w:val="00730975"/>
    <w:rsid w:val="00730AA5"/>
    <w:rsid w:val="00730CC0"/>
    <w:rsid w:val="00731652"/>
    <w:rsid w:val="00731713"/>
    <w:rsid w:val="00731BA7"/>
    <w:rsid w:val="00731C0B"/>
    <w:rsid w:val="007322DF"/>
    <w:rsid w:val="0073249D"/>
    <w:rsid w:val="007324B0"/>
    <w:rsid w:val="0073271C"/>
    <w:rsid w:val="00732C04"/>
    <w:rsid w:val="00732C7A"/>
    <w:rsid w:val="007334DF"/>
    <w:rsid w:val="00733A6D"/>
    <w:rsid w:val="00733ABB"/>
    <w:rsid w:val="00733E71"/>
    <w:rsid w:val="00733FA3"/>
    <w:rsid w:val="007340C7"/>
    <w:rsid w:val="0073461F"/>
    <w:rsid w:val="00734AC1"/>
    <w:rsid w:val="00734FCE"/>
    <w:rsid w:val="0073596D"/>
    <w:rsid w:val="00735C67"/>
    <w:rsid w:val="00735DE2"/>
    <w:rsid w:val="0073609A"/>
    <w:rsid w:val="00736234"/>
    <w:rsid w:val="00737593"/>
    <w:rsid w:val="007375C7"/>
    <w:rsid w:val="00737CA0"/>
    <w:rsid w:val="007400D6"/>
    <w:rsid w:val="00740734"/>
    <w:rsid w:val="0074101D"/>
    <w:rsid w:val="0074122C"/>
    <w:rsid w:val="00741242"/>
    <w:rsid w:val="007412DB"/>
    <w:rsid w:val="0074145D"/>
    <w:rsid w:val="007416D5"/>
    <w:rsid w:val="00741C89"/>
    <w:rsid w:val="00741D21"/>
    <w:rsid w:val="00742861"/>
    <w:rsid w:val="007429AD"/>
    <w:rsid w:val="0074344E"/>
    <w:rsid w:val="007438B0"/>
    <w:rsid w:val="00743C83"/>
    <w:rsid w:val="00743D07"/>
    <w:rsid w:val="00743D18"/>
    <w:rsid w:val="00744326"/>
    <w:rsid w:val="007443CF"/>
    <w:rsid w:val="00744456"/>
    <w:rsid w:val="00744D61"/>
    <w:rsid w:val="00744E4B"/>
    <w:rsid w:val="007455C5"/>
    <w:rsid w:val="0074575C"/>
    <w:rsid w:val="0074594F"/>
    <w:rsid w:val="007469A3"/>
    <w:rsid w:val="007469BA"/>
    <w:rsid w:val="00746E5C"/>
    <w:rsid w:val="00747450"/>
    <w:rsid w:val="00747715"/>
    <w:rsid w:val="007477F0"/>
    <w:rsid w:val="00747CBB"/>
    <w:rsid w:val="00747F55"/>
    <w:rsid w:val="00750379"/>
    <w:rsid w:val="0075057D"/>
    <w:rsid w:val="00750839"/>
    <w:rsid w:val="00751074"/>
    <w:rsid w:val="007512E6"/>
    <w:rsid w:val="00751CA1"/>
    <w:rsid w:val="00751F0E"/>
    <w:rsid w:val="00752CF3"/>
    <w:rsid w:val="00752FBF"/>
    <w:rsid w:val="007539C5"/>
    <w:rsid w:val="00753D87"/>
    <w:rsid w:val="0075417E"/>
    <w:rsid w:val="007542B0"/>
    <w:rsid w:val="007544FB"/>
    <w:rsid w:val="00755027"/>
    <w:rsid w:val="0075503D"/>
    <w:rsid w:val="007556C9"/>
    <w:rsid w:val="007557AF"/>
    <w:rsid w:val="007562B8"/>
    <w:rsid w:val="007563D6"/>
    <w:rsid w:val="007568F7"/>
    <w:rsid w:val="00756983"/>
    <w:rsid w:val="00756D01"/>
    <w:rsid w:val="00757353"/>
    <w:rsid w:val="00757EC8"/>
    <w:rsid w:val="00757EF4"/>
    <w:rsid w:val="00760122"/>
    <w:rsid w:val="007601F4"/>
    <w:rsid w:val="00760DE2"/>
    <w:rsid w:val="00761413"/>
    <w:rsid w:val="00761966"/>
    <w:rsid w:val="00761F17"/>
    <w:rsid w:val="007621ED"/>
    <w:rsid w:val="00762215"/>
    <w:rsid w:val="00762A92"/>
    <w:rsid w:val="00762CF8"/>
    <w:rsid w:val="0076338B"/>
    <w:rsid w:val="007634B4"/>
    <w:rsid w:val="007634E4"/>
    <w:rsid w:val="007639F4"/>
    <w:rsid w:val="00763A94"/>
    <w:rsid w:val="00763F25"/>
    <w:rsid w:val="00764514"/>
    <w:rsid w:val="00764D38"/>
    <w:rsid w:val="00764D39"/>
    <w:rsid w:val="007657BE"/>
    <w:rsid w:val="007657D3"/>
    <w:rsid w:val="00765B92"/>
    <w:rsid w:val="00765BEB"/>
    <w:rsid w:val="00765FE9"/>
    <w:rsid w:val="00766068"/>
    <w:rsid w:val="007665F2"/>
    <w:rsid w:val="00767073"/>
    <w:rsid w:val="007670F8"/>
    <w:rsid w:val="007670F9"/>
    <w:rsid w:val="00770365"/>
    <w:rsid w:val="00770C27"/>
    <w:rsid w:val="00770DF5"/>
    <w:rsid w:val="00770E4B"/>
    <w:rsid w:val="0077157E"/>
    <w:rsid w:val="007715E4"/>
    <w:rsid w:val="0077175C"/>
    <w:rsid w:val="0077181B"/>
    <w:rsid w:val="00771D24"/>
    <w:rsid w:val="00771F4B"/>
    <w:rsid w:val="007724C5"/>
    <w:rsid w:val="00772509"/>
    <w:rsid w:val="00772C45"/>
    <w:rsid w:val="00773775"/>
    <w:rsid w:val="00773B4F"/>
    <w:rsid w:val="00773CB6"/>
    <w:rsid w:val="00773D0A"/>
    <w:rsid w:val="00773F9F"/>
    <w:rsid w:val="007741C8"/>
    <w:rsid w:val="007743A1"/>
    <w:rsid w:val="00774C38"/>
    <w:rsid w:val="00776470"/>
    <w:rsid w:val="0077670E"/>
    <w:rsid w:val="00776E03"/>
    <w:rsid w:val="007771F3"/>
    <w:rsid w:val="007774B8"/>
    <w:rsid w:val="0077773A"/>
    <w:rsid w:val="00777D08"/>
    <w:rsid w:val="00777D9F"/>
    <w:rsid w:val="00780233"/>
    <w:rsid w:val="007805B1"/>
    <w:rsid w:val="00780989"/>
    <w:rsid w:val="00780C05"/>
    <w:rsid w:val="00781163"/>
    <w:rsid w:val="007812BE"/>
    <w:rsid w:val="007817F7"/>
    <w:rsid w:val="00782333"/>
    <w:rsid w:val="007827F6"/>
    <w:rsid w:val="00782DF2"/>
    <w:rsid w:val="00782E1C"/>
    <w:rsid w:val="00782E97"/>
    <w:rsid w:val="00782EEE"/>
    <w:rsid w:val="00782F29"/>
    <w:rsid w:val="007833E1"/>
    <w:rsid w:val="00783609"/>
    <w:rsid w:val="0078367E"/>
    <w:rsid w:val="00783961"/>
    <w:rsid w:val="00783BA4"/>
    <w:rsid w:val="00783E03"/>
    <w:rsid w:val="0078418B"/>
    <w:rsid w:val="00784552"/>
    <w:rsid w:val="00784677"/>
    <w:rsid w:val="00784764"/>
    <w:rsid w:val="00784FAC"/>
    <w:rsid w:val="007852F0"/>
    <w:rsid w:val="0078581B"/>
    <w:rsid w:val="00785820"/>
    <w:rsid w:val="00785850"/>
    <w:rsid w:val="00786292"/>
    <w:rsid w:val="00787559"/>
    <w:rsid w:val="00787B6F"/>
    <w:rsid w:val="00787E97"/>
    <w:rsid w:val="00787F1A"/>
    <w:rsid w:val="00787F3B"/>
    <w:rsid w:val="0079014C"/>
    <w:rsid w:val="00790715"/>
    <w:rsid w:val="00790B58"/>
    <w:rsid w:val="00790CBA"/>
    <w:rsid w:val="00790D61"/>
    <w:rsid w:val="00790DA8"/>
    <w:rsid w:val="00791150"/>
    <w:rsid w:val="0079192B"/>
    <w:rsid w:val="0079198F"/>
    <w:rsid w:val="00792B24"/>
    <w:rsid w:val="00792F9C"/>
    <w:rsid w:val="00792FEA"/>
    <w:rsid w:val="0079311D"/>
    <w:rsid w:val="00793FE0"/>
    <w:rsid w:val="00794196"/>
    <w:rsid w:val="007946A2"/>
    <w:rsid w:val="00794777"/>
    <w:rsid w:val="00794DDE"/>
    <w:rsid w:val="007950DF"/>
    <w:rsid w:val="007959D7"/>
    <w:rsid w:val="00795E20"/>
    <w:rsid w:val="00795E2A"/>
    <w:rsid w:val="007A057D"/>
    <w:rsid w:val="007A077F"/>
    <w:rsid w:val="007A0ADB"/>
    <w:rsid w:val="007A1D0D"/>
    <w:rsid w:val="007A2364"/>
    <w:rsid w:val="007A23B4"/>
    <w:rsid w:val="007A28AF"/>
    <w:rsid w:val="007A3002"/>
    <w:rsid w:val="007A31CE"/>
    <w:rsid w:val="007A3205"/>
    <w:rsid w:val="007A3394"/>
    <w:rsid w:val="007A3F94"/>
    <w:rsid w:val="007A423A"/>
    <w:rsid w:val="007A46D3"/>
    <w:rsid w:val="007A4A67"/>
    <w:rsid w:val="007A4B2F"/>
    <w:rsid w:val="007A4C19"/>
    <w:rsid w:val="007A4C57"/>
    <w:rsid w:val="007A4DE3"/>
    <w:rsid w:val="007A4EFC"/>
    <w:rsid w:val="007A503C"/>
    <w:rsid w:val="007A50FA"/>
    <w:rsid w:val="007A5114"/>
    <w:rsid w:val="007A5A02"/>
    <w:rsid w:val="007A5C94"/>
    <w:rsid w:val="007A67BE"/>
    <w:rsid w:val="007A68B8"/>
    <w:rsid w:val="007A6E5D"/>
    <w:rsid w:val="007A7607"/>
    <w:rsid w:val="007A76EB"/>
    <w:rsid w:val="007A7DE4"/>
    <w:rsid w:val="007B0297"/>
    <w:rsid w:val="007B0315"/>
    <w:rsid w:val="007B038D"/>
    <w:rsid w:val="007B0604"/>
    <w:rsid w:val="007B0810"/>
    <w:rsid w:val="007B0BB9"/>
    <w:rsid w:val="007B0DFB"/>
    <w:rsid w:val="007B0E11"/>
    <w:rsid w:val="007B1467"/>
    <w:rsid w:val="007B186A"/>
    <w:rsid w:val="007B1D66"/>
    <w:rsid w:val="007B1F6E"/>
    <w:rsid w:val="007B22C9"/>
    <w:rsid w:val="007B252C"/>
    <w:rsid w:val="007B2632"/>
    <w:rsid w:val="007B2900"/>
    <w:rsid w:val="007B30E7"/>
    <w:rsid w:val="007B32F2"/>
    <w:rsid w:val="007B3849"/>
    <w:rsid w:val="007B5383"/>
    <w:rsid w:val="007B5429"/>
    <w:rsid w:val="007B5DBF"/>
    <w:rsid w:val="007B5FA4"/>
    <w:rsid w:val="007B6379"/>
    <w:rsid w:val="007B6487"/>
    <w:rsid w:val="007B650A"/>
    <w:rsid w:val="007B66B6"/>
    <w:rsid w:val="007B7AA8"/>
    <w:rsid w:val="007C018E"/>
    <w:rsid w:val="007C04B6"/>
    <w:rsid w:val="007C0F01"/>
    <w:rsid w:val="007C0F4A"/>
    <w:rsid w:val="007C10A4"/>
    <w:rsid w:val="007C13D1"/>
    <w:rsid w:val="007C1473"/>
    <w:rsid w:val="007C2012"/>
    <w:rsid w:val="007C2959"/>
    <w:rsid w:val="007C331B"/>
    <w:rsid w:val="007C333E"/>
    <w:rsid w:val="007C3378"/>
    <w:rsid w:val="007C34B1"/>
    <w:rsid w:val="007C42DF"/>
    <w:rsid w:val="007C4C84"/>
    <w:rsid w:val="007C4C93"/>
    <w:rsid w:val="007C4CC7"/>
    <w:rsid w:val="007C4FE1"/>
    <w:rsid w:val="007C5711"/>
    <w:rsid w:val="007C680C"/>
    <w:rsid w:val="007C6B90"/>
    <w:rsid w:val="007C6E1F"/>
    <w:rsid w:val="007C7C7C"/>
    <w:rsid w:val="007D04DC"/>
    <w:rsid w:val="007D0737"/>
    <w:rsid w:val="007D0856"/>
    <w:rsid w:val="007D0DFA"/>
    <w:rsid w:val="007D1365"/>
    <w:rsid w:val="007D14EE"/>
    <w:rsid w:val="007D17CA"/>
    <w:rsid w:val="007D1C9F"/>
    <w:rsid w:val="007D1CBA"/>
    <w:rsid w:val="007D2299"/>
    <w:rsid w:val="007D2607"/>
    <w:rsid w:val="007D2981"/>
    <w:rsid w:val="007D2B49"/>
    <w:rsid w:val="007D2F6B"/>
    <w:rsid w:val="007D30CF"/>
    <w:rsid w:val="007D32F6"/>
    <w:rsid w:val="007D33B1"/>
    <w:rsid w:val="007D388F"/>
    <w:rsid w:val="007D419D"/>
    <w:rsid w:val="007D52CE"/>
    <w:rsid w:val="007D561F"/>
    <w:rsid w:val="007D5835"/>
    <w:rsid w:val="007D5A18"/>
    <w:rsid w:val="007D5A49"/>
    <w:rsid w:val="007D5B61"/>
    <w:rsid w:val="007D66E7"/>
    <w:rsid w:val="007D6741"/>
    <w:rsid w:val="007D71DC"/>
    <w:rsid w:val="007D75DD"/>
    <w:rsid w:val="007D762A"/>
    <w:rsid w:val="007D763C"/>
    <w:rsid w:val="007D7CD5"/>
    <w:rsid w:val="007D7D01"/>
    <w:rsid w:val="007D7DF7"/>
    <w:rsid w:val="007E0133"/>
    <w:rsid w:val="007E037B"/>
    <w:rsid w:val="007E0684"/>
    <w:rsid w:val="007E0948"/>
    <w:rsid w:val="007E0A7B"/>
    <w:rsid w:val="007E0A81"/>
    <w:rsid w:val="007E24AD"/>
    <w:rsid w:val="007E270D"/>
    <w:rsid w:val="007E2CA0"/>
    <w:rsid w:val="007E2CDB"/>
    <w:rsid w:val="007E2D87"/>
    <w:rsid w:val="007E317B"/>
    <w:rsid w:val="007E3306"/>
    <w:rsid w:val="007E3E0C"/>
    <w:rsid w:val="007E457B"/>
    <w:rsid w:val="007E4823"/>
    <w:rsid w:val="007E4F8D"/>
    <w:rsid w:val="007E51FD"/>
    <w:rsid w:val="007E524F"/>
    <w:rsid w:val="007E57C1"/>
    <w:rsid w:val="007E5B65"/>
    <w:rsid w:val="007E5EFB"/>
    <w:rsid w:val="007E695B"/>
    <w:rsid w:val="007E702E"/>
    <w:rsid w:val="007E72BC"/>
    <w:rsid w:val="007E73CA"/>
    <w:rsid w:val="007E743C"/>
    <w:rsid w:val="007E7761"/>
    <w:rsid w:val="007E7D61"/>
    <w:rsid w:val="007E7F49"/>
    <w:rsid w:val="007F01B1"/>
    <w:rsid w:val="007F047D"/>
    <w:rsid w:val="007F10DD"/>
    <w:rsid w:val="007F144B"/>
    <w:rsid w:val="007F14C9"/>
    <w:rsid w:val="007F1859"/>
    <w:rsid w:val="007F231A"/>
    <w:rsid w:val="007F28E5"/>
    <w:rsid w:val="007F2944"/>
    <w:rsid w:val="007F2C52"/>
    <w:rsid w:val="007F2F64"/>
    <w:rsid w:val="007F3366"/>
    <w:rsid w:val="007F3A3A"/>
    <w:rsid w:val="007F4596"/>
    <w:rsid w:val="007F48CF"/>
    <w:rsid w:val="007F4B0A"/>
    <w:rsid w:val="007F4B34"/>
    <w:rsid w:val="007F4E0A"/>
    <w:rsid w:val="007F539D"/>
    <w:rsid w:val="007F54C0"/>
    <w:rsid w:val="007F5543"/>
    <w:rsid w:val="007F570E"/>
    <w:rsid w:val="007F605B"/>
    <w:rsid w:val="007F61E8"/>
    <w:rsid w:val="007F61EE"/>
    <w:rsid w:val="007F6411"/>
    <w:rsid w:val="007F675B"/>
    <w:rsid w:val="007F6779"/>
    <w:rsid w:val="007F6B0E"/>
    <w:rsid w:val="007F7660"/>
    <w:rsid w:val="007F780F"/>
    <w:rsid w:val="007F7A0D"/>
    <w:rsid w:val="007F7A55"/>
    <w:rsid w:val="007F7B1F"/>
    <w:rsid w:val="007F7BBF"/>
    <w:rsid w:val="00800295"/>
    <w:rsid w:val="0080049B"/>
    <w:rsid w:val="0080068B"/>
    <w:rsid w:val="00800714"/>
    <w:rsid w:val="008013BE"/>
    <w:rsid w:val="008013F9"/>
    <w:rsid w:val="00801AD4"/>
    <w:rsid w:val="00802120"/>
    <w:rsid w:val="00802B0E"/>
    <w:rsid w:val="0080340E"/>
    <w:rsid w:val="0080346F"/>
    <w:rsid w:val="00803675"/>
    <w:rsid w:val="00804396"/>
    <w:rsid w:val="008046CC"/>
    <w:rsid w:val="00804886"/>
    <w:rsid w:val="0080490C"/>
    <w:rsid w:val="00804F09"/>
    <w:rsid w:val="00804F18"/>
    <w:rsid w:val="0080521B"/>
    <w:rsid w:val="008056B6"/>
    <w:rsid w:val="00805FC4"/>
    <w:rsid w:val="0080648E"/>
    <w:rsid w:val="0080673E"/>
    <w:rsid w:val="008067D6"/>
    <w:rsid w:val="008069E7"/>
    <w:rsid w:val="00806C9C"/>
    <w:rsid w:val="00806CB2"/>
    <w:rsid w:val="008073B4"/>
    <w:rsid w:val="008104D6"/>
    <w:rsid w:val="00810882"/>
    <w:rsid w:val="00810E28"/>
    <w:rsid w:val="008111D3"/>
    <w:rsid w:val="00811428"/>
    <w:rsid w:val="00811538"/>
    <w:rsid w:val="00811B4A"/>
    <w:rsid w:val="00812A03"/>
    <w:rsid w:val="00812E1E"/>
    <w:rsid w:val="008131A7"/>
    <w:rsid w:val="008131EC"/>
    <w:rsid w:val="00814295"/>
    <w:rsid w:val="008142FA"/>
    <w:rsid w:val="00814A4C"/>
    <w:rsid w:val="00814B8D"/>
    <w:rsid w:val="0081511F"/>
    <w:rsid w:val="008152D6"/>
    <w:rsid w:val="00815A1C"/>
    <w:rsid w:val="00815B5A"/>
    <w:rsid w:val="008166D3"/>
    <w:rsid w:val="00816988"/>
    <w:rsid w:val="00816BBF"/>
    <w:rsid w:val="00817E1F"/>
    <w:rsid w:val="00817E9F"/>
    <w:rsid w:val="00817EF7"/>
    <w:rsid w:val="00817F8D"/>
    <w:rsid w:val="00817FD6"/>
    <w:rsid w:val="0082000B"/>
    <w:rsid w:val="008202C7"/>
    <w:rsid w:val="008203D6"/>
    <w:rsid w:val="00820651"/>
    <w:rsid w:val="00820949"/>
    <w:rsid w:val="00820BD3"/>
    <w:rsid w:val="00820D70"/>
    <w:rsid w:val="00820FDF"/>
    <w:rsid w:val="008214CB"/>
    <w:rsid w:val="0082156B"/>
    <w:rsid w:val="008217E3"/>
    <w:rsid w:val="00821B3A"/>
    <w:rsid w:val="00821F4F"/>
    <w:rsid w:val="00822325"/>
    <w:rsid w:val="00822802"/>
    <w:rsid w:val="00822DF5"/>
    <w:rsid w:val="00822E11"/>
    <w:rsid w:val="0082324A"/>
    <w:rsid w:val="00823586"/>
    <w:rsid w:val="0082377A"/>
    <w:rsid w:val="00823A16"/>
    <w:rsid w:val="00823FCC"/>
    <w:rsid w:val="008247C7"/>
    <w:rsid w:val="0082492A"/>
    <w:rsid w:val="00825B75"/>
    <w:rsid w:val="008265DA"/>
    <w:rsid w:val="0082665C"/>
    <w:rsid w:val="00827171"/>
    <w:rsid w:val="00827281"/>
    <w:rsid w:val="0082764E"/>
    <w:rsid w:val="00827663"/>
    <w:rsid w:val="00827B16"/>
    <w:rsid w:val="00827B68"/>
    <w:rsid w:val="00827D82"/>
    <w:rsid w:val="0083086D"/>
    <w:rsid w:val="0083095E"/>
    <w:rsid w:val="00830982"/>
    <w:rsid w:val="00830AD2"/>
    <w:rsid w:val="00830AF4"/>
    <w:rsid w:val="00830E72"/>
    <w:rsid w:val="0083148A"/>
    <w:rsid w:val="0083149A"/>
    <w:rsid w:val="00831AD0"/>
    <w:rsid w:val="00831FAE"/>
    <w:rsid w:val="008320AF"/>
    <w:rsid w:val="008324E5"/>
    <w:rsid w:val="00832DD7"/>
    <w:rsid w:val="008331BF"/>
    <w:rsid w:val="0083365D"/>
    <w:rsid w:val="00833F3F"/>
    <w:rsid w:val="00833FDF"/>
    <w:rsid w:val="00834143"/>
    <w:rsid w:val="00834638"/>
    <w:rsid w:val="00834ED3"/>
    <w:rsid w:val="008352FE"/>
    <w:rsid w:val="008359C8"/>
    <w:rsid w:val="00835C99"/>
    <w:rsid w:val="0083627A"/>
    <w:rsid w:val="00836611"/>
    <w:rsid w:val="00836EAF"/>
    <w:rsid w:val="008372B2"/>
    <w:rsid w:val="008401C3"/>
    <w:rsid w:val="008402AA"/>
    <w:rsid w:val="0084078B"/>
    <w:rsid w:val="00841013"/>
    <w:rsid w:val="0084149B"/>
    <w:rsid w:val="008419A0"/>
    <w:rsid w:val="00841C5A"/>
    <w:rsid w:val="00841EBC"/>
    <w:rsid w:val="0084203E"/>
    <w:rsid w:val="00842086"/>
    <w:rsid w:val="00842117"/>
    <w:rsid w:val="0084217F"/>
    <w:rsid w:val="00842C5A"/>
    <w:rsid w:val="008432F3"/>
    <w:rsid w:val="00843772"/>
    <w:rsid w:val="00843D83"/>
    <w:rsid w:val="00843F3D"/>
    <w:rsid w:val="008440DE"/>
    <w:rsid w:val="008443DA"/>
    <w:rsid w:val="00844B22"/>
    <w:rsid w:val="00844B7C"/>
    <w:rsid w:val="00844C46"/>
    <w:rsid w:val="00844FD0"/>
    <w:rsid w:val="00845541"/>
    <w:rsid w:val="00845F6D"/>
    <w:rsid w:val="00846102"/>
    <w:rsid w:val="0084644B"/>
    <w:rsid w:val="008466F2"/>
    <w:rsid w:val="008468C6"/>
    <w:rsid w:val="00846D53"/>
    <w:rsid w:val="00846D9A"/>
    <w:rsid w:val="00846ED7"/>
    <w:rsid w:val="00847C7E"/>
    <w:rsid w:val="008502F1"/>
    <w:rsid w:val="00850687"/>
    <w:rsid w:val="00850976"/>
    <w:rsid w:val="00850FA6"/>
    <w:rsid w:val="008511BB"/>
    <w:rsid w:val="00851682"/>
    <w:rsid w:val="00851D9A"/>
    <w:rsid w:val="00851F13"/>
    <w:rsid w:val="00852508"/>
    <w:rsid w:val="0085264C"/>
    <w:rsid w:val="00852897"/>
    <w:rsid w:val="00852A49"/>
    <w:rsid w:val="00852F63"/>
    <w:rsid w:val="00853101"/>
    <w:rsid w:val="008535B9"/>
    <w:rsid w:val="008537F8"/>
    <w:rsid w:val="00853A8B"/>
    <w:rsid w:val="00853F20"/>
    <w:rsid w:val="00853FCC"/>
    <w:rsid w:val="00853FFE"/>
    <w:rsid w:val="0085430E"/>
    <w:rsid w:val="00854425"/>
    <w:rsid w:val="00854769"/>
    <w:rsid w:val="00854C2F"/>
    <w:rsid w:val="00855924"/>
    <w:rsid w:val="00855C75"/>
    <w:rsid w:val="00855DB1"/>
    <w:rsid w:val="0085606F"/>
    <w:rsid w:val="008560D8"/>
    <w:rsid w:val="00856465"/>
    <w:rsid w:val="00856858"/>
    <w:rsid w:val="008569E7"/>
    <w:rsid w:val="00856BEB"/>
    <w:rsid w:val="00857116"/>
    <w:rsid w:val="00857A96"/>
    <w:rsid w:val="00860451"/>
    <w:rsid w:val="008607F6"/>
    <w:rsid w:val="008608CA"/>
    <w:rsid w:val="00860C9F"/>
    <w:rsid w:val="00860EA0"/>
    <w:rsid w:val="008612BE"/>
    <w:rsid w:val="00861B0A"/>
    <w:rsid w:val="00861B13"/>
    <w:rsid w:val="00861B99"/>
    <w:rsid w:val="008620ED"/>
    <w:rsid w:val="008633FC"/>
    <w:rsid w:val="00863868"/>
    <w:rsid w:val="00863CA7"/>
    <w:rsid w:val="00863FF6"/>
    <w:rsid w:val="008640B9"/>
    <w:rsid w:val="00864F0C"/>
    <w:rsid w:val="00865154"/>
    <w:rsid w:val="00865846"/>
    <w:rsid w:val="00865ACD"/>
    <w:rsid w:val="00865C50"/>
    <w:rsid w:val="00865DDB"/>
    <w:rsid w:val="00865F0E"/>
    <w:rsid w:val="008660E6"/>
    <w:rsid w:val="0086612C"/>
    <w:rsid w:val="00866646"/>
    <w:rsid w:val="00866CCC"/>
    <w:rsid w:val="00866CF6"/>
    <w:rsid w:val="008671BD"/>
    <w:rsid w:val="00867242"/>
    <w:rsid w:val="00867334"/>
    <w:rsid w:val="0086758C"/>
    <w:rsid w:val="00867B77"/>
    <w:rsid w:val="00867BC0"/>
    <w:rsid w:val="00867C90"/>
    <w:rsid w:val="0087001E"/>
    <w:rsid w:val="00870358"/>
    <w:rsid w:val="008703CE"/>
    <w:rsid w:val="008704A4"/>
    <w:rsid w:val="0087089F"/>
    <w:rsid w:val="00870AA8"/>
    <w:rsid w:val="00870B7B"/>
    <w:rsid w:val="00870D88"/>
    <w:rsid w:val="00871650"/>
    <w:rsid w:val="00871C99"/>
    <w:rsid w:val="00872032"/>
    <w:rsid w:val="00872D7D"/>
    <w:rsid w:val="00873B72"/>
    <w:rsid w:val="00873CB5"/>
    <w:rsid w:val="00873F2A"/>
    <w:rsid w:val="008740BB"/>
    <w:rsid w:val="008740CE"/>
    <w:rsid w:val="008740DE"/>
    <w:rsid w:val="0087535D"/>
    <w:rsid w:val="008754D6"/>
    <w:rsid w:val="00875AA8"/>
    <w:rsid w:val="00876A6F"/>
    <w:rsid w:val="00876F40"/>
    <w:rsid w:val="0087742D"/>
    <w:rsid w:val="0087745A"/>
    <w:rsid w:val="00877A14"/>
    <w:rsid w:val="00877C4E"/>
    <w:rsid w:val="00877F52"/>
    <w:rsid w:val="008801A8"/>
    <w:rsid w:val="00880712"/>
    <w:rsid w:val="00880999"/>
    <w:rsid w:val="00880D9F"/>
    <w:rsid w:val="00881375"/>
    <w:rsid w:val="0088250B"/>
    <w:rsid w:val="0088284C"/>
    <w:rsid w:val="008828DF"/>
    <w:rsid w:val="00882DAF"/>
    <w:rsid w:val="00882DD5"/>
    <w:rsid w:val="00882DF4"/>
    <w:rsid w:val="00882F6E"/>
    <w:rsid w:val="00883686"/>
    <w:rsid w:val="00883A10"/>
    <w:rsid w:val="00883ABD"/>
    <w:rsid w:val="008843EE"/>
    <w:rsid w:val="00886258"/>
    <w:rsid w:val="0088634C"/>
    <w:rsid w:val="00886752"/>
    <w:rsid w:val="00886754"/>
    <w:rsid w:val="00886A39"/>
    <w:rsid w:val="00886E6B"/>
    <w:rsid w:val="00886F16"/>
    <w:rsid w:val="00887167"/>
    <w:rsid w:val="00887613"/>
    <w:rsid w:val="0088772D"/>
    <w:rsid w:val="00887A4F"/>
    <w:rsid w:val="00890A32"/>
    <w:rsid w:val="00890C0F"/>
    <w:rsid w:val="00891009"/>
    <w:rsid w:val="0089107C"/>
    <w:rsid w:val="00891209"/>
    <w:rsid w:val="008912B7"/>
    <w:rsid w:val="008915C6"/>
    <w:rsid w:val="00891C38"/>
    <w:rsid w:val="0089225A"/>
    <w:rsid w:val="00892EA3"/>
    <w:rsid w:val="00892F9C"/>
    <w:rsid w:val="008930B5"/>
    <w:rsid w:val="008933E2"/>
    <w:rsid w:val="0089351C"/>
    <w:rsid w:val="008936B3"/>
    <w:rsid w:val="008939B8"/>
    <w:rsid w:val="00893D6D"/>
    <w:rsid w:val="00893DB8"/>
    <w:rsid w:val="0089428F"/>
    <w:rsid w:val="00894419"/>
    <w:rsid w:val="00894D74"/>
    <w:rsid w:val="00894F95"/>
    <w:rsid w:val="00895222"/>
    <w:rsid w:val="00895367"/>
    <w:rsid w:val="00895C4D"/>
    <w:rsid w:val="00897593"/>
    <w:rsid w:val="008975F5"/>
    <w:rsid w:val="0089776A"/>
    <w:rsid w:val="00897CC2"/>
    <w:rsid w:val="00897EFF"/>
    <w:rsid w:val="008A0A0B"/>
    <w:rsid w:val="008A0CEB"/>
    <w:rsid w:val="008A11F9"/>
    <w:rsid w:val="008A131C"/>
    <w:rsid w:val="008A137E"/>
    <w:rsid w:val="008A14F7"/>
    <w:rsid w:val="008A16DC"/>
    <w:rsid w:val="008A1935"/>
    <w:rsid w:val="008A1E7D"/>
    <w:rsid w:val="008A2052"/>
    <w:rsid w:val="008A2BD3"/>
    <w:rsid w:val="008A2EFB"/>
    <w:rsid w:val="008A34AF"/>
    <w:rsid w:val="008A4011"/>
    <w:rsid w:val="008A40A0"/>
    <w:rsid w:val="008A41C2"/>
    <w:rsid w:val="008A4F8A"/>
    <w:rsid w:val="008A4F8F"/>
    <w:rsid w:val="008A5406"/>
    <w:rsid w:val="008A5453"/>
    <w:rsid w:val="008A569F"/>
    <w:rsid w:val="008A5A76"/>
    <w:rsid w:val="008A64D6"/>
    <w:rsid w:val="008A69D5"/>
    <w:rsid w:val="008A6DA8"/>
    <w:rsid w:val="008A6EF9"/>
    <w:rsid w:val="008A7359"/>
    <w:rsid w:val="008A75F8"/>
    <w:rsid w:val="008A7619"/>
    <w:rsid w:val="008A7693"/>
    <w:rsid w:val="008A79DE"/>
    <w:rsid w:val="008A7C92"/>
    <w:rsid w:val="008A7CA4"/>
    <w:rsid w:val="008A7D7C"/>
    <w:rsid w:val="008A7D7D"/>
    <w:rsid w:val="008B00B7"/>
    <w:rsid w:val="008B08B8"/>
    <w:rsid w:val="008B0936"/>
    <w:rsid w:val="008B131A"/>
    <w:rsid w:val="008B1691"/>
    <w:rsid w:val="008B1B8E"/>
    <w:rsid w:val="008B26C0"/>
    <w:rsid w:val="008B27A0"/>
    <w:rsid w:val="008B27FC"/>
    <w:rsid w:val="008B2821"/>
    <w:rsid w:val="008B2EFC"/>
    <w:rsid w:val="008B33C3"/>
    <w:rsid w:val="008B37BD"/>
    <w:rsid w:val="008B3C29"/>
    <w:rsid w:val="008B4838"/>
    <w:rsid w:val="008B5116"/>
    <w:rsid w:val="008B511E"/>
    <w:rsid w:val="008B55CF"/>
    <w:rsid w:val="008B5BB8"/>
    <w:rsid w:val="008B6265"/>
    <w:rsid w:val="008B62BF"/>
    <w:rsid w:val="008B64B2"/>
    <w:rsid w:val="008B69C6"/>
    <w:rsid w:val="008B69D8"/>
    <w:rsid w:val="008B69E9"/>
    <w:rsid w:val="008B69EC"/>
    <w:rsid w:val="008B73C3"/>
    <w:rsid w:val="008B7408"/>
    <w:rsid w:val="008B772E"/>
    <w:rsid w:val="008B7E60"/>
    <w:rsid w:val="008B7FFB"/>
    <w:rsid w:val="008C0C20"/>
    <w:rsid w:val="008C0E62"/>
    <w:rsid w:val="008C132F"/>
    <w:rsid w:val="008C1A4D"/>
    <w:rsid w:val="008C1D39"/>
    <w:rsid w:val="008C230D"/>
    <w:rsid w:val="008C27A5"/>
    <w:rsid w:val="008C2DFD"/>
    <w:rsid w:val="008C30D3"/>
    <w:rsid w:val="008C336F"/>
    <w:rsid w:val="008C3AA3"/>
    <w:rsid w:val="008C4154"/>
    <w:rsid w:val="008C424D"/>
    <w:rsid w:val="008C4356"/>
    <w:rsid w:val="008C4755"/>
    <w:rsid w:val="008C4987"/>
    <w:rsid w:val="008C4B02"/>
    <w:rsid w:val="008C4C99"/>
    <w:rsid w:val="008C53BF"/>
    <w:rsid w:val="008C543F"/>
    <w:rsid w:val="008C5951"/>
    <w:rsid w:val="008C59A2"/>
    <w:rsid w:val="008C5B2A"/>
    <w:rsid w:val="008C636F"/>
    <w:rsid w:val="008C6741"/>
    <w:rsid w:val="008C675F"/>
    <w:rsid w:val="008C67BE"/>
    <w:rsid w:val="008C71F1"/>
    <w:rsid w:val="008C7678"/>
    <w:rsid w:val="008C7701"/>
    <w:rsid w:val="008C7834"/>
    <w:rsid w:val="008D0848"/>
    <w:rsid w:val="008D0AD2"/>
    <w:rsid w:val="008D0F72"/>
    <w:rsid w:val="008D1B30"/>
    <w:rsid w:val="008D1E13"/>
    <w:rsid w:val="008D1E8F"/>
    <w:rsid w:val="008D2023"/>
    <w:rsid w:val="008D24B0"/>
    <w:rsid w:val="008D254E"/>
    <w:rsid w:val="008D28F2"/>
    <w:rsid w:val="008D29A5"/>
    <w:rsid w:val="008D29AA"/>
    <w:rsid w:val="008D2C95"/>
    <w:rsid w:val="008D2CA7"/>
    <w:rsid w:val="008D3185"/>
    <w:rsid w:val="008D3521"/>
    <w:rsid w:val="008D35A0"/>
    <w:rsid w:val="008D3A5D"/>
    <w:rsid w:val="008D3F51"/>
    <w:rsid w:val="008D4205"/>
    <w:rsid w:val="008D4664"/>
    <w:rsid w:val="008D4A4D"/>
    <w:rsid w:val="008D5092"/>
    <w:rsid w:val="008D5351"/>
    <w:rsid w:val="008D5744"/>
    <w:rsid w:val="008D58A2"/>
    <w:rsid w:val="008D5AB6"/>
    <w:rsid w:val="008D5F49"/>
    <w:rsid w:val="008D6041"/>
    <w:rsid w:val="008D6560"/>
    <w:rsid w:val="008D65DF"/>
    <w:rsid w:val="008D69BC"/>
    <w:rsid w:val="008D7721"/>
    <w:rsid w:val="008D7743"/>
    <w:rsid w:val="008E07AB"/>
    <w:rsid w:val="008E0908"/>
    <w:rsid w:val="008E18C0"/>
    <w:rsid w:val="008E1CC9"/>
    <w:rsid w:val="008E1DB2"/>
    <w:rsid w:val="008E1E9E"/>
    <w:rsid w:val="008E22EE"/>
    <w:rsid w:val="008E2448"/>
    <w:rsid w:val="008E28F1"/>
    <w:rsid w:val="008E37F6"/>
    <w:rsid w:val="008E420E"/>
    <w:rsid w:val="008E470D"/>
    <w:rsid w:val="008E4BDA"/>
    <w:rsid w:val="008E4D90"/>
    <w:rsid w:val="008E51F5"/>
    <w:rsid w:val="008E5495"/>
    <w:rsid w:val="008E55D3"/>
    <w:rsid w:val="008E5837"/>
    <w:rsid w:val="008E687F"/>
    <w:rsid w:val="008E6ACF"/>
    <w:rsid w:val="008E71F1"/>
    <w:rsid w:val="008E7526"/>
    <w:rsid w:val="008E758F"/>
    <w:rsid w:val="008E771C"/>
    <w:rsid w:val="008E7B32"/>
    <w:rsid w:val="008F00B0"/>
    <w:rsid w:val="008F0335"/>
    <w:rsid w:val="008F0647"/>
    <w:rsid w:val="008F0785"/>
    <w:rsid w:val="008F1351"/>
    <w:rsid w:val="008F14EB"/>
    <w:rsid w:val="008F15ED"/>
    <w:rsid w:val="008F16D0"/>
    <w:rsid w:val="008F190B"/>
    <w:rsid w:val="008F1A50"/>
    <w:rsid w:val="008F1B8A"/>
    <w:rsid w:val="008F1CAD"/>
    <w:rsid w:val="008F1D19"/>
    <w:rsid w:val="008F2453"/>
    <w:rsid w:val="008F2573"/>
    <w:rsid w:val="008F2A51"/>
    <w:rsid w:val="008F2C3F"/>
    <w:rsid w:val="008F41AE"/>
    <w:rsid w:val="008F4514"/>
    <w:rsid w:val="008F4BD8"/>
    <w:rsid w:val="008F5112"/>
    <w:rsid w:val="008F554B"/>
    <w:rsid w:val="008F5CA8"/>
    <w:rsid w:val="008F5EF9"/>
    <w:rsid w:val="008F67EA"/>
    <w:rsid w:val="008F6B87"/>
    <w:rsid w:val="008F6CBE"/>
    <w:rsid w:val="008F70B8"/>
    <w:rsid w:val="008F7402"/>
    <w:rsid w:val="008F7685"/>
    <w:rsid w:val="008F776B"/>
    <w:rsid w:val="008F79CB"/>
    <w:rsid w:val="008F7F59"/>
    <w:rsid w:val="009001E6"/>
    <w:rsid w:val="00900D60"/>
    <w:rsid w:val="00900E25"/>
    <w:rsid w:val="00901171"/>
    <w:rsid w:val="00901269"/>
    <w:rsid w:val="009015BB"/>
    <w:rsid w:val="009016A6"/>
    <w:rsid w:val="00901B75"/>
    <w:rsid w:val="0090245B"/>
    <w:rsid w:val="00902798"/>
    <w:rsid w:val="00902B41"/>
    <w:rsid w:val="00902EAF"/>
    <w:rsid w:val="00903325"/>
    <w:rsid w:val="0090351D"/>
    <w:rsid w:val="009038E1"/>
    <w:rsid w:val="00903C16"/>
    <w:rsid w:val="00903CFE"/>
    <w:rsid w:val="00904313"/>
    <w:rsid w:val="009043BB"/>
    <w:rsid w:val="0090497A"/>
    <w:rsid w:val="00904DEF"/>
    <w:rsid w:val="009054BE"/>
    <w:rsid w:val="00905653"/>
    <w:rsid w:val="00905B61"/>
    <w:rsid w:val="00905DDB"/>
    <w:rsid w:val="009061F7"/>
    <w:rsid w:val="009068F3"/>
    <w:rsid w:val="00906C5C"/>
    <w:rsid w:val="00906EB1"/>
    <w:rsid w:val="00907346"/>
    <w:rsid w:val="00907A93"/>
    <w:rsid w:val="009100C9"/>
    <w:rsid w:val="0091012B"/>
    <w:rsid w:val="009102C6"/>
    <w:rsid w:val="00911523"/>
    <w:rsid w:val="0091187F"/>
    <w:rsid w:val="00911923"/>
    <w:rsid w:val="00911B75"/>
    <w:rsid w:val="00911EE3"/>
    <w:rsid w:val="009122C0"/>
    <w:rsid w:val="00912572"/>
    <w:rsid w:val="00912B4C"/>
    <w:rsid w:val="0091354E"/>
    <w:rsid w:val="009137A2"/>
    <w:rsid w:val="009137CF"/>
    <w:rsid w:val="00913CBD"/>
    <w:rsid w:val="009143FE"/>
    <w:rsid w:val="0091478B"/>
    <w:rsid w:val="00914B85"/>
    <w:rsid w:val="00915EE1"/>
    <w:rsid w:val="009160BF"/>
    <w:rsid w:val="00916147"/>
    <w:rsid w:val="00916341"/>
    <w:rsid w:val="009164DF"/>
    <w:rsid w:val="00916635"/>
    <w:rsid w:val="0091676B"/>
    <w:rsid w:val="0091684D"/>
    <w:rsid w:val="00916E42"/>
    <w:rsid w:val="00916FA6"/>
    <w:rsid w:val="00917299"/>
    <w:rsid w:val="00917385"/>
    <w:rsid w:val="009173CF"/>
    <w:rsid w:val="009175B6"/>
    <w:rsid w:val="00917F5A"/>
    <w:rsid w:val="00920375"/>
    <w:rsid w:val="00920421"/>
    <w:rsid w:val="009204DB"/>
    <w:rsid w:val="00920629"/>
    <w:rsid w:val="009207C9"/>
    <w:rsid w:val="009209FA"/>
    <w:rsid w:val="00920B16"/>
    <w:rsid w:val="00920C91"/>
    <w:rsid w:val="0092123F"/>
    <w:rsid w:val="009216AF"/>
    <w:rsid w:val="00921884"/>
    <w:rsid w:val="0092194C"/>
    <w:rsid w:val="00921A58"/>
    <w:rsid w:val="00921E6B"/>
    <w:rsid w:val="009224DB"/>
    <w:rsid w:val="00922533"/>
    <w:rsid w:val="009226B9"/>
    <w:rsid w:val="00922E5A"/>
    <w:rsid w:val="00922FB4"/>
    <w:rsid w:val="00923629"/>
    <w:rsid w:val="0092375F"/>
    <w:rsid w:val="00923CB8"/>
    <w:rsid w:val="0092413D"/>
    <w:rsid w:val="009259C0"/>
    <w:rsid w:val="00926311"/>
    <w:rsid w:val="00926559"/>
    <w:rsid w:val="0092672E"/>
    <w:rsid w:val="009267C7"/>
    <w:rsid w:val="00926846"/>
    <w:rsid w:val="00926B3A"/>
    <w:rsid w:val="009272A6"/>
    <w:rsid w:val="00927ED1"/>
    <w:rsid w:val="009303D0"/>
    <w:rsid w:val="00930F13"/>
    <w:rsid w:val="009317A5"/>
    <w:rsid w:val="009319F3"/>
    <w:rsid w:val="00931E2E"/>
    <w:rsid w:val="00932854"/>
    <w:rsid w:val="00932CAE"/>
    <w:rsid w:val="00933BDF"/>
    <w:rsid w:val="00933D13"/>
    <w:rsid w:val="00933E9D"/>
    <w:rsid w:val="009341D8"/>
    <w:rsid w:val="00934A1B"/>
    <w:rsid w:val="00935895"/>
    <w:rsid w:val="00935E3E"/>
    <w:rsid w:val="00935FA8"/>
    <w:rsid w:val="009368B5"/>
    <w:rsid w:val="00937309"/>
    <w:rsid w:val="00937350"/>
    <w:rsid w:val="00937662"/>
    <w:rsid w:val="00937E95"/>
    <w:rsid w:val="009401E9"/>
    <w:rsid w:val="00940A94"/>
    <w:rsid w:val="0094108B"/>
    <w:rsid w:val="009410CC"/>
    <w:rsid w:val="00941B53"/>
    <w:rsid w:val="00941BDB"/>
    <w:rsid w:val="00942E4D"/>
    <w:rsid w:val="00942F6E"/>
    <w:rsid w:val="0094362F"/>
    <w:rsid w:val="0094400D"/>
    <w:rsid w:val="00944C67"/>
    <w:rsid w:val="00944D1C"/>
    <w:rsid w:val="009451F0"/>
    <w:rsid w:val="009451F6"/>
    <w:rsid w:val="00945750"/>
    <w:rsid w:val="00945DCE"/>
    <w:rsid w:val="0094627E"/>
    <w:rsid w:val="0094629C"/>
    <w:rsid w:val="009464CE"/>
    <w:rsid w:val="009466FE"/>
    <w:rsid w:val="00946E0E"/>
    <w:rsid w:val="00947C42"/>
    <w:rsid w:val="00947DA5"/>
    <w:rsid w:val="009502AA"/>
    <w:rsid w:val="009503A7"/>
    <w:rsid w:val="0095056A"/>
    <w:rsid w:val="00950C26"/>
    <w:rsid w:val="00950DB3"/>
    <w:rsid w:val="00950EBD"/>
    <w:rsid w:val="00950EDD"/>
    <w:rsid w:val="009510F3"/>
    <w:rsid w:val="00951599"/>
    <w:rsid w:val="0095166F"/>
    <w:rsid w:val="00951B75"/>
    <w:rsid w:val="00951C15"/>
    <w:rsid w:val="00951D66"/>
    <w:rsid w:val="00951D7A"/>
    <w:rsid w:val="00951E2C"/>
    <w:rsid w:val="00952534"/>
    <w:rsid w:val="009527CC"/>
    <w:rsid w:val="00952851"/>
    <w:rsid w:val="00952E90"/>
    <w:rsid w:val="00952EF4"/>
    <w:rsid w:val="00953175"/>
    <w:rsid w:val="00953310"/>
    <w:rsid w:val="0095374D"/>
    <w:rsid w:val="00953A28"/>
    <w:rsid w:val="00953B05"/>
    <w:rsid w:val="009545E9"/>
    <w:rsid w:val="00954A41"/>
    <w:rsid w:val="0095547E"/>
    <w:rsid w:val="009559A4"/>
    <w:rsid w:val="00955CFE"/>
    <w:rsid w:val="00956095"/>
    <w:rsid w:val="009562C0"/>
    <w:rsid w:val="0095631D"/>
    <w:rsid w:val="00956CA5"/>
    <w:rsid w:val="00956D62"/>
    <w:rsid w:val="009579E6"/>
    <w:rsid w:val="00957F21"/>
    <w:rsid w:val="009600E6"/>
    <w:rsid w:val="0096036C"/>
    <w:rsid w:val="0096126B"/>
    <w:rsid w:val="0096172B"/>
    <w:rsid w:val="0096199B"/>
    <w:rsid w:val="00961FA3"/>
    <w:rsid w:val="00962550"/>
    <w:rsid w:val="00962579"/>
    <w:rsid w:val="009628C8"/>
    <w:rsid w:val="009634CC"/>
    <w:rsid w:val="009636E7"/>
    <w:rsid w:val="00963999"/>
    <w:rsid w:val="00963A2B"/>
    <w:rsid w:val="00963A59"/>
    <w:rsid w:val="00963E5C"/>
    <w:rsid w:val="00964043"/>
    <w:rsid w:val="00964432"/>
    <w:rsid w:val="009646E8"/>
    <w:rsid w:val="0096480B"/>
    <w:rsid w:val="0096484B"/>
    <w:rsid w:val="00964F33"/>
    <w:rsid w:val="00965D66"/>
    <w:rsid w:val="00966925"/>
    <w:rsid w:val="00967126"/>
    <w:rsid w:val="00967350"/>
    <w:rsid w:val="00967574"/>
    <w:rsid w:val="009678A2"/>
    <w:rsid w:val="00967F63"/>
    <w:rsid w:val="009707A7"/>
    <w:rsid w:val="0097089A"/>
    <w:rsid w:val="00970BF3"/>
    <w:rsid w:val="00971242"/>
    <w:rsid w:val="00971435"/>
    <w:rsid w:val="009718EF"/>
    <w:rsid w:val="00971D88"/>
    <w:rsid w:val="0097227A"/>
    <w:rsid w:val="00972375"/>
    <w:rsid w:val="0097237D"/>
    <w:rsid w:val="00972572"/>
    <w:rsid w:val="009725DB"/>
    <w:rsid w:val="00972612"/>
    <w:rsid w:val="00972933"/>
    <w:rsid w:val="00972F10"/>
    <w:rsid w:val="009731B4"/>
    <w:rsid w:val="00973B4A"/>
    <w:rsid w:val="00973C48"/>
    <w:rsid w:val="00973F3D"/>
    <w:rsid w:val="00973F4F"/>
    <w:rsid w:val="00974173"/>
    <w:rsid w:val="00974628"/>
    <w:rsid w:val="00974642"/>
    <w:rsid w:val="00974F3A"/>
    <w:rsid w:val="00975420"/>
    <w:rsid w:val="00975520"/>
    <w:rsid w:val="00975832"/>
    <w:rsid w:val="0097609A"/>
    <w:rsid w:val="00977A8D"/>
    <w:rsid w:val="00977AE1"/>
    <w:rsid w:val="00977D03"/>
    <w:rsid w:val="009801B6"/>
    <w:rsid w:val="00980322"/>
    <w:rsid w:val="00980496"/>
    <w:rsid w:val="0098050D"/>
    <w:rsid w:val="009807F2"/>
    <w:rsid w:val="00980EEE"/>
    <w:rsid w:val="009810BC"/>
    <w:rsid w:val="0098185A"/>
    <w:rsid w:val="00981872"/>
    <w:rsid w:val="00981B0B"/>
    <w:rsid w:val="00981EEB"/>
    <w:rsid w:val="0098284C"/>
    <w:rsid w:val="009829C0"/>
    <w:rsid w:val="00982A0F"/>
    <w:rsid w:val="00982D8A"/>
    <w:rsid w:val="0098300C"/>
    <w:rsid w:val="009830EB"/>
    <w:rsid w:val="00983894"/>
    <w:rsid w:val="00983B7F"/>
    <w:rsid w:val="00983C1D"/>
    <w:rsid w:val="00983F2E"/>
    <w:rsid w:val="00983F51"/>
    <w:rsid w:val="009847AE"/>
    <w:rsid w:val="0098480D"/>
    <w:rsid w:val="00984E33"/>
    <w:rsid w:val="00984F32"/>
    <w:rsid w:val="00984F6A"/>
    <w:rsid w:val="00985608"/>
    <w:rsid w:val="009857DB"/>
    <w:rsid w:val="0098684E"/>
    <w:rsid w:val="009869CD"/>
    <w:rsid w:val="00986DD9"/>
    <w:rsid w:val="00986EA2"/>
    <w:rsid w:val="00986F51"/>
    <w:rsid w:val="0098783D"/>
    <w:rsid w:val="009878B6"/>
    <w:rsid w:val="00987C19"/>
    <w:rsid w:val="00990279"/>
    <w:rsid w:val="00990A74"/>
    <w:rsid w:val="00990CCB"/>
    <w:rsid w:val="00990D19"/>
    <w:rsid w:val="00990E18"/>
    <w:rsid w:val="00990FFB"/>
    <w:rsid w:val="0099130A"/>
    <w:rsid w:val="009914A3"/>
    <w:rsid w:val="00991606"/>
    <w:rsid w:val="009918BC"/>
    <w:rsid w:val="00991DB0"/>
    <w:rsid w:val="0099222B"/>
    <w:rsid w:val="00993252"/>
    <w:rsid w:val="00993E25"/>
    <w:rsid w:val="0099559E"/>
    <w:rsid w:val="009955A7"/>
    <w:rsid w:val="00995763"/>
    <w:rsid w:val="00995883"/>
    <w:rsid w:val="00995AA2"/>
    <w:rsid w:val="00995DE2"/>
    <w:rsid w:val="00995E7F"/>
    <w:rsid w:val="00995FA0"/>
    <w:rsid w:val="00996438"/>
    <w:rsid w:val="009966BB"/>
    <w:rsid w:val="009968C8"/>
    <w:rsid w:val="009972CB"/>
    <w:rsid w:val="0099755A"/>
    <w:rsid w:val="00997C87"/>
    <w:rsid w:val="00997C94"/>
    <w:rsid w:val="00997F8B"/>
    <w:rsid w:val="009A01B5"/>
    <w:rsid w:val="009A0442"/>
    <w:rsid w:val="009A04D6"/>
    <w:rsid w:val="009A0D84"/>
    <w:rsid w:val="009A11D4"/>
    <w:rsid w:val="009A1272"/>
    <w:rsid w:val="009A1550"/>
    <w:rsid w:val="009A1EA1"/>
    <w:rsid w:val="009A21AE"/>
    <w:rsid w:val="009A2DE0"/>
    <w:rsid w:val="009A319E"/>
    <w:rsid w:val="009A3E13"/>
    <w:rsid w:val="009A3E5B"/>
    <w:rsid w:val="009A41E7"/>
    <w:rsid w:val="009A4502"/>
    <w:rsid w:val="009A4B9A"/>
    <w:rsid w:val="009A4D85"/>
    <w:rsid w:val="009A4F35"/>
    <w:rsid w:val="009A5012"/>
    <w:rsid w:val="009A5147"/>
    <w:rsid w:val="009A5718"/>
    <w:rsid w:val="009A57F9"/>
    <w:rsid w:val="009A586C"/>
    <w:rsid w:val="009A5C7F"/>
    <w:rsid w:val="009A5CB0"/>
    <w:rsid w:val="009A5F29"/>
    <w:rsid w:val="009A5F33"/>
    <w:rsid w:val="009A6052"/>
    <w:rsid w:val="009A6618"/>
    <w:rsid w:val="009A6A4B"/>
    <w:rsid w:val="009A779A"/>
    <w:rsid w:val="009A7842"/>
    <w:rsid w:val="009A7942"/>
    <w:rsid w:val="009A7CAD"/>
    <w:rsid w:val="009A7FA9"/>
    <w:rsid w:val="009B0152"/>
    <w:rsid w:val="009B05E8"/>
    <w:rsid w:val="009B0E6F"/>
    <w:rsid w:val="009B11F7"/>
    <w:rsid w:val="009B15DF"/>
    <w:rsid w:val="009B2300"/>
    <w:rsid w:val="009B28FC"/>
    <w:rsid w:val="009B2CDD"/>
    <w:rsid w:val="009B2EE7"/>
    <w:rsid w:val="009B3423"/>
    <w:rsid w:val="009B34A7"/>
    <w:rsid w:val="009B352A"/>
    <w:rsid w:val="009B3935"/>
    <w:rsid w:val="009B3979"/>
    <w:rsid w:val="009B3A85"/>
    <w:rsid w:val="009B3E5B"/>
    <w:rsid w:val="009B4488"/>
    <w:rsid w:val="009B4BE1"/>
    <w:rsid w:val="009B4FF4"/>
    <w:rsid w:val="009B551C"/>
    <w:rsid w:val="009B57BD"/>
    <w:rsid w:val="009B5E53"/>
    <w:rsid w:val="009B6012"/>
    <w:rsid w:val="009B64DE"/>
    <w:rsid w:val="009B6A7D"/>
    <w:rsid w:val="009B6B80"/>
    <w:rsid w:val="009B7859"/>
    <w:rsid w:val="009B7D0B"/>
    <w:rsid w:val="009B7D9E"/>
    <w:rsid w:val="009B7DA8"/>
    <w:rsid w:val="009C0122"/>
    <w:rsid w:val="009C01A9"/>
    <w:rsid w:val="009C033A"/>
    <w:rsid w:val="009C1748"/>
    <w:rsid w:val="009C1CDB"/>
    <w:rsid w:val="009C1E9B"/>
    <w:rsid w:val="009C2223"/>
    <w:rsid w:val="009C2242"/>
    <w:rsid w:val="009C2574"/>
    <w:rsid w:val="009C28CA"/>
    <w:rsid w:val="009C29F6"/>
    <w:rsid w:val="009C2B2D"/>
    <w:rsid w:val="009C2D44"/>
    <w:rsid w:val="009C3173"/>
    <w:rsid w:val="009C33D8"/>
    <w:rsid w:val="009C35DC"/>
    <w:rsid w:val="009C4242"/>
    <w:rsid w:val="009C4565"/>
    <w:rsid w:val="009C4C4F"/>
    <w:rsid w:val="009C5068"/>
    <w:rsid w:val="009C51C6"/>
    <w:rsid w:val="009C53F6"/>
    <w:rsid w:val="009C54D5"/>
    <w:rsid w:val="009C56D0"/>
    <w:rsid w:val="009C5B73"/>
    <w:rsid w:val="009C5CCA"/>
    <w:rsid w:val="009C61CD"/>
    <w:rsid w:val="009C6787"/>
    <w:rsid w:val="009C69D0"/>
    <w:rsid w:val="009C7318"/>
    <w:rsid w:val="009C7645"/>
    <w:rsid w:val="009C774B"/>
    <w:rsid w:val="009C7EAD"/>
    <w:rsid w:val="009D031B"/>
    <w:rsid w:val="009D057B"/>
    <w:rsid w:val="009D06B5"/>
    <w:rsid w:val="009D07CE"/>
    <w:rsid w:val="009D0F3A"/>
    <w:rsid w:val="009D13A5"/>
    <w:rsid w:val="009D18F3"/>
    <w:rsid w:val="009D2004"/>
    <w:rsid w:val="009D221A"/>
    <w:rsid w:val="009D25A8"/>
    <w:rsid w:val="009D2C77"/>
    <w:rsid w:val="009D383A"/>
    <w:rsid w:val="009D504C"/>
    <w:rsid w:val="009D5BE2"/>
    <w:rsid w:val="009D5FC7"/>
    <w:rsid w:val="009D655B"/>
    <w:rsid w:val="009D6577"/>
    <w:rsid w:val="009D69D8"/>
    <w:rsid w:val="009D6A87"/>
    <w:rsid w:val="009D6DF0"/>
    <w:rsid w:val="009D7AEB"/>
    <w:rsid w:val="009D7B54"/>
    <w:rsid w:val="009D7D3B"/>
    <w:rsid w:val="009D7DDA"/>
    <w:rsid w:val="009D7FD7"/>
    <w:rsid w:val="009D7FFB"/>
    <w:rsid w:val="009E013A"/>
    <w:rsid w:val="009E1534"/>
    <w:rsid w:val="009E1672"/>
    <w:rsid w:val="009E1F78"/>
    <w:rsid w:val="009E208E"/>
    <w:rsid w:val="009E21FC"/>
    <w:rsid w:val="009E2AAE"/>
    <w:rsid w:val="009E3030"/>
    <w:rsid w:val="009E36B8"/>
    <w:rsid w:val="009E3AE6"/>
    <w:rsid w:val="009E3E52"/>
    <w:rsid w:val="009E455E"/>
    <w:rsid w:val="009E4AFD"/>
    <w:rsid w:val="009E4BC6"/>
    <w:rsid w:val="009E4FB9"/>
    <w:rsid w:val="009E5416"/>
    <w:rsid w:val="009E567B"/>
    <w:rsid w:val="009E5B46"/>
    <w:rsid w:val="009E5F61"/>
    <w:rsid w:val="009E652E"/>
    <w:rsid w:val="009E75B3"/>
    <w:rsid w:val="009E7688"/>
    <w:rsid w:val="009E773C"/>
    <w:rsid w:val="009F01DE"/>
    <w:rsid w:val="009F0854"/>
    <w:rsid w:val="009F0D10"/>
    <w:rsid w:val="009F0EFD"/>
    <w:rsid w:val="009F1898"/>
    <w:rsid w:val="009F231F"/>
    <w:rsid w:val="009F2675"/>
    <w:rsid w:val="009F2E31"/>
    <w:rsid w:val="009F3253"/>
    <w:rsid w:val="009F333E"/>
    <w:rsid w:val="009F3CE4"/>
    <w:rsid w:val="009F3FD4"/>
    <w:rsid w:val="009F409C"/>
    <w:rsid w:val="009F435F"/>
    <w:rsid w:val="009F4D53"/>
    <w:rsid w:val="009F4DB7"/>
    <w:rsid w:val="009F4FCE"/>
    <w:rsid w:val="009F55D1"/>
    <w:rsid w:val="009F5A13"/>
    <w:rsid w:val="009F5E4B"/>
    <w:rsid w:val="009F65CB"/>
    <w:rsid w:val="009F668B"/>
    <w:rsid w:val="009F6805"/>
    <w:rsid w:val="009F696C"/>
    <w:rsid w:val="009F7A78"/>
    <w:rsid w:val="00A0079E"/>
    <w:rsid w:val="00A00B2F"/>
    <w:rsid w:val="00A00C45"/>
    <w:rsid w:val="00A0126E"/>
    <w:rsid w:val="00A0128A"/>
    <w:rsid w:val="00A0193F"/>
    <w:rsid w:val="00A01EA8"/>
    <w:rsid w:val="00A02194"/>
    <w:rsid w:val="00A02733"/>
    <w:rsid w:val="00A0279E"/>
    <w:rsid w:val="00A02FAE"/>
    <w:rsid w:val="00A0308D"/>
    <w:rsid w:val="00A0329E"/>
    <w:rsid w:val="00A0331B"/>
    <w:rsid w:val="00A0354F"/>
    <w:rsid w:val="00A03772"/>
    <w:rsid w:val="00A03E50"/>
    <w:rsid w:val="00A041A4"/>
    <w:rsid w:val="00A04334"/>
    <w:rsid w:val="00A045A8"/>
    <w:rsid w:val="00A04B67"/>
    <w:rsid w:val="00A04E0F"/>
    <w:rsid w:val="00A05B63"/>
    <w:rsid w:val="00A05EB2"/>
    <w:rsid w:val="00A06381"/>
    <w:rsid w:val="00A06D74"/>
    <w:rsid w:val="00A06D82"/>
    <w:rsid w:val="00A07428"/>
    <w:rsid w:val="00A07771"/>
    <w:rsid w:val="00A078B6"/>
    <w:rsid w:val="00A07D5F"/>
    <w:rsid w:val="00A07EB9"/>
    <w:rsid w:val="00A1022F"/>
    <w:rsid w:val="00A103E1"/>
    <w:rsid w:val="00A10735"/>
    <w:rsid w:val="00A10B61"/>
    <w:rsid w:val="00A11746"/>
    <w:rsid w:val="00A117AF"/>
    <w:rsid w:val="00A11F91"/>
    <w:rsid w:val="00A12490"/>
    <w:rsid w:val="00A12E1C"/>
    <w:rsid w:val="00A134AC"/>
    <w:rsid w:val="00A13EC8"/>
    <w:rsid w:val="00A147A3"/>
    <w:rsid w:val="00A148EE"/>
    <w:rsid w:val="00A149D5"/>
    <w:rsid w:val="00A14C53"/>
    <w:rsid w:val="00A14C6E"/>
    <w:rsid w:val="00A14DED"/>
    <w:rsid w:val="00A15741"/>
    <w:rsid w:val="00A1670E"/>
    <w:rsid w:val="00A16850"/>
    <w:rsid w:val="00A17367"/>
    <w:rsid w:val="00A1787F"/>
    <w:rsid w:val="00A17ED8"/>
    <w:rsid w:val="00A20796"/>
    <w:rsid w:val="00A20971"/>
    <w:rsid w:val="00A20A9D"/>
    <w:rsid w:val="00A20D19"/>
    <w:rsid w:val="00A21BBC"/>
    <w:rsid w:val="00A21D1F"/>
    <w:rsid w:val="00A223F8"/>
    <w:rsid w:val="00A22485"/>
    <w:rsid w:val="00A226D4"/>
    <w:rsid w:val="00A2286C"/>
    <w:rsid w:val="00A22A5C"/>
    <w:rsid w:val="00A23388"/>
    <w:rsid w:val="00A234E3"/>
    <w:rsid w:val="00A23914"/>
    <w:rsid w:val="00A23C9A"/>
    <w:rsid w:val="00A23D20"/>
    <w:rsid w:val="00A2411E"/>
    <w:rsid w:val="00A24171"/>
    <w:rsid w:val="00A2599C"/>
    <w:rsid w:val="00A262D7"/>
    <w:rsid w:val="00A273CC"/>
    <w:rsid w:val="00A27950"/>
    <w:rsid w:val="00A30168"/>
    <w:rsid w:val="00A3023B"/>
    <w:rsid w:val="00A30981"/>
    <w:rsid w:val="00A30E4E"/>
    <w:rsid w:val="00A31740"/>
    <w:rsid w:val="00A32518"/>
    <w:rsid w:val="00A3264F"/>
    <w:rsid w:val="00A32E8C"/>
    <w:rsid w:val="00A3356B"/>
    <w:rsid w:val="00A336A4"/>
    <w:rsid w:val="00A33898"/>
    <w:rsid w:val="00A33A8E"/>
    <w:rsid w:val="00A33C70"/>
    <w:rsid w:val="00A33CE2"/>
    <w:rsid w:val="00A33F64"/>
    <w:rsid w:val="00A3402F"/>
    <w:rsid w:val="00A34412"/>
    <w:rsid w:val="00A3447E"/>
    <w:rsid w:val="00A34996"/>
    <w:rsid w:val="00A34E0C"/>
    <w:rsid w:val="00A35719"/>
    <w:rsid w:val="00A358C3"/>
    <w:rsid w:val="00A35DA4"/>
    <w:rsid w:val="00A35EF9"/>
    <w:rsid w:val="00A36081"/>
    <w:rsid w:val="00A36E0C"/>
    <w:rsid w:val="00A36F7D"/>
    <w:rsid w:val="00A407E4"/>
    <w:rsid w:val="00A41935"/>
    <w:rsid w:val="00A4193B"/>
    <w:rsid w:val="00A42072"/>
    <w:rsid w:val="00A42200"/>
    <w:rsid w:val="00A42527"/>
    <w:rsid w:val="00A428D1"/>
    <w:rsid w:val="00A4298F"/>
    <w:rsid w:val="00A42C3C"/>
    <w:rsid w:val="00A42F24"/>
    <w:rsid w:val="00A42F38"/>
    <w:rsid w:val="00A4310D"/>
    <w:rsid w:val="00A43484"/>
    <w:rsid w:val="00A43531"/>
    <w:rsid w:val="00A43C41"/>
    <w:rsid w:val="00A43F1B"/>
    <w:rsid w:val="00A43F8D"/>
    <w:rsid w:val="00A43FF7"/>
    <w:rsid w:val="00A44178"/>
    <w:rsid w:val="00A4464A"/>
    <w:rsid w:val="00A44DDD"/>
    <w:rsid w:val="00A453B2"/>
    <w:rsid w:val="00A454C0"/>
    <w:rsid w:val="00A455F9"/>
    <w:rsid w:val="00A458E5"/>
    <w:rsid w:val="00A45925"/>
    <w:rsid w:val="00A45BB2"/>
    <w:rsid w:val="00A45C63"/>
    <w:rsid w:val="00A45EE3"/>
    <w:rsid w:val="00A46D83"/>
    <w:rsid w:val="00A46E0A"/>
    <w:rsid w:val="00A46E7D"/>
    <w:rsid w:val="00A50428"/>
    <w:rsid w:val="00A50439"/>
    <w:rsid w:val="00A50734"/>
    <w:rsid w:val="00A50D3E"/>
    <w:rsid w:val="00A51199"/>
    <w:rsid w:val="00A51BAC"/>
    <w:rsid w:val="00A51C41"/>
    <w:rsid w:val="00A51E54"/>
    <w:rsid w:val="00A51EB0"/>
    <w:rsid w:val="00A52479"/>
    <w:rsid w:val="00A524C1"/>
    <w:rsid w:val="00A52945"/>
    <w:rsid w:val="00A52D6A"/>
    <w:rsid w:val="00A5377A"/>
    <w:rsid w:val="00A5386C"/>
    <w:rsid w:val="00A53D73"/>
    <w:rsid w:val="00A540FD"/>
    <w:rsid w:val="00A5473A"/>
    <w:rsid w:val="00A54B07"/>
    <w:rsid w:val="00A54D5A"/>
    <w:rsid w:val="00A5504E"/>
    <w:rsid w:val="00A556B9"/>
    <w:rsid w:val="00A55A11"/>
    <w:rsid w:val="00A55EE2"/>
    <w:rsid w:val="00A56E5A"/>
    <w:rsid w:val="00A56EC9"/>
    <w:rsid w:val="00A56F21"/>
    <w:rsid w:val="00A578D0"/>
    <w:rsid w:val="00A57E1B"/>
    <w:rsid w:val="00A57E48"/>
    <w:rsid w:val="00A57F8C"/>
    <w:rsid w:val="00A600EE"/>
    <w:rsid w:val="00A6036C"/>
    <w:rsid w:val="00A607A6"/>
    <w:rsid w:val="00A60856"/>
    <w:rsid w:val="00A60A85"/>
    <w:rsid w:val="00A60C0A"/>
    <w:rsid w:val="00A60D66"/>
    <w:rsid w:val="00A61882"/>
    <w:rsid w:val="00A618CA"/>
    <w:rsid w:val="00A619D6"/>
    <w:rsid w:val="00A61A0A"/>
    <w:rsid w:val="00A61AB7"/>
    <w:rsid w:val="00A61DD8"/>
    <w:rsid w:val="00A62386"/>
    <w:rsid w:val="00A624C9"/>
    <w:rsid w:val="00A6283C"/>
    <w:rsid w:val="00A62B5A"/>
    <w:rsid w:val="00A62D37"/>
    <w:rsid w:val="00A6322B"/>
    <w:rsid w:val="00A637B5"/>
    <w:rsid w:val="00A64649"/>
    <w:rsid w:val="00A64EF2"/>
    <w:rsid w:val="00A64F3D"/>
    <w:rsid w:val="00A650C6"/>
    <w:rsid w:val="00A6562C"/>
    <w:rsid w:val="00A658A4"/>
    <w:rsid w:val="00A65940"/>
    <w:rsid w:val="00A65C1C"/>
    <w:rsid w:val="00A65E2A"/>
    <w:rsid w:val="00A65FB3"/>
    <w:rsid w:val="00A661CC"/>
    <w:rsid w:val="00A66573"/>
    <w:rsid w:val="00A66627"/>
    <w:rsid w:val="00A67052"/>
    <w:rsid w:val="00A67467"/>
    <w:rsid w:val="00A67CC5"/>
    <w:rsid w:val="00A70665"/>
    <w:rsid w:val="00A70C3E"/>
    <w:rsid w:val="00A714A3"/>
    <w:rsid w:val="00A71539"/>
    <w:rsid w:val="00A71649"/>
    <w:rsid w:val="00A719AD"/>
    <w:rsid w:val="00A7245C"/>
    <w:rsid w:val="00A7268A"/>
    <w:rsid w:val="00A729DD"/>
    <w:rsid w:val="00A73229"/>
    <w:rsid w:val="00A733B2"/>
    <w:rsid w:val="00A737BD"/>
    <w:rsid w:val="00A73FEE"/>
    <w:rsid w:val="00A740AB"/>
    <w:rsid w:val="00A74163"/>
    <w:rsid w:val="00A74731"/>
    <w:rsid w:val="00A74985"/>
    <w:rsid w:val="00A74D9B"/>
    <w:rsid w:val="00A7510C"/>
    <w:rsid w:val="00A754E8"/>
    <w:rsid w:val="00A7560B"/>
    <w:rsid w:val="00A75E6A"/>
    <w:rsid w:val="00A75F4B"/>
    <w:rsid w:val="00A75FF2"/>
    <w:rsid w:val="00A7608F"/>
    <w:rsid w:val="00A7672F"/>
    <w:rsid w:val="00A769B6"/>
    <w:rsid w:val="00A76CE7"/>
    <w:rsid w:val="00A771A6"/>
    <w:rsid w:val="00A772E0"/>
    <w:rsid w:val="00A77CA8"/>
    <w:rsid w:val="00A77D5B"/>
    <w:rsid w:val="00A8018C"/>
    <w:rsid w:val="00A807A0"/>
    <w:rsid w:val="00A80985"/>
    <w:rsid w:val="00A809E5"/>
    <w:rsid w:val="00A80A96"/>
    <w:rsid w:val="00A80B58"/>
    <w:rsid w:val="00A82C41"/>
    <w:rsid w:val="00A82CDC"/>
    <w:rsid w:val="00A82F66"/>
    <w:rsid w:val="00A830A1"/>
    <w:rsid w:val="00A837E4"/>
    <w:rsid w:val="00A83843"/>
    <w:rsid w:val="00A839E1"/>
    <w:rsid w:val="00A83B26"/>
    <w:rsid w:val="00A83C2B"/>
    <w:rsid w:val="00A83C5D"/>
    <w:rsid w:val="00A83EC9"/>
    <w:rsid w:val="00A840B2"/>
    <w:rsid w:val="00A84A02"/>
    <w:rsid w:val="00A850DC"/>
    <w:rsid w:val="00A853AA"/>
    <w:rsid w:val="00A8541D"/>
    <w:rsid w:val="00A8596A"/>
    <w:rsid w:val="00A859F2"/>
    <w:rsid w:val="00A85C30"/>
    <w:rsid w:val="00A8615B"/>
    <w:rsid w:val="00A86266"/>
    <w:rsid w:val="00A86543"/>
    <w:rsid w:val="00A866F2"/>
    <w:rsid w:val="00A86813"/>
    <w:rsid w:val="00A8683A"/>
    <w:rsid w:val="00A86E8B"/>
    <w:rsid w:val="00A86FDC"/>
    <w:rsid w:val="00A87159"/>
    <w:rsid w:val="00A877B3"/>
    <w:rsid w:val="00A87BD4"/>
    <w:rsid w:val="00A87E45"/>
    <w:rsid w:val="00A90A88"/>
    <w:rsid w:val="00A90E9B"/>
    <w:rsid w:val="00A9120D"/>
    <w:rsid w:val="00A916A9"/>
    <w:rsid w:val="00A91731"/>
    <w:rsid w:val="00A91EB3"/>
    <w:rsid w:val="00A927CD"/>
    <w:rsid w:val="00A92CDF"/>
    <w:rsid w:val="00A92DD0"/>
    <w:rsid w:val="00A930C0"/>
    <w:rsid w:val="00A93623"/>
    <w:rsid w:val="00A9366A"/>
    <w:rsid w:val="00A936CB"/>
    <w:rsid w:val="00A93932"/>
    <w:rsid w:val="00A93B2F"/>
    <w:rsid w:val="00A93FD6"/>
    <w:rsid w:val="00A94387"/>
    <w:rsid w:val="00A9462A"/>
    <w:rsid w:val="00A94994"/>
    <w:rsid w:val="00A949A7"/>
    <w:rsid w:val="00A94D49"/>
    <w:rsid w:val="00A94E22"/>
    <w:rsid w:val="00A959D9"/>
    <w:rsid w:val="00A959E4"/>
    <w:rsid w:val="00A95B11"/>
    <w:rsid w:val="00A95E18"/>
    <w:rsid w:val="00A960EA"/>
    <w:rsid w:val="00A96394"/>
    <w:rsid w:val="00A96562"/>
    <w:rsid w:val="00A96790"/>
    <w:rsid w:val="00A96798"/>
    <w:rsid w:val="00A96889"/>
    <w:rsid w:val="00A9688F"/>
    <w:rsid w:val="00A96FAB"/>
    <w:rsid w:val="00A974D8"/>
    <w:rsid w:val="00A9759C"/>
    <w:rsid w:val="00A97668"/>
    <w:rsid w:val="00A97954"/>
    <w:rsid w:val="00AA0715"/>
    <w:rsid w:val="00AA0DBD"/>
    <w:rsid w:val="00AA1005"/>
    <w:rsid w:val="00AA1BC2"/>
    <w:rsid w:val="00AA2140"/>
    <w:rsid w:val="00AA2956"/>
    <w:rsid w:val="00AA2A0A"/>
    <w:rsid w:val="00AA2D91"/>
    <w:rsid w:val="00AA329E"/>
    <w:rsid w:val="00AA32A6"/>
    <w:rsid w:val="00AA335D"/>
    <w:rsid w:val="00AA337F"/>
    <w:rsid w:val="00AA370F"/>
    <w:rsid w:val="00AA37C6"/>
    <w:rsid w:val="00AA3F4B"/>
    <w:rsid w:val="00AA3F4D"/>
    <w:rsid w:val="00AA419D"/>
    <w:rsid w:val="00AA442E"/>
    <w:rsid w:val="00AA4573"/>
    <w:rsid w:val="00AA514F"/>
    <w:rsid w:val="00AA56BB"/>
    <w:rsid w:val="00AA5C70"/>
    <w:rsid w:val="00AA5E12"/>
    <w:rsid w:val="00AA63BC"/>
    <w:rsid w:val="00AA6556"/>
    <w:rsid w:val="00AA686C"/>
    <w:rsid w:val="00AA6C14"/>
    <w:rsid w:val="00AA6C2A"/>
    <w:rsid w:val="00AA7420"/>
    <w:rsid w:val="00AA74F8"/>
    <w:rsid w:val="00AA7919"/>
    <w:rsid w:val="00AA7C2D"/>
    <w:rsid w:val="00AB0068"/>
    <w:rsid w:val="00AB043A"/>
    <w:rsid w:val="00AB1814"/>
    <w:rsid w:val="00AB1F68"/>
    <w:rsid w:val="00AB208E"/>
    <w:rsid w:val="00AB2318"/>
    <w:rsid w:val="00AB2355"/>
    <w:rsid w:val="00AB2870"/>
    <w:rsid w:val="00AB2EF4"/>
    <w:rsid w:val="00AB3749"/>
    <w:rsid w:val="00AB3796"/>
    <w:rsid w:val="00AB39B2"/>
    <w:rsid w:val="00AB3A6A"/>
    <w:rsid w:val="00AB3AF2"/>
    <w:rsid w:val="00AB3E6E"/>
    <w:rsid w:val="00AB4C45"/>
    <w:rsid w:val="00AB5015"/>
    <w:rsid w:val="00AB5983"/>
    <w:rsid w:val="00AB5DE5"/>
    <w:rsid w:val="00AB60A5"/>
    <w:rsid w:val="00AB6563"/>
    <w:rsid w:val="00AB6C6E"/>
    <w:rsid w:val="00AB7165"/>
    <w:rsid w:val="00AB74B5"/>
    <w:rsid w:val="00AB7838"/>
    <w:rsid w:val="00AB7DE7"/>
    <w:rsid w:val="00AB7E42"/>
    <w:rsid w:val="00ABBC3F"/>
    <w:rsid w:val="00AC023A"/>
    <w:rsid w:val="00AC03DD"/>
    <w:rsid w:val="00AC050F"/>
    <w:rsid w:val="00AC0A0C"/>
    <w:rsid w:val="00AC0A74"/>
    <w:rsid w:val="00AC0A89"/>
    <w:rsid w:val="00AC156F"/>
    <w:rsid w:val="00AC1B5D"/>
    <w:rsid w:val="00AC2128"/>
    <w:rsid w:val="00AC2B8F"/>
    <w:rsid w:val="00AC3593"/>
    <w:rsid w:val="00AC3863"/>
    <w:rsid w:val="00AC4878"/>
    <w:rsid w:val="00AC50F2"/>
    <w:rsid w:val="00AC5AF5"/>
    <w:rsid w:val="00AC6419"/>
    <w:rsid w:val="00AC644C"/>
    <w:rsid w:val="00AC6452"/>
    <w:rsid w:val="00AC6A50"/>
    <w:rsid w:val="00AC70DB"/>
    <w:rsid w:val="00AC7850"/>
    <w:rsid w:val="00AC785F"/>
    <w:rsid w:val="00AC7AD9"/>
    <w:rsid w:val="00AC7B64"/>
    <w:rsid w:val="00AC7DF4"/>
    <w:rsid w:val="00AD03A9"/>
    <w:rsid w:val="00AD07C3"/>
    <w:rsid w:val="00AD0BEF"/>
    <w:rsid w:val="00AD1A64"/>
    <w:rsid w:val="00AD1D92"/>
    <w:rsid w:val="00AD1EE3"/>
    <w:rsid w:val="00AD26E3"/>
    <w:rsid w:val="00AD2A80"/>
    <w:rsid w:val="00AD2D68"/>
    <w:rsid w:val="00AD32C0"/>
    <w:rsid w:val="00AD3A8F"/>
    <w:rsid w:val="00AD3B2F"/>
    <w:rsid w:val="00AD44D4"/>
    <w:rsid w:val="00AD48B3"/>
    <w:rsid w:val="00AD48FA"/>
    <w:rsid w:val="00AD4DCF"/>
    <w:rsid w:val="00AD53AE"/>
    <w:rsid w:val="00AD54FD"/>
    <w:rsid w:val="00AD550B"/>
    <w:rsid w:val="00AD5A39"/>
    <w:rsid w:val="00AD6A49"/>
    <w:rsid w:val="00AD7072"/>
    <w:rsid w:val="00AD71AB"/>
    <w:rsid w:val="00AD77D3"/>
    <w:rsid w:val="00AD7DA7"/>
    <w:rsid w:val="00AE02F8"/>
    <w:rsid w:val="00AE092B"/>
    <w:rsid w:val="00AE0A7F"/>
    <w:rsid w:val="00AE0A8B"/>
    <w:rsid w:val="00AE0E44"/>
    <w:rsid w:val="00AE123E"/>
    <w:rsid w:val="00AE1646"/>
    <w:rsid w:val="00AE1666"/>
    <w:rsid w:val="00AE1734"/>
    <w:rsid w:val="00AE1845"/>
    <w:rsid w:val="00AE195F"/>
    <w:rsid w:val="00AE1AEC"/>
    <w:rsid w:val="00AE1B82"/>
    <w:rsid w:val="00AE1E16"/>
    <w:rsid w:val="00AE1FD6"/>
    <w:rsid w:val="00AE236C"/>
    <w:rsid w:val="00AE23EA"/>
    <w:rsid w:val="00AE2521"/>
    <w:rsid w:val="00AE2597"/>
    <w:rsid w:val="00AE2F65"/>
    <w:rsid w:val="00AE358C"/>
    <w:rsid w:val="00AE364C"/>
    <w:rsid w:val="00AE36D8"/>
    <w:rsid w:val="00AE36DB"/>
    <w:rsid w:val="00AE4437"/>
    <w:rsid w:val="00AE4567"/>
    <w:rsid w:val="00AE460A"/>
    <w:rsid w:val="00AE4A91"/>
    <w:rsid w:val="00AE4B63"/>
    <w:rsid w:val="00AE4FEB"/>
    <w:rsid w:val="00AE59D2"/>
    <w:rsid w:val="00AE5C5F"/>
    <w:rsid w:val="00AE5D41"/>
    <w:rsid w:val="00AE621D"/>
    <w:rsid w:val="00AE62B1"/>
    <w:rsid w:val="00AE708E"/>
    <w:rsid w:val="00AE7357"/>
    <w:rsid w:val="00AE7421"/>
    <w:rsid w:val="00AE7E88"/>
    <w:rsid w:val="00AE7F8A"/>
    <w:rsid w:val="00AF00CB"/>
    <w:rsid w:val="00AF01B6"/>
    <w:rsid w:val="00AF0315"/>
    <w:rsid w:val="00AF06E8"/>
    <w:rsid w:val="00AF06F1"/>
    <w:rsid w:val="00AF0B7A"/>
    <w:rsid w:val="00AF1079"/>
    <w:rsid w:val="00AF1213"/>
    <w:rsid w:val="00AF12FC"/>
    <w:rsid w:val="00AF155E"/>
    <w:rsid w:val="00AF1AE0"/>
    <w:rsid w:val="00AF29B0"/>
    <w:rsid w:val="00AF3246"/>
    <w:rsid w:val="00AF32CE"/>
    <w:rsid w:val="00AF35A8"/>
    <w:rsid w:val="00AF3B19"/>
    <w:rsid w:val="00AF3DC8"/>
    <w:rsid w:val="00AF44F5"/>
    <w:rsid w:val="00AF4611"/>
    <w:rsid w:val="00AF4655"/>
    <w:rsid w:val="00AF4A18"/>
    <w:rsid w:val="00AF4BD8"/>
    <w:rsid w:val="00AF4F8C"/>
    <w:rsid w:val="00AF5953"/>
    <w:rsid w:val="00AF5EBB"/>
    <w:rsid w:val="00AF60CD"/>
    <w:rsid w:val="00AF6109"/>
    <w:rsid w:val="00AF63B2"/>
    <w:rsid w:val="00AF6958"/>
    <w:rsid w:val="00AF6ABD"/>
    <w:rsid w:val="00AF6B15"/>
    <w:rsid w:val="00AF6B78"/>
    <w:rsid w:val="00AF6C03"/>
    <w:rsid w:val="00B006B0"/>
    <w:rsid w:val="00B007B6"/>
    <w:rsid w:val="00B00818"/>
    <w:rsid w:val="00B0131A"/>
    <w:rsid w:val="00B01A9E"/>
    <w:rsid w:val="00B026D2"/>
    <w:rsid w:val="00B0290B"/>
    <w:rsid w:val="00B02AB7"/>
    <w:rsid w:val="00B03414"/>
    <w:rsid w:val="00B03651"/>
    <w:rsid w:val="00B03792"/>
    <w:rsid w:val="00B03B9D"/>
    <w:rsid w:val="00B03FAF"/>
    <w:rsid w:val="00B03FF0"/>
    <w:rsid w:val="00B04C87"/>
    <w:rsid w:val="00B04D5F"/>
    <w:rsid w:val="00B04DBE"/>
    <w:rsid w:val="00B05028"/>
    <w:rsid w:val="00B052EA"/>
    <w:rsid w:val="00B0699E"/>
    <w:rsid w:val="00B06A49"/>
    <w:rsid w:val="00B073FD"/>
    <w:rsid w:val="00B07633"/>
    <w:rsid w:val="00B0765A"/>
    <w:rsid w:val="00B07CFD"/>
    <w:rsid w:val="00B07D16"/>
    <w:rsid w:val="00B100AB"/>
    <w:rsid w:val="00B10DA3"/>
    <w:rsid w:val="00B10EAE"/>
    <w:rsid w:val="00B10ED2"/>
    <w:rsid w:val="00B116CC"/>
    <w:rsid w:val="00B1175F"/>
    <w:rsid w:val="00B11A4A"/>
    <w:rsid w:val="00B11BD9"/>
    <w:rsid w:val="00B11D27"/>
    <w:rsid w:val="00B122AD"/>
    <w:rsid w:val="00B127BB"/>
    <w:rsid w:val="00B12939"/>
    <w:rsid w:val="00B12F76"/>
    <w:rsid w:val="00B13637"/>
    <w:rsid w:val="00B13B05"/>
    <w:rsid w:val="00B13D1F"/>
    <w:rsid w:val="00B148F5"/>
    <w:rsid w:val="00B15018"/>
    <w:rsid w:val="00B150B4"/>
    <w:rsid w:val="00B15136"/>
    <w:rsid w:val="00B152B3"/>
    <w:rsid w:val="00B15438"/>
    <w:rsid w:val="00B15525"/>
    <w:rsid w:val="00B1560D"/>
    <w:rsid w:val="00B1576B"/>
    <w:rsid w:val="00B162ED"/>
    <w:rsid w:val="00B16362"/>
    <w:rsid w:val="00B167D4"/>
    <w:rsid w:val="00B16CA7"/>
    <w:rsid w:val="00B16CB7"/>
    <w:rsid w:val="00B16D17"/>
    <w:rsid w:val="00B170DE"/>
    <w:rsid w:val="00B17295"/>
    <w:rsid w:val="00B1733B"/>
    <w:rsid w:val="00B17641"/>
    <w:rsid w:val="00B1775E"/>
    <w:rsid w:val="00B179E4"/>
    <w:rsid w:val="00B17A5F"/>
    <w:rsid w:val="00B17AF5"/>
    <w:rsid w:val="00B17B25"/>
    <w:rsid w:val="00B17BA2"/>
    <w:rsid w:val="00B17DAE"/>
    <w:rsid w:val="00B20489"/>
    <w:rsid w:val="00B209B2"/>
    <w:rsid w:val="00B20B12"/>
    <w:rsid w:val="00B20DB7"/>
    <w:rsid w:val="00B20DD3"/>
    <w:rsid w:val="00B20FBC"/>
    <w:rsid w:val="00B216A9"/>
    <w:rsid w:val="00B21758"/>
    <w:rsid w:val="00B21E10"/>
    <w:rsid w:val="00B21F38"/>
    <w:rsid w:val="00B22CD2"/>
    <w:rsid w:val="00B22E28"/>
    <w:rsid w:val="00B22ED4"/>
    <w:rsid w:val="00B234C0"/>
    <w:rsid w:val="00B23FFA"/>
    <w:rsid w:val="00B24746"/>
    <w:rsid w:val="00B24C97"/>
    <w:rsid w:val="00B24F5D"/>
    <w:rsid w:val="00B25921"/>
    <w:rsid w:val="00B259C1"/>
    <w:rsid w:val="00B25C14"/>
    <w:rsid w:val="00B26535"/>
    <w:rsid w:val="00B26803"/>
    <w:rsid w:val="00B2687D"/>
    <w:rsid w:val="00B2691E"/>
    <w:rsid w:val="00B26922"/>
    <w:rsid w:val="00B27132"/>
    <w:rsid w:val="00B2732D"/>
    <w:rsid w:val="00B2746B"/>
    <w:rsid w:val="00B2781A"/>
    <w:rsid w:val="00B27B41"/>
    <w:rsid w:val="00B27B85"/>
    <w:rsid w:val="00B27CF2"/>
    <w:rsid w:val="00B300CC"/>
    <w:rsid w:val="00B30D01"/>
    <w:rsid w:val="00B318C3"/>
    <w:rsid w:val="00B31A4D"/>
    <w:rsid w:val="00B31B23"/>
    <w:rsid w:val="00B31CED"/>
    <w:rsid w:val="00B31F87"/>
    <w:rsid w:val="00B32139"/>
    <w:rsid w:val="00B32572"/>
    <w:rsid w:val="00B3257D"/>
    <w:rsid w:val="00B32912"/>
    <w:rsid w:val="00B3294D"/>
    <w:rsid w:val="00B32BA1"/>
    <w:rsid w:val="00B32BAE"/>
    <w:rsid w:val="00B32D89"/>
    <w:rsid w:val="00B32F28"/>
    <w:rsid w:val="00B331B1"/>
    <w:rsid w:val="00B3378B"/>
    <w:rsid w:val="00B346F6"/>
    <w:rsid w:val="00B347AF"/>
    <w:rsid w:val="00B34DAE"/>
    <w:rsid w:val="00B3543C"/>
    <w:rsid w:val="00B354DE"/>
    <w:rsid w:val="00B35B0B"/>
    <w:rsid w:val="00B35B15"/>
    <w:rsid w:val="00B35C33"/>
    <w:rsid w:val="00B35C86"/>
    <w:rsid w:val="00B360E8"/>
    <w:rsid w:val="00B36A2A"/>
    <w:rsid w:val="00B370E5"/>
    <w:rsid w:val="00B37100"/>
    <w:rsid w:val="00B37386"/>
    <w:rsid w:val="00B37C5B"/>
    <w:rsid w:val="00B404D7"/>
    <w:rsid w:val="00B40A16"/>
    <w:rsid w:val="00B40A6C"/>
    <w:rsid w:val="00B418DE"/>
    <w:rsid w:val="00B4192D"/>
    <w:rsid w:val="00B4195A"/>
    <w:rsid w:val="00B41A30"/>
    <w:rsid w:val="00B41BE8"/>
    <w:rsid w:val="00B41C84"/>
    <w:rsid w:val="00B41FC7"/>
    <w:rsid w:val="00B423F9"/>
    <w:rsid w:val="00B4248F"/>
    <w:rsid w:val="00B425E3"/>
    <w:rsid w:val="00B4389A"/>
    <w:rsid w:val="00B43A20"/>
    <w:rsid w:val="00B43A26"/>
    <w:rsid w:val="00B444B2"/>
    <w:rsid w:val="00B4493B"/>
    <w:rsid w:val="00B455BF"/>
    <w:rsid w:val="00B457EC"/>
    <w:rsid w:val="00B458FD"/>
    <w:rsid w:val="00B45D94"/>
    <w:rsid w:val="00B4606E"/>
    <w:rsid w:val="00B46855"/>
    <w:rsid w:val="00B4697A"/>
    <w:rsid w:val="00B4710D"/>
    <w:rsid w:val="00B4725A"/>
    <w:rsid w:val="00B4792B"/>
    <w:rsid w:val="00B47F7F"/>
    <w:rsid w:val="00B5063D"/>
    <w:rsid w:val="00B50A03"/>
    <w:rsid w:val="00B50B51"/>
    <w:rsid w:val="00B50D74"/>
    <w:rsid w:val="00B51240"/>
    <w:rsid w:val="00B513F3"/>
    <w:rsid w:val="00B51F39"/>
    <w:rsid w:val="00B523CB"/>
    <w:rsid w:val="00B527CA"/>
    <w:rsid w:val="00B527F7"/>
    <w:rsid w:val="00B52B7C"/>
    <w:rsid w:val="00B52FDA"/>
    <w:rsid w:val="00B530DA"/>
    <w:rsid w:val="00B53451"/>
    <w:rsid w:val="00B5384B"/>
    <w:rsid w:val="00B53DF3"/>
    <w:rsid w:val="00B53FE4"/>
    <w:rsid w:val="00B54380"/>
    <w:rsid w:val="00B5459A"/>
    <w:rsid w:val="00B54E72"/>
    <w:rsid w:val="00B55676"/>
    <w:rsid w:val="00B55B95"/>
    <w:rsid w:val="00B55BDC"/>
    <w:rsid w:val="00B56378"/>
    <w:rsid w:val="00B564F9"/>
    <w:rsid w:val="00B56614"/>
    <w:rsid w:val="00B5695F"/>
    <w:rsid w:val="00B576F2"/>
    <w:rsid w:val="00B57814"/>
    <w:rsid w:val="00B57B77"/>
    <w:rsid w:val="00B60201"/>
    <w:rsid w:val="00B60CE3"/>
    <w:rsid w:val="00B60D2C"/>
    <w:rsid w:val="00B61266"/>
    <w:rsid w:val="00B612CC"/>
    <w:rsid w:val="00B617ED"/>
    <w:rsid w:val="00B61C18"/>
    <w:rsid w:val="00B6255A"/>
    <w:rsid w:val="00B626B7"/>
    <w:rsid w:val="00B6279F"/>
    <w:rsid w:val="00B62C78"/>
    <w:rsid w:val="00B62DCB"/>
    <w:rsid w:val="00B62E0B"/>
    <w:rsid w:val="00B634F8"/>
    <w:rsid w:val="00B637DE"/>
    <w:rsid w:val="00B64196"/>
    <w:rsid w:val="00B64391"/>
    <w:rsid w:val="00B6461B"/>
    <w:rsid w:val="00B646C4"/>
    <w:rsid w:val="00B6478B"/>
    <w:rsid w:val="00B647C9"/>
    <w:rsid w:val="00B647D2"/>
    <w:rsid w:val="00B649C0"/>
    <w:rsid w:val="00B64A77"/>
    <w:rsid w:val="00B64A99"/>
    <w:rsid w:val="00B64CDF"/>
    <w:rsid w:val="00B656F2"/>
    <w:rsid w:val="00B659D6"/>
    <w:rsid w:val="00B666AA"/>
    <w:rsid w:val="00B66D31"/>
    <w:rsid w:val="00B672D0"/>
    <w:rsid w:val="00B67AB6"/>
    <w:rsid w:val="00B7031C"/>
    <w:rsid w:val="00B7129B"/>
    <w:rsid w:val="00B715E9"/>
    <w:rsid w:val="00B719D3"/>
    <w:rsid w:val="00B71C04"/>
    <w:rsid w:val="00B7207F"/>
    <w:rsid w:val="00B723BB"/>
    <w:rsid w:val="00B730D8"/>
    <w:rsid w:val="00B73106"/>
    <w:rsid w:val="00B732E6"/>
    <w:rsid w:val="00B738B3"/>
    <w:rsid w:val="00B73982"/>
    <w:rsid w:val="00B73B62"/>
    <w:rsid w:val="00B73C1B"/>
    <w:rsid w:val="00B7455F"/>
    <w:rsid w:val="00B7473C"/>
    <w:rsid w:val="00B74967"/>
    <w:rsid w:val="00B74AEF"/>
    <w:rsid w:val="00B74C0A"/>
    <w:rsid w:val="00B752CA"/>
    <w:rsid w:val="00B75346"/>
    <w:rsid w:val="00B7579D"/>
    <w:rsid w:val="00B75AA9"/>
    <w:rsid w:val="00B75B41"/>
    <w:rsid w:val="00B75BE0"/>
    <w:rsid w:val="00B76ABC"/>
    <w:rsid w:val="00B7704D"/>
    <w:rsid w:val="00B80875"/>
    <w:rsid w:val="00B80CFA"/>
    <w:rsid w:val="00B80DA5"/>
    <w:rsid w:val="00B82718"/>
    <w:rsid w:val="00B827EE"/>
    <w:rsid w:val="00B82D82"/>
    <w:rsid w:val="00B82DDF"/>
    <w:rsid w:val="00B832B5"/>
    <w:rsid w:val="00B83482"/>
    <w:rsid w:val="00B83C15"/>
    <w:rsid w:val="00B83E43"/>
    <w:rsid w:val="00B842D8"/>
    <w:rsid w:val="00B84720"/>
    <w:rsid w:val="00B8483D"/>
    <w:rsid w:val="00B84931"/>
    <w:rsid w:val="00B84A26"/>
    <w:rsid w:val="00B84E94"/>
    <w:rsid w:val="00B8580B"/>
    <w:rsid w:val="00B85D10"/>
    <w:rsid w:val="00B8604F"/>
    <w:rsid w:val="00B860A3"/>
    <w:rsid w:val="00B862A2"/>
    <w:rsid w:val="00B86676"/>
    <w:rsid w:val="00B87D84"/>
    <w:rsid w:val="00B901DB"/>
    <w:rsid w:val="00B905C7"/>
    <w:rsid w:val="00B90F7F"/>
    <w:rsid w:val="00B914B0"/>
    <w:rsid w:val="00B91B7C"/>
    <w:rsid w:val="00B92160"/>
    <w:rsid w:val="00B92B26"/>
    <w:rsid w:val="00B9318A"/>
    <w:rsid w:val="00B9322A"/>
    <w:rsid w:val="00B939B7"/>
    <w:rsid w:val="00B93B93"/>
    <w:rsid w:val="00B93D67"/>
    <w:rsid w:val="00B93F80"/>
    <w:rsid w:val="00B9415C"/>
    <w:rsid w:val="00B9423E"/>
    <w:rsid w:val="00B94D24"/>
    <w:rsid w:val="00B953A3"/>
    <w:rsid w:val="00B953F7"/>
    <w:rsid w:val="00B956A3"/>
    <w:rsid w:val="00B95AA5"/>
    <w:rsid w:val="00B95B13"/>
    <w:rsid w:val="00B95C0A"/>
    <w:rsid w:val="00B95DFB"/>
    <w:rsid w:val="00B960EE"/>
    <w:rsid w:val="00B964F1"/>
    <w:rsid w:val="00B96628"/>
    <w:rsid w:val="00B96A21"/>
    <w:rsid w:val="00B96F1D"/>
    <w:rsid w:val="00B97014"/>
    <w:rsid w:val="00B9703A"/>
    <w:rsid w:val="00B97CC8"/>
    <w:rsid w:val="00BA0CB3"/>
    <w:rsid w:val="00BA0CC6"/>
    <w:rsid w:val="00BA0F28"/>
    <w:rsid w:val="00BA1E4D"/>
    <w:rsid w:val="00BA1F6B"/>
    <w:rsid w:val="00BA2A64"/>
    <w:rsid w:val="00BA2D63"/>
    <w:rsid w:val="00BA2DFF"/>
    <w:rsid w:val="00BA30D6"/>
    <w:rsid w:val="00BA3AAA"/>
    <w:rsid w:val="00BA3F8B"/>
    <w:rsid w:val="00BA4195"/>
    <w:rsid w:val="00BA5425"/>
    <w:rsid w:val="00BA5FEF"/>
    <w:rsid w:val="00BA6142"/>
    <w:rsid w:val="00BA6191"/>
    <w:rsid w:val="00BA631C"/>
    <w:rsid w:val="00BA6450"/>
    <w:rsid w:val="00BA68B9"/>
    <w:rsid w:val="00BA6AC1"/>
    <w:rsid w:val="00BA6D5C"/>
    <w:rsid w:val="00BA7359"/>
    <w:rsid w:val="00BA7394"/>
    <w:rsid w:val="00BA7661"/>
    <w:rsid w:val="00BA77AB"/>
    <w:rsid w:val="00BA78F8"/>
    <w:rsid w:val="00BB02B1"/>
    <w:rsid w:val="00BB045B"/>
    <w:rsid w:val="00BB0E0C"/>
    <w:rsid w:val="00BB0F42"/>
    <w:rsid w:val="00BB12A9"/>
    <w:rsid w:val="00BB1369"/>
    <w:rsid w:val="00BB1B73"/>
    <w:rsid w:val="00BB22BD"/>
    <w:rsid w:val="00BB2444"/>
    <w:rsid w:val="00BB2A4E"/>
    <w:rsid w:val="00BB318A"/>
    <w:rsid w:val="00BB3338"/>
    <w:rsid w:val="00BB337E"/>
    <w:rsid w:val="00BB351C"/>
    <w:rsid w:val="00BB35E8"/>
    <w:rsid w:val="00BB3C7B"/>
    <w:rsid w:val="00BB44A3"/>
    <w:rsid w:val="00BB462A"/>
    <w:rsid w:val="00BB4668"/>
    <w:rsid w:val="00BB5058"/>
    <w:rsid w:val="00BB526F"/>
    <w:rsid w:val="00BB5776"/>
    <w:rsid w:val="00BB5E7E"/>
    <w:rsid w:val="00BB6138"/>
    <w:rsid w:val="00BB64F0"/>
    <w:rsid w:val="00BB65A2"/>
    <w:rsid w:val="00BB66A3"/>
    <w:rsid w:val="00BB66BF"/>
    <w:rsid w:val="00BB6754"/>
    <w:rsid w:val="00BB68B4"/>
    <w:rsid w:val="00BB69EA"/>
    <w:rsid w:val="00BB6D39"/>
    <w:rsid w:val="00BB7041"/>
    <w:rsid w:val="00BB7350"/>
    <w:rsid w:val="00BB76AD"/>
    <w:rsid w:val="00BB7BCB"/>
    <w:rsid w:val="00BB7ECD"/>
    <w:rsid w:val="00BC03A3"/>
    <w:rsid w:val="00BC070F"/>
    <w:rsid w:val="00BC0896"/>
    <w:rsid w:val="00BC092C"/>
    <w:rsid w:val="00BC0AC8"/>
    <w:rsid w:val="00BC0C98"/>
    <w:rsid w:val="00BC0E2E"/>
    <w:rsid w:val="00BC117A"/>
    <w:rsid w:val="00BC1465"/>
    <w:rsid w:val="00BC14F1"/>
    <w:rsid w:val="00BC183E"/>
    <w:rsid w:val="00BC1D24"/>
    <w:rsid w:val="00BC1F53"/>
    <w:rsid w:val="00BC24A0"/>
    <w:rsid w:val="00BC31EB"/>
    <w:rsid w:val="00BC3233"/>
    <w:rsid w:val="00BC34BC"/>
    <w:rsid w:val="00BC368B"/>
    <w:rsid w:val="00BC44E0"/>
    <w:rsid w:val="00BC48C0"/>
    <w:rsid w:val="00BC4E20"/>
    <w:rsid w:val="00BC4EAA"/>
    <w:rsid w:val="00BC4EE8"/>
    <w:rsid w:val="00BC56FB"/>
    <w:rsid w:val="00BC578E"/>
    <w:rsid w:val="00BC5A4D"/>
    <w:rsid w:val="00BC6146"/>
    <w:rsid w:val="00BC6156"/>
    <w:rsid w:val="00BC6332"/>
    <w:rsid w:val="00BC6694"/>
    <w:rsid w:val="00BC669D"/>
    <w:rsid w:val="00BC698F"/>
    <w:rsid w:val="00BC6FFE"/>
    <w:rsid w:val="00BC70AC"/>
    <w:rsid w:val="00BC736D"/>
    <w:rsid w:val="00BC755E"/>
    <w:rsid w:val="00BD0C64"/>
    <w:rsid w:val="00BD115C"/>
    <w:rsid w:val="00BD184F"/>
    <w:rsid w:val="00BD1C27"/>
    <w:rsid w:val="00BD2149"/>
    <w:rsid w:val="00BD2ED1"/>
    <w:rsid w:val="00BD3372"/>
    <w:rsid w:val="00BD33CA"/>
    <w:rsid w:val="00BD3646"/>
    <w:rsid w:val="00BD3A00"/>
    <w:rsid w:val="00BD3DA6"/>
    <w:rsid w:val="00BD3DF6"/>
    <w:rsid w:val="00BD40CA"/>
    <w:rsid w:val="00BD436D"/>
    <w:rsid w:val="00BD451D"/>
    <w:rsid w:val="00BD4B2E"/>
    <w:rsid w:val="00BD4C69"/>
    <w:rsid w:val="00BD5769"/>
    <w:rsid w:val="00BD5849"/>
    <w:rsid w:val="00BD58A7"/>
    <w:rsid w:val="00BD6104"/>
    <w:rsid w:val="00BD61A3"/>
    <w:rsid w:val="00BD64D4"/>
    <w:rsid w:val="00BD6B3B"/>
    <w:rsid w:val="00BD6B5A"/>
    <w:rsid w:val="00BD6D1E"/>
    <w:rsid w:val="00BD6F5C"/>
    <w:rsid w:val="00BD7202"/>
    <w:rsid w:val="00BD744C"/>
    <w:rsid w:val="00BD7967"/>
    <w:rsid w:val="00BD7AED"/>
    <w:rsid w:val="00BE02E8"/>
    <w:rsid w:val="00BE0B53"/>
    <w:rsid w:val="00BE0CFC"/>
    <w:rsid w:val="00BE100D"/>
    <w:rsid w:val="00BE1226"/>
    <w:rsid w:val="00BE1537"/>
    <w:rsid w:val="00BE176D"/>
    <w:rsid w:val="00BE1F82"/>
    <w:rsid w:val="00BE2206"/>
    <w:rsid w:val="00BE267E"/>
    <w:rsid w:val="00BE2729"/>
    <w:rsid w:val="00BE2F89"/>
    <w:rsid w:val="00BE30E2"/>
    <w:rsid w:val="00BE3A82"/>
    <w:rsid w:val="00BE3EC3"/>
    <w:rsid w:val="00BE41A0"/>
    <w:rsid w:val="00BE4491"/>
    <w:rsid w:val="00BE48DD"/>
    <w:rsid w:val="00BE4EC3"/>
    <w:rsid w:val="00BE59AC"/>
    <w:rsid w:val="00BE6191"/>
    <w:rsid w:val="00BE619C"/>
    <w:rsid w:val="00BE6B9D"/>
    <w:rsid w:val="00BE73F4"/>
    <w:rsid w:val="00BE7F86"/>
    <w:rsid w:val="00BF0A19"/>
    <w:rsid w:val="00BF0ACE"/>
    <w:rsid w:val="00BF0D21"/>
    <w:rsid w:val="00BF1BDF"/>
    <w:rsid w:val="00BF1C78"/>
    <w:rsid w:val="00BF25A2"/>
    <w:rsid w:val="00BF260D"/>
    <w:rsid w:val="00BF26C8"/>
    <w:rsid w:val="00BF2D77"/>
    <w:rsid w:val="00BF2F98"/>
    <w:rsid w:val="00BF339A"/>
    <w:rsid w:val="00BF3539"/>
    <w:rsid w:val="00BF3A70"/>
    <w:rsid w:val="00BF3CEB"/>
    <w:rsid w:val="00BF3DE8"/>
    <w:rsid w:val="00BF3E00"/>
    <w:rsid w:val="00BF4892"/>
    <w:rsid w:val="00BF519D"/>
    <w:rsid w:val="00BF522E"/>
    <w:rsid w:val="00BF544B"/>
    <w:rsid w:val="00BF5512"/>
    <w:rsid w:val="00BF586E"/>
    <w:rsid w:val="00BF5CD4"/>
    <w:rsid w:val="00BF5F5C"/>
    <w:rsid w:val="00BF5FAC"/>
    <w:rsid w:val="00BF6241"/>
    <w:rsid w:val="00BF736C"/>
    <w:rsid w:val="00BF74A1"/>
    <w:rsid w:val="00BF74F3"/>
    <w:rsid w:val="00BF780D"/>
    <w:rsid w:val="00BF7DD0"/>
    <w:rsid w:val="00BF7FAA"/>
    <w:rsid w:val="00C000EC"/>
    <w:rsid w:val="00C00412"/>
    <w:rsid w:val="00C00556"/>
    <w:rsid w:val="00C00BAD"/>
    <w:rsid w:val="00C00BE6"/>
    <w:rsid w:val="00C00F44"/>
    <w:rsid w:val="00C0101E"/>
    <w:rsid w:val="00C01393"/>
    <w:rsid w:val="00C014DE"/>
    <w:rsid w:val="00C01613"/>
    <w:rsid w:val="00C01964"/>
    <w:rsid w:val="00C01985"/>
    <w:rsid w:val="00C01B0E"/>
    <w:rsid w:val="00C01D60"/>
    <w:rsid w:val="00C028FA"/>
    <w:rsid w:val="00C0290F"/>
    <w:rsid w:val="00C029C6"/>
    <w:rsid w:val="00C02AC5"/>
    <w:rsid w:val="00C03833"/>
    <w:rsid w:val="00C038C3"/>
    <w:rsid w:val="00C03B76"/>
    <w:rsid w:val="00C03B77"/>
    <w:rsid w:val="00C03B80"/>
    <w:rsid w:val="00C045E9"/>
    <w:rsid w:val="00C04BFF"/>
    <w:rsid w:val="00C0509D"/>
    <w:rsid w:val="00C052F8"/>
    <w:rsid w:val="00C05C3D"/>
    <w:rsid w:val="00C06068"/>
    <w:rsid w:val="00C068D8"/>
    <w:rsid w:val="00C06C7E"/>
    <w:rsid w:val="00C07A0A"/>
    <w:rsid w:val="00C0A66A"/>
    <w:rsid w:val="00C1015E"/>
    <w:rsid w:val="00C1054C"/>
    <w:rsid w:val="00C10F30"/>
    <w:rsid w:val="00C114E4"/>
    <w:rsid w:val="00C1152E"/>
    <w:rsid w:val="00C11593"/>
    <w:rsid w:val="00C11612"/>
    <w:rsid w:val="00C11ED7"/>
    <w:rsid w:val="00C11F0B"/>
    <w:rsid w:val="00C11F99"/>
    <w:rsid w:val="00C12170"/>
    <w:rsid w:val="00C1217E"/>
    <w:rsid w:val="00C1235F"/>
    <w:rsid w:val="00C12A41"/>
    <w:rsid w:val="00C12C5F"/>
    <w:rsid w:val="00C13531"/>
    <w:rsid w:val="00C13675"/>
    <w:rsid w:val="00C13FBE"/>
    <w:rsid w:val="00C149F2"/>
    <w:rsid w:val="00C15021"/>
    <w:rsid w:val="00C15090"/>
    <w:rsid w:val="00C155F5"/>
    <w:rsid w:val="00C15629"/>
    <w:rsid w:val="00C15EF3"/>
    <w:rsid w:val="00C16279"/>
    <w:rsid w:val="00C17075"/>
    <w:rsid w:val="00C1794F"/>
    <w:rsid w:val="00C17C32"/>
    <w:rsid w:val="00C20661"/>
    <w:rsid w:val="00C20AEE"/>
    <w:rsid w:val="00C20B0D"/>
    <w:rsid w:val="00C20DF2"/>
    <w:rsid w:val="00C20E37"/>
    <w:rsid w:val="00C2138E"/>
    <w:rsid w:val="00C21DC2"/>
    <w:rsid w:val="00C21FE3"/>
    <w:rsid w:val="00C2253C"/>
    <w:rsid w:val="00C22A28"/>
    <w:rsid w:val="00C23143"/>
    <w:rsid w:val="00C23450"/>
    <w:rsid w:val="00C234AB"/>
    <w:rsid w:val="00C23548"/>
    <w:rsid w:val="00C23619"/>
    <w:rsid w:val="00C23985"/>
    <w:rsid w:val="00C25353"/>
    <w:rsid w:val="00C255C6"/>
    <w:rsid w:val="00C259FE"/>
    <w:rsid w:val="00C25F70"/>
    <w:rsid w:val="00C2667F"/>
    <w:rsid w:val="00C2695F"/>
    <w:rsid w:val="00C26B24"/>
    <w:rsid w:val="00C2777A"/>
    <w:rsid w:val="00C277AC"/>
    <w:rsid w:val="00C27C8D"/>
    <w:rsid w:val="00C30250"/>
    <w:rsid w:val="00C303D3"/>
    <w:rsid w:val="00C3069E"/>
    <w:rsid w:val="00C3083F"/>
    <w:rsid w:val="00C30888"/>
    <w:rsid w:val="00C30C4F"/>
    <w:rsid w:val="00C30E93"/>
    <w:rsid w:val="00C310DD"/>
    <w:rsid w:val="00C31A33"/>
    <w:rsid w:val="00C31B58"/>
    <w:rsid w:val="00C32567"/>
    <w:rsid w:val="00C325BD"/>
    <w:rsid w:val="00C32BD9"/>
    <w:rsid w:val="00C32D0C"/>
    <w:rsid w:val="00C3300E"/>
    <w:rsid w:val="00C33095"/>
    <w:rsid w:val="00C33124"/>
    <w:rsid w:val="00C339D0"/>
    <w:rsid w:val="00C33D79"/>
    <w:rsid w:val="00C33E9F"/>
    <w:rsid w:val="00C34939"/>
    <w:rsid w:val="00C34A3B"/>
    <w:rsid w:val="00C352D6"/>
    <w:rsid w:val="00C3536D"/>
    <w:rsid w:val="00C3553A"/>
    <w:rsid w:val="00C355E1"/>
    <w:rsid w:val="00C35649"/>
    <w:rsid w:val="00C3568A"/>
    <w:rsid w:val="00C358B1"/>
    <w:rsid w:val="00C35E25"/>
    <w:rsid w:val="00C3635E"/>
    <w:rsid w:val="00C3652D"/>
    <w:rsid w:val="00C36691"/>
    <w:rsid w:val="00C36DCE"/>
    <w:rsid w:val="00C375FD"/>
    <w:rsid w:val="00C3763E"/>
    <w:rsid w:val="00C37840"/>
    <w:rsid w:val="00C37B9B"/>
    <w:rsid w:val="00C4009C"/>
    <w:rsid w:val="00C40136"/>
    <w:rsid w:val="00C406B2"/>
    <w:rsid w:val="00C406F7"/>
    <w:rsid w:val="00C40C2D"/>
    <w:rsid w:val="00C411F9"/>
    <w:rsid w:val="00C414AC"/>
    <w:rsid w:val="00C41961"/>
    <w:rsid w:val="00C41977"/>
    <w:rsid w:val="00C419C8"/>
    <w:rsid w:val="00C41A43"/>
    <w:rsid w:val="00C41ABF"/>
    <w:rsid w:val="00C426F3"/>
    <w:rsid w:val="00C4287A"/>
    <w:rsid w:val="00C42D54"/>
    <w:rsid w:val="00C4330F"/>
    <w:rsid w:val="00C43937"/>
    <w:rsid w:val="00C43BCE"/>
    <w:rsid w:val="00C43DBF"/>
    <w:rsid w:val="00C44353"/>
    <w:rsid w:val="00C446E9"/>
    <w:rsid w:val="00C448C9"/>
    <w:rsid w:val="00C44E8C"/>
    <w:rsid w:val="00C452D7"/>
    <w:rsid w:val="00C4541F"/>
    <w:rsid w:val="00C45A8F"/>
    <w:rsid w:val="00C45ABA"/>
    <w:rsid w:val="00C4601B"/>
    <w:rsid w:val="00C4614D"/>
    <w:rsid w:val="00C46362"/>
    <w:rsid w:val="00C4662A"/>
    <w:rsid w:val="00C4684E"/>
    <w:rsid w:val="00C50376"/>
    <w:rsid w:val="00C507CE"/>
    <w:rsid w:val="00C50EC0"/>
    <w:rsid w:val="00C5109A"/>
    <w:rsid w:val="00C51D9F"/>
    <w:rsid w:val="00C5233C"/>
    <w:rsid w:val="00C5253C"/>
    <w:rsid w:val="00C530B1"/>
    <w:rsid w:val="00C53652"/>
    <w:rsid w:val="00C53806"/>
    <w:rsid w:val="00C539AF"/>
    <w:rsid w:val="00C53B7F"/>
    <w:rsid w:val="00C53BD3"/>
    <w:rsid w:val="00C53CD8"/>
    <w:rsid w:val="00C53EAC"/>
    <w:rsid w:val="00C54010"/>
    <w:rsid w:val="00C54A78"/>
    <w:rsid w:val="00C54B71"/>
    <w:rsid w:val="00C54BDE"/>
    <w:rsid w:val="00C551CA"/>
    <w:rsid w:val="00C559EF"/>
    <w:rsid w:val="00C55C57"/>
    <w:rsid w:val="00C562C2"/>
    <w:rsid w:val="00C56AEF"/>
    <w:rsid w:val="00C57124"/>
    <w:rsid w:val="00C5751A"/>
    <w:rsid w:val="00C57A77"/>
    <w:rsid w:val="00C609C4"/>
    <w:rsid w:val="00C60CCD"/>
    <w:rsid w:val="00C60D28"/>
    <w:rsid w:val="00C61077"/>
    <w:rsid w:val="00C614BE"/>
    <w:rsid w:val="00C616B0"/>
    <w:rsid w:val="00C626E7"/>
    <w:rsid w:val="00C627BA"/>
    <w:rsid w:val="00C62993"/>
    <w:rsid w:val="00C63294"/>
    <w:rsid w:val="00C63A78"/>
    <w:rsid w:val="00C64356"/>
    <w:rsid w:val="00C643DF"/>
    <w:rsid w:val="00C6545B"/>
    <w:rsid w:val="00C65571"/>
    <w:rsid w:val="00C6572A"/>
    <w:rsid w:val="00C65A51"/>
    <w:rsid w:val="00C65AD7"/>
    <w:rsid w:val="00C6646F"/>
    <w:rsid w:val="00C6657A"/>
    <w:rsid w:val="00C66885"/>
    <w:rsid w:val="00C6699D"/>
    <w:rsid w:val="00C66A85"/>
    <w:rsid w:val="00C66A8E"/>
    <w:rsid w:val="00C67406"/>
    <w:rsid w:val="00C67655"/>
    <w:rsid w:val="00C67E9C"/>
    <w:rsid w:val="00C70CC7"/>
    <w:rsid w:val="00C714EB"/>
    <w:rsid w:val="00C71571"/>
    <w:rsid w:val="00C72610"/>
    <w:rsid w:val="00C72FC6"/>
    <w:rsid w:val="00C74472"/>
    <w:rsid w:val="00C7447B"/>
    <w:rsid w:val="00C749E2"/>
    <w:rsid w:val="00C75045"/>
    <w:rsid w:val="00C752BD"/>
    <w:rsid w:val="00C75800"/>
    <w:rsid w:val="00C75885"/>
    <w:rsid w:val="00C76775"/>
    <w:rsid w:val="00C767EB"/>
    <w:rsid w:val="00C76AF1"/>
    <w:rsid w:val="00C76DF0"/>
    <w:rsid w:val="00C76F8F"/>
    <w:rsid w:val="00C77008"/>
    <w:rsid w:val="00C77049"/>
    <w:rsid w:val="00C77807"/>
    <w:rsid w:val="00C77954"/>
    <w:rsid w:val="00C77A11"/>
    <w:rsid w:val="00C77F87"/>
    <w:rsid w:val="00C8064F"/>
    <w:rsid w:val="00C80650"/>
    <w:rsid w:val="00C814E2"/>
    <w:rsid w:val="00C81886"/>
    <w:rsid w:val="00C81967"/>
    <w:rsid w:val="00C82081"/>
    <w:rsid w:val="00C82517"/>
    <w:rsid w:val="00C82BB4"/>
    <w:rsid w:val="00C830CD"/>
    <w:rsid w:val="00C838D2"/>
    <w:rsid w:val="00C83CA9"/>
    <w:rsid w:val="00C83E14"/>
    <w:rsid w:val="00C83E6B"/>
    <w:rsid w:val="00C83F01"/>
    <w:rsid w:val="00C83FAC"/>
    <w:rsid w:val="00C840EA"/>
    <w:rsid w:val="00C84121"/>
    <w:rsid w:val="00C84AA2"/>
    <w:rsid w:val="00C84B5B"/>
    <w:rsid w:val="00C854C2"/>
    <w:rsid w:val="00C854F8"/>
    <w:rsid w:val="00C85759"/>
    <w:rsid w:val="00C85A36"/>
    <w:rsid w:val="00C85CB7"/>
    <w:rsid w:val="00C85DD9"/>
    <w:rsid w:val="00C861E5"/>
    <w:rsid w:val="00C86A57"/>
    <w:rsid w:val="00C86BD1"/>
    <w:rsid w:val="00C8762C"/>
    <w:rsid w:val="00C87993"/>
    <w:rsid w:val="00C87E15"/>
    <w:rsid w:val="00C900CD"/>
    <w:rsid w:val="00C9014F"/>
    <w:rsid w:val="00C90245"/>
    <w:rsid w:val="00C918B7"/>
    <w:rsid w:val="00C91C70"/>
    <w:rsid w:val="00C92460"/>
    <w:rsid w:val="00C924EE"/>
    <w:rsid w:val="00C9258A"/>
    <w:rsid w:val="00C9273D"/>
    <w:rsid w:val="00C92960"/>
    <w:rsid w:val="00C92B8E"/>
    <w:rsid w:val="00C92BE6"/>
    <w:rsid w:val="00C932BC"/>
    <w:rsid w:val="00C93626"/>
    <w:rsid w:val="00C9371B"/>
    <w:rsid w:val="00C93FE3"/>
    <w:rsid w:val="00C9436F"/>
    <w:rsid w:val="00C948BD"/>
    <w:rsid w:val="00C94A01"/>
    <w:rsid w:val="00C94D88"/>
    <w:rsid w:val="00C9528E"/>
    <w:rsid w:val="00C95340"/>
    <w:rsid w:val="00C95484"/>
    <w:rsid w:val="00C95533"/>
    <w:rsid w:val="00C956ED"/>
    <w:rsid w:val="00C95D00"/>
    <w:rsid w:val="00C95EC0"/>
    <w:rsid w:val="00C9674B"/>
    <w:rsid w:val="00C9676C"/>
    <w:rsid w:val="00C96CC5"/>
    <w:rsid w:val="00C96E94"/>
    <w:rsid w:val="00C97190"/>
    <w:rsid w:val="00C97385"/>
    <w:rsid w:val="00C97A22"/>
    <w:rsid w:val="00C97D9E"/>
    <w:rsid w:val="00CA0081"/>
    <w:rsid w:val="00CA0C02"/>
    <w:rsid w:val="00CA0FAA"/>
    <w:rsid w:val="00CA12F1"/>
    <w:rsid w:val="00CA13EF"/>
    <w:rsid w:val="00CA16A5"/>
    <w:rsid w:val="00CA1765"/>
    <w:rsid w:val="00CA1923"/>
    <w:rsid w:val="00CA1ABE"/>
    <w:rsid w:val="00CA1B9F"/>
    <w:rsid w:val="00CA1C31"/>
    <w:rsid w:val="00CA28BC"/>
    <w:rsid w:val="00CA2BE4"/>
    <w:rsid w:val="00CA37C8"/>
    <w:rsid w:val="00CA3F1D"/>
    <w:rsid w:val="00CA4547"/>
    <w:rsid w:val="00CA4E39"/>
    <w:rsid w:val="00CA4E8A"/>
    <w:rsid w:val="00CA500F"/>
    <w:rsid w:val="00CA507E"/>
    <w:rsid w:val="00CA5613"/>
    <w:rsid w:val="00CA5AE2"/>
    <w:rsid w:val="00CA5D70"/>
    <w:rsid w:val="00CA5F37"/>
    <w:rsid w:val="00CA5F6F"/>
    <w:rsid w:val="00CA641F"/>
    <w:rsid w:val="00CA6519"/>
    <w:rsid w:val="00CA6A48"/>
    <w:rsid w:val="00CA73FE"/>
    <w:rsid w:val="00CA78D2"/>
    <w:rsid w:val="00CA7DB9"/>
    <w:rsid w:val="00CB01C4"/>
    <w:rsid w:val="00CB0697"/>
    <w:rsid w:val="00CB091C"/>
    <w:rsid w:val="00CB0A6F"/>
    <w:rsid w:val="00CB0E8D"/>
    <w:rsid w:val="00CB1363"/>
    <w:rsid w:val="00CB1385"/>
    <w:rsid w:val="00CB183C"/>
    <w:rsid w:val="00CB1A0F"/>
    <w:rsid w:val="00CB1AB0"/>
    <w:rsid w:val="00CB1F29"/>
    <w:rsid w:val="00CB2063"/>
    <w:rsid w:val="00CB207A"/>
    <w:rsid w:val="00CB278E"/>
    <w:rsid w:val="00CB2A0C"/>
    <w:rsid w:val="00CB2E77"/>
    <w:rsid w:val="00CB30B2"/>
    <w:rsid w:val="00CB31CB"/>
    <w:rsid w:val="00CB391B"/>
    <w:rsid w:val="00CB3EBE"/>
    <w:rsid w:val="00CB4396"/>
    <w:rsid w:val="00CB4424"/>
    <w:rsid w:val="00CB4707"/>
    <w:rsid w:val="00CB4B0E"/>
    <w:rsid w:val="00CB4BAE"/>
    <w:rsid w:val="00CB53B1"/>
    <w:rsid w:val="00CB5804"/>
    <w:rsid w:val="00CB5846"/>
    <w:rsid w:val="00CB5B60"/>
    <w:rsid w:val="00CB5D0D"/>
    <w:rsid w:val="00CB6BEF"/>
    <w:rsid w:val="00CB6DBF"/>
    <w:rsid w:val="00CB6F03"/>
    <w:rsid w:val="00CB6F56"/>
    <w:rsid w:val="00CB74E7"/>
    <w:rsid w:val="00CB7A43"/>
    <w:rsid w:val="00CB7F30"/>
    <w:rsid w:val="00CC10C3"/>
    <w:rsid w:val="00CC10EB"/>
    <w:rsid w:val="00CC1682"/>
    <w:rsid w:val="00CC1B26"/>
    <w:rsid w:val="00CC1BBD"/>
    <w:rsid w:val="00CC1E4B"/>
    <w:rsid w:val="00CC214E"/>
    <w:rsid w:val="00CC240D"/>
    <w:rsid w:val="00CC27C7"/>
    <w:rsid w:val="00CC2B70"/>
    <w:rsid w:val="00CC3113"/>
    <w:rsid w:val="00CC3D17"/>
    <w:rsid w:val="00CC3E02"/>
    <w:rsid w:val="00CC3FBF"/>
    <w:rsid w:val="00CC4039"/>
    <w:rsid w:val="00CC430B"/>
    <w:rsid w:val="00CC48A7"/>
    <w:rsid w:val="00CC4AA6"/>
    <w:rsid w:val="00CC4EC1"/>
    <w:rsid w:val="00CC5095"/>
    <w:rsid w:val="00CC53C3"/>
    <w:rsid w:val="00CC57EC"/>
    <w:rsid w:val="00CC589C"/>
    <w:rsid w:val="00CC5BFA"/>
    <w:rsid w:val="00CC5FA4"/>
    <w:rsid w:val="00CC63FA"/>
    <w:rsid w:val="00CC66D0"/>
    <w:rsid w:val="00CC71E4"/>
    <w:rsid w:val="00CC779D"/>
    <w:rsid w:val="00CC77AE"/>
    <w:rsid w:val="00CD01D6"/>
    <w:rsid w:val="00CD03C1"/>
    <w:rsid w:val="00CD04E5"/>
    <w:rsid w:val="00CD0638"/>
    <w:rsid w:val="00CD065E"/>
    <w:rsid w:val="00CD066C"/>
    <w:rsid w:val="00CD0739"/>
    <w:rsid w:val="00CD0BD1"/>
    <w:rsid w:val="00CD0E05"/>
    <w:rsid w:val="00CD0FCF"/>
    <w:rsid w:val="00CD12CD"/>
    <w:rsid w:val="00CD13BF"/>
    <w:rsid w:val="00CD180F"/>
    <w:rsid w:val="00CD2044"/>
    <w:rsid w:val="00CD226C"/>
    <w:rsid w:val="00CD22B5"/>
    <w:rsid w:val="00CD2400"/>
    <w:rsid w:val="00CD2F37"/>
    <w:rsid w:val="00CD3001"/>
    <w:rsid w:val="00CD30A4"/>
    <w:rsid w:val="00CD3169"/>
    <w:rsid w:val="00CD3454"/>
    <w:rsid w:val="00CD38F0"/>
    <w:rsid w:val="00CD3D25"/>
    <w:rsid w:val="00CD469B"/>
    <w:rsid w:val="00CD4989"/>
    <w:rsid w:val="00CD4BF9"/>
    <w:rsid w:val="00CD4C1E"/>
    <w:rsid w:val="00CD51A9"/>
    <w:rsid w:val="00CD5359"/>
    <w:rsid w:val="00CD54E0"/>
    <w:rsid w:val="00CD5A49"/>
    <w:rsid w:val="00CD5CB3"/>
    <w:rsid w:val="00CD6052"/>
    <w:rsid w:val="00CD6E31"/>
    <w:rsid w:val="00CD6F65"/>
    <w:rsid w:val="00CD738D"/>
    <w:rsid w:val="00CD74C8"/>
    <w:rsid w:val="00CD784E"/>
    <w:rsid w:val="00CD7B54"/>
    <w:rsid w:val="00CD7EAF"/>
    <w:rsid w:val="00CE0DCF"/>
    <w:rsid w:val="00CE11B8"/>
    <w:rsid w:val="00CE1285"/>
    <w:rsid w:val="00CE1A8A"/>
    <w:rsid w:val="00CE1ED1"/>
    <w:rsid w:val="00CE1F8C"/>
    <w:rsid w:val="00CE2661"/>
    <w:rsid w:val="00CE2C95"/>
    <w:rsid w:val="00CE35E8"/>
    <w:rsid w:val="00CE3DAB"/>
    <w:rsid w:val="00CE3E19"/>
    <w:rsid w:val="00CE3F41"/>
    <w:rsid w:val="00CE400F"/>
    <w:rsid w:val="00CE4081"/>
    <w:rsid w:val="00CE41F2"/>
    <w:rsid w:val="00CE4AD3"/>
    <w:rsid w:val="00CE4DE6"/>
    <w:rsid w:val="00CE5051"/>
    <w:rsid w:val="00CE529C"/>
    <w:rsid w:val="00CE5355"/>
    <w:rsid w:val="00CE64A4"/>
    <w:rsid w:val="00CE668E"/>
    <w:rsid w:val="00CE6EEB"/>
    <w:rsid w:val="00CE7507"/>
    <w:rsid w:val="00CE7610"/>
    <w:rsid w:val="00CE7630"/>
    <w:rsid w:val="00CE7DD5"/>
    <w:rsid w:val="00CE7DDB"/>
    <w:rsid w:val="00CE7E31"/>
    <w:rsid w:val="00CE7EFA"/>
    <w:rsid w:val="00CF0352"/>
    <w:rsid w:val="00CF04C5"/>
    <w:rsid w:val="00CF04C6"/>
    <w:rsid w:val="00CF0521"/>
    <w:rsid w:val="00CF188E"/>
    <w:rsid w:val="00CF193D"/>
    <w:rsid w:val="00CF19CC"/>
    <w:rsid w:val="00CF1A21"/>
    <w:rsid w:val="00CF1CC4"/>
    <w:rsid w:val="00CF1D25"/>
    <w:rsid w:val="00CF1D3F"/>
    <w:rsid w:val="00CF21D8"/>
    <w:rsid w:val="00CF23CB"/>
    <w:rsid w:val="00CF2FAE"/>
    <w:rsid w:val="00CF32F9"/>
    <w:rsid w:val="00CF353E"/>
    <w:rsid w:val="00CF381D"/>
    <w:rsid w:val="00CF3CC9"/>
    <w:rsid w:val="00CF3E46"/>
    <w:rsid w:val="00CF3E8A"/>
    <w:rsid w:val="00CF3EA9"/>
    <w:rsid w:val="00CF4693"/>
    <w:rsid w:val="00CF50A9"/>
    <w:rsid w:val="00CF55E2"/>
    <w:rsid w:val="00CF64F0"/>
    <w:rsid w:val="00CF65B5"/>
    <w:rsid w:val="00CF66B3"/>
    <w:rsid w:val="00CF6ECB"/>
    <w:rsid w:val="00CF70D2"/>
    <w:rsid w:val="00CF7632"/>
    <w:rsid w:val="00CF77DE"/>
    <w:rsid w:val="00CF7FEC"/>
    <w:rsid w:val="00D0028C"/>
    <w:rsid w:val="00D004BF"/>
    <w:rsid w:val="00D005DE"/>
    <w:rsid w:val="00D00CE1"/>
    <w:rsid w:val="00D01351"/>
    <w:rsid w:val="00D017DC"/>
    <w:rsid w:val="00D01F4F"/>
    <w:rsid w:val="00D0297F"/>
    <w:rsid w:val="00D03429"/>
    <w:rsid w:val="00D03582"/>
    <w:rsid w:val="00D03735"/>
    <w:rsid w:val="00D037E2"/>
    <w:rsid w:val="00D038A2"/>
    <w:rsid w:val="00D03B1B"/>
    <w:rsid w:val="00D0482D"/>
    <w:rsid w:val="00D04D4B"/>
    <w:rsid w:val="00D05BB3"/>
    <w:rsid w:val="00D05DA1"/>
    <w:rsid w:val="00D05FBF"/>
    <w:rsid w:val="00D0609F"/>
    <w:rsid w:val="00D064C7"/>
    <w:rsid w:val="00D0656F"/>
    <w:rsid w:val="00D069AD"/>
    <w:rsid w:val="00D069D0"/>
    <w:rsid w:val="00D06E90"/>
    <w:rsid w:val="00D07D0C"/>
    <w:rsid w:val="00D07D25"/>
    <w:rsid w:val="00D10000"/>
    <w:rsid w:val="00D10646"/>
    <w:rsid w:val="00D115CA"/>
    <w:rsid w:val="00D11C5D"/>
    <w:rsid w:val="00D121CC"/>
    <w:rsid w:val="00D12354"/>
    <w:rsid w:val="00D12849"/>
    <w:rsid w:val="00D130BD"/>
    <w:rsid w:val="00D13CFF"/>
    <w:rsid w:val="00D14889"/>
    <w:rsid w:val="00D1499A"/>
    <w:rsid w:val="00D158EF"/>
    <w:rsid w:val="00D15CE0"/>
    <w:rsid w:val="00D15D83"/>
    <w:rsid w:val="00D16DF4"/>
    <w:rsid w:val="00D1739C"/>
    <w:rsid w:val="00D17A9D"/>
    <w:rsid w:val="00D204A0"/>
    <w:rsid w:val="00D2062F"/>
    <w:rsid w:val="00D2084D"/>
    <w:rsid w:val="00D20A20"/>
    <w:rsid w:val="00D20A31"/>
    <w:rsid w:val="00D20C0D"/>
    <w:rsid w:val="00D20CD8"/>
    <w:rsid w:val="00D213FA"/>
    <w:rsid w:val="00D21489"/>
    <w:rsid w:val="00D215F6"/>
    <w:rsid w:val="00D21870"/>
    <w:rsid w:val="00D21923"/>
    <w:rsid w:val="00D2193B"/>
    <w:rsid w:val="00D21AE5"/>
    <w:rsid w:val="00D221DE"/>
    <w:rsid w:val="00D22378"/>
    <w:rsid w:val="00D22468"/>
    <w:rsid w:val="00D22877"/>
    <w:rsid w:val="00D229D3"/>
    <w:rsid w:val="00D2307A"/>
    <w:rsid w:val="00D235FC"/>
    <w:rsid w:val="00D23D99"/>
    <w:rsid w:val="00D2448C"/>
    <w:rsid w:val="00D24626"/>
    <w:rsid w:val="00D25060"/>
    <w:rsid w:val="00D2571D"/>
    <w:rsid w:val="00D2579F"/>
    <w:rsid w:val="00D25E6B"/>
    <w:rsid w:val="00D262B1"/>
    <w:rsid w:val="00D269CE"/>
    <w:rsid w:val="00D26A51"/>
    <w:rsid w:val="00D26A83"/>
    <w:rsid w:val="00D26B09"/>
    <w:rsid w:val="00D26C04"/>
    <w:rsid w:val="00D27D56"/>
    <w:rsid w:val="00D27E81"/>
    <w:rsid w:val="00D30BDB"/>
    <w:rsid w:val="00D3156E"/>
    <w:rsid w:val="00D316C5"/>
    <w:rsid w:val="00D31BE5"/>
    <w:rsid w:val="00D31E9C"/>
    <w:rsid w:val="00D321CB"/>
    <w:rsid w:val="00D324DA"/>
    <w:rsid w:val="00D3280B"/>
    <w:rsid w:val="00D330C1"/>
    <w:rsid w:val="00D33406"/>
    <w:rsid w:val="00D33969"/>
    <w:rsid w:val="00D33E9A"/>
    <w:rsid w:val="00D342D6"/>
    <w:rsid w:val="00D3488F"/>
    <w:rsid w:val="00D34B3A"/>
    <w:rsid w:val="00D34C27"/>
    <w:rsid w:val="00D353C1"/>
    <w:rsid w:val="00D35982"/>
    <w:rsid w:val="00D35C8E"/>
    <w:rsid w:val="00D363C9"/>
    <w:rsid w:val="00D3659E"/>
    <w:rsid w:val="00D36827"/>
    <w:rsid w:val="00D36AD0"/>
    <w:rsid w:val="00D37041"/>
    <w:rsid w:val="00D37132"/>
    <w:rsid w:val="00D4007B"/>
    <w:rsid w:val="00D403D5"/>
    <w:rsid w:val="00D40B62"/>
    <w:rsid w:val="00D40B8B"/>
    <w:rsid w:val="00D40C96"/>
    <w:rsid w:val="00D40CB4"/>
    <w:rsid w:val="00D40D5E"/>
    <w:rsid w:val="00D41AAC"/>
    <w:rsid w:val="00D41B87"/>
    <w:rsid w:val="00D41E61"/>
    <w:rsid w:val="00D420D9"/>
    <w:rsid w:val="00D42299"/>
    <w:rsid w:val="00D428CE"/>
    <w:rsid w:val="00D429A1"/>
    <w:rsid w:val="00D42D12"/>
    <w:rsid w:val="00D43165"/>
    <w:rsid w:val="00D4395A"/>
    <w:rsid w:val="00D43B52"/>
    <w:rsid w:val="00D440A0"/>
    <w:rsid w:val="00D4468E"/>
    <w:rsid w:val="00D446D0"/>
    <w:rsid w:val="00D4474B"/>
    <w:rsid w:val="00D44B68"/>
    <w:rsid w:val="00D45BFB"/>
    <w:rsid w:val="00D45C92"/>
    <w:rsid w:val="00D45EF6"/>
    <w:rsid w:val="00D46092"/>
    <w:rsid w:val="00D46507"/>
    <w:rsid w:val="00D46E66"/>
    <w:rsid w:val="00D4760B"/>
    <w:rsid w:val="00D47E3F"/>
    <w:rsid w:val="00D501E2"/>
    <w:rsid w:val="00D50249"/>
    <w:rsid w:val="00D5037E"/>
    <w:rsid w:val="00D50455"/>
    <w:rsid w:val="00D5059C"/>
    <w:rsid w:val="00D50751"/>
    <w:rsid w:val="00D50CC8"/>
    <w:rsid w:val="00D50F0A"/>
    <w:rsid w:val="00D51085"/>
    <w:rsid w:val="00D51464"/>
    <w:rsid w:val="00D51F3C"/>
    <w:rsid w:val="00D52C7E"/>
    <w:rsid w:val="00D53EEB"/>
    <w:rsid w:val="00D53F57"/>
    <w:rsid w:val="00D540C7"/>
    <w:rsid w:val="00D546E1"/>
    <w:rsid w:val="00D54B9C"/>
    <w:rsid w:val="00D54D75"/>
    <w:rsid w:val="00D54FE6"/>
    <w:rsid w:val="00D54FF6"/>
    <w:rsid w:val="00D550D4"/>
    <w:rsid w:val="00D55506"/>
    <w:rsid w:val="00D55AAA"/>
    <w:rsid w:val="00D55F9E"/>
    <w:rsid w:val="00D5613C"/>
    <w:rsid w:val="00D569CA"/>
    <w:rsid w:val="00D56D12"/>
    <w:rsid w:val="00D56D95"/>
    <w:rsid w:val="00D56F18"/>
    <w:rsid w:val="00D56FFE"/>
    <w:rsid w:val="00D5720B"/>
    <w:rsid w:val="00D575ED"/>
    <w:rsid w:val="00D57F1A"/>
    <w:rsid w:val="00D60713"/>
    <w:rsid w:val="00D610B2"/>
    <w:rsid w:val="00D61394"/>
    <w:rsid w:val="00D61BD2"/>
    <w:rsid w:val="00D61EC4"/>
    <w:rsid w:val="00D6224A"/>
    <w:rsid w:val="00D62697"/>
    <w:rsid w:val="00D62892"/>
    <w:rsid w:val="00D63305"/>
    <w:rsid w:val="00D6365C"/>
    <w:rsid w:val="00D63807"/>
    <w:rsid w:val="00D64511"/>
    <w:rsid w:val="00D64789"/>
    <w:rsid w:val="00D64924"/>
    <w:rsid w:val="00D64D67"/>
    <w:rsid w:val="00D6527E"/>
    <w:rsid w:val="00D6528B"/>
    <w:rsid w:val="00D65651"/>
    <w:rsid w:val="00D6598A"/>
    <w:rsid w:val="00D65A97"/>
    <w:rsid w:val="00D65C1D"/>
    <w:rsid w:val="00D65DA4"/>
    <w:rsid w:val="00D660BD"/>
    <w:rsid w:val="00D66EDB"/>
    <w:rsid w:val="00D67278"/>
    <w:rsid w:val="00D674D6"/>
    <w:rsid w:val="00D676EB"/>
    <w:rsid w:val="00D6795E"/>
    <w:rsid w:val="00D70373"/>
    <w:rsid w:val="00D7079E"/>
    <w:rsid w:val="00D71581"/>
    <w:rsid w:val="00D719F3"/>
    <w:rsid w:val="00D71AB9"/>
    <w:rsid w:val="00D71B6E"/>
    <w:rsid w:val="00D71FE1"/>
    <w:rsid w:val="00D7238F"/>
    <w:rsid w:val="00D724B5"/>
    <w:rsid w:val="00D72813"/>
    <w:rsid w:val="00D72BC3"/>
    <w:rsid w:val="00D72D35"/>
    <w:rsid w:val="00D72E1B"/>
    <w:rsid w:val="00D72EF1"/>
    <w:rsid w:val="00D72FCB"/>
    <w:rsid w:val="00D731B5"/>
    <w:rsid w:val="00D73282"/>
    <w:rsid w:val="00D73298"/>
    <w:rsid w:val="00D73356"/>
    <w:rsid w:val="00D73783"/>
    <w:rsid w:val="00D737BA"/>
    <w:rsid w:val="00D73B68"/>
    <w:rsid w:val="00D73CFE"/>
    <w:rsid w:val="00D7421C"/>
    <w:rsid w:val="00D74339"/>
    <w:rsid w:val="00D74363"/>
    <w:rsid w:val="00D7460E"/>
    <w:rsid w:val="00D75140"/>
    <w:rsid w:val="00D752DB"/>
    <w:rsid w:val="00D75336"/>
    <w:rsid w:val="00D75AE4"/>
    <w:rsid w:val="00D75E6B"/>
    <w:rsid w:val="00D76A49"/>
    <w:rsid w:val="00D76E47"/>
    <w:rsid w:val="00D7704E"/>
    <w:rsid w:val="00D77236"/>
    <w:rsid w:val="00D775B6"/>
    <w:rsid w:val="00D77608"/>
    <w:rsid w:val="00D77964"/>
    <w:rsid w:val="00D77B5A"/>
    <w:rsid w:val="00D77BC1"/>
    <w:rsid w:val="00D77CBE"/>
    <w:rsid w:val="00D8003F"/>
    <w:rsid w:val="00D8005F"/>
    <w:rsid w:val="00D8027A"/>
    <w:rsid w:val="00D805B2"/>
    <w:rsid w:val="00D80C9E"/>
    <w:rsid w:val="00D80CC8"/>
    <w:rsid w:val="00D810CB"/>
    <w:rsid w:val="00D81304"/>
    <w:rsid w:val="00D814A2"/>
    <w:rsid w:val="00D81DC6"/>
    <w:rsid w:val="00D82235"/>
    <w:rsid w:val="00D824AE"/>
    <w:rsid w:val="00D83055"/>
    <w:rsid w:val="00D833ED"/>
    <w:rsid w:val="00D83679"/>
    <w:rsid w:val="00D84572"/>
    <w:rsid w:val="00D8469A"/>
    <w:rsid w:val="00D84B79"/>
    <w:rsid w:val="00D85116"/>
    <w:rsid w:val="00D85541"/>
    <w:rsid w:val="00D85C97"/>
    <w:rsid w:val="00D85D0D"/>
    <w:rsid w:val="00D85F2F"/>
    <w:rsid w:val="00D85F3B"/>
    <w:rsid w:val="00D8637B"/>
    <w:rsid w:val="00D8641C"/>
    <w:rsid w:val="00D86468"/>
    <w:rsid w:val="00D86C70"/>
    <w:rsid w:val="00D87960"/>
    <w:rsid w:val="00D87FC9"/>
    <w:rsid w:val="00D87FDF"/>
    <w:rsid w:val="00D87FE2"/>
    <w:rsid w:val="00D90481"/>
    <w:rsid w:val="00D90DC5"/>
    <w:rsid w:val="00D910A7"/>
    <w:rsid w:val="00D912DE"/>
    <w:rsid w:val="00D913AD"/>
    <w:rsid w:val="00D91445"/>
    <w:rsid w:val="00D91807"/>
    <w:rsid w:val="00D91814"/>
    <w:rsid w:val="00D9203A"/>
    <w:rsid w:val="00D921EC"/>
    <w:rsid w:val="00D92ABB"/>
    <w:rsid w:val="00D92C9E"/>
    <w:rsid w:val="00D92E1D"/>
    <w:rsid w:val="00D92FC0"/>
    <w:rsid w:val="00D930BD"/>
    <w:rsid w:val="00D933C0"/>
    <w:rsid w:val="00D93427"/>
    <w:rsid w:val="00D93597"/>
    <w:rsid w:val="00D93868"/>
    <w:rsid w:val="00D93C25"/>
    <w:rsid w:val="00D9402D"/>
    <w:rsid w:val="00D94042"/>
    <w:rsid w:val="00D948F2"/>
    <w:rsid w:val="00D94ABE"/>
    <w:rsid w:val="00D953E2"/>
    <w:rsid w:val="00D95892"/>
    <w:rsid w:val="00D95E74"/>
    <w:rsid w:val="00D9611D"/>
    <w:rsid w:val="00D96795"/>
    <w:rsid w:val="00D96D41"/>
    <w:rsid w:val="00D96FF9"/>
    <w:rsid w:val="00D97002"/>
    <w:rsid w:val="00D973A4"/>
    <w:rsid w:val="00D97B78"/>
    <w:rsid w:val="00D97D37"/>
    <w:rsid w:val="00DA09C9"/>
    <w:rsid w:val="00DA0ABA"/>
    <w:rsid w:val="00DA21C3"/>
    <w:rsid w:val="00DA2281"/>
    <w:rsid w:val="00DA2852"/>
    <w:rsid w:val="00DA2C97"/>
    <w:rsid w:val="00DA2CE2"/>
    <w:rsid w:val="00DA3189"/>
    <w:rsid w:val="00DA3567"/>
    <w:rsid w:val="00DA3625"/>
    <w:rsid w:val="00DA36D8"/>
    <w:rsid w:val="00DA385B"/>
    <w:rsid w:val="00DA3B74"/>
    <w:rsid w:val="00DA3DFC"/>
    <w:rsid w:val="00DA3EC6"/>
    <w:rsid w:val="00DA4029"/>
    <w:rsid w:val="00DA44E0"/>
    <w:rsid w:val="00DA455F"/>
    <w:rsid w:val="00DA45FA"/>
    <w:rsid w:val="00DA487C"/>
    <w:rsid w:val="00DA4A94"/>
    <w:rsid w:val="00DA5155"/>
    <w:rsid w:val="00DA5FA5"/>
    <w:rsid w:val="00DA6680"/>
    <w:rsid w:val="00DA6755"/>
    <w:rsid w:val="00DA718A"/>
    <w:rsid w:val="00DA744D"/>
    <w:rsid w:val="00DA756B"/>
    <w:rsid w:val="00DA76CC"/>
    <w:rsid w:val="00DA7734"/>
    <w:rsid w:val="00DA7ECE"/>
    <w:rsid w:val="00DB016E"/>
    <w:rsid w:val="00DB1969"/>
    <w:rsid w:val="00DB1B6C"/>
    <w:rsid w:val="00DB1B78"/>
    <w:rsid w:val="00DB2DB1"/>
    <w:rsid w:val="00DB347A"/>
    <w:rsid w:val="00DB35C4"/>
    <w:rsid w:val="00DB3B69"/>
    <w:rsid w:val="00DB3EC6"/>
    <w:rsid w:val="00DB45AF"/>
    <w:rsid w:val="00DB4789"/>
    <w:rsid w:val="00DB493B"/>
    <w:rsid w:val="00DB4AE0"/>
    <w:rsid w:val="00DB523E"/>
    <w:rsid w:val="00DB5525"/>
    <w:rsid w:val="00DB557A"/>
    <w:rsid w:val="00DB565E"/>
    <w:rsid w:val="00DB5917"/>
    <w:rsid w:val="00DB5C39"/>
    <w:rsid w:val="00DB5E21"/>
    <w:rsid w:val="00DB6B16"/>
    <w:rsid w:val="00DB6B91"/>
    <w:rsid w:val="00DB6D39"/>
    <w:rsid w:val="00DB6F75"/>
    <w:rsid w:val="00DB6FA8"/>
    <w:rsid w:val="00DB6FF3"/>
    <w:rsid w:val="00DB7003"/>
    <w:rsid w:val="00DB7237"/>
    <w:rsid w:val="00DB7630"/>
    <w:rsid w:val="00DB7DFF"/>
    <w:rsid w:val="00DC06C9"/>
    <w:rsid w:val="00DC07E7"/>
    <w:rsid w:val="00DC088C"/>
    <w:rsid w:val="00DC0FA7"/>
    <w:rsid w:val="00DC167A"/>
    <w:rsid w:val="00DC1FF9"/>
    <w:rsid w:val="00DC20AF"/>
    <w:rsid w:val="00DC240E"/>
    <w:rsid w:val="00DC27AF"/>
    <w:rsid w:val="00DC2866"/>
    <w:rsid w:val="00DC2919"/>
    <w:rsid w:val="00DC2A82"/>
    <w:rsid w:val="00DC2B28"/>
    <w:rsid w:val="00DC2CBF"/>
    <w:rsid w:val="00DC3946"/>
    <w:rsid w:val="00DC3A45"/>
    <w:rsid w:val="00DC3AAB"/>
    <w:rsid w:val="00DC40F5"/>
    <w:rsid w:val="00DC44AA"/>
    <w:rsid w:val="00DC4601"/>
    <w:rsid w:val="00DC4677"/>
    <w:rsid w:val="00DC46BF"/>
    <w:rsid w:val="00DC51C7"/>
    <w:rsid w:val="00DC52CF"/>
    <w:rsid w:val="00DC55EB"/>
    <w:rsid w:val="00DC5630"/>
    <w:rsid w:val="00DC5A59"/>
    <w:rsid w:val="00DC6A6B"/>
    <w:rsid w:val="00DC6CB4"/>
    <w:rsid w:val="00DC74A4"/>
    <w:rsid w:val="00DC7577"/>
    <w:rsid w:val="00DC7BA7"/>
    <w:rsid w:val="00DD039C"/>
    <w:rsid w:val="00DD08B4"/>
    <w:rsid w:val="00DD0C1A"/>
    <w:rsid w:val="00DD0DFF"/>
    <w:rsid w:val="00DD0E48"/>
    <w:rsid w:val="00DD10A6"/>
    <w:rsid w:val="00DD10C9"/>
    <w:rsid w:val="00DD16C2"/>
    <w:rsid w:val="00DD18DA"/>
    <w:rsid w:val="00DD1C3E"/>
    <w:rsid w:val="00DD2130"/>
    <w:rsid w:val="00DD2139"/>
    <w:rsid w:val="00DD226F"/>
    <w:rsid w:val="00DD2562"/>
    <w:rsid w:val="00DD26C5"/>
    <w:rsid w:val="00DD3081"/>
    <w:rsid w:val="00DD3137"/>
    <w:rsid w:val="00DD373C"/>
    <w:rsid w:val="00DD379A"/>
    <w:rsid w:val="00DD3D37"/>
    <w:rsid w:val="00DD3DD6"/>
    <w:rsid w:val="00DD41E9"/>
    <w:rsid w:val="00DD434F"/>
    <w:rsid w:val="00DD466C"/>
    <w:rsid w:val="00DD4C6C"/>
    <w:rsid w:val="00DD507A"/>
    <w:rsid w:val="00DD539B"/>
    <w:rsid w:val="00DD5DCB"/>
    <w:rsid w:val="00DD67F4"/>
    <w:rsid w:val="00DD6A95"/>
    <w:rsid w:val="00DD6AC8"/>
    <w:rsid w:val="00DD6C77"/>
    <w:rsid w:val="00DD6C92"/>
    <w:rsid w:val="00DD7614"/>
    <w:rsid w:val="00DD7B74"/>
    <w:rsid w:val="00DD7C77"/>
    <w:rsid w:val="00DE023F"/>
    <w:rsid w:val="00DE0595"/>
    <w:rsid w:val="00DE0CA2"/>
    <w:rsid w:val="00DE1CFC"/>
    <w:rsid w:val="00DE2107"/>
    <w:rsid w:val="00DE21BD"/>
    <w:rsid w:val="00DE23A4"/>
    <w:rsid w:val="00DE244F"/>
    <w:rsid w:val="00DE3373"/>
    <w:rsid w:val="00DE3CA6"/>
    <w:rsid w:val="00DE411B"/>
    <w:rsid w:val="00DE4253"/>
    <w:rsid w:val="00DE43C9"/>
    <w:rsid w:val="00DE46AB"/>
    <w:rsid w:val="00DE4863"/>
    <w:rsid w:val="00DE5267"/>
    <w:rsid w:val="00DE5664"/>
    <w:rsid w:val="00DE592C"/>
    <w:rsid w:val="00DE5DC6"/>
    <w:rsid w:val="00DE6194"/>
    <w:rsid w:val="00DE69B1"/>
    <w:rsid w:val="00DE6A26"/>
    <w:rsid w:val="00DE706B"/>
    <w:rsid w:val="00DE70D3"/>
    <w:rsid w:val="00DE762C"/>
    <w:rsid w:val="00DE7855"/>
    <w:rsid w:val="00DE7C91"/>
    <w:rsid w:val="00DF04C8"/>
    <w:rsid w:val="00DF057F"/>
    <w:rsid w:val="00DF0A05"/>
    <w:rsid w:val="00DF0F61"/>
    <w:rsid w:val="00DF0FB0"/>
    <w:rsid w:val="00DF1715"/>
    <w:rsid w:val="00DF17F4"/>
    <w:rsid w:val="00DF1F78"/>
    <w:rsid w:val="00DF21C4"/>
    <w:rsid w:val="00DF2C15"/>
    <w:rsid w:val="00DF368B"/>
    <w:rsid w:val="00DF3C37"/>
    <w:rsid w:val="00DF4190"/>
    <w:rsid w:val="00DF42E0"/>
    <w:rsid w:val="00DF4388"/>
    <w:rsid w:val="00DF44BA"/>
    <w:rsid w:val="00DF4519"/>
    <w:rsid w:val="00DF4813"/>
    <w:rsid w:val="00DF4BB4"/>
    <w:rsid w:val="00DF5275"/>
    <w:rsid w:val="00DF540A"/>
    <w:rsid w:val="00DF5C27"/>
    <w:rsid w:val="00DF665B"/>
    <w:rsid w:val="00DF6681"/>
    <w:rsid w:val="00DF66C2"/>
    <w:rsid w:val="00DF67DC"/>
    <w:rsid w:val="00DF693D"/>
    <w:rsid w:val="00DF69A2"/>
    <w:rsid w:val="00DF69EF"/>
    <w:rsid w:val="00DF6A6F"/>
    <w:rsid w:val="00DF6AFE"/>
    <w:rsid w:val="00DF6E0E"/>
    <w:rsid w:val="00DF70E1"/>
    <w:rsid w:val="00DF711A"/>
    <w:rsid w:val="00DF77F4"/>
    <w:rsid w:val="00DF79C4"/>
    <w:rsid w:val="00DF7F78"/>
    <w:rsid w:val="00E00226"/>
    <w:rsid w:val="00E00347"/>
    <w:rsid w:val="00E006CA"/>
    <w:rsid w:val="00E00D74"/>
    <w:rsid w:val="00E010A7"/>
    <w:rsid w:val="00E013A9"/>
    <w:rsid w:val="00E0165B"/>
    <w:rsid w:val="00E01D5C"/>
    <w:rsid w:val="00E01FCC"/>
    <w:rsid w:val="00E0226B"/>
    <w:rsid w:val="00E02D1A"/>
    <w:rsid w:val="00E02DA7"/>
    <w:rsid w:val="00E02E86"/>
    <w:rsid w:val="00E033AB"/>
    <w:rsid w:val="00E038E5"/>
    <w:rsid w:val="00E039D0"/>
    <w:rsid w:val="00E04802"/>
    <w:rsid w:val="00E049FA"/>
    <w:rsid w:val="00E0531A"/>
    <w:rsid w:val="00E0579A"/>
    <w:rsid w:val="00E05825"/>
    <w:rsid w:val="00E05845"/>
    <w:rsid w:val="00E060C8"/>
    <w:rsid w:val="00E0610A"/>
    <w:rsid w:val="00E06A08"/>
    <w:rsid w:val="00E06EE2"/>
    <w:rsid w:val="00E0710D"/>
    <w:rsid w:val="00E07250"/>
    <w:rsid w:val="00E0731D"/>
    <w:rsid w:val="00E07366"/>
    <w:rsid w:val="00E07443"/>
    <w:rsid w:val="00E07637"/>
    <w:rsid w:val="00E07D95"/>
    <w:rsid w:val="00E07EC0"/>
    <w:rsid w:val="00E1004F"/>
    <w:rsid w:val="00E10332"/>
    <w:rsid w:val="00E10BE3"/>
    <w:rsid w:val="00E10E8A"/>
    <w:rsid w:val="00E112F7"/>
    <w:rsid w:val="00E11773"/>
    <w:rsid w:val="00E12012"/>
    <w:rsid w:val="00E125D4"/>
    <w:rsid w:val="00E12DEE"/>
    <w:rsid w:val="00E13274"/>
    <w:rsid w:val="00E13500"/>
    <w:rsid w:val="00E137E8"/>
    <w:rsid w:val="00E13E4A"/>
    <w:rsid w:val="00E1444C"/>
    <w:rsid w:val="00E14599"/>
    <w:rsid w:val="00E14764"/>
    <w:rsid w:val="00E14900"/>
    <w:rsid w:val="00E14DBD"/>
    <w:rsid w:val="00E14F1A"/>
    <w:rsid w:val="00E151AA"/>
    <w:rsid w:val="00E153F5"/>
    <w:rsid w:val="00E15778"/>
    <w:rsid w:val="00E15A27"/>
    <w:rsid w:val="00E15A67"/>
    <w:rsid w:val="00E15EA6"/>
    <w:rsid w:val="00E163BA"/>
    <w:rsid w:val="00E165DF"/>
    <w:rsid w:val="00E16A25"/>
    <w:rsid w:val="00E16BDE"/>
    <w:rsid w:val="00E16F79"/>
    <w:rsid w:val="00E1729C"/>
    <w:rsid w:val="00E17859"/>
    <w:rsid w:val="00E17C89"/>
    <w:rsid w:val="00E2028C"/>
    <w:rsid w:val="00E20664"/>
    <w:rsid w:val="00E20848"/>
    <w:rsid w:val="00E2088F"/>
    <w:rsid w:val="00E20A54"/>
    <w:rsid w:val="00E212DF"/>
    <w:rsid w:val="00E21B53"/>
    <w:rsid w:val="00E21BBC"/>
    <w:rsid w:val="00E21C37"/>
    <w:rsid w:val="00E21FDF"/>
    <w:rsid w:val="00E22136"/>
    <w:rsid w:val="00E2217D"/>
    <w:rsid w:val="00E22A08"/>
    <w:rsid w:val="00E22B48"/>
    <w:rsid w:val="00E23354"/>
    <w:rsid w:val="00E23A01"/>
    <w:rsid w:val="00E23B7C"/>
    <w:rsid w:val="00E23DC2"/>
    <w:rsid w:val="00E23F78"/>
    <w:rsid w:val="00E24135"/>
    <w:rsid w:val="00E246E9"/>
    <w:rsid w:val="00E24A90"/>
    <w:rsid w:val="00E24BBF"/>
    <w:rsid w:val="00E24FB0"/>
    <w:rsid w:val="00E24FB9"/>
    <w:rsid w:val="00E25304"/>
    <w:rsid w:val="00E25732"/>
    <w:rsid w:val="00E25B83"/>
    <w:rsid w:val="00E264EC"/>
    <w:rsid w:val="00E26864"/>
    <w:rsid w:val="00E26A05"/>
    <w:rsid w:val="00E26FC9"/>
    <w:rsid w:val="00E2736F"/>
    <w:rsid w:val="00E27B8F"/>
    <w:rsid w:val="00E27EA3"/>
    <w:rsid w:val="00E304A2"/>
    <w:rsid w:val="00E304B9"/>
    <w:rsid w:val="00E30648"/>
    <w:rsid w:val="00E30B32"/>
    <w:rsid w:val="00E30EA0"/>
    <w:rsid w:val="00E312CC"/>
    <w:rsid w:val="00E318A4"/>
    <w:rsid w:val="00E31C4C"/>
    <w:rsid w:val="00E31E5E"/>
    <w:rsid w:val="00E32196"/>
    <w:rsid w:val="00E327C6"/>
    <w:rsid w:val="00E32E46"/>
    <w:rsid w:val="00E33286"/>
    <w:rsid w:val="00E33624"/>
    <w:rsid w:val="00E34C1F"/>
    <w:rsid w:val="00E34C27"/>
    <w:rsid w:val="00E353AC"/>
    <w:rsid w:val="00E3597F"/>
    <w:rsid w:val="00E35CD3"/>
    <w:rsid w:val="00E36346"/>
    <w:rsid w:val="00E36A05"/>
    <w:rsid w:val="00E3735C"/>
    <w:rsid w:val="00E379A4"/>
    <w:rsid w:val="00E37CEB"/>
    <w:rsid w:val="00E402D5"/>
    <w:rsid w:val="00E40C88"/>
    <w:rsid w:val="00E40CFC"/>
    <w:rsid w:val="00E40D8A"/>
    <w:rsid w:val="00E41074"/>
    <w:rsid w:val="00E4124E"/>
    <w:rsid w:val="00E41B2F"/>
    <w:rsid w:val="00E41FD3"/>
    <w:rsid w:val="00E4200A"/>
    <w:rsid w:val="00E4277E"/>
    <w:rsid w:val="00E42D69"/>
    <w:rsid w:val="00E42EA5"/>
    <w:rsid w:val="00E432B8"/>
    <w:rsid w:val="00E4386C"/>
    <w:rsid w:val="00E43F0F"/>
    <w:rsid w:val="00E44296"/>
    <w:rsid w:val="00E44873"/>
    <w:rsid w:val="00E448EC"/>
    <w:rsid w:val="00E44AD1"/>
    <w:rsid w:val="00E44CE9"/>
    <w:rsid w:val="00E44EE7"/>
    <w:rsid w:val="00E450FC"/>
    <w:rsid w:val="00E45910"/>
    <w:rsid w:val="00E45ACE"/>
    <w:rsid w:val="00E45DCD"/>
    <w:rsid w:val="00E4607B"/>
    <w:rsid w:val="00E46427"/>
    <w:rsid w:val="00E46926"/>
    <w:rsid w:val="00E46E92"/>
    <w:rsid w:val="00E4703D"/>
    <w:rsid w:val="00E47199"/>
    <w:rsid w:val="00E47A9E"/>
    <w:rsid w:val="00E47EFD"/>
    <w:rsid w:val="00E502BC"/>
    <w:rsid w:val="00E51063"/>
    <w:rsid w:val="00E51289"/>
    <w:rsid w:val="00E5181F"/>
    <w:rsid w:val="00E51AE1"/>
    <w:rsid w:val="00E5237D"/>
    <w:rsid w:val="00E52601"/>
    <w:rsid w:val="00E526E9"/>
    <w:rsid w:val="00E52B49"/>
    <w:rsid w:val="00E52F33"/>
    <w:rsid w:val="00E52F41"/>
    <w:rsid w:val="00E53823"/>
    <w:rsid w:val="00E53A98"/>
    <w:rsid w:val="00E53ACD"/>
    <w:rsid w:val="00E54190"/>
    <w:rsid w:val="00E542E8"/>
    <w:rsid w:val="00E5447F"/>
    <w:rsid w:val="00E54938"/>
    <w:rsid w:val="00E54BB4"/>
    <w:rsid w:val="00E550D0"/>
    <w:rsid w:val="00E5512A"/>
    <w:rsid w:val="00E55351"/>
    <w:rsid w:val="00E55439"/>
    <w:rsid w:val="00E556F0"/>
    <w:rsid w:val="00E56552"/>
    <w:rsid w:val="00E570CB"/>
    <w:rsid w:val="00E5732B"/>
    <w:rsid w:val="00E578C1"/>
    <w:rsid w:val="00E57EA4"/>
    <w:rsid w:val="00E601F8"/>
    <w:rsid w:val="00E6021F"/>
    <w:rsid w:val="00E604ED"/>
    <w:rsid w:val="00E60A44"/>
    <w:rsid w:val="00E60E8E"/>
    <w:rsid w:val="00E61411"/>
    <w:rsid w:val="00E61705"/>
    <w:rsid w:val="00E617BB"/>
    <w:rsid w:val="00E619B6"/>
    <w:rsid w:val="00E61B88"/>
    <w:rsid w:val="00E61C0F"/>
    <w:rsid w:val="00E61C10"/>
    <w:rsid w:val="00E63998"/>
    <w:rsid w:val="00E63F6A"/>
    <w:rsid w:val="00E6431A"/>
    <w:rsid w:val="00E64495"/>
    <w:rsid w:val="00E649F0"/>
    <w:rsid w:val="00E64B01"/>
    <w:rsid w:val="00E64B79"/>
    <w:rsid w:val="00E6519A"/>
    <w:rsid w:val="00E658FE"/>
    <w:rsid w:val="00E65F5A"/>
    <w:rsid w:val="00E66545"/>
    <w:rsid w:val="00E66BA5"/>
    <w:rsid w:val="00E66BCF"/>
    <w:rsid w:val="00E67093"/>
    <w:rsid w:val="00E6757A"/>
    <w:rsid w:val="00E67826"/>
    <w:rsid w:val="00E704C5"/>
    <w:rsid w:val="00E709EC"/>
    <w:rsid w:val="00E70B96"/>
    <w:rsid w:val="00E70C9B"/>
    <w:rsid w:val="00E7123E"/>
    <w:rsid w:val="00E7228B"/>
    <w:rsid w:val="00E726C2"/>
    <w:rsid w:val="00E72711"/>
    <w:rsid w:val="00E72C0C"/>
    <w:rsid w:val="00E7346C"/>
    <w:rsid w:val="00E737D4"/>
    <w:rsid w:val="00E74A8D"/>
    <w:rsid w:val="00E74CA7"/>
    <w:rsid w:val="00E74E8D"/>
    <w:rsid w:val="00E75038"/>
    <w:rsid w:val="00E7515D"/>
    <w:rsid w:val="00E75473"/>
    <w:rsid w:val="00E75568"/>
    <w:rsid w:val="00E75708"/>
    <w:rsid w:val="00E7580B"/>
    <w:rsid w:val="00E75B84"/>
    <w:rsid w:val="00E75BD4"/>
    <w:rsid w:val="00E76483"/>
    <w:rsid w:val="00E765FB"/>
    <w:rsid w:val="00E769A8"/>
    <w:rsid w:val="00E76B6A"/>
    <w:rsid w:val="00E76C20"/>
    <w:rsid w:val="00E77279"/>
    <w:rsid w:val="00E77325"/>
    <w:rsid w:val="00E77444"/>
    <w:rsid w:val="00E779C6"/>
    <w:rsid w:val="00E8044A"/>
    <w:rsid w:val="00E80E62"/>
    <w:rsid w:val="00E80EFA"/>
    <w:rsid w:val="00E8101F"/>
    <w:rsid w:val="00E81153"/>
    <w:rsid w:val="00E81B7E"/>
    <w:rsid w:val="00E81DA0"/>
    <w:rsid w:val="00E81EF4"/>
    <w:rsid w:val="00E81FBD"/>
    <w:rsid w:val="00E82043"/>
    <w:rsid w:val="00E821BA"/>
    <w:rsid w:val="00E82925"/>
    <w:rsid w:val="00E82B61"/>
    <w:rsid w:val="00E82D0E"/>
    <w:rsid w:val="00E83381"/>
    <w:rsid w:val="00E83711"/>
    <w:rsid w:val="00E839A1"/>
    <w:rsid w:val="00E83ECA"/>
    <w:rsid w:val="00E8474C"/>
    <w:rsid w:val="00E85763"/>
    <w:rsid w:val="00E8595E"/>
    <w:rsid w:val="00E85A08"/>
    <w:rsid w:val="00E85AEB"/>
    <w:rsid w:val="00E85C56"/>
    <w:rsid w:val="00E864D0"/>
    <w:rsid w:val="00E86D4F"/>
    <w:rsid w:val="00E86E7F"/>
    <w:rsid w:val="00E87094"/>
    <w:rsid w:val="00E8747F"/>
    <w:rsid w:val="00E8766D"/>
    <w:rsid w:val="00E90011"/>
    <w:rsid w:val="00E908FE"/>
    <w:rsid w:val="00E90B86"/>
    <w:rsid w:val="00E90C71"/>
    <w:rsid w:val="00E90D84"/>
    <w:rsid w:val="00E91021"/>
    <w:rsid w:val="00E91897"/>
    <w:rsid w:val="00E9229A"/>
    <w:rsid w:val="00E92373"/>
    <w:rsid w:val="00E92762"/>
    <w:rsid w:val="00E93364"/>
    <w:rsid w:val="00E93771"/>
    <w:rsid w:val="00E93A70"/>
    <w:rsid w:val="00E93E1E"/>
    <w:rsid w:val="00E93F23"/>
    <w:rsid w:val="00E9409D"/>
    <w:rsid w:val="00E94581"/>
    <w:rsid w:val="00E948C0"/>
    <w:rsid w:val="00E94A62"/>
    <w:rsid w:val="00E94BC7"/>
    <w:rsid w:val="00E94E45"/>
    <w:rsid w:val="00E94F5D"/>
    <w:rsid w:val="00E95614"/>
    <w:rsid w:val="00E95964"/>
    <w:rsid w:val="00E95A3F"/>
    <w:rsid w:val="00E95A77"/>
    <w:rsid w:val="00E96478"/>
    <w:rsid w:val="00E96CBE"/>
    <w:rsid w:val="00E96E0F"/>
    <w:rsid w:val="00E96FFC"/>
    <w:rsid w:val="00E9752D"/>
    <w:rsid w:val="00E97863"/>
    <w:rsid w:val="00EA03F0"/>
    <w:rsid w:val="00EA0618"/>
    <w:rsid w:val="00EA0BFF"/>
    <w:rsid w:val="00EA168F"/>
    <w:rsid w:val="00EA170D"/>
    <w:rsid w:val="00EA2198"/>
    <w:rsid w:val="00EA2577"/>
    <w:rsid w:val="00EA25ED"/>
    <w:rsid w:val="00EA2632"/>
    <w:rsid w:val="00EA2DB7"/>
    <w:rsid w:val="00EA308E"/>
    <w:rsid w:val="00EA3470"/>
    <w:rsid w:val="00EA3670"/>
    <w:rsid w:val="00EA39B6"/>
    <w:rsid w:val="00EA3E4A"/>
    <w:rsid w:val="00EA3E9E"/>
    <w:rsid w:val="00EA471E"/>
    <w:rsid w:val="00EA48F9"/>
    <w:rsid w:val="00EA4A47"/>
    <w:rsid w:val="00EA4ADD"/>
    <w:rsid w:val="00EA50AE"/>
    <w:rsid w:val="00EA51B6"/>
    <w:rsid w:val="00EA5B8C"/>
    <w:rsid w:val="00EA5F22"/>
    <w:rsid w:val="00EA657C"/>
    <w:rsid w:val="00EA6813"/>
    <w:rsid w:val="00EA6A50"/>
    <w:rsid w:val="00EA7976"/>
    <w:rsid w:val="00EB0DDA"/>
    <w:rsid w:val="00EB0E8C"/>
    <w:rsid w:val="00EB14CF"/>
    <w:rsid w:val="00EB19DC"/>
    <w:rsid w:val="00EB2253"/>
    <w:rsid w:val="00EB2CA6"/>
    <w:rsid w:val="00EB2F21"/>
    <w:rsid w:val="00EB2F5C"/>
    <w:rsid w:val="00EB37C8"/>
    <w:rsid w:val="00EB44E7"/>
    <w:rsid w:val="00EB4753"/>
    <w:rsid w:val="00EB4939"/>
    <w:rsid w:val="00EB4C49"/>
    <w:rsid w:val="00EB4DE4"/>
    <w:rsid w:val="00EB531F"/>
    <w:rsid w:val="00EB542B"/>
    <w:rsid w:val="00EB55F2"/>
    <w:rsid w:val="00EB569E"/>
    <w:rsid w:val="00EB5A03"/>
    <w:rsid w:val="00EB629E"/>
    <w:rsid w:val="00EB6359"/>
    <w:rsid w:val="00EB63A0"/>
    <w:rsid w:val="00EB68FB"/>
    <w:rsid w:val="00EB6E7C"/>
    <w:rsid w:val="00EB6EAB"/>
    <w:rsid w:val="00EB72C4"/>
    <w:rsid w:val="00EB7F42"/>
    <w:rsid w:val="00EB7FE5"/>
    <w:rsid w:val="00EC085E"/>
    <w:rsid w:val="00EC0C0E"/>
    <w:rsid w:val="00EC0C19"/>
    <w:rsid w:val="00EC0C95"/>
    <w:rsid w:val="00EC1BC9"/>
    <w:rsid w:val="00EC2092"/>
    <w:rsid w:val="00EC234C"/>
    <w:rsid w:val="00EC2790"/>
    <w:rsid w:val="00EC27F6"/>
    <w:rsid w:val="00EC2DC8"/>
    <w:rsid w:val="00EC30C0"/>
    <w:rsid w:val="00EC3383"/>
    <w:rsid w:val="00EC356D"/>
    <w:rsid w:val="00EC3577"/>
    <w:rsid w:val="00EC3868"/>
    <w:rsid w:val="00EC4F4E"/>
    <w:rsid w:val="00EC4FAF"/>
    <w:rsid w:val="00EC516C"/>
    <w:rsid w:val="00EC527C"/>
    <w:rsid w:val="00EC55CC"/>
    <w:rsid w:val="00EC577E"/>
    <w:rsid w:val="00EC5D5A"/>
    <w:rsid w:val="00EC6A47"/>
    <w:rsid w:val="00EC6C10"/>
    <w:rsid w:val="00EC6CA1"/>
    <w:rsid w:val="00EC7259"/>
    <w:rsid w:val="00EC72F5"/>
    <w:rsid w:val="00EC7645"/>
    <w:rsid w:val="00EC7C72"/>
    <w:rsid w:val="00EC7FE9"/>
    <w:rsid w:val="00ED04D8"/>
    <w:rsid w:val="00ED06A5"/>
    <w:rsid w:val="00ED084C"/>
    <w:rsid w:val="00ED0A09"/>
    <w:rsid w:val="00ED0A11"/>
    <w:rsid w:val="00ED0DF7"/>
    <w:rsid w:val="00ED0FE1"/>
    <w:rsid w:val="00ED1439"/>
    <w:rsid w:val="00ED187C"/>
    <w:rsid w:val="00ED2562"/>
    <w:rsid w:val="00ED29C8"/>
    <w:rsid w:val="00ED2A80"/>
    <w:rsid w:val="00ED2B46"/>
    <w:rsid w:val="00ED2E1F"/>
    <w:rsid w:val="00ED3107"/>
    <w:rsid w:val="00ED39DF"/>
    <w:rsid w:val="00ED3A28"/>
    <w:rsid w:val="00ED3B17"/>
    <w:rsid w:val="00ED458F"/>
    <w:rsid w:val="00ED4995"/>
    <w:rsid w:val="00ED5521"/>
    <w:rsid w:val="00ED5CBD"/>
    <w:rsid w:val="00ED60AC"/>
    <w:rsid w:val="00ED67C1"/>
    <w:rsid w:val="00ED6B7A"/>
    <w:rsid w:val="00ED6D6B"/>
    <w:rsid w:val="00ED6ECD"/>
    <w:rsid w:val="00ED6FA8"/>
    <w:rsid w:val="00ED738B"/>
    <w:rsid w:val="00EE0307"/>
    <w:rsid w:val="00EE0558"/>
    <w:rsid w:val="00EE1218"/>
    <w:rsid w:val="00EE14AF"/>
    <w:rsid w:val="00EE1BE5"/>
    <w:rsid w:val="00EE1C77"/>
    <w:rsid w:val="00EE1EEE"/>
    <w:rsid w:val="00EE1F07"/>
    <w:rsid w:val="00EE2028"/>
    <w:rsid w:val="00EE2A48"/>
    <w:rsid w:val="00EE2AFC"/>
    <w:rsid w:val="00EE2D07"/>
    <w:rsid w:val="00EE3058"/>
    <w:rsid w:val="00EE324C"/>
    <w:rsid w:val="00EE37F5"/>
    <w:rsid w:val="00EE3ACC"/>
    <w:rsid w:val="00EE3B1D"/>
    <w:rsid w:val="00EE456B"/>
    <w:rsid w:val="00EE46B1"/>
    <w:rsid w:val="00EE4820"/>
    <w:rsid w:val="00EE485B"/>
    <w:rsid w:val="00EE4A9F"/>
    <w:rsid w:val="00EE505A"/>
    <w:rsid w:val="00EE5314"/>
    <w:rsid w:val="00EE5460"/>
    <w:rsid w:val="00EE5665"/>
    <w:rsid w:val="00EE6269"/>
    <w:rsid w:val="00EE6773"/>
    <w:rsid w:val="00EE68CE"/>
    <w:rsid w:val="00EE6918"/>
    <w:rsid w:val="00EE6CE3"/>
    <w:rsid w:val="00EE7147"/>
    <w:rsid w:val="00EE74AD"/>
    <w:rsid w:val="00EE77E6"/>
    <w:rsid w:val="00EE781A"/>
    <w:rsid w:val="00EF069E"/>
    <w:rsid w:val="00EF0CB3"/>
    <w:rsid w:val="00EF186D"/>
    <w:rsid w:val="00EF200F"/>
    <w:rsid w:val="00EF2301"/>
    <w:rsid w:val="00EF2CFC"/>
    <w:rsid w:val="00EF2D05"/>
    <w:rsid w:val="00EF3452"/>
    <w:rsid w:val="00EF34D3"/>
    <w:rsid w:val="00EF35B1"/>
    <w:rsid w:val="00EF3601"/>
    <w:rsid w:val="00EF3977"/>
    <w:rsid w:val="00EF39C1"/>
    <w:rsid w:val="00EF3D1C"/>
    <w:rsid w:val="00EF4435"/>
    <w:rsid w:val="00EF44AE"/>
    <w:rsid w:val="00EF4667"/>
    <w:rsid w:val="00EF468D"/>
    <w:rsid w:val="00EF46F3"/>
    <w:rsid w:val="00EF4997"/>
    <w:rsid w:val="00EF4AA2"/>
    <w:rsid w:val="00EF4D47"/>
    <w:rsid w:val="00EF4FFF"/>
    <w:rsid w:val="00EF52E4"/>
    <w:rsid w:val="00EF55A3"/>
    <w:rsid w:val="00EF5859"/>
    <w:rsid w:val="00EF5AC5"/>
    <w:rsid w:val="00EF5FDC"/>
    <w:rsid w:val="00EF64FA"/>
    <w:rsid w:val="00EF696F"/>
    <w:rsid w:val="00EF6A23"/>
    <w:rsid w:val="00EF6A81"/>
    <w:rsid w:val="00EF6ADF"/>
    <w:rsid w:val="00EF6B77"/>
    <w:rsid w:val="00EF6FB3"/>
    <w:rsid w:val="00EF7CAE"/>
    <w:rsid w:val="00F00538"/>
    <w:rsid w:val="00F00C37"/>
    <w:rsid w:val="00F00D23"/>
    <w:rsid w:val="00F010A5"/>
    <w:rsid w:val="00F015E3"/>
    <w:rsid w:val="00F01642"/>
    <w:rsid w:val="00F0174D"/>
    <w:rsid w:val="00F01C2F"/>
    <w:rsid w:val="00F01F32"/>
    <w:rsid w:val="00F01F85"/>
    <w:rsid w:val="00F027A9"/>
    <w:rsid w:val="00F028B1"/>
    <w:rsid w:val="00F02AFF"/>
    <w:rsid w:val="00F02E06"/>
    <w:rsid w:val="00F03C03"/>
    <w:rsid w:val="00F03C0E"/>
    <w:rsid w:val="00F04144"/>
    <w:rsid w:val="00F0421E"/>
    <w:rsid w:val="00F0451B"/>
    <w:rsid w:val="00F04BE2"/>
    <w:rsid w:val="00F05201"/>
    <w:rsid w:val="00F05400"/>
    <w:rsid w:val="00F0549C"/>
    <w:rsid w:val="00F056D2"/>
    <w:rsid w:val="00F0589A"/>
    <w:rsid w:val="00F05A0F"/>
    <w:rsid w:val="00F05B88"/>
    <w:rsid w:val="00F065F4"/>
    <w:rsid w:val="00F07098"/>
    <w:rsid w:val="00F07151"/>
    <w:rsid w:val="00F07219"/>
    <w:rsid w:val="00F0735E"/>
    <w:rsid w:val="00F07636"/>
    <w:rsid w:val="00F10329"/>
    <w:rsid w:val="00F1042C"/>
    <w:rsid w:val="00F1067F"/>
    <w:rsid w:val="00F10772"/>
    <w:rsid w:val="00F11043"/>
    <w:rsid w:val="00F1112C"/>
    <w:rsid w:val="00F1136C"/>
    <w:rsid w:val="00F11A80"/>
    <w:rsid w:val="00F11BA9"/>
    <w:rsid w:val="00F12806"/>
    <w:rsid w:val="00F12CDC"/>
    <w:rsid w:val="00F1341C"/>
    <w:rsid w:val="00F137BC"/>
    <w:rsid w:val="00F13A50"/>
    <w:rsid w:val="00F13C26"/>
    <w:rsid w:val="00F147C1"/>
    <w:rsid w:val="00F14BE6"/>
    <w:rsid w:val="00F15182"/>
    <w:rsid w:val="00F152BB"/>
    <w:rsid w:val="00F1626A"/>
    <w:rsid w:val="00F162E5"/>
    <w:rsid w:val="00F163AC"/>
    <w:rsid w:val="00F1688D"/>
    <w:rsid w:val="00F16914"/>
    <w:rsid w:val="00F1693B"/>
    <w:rsid w:val="00F1709D"/>
    <w:rsid w:val="00F174C1"/>
    <w:rsid w:val="00F177E8"/>
    <w:rsid w:val="00F17C03"/>
    <w:rsid w:val="00F17E09"/>
    <w:rsid w:val="00F17F9C"/>
    <w:rsid w:val="00F20005"/>
    <w:rsid w:val="00F206B8"/>
    <w:rsid w:val="00F20B12"/>
    <w:rsid w:val="00F20EB8"/>
    <w:rsid w:val="00F21060"/>
    <w:rsid w:val="00F2109E"/>
    <w:rsid w:val="00F21156"/>
    <w:rsid w:val="00F214C0"/>
    <w:rsid w:val="00F21D72"/>
    <w:rsid w:val="00F2264B"/>
    <w:rsid w:val="00F22843"/>
    <w:rsid w:val="00F22CAA"/>
    <w:rsid w:val="00F22DFF"/>
    <w:rsid w:val="00F22E0A"/>
    <w:rsid w:val="00F233B8"/>
    <w:rsid w:val="00F2368D"/>
    <w:rsid w:val="00F24435"/>
    <w:rsid w:val="00F248DC"/>
    <w:rsid w:val="00F24942"/>
    <w:rsid w:val="00F24B6E"/>
    <w:rsid w:val="00F24C27"/>
    <w:rsid w:val="00F24E3E"/>
    <w:rsid w:val="00F24F81"/>
    <w:rsid w:val="00F25008"/>
    <w:rsid w:val="00F25178"/>
    <w:rsid w:val="00F25713"/>
    <w:rsid w:val="00F25B19"/>
    <w:rsid w:val="00F25D0A"/>
    <w:rsid w:val="00F25EBD"/>
    <w:rsid w:val="00F25EBF"/>
    <w:rsid w:val="00F25F9E"/>
    <w:rsid w:val="00F26096"/>
    <w:rsid w:val="00F2617A"/>
    <w:rsid w:val="00F263BB"/>
    <w:rsid w:val="00F27149"/>
    <w:rsid w:val="00F271FF"/>
    <w:rsid w:val="00F27390"/>
    <w:rsid w:val="00F27410"/>
    <w:rsid w:val="00F275C9"/>
    <w:rsid w:val="00F27D23"/>
    <w:rsid w:val="00F27F80"/>
    <w:rsid w:val="00F30011"/>
    <w:rsid w:val="00F30587"/>
    <w:rsid w:val="00F307CE"/>
    <w:rsid w:val="00F30C92"/>
    <w:rsid w:val="00F30CD2"/>
    <w:rsid w:val="00F3164B"/>
    <w:rsid w:val="00F31902"/>
    <w:rsid w:val="00F31B37"/>
    <w:rsid w:val="00F3200E"/>
    <w:rsid w:val="00F3241F"/>
    <w:rsid w:val="00F326F2"/>
    <w:rsid w:val="00F32DD5"/>
    <w:rsid w:val="00F3316F"/>
    <w:rsid w:val="00F33178"/>
    <w:rsid w:val="00F33293"/>
    <w:rsid w:val="00F3340B"/>
    <w:rsid w:val="00F3372E"/>
    <w:rsid w:val="00F3384D"/>
    <w:rsid w:val="00F3392C"/>
    <w:rsid w:val="00F33DE0"/>
    <w:rsid w:val="00F33FE7"/>
    <w:rsid w:val="00F3417F"/>
    <w:rsid w:val="00F341D1"/>
    <w:rsid w:val="00F34C50"/>
    <w:rsid w:val="00F34E7F"/>
    <w:rsid w:val="00F35591"/>
    <w:rsid w:val="00F3563B"/>
    <w:rsid w:val="00F356E6"/>
    <w:rsid w:val="00F35924"/>
    <w:rsid w:val="00F35BF6"/>
    <w:rsid w:val="00F35E8C"/>
    <w:rsid w:val="00F3606B"/>
    <w:rsid w:val="00F36615"/>
    <w:rsid w:val="00F36711"/>
    <w:rsid w:val="00F369C7"/>
    <w:rsid w:val="00F36CF4"/>
    <w:rsid w:val="00F36D4D"/>
    <w:rsid w:val="00F3721C"/>
    <w:rsid w:val="00F37621"/>
    <w:rsid w:val="00F37EE6"/>
    <w:rsid w:val="00F402B6"/>
    <w:rsid w:val="00F408CE"/>
    <w:rsid w:val="00F40A1D"/>
    <w:rsid w:val="00F40D46"/>
    <w:rsid w:val="00F412CB"/>
    <w:rsid w:val="00F41332"/>
    <w:rsid w:val="00F4143C"/>
    <w:rsid w:val="00F41466"/>
    <w:rsid w:val="00F41CDF"/>
    <w:rsid w:val="00F41FFC"/>
    <w:rsid w:val="00F42CB8"/>
    <w:rsid w:val="00F43386"/>
    <w:rsid w:val="00F43408"/>
    <w:rsid w:val="00F43D48"/>
    <w:rsid w:val="00F441BE"/>
    <w:rsid w:val="00F44B7E"/>
    <w:rsid w:val="00F44BE6"/>
    <w:rsid w:val="00F44E5D"/>
    <w:rsid w:val="00F44EAC"/>
    <w:rsid w:val="00F460A2"/>
    <w:rsid w:val="00F46756"/>
    <w:rsid w:val="00F46C6C"/>
    <w:rsid w:val="00F47F06"/>
    <w:rsid w:val="00F47FEC"/>
    <w:rsid w:val="00F50398"/>
    <w:rsid w:val="00F5073C"/>
    <w:rsid w:val="00F50899"/>
    <w:rsid w:val="00F5117F"/>
    <w:rsid w:val="00F529ED"/>
    <w:rsid w:val="00F52D5A"/>
    <w:rsid w:val="00F5354C"/>
    <w:rsid w:val="00F5369F"/>
    <w:rsid w:val="00F5378E"/>
    <w:rsid w:val="00F53CA0"/>
    <w:rsid w:val="00F54192"/>
    <w:rsid w:val="00F54C44"/>
    <w:rsid w:val="00F551D6"/>
    <w:rsid w:val="00F55749"/>
    <w:rsid w:val="00F55771"/>
    <w:rsid w:val="00F55870"/>
    <w:rsid w:val="00F558AD"/>
    <w:rsid w:val="00F55BE6"/>
    <w:rsid w:val="00F55EE5"/>
    <w:rsid w:val="00F55FB1"/>
    <w:rsid w:val="00F56047"/>
    <w:rsid w:val="00F56220"/>
    <w:rsid w:val="00F56304"/>
    <w:rsid w:val="00F56377"/>
    <w:rsid w:val="00F56487"/>
    <w:rsid w:val="00F5683F"/>
    <w:rsid w:val="00F56A25"/>
    <w:rsid w:val="00F56A9C"/>
    <w:rsid w:val="00F56F22"/>
    <w:rsid w:val="00F57526"/>
    <w:rsid w:val="00F5772C"/>
    <w:rsid w:val="00F57739"/>
    <w:rsid w:val="00F57779"/>
    <w:rsid w:val="00F5781A"/>
    <w:rsid w:val="00F57A26"/>
    <w:rsid w:val="00F57B33"/>
    <w:rsid w:val="00F57DC6"/>
    <w:rsid w:val="00F6010A"/>
    <w:rsid w:val="00F60186"/>
    <w:rsid w:val="00F6038F"/>
    <w:rsid w:val="00F60890"/>
    <w:rsid w:val="00F60C18"/>
    <w:rsid w:val="00F60EA0"/>
    <w:rsid w:val="00F613B1"/>
    <w:rsid w:val="00F6152B"/>
    <w:rsid w:val="00F618F4"/>
    <w:rsid w:val="00F622F7"/>
    <w:rsid w:val="00F62682"/>
    <w:rsid w:val="00F62CB8"/>
    <w:rsid w:val="00F62DD7"/>
    <w:rsid w:val="00F62E4A"/>
    <w:rsid w:val="00F631F0"/>
    <w:rsid w:val="00F63887"/>
    <w:rsid w:val="00F63922"/>
    <w:rsid w:val="00F63D58"/>
    <w:rsid w:val="00F63DEA"/>
    <w:rsid w:val="00F63F18"/>
    <w:rsid w:val="00F64A21"/>
    <w:rsid w:val="00F64DF6"/>
    <w:rsid w:val="00F6514C"/>
    <w:rsid w:val="00F658BB"/>
    <w:rsid w:val="00F65940"/>
    <w:rsid w:val="00F65B85"/>
    <w:rsid w:val="00F65FDC"/>
    <w:rsid w:val="00F66679"/>
    <w:rsid w:val="00F667BA"/>
    <w:rsid w:val="00F667C8"/>
    <w:rsid w:val="00F6685B"/>
    <w:rsid w:val="00F66F58"/>
    <w:rsid w:val="00F66FD0"/>
    <w:rsid w:val="00F670A7"/>
    <w:rsid w:val="00F6714D"/>
    <w:rsid w:val="00F67363"/>
    <w:rsid w:val="00F67545"/>
    <w:rsid w:val="00F677E9"/>
    <w:rsid w:val="00F6790E"/>
    <w:rsid w:val="00F67D07"/>
    <w:rsid w:val="00F70416"/>
    <w:rsid w:val="00F70546"/>
    <w:rsid w:val="00F705E5"/>
    <w:rsid w:val="00F7146E"/>
    <w:rsid w:val="00F721F3"/>
    <w:rsid w:val="00F737CA"/>
    <w:rsid w:val="00F741CF"/>
    <w:rsid w:val="00F76E48"/>
    <w:rsid w:val="00F76F9D"/>
    <w:rsid w:val="00F77D15"/>
    <w:rsid w:val="00F77D33"/>
    <w:rsid w:val="00F80281"/>
    <w:rsid w:val="00F8068D"/>
    <w:rsid w:val="00F80875"/>
    <w:rsid w:val="00F80BEB"/>
    <w:rsid w:val="00F81110"/>
    <w:rsid w:val="00F81470"/>
    <w:rsid w:val="00F81B7C"/>
    <w:rsid w:val="00F81D03"/>
    <w:rsid w:val="00F82185"/>
    <w:rsid w:val="00F82977"/>
    <w:rsid w:val="00F82A7B"/>
    <w:rsid w:val="00F83193"/>
    <w:rsid w:val="00F83271"/>
    <w:rsid w:val="00F83582"/>
    <w:rsid w:val="00F837C3"/>
    <w:rsid w:val="00F83A2E"/>
    <w:rsid w:val="00F84D02"/>
    <w:rsid w:val="00F8550A"/>
    <w:rsid w:val="00F85589"/>
    <w:rsid w:val="00F856CF"/>
    <w:rsid w:val="00F85EC6"/>
    <w:rsid w:val="00F861B0"/>
    <w:rsid w:val="00F866F0"/>
    <w:rsid w:val="00F86958"/>
    <w:rsid w:val="00F86DF3"/>
    <w:rsid w:val="00F86F31"/>
    <w:rsid w:val="00F87595"/>
    <w:rsid w:val="00F877A2"/>
    <w:rsid w:val="00F87A97"/>
    <w:rsid w:val="00F87C07"/>
    <w:rsid w:val="00F87F70"/>
    <w:rsid w:val="00F90076"/>
    <w:rsid w:val="00F90DA1"/>
    <w:rsid w:val="00F9163D"/>
    <w:rsid w:val="00F92293"/>
    <w:rsid w:val="00F9236B"/>
    <w:rsid w:val="00F924FB"/>
    <w:rsid w:val="00F92C41"/>
    <w:rsid w:val="00F93096"/>
    <w:rsid w:val="00F9391F"/>
    <w:rsid w:val="00F94146"/>
    <w:rsid w:val="00F94179"/>
    <w:rsid w:val="00F949EA"/>
    <w:rsid w:val="00F94A72"/>
    <w:rsid w:val="00F94ADE"/>
    <w:rsid w:val="00F951A6"/>
    <w:rsid w:val="00F95270"/>
    <w:rsid w:val="00F95378"/>
    <w:rsid w:val="00F95CC5"/>
    <w:rsid w:val="00F95F92"/>
    <w:rsid w:val="00F96DAD"/>
    <w:rsid w:val="00F971DD"/>
    <w:rsid w:val="00F97489"/>
    <w:rsid w:val="00F9753E"/>
    <w:rsid w:val="00F9768C"/>
    <w:rsid w:val="00F97A13"/>
    <w:rsid w:val="00F97DC2"/>
    <w:rsid w:val="00F9AED4"/>
    <w:rsid w:val="00FA033B"/>
    <w:rsid w:val="00FA10C1"/>
    <w:rsid w:val="00FA14D7"/>
    <w:rsid w:val="00FA15CD"/>
    <w:rsid w:val="00FA20E4"/>
    <w:rsid w:val="00FA2534"/>
    <w:rsid w:val="00FA334C"/>
    <w:rsid w:val="00FA33F8"/>
    <w:rsid w:val="00FA367B"/>
    <w:rsid w:val="00FA3735"/>
    <w:rsid w:val="00FA3AB7"/>
    <w:rsid w:val="00FA520A"/>
    <w:rsid w:val="00FA5323"/>
    <w:rsid w:val="00FA536A"/>
    <w:rsid w:val="00FA5A5E"/>
    <w:rsid w:val="00FA5E64"/>
    <w:rsid w:val="00FA5ECB"/>
    <w:rsid w:val="00FA6181"/>
    <w:rsid w:val="00FA662F"/>
    <w:rsid w:val="00FA6736"/>
    <w:rsid w:val="00FA7308"/>
    <w:rsid w:val="00FA7643"/>
    <w:rsid w:val="00FA7A7C"/>
    <w:rsid w:val="00FA7CE6"/>
    <w:rsid w:val="00FB07B8"/>
    <w:rsid w:val="00FB1032"/>
    <w:rsid w:val="00FB11C9"/>
    <w:rsid w:val="00FB1B28"/>
    <w:rsid w:val="00FB1C9A"/>
    <w:rsid w:val="00FB1D3C"/>
    <w:rsid w:val="00FB1D43"/>
    <w:rsid w:val="00FB2458"/>
    <w:rsid w:val="00FB27BC"/>
    <w:rsid w:val="00FB27D7"/>
    <w:rsid w:val="00FB2D29"/>
    <w:rsid w:val="00FB2FCB"/>
    <w:rsid w:val="00FB3459"/>
    <w:rsid w:val="00FB3A2B"/>
    <w:rsid w:val="00FB4117"/>
    <w:rsid w:val="00FB4205"/>
    <w:rsid w:val="00FB486A"/>
    <w:rsid w:val="00FB5CE0"/>
    <w:rsid w:val="00FB6EBF"/>
    <w:rsid w:val="00FB7051"/>
    <w:rsid w:val="00FB70BC"/>
    <w:rsid w:val="00FB72CA"/>
    <w:rsid w:val="00FC00F5"/>
    <w:rsid w:val="00FC0207"/>
    <w:rsid w:val="00FC0685"/>
    <w:rsid w:val="00FC0AA9"/>
    <w:rsid w:val="00FC10B1"/>
    <w:rsid w:val="00FC134D"/>
    <w:rsid w:val="00FC1399"/>
    <w:rsid w:val="00FC1982"/>
    <w:rsid w:val="00FC1BEC"/>
    <w:rsid w:val="00FC1C20"/>
    <w:rsid w:val="00FC2278"/>
    <w:rsid w:val="00FC254F"/>
    <w:rsid w:val="00FC2856"/>
    <w:rsid w:val="00FC2963"/>
    <w:rsid w:val="00FC2AED"/>
    <w:rsid w:val="00FC2D06"/>
    <w:rsid w:val="00FC3809"/>
    <w:rsid w:val="00FC3951"/>
    <w:rsid w:val="00FC403F"/>
    <w:rsid w:val="00FC46B1"/>
    <w:rsid w:val="00FC4C10"/>
    <w:rsid w:val="00FC4DE8"/>
    <w:rsid w:val="00FC4E34"/>
    <w:rsid w:val="00FC52FA"/>
    <w:rsid w:val="00FC5398"/>
    <w:rsid w:val="00FC547C"/>
    <w:rsid w:val="00FC57EC"/>
    <w:rsid w:val="00FC5CB7"/>
    <w:rsid w:val="00FC6219"/>
    <w:rsid w:val="00FC63B0"/>
    <w:rsid w:val="00FC6C19"/>
    <w:rsid w:val="00FC6EBC"/>
    <w:rsid w:val="00FC75B9"/>
    <w:rsid w:val="00FC7BE7"/>
    <w:rsid w:val="00FC7C43"/>
    <w:rsid w:val="00FD0752"/>
    <w:rsid w:val="00FD0E95"/>
    <w:rsid w:val="00FD17A2"/>
    <w:rsid w:val="00FD1CE4"/>
    <w:rsid w:val="00FD20C0"/>
    <w:rsid w:val="00FD219B"/>
    <w:rsid w:val="00FD22C7"/>
    <w:rsid w:val="00FD2705"/>
    <w:rsid w:val="00FD27D2"/>
    <w:rsid w:val="00FD2AB1"/>
    <w:rsid w:val="00FD2EB2"/>
    <w:rsid w:val="00FD2EE0"/>
    <w:rsid w:val="00FD370D"/>
    <w:rsid w:val="00FD3978"/>
    <w:rsid w:val="00FD3CE9"/>
    <w:rsid w:val="00FD4385"/>
    <w:rsid w:val="00FD439A"/>
    <w:rsid w:val="00FD4692"/>
    <w:rsid w:val="00FD49EB"/>
    <w:rsid w:val="00FD4A92"/>
    <w:rsid w:val="00FD4AF8"/>
    <w:rsid w:val="00FD4FC3"/>
    <w:rsid w:val="00FD575F"/>
    <w:rsid w:val="00FD5EA9"/>
    <w:rsid w:val="00FD6EE4"/>
    <w:rsid w:val="00FD6F31"/>
    <w:rsid w:val="00FD727C"/>
    <w:rsid w:val="00FD7693"/>
    <w:rsid w:val="00FD7EEF"/>
    <w:rsid w:val="00FE02A4"/>
    <w:rsid w:val="00FE02B6"/>
    <w:rsid w:val="00FE0698"/>
    <w:rsid w:val="00FE07B1"/>
    <w:rsid w:val="00FE0B92"/>
    <w:rsid w:val="00FE0BB0"/>
    <w:rsid w:val="00FE1765"/>
    <w:rsid w:val="00FE1C1A"/>
    <w:rsid w:val="00FE1D8D"/>
    <w:rsid w:val="00FE2290"/>
    <w:rsid w:val="00FE2318"/>
    <w:rsid w:val="00FE2410"/>
    <w:rsid w:val="00FE2A34"/>
    <w:rsid w:val="00FE2E64"/>
    <w:rsid w:val="00FE3036"/>
    <w:rsid w:val="00FE3045"/>
    <w:rsid w:val="00FE38EE"/>
    <w:rsid w:val="00FE3AAC"/>
    <w:rsid w:val="00FE3C7D"/>
    <w:rsid w:val="00FE5400"/>
    <w:rsid w:val="00FE5D00"/>
    <w:rsid w:val="00FE5F52"/>
    <w:rsid w:val="00FE69AB"/>
    <w:rsid w:val="00FE6C4C"/>
    <w:rsid w:val="00FE7281"/>
    <w:rsid w:val="00FE78FF"/>
    <w:rsid w:val="00FE7C49"/>
    <w:rsid w:val="00FF0B12"/>
    <w:rsid w:val="00FF0BF6"/>
    <w:rsid w:val="00FF0C34"/>
    <w:rsid w:val="00FF11F2"/>
    <w:rsid w:val="00FF187C"/>
    <w:rsid w:val="00FF1B91"/>
    <w:rsid w:val="00FF1DBA"/>
    <w:rsid w:val="00FF1F43"/>
    <w:rsid w:val="00FF223A"/>
    <w:rsid w:val="00FF245D"/>
    <w:rsid w:val="00FF24FC"/>
    <w:rsid w:val="00FF29DC"/>
    <w:rsid w:val="00FF2CAB"/>
    <w:rsid w:val="00FF31F5"/>
    <w:rsid w:val="00FF3702"/>
    <w:rsid w:val="00FF384D"/>
    <w:rsid w:val="00FF38D4"/>
    <w:rsid w:val="00FF4050"/>
    <w:rsid w:val="00FF41C0"/>
    <w:rsid w:val="00FF489F"/>
    <w:rsid w:val="00FF4EBC"/>
    <w:rsid w:val="00FF5865"/>
    <w:rsid w:val="00FF5967"/>
    <w:rsid w:val="00FF597D"/>
    <w:rsid w:val="00FF6710"/>
    <w:rsid w:val="00FF6824"/>
    <w:rsid w:val="00FF695F"/>
    <w:rsid w:val="00FF6966"/>
    <w:rsid w:val="00FF7200"/>
    <w:rsid w:val="00FF74B7"/>
    <w:rsid w:val="00FF7703"/>
    <w:rsid w:val="00FF772E"/>
    <w:rsid w:val="00FF79A9"/>
    <w:rsid w:val="00FF7B13"/>
    <w:rsid w:val="00FF7E8E"/>
    <w:rsid w:val="01108F15"/>
    <w:rsid w:val="01212C65"/>
    <w:rsid w:val="012D9260"/>
    <w:rsid w:val="01773A44"/>
    <w:rsid w:val="018646F7"/>
    <w:rsid w:val="0192A320"/>
    <w:rsid w:val="019790FA"/>
    <w:rsid w:val="01ABA71B"/>
    <w:rsid w:val="01B3B4C0"/>
    <w:rsid w:val="01BBFA8D"/>
    <w:rsid w:val="01CFE5CB"/>
    <w:rsid w:val="01DDE5FA"/>
    <w:rsid w:val="01ED2485"/>
    <w:rsid w:val="01EEAE2B"/>
    <w:rsid w:val="01FE4618"/>
    <w:rsid w:val="021DD004"/>
    <w:rsid w:val="021ED36B"/>
    <w:rsid w:val="022C0606"/>
    <w:rsid w:val="022F2B1A"/>
    <w:rsid w:val="02615AD2"/>
    <w:rsid w:val="0264D2E2"/>
    <w:rsid w:val="02677762"/>
    <w:rsid w:val="026782EC"/>
    <w:rsid w:val="0275E41A"/>
    <w:rsid w:val="02B0C8DB"/>
    <w:rsid w:val="02B68B68"/>
    <w:rsid w:val="02B80EE6"/>
    <w:rsid w:val="02C052AA"/>
    <w:rsid w:val="02D390E8"/>
    <w:rsid w:val="02F7A67C"/>
    <w:rsid w:val="0300DB38"/>
    <w:rsid w:val="03069C95"/>
    <w:rsid w:val="031C26F1"/>
    <w:rsid w:val="034641C3"/>
    <w:rsid w:val="03479ACD"/>
    <w:rsid w:val="034E10FC"/>
    <w:rsid w:val="0355AF7F"/>
    <w:rsid w:val="03680F22"/>
    <w:rsid w:val="03880979"/>
    <w:rsid w:val="039548B6"/>
    <w:rsid w:val="03A53A0D"/>
    <w:rsid w:val="03BED8CD"/>
    <w:rsid w:val="03DAB818"/>
    <w:rsid w:val="04088280"/>
    <w:rsid w:val="0414EB06"/>
    <w:rsid w:val="041BCB5E"/>
    <w:rsid w:val="042A1A18"/>
    <w:rsid w:val="0464E632"/>
    <w:rsid w:val="0467E59C"/>
    <w:rsid w:val="04759AA3"/>
    <w:rsid w:val="047DCC0A"/>
    <w:rsid w:val="04871A44"/>
    <w:rsid w:val="04B8597C"/>
    <w:rsid w:val="04BC46A0"/>
    <w:rsid w:val="04D0A871"/>
    <w:rsid w:val="04D89001"/>
    <w:rsid w:val="04DFE81D"/>
    <w:rsid w:val="04EF466C"/>
    <w:rsid w:val="051A6FCB"/>
    <w:rsid w:val="052178B5"/>
    <w:rsid w:val="058A58FE"/>
    <w:rsid w:val="0599C7E9"/>
    <w:rsid w:val="05B36E34"/>
    <w:rsid w:val="05BF9F4C"/>
    <w:rsid w:val="05CD4768"/>
    <w:rsid w:val="05CEEC38"/>
    <w:rsid w:val="05ED0409"/>
    <w:rsid w:val="05ED0662"/>
    <w:rsid w:val="05F198F3"/>
    <w:rsid w:val="05FD8469"/>
    <w:rsid w:val="06026AFB"/>
    <w:rsid w:val="0603EE8C"/>
    <w:rsid w:val="060E6ADC"/>
    <w:rsid w:val="061E79B6"/>
    <w:rsid w:val="06319C16"/>
    <w:rsid w:val="063AF422"/>
    <w:rsid w:val="063DE59E"/>
    <w:rsid w:val="065CF010"/>
    <w:rsid w:val="0662170F"/>
    <w:rsid w:val="068A3A2D"/>
    <w:rsid w:val="069ABD6F"/>
    <w:rsid w:val="06B9FB28"/>
    <w:rsid w:val="06C79563"/>
    <w:rsid w:val="06D4C24D"/>
    <w:rsid w:val="06E156AA"/>
    <w:rsid w:val="06E6341C"/>
    <w:rsid w:val="06E760FC"/>
    <w:rsid w:val="06EAFBB9"/>
    <w:rsid w:val="06F25D27"/>
    <w:rsid w:val="070BF3BB"/>
    <w:rsid w:val="070EAF85"/>
    <w:rsid w:val="0724753A"/>
    <w:rsid w:val="07338ABD"/>
    <w:rsid w:val="073DC6A0"/>
    <w:rsid w:val="073EBE04"/>
    <w:rsid w:val="076FCDDB"/>
    <w:rsid w:val="0772CCDB"/>
    <w:rsid w:val="0772EB74"/>
    <w:rsid w:val="07A16C46"/>
    <w:rsid w:val="07AB080A"/>
    <w:rsid w:val="07B900DD"/>
    <w:rsid w:val="07C1A95B"/>
    <w:rsid w:val="07FB5092"/>
    <w:rsid w:val="08068BB0"/>
    <w:rsid w:val="081B21AE"/>
    <w:rsid w:val="08330A11"/>
    <w:rsid w:val="08597765"/>
    <w:rsid w:val="08ECF864"/>
    <w:rsid w:val="08EEDE6B"/>
    <w:rsid w:val="08FB4D75"/>
    <w:rsid w:val="091B900E"/>
    <w:rsid w:val="091C429E"/>
    <w:rsid w:val="0933BB53"/>
    <w:rsid w:val="094B9D10"/>
    <w:rsid w:val="094BD7E3"/>
    <w:rsid w:val="094D5591"/>
    <w:rsid w:val="0956E284"/>
    <w:rsid w:val="095725D3"/>
    <w:rsid w:val="09663072"/>
    <w:rsid w:val="0966F309"/>
    <w:rsid w:val="097A0433"/>
    <w:rsid w:val="0981B87F"/>
    <w:rsid w:val="09953D02"/>
    <w:rsid w:val="09A30E98"/>
    <w:rsid w:val="09D3ABAF"/>
    <w:rsid w:val="09D9AA47"/>
    <w:rsid w:val="0A117209"/>
    <w:rsid w:val="0A3D497B"/>
    <w:rsid w:val="0A4B92B2"/>
    <w:rsid w:val="0A5D178A"/>
    <w:rsid w:val="0A821DBC"/>
    <w:rsid w:val="0ACE8F45"/>
    <w:rsid w:val="0AD4FE38"/>
    <w:rsid w:val="0AE558F1"/>
    <w:rsid w:val="0AE5D9C5"/>
    <w:rsid w:val="0AF4B316"/>
    <w:rsid w:val="0B0F4477"/>
    <w:rsid w:val="0B2667D0"/>
    <w:rsid w:val="0B405E00"/>
    <w:rsid w:val="0B51277D"/>
    <w:rsid w:val="0B773125"/>
    <w:rsid w:val="0B8E2D0D"/>
    <w:rsid w:val="0BA82903"/>
    <w:rsid w:val="0BA980CB"/>
    <w:rsid w:val="0BB74133"/>
    <w:rsid w:val="0BC60FE6"/>
    <w:rsid w:val="0BE40B69"/>
    <w:rsid w:val="0BF8D144"/>
    <w:rsid w:val="0C010124"/>
    <w:rsid w:val="0C1431E9"/>
    <w:rsid w:val="0C182C5E"/>
    <w:rsid w:val="0C26031D"/>
    <w:rsid w:val="0C58AC91"/>
    <w:rsid w:val="0C5B6B47"/>
    <w:rsid w:val="0C8087E2"/>
    <w:rsid w:val="0C91E06C"/>
    <w:rsid w:val="0C9CDD72"/>
    <w:rsid w:val="0CA3E489"/>
    <w:rsid w:val="0CCE2656"/>
    <w:rsid w:val="0CDBCCB5"/>
    <w:rsid w:val="0D2890FF"/>
    <w:rsid w:val="0D348571"/>
    <w:rsid w:val="0D387839"/>
    <w:rsid w:val="0D494A4B"/>
    <w:rsid w:val="0D5681BF"/>
    <w:rsid w:val="0D6DE489"/>
    <w:rsid w:val="0D8113D8"/>
    <w:rsid w:val="0D9BA798"/>
    <w:rsid w:val="0D9DBB24"/>
    <w:rsid w:val="0DA74CBB"/>
    <w:rsid w:val="0DDA8A09"/>
    <w:rsid w:val="0DDC332F"/>
    <w:rsid w:val="0DEB5A7C"/>
    <w:rsid w:val="0E0103F9"/>
    <w:rsid w:val="0E11FD5F"/>
    <w:rsid w:val="0E376979"/>
    <w:rsid w:val="0E3E8B35"/>
    <w:rsid w:val="0E5B900B"/>
    <w:rsid w:val="0E64A10F"/>
    <w:rsid w:val="0E7F2B75"/>
    <w:rsid w:val="0EBA418D"/>
    <w:rsid w:val="0EBB7233"/>
    <w:rsid w:val="0EC5609B"/>
    <w:rsid w:val="0EDA06EB"/>
    <w:rsid w:val="0EE99518"/>
    <w:rsid w:val="0F0A5605"/>
    <w:rsid w:val="0F23A341"/>
    <w:rsid w:val="0F29255C"/>
    <w:rsid w:val="0F2F9D5B"/>
    <w:rsid w:val="0F30EF10"/>
    <w:rsid w:val="0F3F0AA0"/>
    <w:rsid w:val="0F435678"/>
    <w:rsid w:val="0F49F53C"/>
    <w:rsid w:val="0F4B811C"/>
    <w:rsid w:val="0F50B840"/>
    <w:rsid w:val="0F6233BE"/>
    <w:rsid w:val="0F6B9ACA"/>
    <w:rsid w:val="0F802572"/>
    <w:rsid w:val="0F92EDB2"/>
    <w:rsid w:val="0FA20FBE"/>
    <w:rsid w:val="0FA91095"/>
    <w:rsid w:val="0FAA3E14"/>
    <w:rsid w:val="0FC3E157"/>
    <w:rsid w:val="0FC67ED3"/>
    <w:rsid w:val="0FCED5E7"/>
    <w:rsid w:val="0FDEAC91"/>
    <w:rsid w:val="0FFB6235"/>
    <w:rsid w:val="101289A0"/>
    <w:rsid w:val="10207199"/>
    <w:rsid w:val="1064B259"/>
    <w:rsid w:val="1082ECF0"/>
    <w:rsid w:val="10942B59"/>
    <w:rsid w:val="109FC1F7"/>
    <w:rsid w:val="10A0366B"/>
    <w:rsid w:val="10B1FF83"/>
    <w:rsid w:val="10B82567"/>
    <w:rsid w:val="10D53C34"/>
    <w:rsid w:val="10D70824"/>
    <w:rsid w:val="10D77D24"/>
    <w:rsid w:val="10DEC027"/>
    <w:rsid w:val="11172950"/>
    <w:rsid w:val="112465A1"/>
    <w:rsid w:val="113AD3C7"/>
    <w:rsid w:val="11694A56"/>
    <w:rsid w:val="1169F15E"/>
    <w:rsid w:val="117C66DC"/>
    <w:rsid w:val="117F5690"/>
    <w:rsid w:val="11832C87"/>
    <w:rsid w:val="1188AEBE"/>
    <w:rsid w:val="1191CE60"/>
    <w:rsid w:val="119A9543"/>
    <w:rsid w:val="11AFB989"/>
    <w:rsid w:val="11B2B019"/>
    <w:rsid w:val="11BD8282"/>
    <w:rsid w:val="11C2A3FE"/>
    <w:rsid w:val="11C4F908"/>
    <w:rsid w:val="11E66D98"/>
    <w:rsid w:val="120B851A"/>
    <w:rsid w:val="121E69B4"/>
    <w:rsid w:val="122C028A"/>
    <w:rsid w:val="1231939B"/>
    <w:rsid w:val="123EC533"/>
    <w:rsid w:val="12428A86"/>
    <w:rsid w:val="124FBC51"/>
    <w:rsid w:val="127E9917"/>
    <w:rsid w:val="1280A237"/>
    <w:rsid w:val="1286F0C2"/>
    <w:rsid w:val="12880031"/>
    <w:rsid w:val="12939414"/>
    <w:rsid w:val="12A99B7F"/>
    <w:rsid w:val="12B30F6A"/>
    <w:rsid w:val="12BDCDBF"/>
    <w:rsid w:val="12DA4D17"/>
    <w:rsid w:val="12EBE56D"/>
    <w:rsid w:val="12F294F0"/>
    <w:rsid w:val="1309C433"/>
    <w:rsid w:val="1311BF65"/>
    <w:rsid w:val="132723FC"/>
    <w:rsid w:val="133967FA"/>
    <w:rsid w:val="133A0E94"/>
    <w:rsid w:val="13407A06"/>
    <w:rsid w:val="134D2BD2"/>
    <w:rsid w:val="1350F756"/>
    <w:rsid w:val="135A43AE"/>
    <w:rsid w:val="13AD5E9C"/>
    <w:rsid w:val="13C452B1"/>
    <w:rsid w:val="13D4BDCA"/>
    <w:rsid w:val="13E475AF"/>
    <w:rsid w:val="1422B893"/>
    <w:rsid w:val="1425345F"/>
    <w:rsid w:val="145B8A73"/>
    <w:rsid w:val="1467B9DF"/>
    <w:rsid w:val="1481C6B3"/>
    <w:rsid w:val="14B5EBF9"/>
    <w:rsid w:val="14B7BE54"/>
    <w:rsid w:val="14B8576C"/>
    <w:rsid w:val="14BEC28C"/>
    <w:rsid w:val="14C831F1"/>
    <w:rsid w:val="14D1A70F"/>
    <w:rsid w:val="14DD7D64"/>
    <w:rsid w:val="14E6B5E0"/>
    <w:rsid w:val="14F49F4B"/>
    <w:rsid w:val="14F7EF4B"/>
    <w:rsid w:val="15117B76"/>
    <w:rsid w:val="1525AB88"/>
    <w:rsid w:val="153D1DFB"/>
    <w:rsid w:val="15490290"/>
    <w:rsid w:val="155FCF0C"/>
    <w:rsid w:val="1585DA18"/>
    <w:rsid w:val="158665E6"/>
    <w:rsid w:val="158AF7E0"/>
    <w:rsid w:val="15A118D8"/>
    <w:rsid w:val="15A4353C"/>
    <w:rsid w:val="15B08E38"/>
    <w:rsid w:val="15BA843A"/>
    <w:rsid w:val="15DA2E71"/>
    <w:rsid w:val="15E4831D"/>
    <w:rsid w:val="16126033"/>
    <w:rsid w:val="161E3763"/>
    <w:rsid w:val="16348292"/>
    <w:rsid w:val="1637137E"/>
    <w:rsid w:val="163EE925"/>
    <w:rsid w:val="1640FB29"/>
    <w:rsid w:val="165024B4"/>
    <w:rsid w:val="16554913"/>
    <w:rsid w:val="1659F875"/>
    <w:rsid w:val="1673D400"/>
    <w:rsid w:val="167E33EF"/>
    <w:rsid w:val="1690C430"/>
    <w:rsid w:val="16AB6347"/>
    <w:rsid w:val="16C5E871"/>
    <w:rsid w:val="16C755DE"/>
    <w:rsid w:val="16C9B614"/>
    <w:rsid w:val="16CF1B95"/>
    <w:rsid w:val="16D2DC9A"/>
    <w:rsid w:val="1702BE03"/>
    <w:rsid w:val="17172709"/>
    <w:rsid w:val="17175E7D"/>
    <w:rsid w:val="171D7958"/>
    <w:rsid w:val="17244C23"/>
    <w:rsid w:val="172B6AB4"/>
    <w:rsid w:val="173CF1DC"/>
    <w:rsid w:val="17426E61"/>
    <w:rsid w:val="1780AEAB"/>
    <w:rsid w:val="178B4EEF"/>
    <w:rsid w:val="17A292F2"/>
    <w:rsid w:val="17AB3F35"/>
    <w:rsid w:val="17B5BF6C"/>
    <w:rsid w:val="17ED9F64"/>
    <w:rsid w:val="17F0A882"/>
    <w:rsid w:val="17F6842C"/>
    <w:rsid w:val="17F6A43A"/>
    <w:rsid w:val="180161E1"/>
    <w:rsid w:val="1806921F"/>
    <w:rsid w:val="1825F93D"/>
    <w:rsid w:val="182D059F"/>
    <w:rsid w:val="18313798"/>
    <w:rsid w:val="18340413"/>
    <w:rsid w:val="18480696"/>
    <w:rsid w:val="184FCA26"/>
    <w:rsid w:val="1865BDAE"/>
    <w:rsid w:val="187050D3"/>
    <w:rsid w:val="18A004DB"/>
    <w:rsid w:val="18A670FB"/>
    <w:rsid w:val="18AFCF00"/>
    <w:rsid w:val="18B59DD1"/>
    <w:rsid w:val="18F72BE8"/>
    <w:rsid w:val="1909E6BB"/>
    <w:rsid w:val="191A3956"/>
    <w:rsid w:val="191D5417"/>
    <w:rsid w:val="195AA28F"/>
    <w:rsid w:val="197DF930"/>
    <w:rsid w:val="19884BCB"/>
    <w:rsid w:val="198C467A"/>
    <w:rsid w:val="1992718E"/>
    <w:rsid w:val="1993587E"/>
    <w:rsid w:val="19BD59F4"/>
    <w:rsid w:val="19CCAF57"/>
    <w:rsid w:val="19DC92ED"/>
    <w:rsid w:val="19DD13D9"/>
    <w:rsid w:val="1A00C3A6"/>
    <w:rsid w:val="1A46EA88"/>
    <w:rsid w:val="1A49E07C"/>
    <w:rsid w:val="1AA7E0FA"/>
    <w:rsid w:val="1AA98CDC"/>
    <w:rsid w:val="1AAE5182"/>
    <w:rsid w:val="1AB35F70"/>
    <w:rsid w:val="1AB81A55"/>
    <w:rsid w:val="1AC48A53"/>
    <w:rsid w:val="1ACF66DD"/>
    <w:rsid w:val="1AD53491"/>
    <w:rsid w:val="1AE27D93"/>
    <w:rsid w:val="1AE89711"/>
    <w:rsid w:val="1AFE20BF"/>
    <w:rsid w:val="1B0B11FD"/>
    <w:rsid w:val="1B0DE2E5"/>
    <w:rsid w:val="1B148CC0"/>
    <w:rsid w:val="1B2E5796"/>
    <w:rsid w:val="1B39A698"/>
    <w:rsid w:val="1B591495"/>
    <w:rsid w:val="1B5B8D21"/>
    <w:rsid w:val="1B859F48"/>
    <w:rsid w:val="1B995AE0"/>
    <w:rsid w:val="1B9EABAF"/>
    <w:rsid w:val="1BA833AB"/>
    <w:rsid w:val="1BBEEAED"/>
    <w:rsid w:val="1BC6A0C4"/>
    <w:rsid w:val="1BE29118"/>
    <w:rsid w:val="1BFED9DE"/>
    <w:rsid w:val="1C07BA55"/>
    <w:rsid w:val="1C1210B9"/>
    <w:rsid w:val="1C1313B3"/>
    <w:rsid w:val="1C4E88CB"/>
    <w:rsid w:val="1C81CE36"/>
    <w:rsid w:val="1C9714DE"/>
    <w:rsid w:val="1CA4969F"/>
    <w:rsid w:val="1CDB8B9C"/>
    <w:rsid w:val="1CF4F843"/>
    <w:rsid w:val="1D2D8BDD"/>
    <w:rsid w:val="1D61F58B"/>
    <w:rsid w:val="1D71CCCB"/>
    <w:rsid w:val="1D93FC42"/>
    <w:rsid w:val="1DAD95DF"/>
    <w:rsid w:val="1DE12F00"/>
    <w:rsid w:val="1DE742DE"/>
    <w:rsid w:val="1E0317C0"/>
    <w:rsid w:val="1E0814FB"/>
    <w:rsid w:val="1E1B0745"/>
    <w:rsid w:val="1E527043"/>
    <w:rsid w:val="1E662764"/>
    <w:rsid w:val="1E8407EA"/>
    <w:rsid w:val="1E96F1B7"/>
    <w:rsid w:val="1EB9E8AC"/>
    <w:rsid w:val="1EC213D6"/>
    <w:rsid w:val="1EDF8487"/>
    <w:rsid w:val="1F29DE1C"/>
    <w:rsid w:val="1F366060"/>
    <w:rsid w:val="1F3D8158"/>
    <w:rsid w:val="1F3ED14B"/>
    <w:rsid w:val="1F5C5440"/>
    <w:rsid w:val="1F8277D6"/>
    <w:rsid w:val="1F86A090"/>
    <w:rsid w:val="1F8DB054"/>
    <w:rsid w:val="1F909CCC"/>
    <w:rsid w:val="1F98D48B"/>
    <w:rsid w:val="1FA122FE"/>
    <w:rsid w:val="1FA2DFE1"/>
    <w:rsid w:val="1FA313A7"/>
    <w:rsid w:val="1FB38C6A"/>
    <w:rsid w:val="1FD91F9F"/>
    <w:rsid w:val="1FDD5E19"/>
    <w:rsid w:val="1FE7BAD5"/>
    <w:rsid w:val="20067F88"/>
    <w:rsid w:val="201A4410"/>
    <w:rsid w:val="2042989C"/>
    <w:rsid w:val="204ED8F8"/>
    <w:rsid w:val="205CDF01"/>
    <w:rsid w:val="207C823B"/>
    <w:rsid w:val="20800322"/>
    <w:rsid w:val="208031FD"/>
    <w:rsid w:val="2091B99C"/>
    <w:rsid w:val="209E5B67"/>
    <w:rsid w:val="20CF9CB7"/>
    <w:rsid w:val="20D3AD5D"/>
    <w:rsid w:val="20D603CF"/>
    <w:rsid w:val="20D67F83"/>
    <w:rsid w:val="20DB1EDD"/>
    <w:rsid w:val="20E8E798"/>
    <w:rsid w:val="20FEBA4B"/>
    <w:rsid w:val="20FEC2A5"/>
    <w:rsid w:val="21141076"/>
    <w:rsid w:val="2118E86B"/>
    <w:rsid w:val="2128A26E"/>
    <w:rsid w:val="213E4A74"/>
    <w:rsid w:val="214A70A2"/>
    <w:rsid w:val="215304FA"/>
    <w:rsid w:val="2154ECB1"/>
    <w:rsid w:val="2171E0BC"/>
    <w:rsid w:val="2176940F"/>
    <w:rsid w:val="219A9F3D"/>
    <w:rsid w:val="220F196D"/>
    <w:rsid w:val="224D070E"/>
    <w:rsid w:val="2261130C"/>
    <w:rsid w:val="22737EC5"/>
    <w:rsid w:val="229B65A8"/>
    <w:rsid w:val="22B3BABF"/>
    <w:rsid w:val="22BE6CE9"/>
    <w:rsid w:val="22D4A777"/>
    <w:rsid w:val="22F8436F"/>
    <w:rsid w:val="23046F44"/>
    <w:rsid w:val="230DFE90"/>
    <w:rsid w:val="23196369"/>
    <w:rsid w:val="2338755B"/>
    <w:rsid w:val="236A19AE"/>
    <w:rsid w:val="2371B6F6"/>
    <w:rsid w:val="238A432C"/>
    <w:rsid w:val="23918ED6"/>
    <w:rsid w:val="23A91EF7"/>
    <w:rsid w:val="23ACB561"/>
    <w:rsid w:val="23B4C833"/>
    <w:rsid w:val="23B87A5F"/>
    <w:rsid w:val="23C704F9"/>
    <w:rsid w:val="23E7964D"/>
    <w:rsid w:val="240C4892"/>
    <w:rsid w:val="240C6E3F"/>
    <w:rsid w:val="24283492"/>
    <w:rsid w:val="2444C7D3"/>
    <w:rsid w:val="24457206"/>
    <w:rsid w:val="244C5517"/>
    <w:rsid w:val="245A42FE"/>
    <w:rsid w:val="246205A5"/>
    <w:rsid w:val="2470914E"/>
    <w:rsid w:val="2476DE6F"/>
    <w:rsid w:val="247D4B15"/>
    <w:rsid w:val="24826476"/>
    <w:rsid w:val="24A89524"/>
    <w:rsid w:val="24B7D57A"/>
    <w:rsid w:val="24CF5ABB"/>
    <w:rsid w:val="24DFC52E"/>
    <w:rsid w:val="24F7EA6A"/>
    <w:rsid w:val="24FA8CC1"/>
    <w:rsid w:val="25025D5B"/>
    <w:rsid w:val="25083803"/>
    <w:rsid w:val="2556CD07"/>
    <w:rsid w:val="255ED64B"/>
    <w:rsid w:val="2564F0CE"/>
    <w:rsid w:val="25763658"/>
    <w:rsid w:val="25888A07"/>
    <w:rsid w:val="258A4081"/>
    <w:rsid w:val="25A5B270"/>
    <w:rsid w:val="25A9D436"/>
    <w:rsid w:val="25C750D5"/>
    <w:rsid w:val="25C7EC9C"/>
    <w:rsid w:val="25D0A9BC"/>
    <w:rsid w:val="25D76BF0"/>
    <w:rsid w:val="25DE4552"/>
    <w:rsid w:val="25E6B9D7"/>
    <w:rsid w:val="26073DB3"/>
    <w:rsid w:val="2628DBC7"/>
    <w:rsid w:val="26297C88"/>
    <w:rsid w:val="26320EAF"/>
    <w:rsid w:val="26557177"/>
    <w:rsid w:val="2661069D"/>
    <w:rsid w:val="2678B54F"/>
    <w:rsid w:val="267EE354"/>
    <w:rsid w:val="26B7B99D"/>
    <w:rsid w:val="26BABEE5"/>
    <w:rsid w:val="26BBAB71"/>
    <w:rsid w:val="26E2CE5D"/>
    <w:rsid w:val="26EDFF75"/>
    <w:rsid w:val="26F395B9"/>
    <w:rsid w:val="26FCFA56"/>
    <w:rsid w:val="270343CB"/>
    <w:rsid w:val="2703A1F3"/>
    <w:rsid w:val="272843FF"/>
    <w:rsid w:val="27389913"/>
    <w:rsid w:val="27398286"/>
    <w:rsid w:val="274E6E6A"/>
    <w:rsid w:val="274EB15C"/>
    <w:rsid w:val="2750D71E"/>
    <w:rsid w:val="278FCD67"/>
    <w:rsid w:val="27C49974"/>
    <w:rsid w:val="27D11184"/>
    <w:rsid w:val="2802C8A5"/>
    <w:rsid w:val="2804C37C"/>
    <w:rsid w:val="281A00BE"/>
    <w:rsid w:val="2821045F"/>
    <w:rsid w:val="284F7E43"/>
    <w:rsid w:val="2850651A"/>
    <w:rsid w:val="286D80B2"/>
    <w:rsid w:val="287AA08D"/>
    <w:rsid w:val="28AEA8E3"/>
    <w:rsid w:val="28C82175"/>
    <w:rsid w:val="28C9CE9A"/>
    <w:rsid w:val="28DDBCFE"/>
    <w:rsid w:val="28E6C9D0"/>
    <w:rsid w:val="2915A8E4"/>
    <w:rsid w:val="29178275"/>
    <w:rsid w:val="29196D83"/>
    <w:rsid w:val="291F3634"/>
    <w:rsid w:val="291FADAD"/>
    <w:rsid w:val="2934B4FA"/>
    <w:rsid w:val="2951605F"/>
    <w:rsid w:val="29589220"/>
    <w:rsid w:val="2964206C"/>
    <w:rsid w:val="297CF967"/>
    <w:rsid w:val="297D148C"/>
    <w:rsid w:val="29D31E92"/>
    <w:rsid w:val="29D37219"/>
    <w:rsid w:val="29D724BB"/>
    <w:rsid w:val="29E33DF6"/>
    <w:rsid w:val="2A0E26D5"/>
    <w:rsid w:val="2A2645E8"/>
    <w:rsid w:val="2A2F4963"/>
    <w:rsid w:val="2A4A2E02"/>
    <w:rsid w:val="2A508F75"/>
    <w:rsid w:val="2A51E929"/>
    <w:rsid w:val="2A6EEF65"/>
    <w:rsid w:val="2A7A78CB"/>
    <w:rsid w:val="2AAE7000"/>
    <w:rsid w:val="2AB47E90"/>
    <w:rsid w:val="2ABC73B8"/>
    <w:rsid w:val="2ABD1242"/>
    <w:rsid w:val="2AE850A4"/>
    <w:rsid w:val="2AEC3FD9"/>
    <w:rsid w:val="2B1E1062"/>
    <w:rsid w:val="2B518BE3"/>
    <w:rsid w:val="2BB96146"/>
    <w:rsid w:val="2BBD3611"/>
    <w:rsid w:val="2BF0AF05"/>
    <w:rsid w:val="2C04153F"/>
    <w:rsid w:val="2C0E8C33"/>
    <w:rsid w:val="2C0EA8F7"/>
    <w:rsid w:val="2C20F520"/>
    <w:rsid w:val="2C3E2359"/>
    <w:rsid w:val="2C3FE3C8"/>
    <w:rsid w:val="2C47DBDF"/>
    <w:rsid w:val="2C84CBEF"/>
    <w:rsid w:val="2C8986E3"/>
    <w:rsid w:val="2C8C514F"/>
    <w:rsid w:val="2CC3BBFD"/>
    <w:rsid w:val="2CDB753F"/>
    <w:rsid w:val="2CDC6CBE"/>
    <w:rsid w:val="2CF2754A"/>
    <w:rsid w:val="2CFBFA22"/>
    <w:rsid w:val="2CFC777E"/>
    <w:rsid w:val="2D08ECF3"/>
    <w:rsid w:val="2D0F10E9"/>
    <w:rsid w:val="2D2A9777"/>
    <w:rsid w:val="2D688CE7"/>
    <w:rsid w:val="2D87082C"/>
    <w:rsid w:val="2D9D174C"/>
    <w:rsid w:val="2DAC6E36"/>
    <w:rsid w:val="2DC7FA6C"/>
    <w:rsid w:val="2DEF48E5"/>
    <w:rsid w:val="2DFE804F"/>
    <w:rsid w:val="2E0B0F7E"/>
    <w:rsid w:val="2E15BE7C"/>
    <w:rsid w:val="2E212D82"/>
    <w:rsid w:val="2E30AFEC"/>
    <w:rsid w:val="2E3667CE"/>
    <w:rsid w:val="2E483EA2"/>
    <w:rsid w:val="2E4C13FE"/>
    <w:rsid w:val="2E54C485"/>
    <w:rsid w:val="2E586B2A"/>
    <w:rsid w:val="2E6364E8"/>
    <w:rsid w:val="2E760BDB"/>
    <w:rsid w:val="2EB9D41A"/>
    <w:rsid w:val="2EC7CA93"/>
    <w:rsid w:val="2ECE8A76"/>
    <w:rsid w:val="2ED3CEC7"/>
    <w:rsid w:val="2EE39453"/>
    <w:rsid w:val="2EEA3F89"/>
    <w:rsid w:val="2F225FD6"/>
    <w:rsid w:val="2F3E896A"/>
    <w:rsid w:val="2F444F55"/>
    <w:rsid w:val="2F44A648"/>
    <w:rsid w:val="2F530342"/>
    <w:rsid w:val="2F70C87E"/>
    <w:rsid w:val="2F82648A"/>
    <w:rsid w:val="2F82910C"/>
    <w:rsid w:val="2FA9E680"/>
    <w:rsid w:val="2FAD84A9"/>
    <w:rsid w:val="2FD423BB"/>
    <w:rsid w:val="2FD9380B"/>
    <w:rsid w:val="2FDAD9AC"/>
    <w:rsid w:val="2FEA3E42"/>
    <w:rsid w:val="3002349C"/>
    <w:rsid w:val="30289BAC"/>
    <w:rsid w:val="3049A552"/>
    <w:rsid w:val="304C7728"/>
    <w:rsid w:val="305EAC96"/>
    <w:rsid w:val="30834AB7"/>
    <w:rsid w:val="30884C75"/>
    <w:rsid w:val="30927F2A"/>
    <w:rsid w:val="30BAD9DB"/>
    <w:rsid w:val="30F58362"/>
    <w:rsid w:val="30F8503D"/>
    <w:rsid w:val="3107C3BC"/>
    <w:rsid w:val="311ED0A0"/>
    <w:rsid w:val="312E5B66"/>
    <w:rsid w:val="31320B2C"/>
    <w:rsid w:val="313CBB40"/>
    <w:rsid w:val="31589E74"/>
    <w:rsid w:val="315EE1FE"/>
    <w:rsid w:val="31657F90"/>
    <w:rsid w:val="316EFD2E"/>
    <w:rsid w:val="3177D03F"/>
    <w:rsid w:val="31A9B0D2"/>
    <w:rsid w:val="31B09ED3"/>
    <w:rsid w:val="31B255DB"/>
    <w:rsid w:val="31BD9DBA"/>
    <w:rsid w:val="31CD483B"/>
    <w:rsid w:val="31E2E790"/>
    <w:rsid w:val="31EBF8FE"/>
    <w:rsid w:val="31ECB966"/>
    <w:rsid w:val="32064A52"/>
    <w:rsid w:val="32106CBA"/>
    <w:rsid w:val="321283CA"/>
    <w:rsid w:val="32164D1E"/>
    <w:rsid w:val="32453BD1"/>
    <w:rsid w:val="3249F316"/>
    <w:rsid w:val="325268F8"/>
    <w:rsid w:val="32725455"/>
    <w:rsid w:val="3284B722"/>
    <w:rsid w:val="329288B5"/>
    <w:rsid w:val="32C35A42"/>
    <w:rsid w:val="33124BEC"/>
    <w:rsid w:val="33357859"/>
    <w:rsid w:val="3351CC75"/>
    <w:rsid w:val="335F295B"/>
    <w:rsid w:val="33657BDA"/>
    <w:rsid w:val="3383C9DF"/>
    <w:rsid w:val="338603B9"/>
    <w:rsid w:val="3389421C"/>
    <w:rsid w:val="33945B46"/>
    <w:rsid w:val="3397E34D"/>
    <w:rsid w:val="339941E6"/>
    <w:rsid w:val="33A79C83"/>
    <w:rsid w:val="33CC5F29"/>
    <w:rsid w:val="33E56974"/>
    <w:rsid w:val="33EA0DB3"/>
    <w:rsid w:val="34033D63"/>
    <w:rsid w:val="340B14ED"/>
    <w:rsid w:val="341FB3B4"/>
    <w:rsid w:val="343872A4"/>
    <w:rsid w:val="3441057B"/>
    <w:rsid w:val="3449C52B"/>
    <w:rsid w:val="344B8017"/>
    <w:rsid w:val="347CF8CF"/>
    <w:rsid w:val="34A139A7"/>
    <w:rsid w:val="34A8802C"/>
    <w:rsid w:val="34DBDBC0"/>
    <w:rsid w:val="34E242E8"/>
    <w:rsid w:val="34ECBA01"/>
    <w:rsid w:val="34F5CEF1"/>
    <w:rsid w:val="350399D6"/>
    <w:rsid w:val="3516255C"/>
    <w:rsid w:val="35272C3E"/>
    <w:rsid w:val="35294935"/>
    <w:rsid w:val="35333770"/>
    <w:rsid w:val="35629B92"/>
    <w:rsid w:val="35832DDD"/>
    <w:rsid w:val="35B3AC2E"/>
    <w:rsid w:val="35B63353"/>
    <w:rsid w:val="35C2FBF5"/>
    <w:rsid w:val="35C59254"/>
    <w:rsid w:val="35C70482"/>
    <w:rsid w:val="35C82DEA"/>
    <w:rsid w:val="35C8397A"/>
    <w:rsid w:val="35C9DB4A"/>
    <w:rsid w:val="35CB2E0B"/>
    <w:rsid w:val="35CC066A"/>
    <w:rsid w:val="35D4FB5D"/>
    <w:rsid w:val="35E19E6C"/>
    <w:rsid w:val="35F7B1A1"/>
    <w:rsid w:val="35F90B88"/>
    <w:rsid w:val="360C2DCD"/>
    <w:rsid w:val="3613A98D"/>
    <w:rsid w:val="36171051"/>
    <w:rsid w:val="36355FF6"/>
    <w:rsid w:val="363F7587"/>
    <w:rsid w:val="36685D04"/>
    <w:rsid w:val="366D1AB4"/>
    <w:rsid w:val="368C0896"/>
    <w:rsid w:val="36AA23A5"/>
    <w:rsid w:val="36BF63E8"/>
    <w:rsid w:val="36C1B77D"/>
    <w:rsid w:val="36C5E19A"/>
    <w:rsid w:val="36D97995"/>
    <w:rsid w:val="3708698B"/>
    <w:rsid w:val="3744BB85"/>
    <w:rsid w:val="37611116"/>
    <w:rsid w:val="37666508"/>
    <w:rsid w:val="37667A36"/>
    <w:rsid w:val="378D4472"/>
    <w:rsid w:val="379C327A"/>
    <w:rsid w:val="37A1542B"/>
    <w:rsid w:val="37D11E41"/>
    <w:rsid w:val="37D31648"/>
    <w:rsid w:val="37D92FBE"/>
    <w:rsid w:val="37EB0228"/>
    <w:rsid w:val="37FF7BA0"/>
    <w:rsid w:val="380355C1"/>
    <w:rsid w:val="380989D1"/>
    <w:rsid w:val="3845ED77"/>
    <w:rsid w:val="3849AC9C"/>
    <w:rsid w:val="384AC092"/>
    <w:rsid w:val="38532444"/>
    <w:rsid w:val="386E80FC"/>
    <w:rsid w:val="3888BD5D"/>
    <w:rsid w:val="38896D86"/>
    <w:rsid w:val="389B27D4"/>
    <w:rsid w:val="38A0C355"/>
    <w:rsid w:val="38A12A5C"/>
    <w:rsid w:val="38E4269E"/>
    <w:rsid w:val="38E4388D"/>
    <w:rsid w:val="38FDAB49"/>
    <w:rsid w:val="3912D6EC"/>
    <w:rsid w:val="393961E3"/>
    <w:rsid w:val="393D6170"/>
    <w:rsid w:val="3947AFD5"/>
    <w:rsid w:val="394B72FD"/>
    <w:rsid w:val="395FFCBB"/>
    <w:rsid w:val="3961D6A1"/>
    <w:rsid w:val="396E348A"/>
    <w:rsid w:val="39796C8A"/>
    <w:rsid w:val="398442ED"/>
    <w:rsid w:val="398D02BD"/>
    <w:rsid w:val="39A2345B"/>
    <w:rsid w:val="39A7F215"/>
    <w:rsid w:val="39BA792C"/>
    <w:rsid w:val="39C1746D"/>
    <w:rsid w:val="39D8DDE4"/>
    <w:rsid w:val="39DD5203"/>
    <w:rsid w:val="39F5A455"/>
    <w:rsid w:val="39F6234E"/>
    <w:rsid w:val="3A08E4EA"/>
    <w:rsid w:val="3A0C4046"/>
    <w:rsid w:val="3A130E91"/>
    <w:rsid w:val="3A2911C7"/>
    <w:rsid w:val="3A3338FE"/>
    <w:rsid w:val="3A3A41C8"/>
    <w:rsid w:val="3A46D122"/>
    <w:rsid w:val="3A6AED5A"/>
    <w:rsid w:val="3A6DE6E1"/>
    <w:rsid w:val="3AB4B80A"/>
    <w:rsid w:val="3ABE69F8"/>
    <w:rsid w:val="3AD6CF08"/>
    <w:rsid w:val="3AE109E3"/>
    <w:rsid w:val="3AE44A5F"/>
    <w:rsid w:val="3AEEE2EA"/>
    <w:rsid w:val="3AF843C6"/>
    <w:rsid w:val="3AFEA424"/>
    <w:rsid w:val="3B4157E6"/>
    <w:rsid w:val="3B49E0B1"/>
    <w:rsid w:val="3B660F3F"/>
    <w:rsid w:val="3B6C96A3"/>
    <w:rsid w:val="3B76937C"/>
    <w:rsid w:val="3B8D1441"/>
    <w:rsid w:val="3BA1129A"/>
    <w:rsid w:val="3BAC1C5E"/>
    <w:rsid w:val="3BB71EBD"/>
    <w:rsid w:val="3BBF18D8"/>
    <w:rsid w:val="3BC303BE"/>
    <w:rsid w:val="3BD8F9F6"/>
    <w:rsid w:val="3C1C5FA1"/>
    <w:rsid w:val="3C4320CA"/>
    <w:rsid w:val="3C494DBD"/>
    <w:rsid w:val="3C6815C8"/>
    <w:rsid w:val="3C756333"/>
    <w:rsid w:val="3C79D012"/>
    <w:rsid w:val="3CA06575"/>
    <w:rsid w:val="3CA423AB"/>
    <w:rsid w:val="3CB49D62"/>
    <w:rsid w:val="3CC39901"/>
    <w:rsid w:val="3CC9B452"/>
    <w:rsid w:val="3CE93D7A"/>
    <w:rsid w:val="3CE9AA8C"/>
    <w:rsid w:val="3CEB0187"/>
    <w:rsid w:val="3D0E459A"/>
    <w:rsid w:val="3D2BA8BE"/>
    <w:rsid w:val="3D4141B6"/>
    <w:rsid w:val="3D4731CE"/>
    <w:rsid w:val="3D4784F8"/>
    <w:rsid w:val="3D48268B"/>
    <w:rsid w:val="3D4C7D5C"/>
    <w:rsid w:val="3D4F7218"/>
    <w:rsid w:val="3D54B267"/>
    <w:rsid w:val="3D56ABE0"/>
    <w:rsid w:val="3D7DBA78"/>
    <w:rsid w:val="3D8E0CD3"/>
    <w:rsid w:val="3D9F0A9C"/>
    <w:rsid w:val="3DB29C99"/>
    <w:rsid w:val="3DBDA425"/>
    <w:rsid w:val="3DD0819F"/>
    <w:rsid w:val="3DD6FA3C"/>
    <w:rsid w:val="3DDA8FBF"/>
    <w:rsid w:val="3DDF06A7"/>
    <w:rsid w:val="3DEB8211"/>
    <w:rsid w:val="3DEFBAA8"/>
    <w:rsid w:val="3DF04B03"/>
    <w:rsid w:val="3E01E0A3"/>
    <w:rsid w:val="3E02F3FC"/>
    <w:rsid w:val="3E2B6056"/>
    <w:rsid w:val="3E673207"/>
    <w:rsid w:val="3E6F7B56"/>
    <w:rsid w:val="3E73D00E"/>
    <w:rsid w:val="3EAE8696"/>
    <w:rsid w:val="3EBDC613"/>
    <w:rsid w:val="3EDF1410"/>
    <w:rsid w:val="3EE037F7"/>
    <w:rsid w:val="3EE86819"/>
    <w:rsid w:val="3EF3DC3F"/>
    <w:rsid w:val="3EFF99CE"/>
    <w:rsid w:val="3F1D5C7C"/>
    <w:rsid w:val="3F2396C8"/>
    <w:rsid w:val="3F3C6296"/>
    <w:rsid w:val="3F4CAEDF"/>
    <w:rsid w:val="3F4EDD1C"/>
    <w:rsid w:val="3F5BA497"/>
    <w:rsid w:val="3F6474F6"/>
    <w:rsid w:val="3F6DF929"/>
    <w:rsid w:val="3F7DE32A"/>
    <w:rsid w:val="3F89C33F"/>
    <w:rsid w:val="3F8C5539"/>
    <w:rsid w:val="3FC638F4"/>
    <w:rsid w:val="3FDD4215"/>
    <w:rsid w:val="3FE1B7FF"/>
    <w:rsid w:val="3FF3EAEF"/>
    <w:rsid w:val="4007A903"/>
    <w:rsid w:val="40131992"/>
    <w:rsid w:val="40187FB3"/>
    <w:rsid w:val="4020435D"/>
    <w:rsid w:val="4034F055"/>
    <w:rsid w:val="40399F1D"/>
    <w:rsid w:val="403C57AC"/>
    <w:rsid w:val="4042515B"/>
    <w:rsid w:val="40AA8005"/>
    <w:rsid w:val="40B85799"/>
    <w:rsid w:val="40CC5487"/>
    <w:rsid w:val="40DA45D0"/>
    <w:rsid w:val="4117C0DC"/>
    <w:rsid w:val="41399308"/>
    <w:rsid w:val="4140E0A8"/>
    <w:rsid w:val="41472A85"/>
    <w:rsid w:val="414C976A"/>
    <w:rsid w:val="415532DB"/>
    <w:rsid w:val="415CE2A7"/>
    <w:rsid w:val="4161DF72"/>
    <w:rsid w:val="4163FCAD"/>
    <w:rsid w:val="418D56B8"/>
    <w:rsid w:val="41C8E165"/>
    <w:rsid w:val="41CBED13"/>
    <w:rsid w:val="41CCF24F"/>
    <w:rsid w:val="42048236"/>
    <w:rsid w:val="420E3EEB"/>
    <w:rsid w:val="4212D315"/>
    <w:rsid w:val="42160C23"/>
    <w:rsid w:val="421844E8"/>
    <w:rsid w:val="425AA051"/>
    <w:rsid w:val="425E3ECB"/>
    <w:rsid w:val="426109E2"/>
    <w:rsid w:val="426E118B"/>
    <w:rsid w:val="426E7A5C"/>
    <w:rsid w:val="4272011B"/>
    <w:rsid w:val="42767BC8"/>
    <w:rsid w:val="42790B66"/>
    <w:rsid w:val="42809249"/>
    <w:rsid w:val="4288F0D8"/>
    <w:rsid w:val="4294DF75"/>
    <w:rsid w:val="429C6BE4"/>
    <w:rsid w:val="42A50DF3"/>
    <w:rsid w:val="42C2E824"/>
    <w:rsid w:val="42CF1E8D"/>
    <w:rsid w:val="42E5E1FB"/>
    <w:rsid w:val="42FE58F6"/>
    <w:rsid w:val="4303B6F0"/>
    <w:rsid w:val="4323E1B8"/>
    <w:rsid w:val="43330872"/>
    <w:rsid w:val="433E50AB"/>
    <w:rsid w:val="43536B3C"/>
    <w:rsid w:val="4356F899"/>
    <w:rsid w:val="435FF7D7"/>
    <w:rsid w:val="4364CBEA"/>
    <w:rsid w:val="43759A65"/>
    <w:rsid w:val="438B3F9B"/>
    <w:rsid w:val="43AAF71D"/>
    <w:rsid w:val="43BF9F2A"/>
    <w:rsid w:val="43C0BE3D"/>
    <w:rsid w:val="43CC7B94"/>
    <w:rsid w:val="43DA863E"/>
    <w:rsid w:val="43DF1D11"/>
    <w:rsid w:val="43E3414B"/>
    <w:rsid w:val="43E5A671"/>
    <w:rsid w:val="4429ABBD"/>
    <w:rsid w:val="4429BB3C"/>
    <w:rsid w:val="4439E49C"/>
    <w:rsid w:val="445277C3"/>
    <w:rsid w:val="445C518E"/>
    <w:rsid w:val="4471F474"/>
    <w:rsid w:val="4489C360"/>
    <w:rsid w:val="44978150"/>
    <w:rsid w:val="44A2B5E2"/>
    <w:rsid w:val="44A6D873"/>
    <w:rsid w:val="44B2D016"/>
    <w:rsid w:val="44DED603"/>
    <w:rsid w:val="44F53A05"/>
    <w:rsid w:val="44F765F2"/>
    <w:rsid w:val="44FAA71D"/>
    <w:rsid w:val="4504DD72"/>
    <w:rsid w:val="4514935E"/>
    <w:rsid w:val="45163CEE"/>
    <w:rsid w:val="451E313F"/>
    <w:rsid w:val="45319F26"/>
    <w:rsid w:val="4552BD5B"/>
    <w:rsid w:val="456DBDDE"/>
    <w:rsid w:val="4580A93B"/>
    <w:rsid w:val="45A22D57"/>
    <w:rsid w:val="45BAA08E"/>
    <w:rsid w:val="45D3F6BC"/>
    <w:rsid w:val="45E18088"/>
    <w:rsid w:val="45E9CADC"/>
    <w:rsid w:val="45EAF4C1"/>
    <w:rsid w:val="45FB9250"/>
    <w:rsid w:val="45FC6CC3"/>
    <w:rsid w:val="464D6B25"/>
    <w:rsid w:val="465AF3F1"/>
    <w:rsid w:val="46826BD5"/>
    <w:rsid w:val="4691C2F0"/>
    <w:rsid w:val="4691EB05"/>
    <w:rsid w:val="46A24467"/>
    <w:rsid w:val="46AD404F"/>
    <w:rsid w:val="46B08918"/>
    <w:rsid w:val="46CA0950"/>
    <w:rsid w:val="46D76EF3"/>
    <w:rsid w:val="46D87092"/>
    <w:rsid w:val="46E49BD2"/>
    <w:rsid w:val="471A0B4B"/>
    <w:rsid w:val="47346A16"/>
    <w:rsid w:val="47365425"/>
    <w:rsid w:val="475BD6B0"/>
    <w:rsid w:val="4781EFD7"/>
    <w:rsid w:val="478B95C9"/>
    <w:rsid w:val="4798DBF5"/>
    <w:rsid w:val="47AF429A"/>
    <w:rsid w:val="47B54C25"/>
    <w:rsid w:val="47C935B0"/>
    <w:rsid w:val="47CD8079"/>
    <w:rsid w:val="47D644A8"/>
    <w:rsid w:val="47E6356B"/>
    <w:rsid w:val="47ED38F4"/>
    <w:rsid w:val="47F11ACF"/>
    <w:rsid w:val="480A2318"/>
    <w:rsid w:val="4810A1EF"/>
    <w:rsid w:val="481ACE0C"/>
    <w:rsid w:val="481C0184"/>
    <w:rsid w:val="4826181B"/>
    <w:rsid w:val="483C6F89"/>
    <w:rsid w:val="484B4202"/>
    <w:rsid w:val="48517B70"/>
    <w:rsid w:val="48938CB0"/>
    <w:rsid w:val="48A360E5"/>
    <w:rsid w:val="48BAC733"/>
    <w:rsid w:val="48BE3F19"/>
    <w:rsid w:val="48DDC7E4"/>
    <w:rsid w:val="490BE2EC"/>
    <w:rsid w:val="4915E2C8"/>
    <w:rsid w:val="491792B1"/>
    <w:rsid w:val="491B9E1A"/>
    <w:rsid w:val="49210FE1"/>
    <w:rsid w:val="494F125C"/>
    <w:rsid w:val="495375CE"/>
    <w:rsid w:val="496DC7D4"/>
    <w:rsid w:val="49713233"/>
    <w:rsid w:val="49767652"/>
    <w:rsid w:val="49976A40"/>
    <w:rsid w:val="499ED14B"/>
    <w:rsid w:val="49A22561"/>
    <w:rsid w:val="49A4063F"/>
    <w:rsid w:val="49AF885F"/>
    <w:rsid w:val="49B93FF4"/>
    <w:rsid w:val="49BDA3E9"/>
    <w:rsid w:val="49C4A25A"/>
    <w:rsid w:val="49C59B4C"/>
    <w:rsid w:val="49C9F49D"/>
    <w:rsid w:val="49CAFD9B"/>
    <w:rsid w:val="49DB2C09"/>
    <w:rsid w:val="49DD244B"/>
    <w:rsid w:val="49DDE806"/>
    <w:rsid w:val="49E15405"/>
    <w:rsid w:val="49E535EA"/>
    <w:rsid w:val="49EBD717"/>
    <w:rsid w:val="49F4FCCC"/>
    <w:rsid w:val="49FD628D"/>
    <w:rsid w:val="4A071C2F"/>
    <w:rsid w:val="4A190CAB"/>
    <w:rsid w:val="4A1EFC78"/>
    <w:rsid w:val="4A401533"/>
    <w:rsid w:val="4A452C09"/>
    <w:rsid w:val="4A4B4B3C"/>
    <w:rsid w:val="4A50C04F"/>
    <w:rsid w:val="4A6F136D"/>
    <w:rsid w:val="4A7B5621"/>
    <w:rsid w:val="4AA4EB07"/>
    <w:rsid w:val="4AB04A39"/>
    <w:rsid w:val="4ABBDD39"/>
    <w:rsid w:val="4AECA5EC"/>
    <w:rsid w:val="4B2212D5"/>
    <w:rsid w:val="4B2C7417"/>
    <w:rsid w:val="4B4D9948"/>
    <w:rsid w:val="4B734A93"/>
    <w:rsid w:val="4B7C9ACE"/>
    <w:rsid w:val="4B96A9FE"/>
    <w:rsid w:val="4BA1AD44"/>
    <w:rsid w:val="4BB3CBCC"/>
    <w:rsid w:val="4BBE5F28"/>
    <w:rsid w:val="4BE77A00"/>
    <w:rsid w:val="4BED7234"/>
    <w:rsid w:val="4C02F8E1"/>
    <w:rsid w:val="4C05DD66"/>
    <w:rsid w:val="4C297FAC"/>
    <w:rsid w:val="4C39AD07"/>
    <w:rsid w:val="4C39EB9E"/>
    <w:rsid w:val="4C47F3A9"/>
    <w:rsid w:val="4C4B82D4"/>
    <w:rsid w:val="4C4DB576"/>
    <w:rsid w:val="4C4DC369"/>
    <w:rsid w:val="4C5A6644"/>
    <w:rsid w:val="4C64FA52"/>
    <w:rsid w:val="4C77AD83"/>
    <w:rsid w:val="4C7FE702"/>
    <w:rsid w:val="4C84BEA9"/>
    <w:rsid w:val="4CF23CC6"/>
    <w:rsid w:val="4CFB4841"/>
    <w:rsid w:val="4D053434"/>
    <w:rsid w:val="4D2364B2"/>
    <w:rsid w:val="4D2C5D38"/>
    <w:rsid w:val="4D449650"/>
    <w:rsid w:val="4D4FACD3"/>
    <w:rsid w:val="4D5DE143"/>
    <w:rsid w:val="4D5F147D"/>
    <w:rsid w:val="4D61AD9C"/>
    <w:rsid w:val="4D6A0A9B"/>
    <w:rsid w:val="4D6CD5B2"/>
    <w:rsid w:val="4D6DDB3C"/>
    <w:rsid w:val="4D777349"/>
    <w:rsid w:val="4D8852C8"/>
    <w:rsid w:val="4D894B23"/>
    <w:rsid w:val="4DA5D8FB"/>
    <w:rsid w:val="4DAE96E2"/>
    <w:rsid w:val="4DDA2DA7"/>
    <w:rsid w:val="4DDC8D73"/>
    <w:rsid w:val="4DE6CBE8"/>
    <w:rsid w:val="4DEA8C42"/>
    <w:rsid w:val="4DEBA3E6"/>
    <w:rsid w:val="4E119F4B"/>
    <w:rsid w:val="4E278613"/>
    <w:rsid w:val="4E28DF2A"/>
    <w:rsid w:val="4E3C447E"/>
    <w:rsid w:val="4E40069F"/>
    <w:rsid w:val="4E465359"/>
    <w:rsid w:val="4E49C172"/>
    <w:rsid w:val="4E50BB4E"/>
    <w:rsid w:val="4EA6CE06"/>
    <w:rsid w:val="4EC0930E"/>
    <w:rsid w:val="4EDD70D2"/>
    <w:rsid w:val="4EE5E491"/>
    <w:rsid w:val="4EE85D19"/>
    <w:rsid w:val="4EE8C17C"/>
    <w:rsid w:val="4EFE4780"/>
    <w:rsid w:val="4F20153D"/>
    <w:rsid w:val="4F261A55"/>
    <w:rsid w:val="4F32BCD7"/>
    <w:rsid w:val="4F3A0513"/>
    <w:rsid w:val="4F3CCE28"/>
    <w:rsid w:val="4F582A9C"/>
    <w:rsid w:val="4F59431E"/>
    <w:rsid w:val="4F7C4184"/>
    <w:rsid w:val="4F86534B"/>
    <w:rsid w:val="4F87677F"/>
    <w:rsid w:val="4FBA1C4F"/>
    <w:rsid w:val="4FBDE5AC"/>
    <w:rsid w:val="4FDE3D5D"/>
    <w:rsid w:val="4FE894CA"/>
    <w:rsid w:val="4FF37F75"/>
    <w:rsid w:val="4FFD5E66"/>
    <w:rsid w:val="50070B97"/>
    <w:rsid w:val="5009573B"/>
    <w:rsid w:val="502D8933"/>
    <w:rsid w:val="5030D8EB"/>
    <w:rsid w:val="50510652"/>
    <w:rsid w:val="505E1857"/>
    <w:rsid w:val="50694328"/>
    <w:rsid w:val="50835C81"/>
    <w:rsid w:val="5083621F"/>
    <w:rsid w:val="509AC04E"/>
    <w:rsid w:val="509B4B54"/>
    <w:rsid w:val="509E5979"/>
    <w:rsid w:val="50CC3BB4"/>
    <w:rsid w:val="50D3109D"/>
    <w:rsid w:val="50D4165F"/>
    <w:rsid w:val="51478697"/>
    <w:rsid w:val="5164EED9"/>
    <w:rsid w:val="517D2B1C"/>
    <w:rsid w:val="51926353"/>
    <w:rsid w:val="51A49551"/>
    <w:rsid w:val="51BD4A22"/>
    <w:rsid w:val="51DF5E54"/>
    <w:rsid w:val="5227C9AB"/>
    <w:rsid w:val="522EC6C1"/>
    <w:rsid w:val="526BBC69"/>
    <w:rsid w:val="52715171"/>
    <w:rsid w:val="528CFE69"/>
    <w:rsid w:val="529B2862"/>
    <w:rsid w:val="52CA3617"/>
    <w:rsid w:val="52D620CE"/>
    <w:rsid w:val="52EC808C"/>
    <w:rsid w:val="52F77320"/>
    <w:rsid w:val="53162E5F"/>
    <w:rsid w:val="531E4FFF"/>
    <w:rsid w:val="5324D38D"/>
    <w:rsid w:val="5337715B"/>
    <w:rsid w:val="53561566"/>
    <w:rsid w:val="5358B183"/>
    <w:rsid w:val="539CF108"/>
    <w:rsid w:val="53A6E33C"/>
    <w:rsid w:val="53D6FC00"/>
    <w:rsid w:val="53F43802"/>
    <w:rsid w:val="53FD0BFB"/>
    <w:rsid w:val="5401CC82"/>
    <w:rsid w:val="5403B30C"/>
    <w:rsid w:val="54180B32"/>
    <w:rsid w:val="54333F87"/>
    <w:rsid w:val="5446E777"/>
    <w:rsid w:val="544C29C8"/>
    <w:rsid w:val="545EC23F"/>
    <w:rsid w:val="54883B47"/>
    <w:rsid w:val="54A57500"/>
    <w:rsid w:val="54E09919"/>
    <w:rsid w:val="54FAD9FD"/>
    <w:rsid w:val="54FE6D5A"/>
    <w:rsid w:val="550149AC"/>
    <w:rsid w:val="55172FEB"/>
    <w:rsid w:val="5525563B"/>
    <w:rsid w:val="55339695"/>
    <w:rsid w:val="554C0742"/>
    <w:rsid w:val="55574924"/>
    <w:rsid w:val="55909789"/>
    <w:rsid w:val="55ABEA18"/>
    <w:rsid w:val="5600FC36"/>
    <w:rsid w:val="561A973A"/>
    <w:rsid w:val="563C95DA"/>
    <w:rsid w:val="56D76E6E"/>
    <w:rsid w:val="56DCF35D"/>
    <w:rsid w:val="56E764E2"/>
    <w:rsid w:val="56ED629A"/>
    <w:rsid w:val="570E1A4F"/>
    <w:rsid w:val="572121F0"/>
    <w:rsid w:val="572EBC7F"/>
    <w:rsid w:val="5732CF96"/>
    <w:rsid w:val="5793072A"/>
    <w:rsid w:val="579BAFD1"/>
    <w:rsid w:val="57A8E0DB"/>
    <w:rsid w:val="57AE6E1A"/>
    <w:rsid w:val="57AF1F38"/>
    <w:rsid w:val="57CBD8C6"/>
    <w:rsid w:val="58002D31"/>
    <w:rsid w:val="58102711"/>
    <w:rsid w:val="5815FF0C"/>
    <w:rsid w:val="581EC7B1"/>
    <w:rsid w:val="5826F3E4"/>
    <w:rsid w:val="58383F8A"/>
    <w:rsid w:val="58487B9F"/>
    <w:rsid w:val="5853439A"/>
    <w:rsid w:val="585F1993"/>
    <w:rsid w:val="5873D000"/>
    <w:rsid w:val="5875E7C4"/>
    <w:rsid w:val="587D25BF"/>
    <w:rsid w:val="58B9CD8F"/>
    <w:rsid w:val="58D49EE4"/>
    <w:rsid w:val="58D4F40E"/>
    <w:rsid w:val="58EAF6A7"/>
    <w:rsid w:val="5904CB33"/>
    <w:rsid w:val="59143613"/>
    <w:rsid w:val="5920BABC"/>
    <w:rsid w:val="59222A1A"/>
    <w:rsid w:val="592BB40A"/>
    <w:rsid w:val="592D4780"/>
    <w:rsid w:val="594AA9A6"/>
    <w:rsid w:val="59522B6B"/>
    <w:rsid w:val="5984873D"/>
    <w:rsid w:val="59925086"/>
    <w:rsid w:val="59AB7B93"/>
    <w:rsid w:val="59BBE7E6"/>
    <w:rsid w:val="59E829E7"/>
    <w:rsid w:val="59E999AD"/>
    <w:rsid w:val="5A0E3E1C"/>
    <w:rsid w:val="5A128CB1"/>
    <w:rsid w:val="5A200E70"/>
    <w:rsid w:val="5A408166"/>
    <w:rsid w:val="5A520659"/>
    <w:rsid w:val="5A717AC1"/>
    <w:rsid w:val="5A72D886"/>
    <w:rsid w:val="5A7F71E7"/>
    <w:rsid w:val="5AAB66F5"/>
    <w:rsid w:val="5ACC4522"/>
    <w:rsid w:val="5ADAE0D0"/>
    <w:rsid w:val="5AE1691A"/>
    <w:rsid w:val="5AEC2069"/>
    <w:rsid w:val="5AFC95F3"/>
    <w:rsid w:val="5B02D053"/>
    <w:rsid w:val="5B0E81BB"/>
    <w:rsid w:val="5B12623A"/>
    <w:rsid w:val="5B13D8E7"/>
    <w:rsid w:val="5B1C30B8"/>
    <w:rsid w:val="5B2448CD"/>
    <w:rsid w:val="5B4BD7BE"/>
    <w:rsid w:val="5B628A4F"/>
    <w:rsid w:val="5B8351F0"/>
    <w:rsid w:val="5B955E02"/>
    <w:rsid w:val="5BA9CF04"/>
    <w:rsid w:val="5BC5CF89"/>
    <w:rsid w:val="5BCC4E99"/>
    <w:rsid w:val="5BD333F2"/>
    <w:rsid w:val="5BEED0F9"/>
    <w:rsid w:val="5C05073B"/>
    <w:rsid w:val="5C09B061"/>
    <w:rsid w:val="5C2BE553"/>
    <w:rsid w:val="5C2C4A29"/>
    <w:rsid w:val="5C3BB8DF"/>
    <w:rsid w:val="5C508C9E"/>
    <w:rsid w:val="5C723463"/>
    <w:rsid w:val="5C8DBC5C"/>
    <w:rsid w:val="5C98A525"/>
    <w:rsid w:val="5C99ADD6"/>
    <w:rsid w:val="5C9B6675"/>
    <w:rsid w:val="5CA10209"/>
    <w:rsid w:val="5CADCAF7"/>
    <w:rsid w:val="5CB3D645"/>
    <w:rsid w:val="5CB533DE"/>
    <w:rsid w:val="5CC27F3B"/>
    <w:rsid w:val="5CC78B86"/>
    <w:rsid w:val="5CD62A3D"/>
    <w:rsid w:val="5CDB05C2"/>
    <w:rsid w:val="5CE67F3D"/>
    <w:rsid w:val="5CFAF38D"/>
    <w:rsid w:val="5D241A68"/>
    <w:rsid w:val="5D48FAA8"/>
    <w:rsid w:val="5D5ABD48"/>
    <w:rsid w:val="5D5E9C7F"/>
    <w:rsid w:val="5D610325"/>
    <w:rsid w:val="5D7B0255"/>
    <w:rsid w:val="5D7E1A1F"/>
    <w:rsid w:val="5DA7068A"/>
    <w:rsid w:val="5DCF5CF6"/>
    <w:rsid w:val="5DD8C218"/>
    <w:rsid w:val="5DE01D64"/>
    <w:rsid w:val="5E18C72A"/>
    <w:rsid w:val="5E198432"/>
    <w:rsid w:val="5E2E2FEF"/>
    <w:rsid w:val="5E3883E1"/>
    <w:rsid w:val="5E53144A"/>
    <w:rsid w:val="5E5FEB44"/>
    <w:rsid w:val="5E96A573"/>
    <w:rsid w:val="5EBD9B06"/>
    <w:rsid w:val="5EDE86B9"/>
    <w:rsid w:val="5F08FE5E"/>
    <w:rsid w:val="5F1864E8"/>
    <w:rsid w:val="5F2585E1"/>
    <w:rsid w:val="5F3A7B09"/>
    <w:rsid w:val="5F3BDA5E"/>
    <w:rsid w:val="5F400199"/>
    <w:rsid w:val="5F400B56"/>
    <w:rsid w:val="5F4A016D"/>
    <w:rsid w:val="5F5C8745"/>
    <w:rsid w:val="5F5D28C2"/>
    <w:rsid w:val="5F64350B"/>
    <w:rsid w:val="5F67DDFF"/>
    <w:rsid w:val="5FA6238A"/>
    <w:rsid w:val="5FB296AE"/>
    <w:rsid w:val="5FC32EC3"/>
    <w:rsid w:val="5FCA2A34"/>
    <w:rsid w:val="5FCC69F3"/>
    <w:rsid w:val="5FEA1508"/>
    <w:rsid w:val="5FF2B67F"/>
    <w:rsid w:val="5FF66F8F"/>
    <w:rsid w:val="5FF7B10A"/>
    <w:rsid w:val="600DF576"/>
    <w:rsid w:val="602F1A41"/>
    <w:rsid w:val="6032A7CC"/>
    <w:rsid w:val="60371E8E"/>
    <w:rsid w:val="60391201"/>
    <w:rsid w:val="603AFE49"/>
    <w:rsid w:val="6043EEA9"/>
    <w:rsid w:val="605681C8"/>
    <w:rsid w:val="60588EB0"/>
    <w:rsid w:val="6063692B"/>
    <w:rsid w:val="6080E2F0"/>
    <w:rsid w:val="60957BEB"/>
    <w:rsid w:val="6097F2E0"/>
    <w:rsid w:val="60A817C8"/>
    <w:rsid w:val="60AAF403"/>
    <w:rsid w:val="60AB7C08"/>
    <w:rsid w:val="60B403A9"/>
    <w:rsid w:val="60CA8031"/>
    <w:rsid w:val="60D10D89"/>
    <w:rsid w:val="60D20079"/>
    <w:rsid w:val="60E0B1B6"/>
    <w:rsid w:val="60E2198B"/>
    <w:rsid w:val="61398BA9"/>
    <w:rsid w:val="613AB612"/>
    <w:rsid w:val="614BE8FB"/>
    <w:rsid w:val="61567658"/>
    <w:rsid w:val="615F6E4A"/>
    <w:rsid w:val="6188A365"/>
    <w:rsid w:val="618A844A"/>
    <w:rsid w:val="618DA033"/>
    <w:rsid w:val="61A5610C"/>
    <w:rsid w:val="61B655F2"/>
    <w:rsid w:val="61CD1892"/>
    <w:rsid w:val="61CE8BED"/>
    <w:rsid w:val="61DFBF64"/>
    <w:rsid w:val="61E2CD95"/>
    <w:rsid w:val="61F7C210"/>
    <w:rsid w:val="620DCDA6"/>
    <w:rsid w:val="62305BC8"/>
    <w:rsid w:val="62318DA4"/>
    <w:rsid w:val="6234BE41"/>
    <w:rsid w:val="623A3209"/>
    <w:rsid w:val="623D3AFE"/>
    <w:rsid w:val="623FCC13"/>
    <w:rsid w:val="6243B8EB"/>
    <w:rsid w:val="6248C519"/>
    <w:rsid w:val="62523E77"/>
    <w:rsid w:val="62769EBA"/>
    <w:rsid w:val="6286A974"/>
    <w:rsid w:val="62982763"/>
    <w:rsid w:val="62A0F30E"/>
    <w:rsid w:val="62A1E3CB"/>
    <w:rsid w:val="62A303F5"/>
    <w:rsid w:val="6309D39D"/>
    <w:rsid w:val="630C99C7"/>
    <w:rsid w:val="632C4A21"/>
    <w:rsid w:val="632E2BFA"/>
    <w:rsid w:val="6343979D"/>
    <w:rsid w:val="63456A11"/>
    <w:rsid w:val="635A4E76"/>
    <w:rsid w:val="63657927"/>
    <w:rsid w:val="63757178"/>
    <w:rsid w:val="637D18D7"/>
    <w:rsid w:val="637EB0F4"/>
    <w:rsid w:val="639B15EC"/>
    <w:rsid w:val="639E86A9"/>
    <w:rsid w:val="63CBB492"/>
    <w:rsid w:val="63ECF6A5"/>
    <w:rsid w:val="64477FFA"/>
    <w:rsid w:val="644FBA76"/>
    <w:rsid w:val="645B0658"/>
    <w:rsid w:val="646CE35C"/>
    <w:rsid w:val="646E0933"/>
    <w:rsid w:val="6482DAF1"/>
    <w:rsid w:val="64A51F1F"/>
    <w:rsid w:val="64A95E55"/>
    <w:rsid w:val="64D66A9A"/>
    <w:rsid w:val="64F265E2"/>
    <w:rsid w:val="64F27E70"/>
    <w:rsid w:val="64FBDD60"/>
    <w:rsid w:val="650E0F6D"/>
    <w:rsid w:val="650F3F5D"/>
    <w:rsid w:val="652FDF87"/>
    <w:rsid w:val="653D6CAF"/>
    <w:rsid w:val="655D8D9C"/>
    <w:rsid w:val="657D03D5"/>
    <w:rsid w:val="65835EAE"/>
    <w:rsid w:val="65D40665"/>
    <w:rsid w:val="660D5127"/>
    <w:rsid w:val="661EE476"/>
    <w:rsid w:val="6637D180"/>
    <w:rsid w:val="66466844"/>
    <w:rsid w:val="665AFEC1"/>
    <w:rsid w:val="666BF557"/>
    <w:rsid w:val="666D6820"/>
    <w:rsid w:val="66735E4D"/>
    <w:rsid w:val="667657C3"/>
    <w:rsid w:val="667D41CC"/>
    <w:rsid w:val="669D716C"/>
    <w:rsid w:val="66DBDED4"/>
    <w:rsid w:val="66E3ECE5"/>
    <w:rsid w:val="66E5B998"/>
    <w:rsid w:val="6711C32F"/>
    <w:rsid w:val="671712EC"/>
    <w:rsid w:val="672622BA"/>
    <w:rsid w:val="673CE5A2"/>
    <w:rsid w:val="673F5DCC"/>
    <w:rsid w:val="675FF521"/>
    <w:rsid w:val="67626AB1"/>
    <w:rsid w:val="676F8CB9"/>
    <w:rsid w:val="678293CB"/>
    <w:rsid w:val="67B58298"/>
    <w:rsid w:val="67BCD7AA"/>
    <w:rsid w:val="681C1768"/>
    <w:rsid w:val="68243D0C"/>
    <w:rsid w:val="6867F3DF"/>
    <w:rsid w:val="686B56EF"/>
    <w:rsid w:val="6872AC7B"/>
    <w:rsid w:val="68B32C5B"/>
    <w:rsid w:val="68B4448A"/>
    <w:rsid w:val="68B72B42"/>
    <w:rsid w:val="68D668CC"/>
    <w:rsid w:val="68F5A2F4"/>
    <w:rsid w:val="692C3341"/>
    <w:rsid w:val="6942C6B1"/>
    <w:rsid w:val="6971CA17"/>
    <w:rsid w:val="69767F7C"/>
    <w:rsid w:val="698E7B02"/>
    <w:rsid w:val="69960DD6"/>
    <w:rsid w:val="699A7985"/>
    <w:rsid w:val="699CB9CC"/>
    <w:rsid w:val="69A15C60"/>
    <w:rsid w:val="69A32186"/>
    <w:rsid w:val="69C0450D"/>
    <w:rsid w:val="69C06141"/>
    <w:rsid w:val="69D260EC"/>
    <w:rsid w:val="69F3FC7B"/>
    <w:rsid w:val="6A01149B"/>
    <w:rsid w:val="6A047C96"/>
    <w:rsid w:val="6A1B326C"/>
    <w:rsid w:val="6A355153"/>
    <w:rsid w:val="6A406366"/>
    <w:rsid w:val="6A5C33CA"/>
    <w:rsid w:val="6A61F9B3"/>
    <w:rsid w:val="6A639657"/>
    <w:rsid w:val="6A6515DD"/>
    <w:rsid w:val="6A9195E6"/>
    <w:rsid w:val="6A9478E8"/>
    <w:rsid w:val="6A952A91"/>
    <w:rsid w:val="6AE4548C"/>
    <w:rsid w:val="6AF676F4"/>
    <w:rsid w:val="6B080E2C"/>
    <w:rsid w:val="6B457452"/>
    <w:rsid w:val="6B795BDF"/>
    <w:rsid w:val="6BA4804F"/>
    <w:rsid w:val="6BAFA358"/>
    <w:rsid w:val="6BC15969"/>
    <w:rsid w:val="6C070603"/>
    <w:rsid w:val="6C3E4073"/>
    <w:rsid w:val="6C514AA6"/>
    <w:rsid w:val="6C529D86"/>
    <w:rsid w:val="6C5F6AB5"/>
    <w:rsid w:val="6C721DD8"/>
    <w:rsid w:val="6C906C3C"/>
    <w:rsid w:val="6CE1732A"/>
    <w:rsid w:val="6D3256CC"/>
    <w:rsid w:val="6D360D83"/>
    <w:rsid w:val="6D3AA7F4"/>
    <w:rsid w:val="6D3E281F"/>
    <w:rsid w:val="6D48D00A"/>
    <w:rsid w:val="6D4A1903"/>
    <w:rsid w:val="6D4BC515"/>
    <w:rsid w:val="6D597E9F"/>
    <w:rsid w:val="6DA4AE69"/>
    <w:rsid w:val="6DB3B951"/>
    <w:rsid w:val="6DC34E2A"/>
    <w:rsid w:val="6DC843B4"/>
    <w:rsid w:val="6DDB67DA"/>
    <w:rsid w:val="6E0D4BB6"/>
    <w:rsid w:val="6E1741ED"/>
    <w:rsid w:val="6E1DA760"/>
    <w:rsid w:val="6E1ED087"/>
    <w:rsid w:val="6E37B8DD"/>
    <w:rsid w:val="6E4CEBD7"/>
    <w:rsid w:val="6E5F104D"/>
    <w:rsid w:val="6E7C0B2D"/>
    <w:rsid w:val="6E8508D3"/>
    <w:rsid w:val="6EB31005"/>
    <w:rsid w:val="6EC7BFA6"/>
    <w:rsid w:val="6ED9873B"/>
    <w:rsid w:val="6EF2DD2E"/>
    <w:rsid w:val="6EF3C29E"/>
    <w:rsid w:val="6F0DC3F4"/>
    <w:rsid w:val="6F114AEA"/>
    <w:rsid w:val="6F2FC83B"/>
    <w:rsid w:val="6F3E7C6B"/>
    <w:rsid w:val="6F59BD07"/>
    <w:rsid w:val="6F5BF4FA"/>
    <w:rsid w:val="6F65CF00"/>
    <w:rsid w:val="6F72318C"/>
    <w:rsid w:val="6F86ED43"/>
    <w:rsid w:val="6F98549E"/>
    <w:rsid w:val="6F9D334C"/>
    <w:rsid w:val="6FA8FD42"/>
    <w:rsid w:val="6FB93639"/>
    <w:rsid w:val="6FCB4005"/>
    <w:rsid w:val="6FCCE058"/>
    <w:rsid w:val="6FD35C8F"/>
    <w:rsid w:val="6FD59B41"/>
    <w:rsid w:val="6FD9CA5A"/>
    <w:rsid w:val="70118B9D"/>
    <w:rsid w:val="702589FA"/>
    <w:rsid w:val="7036BC80"/>
    <w:rsid w:val="70426046"/>
    <w:rsid w:val="7049B36A"/>
    <w:rsid w:val="704F34E1"/>
    <w:rsid w:val="7056B6C4"/>
    <w:rsid w:val="707E885C"/>
    <w:rsid w:val="70811ACB"/>
    <w:rsid w:val="70867B8D"/>
    <w:rsid w:val="709614C8"/>
    <w:rsid w:val="70A2F3B4"/>
    <w:rsid w:val="70C7C745"/>
    <w:rsid w:val="70C80FBF"/>
    <w:rsid w:val="70D4797F"/>
    <w:rsid w:val="70EB0D26"/>
    <w:rsid w:val="71004931"/>
    <w:rsid w:val="71064130"/>
    <w:rsid w:val="711513F1"/>
    <w:rsid w:val="71155DA9"/>
    <w:rsid w:val="71418D24"/>
    <w:rsid w:val="7142AE9D"/>
    <w:rsid w:val="7149A7E5"/>
    <w:rsid w:val="714D504C"/>
    <w:rsid w:val="715AE255"/>
    <w:rsid w:val="715D4AC5"/>
    <w:rsid w:val="715D9B97"/>
    <w:rsid w:val="7165897F"/>
    <w:rsid w:val="7199F7BE"/>
    <w:rsid w:val="71A70612"/>
    <w:rsid w:val="71D4EBFF"/>
    <w:rsid w:val="71FB2DA6"/>
    <w:rsid w:val="7228EDEA"/>
    <w:rsid w:val="723BAE7D"/>
    <w:rsid w:val="72600D7A"/>
    <w:rsid w:val="726A3AA5"/>
    <w:rsid w:val="72AF4BFF"/>
    <w:rsid w:val="72B91941"/>
    <w:rsid w:val="72C2BC3B"/>
    <w:rsid w:val="72D666BB"/>
    <w:rsid w:val="7302EDCE"/>
    <w:rsid w:val="7319DC0F"/>
    <w:rsid w:val="7324C5E5"/>
    <w:rsid w:val="7327B82E"/>
    <w:rsid w:val="73284F87"/>
    <w:rsid w:val="73319118"/>
    <w:rsid w:val="735904FF"/>
    <w:rsid w:val="737D5943"/>
    <w:rsid w:val="7389223B"/>
    <w:rsid w:val="73B98CCA"/>
    <w:rsid w:val="73C1C81B"/>
    <w:rsid w:val="73C6CA4E"/>
    <w:rsid w:val="73C7BFC9"/>
    <w:rsid w:val="73D6148E"/>
    <w:rsid w:val="73D7DCA5"/>
    <w:rsid w:val="73D8D60F"/>
    <w:rsid w:val="73DA7A25"/>
    <w:rsid w:val="7420B582"/>
    <w:rsid w:val="74370ECD"/>
    <w:rsid w:val="7439921C"/>
    <w:rsid w:val="745C1079"/>
    <w:rsid w:val="74633DEC"/>
    <w:rsid w:val="748773FA"/>
    <w:rsid w:val="7495E190"/>
    <w:rsid w:val="749E2849"/>
    <w:rsid w:val="74A81BB7"/>
    <w:rsid w:val="74BFA726"/>
    <w:rsid w:val="74D673D5"/>
    <w:rsid w:val="74DB19B8"/>
    <w:rsid w:val="74E8D1B4"/>
    <w:rsid w:val="74EFDD43"/>
    <w:rsid w:val="75114F1D"/>
    <w:rsid w:val="753AB8CC"/>
    <w:rsid w:val="754861C4"/>
    <w:rsid w:val="754D1471"/>
    <w:rsid w:val="7554654E"/>
    <w:rsid w:val="7561C115"/>
    <w:rsid w:val="7571AC4A"/>
    <w:rsid w:val="7576B00D"/>
    <w:rsid w:val="758226FC"/>
    <w:rsid w:val="759E02E6"/>
    <w:rsid w:val="75A1F892"/>
    <w:rsid w:val="75C6D943"/>
    <w:rsid w:val="75DA7289"/>
    <w:rsid w:val="75DED1EC"/>
    <w:rsid w:val="760AD900"/>
    <w:rsid w:val="760FEEDD"/>
    <w:rsid w:val="767C9AAD"/>
    <w:rsid w:val="7683C4B0"/>
    <w:rsid w:val="76900F33"/>
    <w:rsid w:val="76972E5E"/>
    <w:rsid w:val="769CF161"/>
    <w:rsid w:val="76AE1F89"/>
    <w:rsid w:val="76D0CA9F"/>
    <w:rsid w:val="770EA48F"/>
    <w:rsid w:val="7724665A"/>
    <w:rsid w:val="773D412E"/>
    <w:rsid w:val="775CBD0A"/>
    <w:rsid w:val="7780BAB3"/>
    <w:rsid w:val="7785E83E"/>
    <w:rsid w:val="778751D9"/>
    <w:rsid w:val="778C3687"/>
    <w:rsid w:val="7791D5AF"/>
    <w:rsid w:val="77A3D591"/>
    <w:rsid w:val="77A5B694"/>
    <w:rsid w:val="77DB3BA2"/>
    <w:rsid w:val="780DB7C8"/>
    <w:rsid w:val="781D4162"/>
    <w:rsid w:val="78378E57"/>
    <w:rsid w:val="786DEFBA"/>
    <w:rsid w:val="78A6409B"/>
    <w:rsid w:val="78A7A8B8"/>
    <w:rsid w:val="78D213DD"/>
    <w:rsid w:val="78D3D172"/>
    <w:rsid w:val="78D451F6"/>
    <w:rsid w:val="78D8E997"/>
    <w:rsid w:val="78E6EE97"/>
    <w:rsid w:val="78F3830D"/>
    <w:rsid w:val="790BECCE"/>
    <w:rsid w:val="7916669E"/>
    <w:rsid w:val="79326C89"/>
    <w:rsid w:val="79326D4A"/>
    <w:rsid w:val="7934EDBE"/>
    <w:rsid w:val="793B2FD0"/>
    <w:rsid w:val="793F21DA"/>
    <w:rsid w:val="795E2CFF"/>
    <w:rsid w:val="797E1A4B"/>
    <w:rsid w:val="79980B5D"/>
    <w:rsid w:val="79BD596D"/>
    <w:rsid w:val="79CDC1F6"/>
    <w:rsid w:val="79CEFE8D"/>
    <w:rsid w:val="79D8333D"/>
    <w:rsid w:val="79FF806C"/>
    <w:rsid w:val="7A1144E7"/>
    <w:rsid w:val="7A1D580B"/>
    <w:rsid w:val="7A1DFABC"/>
    <w:rsid w:val="7A23588A"/>
    <w:rsid w:val="7A24511A"/>
    <w:rsid w:val="7A67675A"/>
    <w:rsid w:val="7A6EA20F"/>
    <w:rsid w:val="7A6F4DBB"/>
    <w:rsid w:val="7A70F096"/>
    <w:rsid w:val="7A8985B1"/>
    <w:rsid w:val="7A962DB7"/>
    <w:rsid w:val="7A987B32"/>
    <w:rsid w:val="7A9FB3D7"/>
    <w:rsid w:val="7AAFFEBB"/>
    <w:rsid w:val="7AB0D7A1"/>
    <w:rsid w:val="7AC3B310"/>
    <w:rsid w:val="7ACCAD2F"/>
    <w:rsid w:val="7AE67370"/>
    <w:rsid w:val="7B06C2CC"/>
    <w:rsid w:val="7B09E91E"/>
    <w:rsid w:val="7B32BD6C"/>
    <w:rsid w:val="7B4D3EB8"/>
    <w:rsid w:val="7B5629A1"/>
    <w:rsid w:val="7B5B5893"/>
    <w:rsid w:val="7B6BAA78"/>
    <w:rsid w:val="7B711CAC"/>
    <w:rsid w:val="7B7F986B"/>
    <w:rsid w:val="7B8FB692"/>
    <w:rsid w:val="7BA46231"/>
    <w:rsid w:val="7BB17187"/>
    <w:rsid w:val="7BB6169E"/>
    <w:rsid w:val="7BB6DB55"/>
    <w:rsid w:val="7BC1C01F"/>
    <w:rsid w:val="7BC37F9F"/>
    <w:rsid w:val="7BC6ECD0"/>
    <w:rsid w:val="7BE0E24E"/>
    <w:rsid w:val="7BE4B3BD"/>
    <w:rsid w:val="7BF56515"/>
    <w:rsid w:val="7C00686F"/>
    <w:rsid w:val="7C15C868"/>
    <w:rsid w:val="7C46F573"/>
    <w:rsid w:val="7C5289BE"/>
    <w:rsid w:val="7C5B04D7"/>
    <w:rsid w:val="7C5C32EC"/>
    <w:rsid w:val="7C6055FF"/>
    <w:rsid w:val="7C9ABBCE"/>
    <w:rsid w:val="7CBC9F07"/>
    <w:rsid w:val="7CCC5B56"/>
    <w:rsid w:val="7CCE3806"/>
    <w:rsid w:val="7CD21CE1"/>
    <w:rsid w:val="7CD26233"/>
    <w:rsid w:val="7CD395F6"/>
    <w:rsid w:val="7CDDA29C"/>
    <w:rsid w:val="7D016429"/>
    <w:rsid w:val="7D077AE1"/>
    <w:rsid w:val="7D1675DE"/>
    <w:rsid w:val="7D474398"/>
    <w:rsid w:val="7D4A0B67"/>
    <w:rsid w:val="7D65A835"/>
    <w:rsid w:val="7D6D18F4"/>
    <w:rsid w:val="7D71224C"/>
    <w:rsid w:val="7D7212F8"/>
    <w:rsid w:val="7D8BB1BB"/>
    <w:rsid w:val="7D90A9D0"/>
    <w:rsid w:val="7DB1FB62"/>
    <w:rsid w:val="7DC1A8FB"/>
    <w:rsid w:val="7DC939CB"/>
    <w:rsid w:val="7DCD01FE"/>
    <w:rsid w:val="7DF6B2DD"/>
    <w:rsid w:val="7DFD2A91"/>
    <w:rsid w:val="7E0BBB0E"/>
    <w:rsid w:val="7E1E3E3F"/>
    <w:rsid w:val="7E234EC8"/>
    <w:rsid w:val="7E3DE775"/>
    <w:rsid w:val="7E806E0E"/>
    <w:rsid w:val="7EAB169E"/>
    <w:rsid w:val="7F3C2EE0"/>
    <w:rsid w:val="7F6A3A64"/>
    <w:rsid w:val="7F83CC12"/>
    <w:rsid w:val="7F9E268C"/>
    <w:rsid w:val="7FA153B3"/>
    <w:rsid w:val="7FA543E0"/>
    <w:rsid w:val="7FA80092"/>
    <w:rsid w:val="7FAAD0E0"/>
    <w:rsid w:val="7FBE2F48"/>
    <w:rsid w:val="7FFBE5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70BA3"/>
  <w15:docId w15:val="{EEB2F006-3497-4809-8DD3-64C271D7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qFormat="1"/>
  </w:latentStyles>
  <w:style w:type="paragraph" w:default="1" w:styleId="Normal">
    <w:name w:val="Normal"/>
    <w:qFormat/>
    <w:rsid w:val="005E6D2F"/>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80648E"/>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80648E"/>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1"/>
    <w:unhideWhenUsed/>
    <w:qFormat/>
    <w:rsid w:val="0080648E"/>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80648E"/>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80648E"/>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80648E"/>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80648E"/>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80648E"/>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80648E"/>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064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8064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1"/>
    <w:qFormat/>
    <w:rsid w:val="008064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sid w:val="008064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8064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8064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8064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8064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80648E"/>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80648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80648E"/>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80648E"/>
    <w:rPr>
      <w:i/>
      <w:iCs/>
      <w:color w:val="404040" w:themeColor="text1" w:themeTint="BF"/>
    </w:rPr>
  </w:style>
  <w:style w:type="character" w:styleId="IntenseEmphasis">
    <w:name w:val="Intense Emphasis"/>
    <w:basedOn w:val="DefaultParagraphFont"/>
    <w:uiPriority w:val="21"/>
    <w:qFormat/>
    <w:rsid w:val="0080648E"/>
    <w:rPr>
      <w:i/>
      <w:iCs/>
      <w:color w:val="0F4761" w:themeColor="accent1" w:themeShade="BF"/>
    </w:rPr>
  </w:style>
  <w:style w:type="character" w:customStyle="1" w:styleId="IntenseQuoteChar">
    <w:name w:val="Intense Quote Char"/>
    <w:basedOn w:val="DefaultParagraphFont"/>
    <w:link w:val="IntenseQuote"/>
    <w:uiPriority w:val="30"/>
    <w:qFormat/>
    <w:rsid w:val="0080648E"/>
    <w:rPr>
      <w:i/>
      <w:iCs/>
      <w:color w:val="0F4761" w:themeColor="accent1" w:themeShade="BF"/>
    </w:rPr>
  </w:style>
  <w:style w:type="character" w:styleId="IntenseReference">
    <w:name w:val="Intense Reference"/>
    <w:basedOn w:val="DefaultParagraphFont"/>
    <w:uiPriority w:val="32"/>
    <w:qFormat/>
    <w:rsid w:val="0080648E"/>
    <w:rPr>
      <w:b/>
      <w:bCs/>
      <w:smallCaps/>
      <w:color w:val="0F4761" w:themeColor="accent1" w:themeShade="BF"/>
      <w:spacing w:val="5"/>
    </w:rPr>
  </w:style>
  <w:style w:type="character" w:customStyle="1" w:styleId="normaltextrun">
    <w:name w:val="normaltextrun"/>
    <w:basedOn w:val="DefaultParagraphFont"/>
    <w:qFormat/>
    <w:rsid w:val="0080648E"/>
  </w:style>
  <w:style w:type="character" w:customStyle="1" w:styleId="eop">
    <w:name w:val="eop"/>
    <w:basedOn w:val="DefaultParagraphFont"/>
    <w:qFormat/>
    <w:rsid w:val="0080648E"/>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CommentSubjectChar">
    <w:name w:val="Comment Subject Char"/>
    <w:basedOn w:val="CommentTextChar"/>
    <w:link w:val="CommentSubject"/>
    <w:uiPriority w:val="99"/>
    <w:semiHidden/>
    <w:qFormat/>
    <w:rsid w:val="00327D6C"/>
    <w:rPr>
      <w:b/>
      <w:bCs/>
      <w:sz w:val="20"/>
      <w:szCs w:val="20"/>
    </w:rPr>
  </w:style>
  <w:style w:type="character" w:customStyle="1" w:styleId="WHObodyChar">
    <w:name w:val="WHO body Char"/>
    <w:basedOn w:val="DefaultParagraphFont"/>
    <w:link w:val="WHObody"/>
    <w:qFormat/>
    <w:rsid w:val="00AE4A91"/>
    <w:rPr>
      <w:rFonts w:ascii="Verdana" w:eastAsia="Calibri" w:hAnsi="Verdana" w:cs="Arial"/>
      <w:kern w:val="0"/>
      <w:lang w:val="en-GB"/>
      <w14:ligatures w14:val="none"/>
    </w:rPr>
  </w:style>
  <w:style w:type="character" w:styleId="Hyperlink">
    <w:name w:val="Hyperlink"/>
    <w:basedOn w:val="DefaultParagraphFont"/>
    <w:uiPriority w:val="99"/>
    <w:unhideWhenUsed/>
    <w:rPr>
      <w:color w:val="467886" w:themeColor="hyperlink"/>
      <w:u w:val="single"/>
    </w:rPr>
  </w:style>
  <w:style w:type="character" w:styleId="Strong">
    <w:name w:val="Strong"/>
    <w:basedOn w:val="DefaultParagraphFont"/>
    <w:uiPriority w:val="22"/>
    <w:qFormat/>
    <w:rsid w:val="00A3356B"/>
    <w:rPr>
      <w:b/>
      <w:bCs/>
    </w:rPr>
  </w:style>
  <w:style w:type="character" w:styleId="Mention">
    <w:name w:val="Mention"/>
    <w:basedOn w:val="DefaultParagraphFont"/>
    <w:uiPriority w:val="99"/>
    <w:unhideWhenUsed/>
    <w:rsid w:val="00AB2870"/>
    <w:rPr>
      <w:color w:val="2B579A"/>
      <w:shd w:val="clear" w:color="auto" w:fill="E1DFDD"/>
    </w:rPr>
  </w:style>
  <w:style w:type="character" w:customStyle="1" w:styleId="ListParagraphChar">
    <w:name w:val="List Paragraph Char"/>
    <w:link w:val="ListParagraph"/>
    <w:uiPriority w:val="34"/>
    <w:qFormat/>
    <w:rsid w:val="00AB2870"/>
  </w:style>
  <w:style w:type="character" w:customStyle="1" w:styleId="HeaderChar">
    <w:name w:val="Header Char"/>
    <w:basedOn w:val="DefaultParagraphFont"/>
    <w:link w:val="Header"/>
    <w:uiPriority w:val="99"/>
    <w:qFormat/>
    <w:rsid w:val="00AB2870"/>
    <w:rPr>
      <w:rFonts w:ascii="Times New Roman" w:eastAsia="Times New Roman" w:hAnsi="Times New Roman" w:cs="Times New Roman"/>
    </w:rPr>
  </w:style>
  <w:style w:type="character" w:customStyle="1" w:styleId="FooterChar">
    <w:name w:val="Footer Char"/>
    <w:basedOn w:val="DefaultParagraphFont"/>
    <w:link w:val="Footer"/>
    <w:uiPriority w:val="99"/>
    <w:qFormat/>
    <w:rsid w:val="00AB2870"/>
    <w:rPr>
      <w:rFonts w:ascii="Times New Roman" w:eastAsia="Times New Roman" w:hAnsi="Times New Roman" w:cs="Times New Roman"/>
    </w:rPr>
  </w:style>
  <w:style w:type="character" w:styleId="UnresolvedMention">
    <w:name w:val="Unresolved Mention"/>
    <w:basedOn w:val="DefaultParagraphFont"/>
    <w:uiPriority w:val="99"/>
    <w:semiHidden/>
    <w:unhideWhenUsed/>
    <w:qFormat/>
    <w:rsid w:val="00AB2870"/>
    <w:rPr>
      <w:color w:val="605E5C"/>
      <w:shd w:val="clear" w:color="auto" w:fill="E1DFDD"/>
    </w:rPr>
  </w:style>
  <w:style w:type="character" w:customStyle="1" w:styleId="FootnoteTextChar">
    <w:name w:val="Footnote Text Char"/>
    <w:basedOn w:val="DefaultParagraphFont"/>
    <w:link w:val="FootnoteText"/>
    <w:uiPriority w:val="99"/>
    <w:semiHidden/>
    <w:qFormat/>
    <w:rsid w:val="00AB2870"/>
    <w:rPr>
      <w:rFonts w:ascii="Times New Roman" w:eastAsia="Times New Roman" w:hAnsi="Times New Roman" w:cs="Times New Roman"/>
      <w:sz w:val="20"/>
      <w:szCs w:val="20"/>
    </w:rPr>
  </w:style>
  <w:style w:type="character" w:customStyle="1" w:styleId="FootnoteCharacters">
    <w:name w:val="Footnote Characters"/>
    <w:basedOn w:val="DefaultParagraphFont"/>
    <w:uiPriority w:val="99"/>
    <w:semiHidden/>
    <w:unhideWhenUsed/>
    <w:qFormat/>
    <w:rsid w:val="007E7F49"/>
    <w:rPr>
      <w:vertAlign w:val="superscript"/>
    </w:rPr>
  </w:style>
  <w:style w:type="character" w:customStyle="1" w:styleId="FootnoteReference1">
    <w:name w:val="Footnote Reference1"/>
    <w:rsid w:val="00AB2870"/>
    <w:rPr>
      <w:vertAlign w:val="superscript"/>
    </w:rPr>
  </w:style>
  <w:style w:type="character" w:customStyle="1" w:styleId="BodyTextChar">
    <w:name w:val="Body Text Char"/>
    <w:basedOn w:val="DefaultParagraphFont"/>
    <w:link w:val="BodyText"/>
    <w:uiPriority w:val="1"/>
    <w:qFormat/>
    <w:rsid w:val="00AB2870"/>
    <w:rPr>
      <w:rFonts w:ascii="Arial" w:eastAsiaTheme="minorEastAsia" w:hAnsi="Arial" w:cs="Arial"/>
      <w:sz w:val="21"/>
      <w:szCs w:val="21"/>
    </w:rPr>
  </w:style>
  <w:style w:type="character" w:customStyle="1" w:styleId="fontstyle01">
    <w:name w:val="fontstyle01"/>
    <w:basedOn w:val="DefaultParagraphFont"/>
    <w:qFormat/>
    <w:rsid w:val="00AB2870"/>
    <w:rPr>
      <w:rFonts w:ascii="VistaSansAltReg" w:hAnsi="VistaSansAltReg"/>
      <w:b w:val="0"/>
      <w:bCs w:val="0"/>
      <w:i w:val="0"/>
      <w:iCs w:val="0"/>
      <w:color w:val="005477"/>
      <w:sz w:val="22"/>
      <w:szCs w:val="22"/>
    </w:rPr>
  </w:style>
  <w:style w:type="character" w:customStyle="1" w:styleId="hgkelc">
    <w:name w:val="hgkelc"/>
    <w:basedOn w:val="DefaultParagraphFont"/>
    <w:qFormat/>
    <w:rsid w:val="00AB2870"/>
  </w:style>
  <w:style w:type="character" w:styleId="FollowedHyperlink">
    <w:name w:val="FollowedHyperlink"/>
    <w:basedOn w:val="DefaultParagraphFont"/>
    <w:uiPriority w:val="99"/>
    <w:semiHidden/>
    <w:unhideWhenUsed/>
    <w:rsid w:val="00AB2870"/>
    <w:rPr>
      <w:color w:val="96607D" w:themeColor="followedHyperlink"/>
      <w:u w:val="single"/>
    </w:rPr>
  </w:style>
  <w:style w:type="character" w:styleId="SmartLink">
    <w:name w:val="Smart Link"/>
    <w:basedOn w:val="DefaultParagraphFont"/>
    <w:uiPriority w:val="99"/>
    <w:semiHidden/>
    <w:unhideWhenUsed/>
    <w:qFormat/>
    <w:rsid w:val="00AB2870"/>
    <w:rPr>
      <w:color w:val="0000FF"/>
      <w:u w:val="single"/>
      <w:shd w:val="clear" w:color="auto" w:fill="F3F2F1"/>
    </w:rPr>
  </w:style>
  <w:style w:type="character" w:customStyle="1" w:styleId="BalloonTextChar">
    <w:name w:val="Balloon Text Char"/>
    <w:basedOn w:val="DefaultParagraphFont"/>
    <w:link w:val="BalloonText"/>
    <w:uiPriority w:val="99"/>
    <w:semiHidden/>
    <w:qFormat/>
    <w:rsid w:val="00AB2870"/>
    <w:rPr>
      <w:rFonts w:ascii="Segoe UI" w:eastAsia="Times New Roman" w:hAnsi="Segoe UI" w:cs="Segoe UI"/>
      <w:sz w:val="18"/>
      <w:szCs w:val="18"/>
    </w:rPr>
  </w:style>
  <w:style w:type="character" w:customStyle="1" w:styleId="spellingerror">
    <w:name w:val="spellingerror"/>
    <w:basedOn w:val="DefaultParagraphFont"/>
    <w:qFormat/>
    <w:rsid w:val="00AB2870"/>
  </w:style>
  <w:style w:type="character" w:customStyle="1" w:styleId="LineNumber1">
    <w:name w:val="Line Number1"/>
    <w:rsid w:val="00AB2870"/>
  </w:style>
  <w:style w:type="character" w:customStyle="1" w:styleId="EndnoteReference1">
    <w:name w:val="Endnote Reference1"/>
    <w:rsid w:val="00AB2870"/>
    <w:rPr>
      <w:vertAlign w:val="superscript"/>
    </w:rPr>
  </w:style>
  <w:style w:type="character" w:customStyle="1" w:styleId="EndnoteCharacters">
    <w:name w:val="Endnote Characters"/>
    <w:qFormat/>
    <w:rsid w:val="00AB2870"/>
  </w:style>
  <w:style w:type="character" w:customStyle="1" w:styleId="BodyTextChar1">
    <w:name w:val="Body Text Char1"/>
    <w:basedOn w:val="DefaultParagraphFont"/>
    <w:uiPriority w:val="99"/>
    <w:semiHidden/>
    <w:rsid w:val="00AB2870"/>
    <w:rPr>
      <w:rFonts w:ascii="Times New Roman" w:eastAsia="Times New Roman" w:hAnsi="Times New Roman" w:cs="Times New Roman"/>
      <w:kern w:val="0"/>
      <w:lang w:eastAsia="en-GB"/>
      <w14:ligatures w14:val="none"/>
    </w:rPr>
  </w:style>
  <w:style w:type="character" w:customStyle="1" w:styleId="HeaderChar1">
    <w:name w:val="Header Char1"/>
    <w:basedOn w:val="DefaultParagraphFont"/>
    <w:uiPriority w:val="99"/>
    <w:semiHidden/>
    <w:rsid w:val="00AB2870"/>
    <w:rPr>
      <w:rFonts w:ascii="Times New Roman" w:eastAsia="Times New Roman" w:hAnsi="Times New Roman" w:cs="Times New Roman"/>
      <w:kern w:val="0"/>
      <w:lang w:eastAsia="en-GB"/>
      <w14:ligatures w14:val="none"/>
    </w:rPr>
  </w:style>
  <w:style w:type="character" w:customStyle="1" w:styleId="FooterChar1">
    <w:name w:val="Footer Char1"/>
    <w:basedOn w:val="DefaultParagraphFont"/>
    <w:uiPriority w:val="99"/>
    <w:semiHidden/>
    <w:rsid w:val="00AB2870"/>
    <w:rPr>
      <w:rFonts w:ascii="Times New Roman" w:eastAsia="Times New Roman" w:hAnsi="Times New Roman" w:cs="Times New Roman"/>
      <w:kern w:val="0"/>
      <w:lang w:eastAsia="en-GB"/>
      <w14:ligatures w14:val="none"/>
    </w:rPr>
  </w:style>
  <w:style w:type="character" w:customStyle="1" w:styleId="FootnoteTextChar1">
    <w:name w:val="Footnote Text Char1"/>
    <w:basedOn w:val="DefaultParagraphFont"/>
    <w:uiPriority w:val="99"/>
    <w:semiHidden/>
    <w:rsid w:val="00AB2870"/>
    <w:rPr>
      <w:rFonts w:ascii="Times New Roman" w:eastAsia="Times New Roman" w:hAnsi="Times New Roman" w:cs="Times New Roman"/>
      <w:kern w:val="0"/>
      <w:sz w:val="20"/>
      <w:szCs w:val="20"/>
      <w:lang w:eastAsia="en-GB"/>
      <w14:ligatures w14:val="none"/>
    </w:rPr>
  </w:style>
  <w:style w:type="character" w:customStyle="1" w:styleId="BalloonTextChar1">
    <w:name w:val="Balloon Text Char1"/>
    <w:basedOn w:val="DefaultParagraphFont"/>
    <w:uiPriority w:val="99"/>
    <w:semiHidden/>
    <w:rsid w:val="00AB2870"/>
    <w:rPr>
      <w:rFonts w:ascii="Times New Roman" w:eastAsia="Times New Roman" w:hAnsi="Times New Roman" w:cs="Times New Roman"/>
      <w:kern w:val="0"/>
      <w:sz w:val="18"/>
      <w:szCs w:val="18"/>
      <w:lang w:eastAsia="en-GB"/>
      <w14:ligatures w14:val="none"/>
    </w:rPr>
  </w:style>
  <w:style w:type="character" w:customStyle="1" w:styleId="EndnoteTextChar">
    <w:name w:val="Endnote Text Char"/>
    <w:basedOn w:val="DefaultParagraphFont"/>
    <w:link w:val="EndnoteText"/>
    <w:uiPriority w:val="99"/>
    <w:semiHidden/>
    <w:qFormat/>
    <w:rsid w:val="007E7F49"/>
    <w:rPr>
      <w:rFonts w:ascii="Times New Roman" w:eastAsia="Times New Roman" w:hAnsi="Times New Roman" w:cs="Times New Roman"/>
      <w:kern w:val="0"/>
      <w:sz w:val="20"/>
      <w:szCs w:val="20"/>
      <w:lang w:eastAsia="en-GB"/>
      <w14:ligatures w14:val="none"/>
    </w:rPr>
  </w:style>
  <w:style w:type="character" w:customStyle="1" w:styleId="cf01">
    <w:name w:val="cf01"/>
    <w:basedOn w:val="DefaultParagraphFont"/>
    <w:rsid w:val="007E7F49"/>
    <w:rPr>
      <w:rFonts w:ascii="Segoe UI" w:hAnsi="Segoe UI" w:cs="Segoe UI" w:hint="default"/>
      <w:sz w:val="18"/>
      <w:szCs w:val="18"/>
    </w:rPr>
  </w:style>
  <w:style w:type="character" w:customStyle="1" w:styleId="line-clamp-1">
    <w:name w:val="line-clamp-1"/>
    <w:basedOn w:val="DefaultParagraphFont"/>
    <w:rsid w:val="002623CA"/>
  </w:style>
  <w:style w:type="character" w:customStyle="1" w:styleId="IndexLink">
    <w:name w:val="Index Link"/>
    <w:qFormat/>
  </w:style>
  <w:style w:type="paragraph" w:customStyle="1" w:styleId="Heading">
    <w:name w:val="Heading"/>
    <w:basedOn w:val="Normal"/>
    <w:next w:val="BodyText"/>
    <w:qFormat/>
    <w:rsid w:val="00AB2870"/>
    <w:pPr>
      <w:keepNext/>
      <w:spacing w:before="240" w:after="120"/>
    </w:pPr>
    <w:rPr>
      <w:rFonts w:ascii="Liberation Sans" w:eastAsia="Noto Sans CJK SC" w:hAnsi="Liberation Sans" w:cs="Lohit Devanagari"/>
      <w:sz w:val="28"/>
      <w:szCs w:val="28"/>
      <w:lang w:val="en-US" w:eastAsia="en-US"/>
    </w:rPr>
  </w:style>
  <w:style w:type="paragraph" w:styleId="BodyText">
    <w:name w:val="Body Text"/>
    <w:basedOn w:val="Normal"/>
    <w:link w:val="BodyTextChar"/>
    <w:uiPriority w:val="1"/>
    <w:unhideWhenUsed/>
    <w:qFormat/>
    <w:rsid w:val="00AB2870"/>
    <w:pPr>
      <w:widowControl w:val="0"/>
      <w:ind w:left="189"/>
    </w:pPr>
    <w:rPr>
      <w:rFonts w:ascii="Arial" w:eastAsiaTheme="minorEastAsia" w:hAnsi="Arial" w:cs="Arial"/>
      <w:kern w:val="2"/>
      <w:sz w:val="21"/>
      <w:szCs w:val="21"/>
      <w:lang w:eastAsia="en-US"/>
      <w14:ligatures w14:val="standardContextual"/>
    </w:rPr>
  </w:style>
  <w:style w:type="paragraph" w:styleId="List">
    <w:name w:val="List"/>
    <w:basedOn w:val="BodyText"/>
    <w:rsid w:val="00AB2870"/>
    <w:rPr>
      <w:rFonts w:cs="Lohit Devanagari"/>
    </w:rPr>
  </w:style>
  <w:style w:type="paragraph" w:styleId="Caption">
    <w:name w:val="caption"/>
    <w:basedOn w:val="Normal"/>
    <w:next w:val="Normal"/>
    <w:uiPriority w:val="35"/>
    <w:unhideWhenUsed/>
    <w:qFormat/>
    <w:rsid w:val="00AB2870"/>
    <w:pPr>
      <w:spacing w:after="200"/>
    </w:pPr>
    <w:rPr>
      <w:i/>
      <w:iCs/>
      <w:color w:val="0E2841" w:themeColor="text2"/>
      <w:sz w:val="18"/>
      <w:szCs w:val="18"/>
      <w:lang w:val="en-US" w:eastAsia="en-US"/>
    </w:rPr>
  </w:style>
  <w:style w:type="paragraph" w:customStyle="1" w:styleId="Index">
    <w:name w:val="Index"/>
    <w:basedOn w:val="Normal"/>
    <w:qFormat/>
    <w:rsid w:val="00AB2870"/>
    <w:pPr>
      <w:suppressLineNumbers/>
    </w:pPr>
    <w:rPr>
      <w:rFonts w:cs="Lohit Devanagari"/>
      <w:lang w:val="en-US" w:eastAsia="en-US"/>
    </w:rPr>
  </w:style>
  <w:style w:type="paragraph" w:styleId="Title">
    <w:name w:val="Title"/>
    <w:basedOn w:val="Normal"/>
    <w:next w:val="Normal"/>
    <w:link w:val="TitleChar"/>
    <w:uiPriority w:val="10"/>
    <w:qFormat/>
    <w:rsid w:val="0080648E"/>
    <w:pPr>
      <w:suppressAutoHyphens w:val="0"/>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paragraph" w:styleId="Subtitle">
    <w:name w:val="Subtitle"/>
    <w:basedOn w:val="Normal"/>
    <w:next w:val="Normal"/>
    <w:link w:val="SubtitleChar"/>
    <w:uiPriority w:val="11"/>
    <w:qFormat/>
    <w:rsid w:val="0080648E"/>
    <w:pPr>
      <w:numPr>
        <w:ilvl w:val="1"/>
      </w:numPr>
      <w:suppressAutoHyphens w:val="0"/>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80648E"/>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paragraph" w:styleId="ListParagraph">
    <w:name w:val="List Paragraph"/>
    <w:basedOn w:val="Normal"/>
    <w:link w:val="ListParagraphChar"/>
    <w:uiPriority w:val="34"/>
    <w:qFormat/>
    <w:rsid w:val="0080648E"/>
    <w:pPr>
      <w:ind w:left="720"/>
      <w:contextualSpacing/>
    </w:pPr>
    <w:rPr>
      <w:rFonts w:asciiTheme="minorHAnsi" w:eastAsiaTheme="minorHAnsi" w:hAnsiTheme="minorHAnsi" w:cstheme="minorBidi"/>
      <w:kern w:val="2"/>
      <w:lang w:eastAsia="en-US"/>
      <w14:ligatures w14:val="standardContextual"/>
    </w:rPr>
  </w:style>
  <w:style w:type="paragraph" w:styleId="IntenseQuote">
    <w:name w:val="Intense Quote"/>
    <w:basedOn w:val="Normal"/>
    <w:next w:val="Normal"/>
    <w:link w:val="IntenseQuoteChar"/>
    <w:uiPriority w:val="30"/>
    <w:qFormat/>
    <w:rsid w:val="0080648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paragraph" w:customStyle="1" w:styleId="paragraph">
    <w:name w:val="paragraph"/>
    <w:basedOn w:val="Normal"/>
    <w:qFormat/>
    <w:rsid w:val="0080648E"/>
    <w:pPr>
      <w:suppressAutoHyphens w:val="0"/>
      <w:spacing w:before="100" w:beforeAutospacing="1" w:after="100" w:afterAutospacing="1"/>
    </w:pPr>
  </w:style>
  <w:style w:type="paragraph" w:styleId="CommentText">
    <w:name w:val="annotation text"/>
    <w:basedOn w:val="Normal"/>
    <w:link w:val="CommentTextChar"/>
    <w:uiPriority w:val="99"/>
    <w:unhideWhenUsed/>
    <w:qFormat/>
    <w:rPr>
      <w:rFonts w:asciiTheme="minorHAnsi" w:eastAsiaTheme="minorHAnsi" w:hAnsiTheme="minorHAnsi" w:cstheme="minorBidi"/>
      <w:kern w:val="2"/>
      <w:sz w:val="20"/>
      <w:szCs w:val="20"/>
      <w:lang w:eastAsia="en-US"/>
      <w14:ligatures w14:val="standardContextual"/>
    </w:rPr>
  </w:style>
  <w:style w:type="paragraph" w:styleId="CommentSubject">
    <w:name w:val="annotation subject"/>
    <w:basedOn w:val="CommentText"/>
    <w:next w:val="CommentText"/>
    <w:link w:val="CommentSubjectChar"/>
    <w:uiPriority w:val="99"/>
    <w:semiHidden/>
    <w:unhideWhenUsed/>
    <w:qFormat/>
    <w:rsid w:val="00327D6C"/>
    <w:rPr>
      <w:b/>
      <w:bCs/>
    </w:rPr>
  </w:style>
  <w:style w:type="paragraph" w:customStyle="1" w:styleId="WHObody">
    <w:name w:val="WHO body"/>
    <w:basedOn w:val="Normal"/>
    <w:link w:val="WHObodyChar"/>
    <w:qFormat/>
    <w:rsid w:val="00AE4A91"/>
    <w:pPr>
      <w:spacing w:after="120"/>
    </w:pPr>
    <w:rPr>
      <w:rFonts w:ascii="Verdana" w:eastAsia="Calibri" w:hAnsi="Verdana" w:cs="Arial"/>
      <w:lang w:val="en-GB" w:eastAsia="en-US"/>
    </w:rPr>
  </w:style>
  <w:style w:type="paragraph" w:customStyle="1" w:styleId="caption1">
    <w:name w:val="caption1"/>
    <w:basedOn w:val="Normal"/>
    <w:next w:val="Normal"/>
    <w:uiPriority w:val="35"/>
    <w:unhideWhenUsed/>
    <w:qFormat/>
    <w:rsid w:val="00AB2870"/>
    <w:pPr>
      <w:spacing w:after="200"/>
    </w:pPr>
    <w:rPr>
      <w:i/>
      <w:iCs/>
      <w:color w:val="0E2841" w:themeColor="text2"/>
      <w:sz w:val="18"/>
      <w:szCs w:val="18"/>
      <w:lang w:val="en-US" w:eastAsia="en-US"/>
    </w:rPr>
  </w:style>
  <w:style w:type="paragraph" w:customStyle="1" w:styleId="HeaderandFooter">
    <w:name w:val="Header and Footer"/>
    <w:basedOn w:val="Normal"/>
    <w:qFormat/>
    <w:rsid w:val="00AB2870"/>
    <w:rPr>
      <w:lang w:val="en-US" w:eastAsia="en-US"/>
    </w:rPr>
  </w:style>
  <w:style w:type="paragraph" w:styleId="Header">
    <w:name w:val="header"/>
    <w:basedOn w:val="Normal"/>
    <w:link w:val="HeaderChar"/>
    <w:uiPriority w:val="99"/>
    <w:unhideWhenUsed/>
    <w:rsid w:val="00AB2870"/>
    <w:pPr>
      <w:tabs>
        <w:tab w:val="center" w:pos="4680"/>
        <w:tab w:val="right" w:pos="9360"/>
      </w:tabs>
    </w:pPr>
    <w:rPr>
      <w:kern w:val="2"/>
      <w:lang w:eastAsia="en-US"/>
      <w14:ligatures w14:val="standardContextual"/>
    </w:rPr>
  </w:style>
  <w:style w:type="paragraph" w:styleId="Footer">
    <w:name w:val="footer"/>
    <w:basedOn w:val="Normal"/>
    <w:link w:val="FooterChar"/>
    <w:uiPriority w:val="99"/>
    <w:unhideWhenUsed/>
    <w:rsid w:val="00AB2870"/>
    <w:pPr>
      <w:tabs>
        <w:tab w:val="center" w:pos="4680"/>
        <w:tab w:val="right" w:pos="9360"/>
      </w:tabs>
    </w:pPr>
    <w:rPr>
      <w:kern w:val="2"/>
      <w:lang w:eastAsia="en-US"/>
      <w14:ligatures w14:val="standardContextual"/>
    </w:rPr>
  </w:style>
  <w:style w:type="paragraph" w:styleId="Revision">
    <w:name w:val="Revision"/>
    <w:uiPriority w:val="99"/>
    <w:semiHidden/>
    <w:qFormat/>
    <w:rsid w:val="00AB2870"/>
    <w:rPr>
      <w:rFonts w:ascii="Times New Roman" w:eastAsia="Times New Roman" w:hAnsi="Times New Roman" w:cs="Times New Roman"/>
      <w:kern w:val="0"/>
      <w:lang w:val="en-US"/>
      <w14:ligatures w14:val="none"/>
    </w:rPr>
  </w:style>
  <w:style w:type="paragraph" w:styleId="FootnoteText">
    <w:name w:val="footnote text"/>
    <w:basedOn w:val="Normal"/>
    <w:link w:val="FootnoteTextChar"/>
    <w:uiPriority w:val="99"/>
    <w:semiHidden/>
    <w:unhideWhenUsed/>
    <w:rsid w:val="00AB2870"/>
    <w:rPr>
      <w:kern w:val="2"/>
      <w:sz w:val="20"/>
      <w:szCs w:val="20"/>
      <w:lang w:eastAsia="en-US"/>
      <w14:ligatures w14:val="standardContextual"/>
    </w:rPr>
  </w:style>
  <w:style w:type="paragraph" w:customStyle="1" w:styleId="Default">
    <w:name w:val="Default"/>
    <w:qFormat/>
    <w:rsid w:val="00AB2870"/>
    <w:rPr>
      <w:rFonts w:ascii="Times New Roman" w:eastAsia="Calibri" w:hAnsi="Times New Roman" w:cs="Times New Roman"/>
      <w:color w:val="000000"/>
      <w:kern w:val="0"/>
      <w:lang w:val="en-US"/>
      <w14:ligatures w14:val="none"/>
    </w:rPr>
  </w:style>
  <w:style w:type="paragraph" w:styleId="NoSpacing">
    <w:name w:val="No Spacing"/>
    <w:uiPriority w:val="1"/>
    <w:qFormat/>
    <w:rsid w:val="00AB2870"/>
    <w:rPr>
      <w:kern w:val="0"/>
      <w:sz w:val="22"/>
      <w:szCs w:val="22"/>
      <w:lang w:val="en-GB"/>
      <w14:ligatures w14:val="none"/>
    </w:rPr>
  </w:style>
  <w:style w:type="paragraph" w:styleId="NormalWeb">
    <w:name w:val="Normal (Web)"/>
    <w:basedOn w:val="Normal"/>
    <w:uiPriority w:val="99"/>
    <w:unhideWhenUsed/>
    <w:qFormat/>
    <w:rsid w:val="00AB2870"/>
    <w:pPr>
      <w:spacing w:beforeAutospacing="1" w:afterAutospacing="1"/>
    </w:pPr>
    <w:rPr>
      <w:lang w:val="en-US" w:eastAsia="en-US"/>
    </w:rPr>
  </w:style>
  <w:style w:type="paragraph" w:styleId="BalloonText">
    <w:name w:val="Balloon Text"/>
    <w:basedOn w:val="Normal"/>
    <w:link w:val="BalloonTextChar"/>
    <w:uiPriority w:val="99"/>
    <w:semiHidden/>
    <w:unhideWhenUsed/>
    <w:qFormat/>
    <w:rsid w:val="00AB2870"/>
    <w:rPr>
      <w:rFonts w:ascii="Segoe UI" w:hAnsi="Segoe UI" w:cs="Segoe UI"/>
      <w:kern w:val="2"/>
      <w:sz w:val="18"/>
      <w:szCs w:val="18"/>
      <w:lang w:eastAsia="en-US"/>
      <w14:ligatures w14:val="standardContextual"/>
    </w:rPr>
  </w:style>
  <w:style w:type="paragraph" w:customStyle="1" w:styleId="xmsolistparagraph">
    <w:name w:val="x_msolistparagraph"/>
    <w:basedOn w:val="Normal"/>
    <w:qFormat/>
    <w:rsid w:val="00AB2870"/>
    <w:pPr>
      <w:spacing w:beforeAutospacing="1" w:afterAutospacing="1"/>
    </w:pPr>
    <w:rPr>
      <w:rFonts w:ascii="Calibri" w:eastAsiaTheme="minorHAnsi" w:hAnsi="Calibri" w:cs="Calibri"/>
      <w:sz w:val="22"/>
      <w:szCs w:val="22"/>
      <w:lang w:val="en-US" w:eastAsia="en-US"/>
    </w:rPr>
  </w:style>
  <w:style w:type="paragraph" w:customStyle="1" w:styleId="FrameContents">
    <w:name w:val="Frame Contents"/>
    <w:basedOn w:val="Normal"/>
    <w:qFormat/>
    <w:rsid w:val="00AB2870"/>
    <w:rPr>
      <w:lang w:val="en-US" w:eastAsia="en-US"/>
    </w:rPr>
  </w:style>
  <w:style w:type="paragraph" w:customStyle="1" w:styleId="TableContents">
    <w:name w:val="Table Contents"/>
    <w:basedOn w:val="Normal"/>
    <w:qFormat/>
    <w:rsid w:val="00AB2870"/>
    <w:pPr>
      <w:widowControl w:val="0"/>
      <w:suppressLineNumbers/>
    </w:pPr>
    <w:rPr>
      <w:lang w:val="en-US" w:eastAsia="en-US"/>
    </w:rPr>
  </w:style>
  <w:style w:type="paragraph" w:customStyle="1" w:styleId="TableHeading">
    <w:name w:val="Table Heading"/>
    <w:basedOn w:val="TableContents"/>
    <w:qFormat/>
    <w:rsid w:val="00AB2870"/>
    <w:pPr>
      <w:jc w:val="center"/>
    </w:pPr>
    <w:rPr>
      <w:b/>
      <w:bCs/>
    </w:rPr>
  </w:style>
  <w:style w:type="paragraph" w:styleId="IndexHeading">
    <w:name w:val="index heading"/>
    <w:basedOn w:val="Heading"/>
  </w:style>
  <w:style w:type="paragraph" w:styleId="TOCHeading">
    <w:name w:val="TOC Heading"/>
    <w:basedOn w:val="Heading1"/>
    <w:next w:val="Normal"/>
    <w:uiPriority w:val="39"/>
    <w:unhideWhenUsed/>
    <w:qFormat/>
    <w:rsid w:val="00ED0A09"/>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EA2577"/>
    <w:pPr>
      <w:tabs>
        <w:tab w:val="right" w:leader="dot" w:pos="9016"/>
      </w:tabs>
      <w:suppressAutoHyphens w:val="0"/>
      <w:spacing w:after="100"/>
    </w:pPr>
    <w:rPr>
      <w:rFonts w:ascii="Calibri" w:hAnsi="Calibri" w:cs="Calibri"/>
      <w:b/>
      <w:bCs/>
      <w:noProof/>
    </w:rPr>
  </w:style>
  <w:style w:type="paragraph" w:styleId="TOC2">
    <w:name w:val="toc 2"/>
    <w:basedOn w:val="Normal"/>
    <w:next w:val="Normal"/>
    <w:autoRedefine/>
    <w:uiPriority w:val="39"/>
    <w:unhideWhenUsed/>
    <w:rsid w:val="00F3164B"/>
    <w:pPr>
      <w:tabs>
        <w:tab w:val="left" w:pos="720"/>
        <w:tab w:val="right" w:leader="dot" w:pos="9016"/>
      </w:tabs>
      <w:suppressAutoHyphens w:val="0"/>
      <w:spacing w:after="100"/>
      <w:ind w:left="240"/>
    </w:pPr>
    <w:rPr>
      <w:rFonts w:ascii="Calibri" w:hAnsi="Calibri" w:cs="Calibri"/>
      <w:b/>
      <w:bCs/>
      <w:noProof/>
    </w:rPr>
  </w:style>
  <w:style w:type="paragraph" w:styleId="TOC3">
    <w:name w:val="toc 3"/>
    <w:basedOn w:val="Normal"/>
    <w:next w:val="Normal"/>
    <w:autoRedefine/>
    <w:uiPriority w:val="39"/>
    <w:unhideWhenUsed/>
    <w:rsid w:val="00191F00"/>
    <w:pPr>
      <w:tabs>
        <w:tab w:val="left" w:pos="1200"/>
        <w:tab w:val="right" w:leader="dot" w:pos="9016"/>
      </w:tabs>
      <w:suppressAutoHyphens w:val="0"/>
      <w:spacing w:after="100"/>
      <w:ind w:left="480"/>
    </w:pPr>
    <w:rPr>
      <w:rFonts w:ascii="Calibri" w:eastAsiaTheme="majorEastAsia" w:hAnsi="Calibri" w:cs="Calibri"/>
      <w:b/>
      <w:bCs/>
      <w:noProof/>
    </w:rPr>
  </w:style>
  <w:style w:type="paragraph" w:styleId="EndnoteText">
    <w:name w:val="endnote text"/>
    <w:basedOn w:val="Normal"/>
    <w:link w:val="EndnoteTextChar"/>
    <w:uiPriority w:val="99"/>
    <w:semiHidden/>
    <w:unhideWhenUsed/>
    <w:rsid w:val="007E7F49"/>
    <w:rPr>
      <w:sz w:val="20"/>
      <w:szCs w:val="20"/>
    </w:rPr>
  </w:style>
  <w:style w:type="paragraph" w:customStyle="1" w:styleId="pf0">
    <w:name w:val="pf0"/>
    <w:basedOn w:val="Normal"/>
    <w:rsid w:val="004C3C91"/>
    <w:pPr>
      <w:suppressAutoHyphens w:val="0"/>
      <w:spacing w:before="100" w:beforeAutospacing="1" w:after="100" w:afterAutospacing="1"/>
    </w:pPr>
    <w:rPr>
      <w:lang w:eastAsia="en-AU"/>
    </w:rPr>
  </w:style>
  <w:style w:type="table" w:styleId="TableGrid">
    <w:name w:val="Table Grid"/>
    <w:basedOn w:val="TableNormal"/>
    <w:rsid w:val="001D5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FD6F31"/>
    <w:rPr>
      <w:vertAlign w:val="superscript"/>
    </w:rPr>
  </w:style>
  <w:style w:type="character" w:customStyle="1" w:styleId="LineNumbering">
    <w:name w:val="Line Numbering"/>
    <w:rsid w:val="00FD6F31"/>
  </w:style>
  <w:style w:type="character" w:customStyle="1" w:styleId="EndnoteAnchor">
    <w:name w:val="Endnote Anchor"/>
    <w:rsid w:val="00FD6F31"/>
    <w:rPr>
      <w:vertAlign w:val="superscript"/>
    </w:rPr>
  </w:style>
  <w:style w:type="character" w:styleId="EndnoteReference">
    <w:name w:val="endnote reference"/>
    <w:basedOn w:val="DefaultParagraphFont"/>
    <w:uiPriority w:val="99"/>
    <w:semiHidden/>
    <w:unhideWhenUsed/>
    <w:rsid w:val="00FD6F31"/>
    <w:rPr>
      <w:vertAlign w:val="superscript"/>
    </w:rPr>
  </w:style>
  <w:style w:type="character" w:styleId="FootnoteReference">
    <w:name w:val="footnote reference"/>
    <w:basedOn w:val="DefaultParagraphFont"/>
    <w:uiPriority w:val="99"/>
    <w:semiHidden/>
    <w:unhideWhenUsed/>
    <w:rsid w:val="00FD6F31"/>
    <w:rPr>
      <w:vertAlign w:val="superscript"/>
    </w:rPr>
  </w:style>
  <w:style w:type="paragraph" w:customStyle="1" w:styleId="msonormal0">
    <w:name w:val="msonormal"/>
    <w:basedOn w:val="Normal"/>
    <w:rsid w:val="003C1DAE"/>
    <w:pPr>
      <w:suppressAutoHyphens w:val="0"/>
      <w:spacing w:before="100" w:beforeAutospacing="1" w:after="100" w:afterAutospacing="1"/>
    </w:pPr>
  </w:style>
  <w:style w:type="character" w:customStyle="1" w:styleId="textrun">
    <w:name w:val="textrun"/>
    <w:basedOn w:val="DefaultParagraphFont"/>
    <w:rsid w:val="003C1DAE"/>
  </w:style>
  <w:style w:type="paragraph" w:customStyle="1" w:styleId="outlineelement">
    <w:name w:val="outlineelement"/>
    <w:basedOn w:val="Normal"/>
    <w:rsid w:val="003C1DAE"/>
    <w:pPr>
      <w:suppressAutoHyphens w:val="0"/>
      <w:spacing w:before="100" w:beforeAutospacing="1" w:after="100" w:afterAutospacing="1"/>
    </w:pPr>
  </w:style>
  <w:style w:type="character" w:customStyle="1" w:styleId="linebreakblob">
    <w:name w:val="linebreakblob"/>
    <w:basedOn w:val="DefaultParagraphFont"/>
    <w:rsid w:val="003C1DAE"/>
  </w:style>
  <w:style w:type="character" w:customStyle="1" w:styleId="scxw161159796">
    <w:name w:val="scxw161159796"/>
    <w:basedOn w:val="DefaultParagraphFont"/>
    <w:rsid w:val="003C1DAE"/>
  </w:style>
  <w:style w:type="character" w:customStyle="1" w:styleId="trackchangetextinsertion">
    <w:name w:val="trackchangetextinsertion"/>
    <w:basedOn w:val="DefaultParagraphFont"/>
    <w:rsid w:val="003C1DAE"/>
  </w:style>
  <w:style w:type="character" w:customStyle="1" w:styleId="trackchangetextdeletionmarker">
    <w:name w:val="trackchangetextdeletionmarker"/>
    <w:basedOn w:val="DefaultParagraphFont"/>
    <w:rsid w:val="003C1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10180">
      <w:bodyDiv w:val="1"/>
      <w:marLeft w:val="0"/>
      <w:marRight w:val="0"/>
      <w:marTop w:val="0"/>
      <w:marBottom w:val="0"/>
      <w:divBdr>
        <w:top w:val="none" w:sz="0" w:space="0" w:color="auto"/>
        <w:left w:val="none" w:sz="0" w:space="0" w:color="auto"/>
        <w:bottom w:val="none" w:sz="0" w:space="0" w:color="auto"/>
        <w:right w:val="none" w:sz="0" w:space="0" w:color="auto"/>
      </w:divBdr>
    </w:div>
    <w:div w:id="65109698">
      <w:bodyDiv w:val="1"/>
      <w:marLeft w:val="0"/>
      <w:marRight w:val="0"/>
      <w:marTop w:val="0"/>
      <w:marBottom w:val="0"/>
      <w:divBdr>
        <w:top w:val="none" w:sz="0" w:space="0" w:color="auto"/>
        <w:left w:val="none" w:sz="0" w:space="0" w:color="auto"/>
        <w:bottom w:val="none" w:sz="0" w:space="0" w:color="auto"/>
        <w:right w:val="none" w:sz="0" w:space="0" w:color="auto"/>
      </w:divBdr>
    </w:div>
    <w:div w:id="76942121">
      <w:bodyDiv w:val="1"/>
      <w:marLeft w:val="0"/>
      <w:marRight w:val="0"/>
      <w:marTop w:val="0"/>
      <w:marBottom w:val="0"/>
      <w:divBdr>
        <w:top w:val="none" w:sz="0" w:space="0" w:color="auto"/>
        <w:left w:val="none" w:sz="0" w:space="0" w:color="auto"/>
        <w:bottom w:val="none" w:sz="0" w:space="0" w:color="auto"/>
        <w:right w:val="none" w:sz="0" w:space="0" w:color="auto"/>
      </w:divBdr>
      <w:divsChild>
        <w:div w:id="67582284">
          <w:marLeft w:val="0"/>
          <w:marRight w:val="0"/>
          <w:marTop w:val="0"/>
          <w:marBottom w:val="0"/>
          <w:divBdr>
            <w:top w:val="none" w:sz="0" w:space="0" w:color="auto"/>
            <w:left w:val="none" w:sz="0" w:space="0" w:color="auto"/>
            <w:bottom w:val="none" w:sz="0" w:space="0" w:color="auto"/>
            <w:right w:val="none" w:sz="0" w:space="0" w:color="auto"/>
          </w:divBdr>
        </w:div>
        <w:div w:id="77405884">
          <w:marLeft w:val="0"/>
          <w:marRight w:val="0"/>
          <w:marTop w:val="0"/>
          <w:marBottom w:val="0"/>
          <w:divBdr>
            <w:top w:val="none" w:sz="0" w:space="0" w:color="auto"/>
            <w:left w:val="none" w:sz="0" w:space="0" w:color="auto"/>
            <w:bottom w:val="none" w:sz="0" w:space="0" w:color="auto"/>
            <w:right w:val="none" w:sz="0" w:space="0" w:color="auto"/>
          </w:divBdr>
        </w:div>
        <w:div w:id="80303055">
          <w:marLeft w:val="0"/>
          <w:marRight w:val="0"/>
          <w:marTop w:val="0"/>
          <w:marBottom w:val="0"/>
          <w:divBdr>
            <w:top w:val="none" w:sz="0" w:space="0" w:color="auto"/>
            <w:left w:val="none" w:sz="0" w:space="0" w:color="auto"/>
            <w:bottom w:val="none" w:sz="0" w:space="0" w:color="auto"/>
            <w:right w:val="none" w:sz="0" w:space="0" w:color="auto"/>
          </w:divBdr>
        </w:div>
        <w:div w:id="82918302">
          <w:marLeft w:val="0"/>
          <w:marRight w:val="0"/>
          <w:marTop w:val="0"/>
          <w:marBottom w:val="0"/>
          <w:divBdr>
            <w:top w:val="none" w:sz="0" w:space="0" w:color="auto"/>
            <w:left w:val="none" w:sz="0" w:space="0" w:color="auto"/>
            <w:bottom w:val="none" w:sz="0" w:space="0" w:color="auto"/>
            <w:right w:val="none" w:sz="0" w:space="0" w:color="auto"/>
          </w:divBdr>
        </w:div>
        <w:div w:id="104155986">
          <w:marLeft w:val="0"/>
          <w:marRight w:val="0"/>
          <w:marTop w:val="0"/>
          <w:marBottom w:val="0"/>
          <w:divBdr>
            <w:top w:val="none" w:sz="0" w:space="0" w:color="auto"/>
            <w:left w:val="none" w:sz="0" w:space="0" w:color="auto"/>
            <w:bottom w:val="none" w:sz="0" w:space="0" w:color="auto"/>
            <w:right w:val="none" w:sz="0" w:space="0" w:color="auto"/>
          </w:divBdr>
        </w:div>
        <w:div w:id="118107351">
          <w:marLeft w:val="0"/>
          <w:marRight w:val="0"/>
          <w:marTop w:val="0"/>
          <w:marBottom w:val="0"/>
          <w:divBdr>
            <w:top w:val="none" w:sz="0" w:space="0" w:color="auto"/>
            <w:left w:val="none" w:sz="0" w:space="0" w:color="auto"/>
            <w:bottom w:val="none" w:sz="0" w:space="0" w:color="auto"/>
            <w:right w:val="none" w:sz="0" w:space="0" w:color="auto"/>
          </w:divBdr>
        </w:div>
        <w:div w:id="162404548">
          <w:marLeft w:val="0"/>
          <w:marRight w:val="0"/>
          <w:marTop w:val="0"/>
          <w:marBottom w:val="0"/>
          <w:divBdr>
            <w:top w:val="none" w:sz="0" w:space="0" w:color="auto"/>
            <w:left w:val="none" w:sz="0" w:space="0" w:color="auto"/>
            <w:bottom w:val="none" w:sz="0" w:space="0" w:color="auto"/>
            <w:right w:val="none" w:sz="0" w:space="0" w:color="auto"/>
          </w:divBdr>
        </w:div>
        <w:div w:id="177815899">
          <w:marLeft w:val="0"/>
          <w:marRight w:val="0"/>
          <w:marTop w:val="0"/>
          <w:marBottom w:val="0"/>
          <w:divBdr>
            <w:top w:val="none" w:sz="0" w:space="0" w:color="auto"/>
            <w:left w:val="none" w:sz="0" w:space="0" w:color="auto"/>
            <w:bottom w:val="none" w:sz="0" w:space="0" w:color="auto"/>
            <w:right w:val="none" w:sz="0" w:space="0" w:color="auto"/>
          </w:divBdr>
        </w:div>
        <w:div w:id="185948760">
          <w:marLeft w:val="0"/>
          <w:marRight w:val="0"/>
          <w:marTop w:val="0"/>
          <w:marBottom w:val="0"/>
          <w:divBdr>
            <w:top w:val="none" w:sz="0" w:space="0" w:color="auto"/>
            <w:left w:val="none" w:sz="0" w:space="0" w:color="auto"/>
            <w:bottom w:val="none" w:sz="0" w:space="0" w:color="auto"/>
            <w:right w:val="none" w:sz="0" w:space="0" w:color="auto"/>
          </w:divBdr>
        </w:div>
        <w:div w:id="195430354">
          <w:marLeft w:val="0"/>
          <w:marRight w:val="0"/>
          <w:marTop w:val="0"/>
          <w:marBottom w:val="0"/>
          <w:divBdr>
            <w:top w:val="none" w:sz="0" w:space="0" w:color="auto"/>
            <w:left w:val="none" w:sz="0" w:space="0" w:color="auto"/>
            <w:bottom w:val="none" w:sz="0" w:space="0" w:color="auto"/>
            <w:right w:val="none" w:sz="0" w:space="0" w:color="auto"/>
          </w:divBdr>
        </w:div>
        <w:div w:id="203103232">
          <w:marLeft w:val="0"/>
          <w:marRight w:val="0"/>
          <w:marTop w:val="0"/>
          <w:marBottom w:val="0"/>
          <w:divBdr>
            <w:top w:val="none" w:sz="0" w:space="0" w:color="auto"/>
            <w:left w:val="none" w:sz="0" w:space="0" w:color="auto"/>
            <w:bottom w:val="none" w:sz="0" w:space="0" w:color="auto"/>
            <w:right w:val="none" w:sz="0" w:space="0" w:color="auto"/>
          </w:divBdr>
        </w:div>
        <w:div w:id="214902003">
          <w:marLeft w:val="0"/>
          <w:marRight w:val="0"/>
          <w:marTop w:val="0"/>
          <w:marBottom w:val="0"/>
          <w:divBdr>
            <w:top w:val="none" w:sz="0" w:space="0" w:color="auto"/>
            <w:left w:val="none" w:sz="0" w:space="0" w:color="auto"/>
            <w:bottom w:val="none" w:sz="0" w:space="0" w:color="auto"/>
            <w:right w:val="none" w:sz="0" w:space="0" w:color="auto"/>
          </w:divBdr>
        </w:div>
        <w:div w:id="265888921">
          <w:marLeft w:val="0"/>
          <w:marRight w:val="0"/>
          <w:marTop w:val="0"/>
          <w:marBottom w:val="0"/>
          <w:divBdr>
            <w:top w:val="none" w:sz="0" w:space="0" w:color="auto"/>
            <w:left w:val="none" w:sz="0" w:space="0" w:color="auto"/>
            <w:bottom w:val="none" w:sz="0" w:space="0" w:color="auto"/>
            <w:right w:val="none" w:sz="0" w:space="0" w:color="auto"/>
          </w:divBdr>
        </w:div>
        <w:div w:id="362024405">
          <w:marLeft w:val="0"/>
          <w:marRight w:val="0"/>
          <w:marTop w:val="0"/>
          <w:marBottom w:val="0"/>
          <w:divBdr>
            <w:top w:val="none" w:sz="0" w:space="0" w:color="auto"/>
            <w:left w:val="none" w:sz="0" w:space="0" w:color="auto"/>
            <w:bottom w:val="none" w:sz="0" w:space="0" w:color="auto"/>
            <w:right w:val="none" w:sz="0" w:space="0" w:color="auto"/>
          </w:divBdr>
        </w:div>
        <w:div w:id="363560053">
          <w:marLeft w:val="0"/>
          <w:marRight w:val="0"/>
          <w:marTop w:val="0"/>
          <w:marBottom w:val="0"/>
          <w:divBdr>
            <w:top w:val="none" w:sz="0" w:space="0" w:color="auto"/>
            <w:left w:val="none" w:sz="0" w:space="0" w:color="auto"/>
            <w:bottom w:val="none" w:sz="0" w:space="0" w:color="auto"/>
            <w:right w:val="none" w:sz="0" w:space="0" w:color="auto"/>
          </w:divBdr>
        </w:div>
        <w:div w:id="364912747">
          <w:marLeft w:val="0"/>
          <w:marRight w:val="0"/>
          <w:marTop w:val="0"/>
          <w:marBottom w:val="0"/>
          <w:divBdr>
            <w:top w:val="none" w:sz="0" w:space="0" w:color="auto"/>
            <w:left w:val="none" w:sz="0" w:space="0" w:color="auto"/>
            <w:bottom w:val="none" w:sz="0" w:space="0" w:color="auto"/>
            <w:right w:val="none" w:sz="0" w:space="0" w:color="auto"/>
          </w:divBdr>
        </w:div>
        <w:div w:id="368334871">
          <w:marLeft w:val="0"/>
          <w:marRight w:val="0"/>
          <w:marTop w:val="0"/>
          <w:marBottom w:val="0"/>
          <w:divBdr>
            <w:top w:val="none" w:sz="0" w:space="0" w:color="auto"/>
            <w:left w:val="none" w:sz="0" w:space="0" w:color="auto"/>
            <w:bottom w:val="none" w:sz="0" w:space="0" w:color="auto"/>
            <w:right w:val="none" w:sz="0" w:space="0" w:color="auto"/>
          </w:divBdr>
        </w:div>
        <w:div w:id="370695570">
          <w:marLeft w:val="0"/>
          <w:marRight w:val="0"/>
          <w:marTop w:val="0"/>
          <w:marBottom w:val="0"/>
          <w:divBdr>
            <w:top w:val="none" w:sz="0" w:space="0" w:color="auto"/>
            <w:left w:val="none" w:sz="0" w:space="0" w:color="auto"/>
            <w:bottom w:val="none" w:sz="0" w:space="0" w:color="auto"/>
            <w:right w:val="none" w:sz="0" w:space="0" w:color="auto"/>
          </w:divBdr>
        </w:div>
        <w:div w:id="413478941">
          <w:marLeft w:val="0"/>
          <w:marRight w:val="0"/>
          <w:marTop w:val="0"/>
          <w:marBottom w:val="0"/>
          <w:divBdr>
            <w:top w:val="none" w:sz="0" w:space="0" w:color="auto"/>
            <w:left w:val="none" w:sz="0" w:space="0" w:color="auto"/>
            <w:bottom w:val="none" w:sz="0" w:space="0" w:color="auto"/>
            <w:right w:val="none" w:sz="0" w:space="0" w:color="auto"/>
          </w:divBdr>
        </w:div>
        <w:div w:id="433596191">
          <w:marLeft w:val="0"/>
          <w:marRight w:val="0"/>
          <w:marTop w:val="0"/>
          <w:marBottom w:val="0"/>
          <w:divBdr>
            <w:top w:val="none" w:sz="0" w:space="0" w:color="auto"/>
            <w:left w:val="none" w:sz="0" w:space="0" w:color="auto"/>
            <w:bottom w:val="none" w:sz="0" w:space="0" w:color="auto"/>
            <w:right w:val="none" w:sz="0" w:space="0" w:color="auto"/>
          </w:divBdr>
        </w:div>
        <w:div w:id="449931661">
          <w:marLeft w:val="0"/>
          <w:marRight w:val="0"/>
          <w:marTop w:val="0"/>
          <w:marBottom w:val="0"/>
          <w:divBdr>
            <w:top w:val="none" w:sz="0" w:space="0" w:color="auto"/>
            <w:left w:val="none" w:sz="0" w:space="0" w:color="auto"/>
            <w:bottom w:val="none" w:sz="0" w:space="0" w:color="auto"/>
            <w:right w:val="none" w:sz="0" w:space="0" w:color="auto"/>
          </w:divBdr>
        </w:div>
        <w:div w:id="474100691">
          <w:marLeft w:val="0"/>
          <w:marRight w:val="0"/>
          <w:marTop w:val="0"/>
          <w:marBottom w:val="0"/>
          <w:divBdr>
            <w:top w:val="none" w:sz="0" w:space="0" w:color="auto"/>
            <w:left w:val="none" w:sz="0" w:space="0" w:color="auto"/>
            <w:bottom w:val="none" w:sz="0" w:space="0" w:color="auto"/>
            <w:right w:val="none" w:sz="0" w:space="0" w:color="auto"/>
          </w:divBdr>
        </w:div>
        <w:div w:id="485129725">
          <w:marLeft w:val="0"/>
          <w:marRight w:val="0"/>
          <w:marTop w:val="0"/>
          <w:marBottom w:val="0"/>
          <w:divBdr>
            <w:top w:val="none" w:sz="0" w:space="0" w:color="auto"/>
            <w:left w:val="none" w:sz="0" w:space="0" w:color="auto"/>
            <w:bottom w:val="none" w:sz="0" w:space="0" w:color="auto"/>
            <w:right w:val="none" w:sz="0" w:space="0" w:color="auto"/>
          </w:divBdr>
        </w:div>
        <w:div w:id="485706005">
          <w:marLeft w:val="0"/>
          <w:marRight w:val="0"/>
          <w:marTop w:val="0"/>
          <w:marBottom w:val="0"/>
          <w:divBdr>
            <w:top w:val="none" w:sz="0" w:space="0" w:color="auto"/>
            <w:left w:val="none" w:sz="0" w:space="0" w:color="auto"/>
            <w:bottom w:val="none" w:sz="0" w:space="0" w:color="auto"/>
            <w:right w:val="none" w:sz="0" w:space="0" w:color="auto"/>
          </w:divBdr>
        </w:div>
        <w:div w:id="512766099">
          <w:marLeft w:val="0"/>
          <w:marRight w:val="0"/>
          <w:marTop w:val="0"/>
          <w:marBottom w:val="0"/>
          <w:divBdr>
            <w:top w:val="none" w:sz="0" w:space="0" w:color="auto"/>
            <w:left w:val="none" w:sz="0" w:space="0" w:color="auto"/>
            <w:bottom w:val="none" w:sz="0" w:space="0" w:color="auto"/>
            <w:right w:val="none" w:sz="0" w:space="0" w:color="auto"/>
          </w:divBdr>
        </w:div>
        <w:div w:id="526871436">
          <w:marLeft w:val="0"/>
          <w:marRight w:val="0"/>
          <w:marTop w:val="0"/>
          <w:marBottom w:val="0"/>
          <w:divBdr>
            <w:top w:val="none" w:sz="0" w:space="0" w:color="auto"/>
            <w:left w:val="none" w:sz="0" w:space="0" w:color="auto"/>
            <w:bottom w:val="none" w:sz="0" w:space="0" w:color="auto"/>
            <w:right w:val="none" w:sz="0" w:space="0" w:color="auto"/>
          </w:divBdr>
        </w:div>
        <w:div w:id="533545776">
          <w:marLeft w:val="0"/>
          <w:marRight w:val="0"/>
          <w:marTop w:val="0"/>
          <w:marBottom w:val="0"/>
          <w:divBdr>
            <w:top w:val="none" w:sz="0" w:space="0" w:color="auto"/>
            <w:left w:val="none" w:sz="0" w:space="0" w:color="auto"/>
            <w:bottom w:val="none" w:sz="0" w:space="0" w:color="auto"/>
            <w:right w:val="none" w:sz="0" w:space="0" w:color="auto"/>
          </w:divBdr>
        </w:div>
        <w:div w:id="534972167">
          <w:marLeft w:val="0"/>
          <w:marRight w:val="0"/>
          <w:marTop w:val="0"/>
          <w:marBottom w:val="0"/>
          <w:divBdr>
            <w:top w:val="none" w:sz="0" w:space="0" w:color="auto"/>
            <w:left w:val="none" w:sz="0" w:space="0" w:color="auto"/>
            <w:bottom w:val="none" w:sz="0" w:space="0" w:color="auto"/>
            <w:right w:val="none" w:sz="0" w:space="0" w:color="auto"/>
          </w:divBdr>
        </w:div>
        <w:div w:id="537089464">
          <w:marLeft w:val="0"/>
          <w:marRight w:val="0"/>
          <w:marTop w:val="0"/>
          <w:marBottom w:val="0"/>
          <w:divBdr>
            <w:top w:val="none" w:sz="0" w:space="0" w:color="auto"/>
            <w:left w:val="none" w:sz="0" w:space="0" w:color="auto"/>
            <w:bottom w:val="none" w:sz="0" w:space="0" w:color="auto"/>
            <w:right w:val="none" w:sz="0" w:space="0" w:color="auto"/>
          </w:divBdr>
        </w:div>
        <w:div w:id="541065628">
          <w:marLeft w:val="0"/>
          <w:marRight w:val="0"/>
          <w:marTop w:val="0"/>
          <w:marBottom w:val="0"/>
          <w:divBdr>
            <w:top w:val="none" w:sz="0" w:space="0" w:color="auto"/>
            <w:left w:val="none" w:sz="0" w:space="0" w:color="auto"/>
            <w:bottom w:val="none" w:sz="0" w:space="0" w:color="auto"/>
            <w:right w:val="none" w:sz="0" w:space="0" w:color="auto"/>
          </w:divBdr>
        </w:div>
        <w:div w:id="564611106">
          <w:marLeft w:val="0"/>
          <w:marRight w:val="0"/>
          <w:marTop w:val="0"/>
          <w:marBottom w:val="0"/>
          <w:divBdr>
            <w:top w:val="none" w:sz="0" w:space="0" w:color="auto"/>
            <w:left w:val="none" w:sz="0" w:space="0" w:color="auto"/>
            <w:bottom w:val="none" w:sz="0" w:space="0" w:color="auto"/>
            <w:right w:val="none" w:sz="0" w:space="0" w:color="auto"/>
          </w:divBdr>
        </w:div>
        <w:div w:id="575823991">
          <w:marLeft w:val="0"/>
          <w:marRight w:val="0"/>
          <w:marTop w:val="0"/>
          <w:marBottom w:val="0"/>
          <w:divBdr>
            <w:top w:val="none" w:sz="0" w:space="0" w:color="auto"/>
            <w:left w:val="none" w:sz="0" w:space="0" w:color="auto"/>
            <w:bottom w:val="none" w:sz="0" w:space="0" w:color="auto"/>
            <w:right w:val="none" w:sz="0" w:space="0" w:color="auto"/>
          </w:divBdr>
        </w:div>
        <w:div w:id="594443946">
          <w:marLeft w:val="0"/>
          <w:marRight w:val="0"/>
          <w:marTop w:val="0"/>
          <w:marBottom w:val="0"/>
          <w:divBdr>
            <w:top w:val="none" w:sz="0" w:space="0" w:color="auto"/>
            <w:left w:val="none" w:sz="0" w:space="0" w:color="auto"/>
            <w:bottom w:val="none" w:sz="0" w:space="0" w:color="auto"/>
            <w:right w:val="none" w:sz="0" w:space="0" w:color="auto"/>
          </w:divBdr>
        </w:div>
        <w:div w:id="596064971">
          <w:marLeft w:val="0"/>
          <w:marRight w:val="0"/>
          <w:marTop w:val="0"/>
          <w:marBottom w:val="0"/>
          <w:divBdr>
            <w:top w:val="none" w:sz="0" w:space="0" w:color="auto"/>
            <w:left w:val="none" w:sz="0" w:space="0" w:color="auto"/>
            <w:bottom w:val="none" w:sz="0" w:space="0" w:color="auto"/>
            <w:right w:val="none" w:sz="0" w:space="0" w:color="auto"/>
          </w:divBdr>
        </w:div>
        <w:div w:id="597099771">
          <w:marLeft w:val="0"/>
          <w:marRight w:val="0"/>
          <w:marTop w:val="0"/>
          <w:marBottom w:val="0"/>
          <w:divBdr>
            <w:top w:val="none" w:sz="0" w:space="0" w:color="auto"/>
            <w:left w:val="none" w:sz="0" w:space="0" w:color="auto"/>
            <w:bottom w:val="none" w:sz="0" w:space="0" w:color="auto"/>
            <w:right w:val="none" w:sz="0" w:space="0" w:color="auto"/>
          </w:divBdr>
        </w:div>
        <w:div w:id="618948516">
          <w:marLeft w:val="0"/>
          <w:marRight w:val="0"/>
          <w:marTop w:val="0"/>
          <w:marBottom w:val="0"/>
          <w:divBdr>
            <w:top w:val="none" w:sz="0" w:space="0" w:color="auto"/>
            <w:left w:val="none" w:sz="0" w:space="0" w:color="auto"/>
            <w:bottom w:val="none" w:sz="0" w:space="0" w:color="auto"/>
            <w:right w:val="none" w:sz="0" w:space="0" w:color="auto"/>
          </w:divBdr>
        </w:div>
        <w:div w:id="622075331">
          <w:marLeft w:val="0"/>
          <w:marRight w:val="0"/>
          <w:marTop w:val="0"/>
          <w:marBottom w:val="0"/>
          <w:divBdr>
            <w:top w:val="none" w:sz="0" w:space="0" w:color="auto"/>
            <w:left w:val="none" w:sz="0" w:space="0" w:color="auto"/>
            <w:bottom w:val="none" w:sz="0" w:space="0" w:color="auto"/>
            <w:right w:val="none" w:sz="0" w:space="0" w:color="auto"/>
          </w:divBdr>
        </w:div>
        <w:div w:id="628433779">
          <w:marLeft w:val="0"/>
          <w:marRight w:val="0"/>
          <w:marTop w:val="0"/>
          <w:marBottom w:val="0"/>
          <w:divBdr>
            <w:top w:val="none" w:sz="0" w:space="0" w:color="auto"/>
            <w:left w:val="none" w:sz="0" w:space="0" w:color="auto"/>
            <w:bottom w:val="none" w:sz="0" w:space="0" w:color="auto"/>
            <w:right w:val="none" w:sz="0" w:space="0" w:color="auto"/>
          </w:divBdr>
        </w:div>
        <w:div w:id="667827084">
          <w:marLeft w:val="0"/>
          <w:marRight w:val="0"/>
          <w:marTop w:val="0"/>
          <w:marBottom w:val="0"/>
          <w:divBdr>
            <w:top w:val="none" w:sz="0" w:space="0" w:color="auto"/>
            <w:left w:val="none" w:sz="0" w:space="0" w:color="auto"/>
            <w:bottom w:val="none" w:sz="0" w:space="0" w:color="auto"/>
            <w:right w:val="none" w:sz="0" w:space="0" w:color="auto"/>
          </w:divBdr>
        </w:div>
        <w:div w:id="668023240">
          <w:marLeft w:val="0"/>
          <w:marRight w:val="0"/>
          <w:marTop w:val="0"/>
          <w:marBottom w:val="0"/>
          <w:divBdr>
            <w:top w:val="none" w:sz="0" w:space="0" w:color="auto"/>
            <w:left w:val="none" w:sz="0" w:space="0" w:color="auto"/>
            <w:bottom w:val="none" w:sz="0" w:space="0" w:color="auto"/>
            <w:right w:val="none" w:sz="0" w:space="0" w:color="auto"/>
          </w:divBdr>
        </w:div>
        <w:div w:id="671372209">
          <w:marLeft w:val="0"/>
          <w:marRight w:val="0"/>
          <w:marTop w:val="0"/>
          <w:marBottom w:val="0"/>
          <w:divBdr>
            <w:top w:val="none" w:sz="0" w:space="0" w:color="auto"/>
            <w:left w:val="none" w:sz="0" w:space="0" w:color="auto"/>
            <w:bottom w:val="none" w:sz="0" w:space="0" w:color="auto"/>
            <w:right w:val="none" w:sz="0" w:space="0" w:color="auto"/>
          </w:divBdr>
        </w:div>
        <w:div w:id="683214377">
          <w:marLeft w:val="0"/>
          <w:marRight w:val="0"/>
          <w:marTop w:val="0"/>
          <w:marBottom w:val="0"/>
          <w:divBdr>
            <w:top w:val="none" w:sz="0" w:space="0" w:color="auto"/>
            <w:left w:val="none" w:sz="0" w:space="0" w:color="auto"/>
            <w:bottom w:val="none" w:sz="0" w:space="0" w:color="auto"/>
            <w:right w:val="none" w:sz="0" w:space="0" w:color="auto"/>
          </w:divBdr>
        </w:div>
        <w:div w:id="738406073">
          <w:marLeft w:val="0"/>
          <w:marRight w:val="0"/>
          <w:marTop w:val="0"/>
          <w:marBottom w:val="0"/>
          <w:divBdr>
            <w:top w:val="none" w:sz="0" w:space="0" w:color="auto"/>
            <w:left w:val="none" w:sz="0" w:space="0" w:color="auto"/>
            <w:bottom w:val="none" w:sz="0" w:space="0" w:color="auto"/>
            <w:right w:val="none" w:sz="0" w:space="0" w:color="auto"/>
          </w:divBdr>
        </w:div>
        <w:div w:id="738792901">
          <w:marLeft w:val="0"/>
          <w:marRight w:val="0"/>
          <w:marTop w:val="0"/>
          <w:marBottom w:val="0"/>
          <w:divBdr>
            <w:top w:val="none" w:sz="0" w:space="0" w:color="auto"/>
            <w:left w:val="none" w:sz="0" w:space="0" w:color="auto"/>
            <w:bottom w:val="none" w:sz="0" w:space="0" w:color="auto"/>
            <w:right w:val="none" w:sz="0" w:space="0" w:color="auto"/>
          </w:divBdr>
        </w:div>
        <w:div w:id="788208473">
          <w:marLeft w:val="0"/>
          <w:marRight w:val="0"/>
          <w:marTop w:val="0"/>
          <w:marBottom w:val="0"/>
          <w:divBdr>
            <w:top w:val="none" w:sz="0" w:space="0" w:color="auto"/>
            <w:left w:val="none" w:sz="0" w:space="0" w:color="auto"/>
            <w:bottom w:val="none" w:sz="0" w:space="0" w:color="auto"/>
            <w:right w:val="none" w:sz="0" w:space="0" w:color="auto"/>
          </w:divBdr>
        </w:div>
        <w:div w:id="789127114">
          <w:marLeft w:val="0"/>
          <w:marRight w:val="0"/>
          <w:marTop w:val="0"/>
          <w:marBottom w:val="0"/>
          <w:divBdr>
            <w:top w:val="none" w:sz="0" w:space="0" w:color="auto"/>
            <w:left w:val="none" w:sz="0" w:space="0" w:color="auto"/>
            <w:bottom w:val="none" w:sz="0" w:space="0" w:color="auto"/>
            <w:right w:val="none" w:sz="0" w:space="0" w:color="auto"/>
          </w:divBdr>
        </w:div>
        <w:div w:id="803698693">
          <w:marLeft w:val="0"/>
          <w:marRight w:val="0"/>
          <w:marTop w:val="0"/>
          <w:marBottom w:val="0"/>
          <w:divBdr>
            <w:top w:val="none" w:sz="0" w:space="0" w:color="auto"/>
            <w:left w:val="none" w:sz="0" w:space="0" w:color="auto"/>
            <w:bottom w:val="none" w:sz="0" w:space="0" w:color="auto"/>
            <w:right w:val="none" w:sz="0" w:space="0" w:color="auto"/>
          </w:divBdr>
        </w:div>
        <w:div w:id="887767322">
          <w:marLeft w:val="0"/>
          <w:marRight w:val="0"/>
          <w:marTop w:val="0"/>
          <w:marBottom w:val="0"/>
          <w:divBdr>
            <w:top w:val="none" w:sz="0" w:space="0" w:color="auto"/>
            <w:left w:val="none" w:sz="0" w:space="0" w:color="auto"/>
            <w:bottom w:val="none" w:sz="0" w:space="0" w:color="auto"/>
            <w:right w:val="none" w:sz="0" w:space="0" w:color="auto"/>
          </w:divBdr>
        </w:div>
        <w:div w:id="887959773">
          <w:marLeft w:val="0"/>
          <w:marRight w:val="0"/>
          <w:marTop w:val="0"/>
          <w:marBottom w:val="0"/>
          <w:divBdr>
            <w:top w:val="none" w:sz="0" w:space="0" w:color="auto"/>
            <w:left w:val="none" w:sz="0" w:space="0" w:color="auto"/>
            <w:bottom w:val="none" w:sz="0" w:space="0" w:color="auto"/>
            <w:right w:val="none" w:sz="0" w:space="0" w:color="auto"/>
          </w:divBdr>
        </w:div>
        <w:div w:id="987326586">
          <w:marLeft w:val="0"/>
          <w:marRight w:val="0"/>
          <w:marTop w:val="0"/>
          <w:marBottom w:val="0"/>
          <w:divBdr>
            <w:top w:val="none" w:sz="0" w:space="0" w:color="auto"/>
            <w:left w:val="none" w:sz="0" w:space="0" w:color="auto"/>
            <w:bottom w:val="none" w:sz="0" w:space="0" w:color="auto"/>
            <w:right w:val="none" w:sz="0" w:space="0" w:color="auto"/>
          </w:divBdr>
        </w:div>
        <w:div w:id="999381553">
          <w:marLeft w:val="0"/>
          <w:marRight w:val="0"/>
          <w:marTop w:val="0"/>
          <w:marBottom w:val="0"/>
          <w:divBdr>
            <w:top w:val="none" w:sz="0" w:space="0" w:color="auto"/>
            <w:left w:val="none" w:sz="0" w:space="0" w:color="auto"/>
            <w:bottom w:val="none" w:sz="0" w:space="0" w:color="auto"/>
            <w:right w:val="none" w:sz="0" w:space="0" w:color="auto"/>
          </w:divBdr>
        </w:div>
        <w:div w:id="1000354133">
          <w:marLeft w:val="0"/>
          <w:marRight w:val="0"/>
          <w:marTop w:val="0"/>
          <w:marBottom w:val="0"/>
          <w:divBdr>
            <w:top w:val="none" w:sz="0" w:space="0" w:color="auto"/>
            <w:left w:val="none" w:sz="0" w:space="0" w:color="auto"/>
            <w:bottom w:val="none" w:sz="0" w:space="0" w:color="auto"/>
            <w:right w:val="none" w:sz="0" w:space="0" w:color="auto"/>
          </w:divBdr>
        </w:div>
        <w:div w:id="1000817566">
          <w:marLeft w:val="0"/>
          <w:marRight w:val="0"/>
          <w:marTop w:val="0"/>
          <w:marBottom w:val="0"/>
          <w:divBdr>
            <w:top w:val="none" w:sz="0" w:space="0" w:color="auto"/>
            <w:left w:val="none" w:sz="0" w:space="0" w:color="auto"/>
            <w:bottom w:val="none" w:sz="0" w:space="0" w:color="auto"/>
            <w:right w:val="none" w:sz="0" w:space="0" w:color="auto"/>
          </w:divBdr>
        </w:div>
        <w:div w:id="1024524614">
          <w:marLeft w:val="0"/>
          <w:marRight w:val="0"/>
          <w:marTop w:val="0"/>
          <w:marBottom w:val="0"/>
          <w:divBdr>
            <w:top w:val="none" w:sz="0" w:space="0" w:color="auto"/>
            <w:left w:val="none" w:sz="0" w:space="0" w:color="auto"/>
            <w:bottom w:val="none" w:sz="0" w:space="0" w:color="auto"/>
            <w:right w:val="none" w:sz="0" w:space="0" w:color="auto"/>
          </w:divBdr>
        </w:div>
        <w:div w:id="1045181713">
          <w:marLeft w:val="0"/>
          <w:marRight w:val="0"/>
          <w:marTop w:val="0"/>
          <w:marBottom w:val="0"/>
          <w:divBdr>
            <w:top w:val="none" w:sz="0" w:space="0" w:color="auto"/>
            <w:left w:val="none" w:sz="0" w:space="0" w:color="auto"/>
            <w:bottom w:val="none" w:sz="0" w:space="0" w:color="auto"/>
            <w:right w:val="none" w:sz="0" w:space="0" w:color="auto"/>
          </w:divBdr>
        </w:div>
        <w:div w:id="1052194795">
          <w:marLeft w:val="0"/>
          <w:marRight w:val="0"/>
          <w:marTop w:val="0"/>
          <w:marBottom w:val="0"/>
          <w:divBdr>
            <w:top w:val="none" w:sz="0" w:space="0" w:color="auto"/>
            <w:left w:val="none" w:sz="0" w:space="0" w:color="auto"/>
            <w:bottom w:val="none" w:sz="0" w:space="0" w:color="auto"/>
            <w:right w:val="none" w:sz="0" w:space="0" w:color="auto"/>
          </w:divBdr>
        </w:div>
        <w:div w:id="1107583688">
          <w:marLeft w:val="0"/>
          <w:marRight w:val="0"/>
          <w:marTop w:val="0"/>
          <w:marBottom w:val="0"/>
          <w:divBdr>
            <w:top w:val="none" w:sz="0" w:space="0" w:color="auto"/>
            <w:left w:val="none" w:sz="0" w:space="0" w:color="auto"/>
            <w:bottom w:val="none" w:sz="0" w:space="0" w:color="auto"/>
            <w:right w:val="none" w:sz="0" w:space="0" w:color="auto"/>
          </w:divBdr>
        </w:div>
        <w:div w:id="1110658935">
          <w:marLeft w:val="0"/>
          <w:marRight w:val="0"/>
          <w:marTop w:val="0"/>
          <w:marBottom w:val="0"/>
          <w:divBdr>
            <w:top w:val="none" w:sz="0" w:space="0" w:color="auto"/>
            <w:left w:val="none" w:sz="0" w:space="0" w:color="auto"/>
            <w:bottom w:val="none" w:sz="0" w:space="0" w:color="auto"/>
            <w:right w:val="none" w:sz="0" w:space="0" w:color="auto"/>
          </w:divBdr>
        </w:div>
        <w:div w:id="1119226393">
          <w:marLeft w:val="0"/>
          <w:marRight w:val="0"/>
          <w:marTop w:val="0"/>
          <w:marBottom w:val="0"/>
          <w:divBdr>
            <w:top w:val="none" w:sz="0" w:space="0" w:color="auto"/>
            <w:left w:val="none" w:sz="0" w:space="0" w:color="auto"/>
            <w:bottom w:val="none" w:sz="0" w:space="0" w:color="auto"/>
            <w:right w:val="none" w:sz="0" w:space="0" w:color="auto"/>
          </w:divBdr>
        </w:div>
        <w:div w:id="1127816102">
          <w:marLeft w:val="0"/>
          <w:marRight w:val="0"/>
          <w:marTop w:val="0"/>
          <w:marBottom w:val="0"/>
          <w:divBdr>
            <w:top w:val="none" w:sz="0" w:space="0" w:color="auto"/>
            <w:left w:val="none" w:sz="0" w:space="0" w:color="auto"/>
            <w:bottom w:val="none" w:sz="0" w:space="0" w:color="auto"/>
            <w:right w:val="none" w:sz="0" w:space="0" w:color="auto"/>
          </w:divBdr>
        </w:div>
        <w:div w:id="1139037794">
          <w:marLeft w:val="0"/>
          <w:marRight w:val="0"/>
          <w:marTop w:val="0"/>
          <w:marBottom w:val="0"/>
          <w:divBdr>
            <w:top w:val="none" w:sz="0" w:space="0" w:color="auto"/>
            <w:left w:val="none" w:sz="0" w:space="0" w:color="auto"/>
            <w:bottom w:val="none" w:sz="0" w:space="0" w:color="auto"/>
            <w:right w:val="none" w:sz="0" w:space="0" w:color="auto"/>
          </w:divBdr>
        </w:div>
        <w:div w:id="1149245565">
          <w:marLeft w:val="0"/>
          <w:marRight w:val="0"/>
          <w:marTop w:val="0"/>
          <w:marBottom w:val="0"/>
          <w:divBdr>
            <w:top w:val="none" w:sz="0" w:space="0" w:color="auto"/>
            <w:left w:val="none" w:sz="0" w:space="0" w:color="auto"/>
            <w:bottom w:val="none" w:sz="0" w:space="0" w:color="auto"/>
            <w:right w:val="none" w:sz="0" w:space="0" w:color="auto"/>
          </w:divBdr>
        </w:div>
        <w:div w:id="1206915889">
          <w:marLeft w:val="0"/>
          <w:marRight w:val="0"/>
          <w:marTop w:val="0"/>
          <w:marBottom w:val="0"/>
          <w:divBdr>
            <w:top w:val="none" w:sz="0" w:space="0" w:color="auto"/>
            <w:left w:val="none" w:sz="0" w:space="0" w:color="auto"/>
            <w:bottom w:val="none" w:sz="0" w:space="0" w:color="auto"/>
            <w:right w:val="none" w:sz="0" w:space="0" w:color="auto"/>
          </w:divBdr>
        </w:div>
        <w:div w:id="1237128165">
          <w:marLeft w:val="0"/>
          <w:marRight w:val="0"/>
          <w:marTop w:val="0"/>
          <w:marBottom w:val="0"/>
          <w:divBdr>
            <w:top w:val="none" w:sz="0" w:space="0" w:color="auto"/>
            <w:left w:val="none" w:sz="0" w:space="0" w:color="auto"/>
            <w:bottom w:val="none" w:sz="0" w:space="0" w:color="auto"/>
            <w:right w:val="none" w:sz="0" w:space="0" w:color="auto"/>
          </w:divBdr>
        </w:div>
        <w:div w:id="1239680385">
          <w:marLeft w:val="0"/>
          <w:marRight w:val="0"/>
          <w:marTop w:val="0"/>
          <w:marBottom w:val="0"/>
          <w:divBdr>
            <w:top w:val="none" w:sz="0" w:space="0" w:color="auto"/>
            <w:left w:val="none" w:sz="0" w:space="0" w:color="auto"/>
            <w:bottom w:val="none" w:sz="0" w:space="0" w:color="auto"/>
            <w:right w:val="none" w:sz="0" w:space="0" w:color="auto"/>
          </w:divBdr>
        </w:div>
        <w:div w:id="1242524190">
          <w:marLeft w:val="0"/>
          <w:marRight w:val="0"/>
          <w:marTop w:val="0"/>
          <w:marBottom w:val="0"/>
          <w:divBdr>
            <w:top w:val="none" w:sz="0" w:space="0" w:color="auto"/>
            <w:left w:val="none" w:sz="0" w:space="0" w:color="auto"/>
            <w:bottom w:val="none" w:sz="0" w:space="0" w:color="auto"/>
            <w:right w:val="none" w:sz="0" w:space="0" w:color="auto"/>
          </w:divBdr>
        </w:div>
        <w:div w:id="1247376745">
          <w:marLeft w:val="0"/>
          <w:marRight w:val="0"/>
          <w:marTop w:val="0"/>
          <w:marBottom w:val="0"/>
          <w:divBdr>
            <w:top w:val="none" w:sz="0" w:space="0" w:color="auto"/>
            <w:left w:val="none" w:sz="0" w:space="0" w:color="auto"/>
            <w:bottom w:val="none" w:sz="0" w:space="0" w:color="auto"/>
            <w:right w:val="none" w:sz="0" w:space="0" w:color="auto"/>
          </w:divBdr>
        </w:div>
        <w:div w:id="1249537854">
          <w:marLeft w:val="0"/>
          <w:marRight w:val="0"/>
          <w:marTop w:val="0"/>
          <w:marBottom w:val="0"/>
          <w:divBdr>
            <w:top w:val="none" w:sz="0" w:space="0" w:color="auto"/>
            <w:left w:val="none" w:sz="0" w:space="0" w:color="auto"/>
            <w:bottom w:val="none" w:sz="0" w:space="0" w:color="auto"/>
            <w:right w:val="none" w:sz="0" w:space="0" w:color="auto"/>
          </w:divBdr>
        </w:div>
        <w:div w:id="1263337505">
          <w:marLeft w:val="0"/>
          <w:marRight w:val="0"/>
          <w:marTop w:val="0"/>
          <w:marBottom w:val="0"/>
          <w:divBdr>
            <w:top w:val="none" w:sz="0" w:space="0" w:color="auto"/>
            <w:left w:val="none" w:sz="0" w:space="0" w:color="auto"/>
            <w:bottom w:val="none" w:sz="0" w:space="0" w:color="auto"/>
            <w:right w:val="none" w:sz="0" w:space="0" w:color="auto"/>
          </w:divBdr>
        </w:div>
        <w:div w:id="1283657333">
          <w:marLeft w:val="0"/>
          <w:marRight w:val="0"/>
          <w:marTop w:val="0"/>
          <w:marBottom w:val="0"/>
          <w:divBdr>
            <w:top w:val="none" w:sz="0" w:space="0" w:color="auto"/>
            <w:left w:val="none" w:sz="0" w:space="0" w:color="auto"/>
            <w:bottom w:val="none" w:sz="0" w:space="0" w:color="auto"/>
            <w:right w:val="none" w:sz="0" w:space="0" w:color="auto"/>
          </w:divBdr>
        </w:div>
        <w:div w:id="1313212082">
          <w:marLeft w:val="0"/>
          <w:marRight w:val="0"/>
          <w:marTop w:val="0"/>
          <w:marBottom w:val="0"/>
          <w:divBdr>
            <w:top w:val="none" w:sz="0" w:space="0" w:color="auto"/>
            <w:left w:val="none" w:sz="0" w:space="0" w:color="auto"/>
            <w:bottom w:val="none" w:sz="0" w:space="0" w:color="auto"/>
            <w:right w:val="none" w:sz="0" w:space="0" w:color="auto"/>
          </w:divBdr>
        </w:div>
        <w:div w:id="1318535018">
          <w:marLeft w:val="0"/>
          <w:marRight w:val="0"/>
          <w:marTop w:val="0"/>
          <w:marBottom w:val="0"/>
          <w:divBdr>
            <w:top w:val="none" w:sz="0" w:space="0" w:color="auto"/>
            <w:left w:val="none" w:sz="0" w:space="0" w:color="auto"/>
            <w:bottom w:val="none" w:sz="0" w:space="0" w:color="auto"/>
            <w:right w:val="none" w:sz="0" w:space="0" w:color="auto"/>
          </w:divBdr>
        </w:div>
        <w:div w:id="1335105151">
          <w:marLeft w:val="0"/>
          <w:marRight w:val="0"/>
          <w:marTop w:val="0"/>
          <w:marBottom w:val="0"/>
          <w:divBdr>
            <w:top w:val="none" w:sz="0" w:space="0" w:color="auto"/>
            <w:left w:val="none" w:sz="0" w:space="0" w:color="auto"/>
            <w:bottom w:val="none" w:sz="0" w:space="0" w:color="auto"/>
            <w:right w:val="none" w:sz="0" w:space="0" w:color="auto"/>
          </w:divBdr>
        </w:div>
        <w:div w:id="1350335660">
          <w:marLeft w:val="0"/>
          <w:marRight w:val="0"/>
          <w:marTop w:val="0"/>
          <w:marBottom w:val="0"/>
          <w:divBdr>
            <w:top w:val="none" w:sz="0" w:space="0" w:color="auto"/>
            <w:left w:val="none" w:sz="0" w:space="0" w:color="auto"/>
            <w:bottom w:val="none" w:sz="0" w:space="0" w:color="auto"/>
            <w:right w:val="none" w:sz="0" w:space="0" w:color="auto"/>
          </w:divBdr>
        </w:div>
        <w:div w:id="1375033967">
          <w:marLeft w:val="0"/>
          <w:marRight w:val="0"/>
          <w:marTop w:val="0"/>
          <w:marBottom w:val="0"/>
          <w:divBdr>
            <w:top w:val="none" w:sz="0" w:space="0" w:color="auto"/>
            <w:left w:val="none" w:sz="0" w:space="0" w:color="auto"/>
            <w:bottom w:val="none" w:sz="0" w:space="0" w:color="auto"/>
            <w:right w:val="none" w:sz="0" w:space="0" w:color="auto"/>
          </w:divBdr>
        </w:div>
        <w:div w:id="1382096743">
          <w:marLeft w:val="0"/>
          <w:marRight w:val="0"/>
          <w:marTop w:val="0"/>
          <w:marBottom w:val="0"/>
          <w:divBdr>
            <w:top w:val="none" w:sz="0" w:space="0" w:color="auto"/>
            <w:left w:val="none" w:sz="0" w:space="0" w:color="auto"/>
            <w:bottom w:val="none" w:sz="0" w:space="0" w:color="auto"/>
            <w:right w:val="none" w:sz="0" w:space="0" w:color="auto"/>
          </w:divBdr>
        </w:div>
        <w:div w:id="1429228246">
          <w:marLeft w:val="0"/>
          <w:marRight w:val="0"/>
          <w:marTop w:val="0"/>
          <w:marBottom w:val="0"/>
          <w:divBdr>
            <w:top w:val="none" w:sz="0" w:space="0" w:color="auto"/>
            <w:left w:val="none" w:sz="0" w:space="0" w:color="auto"/>
            <w:bottom w:val="none" w:sz="0" w:space="0" w:color="auto"/>
            <w:right w:val="none" w:sz="0" w:space="0" w:color="auto"/>
          </w:divBdr>
        </w:div>
        <w:div w:id="1437482654">
          <w:marLeft w:val="0"/>
          <w:marRight w:val="0"/>
          <w:marTop w:val="0"/>
          <w:marBottom w:val="0"/>
          <w:divBdr>
            <w:top w:val="none" w:sz="0" w:space="0" w:color="auto"/>
            <w:left w:val="none" w:sz="0" w:space="0" w:color="auto"/>
            <w:bottom w:val="none" w:sz="0" w:space="0" w:color="auto"/>
            <w:right w:val="none" w:sz="0" w:space="0" w:color="auto"/>
          </w:divBdr>
        </w:div>
        <w:div w:id="1482964918">
          <w:marLeft w:val="0"/>
          <w:marRight w:val="0"/>
          <w:marTop w:val="0"/>
          <w:marBottom w:val="0"/>
          <w:divBdr>
            <w:top w:val="none" w:sz="0" w:space="0" w:color="auto"/>
            <w:left w:val="none" w:sz="0" w:space="0" w:color="auto"/>
            <w:bottom w:val="none" w:sz="0" w:space="0" w:color="auto"/>
            <w:right w:val="none" w:sz="0" w:space="0" w:color="auto"/>
          </w:divBdr>
        </w:div>
        <w:div w:id="1485468973">
          <w:marLeft w:val="0"/>
          <w:marRight w:val="0"/>
          <w:marTop w:val="0"/>
          <w:marBottom w:val="0"/>
          <w:divBdr>
            <w:top w:val="none" w:sz="0" w:space="0" w:color="auto"/>
            <w:left w:val="none" w:sz="0" w:space="0" w:color="auto"/>
            <w:bottom w:val="none" w:sz="0" w:space="0" w:color="auto"/>
            <w:right w:val="none" w:sz="0" w:space="0" w:color="auto"/>
          </w:divBdr>
        </w:div>
        <w:div w:id="1547066143">
          <w:marLeft w:val="0"/>
          <w:marRight w:val="0"/>
          <w:marTop w:val="0"/>
          <w:marBottom w:val="0"/>
          <w:divBdr>
            <w:top w:val="none" w:sz="0" w:space="0" w:color="auto"/>
            <w:left w:val="none" w:sz="0" w:space="0" w:color="auto"/>
            <w:bottom w:val="none" w:sz="0" w:space="0" w:color="auto"/>
            <w:right w:val="none" w:sz="0" w:space="0" w:color="auto"/>
          </w:divBdr>
        </w:div>
        <w:div w:id="1628928608">
          <w:marLeft w:val="0"/>
          <w:marRight w:val="0"/>
          <w:marTop w:val="0"/>
          <w:marBottom w:val="0"/>
          <w:divBdr>
            <w:top w:val="none" w:sz="0" w:space="0" w:color="auto"/>
            <w:left w:val="none" w:sz="0" w:space="0" w:color="auto"/>
            <w:bottom w:val="none" w:sz="0" w:space="0" w:color="auto"/>
            <w:right w:val="none" w:sz="0" w:space="0" w:color="auto"/>
          </w:divBdr>
        </w:div>
        <w:div w:id="1632052950">
          <w:marLeft w:val="0"/>
          <w:marRight w:val="0"/>
          <w:marTop w:val="0"/>
          <w:marBottom w:val="0"/>
          <w:divBdr>
            <w:top w:val="none" w:sz="0" w:space="0" w:color="auto"/>
            <w:left w:val="none" w:sz="0" w:space="0" w:color="auto"/>
            <w:bottom w:val="none" w:sz="0" w:space="0" w:color="auto"/>
            <w:right w:val="none" w:sz="0" w:space="0" w:color="auto"/>
          </w:divBdr>
        </w:div>
        <w:div w:id="1655865165">
          <w:marLeft w:val="0"/>
          <w:marRight w:val="0"/>
          <w:marTop w:val="0"/>
          <w:marBottom w:val="0"/>
          <w:divBdr>
            <w:top w:val="none" w:sz="0" w:space="0" w:color="auto"/>
            <w:left w:val="none" w:sz="0" w:space="0" w:color="auto"/>
            <w:bottom w:val="none" w:sz="0" w:space="0" w:color="auto"/>
            <w:right w:val="none" w:sz="0" w:space="0" w:color="auto"/>
          </w:divBdr>
        </w:div>
        <w:div w:id="1655911989">
          <w:marLeft w:val="0"/>
          <w:marRight w:val="0"/>
          <w:marTop w:val="0"/>
          <w:marBottom w:val="0"/>
          <w:divBdr>
            <w:top w:val="none" w:sz="0" w:space="0" w:color="auto"/>
            <w:left w:val="none" w:sz="0" w:space="0" w:color="auto"/>
            <w:bottom w:val="none" w:sz="0" w:space="0" w:color="auto"/>
            <w:right w:val="none" w:sz="0" w:space="0" w:color="auto"/>
          </w:divBdr>
        </w:div>
        <w:div w:id="1663191610">
          <w:marLeft w:val="0"/>
          <w:marRight w:val="0"/>
          <w:marTop w:val="0"/>
          <w:marBottom w:val="0"/>
          <w:divBdr>
            <w:top w:val="none" w:sz="0" w:space="0" w:color="auto"/>
            <w:left w:val="none" w:sz="0" w:space="0" w:color="auto"/>
            <w:bottom w:val="none" w:sz="0" w:space="0" w:color="auto"/>
            <w:right w:val="none" w:sz="0" w:space="0" w:color="auto"/>
          </w:divBdr>
        </w:div>
        <w:div w:id="1717000022">
          <w:marLeft w:val="0"/>
          <w:marRight w:val="0"/>
          <w:marTop w:val="0"/>
          <w:marBottom w:val="0"/>
          <w:divBdr>
            <w:top w:val="none" w:sz="0" w:space="0" w:color="auto"/>
            <w:left w:val="none" w:sz="0" w:space="0" w:color="auto"/>
            <w:bottom w:val="none" w:sz="0" w:space="0" w:color="auto"/>
            <w:right w:val="none" w:sz="0" w:space="0" w:color="auto"/>
          </w:divBdr>
        </w:div>
        <w:div w:id="1765954376">
          <w:marLeft w:val="0"/>
          <w:marRight w:val="0"/>
          <w:marTop w:val="0"/>
          <w:marBottom w:val="0"/>
          <w:divBdr>
            <w:top w:val="none" w:sz="0" w:space="0" w:color="auto"/>
            <w:left w:val="none" w:sz="0" w:space="0" w:color="auto"/>
            <w:bottom w:val="none" w:sz="0" w:space="0" w:color="auto"/>
            <w:right w:val="none" w:sz="0" w:space="0" w:color="auto"/>
          </w:divBdr>
        </w:div>
        <w:div w:id="1772243956">
          <w:marLeft w:val="0"/>
          <w:marRight w:val="0"/>
          <w:marTop w:val="0"/>
          <w:marBottom w:val="0"/>
          <w:divBdr>
            <w:top w:val="none" w:sz="0" w:space="0" w:color="auto"/>
            <w:left w:val="none" w:sz="0" w:space="0" w:color="auto"/>
            <w:bottom w:val="none" w:sz="0" w:space="0" w:color="auto"/>
            <w:right w:val="none" w:sz="0" w:space="0" w:color="auto"/>
          </w:divBdr>
        </w:div>
        <w:div w:id="1792092837">
          <w:marLeft w:val="0"/>
          <w:marRight w:val="0"/>
          <w:marTop w:val="0"/>
          <w:marBottom w:val="0"/>
          <w:divBdr>
            <w:top w:val="none" w:sz="0" w:space="0" w:color="auto"/>
            <w:left w:val="none" w:sz="0" w:space="0" w:color="auto"/>
            <w:bottom w:val="none" w:sz="0" w:space="0" w:color="auto"/>
            <w:right w:val="none" w:sz="0" w:space="0" w:color="auto"/>
          </w:divBdr>
        </w:div>
        <w:div w:id="1806314355">
          <w:marLeft w:val="0"/>
          <w:marRight w:val="0"/>
          <w:marTop w:val="0"/>
          <w:marBottom w:val="0"/>
          <w:divBdr>
            <w:top w:val="none" w:sz="0" w:space="0" w:color="auto"/>
            <w:left w:val="none" w:sz="0" w:space="0" w:color="auto"/>
            <w:bottom w:val="none" w:sz="0" w:space="0" w:color="auto"/>
            <w:right w:val="none" w:sz="0" w:space="0" w:color="auto"/>
          </w:divBdr>
        </w:div>
        <w:div w:id="1931502154">
          <w:marLeft w:val="0"/>
          <w:marRight w:val="0"/>
          <w:marTop w:val="0"/>
          <w:marBottom w:val="0"/>
          <w:divBdr>
            <w:top w:val="none" w:sz="0" w:space="0" w:color="auto"/>
            <w:left w:val="none" w:sz="0" w:space="0" w:color="auto"/>
            <w:bottom w:val="none" w:sz="0" w:space="0" w:color="auto"/>
            <w:right w:val="none" w:sz="0" w:space="0" w:color="auto"/>
          </w:divBdr>
        </w:div>
        <w:div w:id="1937588738">
          <w:marLeft w:val="0"/>
          <w:marRight w:val="0"/>
          <w:marTop w:val="0"/>
          <w:marBottom w:val="0"/>
          <w:divBdr>
            <w:top w:val="none" w:sz="0" w:space="0" w:color="auto"/>
            <w:left w:val="none" w:sz="0" w:space="0" w:color="auto"/>
            <w:bottom w:val="none" w:sz="0" w:space="0" w:color="auto"/>
            <w:right w:val="none" w:sz="0" w:space="0" w:color="auto"/>
          </w:divBdr>
        </w:div>
        <w:div w:id="1972251554">
          <w:marLeft w:val="0"/>
          <w:marRight w:val="0"/>
          <w:marTop w:val="0"/>
          <w:marBottom w:val="0"/>
          <w:divBdr>
            <w:top w:val="none" w:sz="0" w:space="0" w:color="auto"/>
            <w:left w:val="none" w:sz="0" w:space="0" w:color="auto"/>
            <w:bottom w:val="none" w:sz="0" w:space="0" w:color="auto"/>
            <w:right w:val="none" w:sz="0" w:space="0" w:color="auto"/>
          </w:divBdr>
        </w:div>
        <w:div w:id="1974864489">
          <w:marLeft w:val="0"/>
          <w:marRight w:val="0"/>
          <w:marTop w:val="0"/>
          <w:marBottom w:val="0"/>
          <w:divBdr>
            <w:top w:val="none" w:sz="0" w:space="0" w:color="auto"/>
            <w:left w:val="none" w:sz="0" w:space="0" w:color="auto"/>
            <w:bottom w:val="none" w:sz="0" w:space="0" w:color="auto"/>
            <w:right w:val="none" w:sz="0" w:space="0" w:color="auto"/>
          </w:divBdr>
        </w:div>
        <w:div w:id="1987078826">
          <w:marLeft w:val="0"/>
          <w:marRight w:val="0"/>
          <w:marTop w:val="0"/>
          <w:marBottom w:val="0"/>
          <w:divBdr>
            <w:top w:val="none" w:sz="0" w:space="0" w:color="auto"/>
            <w:left w:val="none" w:sz="0" w:space="0" w:color="auto"/>
            <w:bottom w:val="none" w:sz="0" w:space="0" w:color="auto"/>
            <w:right w:val="none" w:sz="0" w:space="0" w:color="auto"/>
          </w:divBdr>
        </w:div>
        <w:div w:id="1988119804">
          <w:marLeft w:val="0"/>
          <w:marRight w:val="0"/>
          <w:marTop w:val="0"/>
          <w:marBottom w:val="0"/>
          <w:divBdr>
            <w:top w:val="none" w:sz="0" w:space="0" w:color="auto"/>
            <w:left w:val="none" w:sz="0" w:space="0" w:color="auto"/>
            <w:bottom w:val="none" w:sz="0" w:space="0" w:color="auto"/>
            <w:right w:val="none" w:sz="0" w:space="0" w:color="auto"/>
          </w:divBdr>
        </w:div>
        <w:div w:id="2006081587">
          <w:marLeft w:val="0"/>
          <w:marRight w:val="0"/>
          <w:marTop w:val="0"/>
          <w:marBottom w:val="0"/>
          <w:divBdr>
            <w:top w:val="none" w:sz="0" w:space="0" w:color="auto"/>
            <w:left w:val="none" w:sz="0" w:space="0" w:color="auto"/>
            <w:bottom w:val="none" w:sz="0" w:space="0" w:color="auto"/>
            <w:right w:val="none" w:sz="0" w:space="0" w:color="auto"/>
          </w:divBdr>
        </w:div>
        <w:div w:id="2017150478">
          <w:marLeft w:val="0"/>
          <w:marRight w:val="0"/>
          <w:marTop w:val="0"/>
          <w:marBottom w:val="0"/>
          <w:divBdr>
            <w:top w:val="none" w:sz="0" w:space="0" w:color="auto"/>
            <w:left w:val="none" w:sz="0" w:space="0" w:color="auto"/>
            <w:bottom w:val="none" w:sz="0" w:space="0" w:color="auto"/>
            <w:right w:val="none" w:sz="0" w:space="0" w:color="auto"/>
          </w:divBdr>
        </w:div>
        <w:div w:id="2098137605">
          <w:marLeft w:val="0"/>
          <w:marRight w:val="0"/>
          <w:marTop w:val="0"/>
          <w:marBottom w:val="0"/>
          <w:divBdr>
            <w:top w:val="none" w:sz="0" w:space="0" w:color="auto"/>
            <w:left w:val="none" w:sz="0" w:space="0" w:color="auto"/>
            <w:bottom w:val="none" w:sz="0" w:space="0" w:color="auto"/>
            <w:right w:val="none" w:sz="0" w:space="0" w:color="auto"/>
          </w:divBdr>
        </w:div>
        <w:div w:id="2100716048">
          <w:marLeft w:val="0"/>
          <w:marRight w:val="0"/>
          <w:marTop w:val="0"/>
          <w:marBottom w:val="0"/>
          <w:divBdr>
            <w:top w:val="none" w:sz="0" w:space="0" w:color="auto"/>
            <w:left w:val="none" w:sz="0" w:space="0" w:color="auto"/>
            <w:bottom w:val="none" w:sz="0" w:space="0" w:color="auto"/>
            <w:right w:val="none" w:sz="0" w:space="0" w:color="auto"/>
          </w:divBdr>
        </w:div>
        <w:div w:id="2119174408">
          <w:marLeft w:val="0"/>
          <w:marRight w:val="0"/>
          <w:marTop w:val="0"/>
          <w:marBottom w:val="0"/>
          <w:divBdr>
            <w:top w:val="none" w:sz="0" w:space="0" w:color="auto"/>
            <w:left w:val="none" w:sz="0" w:space="0" w:color="auto"/>
            <w:bottom w:val="none" w:sz="0" w:space="0" w:color="auto"/>
            <w:right w:val="none" w:sz="0" w:space="0" w:color="auto"/>
          </w:divBdr>
        </w:div>
        <w:div w:id="2120174077">
          <w:marLeft w:val="0"/>
          <w:marRight w:val="0"/>
          <w:marTop w:val="0"/>
          <w:marBottom w:val="0"/>
          <w:divBdr>
            <w:top w:val="none" w:sz="0" w:space="0" w:color="auto"/>
            <w:left w:val="none" w:sz="0" w:space="0" w:color="auto"/>
            <w:bottom w:val="none" w:sz="0" w:space="0" w:color="auto"/>
            <w:right w:val="none" w:sz="0" w:space="0" w:color="auto"/>
          </w:divBdr>
        </w:div>
      </w:divsChild>
    </w:div>
    <w:div w:id="146820523">
      <w:bodyDiv w:val="1"/>
      <w:marLeft w:val="0"/>
      <w:marRight w:val="0"/>
      <w:marTop w:val="0"/>
      <w:marBottom w:val="0"/>
      <w:divBdr>
        <w:top w:val="none" w:sz="0" w:space="0" w:color="auto"/>
        <w:left w:val="none" w:sz="0" w:space="0" w:color="auto"/>
        <w:bottom w:val="none" w:sz="0" w:space="0" w:color="auto"/>
        <w:right w:val="none" w:sz="0" w:space="0" w:color="auto"/>
      </w:divBdr>
    </w:div>
    <w:div w:id="147478830">
      <w:bodyDiv w:val="1"/>
      <w:marLeft w:val="0"/>
      <w:marRight w:val="0"/>
      <w:marTop w:val="0"/>
      <w:marBottom w:val="0"/>
      <w:divBdr>
        <w:top w:val="none" w:sz="0" w:space="0" w:color="auto"/>
        <w:left w:val="none" w:sz="0" w:space="0" w:color="auto"/>
        <w:bottom w:val="none" w:sz="0" w:space="0" w:color="auto"/>
        <w:right w:val="none" w:sz="0" w:space="0" w:color="auto"/>
      </w:divBdr>
    </w:div>
    <w:div w:id="226764394">
      <w:bodyDiv w:val="1"/>
      <w:marLeft w:val="0"/>
      <w:marRight w:val="0"/>
      <w:marTop w:val="0"/>
      <w:marBottom w:val="0"/>
      <w:divBdr>
        <w:top w:val="none" w:sz="0" w:space="0" w:color="auto"/>
        <w:left w:val="none" w:sz="0" w:space="0" w:color="auto"/>
        <w:bottom w:val="none" w:sz="0" w:space="0" w:color="auto"/>
        <w:right w:val="none" w:sz="0" w:space="0" w:color="auto"/>
      </w:divBdr>
    </w:div>
    <w:div w:id="233663593">
      <w:bodyDiv w:val="1"/>
      <w:marLeft w:val="0"/>
      <w:marRight w:val="0"/>
      <w:marTop w:val="0"/>
      <w:marBottom w:val="0"/>
      <w:divBdr>
        <w:top w:val="none" w:sz="0" w:space="0" w:color="auto"/>
        <w:left w:val="none" w:sz="0" w:space="0" w:color="auto"/>
        <w:bottom w:val="none" w:sz="0" w:space="0" w:color="auto"/>
        <w:right w:val="none" w:sz="0" w:space="0" w:color="auto"/>
      </w:divBdr>
      <w:divsChild>
        <w:div w:id="201484860">
          <w:marLeft w:val="0"/>
          <w:marRight w:val="0"/>
          <w:marTop w:val="0"/>
          <w:marBottom w:val="0"/>
          <w:divBdr>
            <w:top w:val="none" w:sz="0" w:space="0" w:color="auto"/>
            <w:left w:val="none" w:sz="0" w:space="0" w:color="auto"/>
            <w:bottom w:val="none" w:sz="0" w:space="0" w:color="auto"/>
            <w:right w:val="none" w:sz="0" w:space="0" w:color="auto"/>
          </w:divBdr>
        </w:div>
        <w:div w:id="674772454">
          <w:marLeft w:val="0"/>
          <w:marRight w:val="0"/>
          <w:marTop w:val="0"/>
          <w:marBottom w:val="0"/>
          <w:divBdr>
            <w:top w:val="none" w:sz="0" w:space="0" w:color="auto"/>
            <w:left w:val="none" w:sz="0" w:space="0" w:color="auto"/>
            <w:bottom w:val="none" w:sz="0" w:space="0" w:color="auto"/>
            <w:right w:val="none" w:sz="0" w:space="0" w:color="auto"/>
          </w:divBdr>
        </w:div>
        <w:div w:id="1523982222">
          <w:marLeft w:val="0"/>
          <w:marRight w:val="0"/>
          <w:marTop w:val="0"/>
          <w:marBottom w:val="0"/>
          <w:divBdr>
            <w:top w:val="none" w:sz="0" w:space="0" w:color="auto"/>
            <w:left w:val="none" w:sz="0" w:space="0" w:color="auto"/>
            <w:bottom w:val="none" w:sz="0" w:space="0" w:color="auto"/>
            <w:right w:val="none" w:sz="0" w:space="0" w:color="auto"/>
          </w:divBdr>
        </w:div>
      </w:divsChild>
    </w:div>
    <w:div w:id="292827701">
      <w:bodyDiv w:val="1"/>
      <w:marLeft w:val="0"/>
      <w:marRight w:val="0"/>
      <w:marTop w:val="0"/>
      <w:marBottom w:val="0"/>
      <w:divBdr>
        <w:top w:val="none" w:sz="0" w:space="0" w:color="auto"/>
        <w:left w:val="none" w:sz="0" w:space="0" w:color="auto"/>
        <w:bottom w:val="none" w:sz="0" w:space="0" w:color="auto"/>
        <w:right w:val="none" w:sz="0" w:space="0" w:color="auto"/>
      </w:divBdr>
      <w:divsChild>
        <w:div w:id="1194459970">
          <w:marLeft w:val="0"/>
          <w:marRight w:val="0"/>
          <w:marTop w:val="0"/>
          <w:marBottom w:val="0"/>
          <w:divBdr>
            <w:top w:val="none" w:sz="0" w:space="0" w:color="auto"/>
            <w:left w:val="none" w:sz="0" w:space="0" w:color="auto"/>
            <w:bottom w:val="none" w:sz="0" w:space="0" w:color="auto"/>
            <w:right w:val="none" w:sz="0" w:space="0" w:color="auto"/>
          </w:divBdr>
          <w:divsChild>
            <w:div w:id="819729555">
              <w:marLeft w:val="0"/>
              <w:marRight w:val="0"/>
              <w:marTop w:val="0"/>
              <w:marBottom w:val="0"/>
              <w:divBdr>
                <w:top w:val="none" w:sz="0" w:space="0" w:color="auto"/>
                <w:left w:val="none" w:sz="0" w:space="0" w:color="auto"/>
                <w:bottom w:val="none" w:sz="0" w:space="0" w:color="auto"/>
                <w:right w:val="none" w:sz="0" w:space="0" w:color="auto"/>
              </w:divBdr>
              <w:divsChild>
                <w:div w:id="1239172452">
                  <w:marLeft w:val="0"/>
                  <w:marRight w:val="0"/>
                  <w:marTop w:val="0"/>
                  <w:marBottom w:val="0"/>
                  <w:divBdr>
                    <w:top w:val="none" w:sz="0" w:space="0" w:color="auto"/>
                    <w:left w:val="none" w:sz="0" w:space="0" w:color="auto"/>
                    <w:bottom w:val="none" w:sz="0" w:space="0" w:color="auto"/>
                    <w:right w:val="none" w:sz="0" w:space="0" w:color="auto"/>
                  </w:divBdr>
                  <w:divsChild>
                    <w:div w:id="10101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51075">
          <w:marLeft w:val="0"/>
          <w:marRight w:val="0"/>
          <w:marTop w:val="0"/>
          <w:marBottom w:val="0"/>
          <w:divBdr>
            <w:top w:val="none" w:sz="0" w:space="0" w:color="auto"/>
            <w:left w:val="none" w:sz="0" w:space="0" w:color="auto"/>
            <w:bottom w:val="none" w:sz="0" w:space="0" w:color="auto"/>
            <w:right w:val="none" w:sz="0" w:space="0" w:color="auto"/>
          </w:divBdr>
          <w:divsChild>
            <w:div w:id="1918513208">
              <w:marLeft w:val="0"/>
              <w:marRight w:val="0"/>
              <w:marTop w:val="0"/>
              <w:marBottom w:val="0"/>
              <w:divBdr>
                <w:top w:val="none" w:sz="0" w:space="0" w:color="auto"/>
                <w:left w:val="none" w:sz="0" w:space="0" w:color="auto"/>
                <w:bottom w:val="none" w:sz="0" w:space="0" w:color="auto"/>
                <w:right w:val="none" w:sz="0" w:space="0" w:color="auto"/>
              </w:divBdr>
              <w:divsChild>
                <w:div w:id="1638880085">
                  <w:marLeft w:val="0"/>
                  <w:marRight w:val="0"/>
                  <w:marTop w:val="0"/>
                  <w:marBottom w:val="0"/>
                  <w:divBdr>
                    <w:top w:val="none" w:sz="0" w:space="0" w:color="auto"/>
                    <w:left w:val="none" w:sz="0" w:space="0" w:color="auto"/>
                    <w:bottom w:val="none" w:sz="0" w:space="0" w:color="auto"/>
                    <w:right w:val="none" w:sz="0" w:space="0" w:color="auto"/>
                  </w:divBdr>
                  <w:divsChild>
                    <w:div w:id="823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528">
      <w:bodyDiv w:val="1"/>
      <w:marLeft w:val="0"/>
      <w:marRight w:val="0"/>
      <w:marTop w:val="0"/>
      <w:marBottom w:val="0"/>
      <w:divBdr>
        <w:top w:val="none" w:sz="0" w:space="0" w:color="auto"/>
        <w:left w:val="none" w:sz="0" w:space="0" w:color="auto"/>
        <w:bottom w:val="none" w:sz="0" w:space="0" w:color="auto"/>
        <w:right w:val="none" w:sz="0" w:space="0" w:color="auto"/>
      </w:divBdr>
      <w:divsChild>
        <w:div w:id="252859374">
          <w:marLeft w:val="0"/>
          <w:marRight w:val="0"/>
          <w:marTop w:val="0"/>
          <w:marBottom w:val="0"/>
          <w:divBdr>
            <w:top w:val="none" w:sz="0" w:space="0" w:color="auto"/>
            <w:left w:val="none" w:sz="0" w:space="0" w:color="auto"/>
            <w:bottom w:val="none" w:sz="0" w:space="0" w:color="auto"/>
            <w:right w:val="none" w:sz="0" w:space="0" w:color="auto"/>
          </w:divBdr>
        </w:div>
        <w:div w:id="2062558441">
          <w:marLeft w:val="0"/>
          <w:marRight w:val="0"/>
          <w:marTop w:val="0"/>
          <w:marBottom w:val="0"/>
          <w:divBdr>
            <w:top w:val="none" w:sz="0" w:space="0" w:color="auto"/>
            <w:left w:val="none" w:sz="0" w:space="0" w:color="auto"/>
            <w:bottom w:val="none" w:sz="0" w:space="0" w:color="auto"/>
            <w:right w:val="none" w:sz="0" w:space="0" w:color="auto"/>
          </w:divBdr>
        </w:div>
      </w:divsChild>
    </w:div>
    <w:div w:id="371269578">
      <w:bodyDiv w:val="1"/>
      <w:marLeft w:val="0"/>
      <w:marRight w:val="0"/>
      <w:marTop w:val="0"/>
      <w:marBottom w:val="0"/>
      <w:divBdr>
        <w:top w:val="none" w:sz="0" w:space="0" w:color="auto"/>
        <w:left w:val="none" w:sz="0" w:space="0" w:color="auto"/>
        <w:bottom w:val="none" w:sz="0" w:space="0" w:color="auto"/>
        <w:right w:val="none" w:sz="0" w:space="0" w:color="auto"/>
      </w:divBdr>
      <w:divsChild>
        <w:div w:id="656491475">
          <w:marLeft w:val="0"/>
          <w:marRight w:val="0"/>
          <w:marTop w:val="0"/>
          <w:marBottom w:val="0"/>
          <w:divBdr>
            <w:top w:val="none" w:sz="0" w:space="0" w:color="auto"/>
            <w:left w:val="none" w:sz="0" w:space="0" w:color="auto"/>
            <w:bottom w:val="none" w:sz="0" w:space="0" w:color="auto"/>
            <w:right w:val="none" w:sz="0" w:space="0" w:color="auto"/>
          </w:divBdr>
          <w:divsChild>
            <w:div w:id="17122316">
              <w:marLeft w:val="0"/>
              <w:marRight w:val="0"/>
              <w:marTop w:val="0"/>
              <w:marBottom w:val="0"/>
              <w:divBdr>
                <w:top w:val="none" w:sz="0" w:space="0" w:color="auto"/>
                <w:left w:val="none" w:sz="0" w:space="0" w:color="auto"/>
                <w:bottom w:val="none" w:sz="0" w:space="0" w:color="auto"/>
                <w:right w:val="none" w:sz="0" w:space="0" w:color="auto"/>
              </w:divBdr>
              <w:divsChild>
                <w:div w:id="1135174893">
                  <w:marLeft w:val="0"/>
                  <w:marRight w:val="0"/>
                  <w:marTop w:val="0"/>
                  <w:marBottom w:val="0"/>
                  <w:divBdr>
                    <w:top w:val="none" w:sz="0" w:space="0" w:color="auto"/>
                    <w:left w:val="none" w:sz="0" w:space="0" w:color="auto"/>
                    <w:bottom w:val="none" w:sz="0" w:space="0" w:color="auto"/>
                    <w:right w:val="none" w:sz="0" w:space="0" w:color="auto"/>
                  </w:divBdr>
                  <w:divsChild>
                    <w:div w:id="1332488360">
                      <w:marLeft w:val="0"/>
                      <w:marRight w:val="0"/>
                      <w:marTop w:val="0"/>
                      <w:marBottom w:val="0"/>
                      <w:divBdr>
                        <w:top w:val="none" w:sz="0" w:space="0" w:color="auto"/>
                        <w:left w:val="none" w:sz="0" w:space="0" w:color="auto"/>
                        <w:bottom w:val="none" w:sz="0" w:space="0" w:color="auto"/>
                        <w:right w:val="none" w:sz="0" w:space="0" w:color="auto"/>
                      </w:divBdr>
                      <w:divsChild>
                        <w:div w:id="989094984">
                          <w:marLeft w:val="0"/>
                          <w:marRight w:val="0"/>
                          <w:marTop w:val="0"/>
                          <w:marBottom w:val="0"/>
                          <w:divBdr>
                            <w:top w:val="none" w:sz="0" w:space="0" w:color="auto"/>
                            <w:left w:val="none" w:sz="0" w:space="0" w:color="auto"/>
                            <w:bottom w:val="none" w:sz="0" w:space="0" w:color="auto"/>
                            <w:right w:val="none" w:sz="0" w:space="0" w:color="auto"/>
                          </w:divBdr>
                          <w:divsChild>
                            <w:div w:id="16207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185755">
      <w:bodyDiv w:val="1"/>
      <w:marLeft w:val="0"/>
      <w:marRight w:val="0"/>
      <w:marTop w:val="0"/>
      <w:marBottom w:val="0"/>
      <w:divBdr>
        <w:top w:val="none" w:sz="0" w:space="0" w:color="auto"/>
        <w:left w:val="none" w:sz="0" w:space="0" w:color="auto"/>
        <w:bottom w:val="none" w:sz="0" w:space="0" w:color="auto"/>
        <w:right w:val="none" w:sz="0" w:space="0" w:color="auto"/>
      </w:divBdr>
      <w:divsChild>
        <w:div w:id="952588517">
          <w:marLeft w:val="0"/>
          <w:marRight w:val="0"/>
          <w:marTop w:val="0"/>
          <w:marBottom w:val="0"/>
          <w:divBdr>
            <w:top w:val="none" w:sz="0" w:space="0" w:color="auto"/>
            <w:left w:val="none" w:sz="0" w:space="0" w:color="auto"/>
            <w:bottom w:val="none" w:sz="0" w:space="0" w:color="auto"/>
            <w:right w:val="none" w:sz="0" w:space="0" w:color="auto"/>
          </w:divBdr>
        </w:div>
        <w:div w:id="1795640483">
          <w:marLeft w:val="0"/>
          <w:marRight w:val="0"/>
          <w:marTop w:val="0"/>
          <w:marBottom w:val="0"/>
          <w:divBdr>
            <w:top w:val="none" w:sz="0" w:space="0" w:color="auto"/>
            <w:left w:val="none" w:sz="0" w:space="0" w:color="auto"/>
            <w:bottom w:val="none" w:sz="0" w:space="0" w:color="auto"/>
            <w:right w:val="none" w:sz="0" w:space="0" w:color="auto"/>
          </w:divBdr>
        </w:div>
      </w:divsChild>
    </w:div>
    <w:div w:id="418211353">
      <w:bodyDiv w:val="1"/>
      <w:marLeft w:val="0"/>
      <w:marRight w:val="0"/>
      <w:marTop w:val="0"/>
      <w:marBottom w:val="0"/>
      <w:divBdr>
        <w:top w:val="none" w:sz="0" w:space="0" w:color="auto"/>
        <w:left w:val="none" w:sz="0" w:space="0" w:color="auto"/>
        <w:bottom w:val="none" w:sz="0" w:space="0" w:color="auto"/>
        <w:right w:val="none" w:sz="0" w:space="0" w:color="auto"/>
      </w:divBdr>
    </w:div>
    <w:div w:id="420639162">
      <w:bodyDiv w:val="1"/>
      <w:marLeft w:val="0"/>
      <w:marRight w:val="0"/>
      <w:marTop w:val="0"/>
      <w:marBottom w:val="0"/>
      <w:divBdr>
        <w:top w:val="none" w:sz="0" w:space="0" w:color="auto"/>
        <w:left w:val="none" w:sz="0" w:space="0" w:color="auto"/>
        <w:bottom w:val="none" w:sz="0" w:space="0" w:color="auto"/>
        <w:right w:val="none" w:sz="0" w:space="0" w:color="auto"/>
      </w:divBdr>
    </w:div>
    <w:div w:id="425081298">
      <w:bodyDiv w:val="1"/>
      <w:marLeft w:val="0"/>
      <w:marRight w:val="0"/>
      <w:marTop w:val="0"/>
      <w:marBottom w:val="0"/>
      <w:divBdr>
        <w:top w:val="none" w:sz="0" w:space="0" w:color="auto"/>
        <w:left w:val="none" w:sz="0" w:space="0" w:color="auto"/>
        <w:bottom w:val="none" w:sz="0" w:space="0" w:color="auto"/>
        <w:right w:val="none" w:sz="0" w:space="0" w:color="auto"/>
      </w:divBdr>
      <w:divsChild>
        <w:div w:id="109250168">
          <w:marLeft w:val="0"/>
          <w:marRight w:val="0"/>
          <w:marTop w:val="0"/>
          <w:marBottom w:val="0"/>
          <w:divBdr>
            <w:top w:val="none" w:sz="0" w:space="0" w:color="auto"/>
            <w:left w:val="none" w:sz="0" w:space="0" w:color="auto"/>
            <w:bottom w:val="none" w:sz="0" w:space="0" w:color="auto"/>
            <w:right w:val="none" w:sz="0" w:space="0" w:color="auto"/>
          </w:divBdr>
        </w:div>
        <w:div w:id="760107354">
          <w:marLeft w:val="0"/>
          <w:marRight w:val="0"/>
          <w:marTop w:val="0"/>
          <w:marBottom w:val="0"/>
          <w:divBdr>
            <w:top w:val="none" w:sz="0" w:space="0" w:color="auto"/>
            <w:left w:val="none" w:sz="0" w:space="0" w:color="auto"/>
            <w:bottom w:val="none" w:sz="0" w:space="0" w:color="auto"/>
            <w:right w:val="none" w:sz="0" w:space="0" w:color="auto"/>
          </w:divBdr>
        </w:div>
      </w:divsChild>
    </w:div>
    <w:div w:id="433094254">
      <w:bodyDiv w:val="1"/>
      <w:marLeft w:val="0"/>
      <w:marRight w:val="0"/>
      <w:marTop w:val="0"/>
      <w:marBottom w:val="0"/>
      <w:divBdr>
        <w:top w:val="none" w:sz="0" w:space="0" w:color="auto"/>
        <w:left w:val="none" w:sz="0" w:space="0" w:color="auto"/>
        <w:bottom w:val="none" w:sz="0" w:space="0" w:color="auto"/>
        <w:right w:val="none" w:sz="0" w:space="0" w:color="auto"/>
      </w:divBdr>
    </w:div>
    <w:div w:id="447242013">
      <w:bodyDiv w:val="1"/>
      <w:marLeft w:val="0"/>
      <w:marRight w:val="0"/>
      <w:marTop w:val="0"/>
      <w:marBottom w:val="0"/>
      <w:divBdr>
        <w:top w:val="none" w:sz="0" w:space="0" w:color="auto"/>
        <w:left w:val="none" w:sz="0" w:space="0" w:color="auto"/>
        <w:bottom w:val="none" w:sz="0" w:space="0" w:color="auto"/>
        <w:right w:val="none" w:sz="0" w:space="0" w:color="auto"/>
      </w:divBdr>
    </w:div>
    <w:div w:id="484854442">
      <w:bodyDiv w:val="1"/>
      <w:marLeft w:val="0"/>
      <w:marRight w:val="0"/>
      <w:marTop w:val="0"/>
      <w:marBottom w:val="0"/>
      <w:divBdr>
        <w:top w:val="none" w:sz="0" w:space="0" w:color="auto"/>
        <w:left w:val="none" w:sz="0" w:space="0" w:color="auto"/>
        <w:bottom w:val="none" w:sz="0" w:space="0" w:color="auto"/>
        <w:right w:val="none" w:sz="0" w:space="0" w:color="auto"/>
      </w:divBdr>
    </w:div>
    <w:div w:id="506166975">
      <w:bodyDiv w:val="1"/>
      <w:marLeft w:val="0"/>
      <w:marRight w:val="0"/>
      <w:marTop w:val="0"/>
      <w:marBottom w:val="0"/>
      <w:divBdr>
        <w:top w:val="none" w:sz="0" w:space="0" w:color="auto"/>
        <w:left w:val="none" w:sz="0" w:space="0" w:color="auto"/>
        <w:bottom w:val="none" w:sz="0" w:space="0" w:color="auto"/>
        <w:right w:val="none" w:sz="0" w:space="0" w:color="auto"/>
      </w:divBdr>
      <w:divsChild>
        <w:div w:id="1363705786">
          <w:marLeft w:val="0"/>
          <w:marRight w:val="0"/>
          <w:marTop w:val="0"/>
          <w:marBottom w:val="0"/>
          <w:divBdr>
            <w:top w:val="none" w:sz="0" w:space="0" w:color="auto"/>
            <w:left w:val="none" w:sz="0" w:space="0" w:color="auto"/>
            <w:bottom w:val="none" w:sz="0" w:space="0" w:color="auto"/>
            <w:right w:val="none" w:sz="0" w:space="0" w:color="auto"/>
          </w:divBdr>
        </w:div>
        <w:div w:id="1678844625">
          <w:marLeft w:val="0"/>
          <w:marRight w:val="0"/>
          <w:marTop w:val="0"/>
          <w:marBottom w:val="0"/>
          <w:divBdr>
            <w:top w:val="none" w:sz="0" w:space="0" w:color="auto"/>
            <w:left w:val="none" w:sz="0" w:space="0" w:color="auto"/>
            <w:bottom w:val="none" w:sz="0" w:space="0" w:color="auto"/>
            <w:right w:val="none" w:sz="0" w:space="0" w:color="auto"/>
          </w:divBdr>
        </w:div>
      </w:divsChild>
    </w:div>
    <w:div w:id="525407430">
      <w:bodyDiv w:val="1"/>
      <w:marLeft w:val="0"/>
      <w:marRight w:val="0"/>
      <w:marTop w:val="0"/>
      <w:marBottom w:val="0"/>
      <w:divBdr>
        <w:top w:val="none" w:sz="0" w:space="0" w:color="auto"/>
        <w:left w:val="none" w:sz="0" w:space="0" w:color="auto"/>
        <w:bottom w:val="none" w:sz="0" w:space="0" w:color="auto"/>
        <w:right w:val="none" w:sz="0" w:space="0" w:color="auto"/>
      </w:divBdr>
    </w:div>
    <w:div w:id="552616172">
      <w:bodyDiv w:val="1"/>
      <w:marLeft w:val="0"/>
      <w:marRight w:val="0"/>
      <w:marTop w:val="0"/>
      <w:marBottom w:val="0"/>
      <w:divBdr>
        <w:top w:val="none" w:sz="0" w:space="0" w:color="auto"/>
        <w:left w:val="none" w:sz="0" w:space="0" w:color="auto"/>
        <w:bottom w:val="none" w:sz="0" w:space="0" w:color="auto"/>
        <w:right w:val="none" w:sz="0" w:space="0" w:color="auto"/>
      </w:divBdr>
    </w:div>
    <w:div w:id="559754123">
      <w:bodyDiv w:val="1"/>
      <w:marLeft w:val="0"/>
      <w:marRight w:val="0"/>
      <w:marTop w:val="0"/>
      <w:marBottom w:val="0"/>
      <w:divBdr>
        <w:top w:val="none" w:sz="0" w:space="0" w:color="auto"/>
        <w:left w:val="none" w:sz="0" w:space="0" w:color="auto"/>
        <w:bottom w:val="none" w:sz="0" w:space="0" w:color="auto"/>
        <w:right w:val="none" w:sz="0" w:space="0" w:color="auto"/>
      </w:divBdr>
    </w:div>
    <w:div w:id="584263118">
      <w:bodyDiv w:val="1"/>
      <w:marLeft w:val="0"/>
      <w:marRight w:val="0"/>
      <w:marTop w:val="0"/>
      <w:marBottom w:val="0"/>
      <w:divBdr>
        <w:top w:val="none" w:sz="0" w:space="0" w:color="auto"/>
        <w:left w:val="none" w:sz="0" w:space="0" w:color="auto"/>
        <w:bottom w:val="none" w:sz="0" w:space="0" w:color="auto"/>
        <w:right w:val="none" w:sz="0" w:space="0" w:color="auto"/>
      </w:divBdr>
      <w:divsChild>
        <w:div w:id="6442274">
          <w:marLeft w:val="0"/>
          <w:marRight w:val="0"/>
          <w:marTop w:val="0"/>
          <w:marBottom w:val="0"/>
          <w:divBdr>
            <w:top w:val="none" w:sz="0" w:space="0" w:color="auto"/>
            <w:left w:val="none" w:sz="0" w:space="0" w:color="auto"/>
            <w:bottom w:val="none" w:sz="0" w:space="0" w:color="auto"/>
            <w:right w:val="none" w:sz="0" w:space="0" w:color="auto"/>
          </w:divBdr>
          <w:divsChild>
            <w:div w:id="2078479661">
              <w:marLeft w:val="0"/>
              <w:marRight w:val="0"/>
              <w:marTop w:val="0"/>
              <w:marBottom w:val="0"/>
              <w:divBdr>
                <w:top w:val="none" w:sz="0" w:space="0" w:color="auto"/>
                <w:left w:val="none" w:sz="0" w:space="0" w:color="auto"/>
                <w:bottom w:val="none" w:sz="0" w:space="0" w:color="auto"/>
                <w:right w:val="none" w:sz="0" w:space="0" w:color="auto"/>
              </w:divBdr>
            </w:div>
          </w:divsChild>
        </w:div>
        <w:div w:id="20516049">
          <w:marLeft w:val="0"/>
          <w:marRight w:val="0"/>
          <w:marTop w:val="0"/>
          <w:marBottom w:val="0"/>
          <w:divBdr>
            <w:top w:val="none" w:sz="0" w:space="0" w:color="auto"/>
            <w:left w:val="none" w:sz="0" w:space="0" w:color="auto"/>
            <w:bottom w:val="none" w:sz="0" w:space="0" w:color="auto"/>
            <w:right w:val="none" w:sz="0" w:space="0" w:color="auto"/>
          </w:divBdr>
          <w:divsChild>
            <w:div w:id="1481383554">
              <w:marLeft w:val="0"/>
              <w:marRight w:val="0"/>
              <w:marTop w:val="0"/>
              <w:marBottom w:val="0"/>
              <w:divBdr>
                <w:top w:val="none" w:sz="0" w:space="0" w:color="auto"/>
                <w:left w:val="none" w:sz="0" w:space="0" w:color="auto"/>
                <w:bottom w:val="none" w:sz="0" w:space="0" w:color="auto"/>
                <w:right w:val="none" w:sz="0" w:space="0" w:color="auto"/>
              </w:divBdr>
            </w:div>
          </w:divsChild>
        </w:div>
        <w:div w:id="60757656">
          <w:marLeft w:val="0"/>
          <w:marRight w:val="0"/>
          <w:marTop w:val="0"/>
          <w:marBottom w:val="0"/>
          <w:divBdr>
            <w:top w:val="none" w:sz="0" w:space="0" w:color="auto"/>
            <w:left w:val="none" w:sz="0" w:space="0" w:color="auto"/>
            <w:bottom w:val="none" w:sz="0" w:space="0" w:color="auto"/>
            <w:right w:val="none" w:sz="0" w:space="0" w:color="auto"/>
          </w:divBdr>
          <w:divsChild>
            <w:div w:id="1580483368">
              <w:marLeft w:val="0"/>
              <w:marRight w:val="0"/>
              <w:marTop w:val="0"/>
              <w:marBottom w:val="0"/>
              <w:divBdr>
                <w:top w:val="none" w:sz="0" w:space="0" w:color="auto"/>
                <w:left w:val="none" w:sz="0" w:space="0" w:color="auto"/>
                <w:bottom w:val="none" w:sz="0" w:space="0" w:color="auto"/>
                <w:right w:val="none" w:sz="0" w:space="0" w:color="auto"/>
              </w:divBdr>
            </w:div>
          </w:divsChild>
        </w:div>
        <w:div w:id="111097900">
          <w:marLeft w:val="0"/>
          <w:marRight w:val="0"/>
          <w:marTop w:val="0"/>
          <w:marBottom w:val="0"/>
          <w:divBdr>
            <w:top w:val="none" w:sz="0" w:space="0" w:color="auto"/>
            <w:left w:val="none" w:sz="0" w:space="0" w:color="auto"/>
            <w:bottom w:val="none" w:sz="0" w:space="0" w:color="auto"/>
            <w:right w:val="none" w:sz="0" w:space="0" w:color="auto"/>
          </w:divBdr>
          <w:divsChild>
            <w:div w:id="1627586900">
              <w:marLeft w:val="0"/>
              <w:marRight w:val="0"/>
              <w:marTop w:val="0"/>
              <w:marBottom w:val="0"/>
              <w:divBdr>
                <w:top w:val="none" w:sz="0" w:space="0" w:color="auto"/>
                <w:left w:val="none" w:sz="0" w:space="0" w:color="auto"/>
                <w:bottom w:val="none" w:sz="0" w:space="0" w:color="auto"/>
                <w:right w:val="none" w:sz="0" w:space="0" w:color="auto"/>
              </w:divBdr>
            </w:div>
          </w:divsChild>
        </w:div>
        <w:div w:id="138886126">
          <w:marLeft w:val="0"/>
          <w:marRight w:val="0"/>
          <w:marTop w:val="0"/>
          <w:marBottom w:val="0"/>
          <w:divBdr>
            <w:top w:val="none" w:sz="0" w:space="0" w:color="auto"/>
            <w:left w:val="none" w:sz="0" w:space="0" w:color="auto"/>
            <w:bottom w:val="none" w:sz="0" w:space="0" w:color="auto"/>
            <w:right w:val="none" w:sz="0" w:space="0" w:color="auto"/>
          </w:divBdr>
          <w:divsChild>
            <w:div w:id="2064670400">
              <w:marLeft w:val="0"/>
              <w:marRight w:val="0"/>
              <w:marTop w:val="0"/>
              <w:marBottom w:val="0"/>
              <w:divBdr>
                <w:top w:val="none" w:sz="0" w:space="0" w:color="auto"/>
                <w:left w:val="none" w:sz="0" w:space="0" w:color="auto"/>
                <w:bottom w:val="none" w:sz="0" w:space="0" w:color="auto"/>
                <w:right w:val="none" w:sz="0" w:space="0" w:color="auto"/>
              </w:divBdr>
            </w:div>
          </w:divsChild>
        </w:div>
        <w:div w:id="140466877">
          <w:marLeft w:val="0"/>
          <w:marRight w:val="0"/>
          <w:marTop w:val="0"/>
          <w:marBottom w:val="0"/>
          <w:divBdr>
            <w:top w:val="none" w:sz="0" w:space="0" w:color="auto"/>
            <w:left w:val="none" w:sz="0" w:space="0" w:color="auto"/>
            <w:bottom w:val="none" w:sz="0" w:space="0" w:color="auto"/>
            <w:right w:val="none" w:sz="0" w:space="0" w:color="auto"/>
          </w:divBdr>
          <w:divsChild>
            <w:div w:id="62026009">
              <w:marLeft w:val="0"/>
              <w:marRight w:val="0"/>
              <w:marTop w:val="0"/>
              <w:marBottom w:val="0"/>
              <w:divBdr>
                <w:top w:val="none" w:sz="0" w:space="0" w:color="auto"/>
                <w:left w:val="none" w:sz="0" w:space="0" w:color="auto"/>
                <w:bottom w:val="none" w:sz="0" w:space="0" w:color="auto"/>
                <w:right w:val="none" w:sz="0" w:space="0" w:color="auto"/>
              </w:divBdr>
            </w:div>
          </w:divsChild>
        </w:div>
        <w:div w:id="228468649">
          <w:marLeft w:val="0"/>
          <w:marRight w:val="0"/>
          <w:marTop w:val="0"/>
          <w:marBottom w:val="0"/>
          <w:divBdr>
            <w:top w:val="none" w:sz="0" w:space="0" w:color="auto"/>
            <w:left w:val="none" w:sz="0" w:space="0" w:color="auto"/>
            <w:bottom w:val="none" w:sz="0" w:space="0" w:color="auto"/>
            <w:right w:val="none" w:sz="0" w:space="0" w:color="auto"/>
          </w:divBdr>
          <w:divsChild>
            <w:div w:id="626199053">
              <w:marLeft w:val="0"/>
              <w:marRight w:val="0"/>
              <w:marTop w:val="0"/>
              <w:marBottom w:val="0"/>
              <w:divBdr>
                <w:top w:val="none" w:sz="0" w:space="0" w:color="auto"/>
                <w:left w:val="none" w:sz="0" w:space="0" w:color="auto"/>
                <w:bottom w:val="none" w:sz="0" w:space="0" w:color="auto"/>
                <w:right w:val="none" w:sz="0" w:space="0" w:color="auto"/>
              </w:divBdr>
            </w:div>
          </w:divsChild>
        </w:div>
        <w:div w:id="240525676">
          <w:marLeft w:val="0"/>
          <w:marRight w:val="0"/>
          <w:marTop w:val="0"/>
          <w:marBottom w:val="0"/>
          <w:divBdr>
            <w:top w:val="none" w:sz="0" w:space="0" w:color="auto"/>
            <w:left w:val="none" w:sz="0" w:space="0" w:color="auto"/>
            <w:bottom w:val="none" w:sz="0" w:space="0" w:color="auto"/>
            <w:right w:val="none" w:sz="0" w:space="0" w:color="auto"/>
          </w:divBdr>
          <w:divsChild>
            <w:div w:id="78985330">
              <w:marLeft w:val="0"/>
              <w:marRight w:val="0"/>
              <w:marTop w:val="0"/>
              <w:marBottom w:val="0"/>
              <w:divBdr>
                <w:top w:val="none" w:sz="0" w:space="0" w:color="auto"/>
                <w:left w:val="none" w:sz="0" w:space="0" w:color="auto"/>
                <w:bottom w:val="none" w:sz="0" w:space="0" w:color="auto"/>
                <w:right w:val="none" w:sz="0" w:space="0" w:color="auto"/>
              </w:divBdr>
            </w:div>
          </w:divsChild>
        </w:div>
        <w:div w:id="258567227">
          <w:marLeft w:val="0"/>
          <w:marRight w:val="0"/>
          <w:marTop w:val="0"/>
          <w:marBottom w:val="0"/>
          <w:divBdr>
            <w:top w:val="none" w:sz="0" w:space="0" w:color="auto"/>
            <w:left w:val="none" w:sz="0" w:space="0" w:color="auto"/>
            <w:bottom w:val="none" w:sz="0" w:space="0" w:color="auto"/>
            <w:right w:val="none" w:sz="0" w:space="0" w:color="auto"/>
          </w:divBdr>
          <w:divsChild>
            <w:div w:id="720909269">
              <w:marLeft w:val="0"/>
              <w:marRight w:val="0"/>
              <w:marTop w:val="0"/>
              <w:marBottom w:val="0"/>
              <w:divBdr>
                <w:top w:val="none" w:sz="0" w:space="0" w:color="auto"/>
                <w:left w:val="none" w:sz="0" w:space="0" w:color="auto"/>
                <w:bottom w:val="none" w:sz="0" w:space="0" w:color="auto"/>
                <w:right w:val="none" w:sz="0" w:space="0" w:color="auto"/>
              </w:divBdr>
            </w:div>
          </w:divsChild>
        </w:div>
        <w:div w:id="276065331">
          <w:marLeft w:val="0"/>
          <w:marRight w:val="0"/>
          <w:marTop w:val="0"/>
          <w:marBottom w:val="0"/>
          <w:divBdr>
            <w:top w:val="none" w:sz="0" w:space="0" w:color="auto"/>
            <w:left w:val="none" w:sz="0" w:space="0" w:color="auto"/>
            <w:bottom w:val="none" w:sz="0" w:space="0" w:color="auto"/>
            <w:right w:val="none" w:sz="0" w:space="0" w:color="auto"/>
          </w:divBdr>
          <w:divsChild>
            <w:div w:id="1568765634">
              <w:marLeft w:val="0"/>
              <w:marRight w:val="0"/>
              <w:marTop w:val="0"/>
              <w:marBottom w:val="0"/>
              <w:divBdr>
                <w:top w:val="none" w:sz="0" w:space="0" w:color="auto"/>
                <w:left w:val="none" w:sz="0" w:space="0" w:color="auto"/>
                <w:bottom w:val="none" w:sz="0" w:space="0" w:color="auto"/>
                <w:right w:val="none" w:sz="0" w:space="0" w:color="auto"/>
              </w:divBdr>
            </w:div>
          </w:divsChild>
        </w:div>
        <w:div w:id="288703248">
          <w:marLeft w:val="0"/>
          <w:marRight w:val="0"/>
          <w:marTop w:val="0"/>
          <w:marBottom w:val="0"/>
          <w:divBdr>
            <w:top w:val="none" w:sz="0" w:space="0" w:color="auto"/>
            <w:left w:val="none" w:sz="0" w:space="0" w:color="auto"/>
            <w:bottom w:val="none" w:sz="0" w:space="0" w:color="auto"/>
            <w:right w:val="none" w:sz="0" w:space="0" w:color="auto"/>
          </w:divBdr>
          <w:divsChild>
            <w:div w:id="371736170">
              <w:marLeft w:val="0"/>
              <w:marRight w:val="0"/>
              <w:marTop w:val="0"/>
              <w:marBottom w:val="0"/>
              <w:divBdr>
                <w:top w:val="none" w:sz="0" w:space="0" w:color="auto"/>
                <w:left w:val="none" w:sz="0" w:space="0" w:color="auto"/>
                <w:bottom w:val="none" w:sz="0" w:space="0" w:color="auto"/>
                <w:right w:val="none" w:sz="0" w:space="0" w:color="auto"/>
              </w:divBdr>
            </w:div>
          </w:divsChild>
        </w:div>
        <w:div w:id="310450502">
          <w:marLeft w:val="0"/>
          <w:marRight w:val="0"/>
          <w:marTop w:val="0"/>
          <w:marBottom w:val="0"/>
          <w:divBdr>
            <w:top w:val="none" w:sz="0" w:space="0" w:color="auto"/>
            <w:left w:val="none" w:sz="0" w:space="0" w:color="auto"/>
            <w:bottom w:val="none" w:sz="0" w:space="0" w:color="auto"/>
            <w:right w:val="none" w:sz="0" w:space="0" w:color="auto"/>
          </w:divBdr>
          <w:divsChild>
            <w:div w:id="726879988">
              <w:marLeft w:val="0"/>
              <w:marRight w:val="0"/>
              <w:marTop w:val="0"/>
              <w:marBottom w:val="0"/>
              <w:divBdr>
                <w:top w:val="none" w:sz="0" w:space="0" w:color="auto"/>
                <w:left w:val="none" w:sz="0" w:space="0" w:color="auto"/>
                <w:bottom w:val="none" w:sz="0" w:space="0" w:color="auto"/>
                <w:right w:val="none" w:sz="0" w:space="0" w:color="auto"/>
              </w:divBdr>
            </w:div>
          </w:divsChild>
        </w:div>
        <w:div w:id="327751141">
          <w:marLeft w:val="0"/>
          <w:marRight w:val="0"/>
          <w:marTop w:val="0"/>
          <w:marBottom w:val="0"/>
          <w:divBdr>
            <w:top w:val="none" w:sz="0" w:space="0" w:color="auto"/>
            <w:left w:val="none" w:sz="0" w:space="0" w:color="auto"/>
            <w:bottom w:val="none" w:sz="0" w:space="0" w:color="auto"/>
            <w:right w:val="none" w:sz="0" w:space="0" w:color="auto"/>
          </w:divBdr>
          <w:divsChild>
            <w:div w:id="739795165">
              <w:marLeft w:val="0"/>
              <w:marRight w:val="0"/>
              <w:marTop w:val="0"/>
              <w:marBottom w:val="0"/>
              <w:divBdr>
                <w:top w:val="none" w:sz="0" w:space="0" w:color="auto"/>
                <w:left w:val="none" w:sz="0" w:space="0" w:color="auto"/>
                <w:bottom w:val="none" w:sz="0" w:space="0" w:color="auto"/>
                <w:right w:val="none" w:sz="0" w:space="0" w:color="auto"/>
              </w:divBdr>
            </w:div>
          </w:divsChild>
        </w:div>
        <w:div w:id="428544586">
          <w:marLeft w:val="0"/>
          <w:marRight w:val="0"/>
          <w:marTop w:val="0"/>
          <w:marBottom w:val="0"/>
          <w:divBdr>
            <w:top w:val="none" w:sz="0" w:space="0" w:color="auto"/>
            <w:left w:val="none" w:sz="0" w:space="0" w:color="auto"/>
            <w:bottom w:val="none" w:sz="0" w:space="0" w:color="auto"/>
            <w:right w:val="none" w:sz="0" w:space="0" w:color="auto"/>
          </w:divBdr>
          <w:divsChild>
            <w:div w:id="951011080">
              <w:marLeft w:val="0"/>
              <w:marRight w:val="0"/>
              <w:marTop w:val="0"/>
              <w:marBottom w:val="0"/>
              <w:divBdr>
                <w:top w:val="none" w:sz="0" w:space="0" w:color="auto"/>
                <w:left w:val="none" w:sz="0" w:space="0" w:color="auto"/>
                <w:bottom w:val="none" w:sz="0" w:space="0" w:color="auto"/>
                <w:right w:val="none" w:sz="0" w:space="0" w:color="auto"/>
              </w:divBdr>
            </w:div>
          </w:divsChild>
        </w:div>
        <w:div w:id="478692388">
          <w:marLeft w:val="0"/>
          <w:marRight w:val="0"/>
          <w:marTop w:val="0"/>
          <w:marBottom w:val="0"/>
          <w:divBdr>
            <w:top w:val="none" w:sz="0" w:space="0" w:color="auto"/>
            <w:left w:val="none" w:sz="0" w:space="0" w:color="auto"/>
            <w:bottom w:val="none" w:sz="0" w:space="0" w:color="auto"/>
            <w:right w:val="none" w:sz="0" w:space="0" w:color="auto"/>
          </w:divBdr>
          <w:divsChild>
            <w:div w:id="205874534">
              <w:marLeft w:val="0"/>
              <w:marRight w:val="0"/>
              <w:marTop w:val="0"/>
              <w:marBottom w:val="0"/>
              <w:divBdr>
                <w:top w:val="none" w:sz="0" w:space="0" w:color="auto"/>
                <w:left w:val="none" w:sz="0" w:space="0" w:color="auto"/>
                <w:bottom w:val="none" w:sz="0" w:space="0" w:color="auto"/>
                <w:right w:val="none" w:sz="0" w:space="0" w:color="auto"/>
              </w:divBdr>
            </w:div>
          </w:divsChild>
        </w:div>
        <w:div w:id="511916045">
          <w:marLeft w:val="0"/>
          <w:marRight w:val="0"/>
          <w:marTop w:val="0"/>
          <w:marBottom w:val="0"/>
          <w:divBdr>
            <w:top w:val="none" w:sz="0" w:space="0" w:color="auto"/>
            <w:left w:val="none" w:sz="0" w:space="0" w:color="auto"/>
            <w:bottom w:val="none" w:sz="0" w:space="0" w:color="auto"/>
            <w:right w:val="none" w:sz="0" w:space="0" w:color="auto"/>
          </w:divBdr>
          <w:divsChild>
            <w:div w:id="1341539440">
              <w:marLeft w:val="0"/>
              <w:marRight w:val="0"/>
              <w:marTop w:val="0"/>
              <w:marBottom w:val="0"/>
              <w:divBdr>
                <w:top w:val="none" w:sz="0" w:space="0" w:color="auto"/>
                <w:left w:val="none" w:sz="0" w:space="0" w:color="auto"/>
                <w:bottom w:val="none" w:sz="0" w:space="0" w:color="auto"/>
                <w:right w:val="none" w:sz="0" w:space="0" w:color="auto"/>
              </w:divBdr>
            </w:div>
          </w:divsChild>
        </w:div>
        <w:div w:id="514613327">
          <w:marLeft w:val="0"/>
          <w:marRight w:val="0"/>
          <w:marTop w:val="0"/>
          <w:marBottom w:val="0"/>
          <w:divBdr>
            <w:top w:val="none" w:sz="0" w:space="0" w:color="auto"/>
            <w:left w:val="none" w:sz="0" w:space="0" w:color="auto"/>
            <w:bottom w:val="none" w:sz="0" w:space="0" w:color="auto"/>
            <w:right w:val="none" w:sz="0" w:space="0" w:color="auto"/>
          </w:divBdr>
          <w:divsChild>
            <w:div w:id="1078945476">
              <w:marLeft w:val="0"/>
              <w:marRight w:val="0"/>
              <w:marTop w:val="0"/>
              <w:marBottom w:val="0"/>
              <w:divBdr>
                <w:top w:val="none" w:sz="0" w:space="0" w:color="auto"/>
                <w:left w:val="none" w:sz="0" w:space="0" w:color="auto"/>
                <w:bottom w:val="none" w:sz="0" w:space="0" w:color="auto"/>
                <w:right w:val="none" w:sz="0" w:space="0" w:color="auto"/>
              </w:divBdr>
            </w:div>
          </w:divsChild>
        </w:div>
        <w:div w:id="546533474">
          <w:marLeft w:val="0"/>
          <w:marRight w:val="0"/>
          <w:marTop w:val="0"/>
          <w:marBottom w:val="0"/>
          <w:divBdr>
            <w:top w:val="none" w:sz="0" w:space="0" w:color="auto"/>
            <w:left w:val="none" w:sz="0" w:space="0" w:color="auto"/>
            <w:bottom w:val="none" w:sz="0" w:space="0" w:color="auto"/>
            <w:right w:val="none" w:sz="0" w:space="0" w:color="auto"/>
          </w:divBdr>
          <w:divsChild>
            <w:div w:id="1166870519">
              <w:marLeft w:val="0"/>
              <w:marRight w:val="0"/>
              <w:marTop w:val="0"/>
              <w:marBottom w:val="0"/>
              <w:divBdr>
                <w:top w:val="none" w:sz="0" w:space="0" w:color="auto"/>
                <w:left w:val="none" w:sz="0" w:space="0" w:color="auto"/>
                <w:bottom w:val="none" w:sz="0" w:space="0" w:color="auto"/>
                <w:right w:val="none" w:sz="0" w:space="0" w:color="auto"/>
              </w:divBdr>
            </w:div>
          </w:divsChild>
        </w:div>
        <w:div w:id="576327674">
          <w:marLeft w:val="0"/>
          <w:marRight w:val="0"/>
          <w:marTop w:val="0"/>
          <w:marBottom w:val="0"/>
          <w:divBdr>
            <w:top w:val="none" w:sz="0" w:space="0" w:color="auto"/>
            <w:left w:val="none" w:sz="0" w:space="0" w:color="auto"/>
            <w:bottom w:val="none" w:sz="0" w:space="0" w:color="auto"/>
            <w:right w:val="none" w:sz="0" w:space="0" w:color="auto"/>
          </w:divBdr>
          <w:divsChild>
            <w:div w:id="1683774481">
              <w:marLeft w:val="0"/>
              <w:marRight w:val="0"/>
              <w:marTop w:val="0"/>
              <w:marBottom w:val="0"/>
              <w:divBdr>
                <w:top w:val="none" w:sz="0" w:space="0" w:color="auto"/>
                <w:left w:val="none" w:sz="0" w:space="0" w:color="auto"/>
                <w:bottom w:val="none" w:sz="0" w:space="0" w:color="auto"/>
                <w:right w:val="none" w:sz="0" w:space="0" w:color="auto"/>
              </w:divBdr>
            </w:div>
          </w:divsChild>
        </w:div>
        <w:div w:id="585071773">
          <w:marLeft w:val="0"/>
          <w:marRight w:val="0"/>
          <w:marTop w:val="0"/>
          <w:marBottom w:val="0"/>
          <w:divBdr>
            <w:top w:val="none" w:sz="0" w:space="0" w:color="auto"/>
            <w:left w:val="none" w:sz="0" w:space="0" w:color="auto"/>
            <w:bottom w:val="none" w:sz="0" w:space="0" w:color="auto"/>
            <w:right w:val="none" w:sz="0" w:space="0" w:color="auto"/>
          </w:divBdr>
          <w:divsChild>
            <w:div w:id="52509054">
              <w:marLeft w:val="0"/>
              <w:marRight w:val="0"/>
              <w:marTop w:val="0"/>
              <w:marBottom w:val="0"/>
              <w:divBdr>
                <w:top w:val="none" w:sz="0" w:space="0" w:color="auto"/>
                <w:left w:val="none" w:sz="0" w:space="0" w:color="auto"/>
                <w:bottom w:val="none" w:sz="0" w:space="0" w:color="auto"/>
                <w:right w:val="none" w:sz="0" w:space="0" w:color="auto"/>
              </w:divBdr>
            </w:div>
          </w:divsChild>
        </w:div>
        <w:div w:id="589236993">
          <w:marLeft w:val="0"/>
          <w:marRight w:val="0"/>
          <w:marTop w:val="0"/>
          <w:marBottom w:val="0"/>
          <w:divBdr>
            <w:top w:val="none" w:sz="0" w:space="0" w:color="auto"/>
            <w:left w:val="none" w:sz="0" w:space="0" w:color="auto"/>
            <w:bottom w:val="none" w:sz="0" w:space="0" w:color="auto"/>
            <w:right w:val="none" w:sz="0" w:space="0" w:color="auto"/>
          </w:divBdr>
          <w:divsChild>
            <w:div w:id="987435604">
              <w:marLeft w:val="0"/>
              <w:marRight w:val="0"/>
              <w:marTop w:val="0"/>
              <w:marBottom w:val="0"/>
              <w:divBdr>
                <w:top w:val="none" w:sz="0" w:space="0" w:color="auto"/>
                <w:left w:val="none" w:sz="0" w:space="0" w:color="auto"/>
                <w:bottom w:val="none" w:sz="0" w:space="0" w:color="auto"/>
                <w:right w:val="none" w:sz="0" w:space="0" w:color="auto"/>
              </w:divBdr>
            </w:div>
          </w:divsChild>
        </w:div>
        <w:div w:id="590234551">
          <w:marLeft w:val="0"/>
          <w:marRight w:val="0"/>
          <w:marTop w:val="0"/>
          <w:marBottom w:val="0"/>
          <w:divBdr>
            <w:top w:val="none" w:sz="0" w:space="0" w:color="auto"/>
            <w:left w:val="none" w:sz="0" w:space="0" w:color="auto"/>
            <w:bottom w:val="none" w:sz="0" w:space="0" w:color="auto"/>
            <w:right w:val="none" w:sz="0" w:space="0" w:color="auto"/>
          </w:divBdr>
          <w:divsChild>
            <w:div w:id="2053068296">
              <w:marLeft w:val="0"/>
              <w:marRight w:val="0"/>
              <w:marTop w:val="0"/>
              <w:marBottom w:val="0"/>
              <w:divBdr>
                <w:top w:val="none" w:sz="0" w:space="0" w:color="auto"/>
                <w:left w:val="none" w:sz="0" w:space="0" w:color="auto"/>
                <w:bottom w:val="none" w:sz="0" w:space="0" w:color="auto"/>
                <w:right w:val="none" w:sz="0" w:space="0" w:color="auto"/>
              </w:divBdr>
            </w:div>
          </w:divsChild>
        </w:div>
        <w:div w:id="594047788">
          <w:marLeft w:val="0"/>
          <w:marRight w:val="0"/>
          <w:marTop w:val="0"/>
          <w:marBottom w:val="0"/>
          <w:divBdr>
            <w:top w:val="none" w:sz="0" w:space="0" w:color="auto"/>
            <w:left w:val="none" w:sz="0" w:space="0" w:color="auto"/>
            <w:bottom w:val="none" w:sz="0" w:space="0" w:color="auto"/>
            <w:right w:val="none" w:sz="0" w:space="0" w:color="auto"/>
          </w:divBdr>
          <w:divsChild>
            <w:div w:id="761952879">
              <w:marLeft w:val="0"/>
              <w:marRight w:val="0"/>
              <w:marTop w:val="0"/>
              <w:marBottom w:val="0"/>
              <w:divBdr>
                <w:top w:val="none" w:sz="0" w:space="0" w:color="auto"/>
                <w:left w:val="none" w:sz="0" w:space="0" w:color="auto"/>
                <w:bottom w:val="none" w:sz="0" w:space="0" w:color="auto"/>
                <w:right w:val="none" w:sz="0" w:space="0" w:color="auto"/>
              </w:divBdr>
            </w:div>
          </w:divsChild>
        </w:div>
        <w:div w:id="595990234">
          <w:marLeft w:val="0"/>
          <w:marRight w:val="0"/>
          <w:marTop w:val="0"/>
          <w:marBottom w:val="0"/>
          <w:divBdr>
            <w:top w:val="none" w:sz="0" w:space="0" w:color="auto"/>
            <w:left w:val="none" w:sz="0" w:space="0" w:color="auto"/>
            <w:bottom w:val="none" w:sz="0" w:space="0" w:color="auto"/>
            <w:right w:val="none" w:sz="0" w:space="0" w:color="auto"/>
          </w:divBdr>
          <w:divsChild>
            <w:div w:id="323899458">
              <w:marLeft w:val="0"/>
              <w:marRight w:val="0"/>
              <w:marTop w:val="0"/>
              <w:marBottom w:val="0"/>
              <w:divBdr>
                <w:top w:val="none" w:sz="0" w:space="0" w:color="auto"/>
                <w:left w:val="none" w:sz="0" w:space="0" w:color="auto"/>
                <w:bottom w:val="none" w:sz="0" w:space="0" w:color="auto"/>
                <w:right w:val="none" w:sz="0" w:space="0" w:color="auto"/>
              </w:divBdr>
            </w:div>
          </w:divsChild>
        </w:div>
        <w:div w:id="633561094">
          <w:marLeft w:val="0"/>
          <w:marRight w:val="0"/>
          <w:marTop w:val="0"/>
          <w:marBottom w:val="0"/>
          <w:divBdr>
            <w:top w:val="none" w:sz="0" w:space="0" w:color="auto"/>
            <w:left w:val="none" w:sz="0" w:space="0" w:color="auto"/>
            <w:bottom w:val="none" w:sz="0" w:space="0" w:color="auto"/>
            <w:right w:val="none" w:sz="0" w:space="0" w:color="auto"/>
          </w:divBdr>
          <w:divsChild>
            <w:div w:id="997463082">
              <w:marLeft w:val="0"/>
              <w:marRight w:val="0"/>
              <w:marTop w:val="0"/>
              <w:marBottom w:val="0"/>
              <w:divBdr>
                <w:top w:val="none" w:sz="0" w:space="0" w:color="auto"/>
                <w:left w:val="none" w:sz="0" w:space="0" w:color="auto"/>
                <w:bottom w:val="none" w:sz="0" w:space="0" w:color="auto"/>
                <w:right w:val="none" w:sz="0" w:space="0" w:color="auto"/>
              </w:divBdr>
            </w:div>
          </w:divsChild>
        </w:div>
        <w:div w:id="640380357">
          <w:marLeft w:val="0"/>
          <w:marRight w:val="0"/>
          <w:marTop w:val="0"/>
          <w:marBottom w:val="0"/>
          <w:divBdr>
            <w:top w:val="none" w:sz="0" w:space="0" w:color="auto"/>
            <w:left w:val="none" w:sz="0" w:space="0" w:color="auto"/>
            <w:bottom w:val="none" w:sz="0" w:space="0" w:color="auto"/>
            <w:right w:val="none" w:sz="0" w:space="0" w:color="auto"/>
          </w:divBdr>
          <w:divsChild>
            <w:div w:id="1874532571">
              <w:marLeft w:val="0"/>
              <w:marRight w:val="0"/>
              <w:marTop w:val="0"/>
              <w:marBottom w:val="0"/>
              <w:divBdr>
                <w:top w:val="none" w:sz="0" w:space="0" w:color="auto"/>
                <w:left w:val="none" w:sz="0" w:space="0" w:color="auto"/>
                <w:bottom w:val="none" w:sz="0" w:space="0" w:color="auto"/>
                <w:right w:val="none" w:sz="0" w:space="0" w:color="auto"/>
              </w:divBdr>
            </w:div>
          </w:divsChild>
        </w:div>
        <w:div w:id="642931093">
          <w:marLeft w:val="0"/>
          <w:marRight w:val="0"/>
          <w:marTop w:val="0"/>
          <w:marBottom w:val="0"/>
          <w:divBdr>
            <w:top w:val="none" w:sz="0" w:space="0" w:color="auto"/>
            <w:left w:val="none" w:sz="0" w:space="0" w:color="auto"/>
            <w:bottom w:val="none" w:sz="0" w:space="0" w:color="auto"/>
            <w:right w:val="none" w:sz="0" w:space="0" w:color="auto"/>
          </w:divBdr>
          <w:divsChild>
            <w:div w:id="1401901987">
              <w:marLeft w:val="0"/>
              <w:marRight w:val="0"/>
              <w:marTop w:val="0"/>
              <w:marBottom w:val="0"/>
              <w:divBdr>
                <w:top w:val="none" w:sz="0" w:space="0" w:color="auto"/>
                <w:left w:val="none" w:sz="0" w:space="0" w:color="auto"/>
                <w:bottom w:val="none" w:sz="0" w:space="0" w:color="auto"/>
                <w:right w:val="none" w:sz="0" w:space="0" w:color="auto"/>
              </w:divBdr>
            </w:div>
          </w:divsChild>
        </w:div>
        <w:div w:id="844709208">
          <w:marLeft w:val="0"/>
          <w:marRight w:val="0"/>
          <w:marTop w:val="0"/>
          <w:marBottom w:val="0"/>
          <w:divBdr>
            <w:top w:val="none" w:sz="0" w:space="0" w:color="auto"/>
            <w:left w:val="none" w:sz="0" w:space="0" w:color="auto"/>
            <w:bottom w:val="none" w:sz="0" w:space="0" w:color="auto"/>
            <w:right w:val="none" w:sz="0" w:space="0" w:color="auto"/>
          </w:divBdr>
          <w:divsChild>
            <w:div w:id="1416627462">
              <w:marLeft w:val="0"/>
              <w:marRight w:val="0"/>
              <w:marTop w:val="0"/>
              <w:marBottom w:val="0"/>
              <w:divBdr>
                <w:top w:val="none" w:sz="0" w:space="0" w:color="auto"/>
                <w:left w:val="none" w:sz="0" w:space="0" w:color="auto"/>
                <w:bottom w:val="none" w:sz="0" w:space="0" w:color="auto"/>
                <w:right w:val="none" w:sz="0" w:space="0" w:color="auto"/>
              </w:divBdr>
            </w:div>
          </w:divsChild>
        </w:div>
        <w:div w:id="858467226">
          <w:marLeft w:val="0"/>
          <w:marRight w:val="0"/>
          <w:marTop w:val="0"/>
          <w:marBottom w:val="0"/>
          <w:divBdr>
            <w:top w:val="none" w:sz="0" w:space="0" w:color="auto"/>
            <w:left w:val="none" w:sz="0" w:space="0" w:color="auto"/>
            <w:bottom w:val="none" w:sz="0" w:space="0" w:color="auto"/>
            <w:right w:val="none" w:sz="0" w:space="0" w:color="auto"/>
          </w:divBdr>
          <w:divsChild>
            <w:div w:id="188841711">
              <w:marLeft w:val="0"/>
              <w:marRight w:val="0"/>
              <w:marTop w:val="0"/>
              <w:marBottom w:val="0"/>
              <w:divBdr>
                <w:top w:val="none" w:sz="0" w:space="0" w:color="auto"/>
                <w:left w:val="none" w:sz="0" w:space="0" w:color="auto"/>
                <w:bottom w:val="none" w:sz="0" w:space="0" w:color="auto"/>
                <w:right w:val="none" w:sz="0" w:space="0" w:color="auto"/>
              </w:divBdr>
            </w:div>
          </w:divsChild>
        </w:div>
        <w:div w:id="923496092">
          <w:marLeft w:val="0"/>
          <w:marRight w:val="0"/>
          <w:marTop w:val="0"/>
          <w:marBottom w:val="0"/>
          <w:divBdr>
            <w:top w:val="none" w:sz="0" w:space="0" w:color="auto"/>
            <w:left w:val="none" w:sz="0" w:space="0" w:color="auto"/>
            <w:bottom w:val="none" w:sz="0" w:space="0" w:color="auto"/>
            <w:right w:val="none" w:sz="0" w:space="0" w:color="auto"/>
          </w:divBdr>
          <w:divsChild>
            <w:div w:id="613053720">
              <w:marLeft w:val="0"/>
              <w:marRight w:val="0"/>
              <w:marTop w:val="0"/>
              <w:marBottom w:val="0"/>
              <w:divBdr>
                <w:top w:val="none" w:sz="0" w:space="0" w:color="auto"/>
                <w:left w:val="none" w:sz="0" w:space="0" w:color="auto"/>
                <w:bottom w:val="none" w:sz="0" w:space="0" w:color="auto"/>
                <w:right w:val="none" w:sz="0" w:space="0" w:color="auto"/>
              </w:divBdr>
            </w:div>
          </w:divsChild>
        </w:div>
        <w:div w:id="942154976">
          <w:marLeft w:val="0"/>
          <w:marRight w:val="0"/>
          <w:marTop w:val="0"/>
          <w:marBottom w:val="0"/>
          <w:divBdr>
            <w:top w:val="none" w:sz="0" w:space="0" w:color="auto"/>
            <w:left w:val="none" w:sz="0" w:space="0" w:color="auto"/>
            <w:bottom w:val="none" w:sz="0" w:space="0" w:color="auto"/>
            <w:right w:val="none" w:sz="0" w:space="0" w:color="auto"/>
          </w:divBdr>
          <w:divsChild>
            <w:div w:id="876620284">
              <w:marLeft w:val="0"/>
              <w:marRight w:val="0"/>
              <w:marTop w:val="0"/>
              <w:marBottom w:val="0"/>
              <w:divBdr>
                <w:top w:val="none" w:sz="0" w:space="0" w:color="auto"/>
                <w:left w:val="none" w:sz="0" w:space="0" w:color="auto"/>
                <w:bottom w:val="none" w:sz="0" w:space="0" w:color="auto"/>
                <w:right w:val="none" w:sz="0" w:space="0" w:color="auto"/>
              </w:divBdr>
            </w:div>
          </w:divsChild>
        </w:div>
        <w:div w:id="943927889">
          <w:marLeft w:val="0"/>
          <w:marRight w:val="0"/>
          <w:marTop w:val="0"/>
          <w:marBottom w:val="0"/>
          <w:divBdr>
            <w:top w:val="none" w:sz="0" w:space="0" w:color="auto"/>
            <w:left w:val="none" w:sz="0" w:space="0" w:color="auto"/>
            <w:bottom w:val="none" w:sz="0" w:space="0" w:color="auto"/>
            <w:right w:val="none" w:sz="0" w:space="0" w:color="auto"/>
          </w:divBdr>
          <w:divsChild>
            <w:div w:id="2099058234">
              <w:marLeft w:val="0"/>
              <w:marRight w:val="0"/>
              <w:marTop w:val="0"/>
              <w:marBottom w:val="0"/>
              <w:divBdr>
                <w:top w:val="none" w:sz="0" w:space="0" w:color="auto"/>
                <w:left w:val="none" w:sz="0" w:space="0" w:color="auto"/>
                <w:bottom w:val="none" w:sz="0" w:space="0" w:color="auto"/>
                <w:right w:val="none" w:sz="0" w:space="0" w:color="auto"/>
              </w:divBdr>
            </w:div>
          </w:divsChild>
        </w:div>
        <w:div w:id="1009255058">
          <w:marLeft w:val="0"/>
          <w:marRight w:val="0"/>
          <w:marTop w:val="0"/>
          <w:marBottom w:val="0"/>
          <w:divBdr>
            <w:top w:val="none" w:sz="0" w:space="0" w:color="auto"/>
            <w:left w:val="none" w:sz="0" w:space="0" w:color="auto"/>
            <w:bottom w:val="none" w:sz="0" w:space="0" w:color="auto"/>
            <w:right w:val="none" w:sz="0" w:space="0" w:color="auto"/>
          </w:divBdr>
          <w:divsChild>
            <w:div w:id="291518433">
              <w:marLeft w:val="0"/>
              <w:marRight w:val="0"/>
              <w:marTop w:val="0"/>
              <w:marBottom w:val="0"/>
              <w:divBdr>
                <w:top w:val="none" w:sz="0" w:space="0" w:color="auto"/>
                <w:left w:val="none" w:sz="0" w:space="0" w:color="auto"/>
                <w:bottom w:val="none" w:sz="0" w:space="0" w:color="auto"/>
                <w:right w:val="none" w:sz="0" w:space="0" w:color="auto"/>
              </w:divBdr>
            </w:div>
          </w:divsChild>
        </w:div>
        <w:div w:id="1020620265">
          <w:marLeft w:val="0"/>
          <w:marRight w:val="0"/>
          <w:marTop w:val="0"/>
          <w:marBottom w:val="0"/>
          <w:divBdr>
            <w:top w:val="none" w:sz="0" w:space="0" w:color="auto"/>
            <w:left w:val="none" w:sz="0" w:space="0" w:color="auto"/>
            <w:bottom w:val="none" w:sz="0" w:space="0" w:color="auto"/>
            <w:right w:val="none" w:sz="0" w:space="0" w:color="auto"/>
          </w:divBdr>
          <w:divsChild>
            <w:div w:id="1943147479">
              <w:marLeft w:val="0"/>
              <w:marRight w:val="0"/>
              <w:marTop w:val="0"/>
              <w:marBottom w:val="0"/>
              <w:divBdr>
                <w:top w:val="none" w:sz="0" w:space="0" w:color="auto"/>
                <w:left w:val="none" w:sz="0" w:space="0" w:color="auto"/>
                <w:bottom w:val="none" w:sz="0" w:space="0" w:color="auto"/>
                <w:right w:val="none" w:sz="0" w:space="0" w:color="auto"/>
              </w:divBdr>
            </w:div>
          </w:divsChild>
        </w:div>
        <w:div w:id="1051925324">
          <w:marLeft w:val="0"/>
          <w:marRight w:val="0"/>
          <w:marTop w:val="0"/>
          <w:marBottom w:val="0"/>
          <w:divBdr>
            <w:top w:val="none" w:sz="0" w:space="0" w:color="auto"/>
            <w:left w:val="none" w:sz="0" w:space="0" w:color="auto"/>
            <w:bottom w:val="none" w:sz="0" w:space="0" w:color="auto"/>
            <w:right w:val="none" w:sz="0" w:space="0" w:color="auto"/>
          </w:divBdr>
          <w:divsChild>
            <w:div w:id="120195301">
              <w:marLeft w:val="0"/>
              <w:marRight w:val="0"/>
              <w:marTop w:val="0"/>
              <w:marBottom w:val="0"/>
              <w:divBdr>
                <w:top w:val="none" w:sz="0" w:space="0" w:color="auto"/>
                <w:left w:val="none" w:sz="0" w:space="0" w:color="auto"/>
                <w:bottom w:val="none" w:sz="0" w:space="0" w:color="auto"/>
                <w:right w:val="none" w:sz="0" w:space="0" w:color="auto"/>
              </w:divBdr>
            </w:div>
          </w:divsChild>
        </w:div>
        <w:div w:id="1062362156">
          <w:marLeft w:val="0"/>
          <w:marRight w:val="0"/>
          <w:marTop w:val="0"/>
          <w:marBottom w:val="0"/>
          <w:divBdr>
            <w:top w:val="none" w:sz="0" w:space="0" w:color="auto"/>
            <w:left w:val="none" w:sz="0" w:space="0" w:color="auto"/>
            <w:bottom w:val="none" w:sz="0" w:space="0" w:color="auto"/>
            <w:right w:val="none" w:sz="0" w:space="0" w:color="auto"/>
          </w:divBdr>
          <w:divsChild>
            <w:div w:id="551499591">
              <w:marLeft w:val="0"/>
              <w:marRight w:val="0"/>
              <w:marTop w:val="0"/>
              <w:marBottom w:val="0"/>
              <w:divBdr>
                <w:top w:val="none" w:sz="0" w:space="0" w:color="auto"/>
                <w:left w:val="none" w:sz="0" w:space="0" w:color="auto"/>
                <w:bottom w:val="none" w:sz="0" w:space="0" w:color="auto"/>
                <w:right w:val="none" w:sz="0" w:space="0" w:color="auto"/>
              </w:divBdr>
            </w:div>
          </w:divsChild>
        </w:div>
        <w:div w:id="1079139103">
          <w:marLeft w:val="0"/>
          <w:marRight w:val="0"/>
          <w:marTop w:val="0"/>
          <w:marBottom w:val="0"/>
          <w:divBdr>
            <w:top w:val="none" w:sz="0" w:space="0" w:color="auto"/>
            <w:left w:val="none" w:sz="0" w:space="0" w:color="auto"/>
            <w:bottom w:val="none" w:sz="0" w:space="0" w:color="auto"/>
            <w:right w:val="none" w:sz="0" w:space="0" w:color="auto"/>
          </w:divBdr>
          <w:divsChild>
            <w:div w:id="2059433263">
              <w:marLeft w:val="0"/>
              <w:marRight w:val="0"/>
              <w:marTop w:val="0"/>
              <w:marBottom w:val="0"/>
              <w:divBdr>
                <w:top w:val="none" w:sz="0" w:space="0" w:color="auto"/>
                <w:left w:val="none" w:sz="0" w:space="0" w:color="auto"/>
                <w:bottom w:val="none" w:sz="0" w:space="0" w:color="auto"/>
                <w:right w:val="none" w:sz="0" w:space="0" w:color="auto"/>
              </w:divBdr>
            </w:div>
          </w:divsChild>
        </w:div>
        <w:div w:id="1085959147">
          <w:marLeft w:val="0"/>
          <w:marRight w:val="0"/>
          <w:marTop w:val="0"/>
          <w:marBottom w:val="0"/>
          <w:divBdr>
            <w:top w:val="none" w:sz="0" w:space="0" w:color="auto"/>
            <w:left w:val="none" w:sz="0" w:space="0" w:color="auto"/>
            <w:bottom w:val="none" w:sz="0" w:space="0" w:color="auto"/>
            <w:right w:val="none" w:sz="0" w:space="0" w:color="auto"/>
          </w:divBdr>
          <w:divsChild>
            <w:div w:id="713850830">
              <w:marLeft w:val="0"/>
              <w:marRight w:val="0"/>
              <w:marTop w:val="0"/>
              <w:marBottom w:val="0"/>
              <w:divBdr>
                <w:top w:val="none" w:sz="0" w:space="0" w:color="auto"/>
                <w:left w:val="none" w:sz="0" w:space="0" w:color="auto"/>
                <w:bottom w:val="none" w:sz="0" w:space="0" w:color="auto"/>
                <w:right w:val="none" w:sz="0" w:space="0" w:color="auto"/>
              </w:divBdr>
            </w:div>
          </w:divsChild>
        </w:div>
        <w:div w:id="1163815148">
          <w:marLeft w:val="0"/>
          <w:marRight w:val="0"/>
          <w:marTop w:val="0"/>
          <w:marBottom w:val="0"/>
          <w:divBdr>
            <w:top w:val="none" w:sz="0" w:space="0" w:color="auto"/>
            <w:left w:val="none" w:sz="0" w:space="0" w:color="auto"/>
            <w:bottom w:val="none" w:sz="0" w:space="0" w:color="auto"/>
            <w:right w:val="none" w:sz="0" w:space="0" w:color="auto"/>
          </w:divBdr>
          <w:divsChild>
            <w:div w:id="782380137">
              <w:marLeft w:val="0"/>
              <w:marRight w:val="0"/>
              <w:marTop w:val="0"/>
              <w:marBottom w:val="0"/>
              <w:divBdr>
                <w:top w:val="none" w:sz="0" w:space="0" w:color="auto"/>
                <w:left w:val="none" w:sz="0" w:space="0" w:color="auto"/>
                <w:bottom w:val="none" w:sz="0" w:space="0" w:color="auto"/>
                <w:right w:val="none" w:sz="0" w:space="0" w:color="auto"/>
              </w:divBdr>
            </w:div>
          </w:divsChild>
        </w:div>
        <w:div w:id="1175146143">
          <w:marLeft w:val="0"/>
          <w:marRight w:val="0"/>
          <w:marTop w:val="0"/>
          <w:marBottom w:val="0"/>
          <w:divBdr>
            <w:top w:val="none" w:sz="0" w:space="0" w:color="auto"/>
            <w:left w:val="none" w:sz="0" w:space="0" w:color="auto"/>
            <w:bottom w:val="none" w:sz="0" w:space="0" w:color="auto"/>
            <w:right w:val="none" w:sz="0" w:space="0" w:color="auto"/>
          </w:divBdr>
          <w:divsChild>
            <w:div w:id="447164958">
              <w:marLeft w:val="0"/>
              <w:marRight w:val="0"/>
              <w:marTop w:val="0"/>
              <w:marBottom w:val="0"/>
              <w:divBdr>
                <w:top w:val="none" w:sz="0" w:space="0" w:color="auto"/>
                <w:left w:val="none" w:sz="0" w:space="0" w:color="auto"/>
                <w:bottom w:val="none" w:sz="0" w:space="0" w:color="auto"/>
                <w:right w:val="none" w:sz="0" w:space="0" w:color="auto"/>
              </w:divBdr>
            </w:div>
          </w:divsChild>
        </w:div>
        <w:div w:id="1190874127">
          <w:marLeft w:val="0"/>
          <w:marRight w:val="0"/>
          <w:marTop w:val="0"/>
          <w:marBottom w:val="0"/>
          <w:divBdr>
            <w:top w:val="none" w:sz="0" w:space="0" w:color="auto"/>
            <w:left w:val="none" w:sz="0" w:space="0" w:color="auto"/>
            <w:bottom w:val="none" w:sz="0" w:space="0" w:color="auto"/>
            <w:right w:val="none" w:sz="0" w:space="0" w:color="auto"/>
          </w:divBdr>
          <w:divsChild>
            <w:div w:id="1653169193">
              <w:marLeft w:val="0"/>
              <w:marRight w:val="0"/>
              <w:marTop w:val="0"/>
              <w:marBottom w:val="0"/>
              <w:divBdr>
                <w:top w:val="none" w:sz="0" w:space="0" w:color="auto"/>
                <w:left w:val="none" w:sz="0" w:space="0" w:color="auto"/>
                <w:bottom w:val="none" w:sz="0" w:space="0" w:color="auto"/>
                <w:right w:val="none" w:sz="0" w:space="0" w:color="auto"/>
              </w:divBdr>
            </w:div>
          </w:divsChild>
        </w:div>
        <w:div w:id="1243026257">
          <w:marLeft w:val="0"/>
          <w:marRight w:val="0"/>
          <w:marTop w:val="0"/>
          <w:marBottom w:val="0"/>
          <w:divBdr>
            <w:top w:val="none" w:sz="0" w:space="0" w:color="auto"/>
            <w:left w:val="none" w:sz="0" w:space="0" w:color="auto"/>
            <w:bottom w:val="none" w:sz="0" w:space="0" w:color="auto"/>
            <w:right w:val="none" w:sz="0" w:space="0" w:color="auto"/>
          </w:divBdr>
          <w:divsChild>
            <w:div w:id="613826680">
              <w:marLeft w:val="0"/>
              <w:marRight w:val="0"/>
              <w:marTop w:val="0"/>
              <w:marBottom w:val="0"/>
              <w:divBdr>
                <w:top w:val="none" w:sz="0" w:space="0" w:color="auto"/>
                <w:left w:val="none" w:sz="0" w:space="0" w:color="auto"/>
                <w:bottom w:val="none" w:sz="0" w:space="0" w:color="auto"/>
                <w:right w:val="none" w:sz="0" w:space="0" w:color="auto"/>
              </w:divBdr>
            </w:div>
          </w:divsChild>
        </w:div>
        <w:div w:id="1253247928">
          <w:marLeft w:val="0"/>
          <w:marRight w:val="0"/>
          <w:marTop w:val="0"/>
          <w:marBottom w:val="0"/>
          <w:divBdr>
            <w:top w:val="none" w:sz="0" w:space="0" w:color="auto"/>
            <w:left w:val="none" w:sz="0" w:space="0" w:color="auto"/>
            <w:bottom w:val="none" w:sz="0" w:space="0" w:color="auto"/>
            <w:right w:val="none" w:sz="0" w:space="0" w:color="auto"/>
          </w:divBdr>
          <w:divsChild>
            <w:div w:id="559827611">
              <w:marLeft w:val="0"/>
              <w:marRight w:val="0"/>
              <w:marTop w:val="0"/>
              <w:marBottom w:val="0"/>
              <w:divBdr>
                <w:top w:val="none" w:sz="0" w:space="0" w:color="auto"/>
                <w:left w:val="none" w:sz="0" w:space="0" w:color="auto"/>
                <w:bottom w:val="none" w:sz="0" w:space="0" w:color="auto"/>
                <w:right w:val="none" w:sz="0" w:space="0" w:color="auto"/>
              </w:divBdr>
            </w:div>
          </w:divsChild>
        </w:div>
        <w:div w:id="1284461311">
          <w:marLeft w:val="0"/>
          <w:marRight w:val="0"/>
          <w:marTop w:val="0"/>
          <w:marBottom w:val="0"/>
          <w:divBdr>
            <w:top w:val="none" w:sz="0" w:space="0" w:color="auto"/>
            <w:left w:val="none" w:sz="0" w:space="0" w:color="auto"/>
            <w:bottom w:val="none" w:sz="0" w:space="0" w:color="auto"/>
            <w:right w:val="none" w:sz="0" w:space="0" w:color="auto"/>
          </w:divBdr>
          <w:divsChild>
            <w:div w:id="1071778762">
              <w:marLeft w:val="0"/>
              <w:marRight w:val="0"/>
              <w:marTop w:val="0"/>
              <w:marBottom w:val="0"/>
              <w:divBdr>
                <w:top w:val="none" w:sz="0" w:space="0" w:color="auto"/>
                <w:left w:val="none" w:sz="0" w:space="0" w:color="auto"/>
                <w:bottom w:val="none" w:sz="0" w:space="0" w:color="auto"/>
                <w:right w:val="none" w:sz="0" w:space="0" w:color="auto"/>
              </w:divBdr>
            </w:div>
          </w:divsChild>
        </w:div>
        <w:div w:id="1298680183">
          <w:marLeft w:val="0"/>
          <w:marRight w:val="0"/>
          <w:marTop w:val="0"/>
          <w:marBottom w:val="0"/>
          <w:divBdr>
            <w:top w:val="none" w:sz="0" w:space="0" w:color="auto"/>
            <w:left w:val="none" w:sz="0" w:space="0" w:color="auto"/>
            <w:bottom w:val="none" w:sz="0" w:space="0" w:color="auto"/>
            <w:right w:val="none" w:sz="0" w:space="0" w:color="auto"/>
          </w:divBdr>
          <w:divsChild>
            <w:div w:id="1578200614">
              <w:marLeft w:val="0"/>
              <w:marRight w:val="0"/>
              <w:marTop w:val="0"/>
              <w:marBottom w:val="0"/>
              <w:divBdr>
                <w:top w:val="none" w:sz="0" w:space="0" w:color="auto"/>
                <w:left w:val="none" w:sz="0" w:space="0" w:color="auto"/>
                <w:bottom w:val="none" w:sz="0" w:space="0" w:color="auto"/>
                <w:right w:val="none" w:sz="0" w:space="0" w:color="auto"/>
              </w:divBdr>
            </w:div>
          </w:divsChild>
        </w:div>
        <w:div w:id="1306351479">
          <w:marLeft w:val="0"/>
          <w:marRight w:val="0"/>
          <w:marTop w:val="0"/>
          <w:marBottom w:val="0"/>
          <w:divBdr>
            <w:top w:val="none" w:sz="0" w:space="0" w:color="auto"/>
            <w:left w:val="none" w:sz="0" w:space="0" w:color="auto"/>
            <w:bottom w:val="none" w:sz="0" w:space="0" w:color="auto"/>
            <w:right w:val="none" w:sz="0" w:space="0" w:color="auto"/>
          </w:divBdr>
          <w:divsChild>
            <w:div w:id="1921677342">
              <w:marLeft w:val="0"/>
              <w:marRight w:val="0"/>
              <w:marTop w:val="0"/>
              <w:marBottom w:val="0"/>
              <w:divBdr>
                <w:top w:val="none" w:sz="0" w:space="0" w:color="auto"/>
                <w:left w:val="none" w:sz="0" w:space="0" w:color="auto"/>
                <w:bottom w:val="none" w:sz="0" w:space="0" w:color="auto"/>
                <w:right w:val="none" w:sz="0" w:space="0" w:color="auto"/>
              </w:divBdr>
            </w:div>
          </w:divsChild>
        </w:div>
        <w:div w:id="1362050483">
          <w:marLeft w:val="0"/>
          <w:marRight w:val="0"/>
          <w:marTop w:val="0"/>
          <w:marBottom w:val="0"/>
          <w:divBdr>
            <w:top w:val="none" w:sz="0" w:space="0" w:color="auto"/>
            <w:left w:val="none" w:sz="0" w:space="0" w:color="auto"/>
            <w:bottom w:val="none" w:sz="0" w:space="0" w:color="auto"/>
            <w:right w:val="none" w:sz="0" w:space="0" w:color="auto"/>
          </w:divBdr>
          <w:divsChild>
            <w:div w:id="1503814128">
              <w:marLeft w:val="0"/>
              <w:marRight w:val="0"/>
              <w:marTop w:val="0"/>
              <w:marBottom w:val="0"/>
              <w:divBdr>
                <w:top w:val="none" w:sz="0" w:space="0" w:color="auto"/>
                <w:left w:val="none" w:sz="0" w:space="0" w:color="auto"/>
                <w:bottom w:val="none" w:sz="0" w:space="0" w:color="auto"/>
                <w:right w:val="none" w:sz="0" w:space="0" w:color="auto"/>
              </w:divBdr>
            </w:div>
          </w:divsChild>
        </w:div>
        <w:div w:id="1376925889">
          <w:marLeft w:val="0"/>
          <w:marRight w:val="0"/>
          <w:marTop w:val="0"/>
          <w:marBottom w:val="0"/>
          <w:divBdr>
            <w:top w:val="none" w:sz="0" w:space="0" w:color="auto"/>
            <w:left w:val="none" w:sz="0" w:space="0" w:color="auto"/>
            <w:bottom w:val="none" w:sz="0" w:space="0" w:color="auto"/>
            <w:right w:val="none" w:sz="0" w:space="0" w:color="auto"/>
          </w:divBdr>
          <w:divsChild>
            <w:div w:id="15622660">
              <w:marLeft w:val="0"/>
              <w:marRight w:val="0"/>
              <w:marTop w:val="0"/>
              <w:marBottom w:val="0"/>
              <w:divBdr>
                <w:top w:val="none" w:sz="0" w:space="0" w:color="auto"/>
                <w:left w:val="none" w:sz="0" w:space="0" w:color="auto"/>
                <w:bottom w:val="none" w:sz="0" w:space="0" w:color="auto"/>
                <w:right w:val="none" w:sz="0" w:space="0" w:color="auto"/>
              </w:divBdr>
            </w:div>
          </w:divsChild>
        </w:div>
        <w:div w:id="1411736695">
          <w:marLeft w:val="0"/>
          <w:marRight w:val="0"/>
          <w:marTop w:val="0"/>
          <w:marBottom w:val="0"/>
          <w:divBdr>
            <w:top w:val="none" w:sz="0" w:space="0" w:color="auto"/>
            <w:left w:val="none" w:sz="0" w:space="0" w:color="auto"/>
            <w:bottom w:val="none" w:sz="0" w:space="0" w:color="auto"/>
            <w:right w:val="none" w:sz="0" w:space="0" w:color="auto"/>
          </w:divBdr>
          <w:divsChild>
            <w:div w:id="462770938">
              <w:marLeft w:val="0"/>
              <w:marRight w:val="0"/>
              <w:marTop w:val="0"/>
              <w:marBottom w:val="0"/>
              <w:divBdr>
                <w:top w:val="none" w:sz="0" w:space="0" w:color="auto"/>
                <w:left w:val="none" w:sz="0" w:space="0" w:color="auto"/>
                <w:bottom w:val="none" w:sz="0" w:space="0" w:color="auto"/>
                <w:right w:val="none" w:sz="0" w:space="0" w:color="auto"/>
              </w:divBdr>
            </w:div>
          </w:divsChild>
        </w:div>
        <w:div w:id="1459838736">
          <w:marLeft w:val="0"/>
          <w:marRight w:val="0"/>
          <w:marTop w:val="0"/>
          <w:marBottom w:val="0"/>
          <w:divBdr>
            <w:top w:val="none" w:sz="0" w:space="0" w:color="auto"/>
            <w:left w:val="none" w:sz="0" w:space="0" w:color="auto"/>
            <w:bottom w:val="none" w:sz="0" w:space="0" w:color="auto"/>
            <w:right w:val="none" w:sz="0" w:space="0" w:color="auto"/>
          </w:divBdr>
          <w:divsChild>
            <w:div w:id="1581794438">
              <w:marLeft w:val="0"/>
              <w:marRight w:val="0"/>
              <w:marTop w:val="0"/>
              <w:marBottom w:val="0"/>
              <w:divBdr>
                <w:top w:val="none" w:sz="0" w:space="0" w:color="auto"/>
                <w:left w:val="none" w:sz="0" w:space="0" w:color="auto"/>
                <w:bottom w:val="none" w:sz="0" w:space="0" w:color="auto"/>
                <w:right w:val="none" w:sz="0" w:space="0" w:color="auto"/>
              </w:divBdr>
            </w:div>
          </w:divsChild>
        </w:div>
        <w:div w:id="1478763091">
          <w:marLeft w:val="0"/>
          <w:marRight w:val="0"/>
          <w:marTop w:val="0"/>
          <w:marBottom w:val="0"/>
          <w:divBdr>
            <w:top w:val="none" w:sz="0" w:space="0" w:color="auto"/>
            <w:left w:val="none" w:sz="0" w:space="0" w:color="auto"/>
            <w:bottom w:val="none" w:sz="0" w:space="0" w:color="auto"/>
            <w:right w:val="none" w:sz="0" w:space="0" w:color="auto"/>
          </w:divBdr>
          <w:divsChild>
            <w:div w:id="854460696">
              <w:marLeft w:val="0"/>
              <w:marRight w:val="0"/>
              <w:marTop w:val="0"/>
              <w:marBottom w:val="0"/>
              <w:divBdr>
                <w:top w:val="none" w:sz="0" w:space="0" w:color="auto"/>
                <w:left w:val="none" w:sz="0" w:space="0" w:color="auto"/>
                <w:bottom w:val="none" w:sz="0" w:space="0" w:color="auto"/>
                <w:right w:val="none" w:sz="0" w:space="0" w:color="auto"/>
              </w:divBdr>
            </w:div>
          </w:divsChild>
        </w:div>
        <w:div w:id="1509364994">
          <w:marLeft w:val="0"/>
          <w:marRight w:val="0"/>
          <w:marTop w:val="0"/>
          <w:marBottom w:val="0"/>
          <w:divBdr>
            <w:top w:val="none" w:sz="0" w:space="0" w:color="auto"/>
            <w:left w:val="none" w:sz="0" w:space="0" w:color="auto"/>
            <w:bottom w:val="none" w:sz="0" w:space="0" w:color="auto"/>
            <w:right w:val="none" w:sz="0" w:space="0" w:color="auto"/>
          </w:divBdr>
          <w:divsChild>
            <w:div w:id="1161312259">
              <w:marLeft w:val="0"/>
              <w:marRight w:val="0"/>
              <w:marTop w:val="0"/>
              <w:marBottom w:val="0"/>
              <w:divBdr>
                <w:top w:val="none" w:sz="0" w:space="0" w:color="auto"/>
                <w:left w:val="none" w:sz="0" w:space="0" w:color="auto"/>
                <w:bottom w:val="none" w:sz="0" w:space="0" w:color="auto"/>
                <w:right w:val="none" w:sz="0" w:space="0" w:color="auto"/>
              </w:divBdr>
            </w:div>
          </w:divsChild>
        </w:div>
        <w:div w:id="1514030197">
          <w:marLeft w:val="0"/>
          <w:marRight w:val="0"/>
          <w:marTop w:val="0"/>
          <w:marBottom w:val="0"/>
          <w:divBdr>
            <w:top w:val="none" w:sz="0" w:space="0" w:color="auto"/>
            <w:left w:val="none" w:sz="0" w:space="0" w:color="auto"/>
            <w:bottom w:val="none" w:sz="0" w:space="0" w:color="auto"/>
            <w:right w:val="none" w:sz="0" w:space="0" w:color="auto"/>
          </w:divBdr>
          <w:divsChild>
            <w:div w:id="1624727217">
              <w:marLeft w:val="0"/>
              <w:marRight w:val="0"/>
              <w:marTop w:val="0"/>
              <w:marBottom w:val="0"/>
              <w:divBdr>
                <w:top w:val="none" w:sz="0" w:space="0" w:color="auto"/>
                <w:left w:val="none" w:sz="0" w:space="0" w:color="auto"/>
                <w:bottom w:val="none" w:sz="0" w:space="0" w:color="auto"/>
                <w:right w:val="none" w:sz="0" w:space="0" w:color="auto"/>
              </w:divBdr>
            </w:div>
          </w:divsChild>
        </w:div>
        <w:div w:id="1519730475">
          <w:marLeft w:val="0"/>
          <w:marRight w:val="0"/>
          <w:marTop w:val="0"/>
          <w:marBottom w:val="0"/>
          <w:divBdr>
            <w:top w:val="none" w:sz="0" w:space="0" w:color="auto"/>
            <w:left w:val="none" w:sz="0" w:space="0" w:color="auto"/>
            <w:bottom w:val="none" w:sz="0" w:space="0" w:color="auto"/>
            <w:right w:val="none" w:sz="0" w:space="0" w:color="auto"/>
          </w:divBdr>
          <w:divsChild>
            <w:div w:id="604339992">
              <w:marLeft w:val="0"/>
              <w:marRight w:val="0"/>
              <w:marTop w:val="0"/>
              <w:marBottom w:val="0"/>
              <w:divBdr>
                <w:top w:val="none" w:sz="0" w:space="0" w:color="auto"/>
                <w:left w:val="none" w:sz="0" w:space="0" w:color="auto"/>
                <w:bottom w:val="none" w:sz="0" w:space="0" w:color="auto"/>
                <w:right w:val="none" w:sz="0" w:space="0" w:color="auto"/>
              </w:divBdr>
            </w:div>
          </w:divsChild>
        </w:div>
        <w:div w:id="1548183464">
          <w:marLeft w:val="0"/>
          <w:marRight w:val="0"/>
          <w:marTop w:val="0"/>
          <w:marBottom w:val="0"/>
          <w:divBdr>
            <w:top w:val="none" w:sz="0" w:space="0" w:color="auto"/>
            <w:left w:val="none" w:sz="0" w:space="0" w:color="auto"/>
            <w:bottom w:val="none" w:sz="0" w:space="0" w:color="auto"/>
            <w:right w:val="none" w:sz="0" w:space="0" w:color="auto"/>
          </w:divBdr>
          <w:divsChild>
            <w:div w:id="368192521">
              <w:marLeft w:val="0"/>
              <w:marRight w:val="0"/>
              <w:marTop w:val="0"/>
              <w:marBottom w:val="0"/>
              <w:divBdr>
                <w:top w:val="none" w:sz="0" w:space="0" w:color="auto"/>
                <w:left w:val="none" w:sz="0" w:space="0" w:color="auto"/>
                <w:bottom w:val="none" w:sz="0" w:space="0" w:color="auto"/>
                <w:right w:val="none" w:sz="0" w:space="0" w:color="auto"/>
              </w:divBdr>
            </w:div>
          </w:divsChild>
        </w:div>
        <w:div w:id="1564103067">
          <w:marLeft w:val="0"/>
          <w:marRight w:val="0"/>
          <w:marTop w:val="0"/>
          <w:marBottom w:val="0"/>
          <w:divBdr>
            <w:top w:val="none" w:sz="0" w:space="0" w:color="auto"/>
            <w:left w:val="none" w:sz="0" w:space="0" w:color="auto"/>
            <w:bottom w:val="none" w:sz="0" w:space="0" w:color="auto"/>
            <w:right w:val="none" w:sz="0" w:space="0" w:color="auto"/>
          </w:divBdr>
          <w:divsChild>
            <w:div w:id="1823883071">
              <w:marLeft w:val="0"/>
              <w:marRight w:val="0"/>
              <w:marTop w:val="0"/>
              <w:marBottom w:val="0"/>
              <w:divBdr>
                <w:top w:val="none" w:sz="0" w:space="0" w:color="auto"/>
                <w:left w:val="none" w:sz="0" w:space="0" w:color="auto"/>
                <w:bottom w:val="none" w:sz="0" w:space="0" w:color="auto"/>
                <w:right w:val="none" w:sz="0" w:space="0" w:color="auto"/>
              </w:divBdr>
            </w:div>
          </w:divsChild>
        </w:div>
        <w:div w:id="1582447078">
          <w:marLeft w:val="0"/>
          <w:marRight w:val="0"/>
          <w:marTop w:val="0"/>
          <w:marBottom w:val="0"/>
          <w:divBdr>
            <w:top w:val="none" w:sz="0" w:space="0" w:color="auto"/>
            <w:left w:val="none" w:sz="0" w:space="0" w:color="auto"/>
            <w:bottom w:val="none" w:sz="0" w:space="0" w:color="auto"/>
            <w:right w:val="none" w:sz="0" w:space="0" w:color="auto"/>
          </w:divBdr>
          <w:divsChild>
            <w:div w:id="1022436811">
              <w:marLeft w:val="0"/>
              <w:marRight w:val="0"/>
              <w:marTop w:val="0"/>
              <w:marBottom w:val="0"/>
              <w:divBdr>
                <w:top w:val="none" w:sz="0" w:space="0" w:color="auto"/>
                <w:left w:val="none" w:sz="0" w:space="0" w:color="auto"/>
                <w:bottom w:val="none" w:sz="0" w:space="0" w:color="auto"/>
                <w:right w:val="none" w:sz="0" w:space="0" w:color="auto"/>
              </w:divBdr>
            </w:div>
          </w:divsChild>
        </w:div>
        <w:div w:id="1598368588">
          <w:marLeft w:val="0"/>
          <w:marRight w:val="0"/>
          <w:marTop w:val="0"/>
          <w:marBottom w:val="0"/>
          <w:divBdr>
            <w:top w:val="none" w:sz="0" w:space="0" w:color="auto"/>
            <w:left w:val="none" w:sz="0" w:space="0" w:color="auto"/>
            <w:bottom w:val="none" w:sz="0" w:space="0" w:color="auto"/>
            <w:right w:val="none" w:sz="0" w:space="0" w:color="auto"/>
          </w:divBdr>
          <w:divsChild>
            <w:div w:id="923414343">
              <w:marLeft w:val="0"/>
              <w:marRight w:val="0"/>
              <w:marTop w:val="0"/>
              <w:marBottom w:val="0"/>
              <w:divBdr>
                <w:top w:val="none" w:sz="0" w:space="0" w:color="auto"/>
                <w:left w:val="none" w:sz="0" w:space="0" w:color="auto"/>
                <w:bottom w:val="none" w:sz="0" w:space="0" w:color="auto"/>
                <w:right w:val="none" w:sz="0" w:space="0" w:color="auto"/>
              </w:divBdr>
            </w:div>
          </w:divsChild>
        </w:div>
        <w:div w:id="1642928836">
          <w:marLeft w:val="0"/>
          <w:marRight w:val="0"/>
          <w:marTop w:val="0"/>
          <w:marBottom w:val="0"/>
          <w:divBdr>
            <w:top w:val="none" w:sz="0" w:space="0" w:color="auto"/>
            <w:left w:val="none" w:sz="0" w:space="0" w:color="auto"/>
            <w:bottom w:val="none" w:sz="0" w:space="0" w:color="auto"/>
            <w:right w:val="none" w:sz="0" w:space="0" w:color="auto"/>
          </w:divBdr>
          <w:divsChild>
            <w:div w:id="403991248">
              <w:marLeft w:val="0"/>
              <w:marRight w:val="0"/>
              <w:marTop w:val="0"/>
              <w:marBottom w:val="0"/>
              <w:divBdr>
                <w:top w:val="none" w:sz="0" w:space="0" w:color="auto"/>
                <w:left w:val="none" w:sz="0" w:space="0" w:color="auto"/>
                <w:bottom w:val="none" w:sz="0" w:space="0" w:color="auto"/>
                <w:right w:val="none" w:sz="0" w:space="0" w:color="auto"/>
              </w:divBdr>
            </w:div>
          </w:divsChild>
        </w:div>
        <w:div w:id="1646811173">
          <w:marLeft w:val="0"/>
          <w:marRight w:val="0"/>
          <w:marTop w:val="0"/>
          <w:marBottom w:val="0"/>
          <w:divBdr>
            <w:top w:val="none" w:sz="0" w:space="0" w:color="auto"/>
            <w:left w:val="none" w:sz="0" w:space="0" w:color="auto"/>
            <w:bottom w:val="none" w:sz="0" w:space="0" w:color="auto"/>
            <w:right w:val="none" w:sz="0" w:space="0" w:color="auto"/>
          </w:divBdr>
          <w:divsChild>
            <w:div w:id="719521511">
              <w:marLeft w:val="0"/>
              <w:marRight w:val="0"/>
              <w:marTop w:val="0"/>
              <w:marBottom w:val="0"/>
              <w:divBdr>
                <w:top w:val="none" w:sz="0" w:space="0" w:color="auto"/>
                <w:left w:val="none" w:sz="0" w:space="0" w:color="auto"/>
                <w:bottom w:val="none" w:sz="0" w:space="0" w:color="auto"/>
                <w:right w:val="none" w:sz="0" w:space="0" w:color="auto"/>
              </w:divBdr>
            </w:div>
          </w:divsChild>
        </w:div>
        <w:div w:id="1656295865">
          <w:marLeft w:val="0"/>
          <w:marRight w:val="0"/>
          <w:marTop w:val="0"/>
          <w:marBottom w:val="0"/>
          <w:divBdr>
            <w:top w:val="none" w:sz="0" w:space="0" w:color="auto"/>
            <w:left w:val="none" w:sz="0" w:space="0" w:color="auto"/>
            <w:bottom w:val="none" w:sz="0" w:space="0" w:color="auto"/>
            <w:right w:val="none" w:sz="0" w:space="0" w:color="auto"/>
          </w:divBdr>
          <w:divsChild>
            <w:div w:id="935594491">
              <w:marLeft w:val="0"/>
              <w:marRight w:val="0"/>
              <w:marTop w:val="0"/>
              <w:marBottom w:val="0"/>
              <w:divBdr>
                <w:top w:val="none" w:sz="0" w:space="0" w:color="auto"/>
                <w:left w:val="none" w:sz="0" w:space="0" w:color="auto"/>
                <w:bottom w:val="none" w:sz="0" w:space="0" w:color="auto"/>
                <w:right w:val="none" w:sz="0" w:space="0" w:color="auto"/>
              </w:divBdr>
            </w:div>
          </w:divsChild>
        </w:div>
        <w:div w:id="1660838810">
          <w:marLeft w:val="0"/>
          <w:marRight w:val="0"/>
          <w:marTop w:val="0"/>
          <w:marBottom w:val="0"/>
          <w:divBdr>
            <w:top w:val="none" w:sz="0" w:space="0" w:color="auto"/>
            <w:left w:val="none" w:sz="0" w:space="0" w:color="auto"/>
            <w:bottom w:val="none" w:sz="0" w:space="0" w:color="auto"/>
            <w:right w:val="none" w:sz="0" w:space="0" w:color="auto"/>
          </w:divBdr>
          <w:divsChild>
            <w:div w:id="952247675">
              <w:marLeft w:val="0"/>
              <w:marRight w:val="0"/>
              <w:marTop w:val="0"/>
              <w:marBottom w:val="0"/>
              <w:divBdr>
                <w:top w:val="none" w:sz="0" w:space="0" w:color="auto"/>
                <w:left w:val="none" w:sz="0" w:space="0" w:color="auto"/>
                <w:bottom w:val="none" w:sz="0" w:space="0" w:color="auto"/>
                <w:right w:val="none" w:sz="0" w:space="0" w:color="auto"/>
              </w:divBdr>
            </w:div>
          </w:divsChild>
        </w:div>
        <w:div w:id="1683193319">
          <w:marLeft w:val="0"/>
          <w:marRight w:val="0"/>
          <w:marTop w:val="0"/>
          <w:marBottom w:val="0"/>
          <w:divBdr>
            <w:top w:val="none" w:sz="0" w:space="0" w:color="auto"/>
            <w:left w:val="none" w:sz="0" w:space="0" w:color="auto"/>
            <w:bottom w:val="none" w:sz="0" w:space="0" w:color="auto"/>
            <w:right w:val="none" w:sz="0" w:space="0" w:color="auto"/>
          </w:divBdr>
          <w:divsChild>
            <w:div w:id="1668173068">
              <w:marLeft w:val="0"/>
              <w:marRight w:val="0"/>
              <w:marTop w:val="0"/>
              <w:marBottom w:val="0"/>
              <w:divBdr>
                <w:top w:val="none" w:sz="0" w:space="0" w:color="auto"/>
                <w:left w:val="none" w:sz="0" w:space="0" w:color="auto"/>
                <w:bottom w:val="none" w:sz="0" w:space="0" w:color="auto"/>
                <w:right w:val="none" w:sz="0" w:space="0" w:color="auto"/>
              </w:divBdr>
            </w:div>
          </w:divsChild>
        </w:div>
        <w:div w:id="1687749619">
          <w:marLeft w:val="0"/>
          <w:marRight w:val="0"/>
          <w:marTop w:val="0"/>
          <w:marBottom w:val="0"/>
          <w:divBdr>
            <w:top w:val="none" w:sz="0" w:space="0" w:color="auto"/>
            <w:left w:val="none" w:sz="0" w:space="0" w:color="auto"/>
            <w:bottom w:val="none" w:sz="0" w:space="0" w:color="auto"/>
            <w:right w:val="none" w:sz="0" w:space="0" w:color="auto"/>
          </w:divBdr>
          <w:divsChild>
            <w:div w:id="505249450">
              <w:marLeft w:val="0"/>
              <w:marRight w:val="0"/>
              <w:marTop w:val="0"/>
              <w:marBottom w:val="0"/>
              <w:divBdr>
                <w:top w:val="none" w:sz="0" w:space="0" w:color="auto"/>
                <w:left w:val="none" w:sz="0" w:space="0" w:color="auto"/>
                <w:bottom w:val="none" w:sz="0" w:space="0" w:color="auto"/>
                <w:right w:val="none" w:sz="0" w:space="0" w:color="auto"/>
              </w:divBdr>
            </w:div>
          </w:divsChild>
        </w:div>
        <w:div w:id="1691299221">
          <w:marLeft w:val="0"/>
          <w:marRight w:val="0"/>
          <w:marTop w:val="0"/>
          <w:marBottom w:val="0"/>
          <w:divBdr>
            <w:top w:val="none" w:sz="0" w:space="0" w:color="auto"/>
            <w:left w:val="none" w:sz="0" w:space="0" w:color="auto"/>
            <w:bottom w:val="none" w:sz="0" w:space="0" w:color="auto"/>
            <w:right w:val="none" w:sz="0" w:space="0" w:color="auto"/>
          </w:divBdr>
          <w:divsChild>
            <w:div w:id="795832090">
              <w:marLeft w:val="0"/>
              <w:marRight w:val="0"/>
              <w:marTop w:val="0"/>
              <w:marBottom w:val="0"/>
              <w:divBdr>
                <w:top w:val="none" w:sz="0" w:space="0" w:color="auto"/>
                <w:left w:val="none" w:sz="0" w:space="0" w:color="auto"/>
                <w:bottom w:val="none" w:sz="0" w:space="0" w:color="auto"/>
                <w:right w:val="none" w:sz="0" w:space="0" w:color="auto"/>
              </w:divBdr>
            </w:div>
          </w:divsChild>
        </w:div>
        <w:div w:id="1771244748">
          <w:marLeft w:val="0"/>
          <w:marRight w:val="0"/>
          <w:marTop w:val="0"/>
          <w:marBottom w:val="0"/>
          <w:divBdr>
            <w:top w:val="none" w:sz="0" w:space="0" w:color="auto"/>
            <w:left w:val="none" w:sz="0" w:space="0" w:color="auto"/>
            <w:bottom w:val="none" w:sz="0" w:space="0" w:color="auto"/>
            <w:right w:val="none" w:sz="0" w:space="0" w:color="auto"/>
          </w:divBdr>
          <w:divsChild>
            <w:div w:id="894656605">
              <w:marLeft w:val="0"/>
              <w:marRight w:val="0"/>
              <w:marTop w:val="0"/>
              <w:marBottom w:val="0"/>
              <w:divBdr>
                <w:top w:val="none" w:sz="0" w:space="0" w:color="auto"/>
                <w:left w:val="none" w:sz="0" w:space="0" w:color="auto"/>
                <w:bottom w:val="none" w:sz="0" w:space="0" w:color="auto"/>
                <w:right w:val="none" w:sz="0" w:space="0" w:color="auto"/>
              </w:divBdr>
            </w:div>
          </w:divsChild>
        </w:div>
        <w:div w:id="1772386093">
          <w:marLeft w:val="0"/>
          <w:marRight w:val="0"/>
          <w:marTop w:val="0"/>
          <w:marBottom w:val="0"/>
          <w:divBdr>
            <w:top w:val="none" w:sz="0" w:space="0" w:color="auto"/>
            <w:left w:val="none" w:sz="0" w:space="0" w:color="auto"/>
            <w:bottom w:val="none" w:sz="0" w:space="0" w:color="auto"/>
            <w:right w:val="none" w:sz="0" w:space="0" w:color="auto"/>
          </w:divBdr>
          <w:divsChild>
            <w:div w:id="484854822">
              <w:marLeft w:val="0"/>
              <w:marRight w:val="0"/>
              <w:marTop w:val="0"/>
              <w:marBottom w:val="0"/>
              <w:divBdr>
                <w:top w:val="none" w:sz="0" w:space="0" w:color="auto"/>
                <w:left w:val="none" w:sz="0" w:space="0" w:color="auto"/>
                <w:bottom w:val="none" w:sz="0" w:space="0" w:color="auto"/>
                <w:right w:val="none" w:sz="0" w:space="0" w:color="auto"/>
              </w:divBdr>
            </w:div>
          </w:divsChild>
        </w:div>
        <w:div w:id="1877696356">
          <w:marLeft w:val="0"/>
          <w:marRight w:val="0"/>
          <w:marTop w:val="0"/>
          <w:marBottom w:val="0"/>
          <w:divBdr>
            <w:top w:val="none" w:sz="0" w:space="0" w:color="auto"/>
            <w:left w:val="none" w:sz="0" w:space="0" w:color="auto"/>
            <w:bottom w:val="none" w:sz="0" w:space="0" w:color="auto"/>
            <w:right w:val="none" w:sz="0" w:space="0" w:color="auto"/>
          </w:divBdr>
          <w:divsChild>
            <w:div w:id="908465837">
              <w:marLeft w:val="0"/>
              <w:marRight w:val="0"/>
              <w:marTop w:val="0"/>
              <w:marBottom w:val="0"/>
              <w:divBdr>
                <w:top w:val="none" w:sz="0" w:space="0" w:color="auto"/>
                <w:left w:val="none" w:sz="0" w:space="0" w:color="auto"/>
                <w:bottom w:val="none" w:sz="0" w:space="0" w:color="auto"/>
                <w:right w:val="none" w:sz="0" w:space="0" w:color="auto"/>
              </w:divBdr>
            </w:div>
          </w:divsChild>
        </w:div>
        <w:div w:id="1920675416">
          <w:marLeft w:val="0"/>
          <w:marRight w:val="0"/>
          <w:marTop w:val="0"/>
          <w:marBottom w:val="0"/>
          <w:divBdr>
            <w:top w:val="none" w:sz="0" w:space="0" w:color="auto"/>
            <w:left w:val="none" w:sz="0" w:space="0" w:color="auto"/>
            <w:bottom w:val="none" w:sz="0" w:space="0" w:color="auto"/>
            <w:right w:val="none" w:sz="0" w:space="0" w:color="auto"/>
          </w:divBdr>
          <w:divsChild>
            <w:div w:id="1647009655">
              <w:marLeft w:val="0"/>
              <w:marRight w:val="0"/>
              <w:marTop w:val="0"/>
              <w:marBottom w:val="0"/>
              <w:divBdr>
                <w:top w:val="none" w:sz="0" w:space="0" w:color="auto"/>
                <w:left w:val="none" w:sz="0" w:space="0" w:color="auto"/>
                <w:bottom w:val="none" w:sz="0" w:space="0" w:color="auto"/>
                <w:right w:val="none" w:sz="0" w:space="0" w:color="auto"/>
              </w:divBdr>
            </w:div>
          </w:divsChild>
        </w:div>
        <w:div w:id="1930893714">
          <w:marLeft w:val="0"/>
          <w:marRight w:val="0"/>
          <w:marTop w:val="0"/>
          <w:marBottom w:val="0"/>
          <w:divBdr>
            <w:top w:val="none" w:sz="0" w:space="0" w:color="auto"/>
            <w:left w:val="none" w:sz="0" w:space="0" w:color="auto"/>
            <w:bottom w:val="none" w:sz="0" w:space="0" w:color="auto"/>
            <w:right w:val="none" w:sz="0" w:space="0" w:color="auto"/>
          </w:divBdr>
          <w:divsChild>
            <w:div w:id="136605036">
              <w:marLeft w:val="0"/>
              <w:marRight w:val="0"/>
              <w:marTop w:val="0"/>
              <w:marBottom w:val="0"/>
              <w:divBdr>
                <w:top w:val="none" w:sz="0" w:space="0" w:color="auto"/>
                <w:left w:val="none" w:sz="0" w:space="0" w:color="auto"/>
                <w:bottom w:val="none" w:sz="0" w:space="0" w:color="auto"/>
                <w:right w:val="none" w:sz="0" w:space="0" w:color="auto"/>
              </w:divBdr>
            </w:div>
          </w:divsChild>
        </w:div>
        <w:div w:id="1937639898">
          <w:marLeft w:val="0"/>
          <w:marRight w:val="0"/>
          <w:marTop w:val="0"/>
          <w:marBottom w:val="0"/>
          <w:divBdr>
            <w:top w:val="none" w:sz="0" w:space="0" w:color="auto"/>
            <w:left w:val="none" w:sz="0" w:space="0" w:color="auto"/>
            <w:bottom w:val="none" w:sz="0" w:space="0" w:color="auto"/>
            <w:right w:val="none" w:sz="0" w:space="0" w:color="auto"/>
          </w:divBdr>
          <w:divsChild>
            <w:div w:id="503714717">
              <w:marLeft w:val="0"/>
              <w:marRight w:val="0"/>
              <w:marTop w:val="0"/>
              <w:marBottom w:val="0"/>
              <w:divBdr>
                <w:top w:val="none" w:sz="0" w:space="0" w:color="auto"/>
                <w:left w:val="none" w:sz="0" w:space="0" w:color="auto"/>
                <w:bottom w:val="none" w:sz="0" w:space="0" w:color="auto"/>
                <w:right w:val="none" w:sz="0" w:space="0" w:color="auto"/>
              </w:divBdr>
            </w:div>
          </w:divsChild>
        </w:div>
        <w:div w:id="1979458006">
          <w:marLeft w:val="0"/>
          <w:marRight w:val="0"/>
          <w:marTop w:val="0"/>
          <w:marBottom w:val="0"/>
          <w:divBdr>
            <w:top w:val="none" w:sz="0" w:space="0" w:color="auto"/>
            <w:left w:val="none" w:sz="0" w:space="0" w:color="auto"/>
            <w:bottom w:val="none" w:sz="0" w:space="0" w:color="auto"/>
            <w:right w:val="none" w:sz="0" w:space="0" w:color="auto"/>
          </w:divBdr>
          <w:divsChild>
            <w:div w:id="690644982">
              <w:marLeft w:val="0"/>
              <w:marRight w:val="0"/>
              <w:marTop w:val="0"/>
              <w:marBottom w:val="0"/>
              <w:divBdr>
                <w:top w:val="none" w:sz="0" w:space="0" w:color="auto"/>
                <w:left w:val="none" w:sz="0" w:space="0" w:color="auto"/>
                <w:bottom w:val="none" w:sz="0" w:space="0" w:color="auto"/>
                <w:right w:val="none" w:sz="0" w:space="0" w:color="auto"/>
              </w:divBdr>
            </w:div>
          </w:divsChild>
        </w:div>
        <w:div w:id="1988974473">
          <w:marLeft w:val="0"/>
          <w:marRight w:val="0"/>
          <w:marTop w:val="0"/>
          <w:marBottom w:val="0"/>
          <w:divBdr>
            <w:top w:val="none" w:sz="0" w:space="0" w:color="auto"/>
            <w:left w:val="none" w:sz="0" w:space="0" w:color="auto"/>
            <w:bottom w:val="none" w:sz="0" w:space="0" w:color="auto"/>
            <w:right w:val="none" w:sz="0" w:space="0" w:color="auto"/>
          </w:divBdr>
          <w:divsChild>
            <w:div w:id="1320227561">
              <w:marLeft w:val="0"/>
              <w:marRight w:val="0"/>
              <w:marTop w:val="0"/>
              <w:marBottom w:val="0"/>
              <w:divBdr>
                <w:top w:val="none" w:sz="0" w:space="0" w:color="auto"/>
                <w:left w:val="none" w:sz="0" w:space="0" w:color="auto"/>
                <w:bottom w:val="none" w:sz="0" w:space="0" w:color="auto"/>
                <w:right w:val="none" w:sz="0" w:space="0" w:color="auto"/>
              </w:divBdr>
            </w:div>
          </w:divsChild>
        </w:div>
        <w:div w:id="1997950657">
          <w:marLeft w:val="0"/>
          <w:marRight w:val="0"/>
          <w:marTop w:val="0"/>
          <w:marBottom w:val="0"/>
          <w:divBdr>
            <w:top w:val="none" w:sz="0" w:space="0" w:color="auto"/>
            <w:left w:val="none" w:sz="0" w:space="0" w:color="auto"/>
            <w:bottom w:val="none" w:sz="0" w:space="0" w:color="auto"/>
            <w:right w:val="none" w:sz="0" w:space="0" w:color="auto"/>
          </w:divBdr>
          <w:divsChild>
            <w:div w:id="1161046355">
              <w:marLeft w:val="0"/>
              <w:marRight w:val="0"/>
              <w:marTop w:val="0"/>
              <w:marBottom w:val="0"/>
              <w:divBdr>
                <w:top w:val="none" w:sz="0" w:space="0" w:color="auto"/>
                <w:left w:val="none" w:sz="0" w:space="0" w:color="auto"/>
                <w:bottom w:val="none" w:sz="0" w:space="0" w:color="auto"/>
                <w:right w:val="none" w:sz="0" w:space="0" w:color="auto"/>
              </w:divBdr>
            </w:div>
          </w:divsChild>
        </w:div>
        <w:div w:id="2014256253">
          <w:marLeft w:val="0"/>
          <w:marRight w:val="0"/>
          <w:marTop w:val="0"/>
          <w:marBottom w:val="0"/>
          <w:divBdr>
            <w:top w:val="none" w:sz="0" w:space="0" w:color="auto"/>
            <w:left w:val="none" w:sz="0" w:space="0" w:color="auto"/>
            <w:bottom w:val="none" w:sz="0" w:space="0" w:color="auto"/>
            <w:right w:val="none" w:sz="0" w:space="0" w:color="auto"/>
          </w:divBdr>
          <w:divsChild>
            <w:div w:id="672420329">
              <w:marLeft w:val="0"/>
              <w:marRight w:val="0"/>
              <w:marTop w:val="0"/>
              <w:marBottom w:val="0"/>
              <w:divBdr>
                <w:top w:val="none" w:sz="0" w:space="0" w:color="auto"/>
                <w:left w:val="none" w:sz="0" w:space="0" w:color="auto"/>
                <w:bottom w:val="none" w:sz="0" w:space="0" w:color="auto"/>
                <w:right w:val="none" w:sz="0" w:space="0" w:color="auto"/>
              </w:divBdr>
            </w:div>
          </w:divsChild>
        </w:div>
        <w:div w:id="2035183838">
          <w:marLeft w:val="0"/>
          <w:marRight w:val="0"/>
          <w:marTop w:val="0"/>
          <w:marBottom w:val="0"/>
          <w:divBdr>
            <w:top w:val="none" w:sz="0" w:space="0" w:color="auto"/>
            <w:left w:val="none" w:sz="0" w:space="0" w:color="auto"/>
            <w:bottom w:val="none" w:sz="0" w:space="0" w:color="auto"/>
            <w:right w:val="none" w:sz="0" w:space="0" w:color="auto"/>
          </w:divBdr>
          <w:divsChild>
            <w:div w:id="1395473235">
              <w:marLeft w:val="0"/>
              <w:marRight w:val="0"/>
              <w:marTop w:val="0"/>
              <w:marBottom w:val="0"/>
              <w:divBdr>
                <w:top w:val="none" w:sz="0" w:space="0" w:color="auto"/>
                <w:left w:val="none" w:sz="0" w:space="0" w:color="auto"/>
                <w:bottom w:val="none" w:sz="0" w:space="0" w:color="auto"/>
                <w:right w:val="none" w:sz="0" w:space="0" w:color="auto"/>
              </w:divBdr>
            </w:div>
          </w:divsChild>
        </w:div>
        <w:div w:id="2042438339">
          <w:marLeft w:val="0"/>
          <w:marRight w:val="0"/>
          <w:marTop w:val="0"/>
          <w:marBottom w:val="0"/>
          <w:divBdr>
            <w:top w:val="none" w:sz="0" w:space="0" w:color="auto"/>
            <w:left w:val="none" w:sz="0" w:space="0" w:color="auto"/>
            <w:bottom w:val="none" w:sz="0" w:space="0" w:color="auto"/>
            <w:right w:val="none" w:sz="0" w:space="0" w:color="auto"/>
          </w:divBdr>
          <w:divsChild>
            <w:div w:id="1335381995">
              <w:marLeft w:val="0"/>
              <w:marRight w:val="0"/>
              <w:marTop w:val="0"/>
              <w:marBottom w:val="0"/>
              <w:divBdr>
                <w:top w:val="none" w:sz="0" w:space="0" w:color="auto"/>
                <w:left w:val="none" w:sz="0" w:space="0" w:color="auto"/>
                <w:bottom w:val="none" w:sz="0" w:space="0" w:color="auto"/>
                <w:right w:val="none" w:sz="0" w:space="0" w:color="auto"/>
              </w:divBdr>
            </w:div>
          </w:divsChild>
        </w:div>
        <w:div w:id="2062899313">
          <w:marLeft w:val="0"/>
          <w:marRight w:val="0"/>
          <w:marTop w:val="0"/>
          <w:marBottom w:val="0"/>
          <w:divBdr>
            <w:top w:val="none" w:sz="0" w:space="0" w:color="auto"/>
            <w:left w:val="none" w:sz="0" w:space="0" w:color="auto"/>
            <w:bottom w:val="none" w:sz="0" w:space="0" w:color="auto"/>
            <w:right w:val="none" w:sz="0" w:space="0" w:color="auto"/>
          </w:divBdr>
          <w:divsChild>
            <w:div w:id="1836527486">
              <w:marLeft w:val="0"/>
              <w:marRight w:val="0"/>
              <w:marTop w:val="0"/>
              <w:marBottom w:val="0"/>
              <w:divBdr>
                <w:top w:val="none" w:sz="0" w:space="0" w:color="auto"/>
                <w:left w:val="none" w:sz="0" w:space="0" w:color="auto"/>
                <w:bottom w:val="none" w:sz="0" w:space="0" w:color="auto"/>
                <w:right w:val="none" w:sz="0" w:space="0" w:color="auto"/>
              </w:divBdr>
            </w:div>
          </w:divsChild>
        </w:div>
        <w:div w:id="2096658672">
          <w:marLeft w:val="0"/>
          <w:marRight w:val="0"/>
          <w:marTop w:val="0"/>
          <w:marBottom w:val="0"/>
          <w:divBdr>
            <w:top w:val="none" w:sz="0" w:space="0" w:color="auto"/>
            <w:left w:val="none" w:sz="0" w:space="0" w:color="auto"/>
            <w:bottom w:val="none" w:sz="0" w:space="0" w:color="auto"/>
            <w:right w:val="none" w:sz="0" w:space="0" w:color="auto"/>
          </w:divBdr>
          <w:divsChild>
            <w:div w:id="1679890787">
              <w:marLeft w:val="0"/>
              <w:marRight w:val="0"/>
              <w:marTop w:val="0"/>
              <w:marBottom w:val="0"/>
              <w:divBdr>
                <w:top w:val="none" w:sz="0" w:space="0" w:color="auto"/>
                <w:left w:val="none" w:sz="0" w:space="0" w:color="auto"/>
                <w:bottom w:val="none" w:sz="0" w:space="0" w:color="auto"/>
                <w:right w:val="none" w:sz="0" w:space="0" w:color="auto"/>
              </w:divBdr>
            </w:div>
          </w:divsChild>
        </w:div>
        <w:div w:id="2109694493">
          <w:marLeft w:val="0"/>
          <w:marRight w:val="0"/>
          <w:marTop w:val="0"/>
          <w:marBottom w:val="0"/>
          <w:divBdr>
            <w:top w:val="none" w:sz="0" w:space="0" w:color="auto"/>
            <w:left w:val="none" w:sz="0" w:space="0" w:color="auto"/>
            <w:bottom w:val="none" w:sz="0" w:space="0" w:color="auto"/>
            <w:right w:val="none" w:sz="0" w:space="0" w:color="auto"/>
          </w:divBdr>
          <w:divsChild>
            <w:div w:id="1745686936">
              <w:marLeft w:val="0"/>
              <w:marRight w:val="0"/>
              <w:marTop w:val="0"/>
              <w:marBottom w:val="0"/>
              <w:divBdr>
                <w:top w:val="none" w:sz="0" w:space="0" w:color="auto"/>
                <w:left w:val="none" w:sz="0" w:space="0" w:color="auto"/>
                <w:bottom w:val="none" w:sz="0" w:space="0" w:color="auto"/>
                <w:right w:val="none" w:sz="0" w:space="0" w:color="auto"/>
              </w:divBdr>
            </w:div>
          </w:divsChild>
        </w:div>
        <w:div w:id="2114401568">
          <w:marLeft w:val="0"/>
          <w:marRight w:val="0"/>
          <w:marTop w:val="0"/>
          <w:marBottom w:val="0"/>
          <w:divBdr>
            <w:top w:val="none" w:sz="0" w:space="0" w:color="auto"/>
            <w:left w:val="none" w:sz="0" w:space="0" w:color="auto"/>
            <w:bottom w:val="none" w:sz="0" w:space="0" w:color="auto"/>
            <w:right w:val="none" w:sz="0" w:space="0" w:color="auto"/>
          </w:divBdr>
          <w:divsChild>
            <w:div w:id="1501698009">
              <w:marLeft w:val="0"/>
              <w:marRight w:val="0"/>
              <w:marTop w:val="0"/>
              <w:marBottom w:val="0"/>
              <w:divBdr>
                <w:top w:val="none" w:sz="0" w:space="0" w:color="auto"/>
                <w:left w:val="none" w:sz="0" w:space="0" w:color="auto"/>
                <w:bottom w:val="none" w:sz="0" w:space="0" w:color="auto"/>
                <w:right w:val="none" w:sz="0" w:space="0" w:color="auto"/>
              </w:divBdr>
            </w:div>
          </w:divsChild>
        </w:div>
        <w:div w:id="2123914658">
          <w:marLeft w:val="0"/>
          <w:marRight w:val="0"/>
          <w:marTop w:val="0"/>
          <w:marBottom w:val="0"/>
          <w:divBdr>
            <w:top w:val="none" w:sz="0" w:space="0" w:color="auto"/>
            <w:left w:val="none" w:sz="0" w:space="0" w:color="auto"/>
            <w:bottom w:val="none" w:sz="0" w:space="0" w:color="auto"/>
            <w:right w:val="none" w:sz="0" w:space="0" w:color="auto"/>
          </w:divBdr>
          <w:divsChild>
            <w:div w:id="1298225315">
              <w:marLeft w:val="0"/>
              <w:marRight w:val="0"/>
              <w:marTop w:val="0"/>
              <w:marBottom w:val="0"/>
              <w:divBdr>
                <w:top w:val="none" w:sz="0" w:space="0" w:color="auto"/>
                <w:left w:val="none" w:sz="0" w:space="0" w:color="auto"/>
                <w:bottom w:val="none" w:sz="0" w:space="0" w:color="auto"/>
                <w:right w:val="none" w:sz="0" w:space="0" w:color="auto"/>
              </w:divBdr>
            </w:div>
          </w:divsChild>
        </w:div>
        <w:div w:id="2125076250">
          <w:marLeft w:val="0"/>
          <w:marRight w:val="0"/>
          <w:marTop w:val="0"/>
          <w:marBottom w:val="0"/>
          <w:divBdr>
            <w:top w:val="none" w:sz="0" w:space="0" w:color="auto"/>
            <w:left w:val="none" w:sz="0" w:space="0" w:color="auto"/>
            <w:bottom w:val="none" w:sz="0" w:space="0" w:color="auto"/>
            <w:right w:val="none" w:sz="0" w:space="0" w:color="auto"/>
          </w:divBdr>
          <w:divsChild>
            <w:div w:id="1402171430">
              <w:marLeft w:val="0"/>
              <w:marRight w:val="0"/>
              <w:marTop w:val="0"/>
              <w:marBottom w:val="0"/>
              <w:divBdr>
                <w:top w:val="none" w:sz="0" w:space="0" w:color="auto"/>
                <w:left w:val="none" w:sz="0" w:space="0" w:color="auto"/>
                <w:bottom w:val="none" w:sz="0" w:space="0" w:color="auto"/>
                <w:right w:val="none" w:sz="0" w:space="0" w:color="auto"/>
              </w:divBdr>
            </w:div>
          </w:divsChild>
        </w:div>
        <w:div w:id="2129081984">
          <w:marLeft w:val="0"/>
          <w:marRight w:val="0"/>
          <w:marTop w:val="0"/>
          <w:marBottom w:val="0"/>
          <w:divBdr>
            <w:top w:val="none" w:sz="0" w:space="0" w:color="auto"/>
            <w:left w:val="none" w:sz="0" w:space="0" w:color="auto"/>
            <w:bottom w:val="none" w:sz="0" w:space="0" w:color="auto"/>
            <w:right w:val="none" w:sz="0" w:space="0" w:color="auto"/>
          </w:divBdr>
          <w:divsChild>
            <w:div w:id="9211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5334">
      <w:bodyDiv w:val="1"/>
      <w:marLeft w:val="0"/>
      <w:marRight w:val="0"/>
      <w:marTop w:val="0"/>
      <w:marBottom w:val="0"/>
      <w:divBdr>
        <w:top w:val="none" w:sz="0" w:space="0" w:color="auto"/>
        <w:left w:val="none" w:sz="0" w:space="0" w:color="auto"/>
        <w:bottom w:val="none" w:sz="0" w:space="0" w:color="auto"/>
        <w:right w:val="none" w:sz="0" w:space="0" w:color="auto"/>
      </w:divBdr>
    </w:div>
    <w:div w:id="624972452">
      <w:bodyDiv w:val="1"/>
      <w:marLeft w:val="0"/>
      <w:marRight w:val="0"/>
      <w:marTop w:val="0"/>
      <w:marBottom w:val="0"/>
      <w:divBdr>
        <w:top w:val="none" w:sz="0" w:space="0" w:color="auto"/>
        <w:left w:val="none" w:sz="0" w:space="0" w:color="auto"/>
        <w:bottom w:val="none" w:sz="0" w:space="0" w:color="auto"/>
        <w:right w:val="none" w:sz="0" w:space="0" w:color="auto"/>
      </w:divBdr>
      <w:divsChild>
        <w:div w:id="598173818">
          <w:marLeft w:val="0"/>
          <w:marRight w:val="0"/>
          <w:marTop w:val="0"/>
          <w:marBottom w:val="0"/>
          <w:divBdr>
            <w:top w:val="none" w:sz="0" w:space="0" w:color="auto"/>
            <w:left w:val="none" w:sz="0" w:space="0" w:color="auto"/>
            <w:bottom w:val="none" w:sz="0" w:space="0" w:color="auto"/>
            <w:right w:val="none" w:sz="0" w:space="0" w:color="auto"/>
          </w:divBdr>
        </w:div>
        <w:div w:id="796414372">
          <w:marLeft w:val="0"/>
          <w:marRight w:val="0"/>
          <w:marTop w:val="0"/>
          <w:marBottom w:val="0"/>
          <w:divBdr>
            <w:top w:val="none" w:sz="0" w:space="0" w:color="auto"/>
            <w:left w:val="none" w:sz="0" w:space="0" w:color="auto"/>
            <w:bottom w:val="none" w:sz="0" w:space="0" w:color="auto"/>
            <w:right w:val="none" w:sz="0" w:space="0" w:color="auto"/>
          </w:divBdr>
        </w:div>
        <w:div w:id="982853247">
          <w:marLeft w:val="0"/>
          <w:marRight w:val="0"/>
          <w:marTop w:val="0"/>
          <w:marBottom w:val="0"/>
          <w:divBdr>
            <w:top w:val="none" w:sz="0" w:space="0" w:color="auto"/>
            <w:left w:val="none" w:sz="0" w:space="0" w:color="auto"/>
            <w:bottom w:val="none" w:sz="0" w:space="0" w:color="auto"/>
            <w:right w:val="none" w:sz="0" w:space="0" w:color="auto"/>
          </w:divBdr>
        </w:div>
        <w:div w:id="1023357443">
          <w:marLeft w:val="0"/>
          <w:marRight w:val="0"/>
          <w:marTop w:val="0"/>
          <w:marBottom w:val="0"/>
          <w:divBdr>
            <w:top w:val="none" w:sz="0" w:space="0" w:color="auto"/>
            <w:left w:val="none" w:sz="0" w:space="0" w:color="auto"/>
            <w:bottom w:val="none" w:sz="0" w:space="0" w:color="auto"/>
            <w:right w:val="none" w:sz="0" w:space="0" w:color="auto"/>
          </w:divBdr>
        </w:div>
        <w:div w:id="1563373466">
          <w:marLeft w:val="0"/>
          <w:marRight w:val="0"/>
          <w:marTop w:val="0"/>
          <w:marBottom w:val="0"/>
          <w:divBdr>
            <w:top w:val="none" w:sz="0" w:space="0" w:color="auto"/>
            <w:left w:val="none" w:sz="0" w:space="0" w:color="auto"/>
            <w:bottom w:val="none" w:sz="0" w:space="0" w:color="auto"/>
            <w:right w:val="none" w:sz="0" w:space="0" w:color="auto"/>
          </w:divBdr>
        </w:div>
        <w:div w:id="1914656243">
          <w:marLeft w:val="0"/>
          <w:marRight w:val="0"/>
          <w:marTop w:val="0"/>
          <w:marBottom w:val="0"/>
          <w:divBdr>
            <w:top w:val="none" w:sz="0" w:space="0" w:color="auto"/>
            <w:left w:val="none" w:sz="0" w:space="0" w:color="auto"/>
            <w:bottom w:val="none" w:sz="0" w:space="0" w:color="auto"/>
            <w:right w:val="none" w:sz="0" w:space="0" w:color="auto"/>
          </w:divBdr>
        </w:div>
      </w:divsChild>
    </w:div>
    <w:div w:id="626736579">
      <w:bodyDiv w:val="1"/>
      <w:marLeft w:val="0"/>
      <w:marRight w:val="0"/>
      <w:marTop w:val="0"/>
      <w:marBottom w:val="0"/>
      <w:divBdr>
        <w:top w:val="none" w:sz="0" w:space="0" w:color="auto"/>
        <w:left w:val="none" w:sz="0" w:space="0" w:color="auto"/>
        <w:bottom w:val="none" w:sz="0" w:space="0" w:color="auto"/>
        <w:right w:val="none" w:sz="0" w:space="0" w:color="auto"/>
      </w:divBdr>
    </w:div>
    <w:div w:id="638607518">
      <w:bodyDiv w:val="1"/>
      <w:marLeft w:val="0"/>
      <w:marRight w:val="0"/>
      <w:marTop w:val="0"/>
      <w:marBottom w:val="0"/>
      <w:divBdr>
        <w:top w:val="none" w:sz="0" w:space="0" w:color="auto"/>
        <w:left w:val="none" w:sz="0" w:space="0" w:color="auto"/>
        <w:bottom w:val="none" w:sz="0" w:space="0" w:color="auto"/>
        <w:right w:val="none" w:sz="0" w:space="0" w:color="auto"/>
      </w:divBdr>
    </w:div>
    <w:div w:id="642999528">
      <w:bodyDiv w:val="1"/>
      <w:marLeft w:val="0"/>
      <w:marRight w:val="0"/>
      <w:marTop w:val="0"/>
      <w:marBottom w:val="0"/>
      <w:divBdr>
        <w:top w:val="none" w:sz="0" w:space="0" w:color="auto"/>
        <w:left w:val="none" w:sz="0" w:space="0" w:color="auto"/>
        <w:bottom w:val="none" w:sz="0" w:space="0" w:color="auto"/>
        <w:right w:val="none" w:sz="0" w:space="0" w:color="auto"/>
      </w:divBdr>
      <w:divsChild>
        <w:div w:id="1049769291">
          <w:marLeft w:val="0"/>
          <w:marRight w:val="0"/>
          <w:marTop w:val="0"/>
          <w:marBottom w:val="0"/>
          <w:divBdr>
            <w:top w:val="none" w:sz="0" w:space="0" w:color="auto"/>
            <w:left w:val="none" w:sz="0" w:space="0" w:color="auto"/>
            <w:bottom w:val="none" w:sz="0" w:space="0" w:color="auto"/>
            <w:right w:val="none" w:sz="0" w:space="0" w:color="auto"/>
          </w:divBdr>
          <w:divsChild>
            <w:div w:id="1990398659">
              <w:marLeft w:val="0"/>
              <w:marRight w:val="0"/>
              <w:marTop w:val="0"/>
              <w:marBottom w:val="0"/>
              <w:divBdr>
                <w:top w:val="none" w:sz="0" w:space="0" w:color="auto"/>
                <w:left w:val="none" w:sz="0" w:space="0" w:color="auto"/>
                <w:bottom w:val="none" w:sz="0" w:space="0" w:color="auto"/>
                <w:right w:val="none" w:sz="0" w:space="0" w:color="auto"/>
              </w:divBdr>
              <w:divsChild>
                <w:div w:id="290789724">
                  <w:marLeft w:val="0"/>
                  <w:marRight w:val="0"/>
                  <w:marTop w:val="0"/>
                  <w:marBottom w:val="0"/>
                  <w:divBdr>
                    <w:top w:val="none" w:sz="0" w:space="0" w:color="auto"/>
                    <w:left w:val="none" w:sz="0" w:space="0" w:color="auto"/>
                    <w:bottom w:val="none" w:sz="0" w:space="0" w:color="auto"/>
                    <w:right w:val="none" w:sz="0" w:space="0" w:color="auto"/>
                  </w:divBdr>
                  <w:divsChild>
                    <w:div w:id="1703631435">
                      <w:marLeft w:val="0"/>
                      <w:marRight w:val="0"/>
                      <w:marTop w:val="0"/>
                      <w:marBottom w:val="0"/>
                      <w:divBdr>
                        <w:top w:val="none" w:sz="0" w:space="0" w:color="auto"/>
                        <w:left w:val="none" w:sz="0" w:space="0" w:color="auto"/>
                        <w:bottom w:val="none" w:sz="0" w:space="0" w:color="auto"/>
                        <w:right w:val="none" w:sz="0" w:space="0" w:color="auto"/>
                      </w:divBdr>
                      <w:divsChild>
                        <w:div w:id="2132429511">
                          <w:marLeft w:val="0"/>
                          <w:marRight w:val="0"/>
                          <w:marTop w:val="0"/>
                          <w:marBottom w:val="0"/>
                          <w:divBdr>
                            <w:top w:val="none" w:sz="0" w:space="0" w:color="auto"/>
                            <w:left w:val="none" w:sz="0" w:space="0" w:color="auto"/>
                            <w:bottom w:val="none" w:sz="0" w:space="0" w:color="auto"/>
                            <w:right w:val="none" w:sz="0" w:space="0" w:color="auto"/>
                          </w:divBdr>
                          <w:divsChild>
                            <w:div w:id="14604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269735">
      <w:bodyDiv w:val="1"/>
      <w:marLeft w:val="0"/>
      <w:marRight w:val="0"/>
      <w:marTop w:val="0"/>
      <w:marBottom w:val="0"/>
      <w:divBdr>
        <w:top w:val="none" w:sz="0" w:space="0" w:color="auto"/>
        <w:left w:val="none" w:sz="0" w:space="0" w:color="auto"/>
        <w:bottom w:val="none" w:sz="0" w:space="0" w:color="auto"/>
        <w:right w:val="none" w:sz="0" w:space="0" w:color="auto"/>
      </w:divBdr>
    </w:div>
    <w:div w:id="704216324">
      <w:bodyDiv w:val="1"/>
      <w:marLeft w:val="0"/>
      <w:marRight w:val="0"/>
      <w:marTop w:val="0"/>
      <w:marBottom w:val="0"/>
      <w:divBdr>
        <w:top w:val="none" w:sz="0" w:space="0" w:color="auto"/>
        <w:left w:val="none" w:sz="0" w:space="0" w:color="auto"/>
        <w:bottom w:val="none" w:sz="0" w:space="0" w:color="auto"/>
        <w:right w:val="none" w:sz="0" w:space="0" w:color="auto"/>
      </w:divBdr>
      <w:divsChild>
        <w:div w:id="1351027564">
          <w:marLeft w:val="0"/>
          <w:marRight w:val="0"/>
          <w:marTop w:val="0"/>
          <w:marBottom w:val="0"/>
          <w:divBdr>
            <w:top w:val="none" w:sz="0" w:space="0" w:color="auto"/>
            <w:left w:val="none" w:sz="0" w:space="0" w:color="auto"/>
            <w:bottom w:val="none" w:sz="0" w:space="0" w:color="auto"/>
            <w:right w:val="none" w:sz="0" w:space="0" w:color="auto"/>
          </w:divBdr>
          <w:divsChild>
            <w:div w:id="589123441">
              <w:marLeft w:val="0"/>
              <w:marRight w:val="0"/>
              <w:marTop w:val="0"/>
              <w:marBottom w:val="0"/>
              <w:divBdr>
                <w:top w:val="none" w:sz="0" w:space="0" w:color="auto"/>
                <w:left w:val="none" w:sz="0" w:space="0" w:color="auto"/>
                <w:bottom w:val="none" w:sz="0" w:space="0" w:color="auto"/>
                <w:right w:val="none" w:sz="0" w:space="0" w:color="auto"/>
              </w:divBdr>
              <w:divsChild>
                <w:div w:id="1677343612">
                  <w:marLeft w:val="0"/>
                  <w:marRight w:val="0"/>
                  <w:marTop w:val="0"/>
                  <w:marBottom w:val="0"/>
                  <w:divBdr>
                    <w:top w:val="none" w:sz="0" w:space="0" w:color="auto"/>
                    <w:left w:val="none" w:sz="0" w:space="0" w:color="auto"/>
                    <w:bottom w:val="none" w:sz="0" w:space="0" w:color="auto"/>
                    <w:right w:val="none" w:sz="0" w:space="0" w:color="auto"/>
                  </w:divBdr>
                  <w:divsChild>
                    <w:div w:id="1790585474">
                      <w:marLeft w:val="0"/>
                      <w:marRight w:val="0"/>
                      <w:marTop w:val="0"/>
                      <w:marBottom w:val="0"/>
                      <w:divBdr>
                        <w:top w:val="none" w:sz="0" w:space="0" w:color="auto"/>
                        <w:left w:val="none" w:sz="0" w:space="0" w:color="auto"/>
                        <w:bottom w:val="none" w:sz="0" w:space="0" w:color="auto"/>
                        <w:right w:val="none" w:sz="0" w:space="0" w:color="auto"/>
                      </w:divBdr>
                      <w:divsChild>
                        <w:div w:id="1364332608">
                          <w:marLeft w:val="0"/>
                          <w:marRight w:val="0"/>
                          <w:marTop w:val="0"/>
                          <w:marBottom w:val="0"/>
                          <w:divBdr>
                            <w:top w:val="none" w:sz="0" w:space="0" w:color="auto"/>
                            <w:left w:val="none" w:sz="0" w:space="0" w:color="auto"/>
                            <w:bottom w:val="none" w:sz="0" w:space="0" w:color="auto"/>
                            <w:right w:val="none" w:sz="0" w:space="0" w:color="auto"/>
                          </w:divBdr>
                          <w:divsChild>
                            <w:div w:id="17014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064702">
      <w:bodyDiv w:val="1"/>
      <w:marLeft w:val="0"/>
      <w:marRight w:val="0"/>
      <w:marTop w:val="0"/>
      <w:marBottom w:val="0"/>
      <w:divBdr>
        <w:top w:val="none" w:sz="0" w:space="0" w:color="auto"/>
        <w:left w:val="none" w:sz="0" w:space="0" w:color="auto"/>
        <w:bottom w:val="none" w:sz="0" w:space="0" w:color="auto"/>
        <w:right w:val="none" w:sz="0" w:space="0" w:color="auto"/>
      </w:divBdr>
    </w:div>
    <w:div w:id="735083941">
      <w:bodyDiv w:val="1"/>
      <w:marLeft w:val="0"/>
      <w:marRight w:val="0"/>
      <w:marTop w:val="0"/>
      <w:marBottom w:val="0"/>
      <w:divBdr>
        <w:top w:val="none" w:sz="0" w:space="0" w:color="auto"/>
        <w:left w:val="none" w:sz="0" w:space="0" w:color="auto"/>
        <w:bottom w:val="none" w:sz="0" w:space="0" w:color="auto"/>
        <w:right w:val="none" w:sz="0" w:space="0" w:color="auto"/>
      </w:divBdr>
    </w:div>
    <w:div w:id="778992432">
      <w:bodyDiv w:val="1"/>
      <w:marLeft w:val="0"/>
      <w:marRight w:val="0"/>
      <w:marTop w:val="0"/>
      <w:marBottom w:val="0"/>
      <w:divBdr>
        <w:top w:val="none" w:sz="0" w:space="0" w:color="auto"/>
        <w:left w:val="none" w:sz="0" w:space="0" w:color="auto"/>
        <w:bottom w:val="none" w:sz="0" w:space="0" w:color="auto"/>
        <w:right w:val="none" w:sz="0" w:space="0" w:color="auto"/>
      </w:divBdr>
      <w:divsChild>
        <w:div w:id="12656128">
          <w:marLeft w:val="0"/>
          <w:marRight w:val="0"/>
          <w:marTop w:val="0"/>
          <w:marBottom w:val="0"/>
          <w:divBdr>
            <w:top w:val="none" w:sz="0" w:space="0" w:color="auto"/>
            <w:left w:val="none" w:sz="0" w:space="0" w:color="auto"/>
            <w:bottom w:val="none" w:sz="0" w:space="0" w:color="auto"/>
            <w:right w:val="none" w:sz="0" w:space="0" w:color="auto"/>
          </w:divBdr>
        </w:div>
        <w:div w:id="1901162004">
          <w:marLeft w:val="0"/>
          <w:marRight w:val="0"/>
          <w:marTop w:val="0"/>
          <w:marBottom w:val="0"/>
          <w:divBdr>
            <w:top w:val="none" w:sz="0" w:space="0" w:color="auto"/>
            <w:left w:val="none" w:sz="0" w:space="0" w:color="auto"/>
            <w:bottom w:val="none" w:sz="0" w:space="0" w:color="auto"/>
            <w:right w:val="none" w:sz="0" w:space="0" w:color="auto"/>
          </w:divBdr>
        </w:div>
      </w:divsChild>
    </w:div>
    <w:div w:id="815758932">
      <w:bodyDiv w:val="1"/>
      <w:marLeft w:val="0"/>
      <w:marRight w:val="0"/>
      <w:marTop w:val="0"/>
      <w:marBottom w:val="0"/>
      <w:divBdr>
        <w:top w:val="none" w:sz="0" w:space="0" w:color="auto"/>
        <w:left w:val="none" w:sz="0" w:space="0" w:color="auto"/>
        <w:bottom w:val="none" w:sz="0" w:space="0" w:color="auto"/>
        <w:right w:val="none" w:sz="0" w:space="0" w:color="auto"/>
      </w:divBdr>
    </w:div>
    <w:div w:id="815799889">
      <w:bodyDiv w:val="1"/>
      <w:marLeft w:val="0"/>
      <w:marRight w:val="0"/>
      <w:marTop w:val="0"/>
      <w:marBottom w:val="0"/>
      <w:divBdr>
        <w:top w:val="none" w:sz="0" w:space="0" w:color="auto"/>
        <w:left w:val="none" w:sz="0" w:space="0" w:color="auto"/>
        <w:bottom w:val="none" w:sz="0" w:space="0" w:color="auto"/>
        <w:right w:val="none" w:sz="0" w:space="0" w:color="auto"/>
      </w:divBdr>
      <w:divsChild>
        <w:div w:id="662509357">
          <w:marLeft w:val="0"/>
          <w:marRight w:val="0"/>
          <w:marTop w:val="0"/>
          <w:marBottom w:val="0"/>
          <w:divBdr>
            <w:top w:val="none" w:sz="0" w:space="0" w:color="auto"/>
            <w:left w:val="none" w:sz="0" w:space="0" w:color="auto"/>
            <w:bottom w:val="none" w:sz="0" w:space="0" w:color="auto"/>
            <w:right w:val="none" w:sz="0" w:space="0" w:color="auto"/>
          </w:divBdr>
        </w:div>
        <w:div w:id="708069895">
          <w:marLeft w:val="0"/>
          <w:marRight w:val="0"/>
          <w:marTop w:val="0"/>
          <w:marBottom w:val="0"/>
          <w:divBdr>
            <w:top w:val="none" w:sz="0" w:space="0" w:color="auto"/>
            <w:left w:val="none" w:sz="0" w:space="0" w:color="auto"/>
            <w:bottom w:val="none" w:sz="0" w:space="0" w:color="auto"/>
            <w:right w:val="none" w:sz="0" w:space="0" w:color="auto"/>
          </w:divBdr>
        </w:div>
        <w:div w:id="1437021584">
          <w:marLeft w:val="0"/>
          <w:marRight w:val="0"/>
          <w:marTop w:val="0"/>
          <w:marBottom w:val="0"/>
          <w:divBdr>
            <w:top w:val="none" w:sz="0" w:space="0" w:color="auto"/>
            <w:left w:val="none" w:sz="0" w:space="0" w:color="auto"/>
            <w:bottom w:val="none" w:sz="0" w:space="0" w:color="auto"/>
            <w:right w:val="none" w:sz="0" w:space="0" w:color="auto"/>
          </w:divBdr>
        </w:div>
        <w:div w:id="1851601691">
          <w:marLeft w:val="0"/>
          <w:marRight w:val="0"/>
          <w:marTop w:val="0"/>
          <w:marBottom w:val="0"/>
          <w:divBdr>
            <w:top w:val="none" w:sz="0" w:space="0" w:color="auto"/>
            <w:left w:val="none" w:sz="0" w:space="0" w:color="auto"/>
            <w:bottom w:val="none" w:sz="0" w:space="0" w:color="auto"/>
            <w:right w:val="none" w:sz="0" w:space="0" w:color="auto"/>
          </w:divBdr>
        </w:div>
        <w:div w:id="2091075897">
          <w:marLeft w:val="0"/>
          <w:marRight w:val="0"/>
          <w:marTop w:val="0"/>
          <w:marBottom w:val="0"/>
          <w:divBdr>
            <w:top w:val="none" w:sz="0" w:space="0" w:color="auto"/>
            <w:left w:val="none" w:sz="0" w:space="0" w:color="auto"/>
            <w:bottom w:val="none" w:sz="0" w:space="0" w:color="auto"/>
            <w:right w:val="none" w:sz="0" w:space="0" w:color="auto"/>
          </w:divBdr>
        </w:div>
        <w:div w:id="2100562143">
          <w:marLeft w:val="0"/>
          <w:marRight w:val="0"/>
          <w:marTop w:val="0"/>
          <w:marBottom w:val="0"/>
          <w:divBdr>
            <w:top w:val="none" w:sz="0" w:space="0" w:color="auto"/>
            <w:left w:val="none" w:sz="0" w:space="0" w:color="auto"/>
            <w:bottom w:val="none" w:sz="0" w:space="0" w:color="auto"/>
            <w:right w:val="none" w:sz="0" w:space="0" w:color="auto"/>
          </w:divBdr>
        </w:div>
      </w:divsChild>
    </w:div>
    <w:div w:id="907693014">
      <w:bodyDiv w:val="1"/>
      <w:marLeft w:val="0"/>
      <w:marRight w:val="0"/>
      <w:marTop w:val="0"/>
      <w:marBottom w:val="0"/>
      <w:divBdr>
        <w:top w:val="none" w:sz="0" w:space="0" w:color="auto"/>
        <w:left w:val="none" w:sz="0" w:space="0" w:color="auto"/>
        <w:bottom w:val="none" w:sz="0" w:space="0" w:color="auto"/>
        <w:right w:val="none" w:sz="0" w:space="0" w:color="auto"/>
      </w:divBdr>
    </w:div>
    <w:div w:id="912935464">
      <w:bodyDiv w:val="1"/>
      <w:marLeft w:val="0"/>
      <w:marRight w:val="0"/>
      <w:marTop w:val="0"/>
      <w:marBottom w:val="0"/>
      <w:divBdr>
        <w:top w:val="none" w:sz="0" w:space="0" w:color="auto"/>
        <w:left w:val="none" w:sz="0" w:space="0" w:color="auto"/>
        <w:bottom w:val="none" w:sz="0" w:space="0" w:color="auto"/>
        <w:right w:val="none" w:sz="0" w:space="0" w:color="auto"/>
      </w:divBdr>
    </w:div>
    <w:div w:id="915626333">
      <w:bodyDiv w:val="1"/>
      <w:marLeft w:val="0"/>
      <w:marRight w:val="0"/>
      <w:marTop w:val="0"/>
      <w:marBottom w:val="0"/>
      <w:divBdr>
        <w:top w:val="none" w:sz="0" w:space="0" w:color="auto"/>
        <w:left w:val="none" w:sz="0" w:space="0" w:color="auto"/>
        <w:bottom w:val="none" w:sz="0" w:space="0" w:color="auto"/>
        <w:right w:val="none" w:sz="0" w:space="0" w:color="auto"/>
      </w:divBdr>
    </w:div>
    <w:div w:id="919365103">
      <w:bodyDiv w:val="1"/>
      <w:marLeft w:val="0"/>
      <w:marRight w:val="0"/>
      <w:marTop w:val="0"/>
      <w:marBottom w:val="0"/>
      <w:divBdr>
        <w:top w:val="none" w:sz="0" w:space="0" w:color="auto"/>
        <w:left w:val="none" w:sz="0" w:space="0" w:color="auto"/>
        <w:bottom w:val="none" w:sz="0" w:space="0" w:color="auto"/>
        <w:right w:val="none" w:sz="0" w:space="0" w:color="auto"/>
      </w:divBdr>
      <w:divsChild>
        <w:div w:id="1050420445">
          <w:marLeft w:val="0"/>
          <w:marRight w:val="0"/>
          <w:marTop w:val="0"/>
          <w:marBottom w:val="0"/>
          <w:divBdr>
            <w:top w:val="none" w:sz="0" w:space="0" w:color="auto"/>
            <w:left w:val="none" w:sz="0" w:space="0" w:color="auto"/>
            <w:bottom w:val="none" w:sz="0" w:space="0" w:color="auto"/>
            <w:right w:val="none" w:sz="0" w:space="0" w:color="auto"/>
          </w:divBdr>
          <w:divsChild>
            <w:div w:id="157691195">
              <w:marLeft w:val="0"/>
              <w:marRight w:val="0"/>
              <w:marTop w:val="0"/>
              <w:marBottom w:val="0"/>
              <w:divBdr>
                <w:top w:val="none" w:sz="0" w:space="0" w:color="auto"/>
                <w:left w:val="none" w:sz="0" w:space="0" w:color="auto"/>
                <w:bottom w:val="none" w:sz="0" w:space="0" w:color="auto"/>
                <w:right w:val="none" w:sz="0" w:space="0" w:color="auto"/>
              </w:divBdr>
              <w:divsChild>
                <w:div w:id="766969436">
                  <w:marLeft w:val="0"/>
                  <w:marRight w:val="0"/>
                  <w:marTop w:val="0"/>
                  <w:marBottom w:val="0"/>
                  <w:divBdr>
                    <w:top w:val="none" w:sz="0" w:space="0" w:color="auto"/>
                    <w:left w:val="none" w:sz="0" w:space="0" w:color="auto"/>
                    <w:bottom w:val="none" w:sz="0" w:space="0" w:color="auto"/>
                    <w:right w:val="none" w:sz="0" w:space="0" w:color="auto"/>
                  </w:divBdr>
                  <w:divsChild>
                    <w:div w:id="2002734557">
                      <w:marLeft w:val="0"/>
                      <w:marRight w:val="0"/>
                      <w:marTop w:val="0"/>
                      <w:marBottom w:val="0"/>
                      <w:divBdr>
                        <w:top w:val="none" w:sz="0" w:space="0" w:color="auto"/>
                        <w:left w:val="none" w:sz="0" w:space="0" w:color="auto"/>
                        <w:bottom w:val="none" w:sz="0" w:space="0" w:color="auto"/>
                        <w:right w:val="none" w:sz="0" w:space="0" w:color="auto"/>
                      </w:divBdr>
                      <w:divsChild>
                        <w:div w:id="568271958">
                          <w:marLeft w:val="0"/>
                          <w:marRight w:val="0"/>
                          <w:marTop w:val="0"/>
                          <w:marBottom w:val="0"/>
                          <w:divBdr>
                            <w:top w:val="none" w:sz="0" w:space="0" w:color="auto"/>
                            <w:left w:val="none" w:sz="0" w:space="0" w:color="auto"/>
                            <w:bottom w:val="none" w:sz="0" w:space="0" w:color="auto"/>
                            <w:right w:val="none" w:sz="0" w:space="0" w:color="auto"/>
                          </w:divBdr>
                          <w:divsChild>
                            <w:div w:id="14645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437243">
      <w:bodyDiv w:val="1"/>
      <w:marLeft w:val="0"/>
      <w:marRight w:val="0"/>
      <w:marTop w:val="0"/>
      <w:marBottom w:val="0"/>
      <w:divBdr>
        <w:top w:val="none" w:sz="0" w:space="0" w:color="auto"/>
        <w:left w:val="none" w:sz="0" w:space="0" w:color="auto"/>
        <w:bottom w:val="none" w:sz="0" w:space="0" w:color="auto"/>
        <w:right w:val="none" w:sz="0" w:space="0" w:color="auto"/>
      </w:divBdr>
      <w:divsChild>
        <w:div w:id="253173094">
          <w:marLeft w:val="0"/>
          <w:marRight w:val="0"/>
          <w:marTop w:val="0"/>
          <w:marBottom w:val="0"/>
          <w:divBdr>
            <w:top w:val="none" w:sz="0" w:space="0" w:color="auto"/>
            <w:left w:val="none" w:sz="0" w:space="0" w:color="auto"/>
            <w:bottom w:val="none" w:sz="0" w:space="0" w:color="auto"/>
            <w:right w:val="none" w:sz="0" w:space="0" w:color="auto"/>
          </w:divBdr>
        </w:div>
        <w:div w:id="1358505351">
          <w:marLeft w:val="0"/>
          <w:marRight w:val="0"/>
          <w:marTop w:val="0"/>
          <w:marBottom w:val="0"/>
          <w:divBdr>
            <w:top w:val="none" w:sz="0" w:space="0" w:color="auto"/>
            <w:left w:val="none" w:sz="0" w:space="0" w:color="auto"/>
            <w:bottom w:val="none" w:sz="0" w:space="0" w:color="auto"/>
            <w:right w:val="none" w:sz="0" w:space="0" w:color="auto"/>
          </w:divBdr>
        </w:div>
        <w:div w:id="1630863364">
          <w:marLeft w:val="0"/>
          <w:marRight w:val="0"/>
          <w:marTop w:val="0"/>
          <w:marBottom w:val="0"/>
          <w:divBdr>
            <w:top w:val="none" w:sz="0" w:space="0" w:color="auto"/>
            <w:left w:val="none" w:sz="0" w:space="0" w:color="auto"/>
            <w:bottom w:val="none" w:sz="0" w:space="0" w:color="auto"/>
            <w:right w:val="none" w:sz="0" w:space="0" w:color="auto"/>
          </w:divBdr>
        </w:div>
      </w:divsChild>
    </w:div>
    <w:div w:id="963929214">
      <w:bodyDiv w:val="1"/>
      <w:marLeft w:val="0"/>
      <w:marRight w:val="0"/>
      <w:marTop w:val="0"/>
      <w:marBottom w:val="0"/>
      <w:divBdr>
        <w:top w:val="none" w:sz="0" w:space="0" w:color="auto"/>
        <w:left w:val="none" w:sz="0" w:space="0" w:color="auto"/>
        <w:bottom w:val="none" w:sz="0" w:space="0" w:color="auto"/>
        <w:right w:val="none" w:sz="0" w:space="0" w:color="auto"/>
      </w:divBdr>
    </w:div>
    <w:div w:id="981428637">
      <w:bodyDiv w:val="1"/>
      <w:marLeft w:val="0"/>
      <w:marRight w:val="0"/>
      <w:marTop w:val="0"/>
      <w:marBottom w:val="0"/>
      <w:divBdr>
        <w:top w:val="none" w:sz="0" w:space="0" w:color="auto"/>
        <w:left w:val="none" w:sz="0" w:space="0" w:color="auto"/>
        <w:bottom w:val="none" w:sz="0" w:space="0" w:color="auto"/>
        <w:right w:val="none" w:sz="0" w:space="0" w:color="auto"/>
      </w:divBdr>
    </w:div>
    <w:div w:id="984503903">
      <w:bodyDiv w:val="1"/>
      <w:marLeft w:val="0"/>
      <w:marRight w:val="0"/>
      <w:marTop w:val="0"/>
      <w:marBottom w:val="0"/>
      <w:divBdr>
        <w:top w:val="none" w:sz="0" w:space="0" w:color="auto"/>
        <w:left w:val="none" w:sz="0" w:space="0" w:color="auto"/>
        <w:bottom w:val="none" w:sz="0" w:space="0" w:color="auto"/>
        <w:right w:val="none" w:sz="0" w:space="0" w:color="auto"/>
      </w:divBdr>
      <w:divsChild>
        <w:div w:id="776296355">
          <w:marLeft w:val="0"/>
          <w:marRight w:val="0"/>
          <w:marTop w:val="0"/>
          <w:marBottom w:val="0"/>
          <w:divBdr>
            <w:top w:val="none" w:sz="0" w:space="0" w:color="auto"/>
            <w:left w:val="none" w:sz="0" w:space="0" w:color="auto"/>
            <w:bottom w:val="none" w:sz="0" w:space="0" w:color="auto"/>
            <w:right w:val="none" w:sz="0" w:space="0" w:color="auto"/>
          </w:divBdr>
          <w:divsChild>
            <w:div w:id="846286818">
              <w:marLeft w:val="0"/>
              <w:marRight w:val="0"/>
              <w:marTop w:val="0"/>
              <w:marBottom w:val="0"/>
              <w:divBdr>
                <w:top w:val="none" w:sz="0" w:space="0" w:color="auto"/>
                <w:left w:val="none" w:sz="0" w:space="0" w:color="auto"/>
                <w:bottom w:val="none" w:sz="0" w:space="0" w:color="auto"/>
                <w:right w:val="none" w:sz="0" w:space="0" w:color="auto"/>
              </w:divBdr>
              <w:divsChild>
                <w:div w:id="1210875570">
                  <w:marLeft w:val="0"/>
                  <w:marRight w:val="0"/>
                  <w:marTop w:val="0"/>
                  <w:marBottom w:val="0"/>
                  <w:divBdr>
                    <w:top w:val="none" w:sz="0" w:space="0" w:color="auto"/>
                    <w:left w:val="none" w:sz="0" w:space="0" w:color="auto"/>
                    <w:bottom w:val="none" w:sz="0" w:space="0" w:color="auto"/>
                    <w:right w:val="none" w:sz="0" w:space="0" w:color="auto"/>
                  </w:divBdr>
                  <w:divsChild>
                    <w:div w:id="669451673">
                      <w:marLeft w:val="0"/>
                      <w:marRight w:val="0"/>
                      <w:marTop w:val="0"/>
                      <w:marBottom w:val="0"/>
                      <w:divBdr>
                        <w:top w:val="none" w:sz="0" w:space="0" w:color="auto"/>
                        <w:left w:val="none" w:sz="0" w:space="0" w:color="auto"/>
                        <w:bottom w:val="none" w:sz="0" w:space="0" w:color="auto"/>
                        <w:right w:val="none" w:sz="0" w:space="0" w:color="auto"/>
                      </w:divBdr>
                      <w:divsChild>
                        <w:div w:id="2059159464">
                          <w:marLeft w:val="0"/>
                          <w:marRight w:val="0"/>
                          <w:marTop w:val="0"/>
                          <w:marBottom w:val="0"/>
                          <w:divBdr>
                            <w:top w:val="none" w:sz="0" w:space="0" w:color="auto"/>
                            <w:left w:val="none" w:sz="0" w:space="0" w:color="auto"/>
                            <w:bottom w:val="none" w:sz="0" w:space="0" w:color="auto"/>
                            <w:right w:val="none" w:sz="0" w:space="0" w:color="auto"/>
                          </w:divBdr>
                          <w:divsChild>
                            <w:div w:id="8562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069888">
      <w:bodyDiv w:val="1"/>
      <w:marLeft w:val="0"/>
      <w:marRight w:val="0"/>
      <w:marTop w:val="0"/>
      <w:marBottom w:val="0"/>
      <w:divBdr>
        <w:top w:val="none" w:sz="0" w:space="0" w:color="auto"/>
        <w:left w:val="none" w:sz="0" w:space="0" w:color="auto"/>
        <w:bottom w:val="none" w:sz="0" w:space="0" w:color="auto"/>
        <w:right w:val="none" w:sz="0" w:space="0" w:color="auto"/>
      </w:divBdr>
      <w:divsChild>
        <w:div w:id="1500269645">
          <w:marLeft w:val="0"/>
          <w:marRight w:val="0"/>
          <w:marTop w:val="0"/>
          <w:marBottom w:val="0"/>
          <w:divBdr>
            <w:top w:val="none" w:sz="0" w:space="0" w:color="auto"/>
            <w:left w:val="none" w:sz="0" w:space="0" w:color="auto"/>
            <w:bottom w:val="none" w:sz="0" w:space="0" w:color="auto"/>
            <w:right w:val="none" w:sz="0" w:space="0" w:color="auto"/>
          </w:divBdr>
          <w:divsChild>
            <w:div w:id="1764957352">
              <w:marLeft w:val="0"/>
              <w:marRight w:val="0"/>
              <w:marTop w:val="0"/>
              <w:marBottom w:val="0"/>
              <w:divBdr>
                <w:top w:val="none" w:sz="0" w:space="0" w:color="auto"/>
                <w:left w:val="none" w:sz="0" w:space="0" w:color="auto"/>
                <w:bottom w:val="none" w:sz="0" w:space="0" w:color="auto"/>
                <w:right w:val="none" w:sz="0" w:space="0" w:color="auto"/>
              </w:divBdr>
              <w:divsChild>
                <w:div w:id="1557887824">
                  <w:marLeft w:val="0"/>
                  <w:marRight w:val="0"/>
                  <w:marTop w:val="0"/>
                  <w:marBottom w:val="0"/>
                  <w:divBdr>
                    <w:top w:val="none" w:sz="0" w:space="0" w:color="auto"/>
                    <w:left w:val="none" w:sz="0" w:space="0" w:color="auto"/>
                    <w:bottom w:val="none" w:sz="0" w:space="0" w:color="auto"/>
                    <w:right w:val="none" w:sz="0" w:space="0" w:color="auto"/>
                  </w:divBdr>
                  <w:divsChild>
                    <w:div w:id="3754305">
                      <w:marLeft w:val="0"/>
                      <w:marRight w:val="0"/>
                      <w:marTop w:val="0"/>
                      <w:marBottom w:val="0"/>
                      <w:divBdr>
                        <w:top w:val="none" w:sz="0" w:space="0" w:color="auto"/>
                        <w:left w:val="none" w:sz="0" w:space="0" w:color="auto"/>
                        <w:bottom w:val="none" w:sz="0" w:space="0" w:color="auto"/>
                        <w:right w:val="none" w:sz="0" w:space="0" w:color="auto"/>
                      </w:divBdr>
                      <w:divsChild>
                        <w:div w:id="1397629404">
                          <w:marLeft w:val="0"/>
                          <w:marRight w:val="0"/>
                          <w:marTop w:val="0"/>
                          <w:marBottom w:val="0"/>
                          <w:divBdr>
                            <w:top w:val="none" w:sz="0" w:space="0" w:color="auto"/>
                            <w:left w:val="none" w:sz="0" w:space="0" w:color="auto"/>
                            <w:bottom w:val="none" w:sz="0" w:space="0" w:color="auto"/>
                            <w:right w:val="none" w:sz="0" w:space="0" w:color="auto"/>
                          </w:divBdr>
                          <w:divsChild>
                            <w:div w:id="210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260">
      <w:bodyDiv w:val="1"/>
      <w:marLeft w:val="0"/>
      <w:marRight w:val="0"/>
      <w:marTop w:val="0"/>
      <w:marBottom w:val="0"/>
      <w:divBdr>
        <w:top w:val="none" w:sz="0" w:space="0" w:color="auto"/>
        <w:left w:val="none" w:sz="0" w:space="0" w:color="auto"/>
        <w:bottom w:val="none" w:sz="0" w:space="0" w:color="auto"/>
        <w:right w:val="none" w:sz="0" w:space="0" w:color="auto"/>
      </w:divBdr>
    </w:div>
    <w:div w:id="1103308509">
      <w:bodyDiv w:val="1"/>
      <w:marLeft w:val="0"/>
      <w:marRight w:val="0"/>
      <w:marTop w:val="0"/>
      <w:marBottom w:val="0"/>
      <w:divBdr>
        <w:top w:val="none" w:sz="0" w:space="0" w:color="auto"/>
        <w:left w:val="none" w:sz="0" w:space="0" w:color="auto"/>
        <w:bottom w:val="none" w:sz="0" w:space="0" w:color="auto"/>
        <w:right w:val="none" w:sz="0" w:space="0" w:color="auto"/>
      </w:divBdr>
      <w:divsChild>
        <w:div w:id="1778089741">
          <w:marLeft w:val="0"/>
          <w:marRight w:val="0"/>
          <w:marTop w:val="0"/>
          <w:marBottom w:val="0"/>
          <w:divBdr>
            <w:top w:val="none" w:sz="0" w:space="0" w:color="auto"/>
            <w:left w:val="none" w:sz="0" w:space="0" w:color="auto"/>
            <w:bottom w:val="none" w:sz="0" w:space="0" w:color="auto"/>
            <w:right w:val="none" w:sz="0" w:space="0" w:color="auto"/>
          </w:divBdr>
          <w:divsChild>
            <w:div w:id="764771156">
              <w:marLeft w:val="0"/>
              <w:marRight w:val="0"/>
              <w:marTop w:val="0"/>
              <w:marBottom w:val="0"/>
              <w:divBdr>
                <w:top w:val="none" w:sz="0" w:space="0" w:color="auto"/>
                <w:left w:val="none" w:sz="0" w:space="0" w:color="auto"/>
                <w:bottom w:val="none" w:sz="0" w:space="0" w:color="auto"/>
                <w:right w:val="none" w:sz="0" w:space="0" w:color="auto"/>
              </w:divBdr>
              <w:divsChild>
                <w:div w:id="1667434608">
                  <w:marLeft w:val="0"/>
                  <w:marRight w:val="0"/>
                  <w:marTop w:val="0"/>
                  <w:marBottom w:val="0"/>
                  <w:divBdr>
                    <w:top w:val="none" w:sz="0" w:space="0" w:color="auto"/>
                    <w:left w:val="none" w:sz="0" w:space="0" w:color="auto"/>
                    <w:bottom w:val="none" w:sz="0" w:space="0" w:color="auto"/>
                    <w:right w:val="none" w:sz="0" w:space="0" w:color="auto"/>
                  </w:divBdr>
                  <w:divsChild>
                    <w:div w:id="1535070516">
                      <w:marLeft w:val="0"/>
                      <w:marRight w:val="0"/>
                      <w:marTop w:val="0"/>
                      <w:marBottom w:val="0"/>
                      <w:divBdr>
                        <w:top w:val="none" w:sz="0" w:space="0" w:color="auto"/>
                        <w:left w:val="none" w:sz="0" w:space="0" w:color="auto"/>
                        <w:bottom w:val="none" w:sz="0" w:space="0" w:color="auto"/>
                        <w:right w:val="none" w:sz="0" w:space="0" w:color="auto"/>
                      </w:divBdr>
                      <w:divsChild>
                        <w:div w:id="685181885">
                          <w:marLeft w:val="0"/>
                          <w:marRight w:val="0"/>
                          <w:marTop w:val="0"/>
                          <w:marBottom w:val="0"/>
                          <w:divBdr>
                            <w:top w:val="none" w:sz="0" w:space="0" w:color="auto"/>
                            <w:left w:val="none" w:sz="0" w:space="0" w:color="auto"/>
                            <w:bottom w:val="none" w:sz="0" w:space="0" w:color="auto"/>
                            <w:right w:val="none" w:sz="0" w:space="0" w:color="auto"/>
                          </w:divBdr>
                          <w:divsChild>
                            <w:div w:id="21472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959790">
      <w:bodyDiv w:val="1"/>
      <w:marLeft w:val="0"/>
      <w:marRight w:val="0"/>
      <w:marTop w:val="0"/>
      <w:marBottom w:val="0"/>
      <w:divBdr>
        <w:top w:val="none" w:sz="0" w:space="0" w:color="auto"/>
        <w:left w:val="none" w:sz="0" w:space="0" w:color="auto"/>
        <w:bottom w:val="none" w:sz="0" w:space="0" w:color="auto"/>
        <w:right w:val="none" w:sz="0" w:space="0" w:color="auto"/>
      </w:divBdr>
    </w:div>
    <w:div w:id="1121654860">
      <w:bodyDiv w:val="1"/>
      <w:marLeft w:val="0"/>
      <w:marRight w:val="0"/>
      <w:marTop w:val="0"/>
      <w:marBottom w:val="0"/>
      <w:divBdr>
        <w:top w:val="none" w:sz="0" w:space="0" w:color="auto"/>
        <w:left w:val="none" w:sz="0" w:space="0" w:color="auto"/>
        <w:bottom w:val="none" w:sz="0" w:space="0" w:color="auto"/>
        <w:right w:val="none" w:sz="0" w:space="0" w:color="auto"/>
      </w:divBdr>
    </w:div>
    <w:div w:id="1145778809">
      <w:bodyDiv w:val="1"/>
      <w:marLeft w:val="0"/>
      <w:marRight w:val="0"/>
      <w:marTop w:val="0"/>
      <w:marBottom w:val="0"/>
      <w:divBdr>
        <w:top w:val="none" w:sz="0" w:space="0" w:color="auto"/>
        <w:left w:val="none" w:sz="0" w:space="0" w:color="auto"/>
        <w:bottom w:val="none" w:sz="0" w:space="0" w:color="auto"/>
        <w:right w:val="none" w:sz="0" w:space="0" w:color="auto"/>
      </w:divBdr>
    </w:div>
    <w:div w:id="1158109990">
      <w:bodyDiv w:val="1"/>
      <w:marLeft w:val="0"/>
      <w:marRight w:val="0"/>
      <w:marTop w:val="0"/>
      <w:marBottom w:val="0"/>
      <w:divBdr>
        <w:top w:val="none" w:sz="0" w:space="0" w:color="auto"/>
        <w:left w:val="none" w:sz="0" w:space="0" w:color="auto"/>
        <w:bottom w:val="none" w:sz="0" w:space="0" w:color="auto"/>
        <w:right w:val="none" w:sz="0" w:space="0" w:color="auto"/>
      </w:divBdr>
      <w:divsChild>
        <w:div w:id="746683095">
          <w:marLeft w:val="0"/>
          <w:marRight w:val="0"/>
          <w:marTop w:val="0"/>
          <w:marBottom w:val="0"/>
          <w:divBdr>
            <w:top w:val="none" w:sz="0" w:space="0" w:color="auto"/>
            <w:left w:val="none" w:sz="0" w:space="0" w:color="auto"/>
            <w:bottom w:val="none" w:sz="0" w:space="0" w:color="auto"/>
            <w:right w:val="none" w:sz="0" w:space="0" w:color="auto"/>
          </w:divBdr>
          <w:divsChild>
            <w:div w:id="67004491">
              <w:marLeft w:val="0"/>
              <w:marRight w:val="0"/>
              <w:marTop w:val="0"/>
              <w:marBottom w:val="0"/>
              <w:divBdr>
                <w:top w:val="none" w:sz="0" w:space="0" w:color="auto"/>
                <w:left w:val="none" w:sz="0" w:space="0" w:color="auto"/>
                <w:bottom w:val="none" w:sz="0" w:space="0" w:color="auto"/>
                <w:right w:val="none" w:sz="0" w:space="0" w:color="auto"/>
              </w:divBdr>
              <w:divsChild>
                <w:div w:id="1176850267">
                  <w:marLeft w:val="0"/>
                  <w:marRight w:val="0"/>
                  <w:marTop w:val="0"/>
                  <w:marBottom w:val="0"/>
                  <w:divBdr>
                    <w:top w:val="none" w:sz="0" w:space="0" w:color="auto"/>
                    <w:left w:val="none" w:sz="0" w:space="0" w:color="auto"/>
                    <w:bottom w:val="none" w:sz="0" w:space="0" w:color="auto"/>
                    <w:right w:val="none" w:sz="0" w:space="0" w:color="auto"/>
                  </w:divBdr>
                  <w:divsChild>
                    <w:div w:id="1006397109">
                      <w:marLeft w:val="0"/>
                      <w:marRight w:val="0"/>
                      <w:marTop w:val="0"/>
                      <w:marBottom w:val="0"/>
                      <w:divBdr>
                        <w:top w:val="none" w:sz="0" w:space="0" w:color="auto"/>
                        <w:left w:val="none" w:sz="0" w:space="0" w:color="auto"/>
                        <w:bottom w:val="none" w:sz="0" w:space="0" w:color="auto"/>
                        <w:right w:val="none" w:sz="0" w:space="0" w:color="auto"/>
                      </w:divBdr>
                      <w:divsChild>
                        <w:div w:id="1551725955">
                          <w:marLeft w:val="0"/>
                          <w:marRight w:val="0"/>
                          <w:marTop w:val="0"/>
                          <w:marBottom w:val="0"/>
                          <w:divBdr>
                            <w:top w:val="none" w:sz="0" w:space="0" w:color="auto"/>
                            <w:left w:val="none" w:sz="0" w:space="0" w:color="auto"/>
                            <w:bottom w:val="none" w:sz="0" w:space="0" w:color="auto"/>
                            <w:right w:val="none" w:sz="0" w:space="0" w:color="auto"/>
                          </w:divBdr>
                          <w:divsChild>
                            <w:div w:id="17260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06355">
      <w:bodyDiv w:val="1"/>
      <w:marLeft w:val="0"/>
      <w:marRight w:val="0"/>
      <w:marTop w:val="0"/>
      <w:marBottom w:val="0"/>
      <w:divBdr>
        <w:top w:val="none" w:sz="0" w:space="0" w:color="auto"/>
        <w:left w:val="none" w:sz="0" w:space="0" w:color="auto"/>
        <w:bottom w:val="none" w:sz="0" w:space="0" w:color="auto"/>
        <w:right w:val="none" w:sz="0" w:space="0" w:color="auto"/>
      </w:divBdr>
    </w:div>
    <w:div w:id="1204976045">
      <w:bodyDiv w:val="1"/>
      <w:marLeft w:val="0"/>
      <w:marRight w:val="0"/>
      <w:marTop w:val="0"/>
      <w:marBottom w:val="0"/>
      <w:divBdr>
        <w:top w:val="none" w:sz="0" w:space="0" w:color="auto"/>
        <w:left w:val="none" w:sz="0" w:space="0" w:color="auto"/>
        <w:bottom w:val="none" w:sz="0" w:space="0" w:color="auto"/>
        <w:right w:val="none" w:sz="0" w:space="0" w:color="auto"/>
      </w:divBdr>
    </w:div>
    <w:div w:id="1211188156">
      <w:bodyDiv w:val="1"/>
      <w:marLeft w:val="0"/>
      <w:marRight w:val="0"/>
      <w:marTop w:val="0"/>
      <w:marBottom w:val="0"/>
      <w:divBdr>
        <w:top w:val="none" w:sz="0" w:space="0" w:color="auto"/>
        <w:left w:val="none" w:sz="0" w:space="0" w:color="auto"/>
        <w:bottom w:val="none" w:sz="0" w:space="0" w:color="auto"/>
        <w:right w:val="none" w:sz="0" w:space="0" w:color="auto"/>
      </w:divBdr>
    </w:div>
    <w:div w:id="1219626566">
      <w:bodyDiv w:val="1"/>
      <w:marLeft w:val="0"/>
      <w:marRight w:val="0"/>
      <w:marTop w:val="0"/>
      <w:marBottom w:val="0"/>
      <w:divBdr>
        <w:top w:val="none" w:sz="0" w:space="0" w:color="auto"/>
        <w:left w:val="none" w:sz="0" w:space="0" w:color="auto"/>
        <w:bottom w:val="none" w:sz="0" w:space="0" w:color="auto"/>
        <w:right w:val="none" w:sz="0" w:space="0" w:color="auto"/>
      </w:divBdr>
    </w:div>
    <w:div w:id="1233084429">
      <w:bodyDiv w:val="1"/>
      <w:marLeft w:val="0"/>
      <w:marRight w:val="0"/>
      <w:marTop w:val="0"/>
      <w:marBottom w:val="0"/>
      <w:divBdr>
        <w:top w:val="none" w:sz="0" w:space="0" w:color="auto"/>
        <w:left w:val="none" w:sz="0" w:space="0" w:color="auto"/>
        <w:bottom w:val="none" w:sz="0" w:space="0" w:color="auto"/>
        <w:right w:val="none" w:sz="0" w:space="0" w:color="auto"/>
      </w:divBdr>
      <w:divsChild>
        <w:div w:id="273446605">
          <w:marLeft w:val="0"/>
          <w:marRight w:val="0"/>
          <w:marTop w:val="0"/>
          <w:marBottom w:val="0"/>
          <w:divBdr>
            <w:top w:val="none" w:sz="0" w:space="0" w:color="auto"/>
            <w:left w:val="none" w:sz="0" w:space="0" w:color="auto"/>
            <w:bottom w:val="none" w:sz="0" w:space="0" w:color="auto"/>
            <w:right w:val="none" w:sz="0" w:space="0" w:color="auto"/>
          </w:divBdr>
          <w:divsChild>
            <w:div w:id="824277982">
              <w:marLeft w:val="0"/>
              <w:marRight w:val="0"/>
              <w:marTop w:val="0"/>
              <w:marBottom w:val="0"/>
              <w:divBdr>
                <w:top w:val="none" w:sz="0" w:space="0" w:color="auto"/>
                <w:left w:val="none" w:sz="0" w:space="0" w:color="auto"/>
                <w:bottom w:val="none" w:sz="0" w:space="0" w:color="auto"/>
                <w:right w:val="none" w:sz="0" w:space="0" w:color="auto"/>
              </w:divBdr>
              <w:divsChild>
                <w:div w:id="1405493128">
                  <w:marLeft w:val="0"/>
                  <w:marRight w:val="0"/>
                  <w:marTop w:val="0"/>
                  <w:marBottom w:val="0"/>
                  <w:divBdr>
                    <w:top w:val="none" w:sz="0" w:space="0" w:color="auto"/>
                    <w:left w:val="none" w:sz="0" w:space="0" w:color="auto"/>
                    <w:bottom w:val="none" w:sz="0" w:space="0" w:color="auto"/>
                    <w:right w:val="none" w:sz="0" w:space="0" w:color="auto"/>
                  </w:divBdr>
                  <w:divsChild>
                    <w:div w:id="825904626">
                      <w:marLeft w:val="0"/>
                      <w:marRight w:val="0"/>
                      <w:marTop w:val="0"/>
                      <w:marBottom w:val="0"/>
                      <w:divBdr>
                        <w:top w:val="none" w:sz="0" w:space="0" w:color="auto"/>
                        <w:left w:val="none" w:sz="0" w:space="0" w:color="auto"/>
                        <w:bottom w:val="none" w:sz="0" w:space="0" w:color="auto"/>
                        <w:right w:val="none" w:sz="0" w:space="0" w:color="auto"/>
                      </w:divBdr>
                      <w:divsChild>
                        <w:div w:id="1824009941">
                          <w:marLeft w:val="0"/>
                          <w:marRight w:val="0"/>
                          <w:marTop w:val="0"/>
                          <w:marBottom w:val="0"/>
                          <w:divBdr>
                            <w:top w:val="none" w:sz="0" w:space="0" w:color="auto"/>
                            <w:left w:val="none" w:sz="0" w:space="0" w:color="auto"/>
                            <w:bottom w:val="none" w:sz="0" w:space="0" w:color="auto"/>
                            <w:right w:val="none" w:sz="0" w:space="0" w:color="auto"/>
                          </w:divBdr>
                          <w:divsChild>
                            <w:div w:id="20885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396702">
      <w:bodyDiv w:val="1"/>
      <w:marLeft w:val="0"/>
      <w:marRight w:val="0"/>
      <w:marTop w:val="0"/>
      <w:marBottom w:val="0"/>
      <w:divBdr>
        <w:top w:val="none" w:sz="0" w:space="0" w:color="auto"/>
        <w:left w:val="none" w:sz="0" w:space="0" w:color="auto"/>
        <w:bottom w:val="none" w:sz="0" w:space="0" w:color="auto"/>
        <w:right w:val="none" w:sz="0" w:space="0" w:color="auto"/>
      </w:divBdr>
    </w:div>
    <w:div w:id="1242105061">
      <w:bodyDiv w:val="1"/>
      <w:marLeft w:val="0"/>
      <w:marRight w:val="0"/>
      <w:marTop w:val="0"/>
      <w:marBottom w:val="0"/>
      <w:divBdr>
        <w:top w:val="none" w:sz="0" w:space="0" w:color="auto"/>
        <w:left w:val="none" w:sz="0" w:space="0" w:color="auto"/>
        <w:bottom w:val="none" w:sz="0" w:space="0" w:color="auto"/>
        <w:right w:val="none" w:sz="0" w:space="0" w:color="auto"/>
      </w:divBdr>
      <w:divsChild>
        <w:div w:id="1723556052">
          <w:marLeft w:val="0"/>
          <w:marRight w:val="0"/>
          <w:marTop w:val="0"/>
          <w:marBottom w:val="0"/>
          <w:divBdr>
            <w:top w:val="none" w:sz="0" w:space="0" w:color="auto"/>
            <w:left w:val="none" w:sz="0" w:space="0" w:color="auto"/>
            <w:bottom w:val="none" w:sz="0" w:space="0" w:color="auto"/>
            <w:right w:val="none" w:sz="0" w:space="0" w:color="auto"/>
          </w:divBdr>
          <w:divsChild>
            <w:div w:id="1684745789">
              <w:marLeft w:val="0"/>
              <w:marRight w:val="0"/>
              <w:marTop w:val="0"/>
              <w:marBottom w:val="0"/>
              <w:divBdr>
                <w:top w:val="none" w:sz="0" w:space="0" w:color="auto"/>
                <w:left w:val="none" w:sz="0" w:space="0" w:color="auto"/>
                <w:bottom w:val="none" w:sz="0" w:space="0" w:color="auto"/>
                <w:right w:val="none" w:sz="0" w:space="0" w:color="auto"/>
              </w:divBdr>
              <w:divsChild>
                <w:div w:id="1192961870">
                  <w:marLeft w:val="0"/>
                  <w:marRight w:val="0"/>
                  <w:marTop w:val="0"/>
                  <w:marBottom w:val="0"/>
                  <w:divBdr>
                    <w:top w:val="none" w:sz="0" w:space="0" w:color="auto"/>
                    <w:left w:val="none" w:sz="0" w:space="0" w:color="auto"/>
                    <w:bottom w:val="none" w:sz="0" w:space="0" w:color="auto"/>
                    <w:right w:val="none" w:sz="0" w:space="0" w:color="auto"/>
                  </w:divBdr>
                  <w:divsChild>
                    <w:div w:id="212081814">
                      <w:marLeft w:val="0"/>
                      <w:marRight w:val="0"/>
                      <w:marTop w:val="0"/>
                      <w:marBottom w:val="0"/>
                      <w:divBdr>
                        <w:top w:val="none" w:sz="0" w:space="0" w:color="auto"/>
                        <w:left w:val="none" w:sz="0" w:space="0" w:color="auto"/>
                        <w:bottom w:val="none" w:sz="0" w:space="0" w:color="auto"/>
                        <w:right w:val="none" w:sz="0" w:space="0" w:color="auto"/>
                      </w:divBdr>
                      <w:divsChild>
                        <w:div w:id="549388382">
                          <w:marLeft w:val="0"/>
                          <w:marRight w:val="0"/>
                          <w:marTop w:val="0"/>
                          <w:marBottom w:val="0"/>
                          <w:divBdr>
                            <w:top w:val="none" w:sz="0" w:space="0" w:color="auto"/>
                            <w:left w:val="none" w:sz="0" w:space="0" w:color="auto"/>
                            <w:bottom w:val="none" w:sz="0" w:space="0" w:color="auto"/>
                            <w:right w:val="none" w:sz="0" w:space="0" w:color="auto"/>
                          </w:divBdr>
                          <w:divsChild>
                            <w:div w:id="186111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519644">
      <w:bodyDiv w:val="1"/>
      <w:marLeft w:val="0"/>
      <w:marRight w:val="0"/>
      <w:marTop w:val="0"/>
      <w:marBottom w:val="0"/>
      <w:divBdr>
        <w:top w:val="none" w:sz="0" w:space="0" w:color="auto"/>
        <w:left w:val="none" w:sz="0" w:space="0" w:color="auto"/>
        <w:bottom w:val="none" w:sz="0" w:space="0" w:color="auto"/>
        <w:right w:val="none" w:sz="0" w:space="0" w:color="auto"/>
      </w:divBdr>
    </w:div>
    <w:div w:id="1317033868">
      <w:bodyDiv w:val="1"/>
      <w:marLeft w:val="0"/>
      <w:marRight w:val="0"/>
      <w:marTop w:val="0"/>
      <w:marBottom w:val="0"/>
      <w:divBdr>
        <w:top w:val="none" w:sz="0" w:space="0" w:color="auto"/>
        <w:left w:val="none" w:sz="0" w:space="0" w:color="auto"/>
        <w:bottom w:val="none" w:sz="0" w:space="0" w:color="auto"/>
        <w:right w:val="none" w:sz="0" w:space="0" w:color="auto"/>
      </w:divBdr>
    </w:div>
    <w:div w:id="1325280165">
      <w:bodyDiv w:val="1"/>
      <w:marLeft w:val="0"/>
      <w:marRight w:val="0"/>
      <w:marTop w:val="0"/>
      <w:marBottom w:val="0"/>
      <w:divBdr>
        <w:top w:val="none" w:sz="0" w:space="0" w:color="auto"/>
        <w:left w:val="none" w:sz="0" w:space="0" w:color="auto"/>
        <w:bottom w:val="none" w:sz="0" w:space="0" w:color="auto"/>
        <w:right w:val="none" w:sz="0" w:space="0" w:color="auto"/>
      </w:divBdr>
    </w:div>
    <w:div w:id="1335189110">
      <w:bodyDiv w:val="1"/>
      <w:marLeft w:val="0"/>
      <w:marRight w:val="0"/>
      <w:marTop w:val="0"/>
      <w:marBottom w:val="0"/>
      <w:divBdr>
        <w:top w:val="none" w:sz="0" w:space="0" w:color="auto"/>
        <w:left w:val="none" w:sz="0" w:space="0" w:color="auto"/>
        <w:bottom w:val="none" w:sz="0" w:space="0" w:color="auto"/>
        <w:right w:val="none" w:sz="0" w:space="0" w:color="auto"/>
      </w:divBdr>
      <w:divsChild>
        <w:div w:id="148059935">
          <w:marLeft w:val="0"/>
          <w:marRight w:val="0"/>
          <w:marTop w:val="0"/>
          <w:marBottom w:val="0"/>
          <w:divBdr>
            <w:top w:val="none" w:sz="0" w:space="0" w:color="auto"/>
            <w:left w:val="none" w:sz="0" w:space="0" w:color="auto"/>
            <w:bottom w:val="none" w:sz="0" w:space="0" w:color="auto"/>
            <w:right w:val="none" w:sz="0" w:space="0" w:color="auto"/>
          </w:divBdr>
        </w:div>
        <w:div w:id="422192961">
          <w:marLeft w:val="0"/>
          <w:marRight w:val="0"/>
          <w:marTop w:val="0"/>
          <w:marBottom w:val="0"/>
          <w:divBdr>
            <w:top w:val="none" w:sz="0" w:space="0" w:color="auto"/>
            <w:left w:val="none" w:sz="0" w:space="0" w:color="auto"/>
            <w:bottom w:val="none" w:sz="0" w:space="0" w:color="auto"/>
            <w:right w:val="none" w:sz="0" w:space="0" w:color="auto"/>
          </w:divBdr>
        </w:div>
        <w:div w:id="471485737">
          <w:marLeft w:val="0"/>
          <w:marRight w:val="0"/>
          <w:marTop w:val="0"/>
          <w:marBottom w:val="0"/>
          <w:divBdr>
            <w:top w:val="none" w:sz="0" w:space="0" w:color="auto"/>
            <w:left w:val="none" w:sz="0" w:space="0" w:color="auto"/>
            <w:bottom w:val="none" w:sz="0" w:space="0" w:color="auto"/>
            <w:right w:val="none" w:sz="0" w:space="0" w:color="auto"/>
          </w:divBdr>
        </w:div>
        <w:div w:id="807628184">
          <w:marLeft w:val="0"/>
          <w:marRight w:val="0"/>
          <w:marTop w:val="0"/>
          <w:marBottom w:val="0"/>
          <w:divBdr>
            <w:top w:val="none" w:sz="0" w:space="0" w:color="auto"/>
            <w:left w:val="none" w:sz="0" w:space="0" w:color="auto"/>
            <w:bottom w:val="none" w:sz="0" w:space="0" w:color="auto"/>
            <w:right w:val="none" w:sz="0" w:space="0" w:color="auto"/>
          </w:divBdr>
        </w:div>
        <w:div w:id="1226406742">
          <w:marLeft w:val="0"/>
          <w:marRight w:val="0"/>
          <w:marTop w:val="0"/>
          <w:marBottom w:val="0"/>
          <w:divBdr>
            <w:top w:val="none" w:sz="0" w:space="0" w:color="auto"/>
            <w:left w:val="none" w:sz="0" w:space="0" w:color="auto"/>
            <w:bottom w:val="none" w:sz="0" w:space="0" w:color="auto"/>
            <w:right w:val="none" w:sz="0" w:space="0" w:color="auto"/>
          </w:divBdr>
        </w:div>
        <w:div w:id="1278869872">
          <w:marLeft w:val="0"/>
          <w:marRight w:val="0"/>
          <w:marTop w:val="0"/>
          <w:marBottom w:val="0"/>
          <w:divBdr>
            <w:top w:val="none" w:sz="0" w:space="0" w:color="auto"/>
            <w:left w:val="none" w:sz="0" w:space="0" w:color="auto"/>
            <w:bottom w:val="none" w:sz="0" w:space="0" w:color="auto"/>
            <w:right w:val="none" w:sz="0" w:space="0" w:color="auto"/>
          </w:divBdr>
        </w:div>
      </w:divsChild>
    </w:div>
    <w:div w:id="1440493543">
      <w:bodyDiv w:val="1"/>
      <w:marLeft w:val="0"/>
      <w:marRight w:val="0"/>
      <w:marTop w:val="0"/>
      <w:marBottom w:val="0"/>
      <w:divBdr>
        <w:top w:val="none" w:sz="0" w:space="0" w:color="auto"/>
        <w:left w:val="none" w:sz="0" w:space="0" w:color="auto"/>
        <w:bottom w:val="none" w:sz="0" w:space="0" w:color="auto"/>
        <w:right w:val="none" w:sz="0" w:space="0" w:color="auto"/>
      </w:divBdr>
    </w:div>
    <w:div w:id="1493830935">
      <w:bodyDiv w:val="1"/>
      <w:marLeft w:val="0"/>
      <w:marRight w:val="0"/>
      <w:marTop w:val="0"/>
      <w:marBottom w:val="0"/>
      <w:divBdr>
        <w:top w:val="none" w:sz="0" w:space="0" w:color="auto"/>
        <w:left w:val="none" w:sz="0" w:space="0" w:color="auto"/>
        <w:bottom w:val="none" w:sz="0" w:space="0" w:color="auto"/>
        <w:right w:val="none" w:sz="0" w:space="0" w:color="auto"/>
      </w:divBdr>
      <w:divsChild>
        <w:div w:id="1646550235">
          <w:marLeft w:val="0"/>
          <w:marRight w:val="0"/>
          <w:marTop w:val="0"/>
          <w:marBottom w:val="0"/>
          <w:divBdr>
            <w:top w:val="none" w:sz="0" w:space="0" w:color="auto"/>
            <w:left w:val="none" w:sz="0" w:space="0" w:color="auto"/>
            <w:bottom w:val="none" w:sz="0" w:space="0" w:color="auto"/>
            <w:right w:val="none" w:sz="0" w:space="0" w:color="auto"/>
          </w:divBdr>
        </w:div>
        <w:div w:id="2033922127">
          <w:marLeft w:val="0"/>
          <w:marRight w:val="0"/>
          <w:marTop w:val="0"/>
          <w:marBottom w:val="0"/>
          <w:divBdr>
            <w:top w:val="none" w:sz="0" w:space="0" w:color="auto"/>
            <w:left w:val="none" w:sz="0" w:space="0" w:color="auto"/>
            <w:bottom w:val="none" w:sz="0" w:space="0" w:color="auto"/>
            <w:right w:val="none" w:sz="0" w:space="0" w:color="auto"/>
          </w:divBdr>
        </w:div>
        <w:div w:id="2050639970">
          <w:marLeft w:val="0"/>
          <w:marRight w:val="0"/>
          <w:marTop w:val="0"/>
          <w:marBottom w:val="0"/>
          <w:divBdr>
            <w:top w:val="none" w:sz="0" w:space="0" w:color="auto"/>
            <w:left w:val="none" w:sz="0" w:space="0" w:color="auto"/>
            <w:bottom w:val="none" w:sz="0" w:space="0" w:color="auto"/>
            <w:right w:val="none" w:sz="0" w:space="0" w:color="auto"/>
          </w:divBdr>
        </w:div>
      </w:divsChild>
    </w:div>
    <w:div w:id="1499690000">
      <w:bodyDiv w:val="1"/>
      <w:marLeft w:val="0"/>
      <w:marRight w:val="0"/>
      <w:marTop w:val="0"/>
      <w:marBottom w:val="0"/>
      <w:divBdr>
        <w:top w:val="none" w:sz="0" w:space="0" w:color="auto"/>
        <w:left w:val="none" w:sz="0" w:space="0" w:color="auto"/>
        <w:bottom w:val="none" w:sz="0" w:space="0" w:color="auto"/>
        <w:right w:val="none" w:sz="0" w:space="0" w:color="auto"/>
      </w:divBdr>
      <w:divsChild>
        <w:div w:id="607275909">
          <w:marLeft w:val="0"/>
          <w:marRight w:val="0"/>
          <w:marTop w:val="0"/>
          <w:marBottom w:val="0"/>
          <w:divBdr>
            <w:top w:val="none" w:sz="0" w:space="0" w:color="auto"/>
            <w:left w:val="none" w:sz="0" w:space="0" w:color="auto"/>
            <w:bottom w:val="none" w:sz="0" w:space="0" w:color="auto"/>
            <w:right w:val="none" w:sz="0" w:space="0" w:color="auto"/>
          </w:divBdr>
          <w:divsChild>
            <w:div w:id="423108057">
              <w:marLeft w:val="0"/>
              <w:marRight w:val="0"/>
              <w:marTop w:val="0"/>
              <w:marBottom w:val="0"/>
              <w:divBdr>
                <w:top w:val="none" w:sz="0" w:space="0" w:color="auto"/>
                <w:left w:val="none" w:sz="0" w:space="0" w:color="auto"/>
                <w:bottom w:val="none" w:sz="0" w:space="0" w:color="auto"/>
                <w:right w:val="none" w:sz="0" w:space="0" w:color="auto"/>
              </w:divBdr>
              <w:divsChild>
                <w:div w:id="572398468">
                  <w:marLeft w:val="0"/>
                  <w:marRight w:val="0"/>
                  <w:marTop w:val="0"/>
                  <w:marBottom w:val="0"/>
                  <w:divBdr>
                    <w:top w:val="none" w:sz="0" w:space="0" w:color="auto"/>
                    <w:left w:val="none" w:sz="0" w:space="0" w:color="auto"/>
                    <w:bottom w:val="none" w:sz="0" w:space="0" w:color="auto"/>
                    <w:right w:val="none" w:sz="0" w:space="0" w:color="auto"/>
                  </w:divBdr>
                  <w:divsChild>
                    <w:div w:id="2080202546">
                      <w:marLeft w:val="0"/>
                      <w:marRight w:val="0"/>
                      <w:marTop w:val="0"/>
                      <w:marBottom w:val="0"/>
                      <w:divBdr>
                        <w:top w:val="none" w:sz="0" w:space="0" w:color="auto"/>
                        <w:left w:val="none" w:sz="0" w:space="0" w:color="auto"/>
                        <w:bottom w:val="none" w:sz="0" w:space="0" w:color="auto"/>
                        <w:right w:val="none" w:sz="0" w:space="0" w:color="auto"/>
                      </w:divBdr>
                      <w:divsChild>
                        <w:div w:id="332227881">
                          <w:marLeft w:val="0"/>
                          <w:marRight w:val="0"/>
                          <w:marTop w:val="0"/>
                          <w:marBottom w:val="0"/>
                          <w:divBdr>
                            <w:top w:val="none" w:sz="0" w:space="0" w:color="auto"/>
                            <w:left w:val="none" w:sz="0" w:space="0" w:color="auto"/>
                            <w:bottom w:val="none" w:sz="0" w:space="0" w:color="auto"/>
                            <w:right w:val="none" w:sz="0" w:space="0" w:color="auto"/>
                          </w:divBdr>
                          <w:divsChild>
                            <w:div w:id="207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989736">
      <w:bodyDiv w:val="1"/>
      <w:marLeft w:val="0"/>
      <w:marRight w:val="0"/>
      <w:marTop w:val="0"/>
      <w:marBottom w:val="0"/>
      <w:divBdr>
        <w:top w:val="none" w:sz="0" w:space="0" w:color="auto"/>
        <w:left w:val="none" w:sz="0" w:space="0" w:color="auto"/>
        <w:bottom w:val="none" w:sz="0" w:space="0" w:color="auto"/>
        <w:right w:val="none" w:sz="0" w:space="0" w:color="auto"/>
      </w:divBdr>
    </w:div>
    <w:div w:id="1558470747">
      <w:bodyDiv w:val="1"/>
      <w:marLeft w:val="0"/>
      <w:marRight w:val="0"/>
      <w:marTop w:val="0"/>
      <w:marBottom w:val="0"/>
      <w:divBdr>
        <w:top w:val="none" w:sz="0" w:space="0" w:color="auto"/>
        <w:left w:val="none" w:sz="0" w:space="0" w:color="auto"/>
        <w:bottom w:val="none" w:sz="0" w:space="0" w:color="auto"/>
        <w:right w:val="none" w:sz="0" w:space="0" w:color="auto"/>
      </w:divBdr>
    </w:div>
    <w:div w:id="1558781071">
      <w:bodyDiv w:val="1"/>
      <w:marLeft w:val="0"/>
      <w:marRight w:val="0"/>
      <w:marTop w:val="0"/>
      <w:marBottom w:val="0"/>
      <w:divBdr>
        <w:top w:val="none" w:sz="0" w:space="0" w:color="auto"/>
        <w:left w:val="none" w:sz="0" w:space="0" w:color="auto"/>
        <w:bottom w:val="none" w:sz="0" w:space="0" w:color="auto"/>
        <w:right w:val="none" w:sz="0" w:space="0" w:color="auto"/>
      </w:divBdr>
    </w:div>
    <w:div w:id="1599681443">
      <w:bodyDiv w:val="1"/>
      <w:marLeft w:val="0"/>
      <w:marRight w:val="0"/>
      <w:marTop w:val="0"/>
      <w:marBottom w:val="0"/>
      <w:divBdr>
        <w:top w:val="none" w:sz="0" w:space="0" w:color="auto"/>
        <w:left w:val="none" w:sz="0" w:space="0" w:color="auto"/>
        <w:bottom w:val="none" w:sz="0" w:space="0" w:color="auto"/>
        <w:right w:val="none" w:sz="0" w:space="0" w:color="auto"/>
      </w:divBdr>
      <w:divsChild>
        <w:div w:id="1644653448">
          <w:marLeft w:val="0"/>
          <w:marRight w:val="0"/>
          <w:marTop w:val="0"/>
          <w:marBottom w:val="0"/>
          <w:divBdr>
            <w:top w:val="none" w:sz="0" w:space="0" w:color="auto"/>
            <w:left w:val="none" w:sz="0" w:space="0" w:color="auto"/>
            <w:bottom w:val="none" w:sz="0" w:space="0" w:color="auto"/>
            <w:right w:val="none" w:sz="0" w:space="0" w:color="auto"/>
          </w:divBdr>
        </w:div>
        <w:div w:id="1961451679">
          <w:marLeft w:val="0"/>
          <w:marRight w:val="0"/>
          <w:marTop w:val="0"/>
          <w:marBottom w:val="0"/>
          <w:divBdr>
            <w:top w:val="none" w:sz="0" w:space="0" w:color="auto"/>
            <w:left w:val="none" w:sz="0" w:space="0" w:color="auto"/>
            <w:bottom w:val="none" w:sz="0" w:space="0" w:color="auto"/>
            <w:right w:val="none" w:sz="0" w:space="0" w:color="auto"/>
          </w:divBdr>
        </w:div>
      </w:divsChild>
    </w:div>
    <w:div w:id="1603415603">
      <w:bodyDiv w:val="1"/>
      <w:marLeft w:val="0"/>
      <w:marRight w:val="0"/>
      <w:marTop w:val="0"/>
      <w:marBottom w:val="0"/>
      <w:divBdr>
        <w:top w:val="none" w:sz="0" w:space="0" w:color="auto"/>
        <w:left w:val="none" w:sz="0" w:space="0" w:color="auto"/>
        <w:bottom w:val="none" w:sz="0" w:space="0" w:color="auto"/>
        <w:right w:val="none" w:sz="0" w:space="0" w:color="auto"/>
      </w:divBdr>
    </w:div>
    <w:div w:id="1639410067">
      <w:bodyDiv w:val="1"/>
      <w:marLeft w:val="0"/>
      <w:marRight w:val="0"/>
      <w:marTop w:val="0"/>
      <w:marBottom w:val="0"/>
      <w:divBdr>
        <w:top w:val="none" w:sz="0" w:space="0" w:color="auto"/>
        <w:left w:val="none" w:sz="0" w:space="0" w:color="auto"/>
        <w:bottom w:val="none" w:sz="0" w:space="0" w:color="auto"/>
        <w:right w:val="none" w:sz="0" w:space="0" w:color="auto"/>
      </w:divBdr>
    </w:div>
    <w:div w:id="1659460901">
      <w:bodyDiv w:val="1"/>
      <w:marLeft w:val="0"/>
      <w:marRight w:val="0"/>
      <w:marTop w:val="0"/>
      <w:marBottom w:val="0"/>
      <w:divBdr>
        <w:top w:val="none" w:sz="0" w:space="0" w:color="auto"/>
        <w:left w:val="none" w:sz="0" w:space="0" w:color="auto"/>
        <w:bottom w:val="none" w:sz="0" w:space="0" w:color="auto"/>
        <w:right w:val="none" w:sz="0" w:space="0" w:color="auto"/>
      </w:divBdr>
    </w:div>
    <w:div w:id="1660694549">
      <w:bodyDiv w:val="1"/>
      <w:marLeft w:val="0"/>
      <w:marRight w:val="0"/>
      <w:marTop w:val="0"/>
      <w:marBottom w:val="0"/>
      <w:divBdr>
        <w:top w:val="none" w:sz="0" w:space="0" w:color="auto"/>
        <w:left w:val="none" w:sz="0" w:space="0" w:color="auto"/>
        <w:bottom w:val="none" w:sz="0" w:space="0" w:color="auto"/>
        <w:right w:val="none" w:sz="0" w:space="0" w:color="auto"/>
      </w:divBdr>
    </w:div>
    <w:div w:id="1703480367">
      <w:bodyDiv w:val="1"/>
      <w:marLeft w:val="0"/>
      <w:marRight w:val="0"/>
      <w:marTop w:val="0"/>
      <w:marBottom w:val="0"/>
      <w:divBdr>
        <w:top w:val="none" w:sz="0" w:space="0" w:color="auto"/>
        <w:left w:val="none" w:sz="0" w:space="0" w:color="auto"/>
        <w:bottom w:val="none" w:sz="0" w:space="0" w:color="auto"/>
        <w:right w:val="none" w:sz="0" w:space="0" w:color="auto"/>
      </w:divBdr>
    </w:div>
    <w:div w:id="1711957060">
      <w:bodyDiv w:val="1"/>
      <w:marLeft w:val="0"/>
      <w:marRight w:val="0"/>
      <w:marTop w:val="0"/>
      <w:marBottom w:val="0"/>
      <w:divBdr>
        <w:top w:val="none" w:sz="0" w:space="0" w:color="auto"/>
        <w:left w:val="none" w:sz="0" w:space="0" w:color="auto"/>
        <w:bottom w:val="none" w:sz="0" w:space="0" w:color="auto"/>
        <w:right w:val="none" w:sz="0" w:space="0" w:color="auto"/>
      </w:divBdr>
      <w:divsChild>
        <w:div w:id="6372468">
          <w:marLeft w:val="0"/>
          <w:marRight w:val="0"/>
          <w:marTop w:val="0"/>
          <w:marBottom w:val="0"/>
          <w:divBdr>
            <w:top w:val="none" w:sz="0" w:space="0" w:color="auto"/>
            <w:left w:val="none" w:sz="0" w:space="0" w:color="auto"/>
            <w:bottom w:val="none" w:sz="0" w:space="0" w:color="auto"/>
            <w:right w:val="none" w:sz="0" w:space="0" w:color="auto"/>
          </w:divBdr>
        </w:div>
        <w:div w:id="695887505">
          <w:marLeft w:val="0"/>
          <w:marRight w:val="0"/>
          <w:marTop w:val="0"/>
          <w:marBottom w:val="0"/>
          <w:divBdr>
            <w:top w:val="none" w:sz="0" w:space="0" w:color="auto"/>
            <w:left w:val="none" w:sz="0" w:space="0" w:color="auto"/>
            <w:bottom w:val="none" w:sz="0" w:space="0" w:color="auto"/>
            <w:right w:val="none" w:sz="0" w:space="0" w:color="auto"/>
          </w:divBdr>
        </w:div>
        <w:div w:id="1372729100">
          <w:marLeft w:val="0"/>
          <w:marRight w:val="0"/>
          <w:marTop w:val="0"/>
          <w:marBottom w:val="0"/>
          <w:divBdr>
            <w:top w:val="none" w:sz="0" w:space="0" w:color="auto"/>
            <w:left w:val="none" w:sz="0" w:space="0" w:color="auto"/>
            <w:bottom w:val="none" w:sz="0" w:space="0" w:color="auto"/>
            <w:right w:val="none" w:sz="0" w:space="0" w:color="auto"/>
          </w:divBdr>
        </w:div>
      </w:divsChild>
    </w:div>
    <w:div w:id="1736009010">
      <w:bodyDiv w:val="1"/>
      <w:marLeft w:val="0"/>
      <w:marRight w:val="0"/>
      <w:marTop w:val="0"/>
      <w:marBottom w:val="0"/>
      <w:divBdr>
        <w:top w:val="none" w:sz="0" w:space="0" w:color="auto"/>
        <w:left w:val="none" w:sz="0" w:space="0" w:color="auto"/>
        <w:bottom w:val="none" w:sz="0" w:space="0" w:color="auto"/>
        <w:right w:val="none" w:sz="0" w:space="0" w:color="auto"/>
      </w:divBdr>
      <w:divsChild>
        <w:div w:id="500632426">
          <w:marLeft w:val="0"/>
          <w:marRight w:val="0"/>
          <w:marTop w:val="0"/>
          <w:marBottom w:val="0"/>
          <w:divBdr>
            <w:top w:val="none" w:sz="0" w:space="0" w:color="auto"/>
            <w:left w:val="none" w:sz="0" w:space="0" w:color="auto"/>
            <w:bottom w:val="none" w:sz="0" w:space="0" w:color="auto"/>
            <w:right w:val="none" w:sz="0" w:space="0" w:color="auto"/>
          </w:divBdr>
          <w:divsChild>
            <w:div w:id="1051080472">
              <w:marLeft w:val="0"/>
              <w:marRight w:val="0"/>
              <w:marTop w:val="0"/>
              <w:marBottom w:val="0"/>
              <w:divBdr>
                <w:top w:val="none" w:sz="0" w:space="0" w:color="auto"/>
                <w:left w:val="none" w:sz="0" w:space="0" w:color="auto"/>
                <w:bottom w:val="none" w:sz="0" w:space="0" w:color="auto"/>
                <w:right w:val="none" w:sz="0" w:space="0" w:color="auto"/>
              </w:divBdr>
              <w:divsChild>
                <w:div w:id="658970867">
                  <w:marLeft w:val="0"/>
                  <w:marRight w:val="0"/>
                  <w:marTop w:val="0"/>
                  <w:marBottom w:val="0"/>
                  <w:divBdr>
                    <w:top w:val="none" w:sz="0" w:space="0" w:color="auto"/>
                    <w:left w:val="none" w:sz="0" w:space="0" w:color="auto"/>
                    <w:bottom w:val="none" w:sz="0" w:space="0" w:color="auto"/>
                    <w:right w:val="none" w:sz="0" w:space="0" w:color="auto"/>
                  </w:divBdr>
                  <w:divsChild>
                    <w:div w:id="1834374124">
                      <w:marLeft w:val="0"/>
                      <w:marRight w:val="0"/>
                      <w:marTop w:val="0"/>
                      <w:marBottom w:val="0"/>
                      <w:divBdr>
                        <w:top w:val="none" w:sz="0" w:space="0" w:color="auto"/>
                        <w:left w:val="none" w:sz="0" w:space="0" w:color="auto"/>
                        <w:bottom w:val="none" w:sz="0" w:space="0" w:color="auto"/>
                        <w:right w:val="none" w:sz="0" w:space="0" w:color="auto"/>
                      </w:divBdr>
                      <w:divsChild>
                        <w:div w:id="2030332328">
                          <w:marLeft w:val="0"/>
                          <w:marRight w:val="0"/>
                          <w:marTop w:val="0"/>
                          <w:marBottom w:val="0"/>
                          <w:divBdr>
                            <w:top w:val="none" w:sz="0" w:space="0" w:color="auto"/>
                            <w:left w:val="none" w:sz="0" w:space="0" w:color="auto"/>
                            <w:bottom w:val="none" w:sz="0" w:space="0" w:color="auto"/>
                            <w:right w:val="none" w:sz="0" w:space="0" w:color="auto"/>
                          </w:divBdr>
                          <w:divsChild>
                            <w:div w:id="3646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8945">
      <w:bodyDiv w:val="1"/>
      <w:marLeft w:val="0"/>
      <w:marRight w:val="0"/>
      <w:marTop w:val="0"/>
      <w:marBottom w:val="0"/>
      <w:divBdr>
        <w:top w:val="none" w:sz="0" w:space="0" w:color="auto"/>
        <w:left w:val="none" w:sz="0" w:space="0" w:color="auto"/>
        <w:bottom w:val="none" w:sz="0" w:space="0" w:color="auto"/>
        <w:right w:val="none" w:sz="0" w:space="0" w:color="auto"/>
      </w:divBdr>
      <w:divsChild>
        <w:div w:id="431628927">
          <w:marLeft w:val="0"/>
          <w:marRight w:val="0"/>
          <w:marTop w:val="0"/>
          <w:marBottom w:val="0"/>
          <w:divBdr>
            <w:top w:val="none" w:sz="0" w:space="0" w:color="auto"/>
            <w:left w:val="none" w:sz="0" w:space="0" w:color="auto"/>
            <w:bottom w:val="none" w:sz="0" w:space="0" w:color="auto"/>
            <w:right w:val="none" w:sz="0" w:space="0" w:color="auto"/>
          </w:divBdr>
        </w:div>
        <w:div w:id="546530722">
          <w:marLeft w:val="0"/>
          <w:marRight w:val="0"/>
          <w:marTop w:val="0"/>
          <w:marBottom w:val="0"/>
          <w:divBdr>
            <w:top w:val="none" w:sz="0" w:space="0" w:color="auto"/>
            <w:left w:val="none" w:sz="0" w:space="0" w:color="auto"/>
            <w:bottom w:val="none" w:sz="0" w:space="0" w:color="auto"/>
            <w:right w:val="none" w:sz="0" w:space="0" w:color="auto"/>
          </w:divBdr>
        </w:div>
      </w:divsChild>
    </w:div>
    <w:div w:id="1827739451">
      <w:bodyDiv w:val="1"/>
      <w:marLeft w:val="0"/>
      <w:marRight w:val="0"/>
      <w:marTop w:val="0"/>
      <w:marBottom w:val="0"/>
      <w:divBdr>
        <w:top w:val="none" w:sz="0" w:space="0" w:color="auto"/>
        <w:left w:val="none" w:sz="0" w:space="0" w:color="auto"/>
        <w:bottom w:val="none" w:sz="0" w:space="0" w:color="auto"/>
        <w:right w:val="none" w:sz="0" w:space="0" w:color="auto"/>
      </w:divBdr>
    </w:div>
    <w:div w:id="1833831355">
      <w:bodyDiv w:val="1"/>
      <w:marLeft w:val="0"/>
      <w:marRight w:val="0"/>
      <w:marTop w:val="0"/>
      <w:marBottom w:val="0"/>
      <w:divBdr>
        <w:top w:val="none" w:sz="0" w:space="0" w:color="auto"/>
        <w:left w:val="none" w:sz="0" w:space="0" w:color="auto"/>
        <w:bottom w:val="none" w:sz="0" w:space="0" w:color="auto"/>
        <w:right w:val="none" w:sz="0" w:space="0" w:color="auto"/>
      </w:divBdr>
    </w:div>
    <w:div w:id="1843544233">
      <w:bodyDiv w:val="1"/>
      <w:marLeft w:val="0"/>
      <w:marRight w:val="0"/>
      <w:marTop w:val="0"/>
      <w:marBottom w:val="0"/>
      <w:divBdr>
        <w:top w:val="none" w:sz="0" w:space="0" w:color="auto"/>
        <w:left w:val="none" w:sz="0" w:space="0" w:color="auto"/>
        <w:bottom w:val="none" w:sz="0" w:space="0" w:color="auto"/>
        <w:right w:val="none" w:sz="0" w:space="0" w:color="auto"/>
      </w:divBdr>
      <w:divsChild>
        <w:div w:id="1082217988">
          <w:marLeft w:val="0"/>
          <w:marRight w:val="0"/>
          <w:marTop w:val="0"/>
          <w:marBottom w:val="0"/>
          <w:divBdr>
            <w:top w:val="none" w:sz="0" w:space="0" w:color="auto"/>
            <w:left w:val="none" w:sz="0" w:space="0" w:color="auto"/>
            <w:bottom w:val="none" w:sz="0" w:space="0" w:color="auto"/>
            <w:right w:val="none" w:sz="0" w:space="0" w:color="auto"/>
          </w:divBdr>
        </w:div>
        <w:div w:id="1125199810">
          <w:marLeft w:val="0"/>
          <w:marRight w:val="0"/>
          <w:marTop w:val="0"/>
          <w:marBottom w:val="0"/>
          <w:divBdr>
            <w:top w:val="none" w:sz="0" w:space="0" w:color="auto"/>
            <w:left w:val="none" w:sz="0" w:space="0" w:color="auto"/>
            <w:bottom w:val="none" w:sz="0" w:space="0" w:color="auto"/>
            <w:right w:val="none" w:sz="0" w:space="0" w:color="auto"/>
          </w:divBdr>
        </w:div>
      </w:divsChild>
    </w:div>
    <w:div w:id="1886791813">
      <w:bodyDiv w:val="1"/>
      <w:marLeft w:val="0"/>
      <w:marRight w:val="0"/>
      <w:marTop w:val="0"/>
      <w:marBottom w:val="0"/>
      <w:divBdr>
        <w:top w:val="none" w:sz="0" w:space="0" w:color="auto"/>
        <w:left w:val="none" w:sz="0" w:space="0" w:color="auto"/>
        <w:bottom w:val="none" w:sz="0" w:space="0" w:color="auto"/>
        <w:right w:val="none" w:sz="0" w:space="0" w:color="auto"/>
      </w:divBdr>
    </w:div>
    <w:div w:id="1890259759">
      <w:bodyDiv w:val="1"/>
      <w:marLeft w:val="0"/>
      <w:marRight w:val="0"/>
      <w:marTop w:val="0"/>
      <w:marBottom w:val="0"/>
      <w:divBdr>
        <w:top w:val="none" w:sz="0" w:space="0" w:color="auto"/>
        <w:left w:val="none" w:sz="0" w:space="0" w:color="auto"/>
        <w:bottom w:val="none" w:sz="0" w:space="0" w:color="auto"/>
        <w:right w:val="none" w:sz="0" w:space="0" w:color="auto"/>
      </w:divBdr>
    </w:div>
    <w:div w:id="1952586873">
      <w:bodyDiv w:val="1"/>
      <w:marLeft w:val="0"/>
      <w:marRight w:val="0"/>
      <w:marTop w:val="0"/>
      <w:marBottom w:val="0"/>
      <w:divBdr>
        <w:top w:val="none" w:sz="0" w:space="0" w:color="auto"/>
        <w:left w:val="none" w:sz="0" w:space="0" w:color="auto"/>
        <w:bottom w:val="none" w:sz="0" w:space="0" w:color="auto"/>
        <w:right w:val="none" w:sz="0" w:space="0" w:color="auto"/>
      </w:divBdr>
    </w:div>
    <w:div w:id="1988389666">
      <w:bodyDiv w:val="1"/>
      <w:marLeft w:val="0"/>
      <w:marRight w:val="0"/>
      <w:marTop w:val="0"/>
      <w:marBottom w:val="0"/>
      <w:divBdr>
        <w:top w:val="none" w:sz="0" w:space="0" w:color="auto"/>
        <w:left w:val="none" w:sz="0" w:space="0" w:color="auto"/>
        <w:bottom w:val="none" w:sz="0" w:space="0" w:color="auto"/>
        <w:right w:val="none" w:sz="0" w:space="0" w:color="auto"/>
      </w:divBdr>
    </w:div>
    <w:div w:id="2010524146">
      <w:bodyDiv w:val="1"/>
      <w:marLeft w:val="0"/>
      <w:marRight w:val="0"/>
      <w:marTop w:val="0"/>
      <w:marBottom w:val="0"/>
      <w:divBdr>
        <w:top w:val="none" w:sz="0" w:space="0" w:color="auto"/>
        <w:left w:val="none" w:sz="0" w:space="0" w:color="auto"/>
        <w:bottom w:val="none" w:sz="0" w:space="0" w:color="auto"/>
        <w:right w:val="none" w:sz="0" w:space="0" w:color="auto"/>
      </w:divBdr>
    </w:div>
    <w:div w:id="2050178493">
      <w:bodyDiv w:val="1"/>
      <w:marLeft w:val="0"/>
      <w:marRight w:val="0"/>
      <w:marTop w:val="0"/>
      <w:marBottom w:val="0"/>
      <w:divBdr>
        <w:top w:val="none" w:sz="0" w:space="0" w:color="auto"/>
        <w:left w:val="none" w:sz="0" w:space="0" w:color="auto"/>
        <w:bottom w:val="none" w:sz="0" w:space="0" w:color="auto"/>
        <w:right w:val="none" w:sz="0" w:space="0" w:color="auto"/>
      </w:divBdr>
    </w:div>
    <w:div w:id="2068675303">
      <w:bodyDiv w:val="1"/>
      <w:marLeft w:val="0"/>
      <w:marRight w:val="0"/>
      <w:marTop w:val="0"/>
      <w:marBottom w:val="0"/>
      <w:divBdr>
        <w:top w:val="none" w:sz="0" w:space="0" w:color="auto"/>
        <w:left w:val="none" w:sz="0" w:space="0" w:color="auto"/>
        <w:bottom w:val="none" w:sz="0" w:space="0" w:color="auto"/>
        <w:right w:val="none" w:sz="0" w:space="0" w:color="auto"/>
      </w:divBdr>
    </w:div>
    <w:div w:id="2080055382">
      <w:bodyDiv w:val="1"/>
      <w:marLeft w:val="0"/>
      <w:marRight w:val="0"/>
      <w:marTop w:val="0"/>
      <w:marBottom w:val="0"/>
      <w:divBdr>
        <w:top w:val="none" w:sz="0" w:space="0" w:color="auto"/>
        <w:left w:val="none" w:sz="0" w:space="0" w:color="auto"/>
        <w:bottom w:val="none" w:sz="0" w:space="0" w:color="auto"/>
        <w:right w:val="none" w:sz="0" w:space="0" w:color="auto"/>
      </w:divBdr>
    </w:div>
    <w:div w:id="2119134603">
      <w:bodyDiv w:val="1"/>
      <w:marLeft w:val="0"/>
      <w:marRight w:val="0"/>
      <w:marTop w:val="0"/>
      <w:marBottom w:val="0"/>
      <w:divBdr>
        <w:top w:val="none" w:sz="0" w:space="0" w:color="auto"/>
        <w:left w:val="none" w:sz="0" w:space="0" w:color="auto"/>
        <w:bottom w:val="none" w:sz="0" w:space="0" w:color="auto"/>
        <w:right w:val="none" w:sz="0" w:space="0" w:color="auto"/>
      </w:divBdr>
    </w:div>
    <w:div w:id="2130127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efieo.org/sites/default/files/documents/evaluations/terminal-evaluations-2023.pdf" TargetMode="External"/><Relationship Id="rId1" Type="http://schemas.openxmlformats.org/officeDocument/2006/relationships/hyperlink" Target="https://erc.undp.org/pdf/TE_GuidanceforUNDP-supportedGEF-financedProjects.pdf"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16F400C0F144B44AC5A5A2197DF764F" ma:contentTypeVersion="15" ma:contentTypeDescription="Create a new document." ma:contentTypeScope="" ma:versionID="141f7250122de116f8fbb39d46b66a28">
  <xsd:schema xmlns:xsd="http://www.w3.org/2001/XMLSchema" xmlns:xs="http://www.w3.org/2001/XMLSchema" xmlns:p="http://schemas.microsoft.com/office/2006/metadata/properties" xmlns:ns2="e595edad-647b-40b0-9e48-6b567cf22bac" xmlns:ns3="8dec7b9a-26e6-4f9d-afa7-aee6d13c057a" targetNamespace="http://schemas.microsoft.com/office/2006/metadata/properties" ma:root="true" ma:fieldsID="4347b26056417d991216cb08ad078345" ns2:_="" ns3:_="">
    <xsd:import namespace="e595edad-647b-40b0-9e48-6b567cf22bac"/>
    <xsd:import namespace="8dec7b9a-26e6-4f9d-afa7-aee6d13c05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5edad-647b-40b0-9e48-6b567cf22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ec7b9a-26e6-4f9d-afa7-aee6d13c057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a8c615-9227-4f79-b2cd-2f1d554ed506}" ma:internalName="TaxCatchAll" ma:showField="CatchAllData" ma:web="8dec7b9a-26e6-4f9d-afa7-aee6d13c057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ec7b9a-26e6-4f9d-afa7-aee6d13c057a" xsi:nil="true"/>
    <lcf76f155ced4ddcb4097134ff3c332f xmlns="e595edad-647b-40b0-9e48-6b567cf22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63B217-F432-4CBD-8F53-F5E4D78D0FB7}">
  <ds:schemaRefs>
    <ds:schemaRef ds:uri="http://schemas.microsoft.com/sharepoint/v3/contenttype/forms"/>
  </ds:schemaRefs>
</ds:datastoreItem>
</file>

<file path=customXml/itemProps2.xml><?xml version="1.0" encoding="utf-8"?>
<ds:datastoreItem xmlns:ds="http://schemas.openxmlformats.org/officeDocument/2006/customXml" ds:itemID="{8DB4E28A-B498-4C60-B3AE-8ACD298DB4E5}">
  <ds:schemaRefs>
    <ds:schemaRef ds:uri="http://schemas.openxmlformats.org/officeDocument/2006/bibliography"/>
  </ds:schemaRefs>
</ds:datastoreItem>
</file>

<file path=customXml/itemProps3.xml><?xml version="1.0" encoding="utf-8"?>
<ds:datastoreItem xmlns:ds="http://schemas.openxmlformats.org/officeDocument/2006/customXml" ds:itemID="{4DF93B95-0F40-4C19-84E2-C222FC89B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5edad-647b-40b0-9e48-6b567cf22bac"/>
    <ds:schemaRef ds:uri="8dec7b9a-26e6-4f9d-afa7-aee6d13c0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358B74-FBC9-4D6B-AEA5-DC9BD3CFEC24}">
  <ds:schemaRefs>
    <ds:schemaRef ds:uri="http://schemas.microsoft.com/office/2006/metadata/properties"/>
    <ds:schemaRef ds:uri="http://schemas.microsoft.com/office/infopath/2007/PartnerControls"/>
    <ds:schemaRef ds:uri="8dec7b9a-26e6-4f9d-afa7-aee6d13c057a"/>
    <ds:schemaRef ds:uri="e595edad-647b-40b0-9e48-6b567cf22bac"/>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106</Pages>
  <Words>34263</Words>
  <Characters>195300</Characters>
  <Application>Microsoft Office Word</Application>
  <DocSecurity>0</DocSecurity>
  <Lines>1627</Lines>
  <Paragraphs>458</Paragraphs>
  <ScaleCrop>false</ScaleCrop>
  <Company/>
  <LinksUpToDate>false</LinksUpToDate>
  <CharactersWithSpaces>229105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Medcalf</dc:creator>
  <cp:keywords/>
  <dc:description/>
  <cp:lastModifiedBy>Elise Moo</cp:lastModifiedBy>
  <cp:revision>16</cp:revision>
  <dcterms:created xsi:type="dcterms:W3CDTF">2024-09-17T05:34:00Z</dcterms:created>
  <dcterms:modified xsi:type="dcterms:W3CDTF">2024-09-17T06:42:00Z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0x010100416F400C0F144B44AC5A5A2197DF764F</vt:lpwstr>
  </property>
  <property fmtid="{D5CDD505-2E9C-101B-9397-08002B2CF9AE}" pid="3" name="MediaServiceImageTags">
    <vt:lpwstr/>
  </property>
</Properties>
</file>