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65" w:rsidRDefault="008D3165" w:rsidP="008D3165">
      <w:pPr>
        <w:jc w:val="center"/>
        <w:rPr>
          <w:b/>
          <w:u w:val="single"/>
          <w:lang w:val="fr-FR"/>
        </w:rPr>
      </w:pPr>
      <w:bookmarkStart w:id="0" w:name="_Toc168908728"/>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Default="008D3165" w:rsidP="008D3165">
      <w:pPr>
        <w:jc w:val="center"/>
        <w:rPr>
          <w:b/>
          <w:u w:val="single"/>
          <w:lang w:val="fr-FR"/>
        </w:rPr>
      </w:pPr>
    </w:p>
    <w:p w:rsidR="008D3165" w:rsidRPr="008D3165" w:rsidRDefault="008D3165" w:rsidP="008D3165">
      <w:pPr>
        <w:jc w:val="center"/>
        <w:rPr>
          <w:b/>
          <w:u w:val="single"/>
          <w:lang w:val="fr-FR"/>
        </w:rPr>
      </w:pPr>
      <w:r w:rsidRPr="008D3165">
        <w:rPr>
          <w:b/>
          <w:u w:val="single"/>
          <w:lang w:val="fr-FR"/>
        </w:rPr>
        <w:t>EVALUATION PADMIR : ENSEIGNEMENTS ET RECOMMANDATIONS</w:t>
      </w:r>
    </w:p>
    <w:p w:rsidR="008D3165" w:rsidRPr="00047211" w:rsidRDefault="008D3165" w:rsidP="008D3165">
      <w:pPr>
        <w:pStyle w:val="Titre1"/>
        <w:rPr>
          <w:lang w:val="fr-FR"/>
        </w:rPr>
      </w:pPr>
      <w:r w:rsidRPr="00047211">
        <w:rPr>
          <w:lang w:val="fr-FR"/>
        </w:rPr>
        <w:lastRenderedPageBreak/>
        <w:t>ENSEIGNEMENTS</w:t>
      </w:r>
      <w:bookmarkEnd w:id="0"/>
    </w:p>
    <w:p w:rsidR="008D3165" w:rsidRPr="00047211" w:rsidRDefault="008D3165" w:rsidP="008D3165">
      <w:pPr>
        <w:rPr>
          <w:lang w:val="fr-SN"/>
        </w:rPr>
      </w:pPr>
    </w:p>
    <w:p w:rsidR="008D3165" w:rsidRPr="00047211" w:rsidRDefault="008D3165" w:rsidP="008D3165">
      <w:pPr>
        <w:rPr>
          <w:lang w:val="fr-SN"/>
        </w:rPr>
      </w:pPr>
      <w:r w:rsidRPr="00047211">
        <w:rPr>
          <w:lang w:val="fr-SN"/>
        </w:rPr>
        <w:t>Il est utile ici de distinguer entre deux niveaux</w:t>
      </w:r>
      <w:r>
        <w:rPr>
          <w:lang w:val="fr-SN"/>
        </w:rPr>
        <w:t xml:space="preserve"> d’enseignements</w:t>
      </w:r>
      <w:r w:rsidRPr="00047211">
        <w:rPr>
          <w:lang w:val="fr-SN"/>
        </w:rPr>
        <w:t> : les enseignements d’ordre général qui se rapportent à l’hypoth</w:t>
      </w:r>
      <w:r w:rsidRPr="00047211">
        <w:rPr>
          <w:bCs/>
          <w:lang w:val="fr-SN"/>
        </w:rPr>
        <w:t>è</w:t>
      </w:r>
      <w:r w:rsidRPr="00047211">
        <w:rPr>
          <w:lang w:val="fr-SN"/>
        </w:rPr>
        <w:t>se centrale du PADMIR, et les enseignements spécifiques au programme.</w:t>
      </w:r>
    </w:p>
    <w:p w:rsidR="008D3165" w:rsidRPr="00047211" w:rsidRDefault="008D3165" w:rsidP="008D3165">
      <w:pPr>
        <w:rPr>
          <w:lang w:val="fr-SN"/>
        </w:rPr>
      </w:pPr>
    </w:p>
    <w:p w:rsidR="008D3165" w:rsidRPr="00047211" w:rsidRDefault="008D3165" w:rsidP="008D3165">
      <w:pPr>
        <w:rPr>
          <w:u w:val="single"/>
          <w:lang w:val="fr-SN"/>
        </w:rPr>
      </w:pPr>
      <w:r w:rsidRPr="00047211">
        <w:rPr>
          <w:u w:val="single"/>
          <w:lang w:val="fr-SN"/>
        </w:rPr>
        <w:t>Enseignement d’ordre général :</w:t>
      </w:r>
    </w:p>
    <w:p w:rsidR="008D3165" w:rsidRDefault="008D3165" w:rsidP="008D3165">
      <w:pPr>
        <w:rPr>
          <w:lang w:val="fr-SN"/>
        </w:rPr>
      </w:pPr>
    </w:p>
    <w:p w:rsidR="008D3165" w:rsidRDefault="008D3165" w:rsidP="008D3165">
      <w:pPr>
        <w:rPr>
          <w:lang w:val="fr-SN"/>
        </w:rPr>
      </w:pPr>
      <w:r w:rsidRPr="00047211">
        <w:rPr>
          <w:lang w:val="fr-SN"/>
        </w:rPr>
        <w:t>Le PADMIR a démontré qu’un PDL centré sur l’introduction d’un mécanisme de financement décentralisé pour la réalisation d’infrastructures communautaires pouvait conduire à une FIS améliorée, ayant un impact positif sur les conditions de vie des pauvres. Cependant, inculquer ce système dans des CR avec une faible capacité financi</w:t>
      </w:r>
      <w:r w:rsidRPr="00047211">
        <w:rPr>
          <w:bCs/>
          <w:lang w:val="fr-SN"/>
        </w:rPr>
        <w:t>è</w:t>
      </w:r>
      <w:r w:rsidRPr="00047211">
        <w:rPr>
          <w:lang w:val="fr-SN"/>
        </w:rPr>
        <w:t xml:space="preserve">re, technique et humaine ne peut se faire que lentement. Ainsi, la durée initialement prévue de 5 ans pour un tel programme était trop courte pour avoir un réel impact sur les comportements et pratiques de la décentralisation. </w:t>
      </w:r>
    </w:p>
    <w:p w:rsidR="008D3165" w:rsidRDefault="008D3165" w:rsidP="008D3165">
      <w:pPr>
        <w:rPr>
          <w:lang w:val="fr-SN"/>
        </w:rPr>
      </w:pPr>
    </w:p>
    <w:p w:rsidR="008D3165" w:rsidRDefault="008D3165" w:rsidP="008D3165">
      <w:pPr>
        <w:rPr>
          <w:lang w:val="fr-SN"/>
        </w:rPr>
      </w:pPr>
      <w:r w:rsidRPr="00047211">
        <w:rPr>
          <w:lang w:val="fr-SN"/>
        </w:rPr>
        <w:t>Par ailleurs, la durabilité d’un tel système, et surtout, le fait d’assurer que prendront racine une croissance continue et une dynamique de développement basée sur l’apprentissage et l’innovation, repr</w:t>
      </w:r>
      <w:r w:rsidRPr="00F013EF">
        <w:rPr>
          <w:lang w:val="fr-SN"/>
        </w:rPr>
        <w:t>é</w:t>
      </w:r>
      <w:r w:rsidRPr="00047211">
        <w:rPr>
          <w:lang w:val="fr-SN"/>
        </w:rPr>
        <w:t>sentent des défis majeurs. Cela exige non seulement une période d’intervention plus longue, mais également la prise en charge de nouveaux éléments qui ne sont pas encore pleinement développés au sein du mod</w:t>
      </w:r>
      <w:r w:rsidRPr="005D755F">
        <w:rPr>
          <w:bCs/>
          <w:lang w:val="fr-SN"/>
        </w:rPr>
        <w:t>è</w:t>
      </w:r>
      <w:r w:rsidRPr="00047211">
        <w:rPr>
          <w:lang w:val="fr-SN"/>
        </w:rPr>
        <w:t>le PDL, à savoir le DEL et la GRN.</w:t>
      </w:r>
    </w:p>
    <w:p w:rsidR="008D3165" w:rsidRDefault="008D3165" w:rsidP="008D3165">
      <w:pPr>
        <w:rPr>
          <w:lang w:val="fr-SN"/>
        </w:rPr>
      </w:pPr>
    </w:p>
    <w:p w:rsidR="008D3165" w:rsidRDefault="008D3165" w:rsidP="008D3165">
      <w:pPr>
        <w:rPr>
          <w:lang w:val="fr-SN"/>
        </w:rPr>
      </w:pPr>
      <w:r>
        <w:rPr>
          <w:lang w:val="fr-SN"/>
        </w:rPr>
        <w:t xml:space="preserve">Le second enseignement se rapporte </w:t>
      </w:r>
      <w:r w:rsidRPr="00047211">
        <w:rPr>
          <w:lang w:val="fr-SN"/>
        </w:rPr>
        <w:t>à</w:t>
      </w:r>
      <w:r>
        <w:rPr>
          <w:lang w:val="fr-SN"/>
        </w:rPr>
        <w:t xml:space="preserve"> la gestion des risques dans le cadre de la mise en œuvre du PADMIR. Il s’agit en particulier, comme le mentionnait déjà l’evaluation </w:t>
      </w:r>
      <w:r w:rsidRPr="00577CAA">
        <w:rPr>
          <w:lang w:val="fr-SN"/>
        </w:rPr>
        <w:t>à</w:t>
      </w:r>
      <w:r>
        <w:rPr>
          <w:lang w:val="fr-SN"/>
        </w:rPr>
        <w:t xml:space="preserve"> mi-parcours, de l’importance d’actualiser r</w:t>
      </w:r>
      <w:r w:rsidRPr="00F013EF">
        <w:rPr>
          <w:lang w:val="fr-SN"/>
        </w:rPr>
        <w:t>é</w:t>
      </w:r>
      <w:r>
        <w:rPr>
          <w:lang w:val="fr-SN"/>
        </w:rPr>
        <w:t>guli</w:t>
      </w:r>
      <w:r w:rsidRPr="00047211">
        <w:rPr>
          <w:bCs/>
          <w:lang w:val="fr-SN"/>
        </w:rPr>
        <w:t>è</w:t>
      </w:r>
      <w:r>
        <w:rPr>
          <w:lang w:val="fr-SN"/>
        </w:rPr>
        <w:t>rement les conditions critiques d’un projet pilote tel que le PADMIR, dont la philosophie d’intervention est bas</w:t>
      </w:r>
      <w:r w:rsidRPr="00F013EF">
        <w:rPr>
          <w:lang w:val="fr-SN"/>
        </w:rPr>
        <w:t>é</w:t>
      </w:r>
      <w:r>
        <w:rPr>
          <w:lang w:val="fr-SN"/>
        </w:rPr>
        <w:t>e sur la responsabilisation des structures existantes. Un tel proc</w:t>
      </w:r>
      <w:r w:rsidRPr="00F013EF">
        <w:rPr>
          <w:lang w:val="fr-SN"/>
        </w:rPr>
        <w:t>é</w:t>
      </w:r>
      <w:r>
        <w:rPr>
          <w:lang w:val="fr-SN"/>
        </w:rPr>
        <w:t>d</w:t>
      </w:r>
      <w:r w:rsidRPr="00F013EF">
        <w:rPr>
          <w:lang w:val="fr-SN"/>
        </w:rPr>
        <w:t>é</w:t>
      </w:r>
      <w:r>
        <w:rPr>
          <w:lang w:val="fr-SN"/>
        </w:rPr>
        <w:t xml:space="preserve"> aurait permis de r</w:t>
      </w:r>
      <w:r w:rsidRPr="00F013EF">
        <w:rPr>
          <w:lang w:val="fr-SN"/>
        </w:rPr>
        <w:t>é</w:t>
      </w:r>
      <w:r>
        <w:rPr>
          <w:lang w:val="fr-SN"/>
        </w:rPr>
        <w:t xml:space="preserve">pondre </w:t>
      </w:r>
      <w:r w:rsidRPr="00047211">
        <w:rPr>
          <w:lang w:val="fr-SN"/>
        </w:rPr>
        <w:t>à</w:t>
      </w:r>
      <w:r>
        <w:rPr>
          <w:lang w:val="fr-SN"/>
        </w:rPr>
        <w:t xml:space="preserve"> l’</w:t>
      </w:r>
      <w:r w:rsidRPr="00F013EF">
        <w:rPr>
          <w:lang w:val="fr-SN"/>
        </w:rPr>
        <w:t>é</w:t>
      </w:r>
      <w:r>
        <w:rPr>
          <w:lang w:val="fr-SN"/>
        </w:rPr>
        <w:t>volution d</w:t>
      </w:r>
      <w:r w:rsidRPr="00F013EF">
        <w:rPr>
          <w:lang w:val="fr-SN"/>
        </w:rPr>
        <w:t>é</w:t>
      </w:r>
      <w:r>
        <w:rPr>
          <w:lang w:val="fr-SN"/>
        </w:rPr>
        <w:t xml:space="preserve">favorable du contexte politique, institutionnel et </w:t>
      </w:r>
      <w:r w:rsidRPr="00F013EF">
        <w:rPr>
          <w:lang w:val="fr-SN"/>
        </w:rPr>
        <w:t>é</w:t>
      </w:r>
      <w:r>
        <w:rPr>
          <w:lang w:val="fr-SN"/>
        </w:rPr>
        <w:t>conomique et aurait été particuli</w:t>
      </w:r>
      <w:r w:rsidRPr="00047211">
        <w:rPr>
          <w:bCs/>
          <w:lang w:val="fr-SN"/>
        </w:rPr>
        <w:t>è</w:t>
      </w:r>
      <w:r>
        <w:rPr>
          <w:lang w:val="fr-SN"/>
        </w:rPr>
        <w:t xml:space="preserve">rement pertinent  </w:t>
      </w:r>
      <w:r w:rsidRPr="00047211">
        <w:rPr>
          <w:lang w:val="fr-SN"/>
        </w:rPr>
        <w:t>à</w:t>
      </w:r>
      <w:r>
        <w:rPr>
          <w:lang w:val="fr-SN"/>
        </w:rPr>
        <w:t xml:space="preserve"> l’issue de la phase pilote du programme.</w:t>
      </w:r>
    </w:p>
    <w:p w:rsidR="008D3165" w:rsidRPr="00047211" w:rsidRDefault="008D3165" w:rsidP="008D3165">
      <w:pPr>
        <w:rPr>
          <w:lang w:val="fr-SN"/>
        </w:rPr>
      </w:pPr>
    </w:p>
    <w:p w:rsidR="008D3165" w:rsidRPr="00066834" w:rsidRDefault="008D3165" w:rsidP="008D3165">
      <w:pPr>
        <w:rPr>
          <w:u w:val="single"/>
          <w:lang w:val="fr-FR"/>
        </w:rPr>
      </w:pPr>
      <w:r w:rsidRPr="00066834">
        <w:rPr>
          <w:u w:val="single"/>
          <w:lang w:val="fr-FR"/>
        </w:rPr>
        <w:t>Enseignements sp</w:t>
      </w:r>
      <w:r w:rsidRPr="00047211">
        <w:rPr>
          <w:u w:val="single"/>
          <w:lang w:val="fr-SN"/>
        </w:rPr>
        <w:t>é</w:t>
      </w:r>
      <w:r w:rsidRPr="00066834">
        <w:rPr>
          <w:u w:val="single"/>
          <w:lang w:val="fr-FR"/>
        </w:rPr>
        <w:t>cifiques:</w:t>
      </w:r>
    </w:p>
    <w:p w:rsidR="008D3165" w:rsidRPr="00066834" w:rsidRDefault="008D3165" w:rsidP="008D3165">
      <w:pPr>
        <w:rPr>
          <w:lang w:val="fr-FR"/>
        </w:rPr>
      </w:pPr>
    </w:p>
    <w:p w:rsidR="008D3165" w:rsidRPr="00047211" w:rsidRDefault="008D3165" w:rsidP="008D3165">
      <w:pPr>
        <w:numPr>
          <w:ilvl w:val="0"/>
          <w:numId w:val="2"/>
        </w:numPr>
        <w:rPr>
          <w:lang w:val="fr-SN"/>
        </w:rPr>
      </w:pPr>
      <w:r w:rsidRPr="00047211">
        <w:rPr>
          <w:lang w:val="fr-SN"/>
        </w:rPr>
        <w:t xml:space="preserve">La formalisation des relations entre les différents acteurs au niveau local (notamment </w:t>
      </w:r>
      <w:r>
        <w:rPr>
          <w:lang w:val="fr-SN"/>
        </w:rPr>
        <w:t xml:space="preserve">entre </w:t>
      </w:r>
      <w:r w:rsidRPr="00047211">
        <w:rPr>
          <w:lang w:val="fr-SN"/>
        </w:rPr>
        <w:t>CR et CG, CR et cadres de concertation, CR et STD) et la satisfaction de leurs besoins en mati</w:t>
      </w:r>
      <w:r w:rsidRPr="00066834">
        <w:rPr>
          <w:lang w:val="fr-SN"/>
        </w:rPr>
        <w:t>è</w:t>
      </w:r>
      <w:r w:rsidRPr="00047211">
        <w:rPr>
          <w:lang w:val="fr-SN"/>
        </w:rPr>
        <w:t>re de renforcement des capacités constituent des préalables indispensables à une réalisation efficace d’investissements communautaires. Les cadres de concertation mis en place par le PADMIR (CVD, CIVD, CLO) auraient ainsi bénéficié d’une intégration formelle dans les CR et d’une plus grande valorisation aupr</w:t>
      </w:r>
      <w:r w:rsidRPr="00066834">
        <w:rPr>
          <w:lang w:val="fr-SN"/>
        </w:rPr>
        <w:t>è</w:t>
      </w:r>
      <w:r w:rsidRPr="00047211">
        <w:rPr>
          <w:lang w:val="fr-SN"/>
        </w:rPr>
        <w:t>s des partenaires locaux.</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L’appui budgétaire aux CL a constitué une contrainte pour la r</w:t>
      </w:r>
      <w:r w:rsidRPr="00F013EF">
        <w:rPr>
          <w:lang w:val="fr-SN"/>
        </w:rPr>
        <w:t>é</w:t>
      </w:r>
      <w:r w:rsidRPr="00047211">
        <w:rPr>
          <w:lang w:val="fr-SN"/>
        </w:rPr>
        <w:t xml:space="preserve">alisation des infrastructures et a ralenti le rythme des investissements et de mise en œuvre des micro-projets. Il doit donc impérativement s’accompagner au plan institutionnel du renforcement des services de l’Etat qui doivent le soutenir. En effet, en l’absence de services déconcentrés compétents et bien outillés (sur le plan humain, financier, matériel et </w:t>
      </w:r>
      <w:r w:rsidRPr="00047211">
        <w:rPr>
          <w:lang w:val="fr-SN"/>
        </w:rPr>
        <w:lastRenderedPageBreak/>
        <w:t>informatique), la réussite de ce mécanisme</w:t>
      </w:r>
      <w:r>
        <w:rPr>
          <w:lang w:val="fr-SN"/>
        </w:rPr>
        <w:t xml:space="preserve"> de financement d</w:t>
      </w:r>
      <w:r w:rsidRPr="00F013EF">
        <w:rPr>
          <w:lang w:val="fr-SN"/>
        </w:rPr>
        <w:t>é</w:t>
      </w:r>
      <w:r>
        <w:rPr>
          <w:lang w:val="fr-SN"/>
        </w:rPr>
        <w:t>centralis</w:t>
      </w:r>
      <w:r w:rsidRPr="00F013EF">
        <w:rPr>
          <w:lang w:val="fr-SN"/>
        </w:rPr>
        <w:t>é</w:t>
      </w:r>
      <w:r w:rsidRPr="00047211">
        <w:rPr>
          <w:lang w:val="fr-SN"/>
        </w:rPr>
        <w:t xml:space="preserve"> risque d’être compromise</w:t>
      </w:r>
      <w:r w:rsidRPr="00066834">
        <w:rPr>
          <w:i/>
        </w:rPr>
        <w:footnoteReference w:id="1"/>
      </w:r>
      <w:r>
        <w:rPr>
          <w:lang w:val="fr-SN"/>
        </w:rPr>
        <w:t>.</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La durabilité des processus mis en place (PPL, FDL) ne pourra véritablement se produire que lorsque les diff</w:t>
      </w:r>
      <w:r w:rsidRPr="00F013EF">
        <w:rPr>
          <w:lang w:val="fr-SN"/>
        </w:rPr>
        <w:t>é</w:t>
      </w:r>
      <w:r w:rsidRPr="00047211">
        <w:rPr>
          <w:lang w:val="fr-SN"/>
        </w:rPr>
        <w:t xml:space="preserve">rents partenaires au niveau local (notamment </w:t>
      </w:r>
      <w:r>
        <w:rPr>
          <w:lang w:val="fr-SN"/>
        </w:rPr>
        <w:t xml:space="preserve"> </w:t>
      </w:r>
      <w:r w:rsidRPr="00047211">
        <w:rPr>
          <w:lang w:val="fr-SN"/>
        </w:rPr>
        <w:t>ARD, CADL, services du Tr</w:t>
      </w:r>
      <w:r w:rsidRPr="00F013EF">
        <w:rPr>
          <w:lang w:val="fr-SN"/>
        </w:rPr>
        <w:t>é</w:t>
      </w:r>
      <w:r w:rsidRPr="00047211">
        <w:rPr>
          <w:lang w:val="fr-SN"/>
        </w:rPr>
        <w:t>sor) seront parties prenantes au processus décisionnel et au SSE des actions entreprises et auront vu leurs capacités d’appui aux CR renforcées. A ce titre, la mise en place d’un dispositif de suivi des actions de renforcement des capacités fait partie intégrante de l’effort d’amélioration des capacités des autorités locales.</w:t>
      </w:r>
      <w:r w:rsidRPr="00066834">
        <w:rPr>
          <w:lang w:val="fr-SN"/>
        </w:rPr>
        <w:t xml:space="preserve"> </w:t>
      </w:r>
    </w:p>
    <w:p w:rsidR="008D3165" w:rsidRPr="00047211" w:rsidRDefault="008D3165" w:rsidP="008D3165">
      <w:pPr>
        <w:rPr>
          <w:lang w:val="fr-SN"/>
        </w:rPr>
      </w:pPr>
    </w:p>
    <w:p w:rsidR="008D3165" w:rsidRPr="00066834" w:rsidRDefault="008D3165" w:rsidP="008D3165">
      <w:pPr>
        <w:numPr>
          <w:ilvl w:val="0"/>
          <w:numId w:val="2"/>
        </w:numPr>
        <w:rPr>
          <w:lang w:val="fr-SN"/>
        </w:rPr>
      </w:pPr>
      <w:r>
        <w:rPr>
          <w:lang w:val="fr-SN"/>
        </w:rPr>
        <w:t>La poursuite de l’objectif de</w:t>
      </w:r>
      <w:r w:rsidRPr="00047211">
        <w:rPr>
          <w:lang w:val="fr-SN"/>
        </w:rPr>
        <w:t xml:space="preserve"> « développement durable » passe par la reconnaissance de trois composantes essentielles: le renforcement des capacités locales, la réalisation d’infrastructures de base et le développement des moyens d’existence durables. </w:t>
      </w:r>
    </w:p>
    <w:p w:rsidR="008D3165" w:rsidRPr="00047211" w:rsidRDefault="008D3165" w:rsidP="008D3165">
      <w:pPr>
        <w:rPr>
          <w:lang w:val="fr-SN"/>
        </w:rPr>
      </w:pPr>
    </w:p>
    <w:p w:rsidR="008D3165" w:rsidRDefault="008D3165" w:rsidP="008D3165">
      <w:pPr>
        <w:numPr>
          <w:ilvl w:val="0"/>
          <w:numId w:val="2"/>
        </w:numPr>
        <w:rPr>
          <w:lang w:val="fr-SN"/>
        </w:rPr>
      </w:pPr>
      <w:r w:rsidRPr="00047211">
        <w:rPr>
          <w:lang w:val="fr-SN"/>
        </w:rPr>
        <w:t>L’existence de trois UAT, qui ont évolué dans des dynamiques fort différentes, a augmenté de manière substantielle les co</w:t>
      </w:r>
      <w:r w:rsidRPr="00066834">
        <w:rPr>
          <w:lang w:val="fr-SN"/>
        </w:rPr>
        <w:t>û</w:t>
      </w:r>
      <w:r w:rsidRPr="00047211">
        <w:rPr>
          <w:lang w:val="fr-SN"/>
        </w:rPr>
        <w:t>ts de mise en œuvre du programme et a complexifié la</w:t>
      </w:r>
      <w:r w:rsidRPr="00066834">
        <w:rPr>
          <w:lang w:val="fr-SN"/>
        </w:rPr>
        <w:t xml:space="preserve"> </w:t>
      </w:r>
      <w:r w:rsidRPr="00047211">
        <w:rPr>
          <w:lang w:val="fr-SN"/>
        </w:rPr>
        <w:t xml:space="preserve">coordination des activités. </w:t>
      </w:r>
    </w:p>
    <w:p w:rsidR="008D3165" w:rsidRDefault="008D3165" w:rsidP="008D3165">
      <w:pPr>
        <w:rPr>
          <w:lang w:val="fr-SN"/>
        </w:rPr>
      </w:pPr>
    </w:p>
    <w:p w:rsidR="008D3165" w:rsidRDefault="008D3165" w:rsidP="008D3165">
      <w:pPr>
        <w:rPr>
          <w:lang w:val="fr-SN"/>
        </w:rPr>
      </w:pPr>
    </w:p>
    <w:p w:rsidR="008D3165" w:rsidRDefault="008D3165" w:rsidP="008D3165">
      <w:pPr>
        <w:pStyle w:val="Titre1"/>
        <w:rPr>
          <w:lang w:val="fr-SN"/>
        </w:rPr>
      </w:pPr>
      <w:bookmarkStart w:id="1" w:name="_Toc168908729"/>
      <w:r>
        <w:rPr>
          <w:lang w:val="fr-SN"/>
        </w:rPr>
        <w:lastRenderedPageBreak/>
        <w:t>RECOMMANDATIONS</w:t>
      </w:r>
      <w:bookmarkEnd w:id="1"/>
    </w:p>
    <w:p w:rsidR="008D3165" w:rsidRDefault="008D3165" w:rsidP="008D3165">
      <w:pPr>
        <w:rPr>
          <w:lang w:val="fr-SN"/>
        </w:rPr>
      </w:pPr>
    </w:p>
    <w:p w:rsidR="008D3165" w:rsidRDefault="008D3165" w:rsidP="008D3165">
      <w:pPr>
        <w:rPr>
          <w:lang w:val="fr-SN"/>
        </w:rPr>
      </w:pPr>
      <w:r w:rsidRPr="00047211">
        <w:rPr>
          <w:lang w:val="fr-SN"/>
        </w:rPr>
        <w:t xml:space="preserve">La mission recommande que le FENU soutienne un nouveau programme en appui à la décentralisation et au développement local au Sénégal. L’objet de ce nouveau programme serait de consolider le travail accompli par le PADMIR, de parachever certains domaines d’intervention, d’introduire de nouveaux éléments, tout en appuyant l’Etat sénégalais dans la mise en oeuvre du PNDL. Un Document Conceptuel, déjà disponible, </w:t>
      </w:r>
      <w:r>
        <w:rPr>
          <w:lang w:val="fr-SN"/>
        </w:rPr>
        <w:t>sera</w:t>
      </w:r>
      <w:r w:rsidRPr="00047211">
        <w:rPr>
          <w:lang w:val="fr-SN"/>
        </w:rPr>
        <w:t xml:space="preserve"> discuté à la fin de cette section. Dans un premier temps, des recommandations sont formulées </w:t>
      </w:r>
      <w:r w:rsidRPr="002F720C">
        <w:rPr>
          <w:lang w:val="fr-SN"/>
        </w:rPr>
        <w:t xml:space="preserve"> </w:t>
      </w:r>
      <w:r w:rsidRPr="00577CAA">
        <w:rPr>
          <w:lang w:val="fr-SN"/>
        </w:rPr>
        <w:t>à</w:t>
      </w:r>
      <w:r>
        <w:rPr>
          <w:lang w:val="fr-SN"/>
        </w:rPr>
        <w:t xml:space="preserve"> l’attention du Gouvernement s</w:t>
      </w:r>
      <w:r w:rsidRPr="00F013EF">
        <w:rPr>
          <w:lang w:val="fr-SN"/>
        </w:rPr>
        <w:t>é</w:t>
      </w:r>
      <w:r>
        <w:rPr>
          <w:lang w:val="fr-SN"/>
        </w:rPr>
        <w:t>n</w:t>
      </w:r>
      <w:r w:rsidRPr="00F013EF">
        <w:rPr>
          <w:lang w:val="fr-SN"/>
        </w:rPr>
        <w:t>é</w:t>
      </w:r>
      <w:r>
        <w:rPr>
          <w:lang w:val="fr-SN"/>
        </w:rPr>
        <w:t>galais et du FENU</w:t>
      </w:r>
      <w:r w:rsidRPr="00047211">
        <w:rPr>
          <w:lang w:val="fr-SN"/>
        </w:rPr>
        <w:t>, en vue d’assister dans la conception et la mise en œuvre d’un second cycle de PDL en gestation.</w:t>
      </w:r>
    </w:p>
    <w:p w:rsidR="008D3165" w:rsidRPr="002F720C" w:rsidRDefault="008D3165" w:rsidP="008D3165">
      <w:pPr>
        <w:rPr>
          <w:lang w:val="fr-FR"/>
        </w:rPr>
      </w:pPr>
    </w:p>
    <w:p w:rsidR="008D3165" w:rsidRPr="00047211" w:rsidRDefault="008D3165" w:rsidP="008D3165">
      <w:pPr>
        <w:rPr>
          <w:b/>
          <w:bCs/>
          <w:iCs/>
          <w:lang w:val="fr-SN"/>
        </w:rPr>
      </w:pPr>
      <w:r w:rsidRPr="00047211">
        <w:rPr>
          <w:b/>
          <w:bCs/>
          <w:iCs/>
          <w:lang w:val="fr-SN"/>
        </w:rPr>
        <w:t>Conception et promotion d’un processus de Participation Participative locale (PPL)</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Simplifier les outils de planification et réduire la durée de la PPL</w:t>
      </w:r>
      <w:r w:rsidRPr="00047211">
        <w:rPr>
          <w:lang w:val="fr-SN"/>
        </w:rPr>
        <w:t xml:space="preserve">: </w:t>
      </w:r>
      <w:r w:rsidRPr="004F3730">
        <w:rPr>
          <w:lang w:val="fr-SN"/>
        </w:rPr>
        <w:t>la r</w:t>
      </w:r>
      <w:r w:rsidRPr="00047211">
        <w:rPr>
          <w:lang w:val="fr-SN"/>
        </w:rPr>
        <w:t>é</w:t>
      </w:r>
      <w:r w:rsidRPr="004F3730">
        <w:rPr>
          <w:lang w:val="fr-SN"/>
        </w:rPr>
        <w:t>vision du format du PLD semble d’ores et déjà s’imposer, en liaison avec leur r</w:t>
      </w:r>
      <w:r w:rsidRPr="00047211">
        <w:rPr>
          <w:lang w:val="fr-SN"/>
        </w:rPr>
        <w:t>é</w:t>
      </w:r>
      <w:r w:rsidRPr="004F3730">
        <w:rPr>
          <w:lang w:val="fr-SN"/>
        </w:rPr>
        <w:t>actualisation. Cela permettrait de favoriser une meilleure articulation avec les politiques sectorielles, d’int</w:t>
      </w:r>
      <w:r w:rsidRPr="00F013EF">
        <w:rPr>
          <w:lang w:val="fr-SN"/>
        </w:rPr>
        <w:t>é</w:t>
      </w:r>
      <w:r w:rsidRPr="004F3730">
        <w:rPr>
          <w:lang w:val="fr-SN"/>
        </w:rPr>
        <w:t>grer des perspectives en matière de DEL et de protection de l’environnement, la prise en charge des coûts r</w:t>
      </w:r>
      <w:r w:rsidRPr="00047211">
        <w:rPr>
          <w:lang w:val="fr-SN"/>
        </w:rPr>
        <w:t>é</w:t>
      </w:r>
      <w:r w:rsidRPr="004F3730">
        <w:rPr>
          <w:lang w:val="fr-SN"/>
        </w:rPr>
        <w:t>currents</w:t>
      </w:r>
      <w:r w:rsidRPr="004F3730">
        <w:rPr>
          <w:lang w:val="fr-SN"/>
        </w:rPr>
        <w:footnoteReference w:id="2"/>
      </w:r>
      <w:r w:rsidRPr="004F3730">
        <w:rPr>
          <w:lang w:val="fr-SN"/>
        </w:rPr>
        <w:t>et d’int</w:t>
      </w:r>
      <w:r w:rsidRPr="00F013EF">
        <w:rPr>
          <w:lang w:val="fr-SN"/>
        </w:rPr>
        <w:t>é</w:t>
      </w:r>
      <w:r w:rsidRPr="004F3730">
        <w:rPr>
          <w:lang w:val="fr-SN"/>
        </w:rPr>
        <w:t>grer un volet suivi/</w:t>
      </w:r>
      <w:r w:rsidRPr="00F013EF">
        <w:rPr>
          <w:lang w:val="fr-SN"/>
        </w:rPr>
        <w:t>é</w:t>
      </w:r>
      <w:r w:rsidRPr="004F3730">
        <w:rPr>
          <w:lang w:val="fr-SN"/>
        </w:rPr>
        <w:t xml:space="preserve">valuation. A </w:t>
      </w:r>
      <w:r w:rsidRPr="00047211">
        <w:rPr>
          <w:lang w:val="fr-SN"/>
        </w:rPr>
        <w:t xml:space="preserve">cet </w:t>
      </w:r>
      <w:r w:rsidRPr="00F013EF">
        <w:rPr>
          <w:lang w:val="fr-SN"/>
        </w:rPr>
        <w:t>é</w:t>
      </w:r>
      <w:r w:rsidRPr="00047211">
        <w:rPr>
          <w:lang w:val="fr-SN"/>
        </w:rPr>
        <w:t xml:space="preserve">gard, il </w:t>
      </w:r>
      <w:r>
        <w:rPr>
          <w:lang w:val="fr-SN"/>
        </w:rPr>
        <w:t>serait</w:t>
      </w:r>
      <w:r w:rsidRPr="00047211">
        <w:rPr>
          <w:lang w:val="fr-SN"/>
        </w:rPr>
        <w:t xml:space="preserve"> utile</w:t>
      </w:r>
      <w:r>
        <w:rPr>
          <w:lang w:val="fr-SN"/>
        </w:rPr>
        <w:t xml:space="preserve"> que la Direction de la Planification puisse</w:t>
      </w:r>
      <w:r w:rsidRPr="00047211">
        <w:rPr>
          <w:lang w:val="fr-SN"/>
        </w:rPr>
        <w:t xml:space="preserve"> </w:t>
      </w:r>
      <w:r>
        <w:rPr>
          <w:lang w:val="fr-SN"/>
        </w:rPr>
        <w:t>s’int</w:t>
      </w:r>
      <w:r w:rsidRPr="00F013EF">
        <w:rPr>
          <w:lang w:val="fr-SN"/>
        </w:rPr>
        <w:t>é</w:t>
      </w:r>
      <w:r>
        <w:rPr>
          <w:lang w:val="fr-SN"/>
        </w:rPr>
        <w:t>resser</w:t>
      </w:r>
      <w:r w:rsidRPr="00047211">
        <w:rPr>
          <w:lang w:val="fr-SN"/>
        </w:rPr>
        <w:t xml:space="preserve"> aux </w:t>
      </w:r>
      <w:r w:rsidRPr="004F3730">
        <w:rPr>
          <w:lang w:val="fr-SN"/>
        </w:rPr>
        <w:t>exp</w:t>
      </w:r>
      <w:r w:rsidRPr="00F013EF">
        <w:rPr>
          <w:lang w:val="fr-SN"/>
        </w:rPr>
        <w:t>é</w:t>
      </w:r>
      <w:r w:rsidRPr="004F3730">
        <w:rPr>
          <w:lang w:val="fr-SN"/>
        </w:rPr>
        <w:t>riences de PPL des autres partenaires, qui ont notamment r</w:t>
      </w:r>
      <w:r w:rsidRPr="00F013EF">
        <w:rPr>
          <w:lang w:val="fr-SN"/>
        </w:rPr>
        <w:t>é</w:t>
      </w:r>
      <w:r w:rsidRPr="004F3730">
        <w:rPr>
          <w:lang w:val="fr-SN"/>
        </w:rPr>
        <w:t>ussi à en r</w:t>
      </w:r>
      <w:r w:rsidRPr="00F013EF">
        <w:rPr>
          <w:lang w:val="fr-SN"/>
        </w:rPr>
        <w:t>é</w:t>
      </w:r>
      <w:r w:rsidRPr="004F3730">
        <w:rPr>
          <w:lang w:val="fr-SN"/>
        </w:rPr>
        <w:t>duire sensiblement la dur</w:t>
      </w:r>
      <w:r w:rsidRPr="00F013EF">
        <w:rPr>
          <w:lang w:val="fr-SN"/>
        </w:rPr>
        <w:t>é</w:t>
      </w:r>
      <w:r w:rsidRPr="004F3730">
        <w:rPr>
          <w:lang w:val="fr-SN"/>
        </w:rPr>
        <w:t>e et à efficacement int</w:t>
      </w:r>
      <w:r w:rsidRPr="00F013EF">
        <w:rPr>
          <w:lang w:val="fr-SN"/>
        </w:rPr>
        <w:t>é</w:t>
      </w:r>
      <w:r w:rsidRPr="004F3730">
        <w:rPr>
          <w:lang w:val="fr-SN"/>
        </w:rPr>
        <w:t>grer, pour certains, les politiques sectorielles</w:t>
      </w:r>
      <w:r w:rsidRPr="004F3730">
        <w:rPr>
          <w:lang w:val="fr-SN"/>
        </w:rPr>
        <w:footnoteReference w:id="3"/>
      </w:r>
      <w:r w:rsidRPr="004F3730">
        <w:rPr>
          <w:lang w:val="fr-SN"/>
        </w:rPr>
        <w:t>. Par ailleurs, l’utilisation d’outils didactiques et de supports de communication adaptés (outre ceux qui ont été utilis</w:t>
      </w:r>
      <w:r w:rsidRPr="00F013EF">
        <w:rPr>
          <w:lang w:val="fr-SN"/>
        </w:rPr>
        <w:t>é</w:t>
      </w:r>
      <w:r w:rsidRPr="004F3730">
        <w:rPr>
          <w:lang w:val="fr-SN"/>
        </w:rPr>
        <w:t>s lors des consultations tels que la m</w:t>
      </w:r>
      <w:r w:rsidRPr="00F013EF">
        <w:rPr>
          <w:lang w:val="fr-SN"/>
        </w:rPr>
        <w:t>é</w:t>
      </w:r>
      <w:r w:rsidRPr="004F3730">
        <w:rPr>
          <w:lang w:val="fr-SN"/>
        </w:rPr>
        <w:t xml:space="preserve">thode ZOPP, transec, le diagramme de Venn ou encore les arbres </w:t>
      </w:r>
      <w:r w:rsidRPr="00577CAA">
        <w:rPr>
          <w:lang w:val="fr-SN"/>
        </w:rPr>
        <w:t>à</w:t>
      </w:r>
      <w:r w:rsidRPr="004F3730">
        <w:rPr>
          <w:lang w:val="fr-SN"/>
        </w:rPr>
        <w:t xml:space="preserve"> probl</w:t>
      </w:r>
      <w:r w:rsidRPr="00047211">
        <w:rPr>
          <w:lang w:val="fr-SN"/>
        </w:rPr>
        <w:t>è</w:t>
      </w:r>
      <w:r w:rsidRPr="004F3730">
        <w:rPr>
          <w:lang w:val="fr-SN"/>
        </w:rPr>
        <w:t>mes) devrait faciliter la compréhension, la participation et l’appropriation du processus de PPL par les populations, dans un large contexte d’analphabétisme en fran</w:t>
      </w:r>
      <w:r w:rsidRPr="005431B7">
        <w:rPr>
          <w:lang w:val="fr-SN"/>
        </w:rPr>
        <w:t>ç</w:t>
      </w:r>
      <w:r w:rsidRPr="004F3730">
        <w:rPr>
          <w:lang w:val="fr-SN"/>
        </w:rPr>
        <w:t xml:space="preserve">ais. </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 xml:space="preserve">L’une des faiblesses majeures des PLD est leur caractère « cloisonné » eu égard aux perspectives d’intercommunalité. Or, la voie de l’intercommunalité représente une nouvelle étape cruciale dans le processus de planification décentralisée et doit, </w:t>
      </w:r>
      <w:r w:rsidRPr="00047211">
        <w:rPr>
          <w:lang w:val="fr-SN"/>
        </w:rPr>
        <w:t>à</w:t>
      </w:r>
      <w:r w:rsidRPr="004F3730">
        <w:rPr>
          <w:lang w:val="fr-SN"/>
        </w:rPr>
        <w:t xml:space="preserve"> ce titre, </w:t>
      </w:r>
      <w:r w:rsidRPr="00047211">
        <w:rPr>
          <w:lang w:val="fr-SN"/>
        </w:rPr>
        <w:t>ê</w:t>
      </w:r>
      <w:r w:rsidRPr="004F3730">
        <w:rPr>
          <w:lang w:val="fr-SN"/>
        </w:rPr>
        <w:t>tre considérée comme une stratégie privil</w:t>
      </w:r>
      <w:r w:rsidRPr="00F013EF">
        <w:rPr>
          <w:lang w:val="fr-SN"/>
        </w:rPr>
        <w:t>é</w:t>
      </w:r>
      <w:r w:rsidRPr="004F3730">
        <w:rPr>
          <w:lang w:val="fr-SN"/>
        </w:rPr>
        <w:t>giée d’optimisation des PLD et des activités de développement local. Il serait ainsi souhaitable, notamment dans le cadre d’un nouveau programme, de favoriser la réalisation d’investissements sous cet angle, notamment au travers des Plans d’Actions Prioritaires Intercommunautaires (PAPIC)</w:t>
      </w:r>
      <w:r w:rsidRPr="004F3730">
        <w:rPr>
          <w:lang w:val="fr-SN"/>
        </w:rPr>
        <w:footnoteReference w:id="4"/>
      </w:r>
      <w:r w:rsidRPr="004F3730">
        <w:rPr>
          <w:lang w:val="fr-SN"/>
        </w:rPr>
        <w:t>, en impliquant en particulier les associations d’</w:t>
      </w:r>
      <w:r w:rsidRPr="00F013EF">
        <w:rPr>
          <w:lang w:val="fr-SN"/>
        </w:rPr>
        <w:t>é</w:t>
      </w:r>
      <w:r w:rsidRPr="004F3730">
        <w:rPr>
          <w:lang w:val="fr-SN"/>
        </w:rPr>
        <w:t>lus locaux.</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La mission d’évaluation valide la recommandation du dossier de capitalisation de la PPL de « capitaliser et pérenniser la synergie entre partenaires » autour de la PPL, au-del</w:t>
      </w:r>
      <w:r w:rsidRPr="00047211">
        <w:rPr>
          <w:lang w:val="fr-SN"/>
        </w:rPr>
        <w:t>à</w:t>
      </w:r>
      <w:r w:rsidRPr="004F3730">
        <w:rPr>
          <w:lang w:val="fr-SN"/>
        </w:rPr>
        <w:t xml:space="preserve"> des exp</w:t>
      </w:r>
      <w:r w:rsidRPr="00F013EF">
        <w:rPr>
          <w:lang w:val="fr-SN"/>
        </w:rPr>
        <w:t>é</w:t>
      </w:r>
      <w:r w:rsidRPr="004F3730">
        <w:rPr>
          <w:lang w:val="fr-SN"/>
        </w:rPr>
        <w:t>riences du PADMIR. Cette capitalisation des expériences des autres programmes par la Direction de la Planification constitue en effet un préalable important dans le cadre de la mise en oeuvre du PNDL.</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 xml:space="preserve">Le FENU pourrait assister les ARD dans la préparation des « Conférences budgétaires » prévues dans le cadre du PNDL </w:t>
      </w:r>
      <w:r w:rsidRPr="00047211">
        <w:rPr>
          <w:lang w:val="fr-SN"/>
        </w:rPr>
        <w:t>à</w:t>
      </w:r>
      <w:r w:rsidRPr="004F3730">
        <w:rPr>
          <w:lang w:val="fr-SN"/>
        </w:rPr>
        <w:t xml:space="preserve"> partir de septembre 2007, visant </w:t>
      </w:r>
      <w:r w:rsidRPr="00047211">
        <w:rPr>
          <w:lang w:val="fr-SN"/>
        </w:rPr>
        <w:t>à</w:t>
      </w:r>
      <w:r w:rsidRPr="004F3730">
        <w:rPr>
          <w:lang w:val="fr-SN"/>
        </w:rPr>
        <w:t xml:space="preserve"> prendre en compte les politiques sectorielles. A cette fin pourrait </w:t>
      </w:r>
      <w:r w:rsidRPr="00047211">
        <w:rPr>
          <w:lang w:val="fr-SN"/>
        </w:rPr>
        <w:t>ê</w:t>
      </w:r>
      <w:r w:rsidRPr="004F3730">
        <w:rPr>
          <w:lang w:val="fr-SN"/>
        </w:rPr>
        <w:t xml:space="preserve">tre institué le principe que seules les CR ayant soumis leurs comptes administratifs et de gestion pourraient participer </w:t>
      </w:r>
      <w:r w:rsidRPr="00047211">
        <w:rPr>
          <w:lang w:val="fr-SN"/>
        </w:rPr>
        <w:t>à</w:t>
      </w:r>
      <w:r w:rsidRPr="004F3730">
        <w:rPr>
          <w:lang w:val="fr-SN"/>
        </w:rPr>
        <w:t xml:space="preserve"> ces conf</w:t>
      </w:r>
      <w:r w:rsidRPr="00F013EF">
        <w:rPr>
          <w:lang w:val="fr-SN"/>
        </w:rPr>
        <w:t>é</w:t>
      </w:r>
      <w:r w:rsidRPr="004F3730">
        <w:rPr>
          <w:lang w:val="fr-SN"/>
        </w:rPr>
        <w:t>rences, afin de rendre progressivement leur production obligatoire.</w:t>
      </w:r>
    </w:p>
    <w:p w:rsidR="008D3165" w:rsidRPr="004F3730" w:rsidRDefault="008D3165" w:rsidP="008D3165">
      <w:pPr>
        <w:rPr>
          <w:lang w:val="fr-SN"/>
        </w:rPr>
      </w:pPr>
    </w:p>
    <w:p w:rsidR="008D3165" w:rsidRPr="004F3730" w:rsidRDefault="008D3165" w:rsidP="008D3165">
      <w:pPr>
        <w:numPr>
          <w:ilvl w:val="0"/>
          <w:numId w:val="2"/>
        </w:numPr>
        <w:rPr>
          <w:lang w:val="fr-SN"/>
        </w:rPr>
      </w:pPr>
      <w:r w:rsidRPr="004F3730">
        <w:rPr>
          <w:lang w:val="fr-SN"/>
        </w:rPr>
        <w:t>De manière g</w:t>
      </w:r>
      <w:r w:rsidRPr="00047211">
        <w:rPr>
          <w:lang w:val="fr-SN"/>
        </w:rPr>
        <w:t>é</w:t>
      </w:r>
      <w:r w:rsidRPr="004F3730">
        <w:rPr>
          <w:lang w:val="fr-SN"/>
        </w:rPr>
        <w:t>n</w:t>
      </w:r>
      <w:r w:rsidRPr="00047211">
        <w:rPr>
          <w:lang w:val="fr-SN"/>
        </w:rPr>
        <w:t>é</w:t>
      </w:r>
      <w:r w:rsidRPr="004F3730">
        <w:rPr>
          <w:lang w:val="fr-SN"/>
        </w:rPr>
        <w:t>rale, l’am</w:t>
      </w:r>
      <w:r w:rsidRPr="00F013EF">
        <w:rPr>
          <w:lang w:val="fr-SN"/>
        </w:rPr>
        <w:t>é</w:t>
      </w:r>
      <w:r w:rsidRPr="004F3730">
        <w:rPr>
          <w:lang w:val="fr-SN"/>
        </w:rPr>
        <w:t>lioration de la planification strat</w:t>
      </w:r>
      <w:r w:rsidRPr="00F013EF">
        <w:rPr>
          <w:lang w:val="fr-SN"/>
        </w:rPr>
        <w:t>é</w:t>
      </w:r>
      <w:r w:rsidRPr="004F3730">
        <w:rPr>
          <w:lang w:val="fr-SN"/>
        </w:rPr>
        <w:t xml:space="preserve">gique par le FENU devrait s’effectuer en liaison </w:t>
      </w:r>
      <w:r w:rsidRPr="00F013EF">
        <w:rPr>
          <w:lang w:val="fr-SN"/>
        </w:rPr>
        <w:t>é</w:t>
      </w:r>
      <w:r w:rsidRPr="004F3730">
        <w:rPr>
          <w:lang w:val="fr-SN"/>
        </w:rPr>
        <w:t>troite avec l’</w:t>
      </w:r>
      <w:r w:rsidRPr="00F013EF">
        <w:rPr>
          <w:lang w:val="fr-SN"/>
        </w:rPr>
        <w:t>é</w:t>
      </w:r>
      <w:r w:rsidRPr="004F3730">
        <w:rPr>
          <w:lang w:val="fr-SN"/>
        </w:rPr>
        <w:t>volution du système de planification nationale et la standardisation attendue des proc</w:t>
      </w:r>
      <w:r w:rsidRPr="00F013EF">
        <w:rPr>
          <w:lang w:val="fr-SN"/>
        </w:rPr>
        <w:t>é</w:t>
      </w:r>
      <w:r w:rsidRPr="004F3730">
        <w:rPr>
          <w:lang w:val="fr-SN"/>
        </w:rPr>
        <w:t>dures de PPL. Cela permettrait notamment d’</w:t>
      </w:r>
      <w:r w:rsidRPr="00F013EF">
        <w:rPr>
          <w:lang w:val="fr-SN"/>
        </w:rPr>
        <w:t>é</w:t>
      </w:r>
      <w:r w:rsidRPr="004F3730">
        <w:rPr>
          <w:lang w:val="fr-SN"/>
        </w:rPr>
        <w:t>tablir s’il conviendrait d’int</w:t>
      </w:r>
      <w:r w:rsidRPr="00F013EF">
        <w:rPr>
          <w:lang w:val="fr-SN"/>
        </w:rPr>
        <w:t>é</w:t>
      </w:r>
      <w:r w:rsidRPr="004F3730">
        <w:rPr>
          <w:lang w:val="fr-SN"/>
        </w:rPr>
        <w:t>grer les PIL dans les PLD, de simplifier les PLD en faisant un diagnostic très sommaire suivi d’un plan d’action op</w:t>
      </w:r>
      <w:r w:rsidRPr="00F013EF">
        <w:rPr>
          <w:lang w:val="fr-SN"/>
        </w:rPr>
        <w:t>é</w:t>
      </w:r>
      <w:r w:rsidRPr="004F3730">
        <w:rPr>
          <w:lang w:val="fr-SN"/>
        </w:rPr>
        <w:t>rationnel, ou bien de consid</w:t>
      </w:r>
      <w:r w:rsidRPr="00F013EF">
        <w:rPr>
          <w:lang w:val="fr-SN"/>
        </w:rPr>
        <w:t>é</w:t>
      </w:r>
      <w:r w:rsidRPr="004F3730">
        <w:rPr>
          <w:lang w:val="fr-SN"/>
        </w:rPr>
        <w:t>rer les PIL comme unique document de planification, conform</w:t>
      </w:r>
      <w:r w:rsidRPr="00F013EF">
        <w:rPr>
          <w:lang w:val="fr-SN"/>
        </w:rPr>
        <w:t>é</w:t>
      </w:r>
      <w:r w:rsidRPr="004F3730">
        <w:rPr>
          <w:lang w:val="fr-SN"/>
        </w:rPr>
        <w:t>ment aux trois options envisag</w:t>
      </w:r>
      <w:r w:rsidRPr="00F013EF">
        <w:rPr>
          <w:lang w:val="fr-SN"/>
        </w:rPr>
        <w:t>é</w:t>
      </w:r>
      <w:r w:rsidRPr="004F3730">
        <w:rPr>
          <w:lang w:val="fr-SN"/>
        </w:rPr>
        <w:t>es dans le document de capitalisation sur la PPL. Une meilleure articulation des PLD avec la planification r</w:t>
      </w:r>
      <w:r w:rsidRPr="00F013EF">
        <w:rPr>
          <w:lang w:val="fr-SN"/>
        </w:rPr>
        <w:t>é</w:t>
      </w:r>
      <w:r w:rsidRPr="004F3730">
        <w:rPr>
          <w:lang w:val="fr-SN"/>
        </w:rPr>
        <w:t xml:space="preserve">gionale  permettrait </w:t>
      </w:r>
      <w:r w:rsidRPr="00F013EF">
        <w:rPr>
          <w:lang w:val="fr-SN"/>
        </w:rPr>
        <w:t>é</w:t>
      </w:r>
      <w:r w:rsidRPr="004F3730">
        <w:rPr>
          <w:lang w:val="fr-SN"/>
        </w:rPr>
        <w:t>galement d’en am</w:t>
      </w:r>
      <w:r w:rsidRPr="00F013EF">
        <w:rPr>
          <w:lang w:val="fr-SN"/>
        </w:rPr>
        <w:t>é</w:t>
      </w:r>
      <w:r w:rsidRPr="004F3730">
        <w:rPr>
          <w:lang w:val="fr-SN"/>
        </w:rPr>
        <w:t>liorer la dimension strat</w:t>
      </w:r>
      <w:r w:rsidRPr="00F013EF">
        <w:rPr>
          <w:lang w:val="fr-SN"/>
        </w:rPr>
        <w:t>é</w:t>
      </w:r>
      <w:r w:rsidRPr="004F3730">
        <w:rPr>
          <w:lang w:val="fr-SN"/>
        </w:rPr>
        <w:t>gique. Par ailleurs, il conviendrait de favoriser la formalisation des relations entre les Conseils ruraux et les cadres de concertation mis en place, afin qu’ils soient valoris</w:t>
      </w:r>
      <w:r w:rsidRPr="00F013EF">
        <w:rPr>
          <w:lang w:val="fr-SN"/>
        </w:rPr>
        <w:t>é</w:t>
      </w:r>
      <w:r w:rsidRPr="004F3730">
        <w:rPr>
          <w:lang w:val="fr-SN"/>
        </w:rPr>
        <w:t>s par les diff</w:t>
      </w:r>
      <w:r w:rsidRPr="00F013EF">
        <w:rPr>
          <w:lang w:val="fr-SN"/>
        </w:rPr>
        <w:t>é</w:t>
      </w:r>
      <w:r w:rsidRPr="004F3730">
        <w:rPr>
          <w:lang w:val="fr-SN"/>
        </w:rPr>
        <w:t>rents partenaires et puissent pleinement jouer leur r</w:t>
      </w:r>
      <w:r w:rsidRPr="00577CAA">
        <w:rPr>
          <w:lang w:val="fr-SN"/>
        </w:rPr>
        <w:t>ô</w:t>
      </w:r>
      <w:r w:rsidRPr="004F3730">
        <w:rPr>
          <w:lang w:val="fr-SN"/>
        </w:rPr>
        <w:t>le d’animation de la vie locale dans le cadre de la planification.</w:t>
      </w:r>
    </w:p>
    <w:p w:rsidR="008D3165" w:rsidRDefault="008D3165" w:rsidP="008D3165">
      <w:pPr>
        <w:rPr>
          <w:bCs/>
          <w:iCs/>
          <w:lang w:val="fr-SN"/>
        </w:rPr>
      </w:pPr>
    </w:p>
    <w:p w:rsidR="008D3165" w:rsidRPr="00047211" w:rsidRDefault="008D3165" w:rsidP="008D3165">
      <w:pPr>
        <w:rPr>
          <w:b/>
          <w:bCs/>
          <w:iCs/>
          <w:lang w:val="fr-SN"/>
        </w:rPr>
      </w:pPr>
      <w:r w:rsidRPr="00047211">
        <w:rPr>
          <w:b/>
          <w:bCs/>
          <w:iCs/>
          <w:lang w:val="fr-SN"/>
        </w:rPr>
        <w:t>Conception et introduction d’un m</w:t>
      </w:r>
      <w:r w:rsidRPr="00047211">
        <w:rPr>
          <w:b/>
          <w:bCs/>
          <w:iCs/>
          <w:lang w:val="fr-FR"/>
        </w:rPr>
        <w:t>é</w:t>
      </w:r>
      <w:r w:rsidRPr="00047211">
        <w:rPr>
          <w:b/>
          <w:bCs/>
          <w:iCs/>
          <w:lang w:val="fr-SN"/>
        </w:rPr>
        <w:t>canisme de transfert de fonds ad</w:t>
      </w:r>
      <w:r w:rsidRPr="00047211">
        <w:rPr>
          <w:b/>
          <w:bCs/>
          <w:iCs/>
          <w:lang w:val="fr-FR"/>
        </w:rPr>
        <w:t>é</w:t>
      </w:r>
      <w:r w:rsidRPr="00047211">
        <w:rPr>
          <w:b/>
          <w:bCs/>
          <w:iCs/>
          <w:lang w:val="fr-SN"/>
        </w:rPr>
        <w:t>quat pour le financement des infrastructures et services publics d’int</w:t>
      </w:r>
      <w:r w:rsidRPr="00047211">
        <w:rPr>
          <w:b/>
          <w:bCs/>
          <w:iCs/>
          <w:lang w:val="fr-FR"/>
        </w:rPr>
        <w:t>é</w:t>
      </w:r>
      <w:r w:rsidRPr="004D7B05">
        <w:rPr>
          <w:b/>
          <w:bCs/>
          <w:iCs/>
          <w:lang w:val="fr-SN"/>
        </w:rPr>
        <w:t>r</w:t>
      </w:r>
      <w:r w:rsidRPr="004D7B05">
        <w:rPr>
          <w:b/>
          <w:lang w:val="fr-SN"/>
        </w:rPr>
        <w:t>ê</w:t>
      </w:r>
      <w:r w:rsidRPr="004D7B05">
        <w:rPr>
          <w:b/>
          <w:bCs/>
          <w:iCs/>
          <w:lang w:val="fr-SN"/>
        </w:rPr>
        <w:t xml:space="preserve">t </w:t>
      </w:r>
      <w:r w:rsidRPr="00047211">
        <w:rPr>
          <w:b/>
          <w:bCs/>
          <w:iCs/>
          <w:lang w:val="fr-SN"/>
        </w:rPr>
        <w:t xml:space="preserve">local </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En vue d’am</w:t>
      </w:r>
      <w:r w:rsidRPr="004F3730">
        <w:rPr>
          <w:lang w:val="fr-SN"/>
        </w:rPr>
        <w:t>é</w:t>
      </w:r>
      <w:r w:rsidRPr="00047211">
        <w:rPr>
          <w:lang w:val="fr-SN"/>
        </w:rPr>
        <w:t>liorer l’efficacit</w:t>
      </w:r>
      <w:r w:rsidRPr="004F3730">
        <w:rPr>
          <w:lang w:val="fr-SN"/>
        </w:rPr>
        <w:t>é</w:t>
      </w:r>
      <w:r w:rsidRPr="00047211">
        <w:rPr>
          <w:lang w:val="fr-SN"/>
        </w:rPr>
        <w:t xml:space="preserve"> de l’appui budg</w:t>
      </w:r>
      <w:r w:rsidRPr="00F013EF">
        <w:rPr>
          <w:lang w:val="fr-SN"/>
        </w:rPr>
        <w:t>é</w:t>
      </w:r>
      <w:r w:rsidRPr="00047211">
        <w:rPr>
          <w:lang w:val="fr-SN"/>
        </w:rPr>
        <w:t>taire aux CL, il  conviendrait d’inciter l’Etat s</w:t>
      </w:r>
      <w:r w:rsidRPr="004F3730">
        <w:rPr>
          <w:lang w:val="fr-SN"/>
        </w:rPr>
        <w:t>é</w:t>
      </w:r>
      <w:r w:rsidRPr="00047211">
        <w:rPr>
          <w:lang w:val="fr-SN"/>
        </w:rPr>
        <w:t>n</w:t>
      </w:r>
      <w:r w:rsidRPr="004F3730">
        <w:rPr>
          <w:lang w:val="fr-SN"/>
        </w:rPr>
        <w:t>é</w:t>
      </w:r>
      <w:r w:rsidRPr="00047211">
        <w:rPr>
          <w:lang w:val="fr-SN"/>
        </w:rPr>
        <w:t>galais à simplifier le circuit de la d</w:t>
      </w:r>
      <w:r w:rsidRPr="004F3730">
        <w:rPr>
          <w:lang w:val="fr-SN"/>
        </w:rPr>
        <w:t>é</w:t>
      </w:r>
      <w:r w:rsidRPr="00047211">
        <w:rPr>
          <w:lang w:val="fr-SN"/>
        </w:rPr>
        <w:t>pense et à favoriser son informatisation int</w:t>
      </w:r>
      <w:r w:rsidRPr="004F3730">
        <w:rPr>
          <w:lang w:val="fr-SN"/>
        </w:rPr>
        <w:t>é</w:t>
      </w:r>
      <w:r w:rsidRPr="00047211">
        <w:rPr>
          <w:lang w:val="fr-SN"/>
        </w:rPr>
        <w:t xml:space="preserve">grale, avec une définition claire des responsabilités de tous les acteurs du circuit (notamment les perceptions et les CR). Un système de suivi pourrait </w:t>
      </w:r>
      <w:r w:rsidRPr="004F3730">
        <w:rPr>
          <w:lang w:val="fr-SN"/>
        </w:rPr>
        <w:t>é</w:t>
      </w:r>
      <w:r w:rsidRPr="00047211">
        <w:rPr>
          <w:lang w:val="fr-SN"/>
        </w:rPr>
        <w:t>galement être mis en place qui permettrait de capter l’</w:t>
      </w:r>
      <w:r w:rsidRPr="004F3730">
        <w:rPr>
          <w:lang w:val="fr-SN"/>
        </w:rPr>
        <w:t>é</w:t>
      </w:r>
      <w:r w:rsidRPr="00047211">
        <w:rPr>
          <w:lang w:val="fr-SN"/>
        </w:rPr>
        <w:t>volution des d</w:t>
      </w:r>
      <w:r w:rsidRPr="004F3730">
        <w:rPr>
          <w:lang w:val="fr-SN"/>
        </w:rPr>
        <w:t>é</w:t>
      </w:r>
      <w:r w:rsidRPr="00047211">
        <w:rPr>
          <w:lang w:val="fr-SN"/>
        </w:rPr>
        <w:t>caissements en temps r</w:t>
      </w:r>
      <w:r w:rsidRPr="004F3730">
        <w:rPr>
          <w:lang w:val="fr-SN"/>
        </w:rPr>
        <w:t>é</w:t>
      </w:r>
      <w:r w:rsidRPr="00047211">
        <w:rPr>
          <w:lang w:val="fr-SN"/>
        </w:rPr>
        <w:t>el, afin d’identifier plus rapidement les retards et les goulets d’</w:t>
      </w:r>
      <w:r w:rsidRPr="004F3730">
        <w:rPr>
          <w:lang w:val="fr-SN"/>
        </w:rPr>
        <w:t>é</w:t>
      </w:r>
      <w:r w:rsidRPr="00047211">
        <w:rPr>
          <w:lang w:val="fr-SN"/>
        </w:rPr>
        <w:t>tranglement dans l’utilisation du circuit du Tr</w:t>
      </w:r>
      <w:r w:rsidRPr="00F013EF">
        <w:rPr>
          <w:lang w:val="fr-SN"/>
        </w:rPr>
        <w:t>é</w:t>
      </w:r>
      <w:r w:rsidRPr="00047211">
        <w:rPr>
          <w:lang w:val="fr-SN"/>
        </w:rPr>
        <w:t>sor.</w:t>
      </w:r>
    </w:p>
    <w:p w:rsidR="008D3165" w:rsidRPr="00047211" w:rsidRDefault="008D3165" w:rsidP="008D3165">
      <w:pPr>
        <w:rPr>
          <w:lang w:val="fr-SN"/>
        </w:rPr>
      </w:pPr>
    </w:p>
    <w:p w:rsidR="008D3165" w:rsidRPr="00824D30" w:rsidRDefault="008D3165" w:rsidP="008D3165">
      <w:pPr>
        <w:numPr>
          <w:ilvl w:val="0"/>
          <w:numId w:val="2"/>
        </w:numPr>
        <w:rPr>
          <w:lang w:val="fr-SN"/>
        </w:rPr>
      </w:pPr>
      <w:r w:rsidRPr="00824D30">
        <w:rPr>
          <w:lang w:val="fr-SN"/>
        </w:rPr>
        <w:t xml:space="preserve">Eu </w:t>
      </w:r>
      <w:r w:rsidRPr="004F3730">
        <w:rPr>
          <w:lang w:val="fr-SN"/>
        </w:rPr>
        <w:t>é</w:t>
      </w:r>
      <w:r w:rsidRPr="00824D30">
        <w:rPr>
          <w:lang w:val="fr-SN"/>
        </w:rPr>
        <w:t>gard au ralentissement du rythme des investissements dans le cadre de l’appui budg</w:t>
      </w:r>
      <w:r w:rsidRPr="004F3730">
        <w:rPr>
          <w:lang w:val="fr-SN"/>
        </w:rPr>
        <w:t>é</w:t>
      </w:r>
      <w:r w:rsidRPr="00824D30">
        <w:rPr>
          <w:lang w:val="fr-SN"/>
        </w:rPr>
        <w:t>taire, le PADMIR pourrait sensibiliser les services du Tr</w:t>
      </w:r>
      <w:r w:rsidRPr="004F3730">
        <w:rPr>
          <w:lang w:val="fr-SN"/>
        </w:rPr>
        <w:t>é</w:t>
      </w:r>
      <w:r w:rsidRPr="00824D30">
        <w:rPr>
          <w:lang w:val="fr-SN"/>
        </w:rPr>
        <w:t>sor afin qu’ils puissent diligenter sp</w:t>
      </w:r>
      <w:r w:rsidRPr="004F3730">
        <w:rPr>
          <w:lang w:val="fr-SN"/>
        </w:rPr>
        <w:t>é</w:t>
      </w:r>
      <w:r w:rsidRPr="00824D30">
        <w:rPr>
          <w:lang w:val="fr-SN"/>
        </w:rPr>
        <w:t>cialement les op</w:t>
      </w:r>
      <w:r w:rsidRPr="004F3730">
        <w:rPr>
          <w:lang w:val="fr-SN"/>
        </w:rPr>
        <w:t>é</w:t>
      </w:r>
      <w:r w:rsidRPr="00824D30">
        <w:rPr>
          <w:lang w:val="fr-SN"/>
        </w:rPr>
        <w:t>rations qui peuvent avoir un impact sur la planification et l’ex</w:t>
      </w:r>
      <w:r w:rsidRPr="004F3730">
        <w:rPr>
          <w:lang w:val="fr-SN"/>
        </w:rPr>
        <w:t>é</w:t>
      </w:r>
      <w:r w:rsidRPr="00824D30">
        <w:rPr>
          <w:lang w:val="fr-SN"/>
        </w:rPr>
        <w:t>cution des projets (à l’instar du virement des fonds AGR aux mutuelles)</w:t>
      </w:r>
      <w:r>
        <w:rPr>
          <w:lang w:val="fr-SN"/>
        </w:rPr>
        <w:t>.</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lastRenderedPageBreak/>
        <w:t>La transparence dans la gestion des CR pourrait être am</w:t>
      </w:r>
      <w:r w:rsidRPr="004F3730">
        <w:rPr>
          <w:lang w:val="fr-SN"/>
        </w:rPr>
        <w:t>é</w:t>
      </w:r>
      <w:r w:rsidRPr="00047211">
        <w:rPr>
          <w:lang w:val="fr-SN"/>
        </w:rPr>
        <w:t>lior</w:t>
      </w:r>
      <w:r w:rsidRPr="004F3730">
        <w:rPr>
          <w:lang w:val="fr-SN"/>
        </w:rPr>
        <w:t>é</w:t>
      </w:r>
      <w:r w:rsidRPr="00047211">
        <w:rPr>
          <w:lang w:val="fr-SN"/>
        </w:rPr>
        <w:t xml:space="preserve">e en favorisant une meilleure circulation de l’information entre les perceptions et les CR, et en encourageant les CR à tenir des comptes administratifs et des comptes de gestion. </w:t>
      </w:r>
      <w:r>
        <w:rPr>
          <w:lang w:val="fr-SN"/>
        </w:rPr>
        <w:t>Il est en effet imp</w:t>
      </w:r>
      <w:r w:rsidRPr="00F013EF">
        <w:rPr>
          <w:lang w:val="fr-SN"/>
        </w:rPr>
        <w:t>é</w:t>
      </w:r>
      <w:r>
        <w:rPr>
          <w:lang w:val="fr-SN"/>
        </w:rPr>
        <w:t>ratif d’une part que les CR respectent l’orthodoxie budg</w:t>
      </w:r>
      <w:r w:rsidRPr="00F013EF">
        <w:rPr>
          <w:lang w:val="fr-SN"/>
        </w:rPr>
        <w:t>é</w:t>
      </w:r>
      <w:r>
        <w:rPr>
          <w:lang w:val="fr-SN"/>
        </w:rPr>
        <w:t xml:space="preserve">taire et qu’elles </w:t>
      </w:r>
      <w:r w:rsidRPr="00F013EF">
        <w:rPr>
          <w:lang w:val="fr-SN"/>
        </w:rPr>
        <w:t>é</w:t>
      </w:r>
      <w:r>
        <w:rPr>
          <w:lang w:val="fr-SN"/>
        </w:rPr>
        <w:t>vitent d’utiliser les fonds pr</w:t>
      </w:r>
      <w:r w:rsidRPr="00F013EF">
        <w:rPr>
          <w:lang w:val="fr-SN"/>
        </w:rPr>
        <w:t>é</w:t>
      </w:r>
      <w:r>
        <w:rPr>
          <w:lang w:val="fr-SN"/>
        </w:rPr>
        <w:t>vus pour l’investissement pour les d</w:t>
      </w:r>
      <w:r w:rsidRPr="00F013EF">
        <w:rPr>
          <w:lang w:val="fr-SN"/>
        </w:rPr>
        <w:t>é</w:t>
      </w:r>
      <w:r>
        <w:rPr>
          <w:lang w:val="fr-SN"/>
        </w:rPr>
        <w:t>penses de fonctionnement, et d’autre part que le Tr</w:t>
      </w:r>
      <w:r w:rsidRPr="00F013EF">
        <w:rPr>
          <w:lang w:val="fr-SN"/>
        </w:rPr>
        <w:t>é</w:t>
      </w:r>
      <w:r>
        <w:rPr>
          <w:lang w:val="fr-SN"/>
        </w:rPr>
        <w:t>sor respecte les r</w:t>
      </w:r>
      <w:r w:rsidRPr="00047211">
        <w:rPr>
          <w:lang w:val="fr-SN"/>
        </w:rPr>
        <w:t>è</w:t>
      </w:r>
      <w:r>
        <w:rPr>
          <w:lang w:val="fr-SN"/>
        </w:rPr>
        <w:t>gles qu’il a lui-même edict</w:t>
      </w:r>
      <w:r w:rsidRPr="00F013EF">
        <w:rPr>
          <w:lang w:val="fr-SN"/>
        </w:rPr>
        <w:t>é</w:t>
      </w:r>
      <w:r>
        <w:rPr>
          <w:lang w:val="fr-SN"/>
        </w:rPr>
        <w:t xml:space="preserve">es. </w:t>
      </w:r>
      <w:r w:rsidRPr="00824D30">
        <w:rPr>
          <w:lang w:val="fr-SN"/>
        </w:rPr>
        <w:t>Il s’agirait par ailleurs d’am</w:t>
      </w:r>
      <w:r w:rsidRPr="004F3730">
        <w:rPr>
          <w:lang w:val="fr-SN"/>
        </w:rPr>
        <w:t>é</w:t>
      </w:r>
      <w:r w:rsidRPr="00824D30">
        <w:rPr>
          <w:lang w:val="fr-SN"/>
        </w:rPr>
        <w:t>liorer le contrôle citoyen par rapport à l’ex</w:t>
      </w:r>
      <w:r w:rsidRPr="004F3730">
        <w:rPr>
          <w:lang w:val="fr-SN"/>
        </w:rPr>
        <w:t>é</w:t>
      </w:r>
      <w:r w:rsidRPr="00824D30">
        <w:rPr>
          <w:lang w:val="fr-SN"/>
        </w:rPr>
        <w:t>cution budg</w:t>
      </w:r>
      <w:r w:rsidRPr="004F3730">
        <w:rPr>
          <w:lang w:val="fr-SN"/>
        </w:rPr>
        <w:t>é</w:t>
      </w:r>
      <w:r w:rsidRPr="00824D30">
        <w:rPr>
          <w:lang w:val="fr-SN"/>
        </w:rPr>
        <w:t>taire et aux décisions du CR, en syst</w:t>
      </w:r>
      <w:r w:rsidRPr="004F3730">
        <w:rPr>
          <w:lang w:val="fr-SN"/>
        </w:rPr>
        <w:t>é</w:t>
      </w:r>
      <w:r w:rsidRPr="00824D30">
        <w:rPr>
          <w:lang w:val="fr-SN"/>
        </w:rPr>
        <w:t>matisant la tenue de sessions d’orientation budg</w:t>
      </w:r>
      <w:r w:rsidRPr="004F3730">
        <w:rPr>
          <w:lang w:val="fr-SN"/>
        </w:rPr>
        <w:t>é</w:t>
      </w:r>
      <w:r w:rsidRPr="00824D30">
        <w:rPr>
          <w:lang w:val="fr-SN"/>
        </w:rPr>
        <w:t>taire.</w:t>
      </w:r>
    </w:p>
    <w:p w:rsidR="008D3165" w:rsidRDefault="008D3165" w:rsidP="008D3165">
      <w:pPr>
        <w:rPr>
          <w:b/>
          <w:bCs/>
          <w:iCs/>
          <w:lang w:val="fr-SN"/>
        </w:rPr>
      </w:pPr>
    </w:p>
    <w:p w:rsidR="008D3165" w:rsidRPr="00047211" w:rsidRDefault="008D3165" w:rsidP="008D3165">
      <w:pPr>
        <w:rPr>
          <w:b/>
          <w:bCs/>
          <w:iCs/>
          <w:lang w:val="fr-SN"/>
        </w:rPr>
      </w:pPr>
      <w:r w:rsidRPr="00047211">
        <w:rPr>
          <w:b/>
          <w:bCs/>
          <w:iCs/>
          <w:lang w:val="fr-SN"/>
        </w:rPr>
        <w:t>Am</w:t>
      </w:r>
      <w:r w:rsidRPr="00047211">
        <w:rPr>
          <w:b/>
          <w:bCs/>
          <w:iCs/>
          <w:lang w:val="fr-FR"/>
        </w:rPr>
        <w:t>é</w:t>
      </w:r>
      <w:r w:rsidRPr="00047211">
        <w:rPr>
          <w:b/>
          <w:bCs/>
          <w:iCs/>
          <w:lang w:val="fr-SN"/>
        </w:rPr>
        <w:t>lioration des capacit</w:t>
      </w:r>
      <w:r w:rsidRPr="00047211">
        <w:rPr>
          <w:b/>
          <w:bCs/>
          <w:iCs/>
          <w:lang w:val="fr-FR"/>
        </w:rPr>
        <w:t>é</w:t>
      </w:r>
      <w:r w:rsidRPr="00047211">
        <w:rPr>
          <w:b/>
          <w:bCs/>
          <w:iCs/>
          <w:lang w:val="fr-SN"/>
        </w:rPr>
        <w:t>s des autorit</w:t>
      </w:r>
      <w:r w:rsidRPr="00047211">
        <w:rPr>
          <w:b/>
          <w:bCs/>
          <w:iCs/>
          <w:lang w:val="fr-FR"/>
        </w:rPr>
        <w:t>é</w:t>
      </w:r>
      <w:r w:rsidRPr="00047211">
        <w:rPr>
          <w:b/>
          <w:bCs/>
          <w:iCs/>
          <w:lang w:val="fr-SN"/>
        </w:rPr>
        <w:t>s locales pour la gestion p</w:t>
      </w:r>
      <w:r w:rsidRPr="00047211">
        <w:rPr>
          <w:b/>
          <w:bCs/>
          <w:iCs/>
          <w:lang w:val="fr-FR"/>
        </w:rPr>
        <w:t>é</w:t>
      </w:r>
      <w:r w:rsidRPr="00047211">
        <w:rPr>
          <w:b/>
          <w:bCs/>
          <w:iCs/>
          <w:lang w:val="fr-SN"/>
        </w:rPr>
        <w:t>renne des CL (planification, budg</w:t>
      </w:r>
      <w:r w:rsidRPr="00047211">
        <w:rPr>
          <w:b/>
          <w:bCs/>
          <w:iCs/>
          <w:lang w:val="fr-FR"/>
        </w:rPr>
        <w:t>é</w:t>
      </w:r>
      <w:r w:rsidRPr="00047211">
        <w:rPr>
          <w:b/>
          <w:bCs/>
          <w:iCs/>
          <w:lang w:val="fr-SN"/>
        </w:rPr>
        <w:t>tisation et r</w:t>
      </w:r>
      <w:r w:rsidRPr="00047211">
        <w:rPr>
          <w:b/>
          <w:bCs/>
          <w:iCs/>
          <w:lang w:val="fr-FR"/>
        </w:rPr>
        <w:t>é</w:t>
      </w:r>
      <w:r w:rsidRPr="00047211">
        <w:rPr>
          <w:b/>
          <w:bCs/>
          <w:iCs/>
          <w:lang w:val="fr-SN"/>
        </w:rPr>
        <w:t>alisation de projets de d</w:t>
      </w:r>
      <w:r w:rsidRPr="00047211">
        <w:rPr>
          <w:b/>
          <w:bCs/>
          <w:iCs/>
          <w:lang w:val="fr-FR"/>
        </w:rPr>
        <w:t>é</w:t>
      </w:r>
      <w:r w:rsidRPr="00047211">
        <w:rPr>
          <w:b/>
          <w:bCs/>
          <w:iCs/>
          <w:lang w:val="fr-SN"/>
        </w:rPr>
        <w:t>veloppement</w:t>
      </w:r>
      <w:r>
        <w:rPr>
          <w:b/>
          <w:bCs/>
          <w:iCs/>
          <w:lang w:val="fr-SN"/>
        </w:rPr>
        <w:t>)</w:t>
      </w:r>
      <w:r w:rsidRPr="00047211">
        <w:rPr>
          <w:b/>
          <w:bCs/>
          <w:iCs/>
          <w:lang w:val="fr-SN"/>
        </w:rPr>
        <w:t xml:space="preserve"> </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Les CR et les STD ont été les principaux bénéficiaires des activités de renforcement des capacités entreprises par le PADMIR. Or, le r</w:t>
      </w:r>
      <w:r w:rsidRPr="00371A71">
        <w:rPr>
          <w:lang w:val="fr-SN"/>
        </w:rPr>
        <w:t>ô</w:t>
      </w:r>
      <w:r w:rsidRPr="004F3730">
        <w:rPr>
          <w:lang w:val="fr-SN"/>
        </w:rPr>
        <w:t>le attendu du secteur privé dans le cadre de la décentralisation et du d</w:t>
      </w:r>
      <w:r w:rsidRPr="00F013EF">
        <w:rPr>
          <w:lang w:val="fr-SN"/>
        </w:rPr>
        <w:t>é</w:t>
      </w:r>
      <w:r w:rsidRPr="004F3730">
        <w:rPr>
          <w:lang w:val="fr-SN"/>
        </w:rPr>
        <w:t>veloppement local nécessite que ces acteurs bénéficient également de programmes de renforcement plus conséquents pour leur mise à niveau par les bailleurs de fonds, dont le FENU.</w:t>
      </w:r>
    </w:p>
    <w:p w:rsidR="008D3165" w:rsidRPr="00047211" w:rsidRDefault="008D3165" w:rsidP="008D3165">
      <w:pPr>
        <w:rPr>
          <w:b/>
          <w:lang w:val="fr-SN"/>
        </w:rPr>
      </w:pPr>
    </w:p>
    <w:p w:rsidR="008D3165" w:rsidRPr="00047211" w:rsidRDefault="008D3165" w:rsidP="008D3165">
      <w:pPr>
        <w:rPr>
          <w:b/>
          <w:lang w:val="fr-SN"/>
        </w:rPr>
      </w:pPr>
      <w:r w:rsidRPr="00047211">
        <w:rPr>
          <w:b/>
          <w:lang w:val="fr-SN"/>
        </w:rPr>
        <w:t>R</w:t>
      </w:r>
      <w:r w:rsidRPr="009248EA">
        <w:rPr>
          <w:b/>
          <w:lang w:val="fr-FR"/>
        </w:rPr>
        <w:t>é</w:t>
      </w:r>
      <w:r w:rsidRPr="009248EA">
        <w:rPr>
          <w:b/>
          <w:lang w:val="fr-SN"/>
        </w:rPr>
        <w:t>a</w:t>
      </w:r>
      <w:r w:rsidRPr="00047211">
        <w:rPr>
          <w:b/>
          <w:lang w:val="fr-SN"/>
        </w:rPr>
        <w:t xml:space="preserve">lisation d’investissements communautaires locaux </w:t>
      </w:r>
      <w:r w:rsidRPr="00A80C2A">
        <w:rPr>
          <w:b/>
          <w:lang w:val="fr-SN"/>
        </w:rPr>
        <w:t>à</w:t>
      </w:r>
      <w:r w:rsidRPr="00047211">
        <w:rPr>
          <w:b/>
          <w:lang w:val="fr-SN"/>
        </w:rPr>
        <w:t xml:space="preserve"> concurrence des plafonds de planification des FDL (infrastructures, AGR, GRN)</w:t>
      </w:r>
    </w:p>
    <w:p w:rsidR="008D3165" w:rsidRPr="00047211" w:rsidRDefault="008D3165" w:rsidP="008D3165">
      <w:pPr>
        <w:rPr>
          <w:lang w:val="fr-SN"/>
        </w:rPr>
      </w:pPr>
    </w:p>
    <w:p w:rsidR="008D3165" w:rsidRPr="00824D30" w:rsidRDefault="008D3165" w:rsidP="008D3165">
      <w:pPr>
        <w:numPr>
          <w:ilvl w:val="0"/>
          <w:numId w:val="2"/>
        </w:numPr>
        <w:rPr>
          <w:lang w:val="fr-SN"/>
        </w:rPr>
      </w:pPr>
      <w:r w:rsidRPr="00047211">
        <w:rPr>
          <w:lang w:val="fr-SN"/>
        </w:rPr>
        <w:t>Une culture d’entretien et de maintenance des infrastructures devrait être instill</w:t>
      </w:r>
      <w:r w:rsidRPr="004F3730">
        <w:rPr>
          <w:lang w:val="fr-SN"/>
        </w:rPr>
        <w:t>é</w:t>
      </w:r>
      <w:r w:rsidRPr="00047211">
        <w:rPr>
          <w:lang w:val="fr-SN"/>
        </w:rPr>
        <w:t>e, notamment en am</w:t>
      </w:r>
      <w:r w:rsidRPr="004F3730">
        <w:rPr>
          <w:lang w:val="fr-SN"/>
        </w:rPr>
        <w:t>é</w:t>
      </w:r>
      <w:r w:rsidRPr="00047211">
        <w:rPr>
          <w:lang w:val="fr-SN"/>
        </w:rPr>
        <w:t>liorant l’appui aux CG (au travers de formations à la comptabilit</w:t>
      </w:r>
      <w:r w:rsidRPr="004F3730">
        <w:rPr>
          <w:lang w:val="fr-SN"/>
        </w:rPr>
        <w:t>é</w:t>
      </w:r>
      <w:r w:rsidRPr="00047211">
        <w:rPr>
          <w:lang w:val="fr-SN"/>
        </w:rPr>
        <w:t xml:space="preserve"> </w:t>
      </w:r>
      <w:r w:rsidRPr="004F3730">
        <w:rPr>
          <w:lang w:val="fr-SN"/>
        </w:rPr>
        <w:t>é</w:t>
      </w:r>
      <w:r w:rsidRPr="00047211">
        <w:rPr>
          <w:lang w:val="fr-SN"/>
        </w:rPr>
        <w:t>l</w:t>
      </w:r>
      <w:r w:rsidRPr="004F3730">
        <w:rPr>
          <w:lang w:val="fr-SN"/>
        </w:rPr>
        <w:t>é</w:t>
      </w:r>
      <w:r w:rsidRPr="00047211">
        <w:rPr>
          <w:lang w:val="fr-SN"/>
        </w:rPr>
        <w:t>mentaire simplifi</w:t>
      </w:r>
      <w:r w:rsidRPr="004F3730">
        <w:rPr>
          <w:lang w:val="fr-SN"/>
        </w:rPr>
        <w:t>é</w:t>
      </w:r>
      <w:r w:rsidRPr="00047211">
        <w:rPr>
          <w:lang w:val="fr-SN"/>
        </w:rPr>
        <w:t xml:space="preserve">e) et par une sensibilisation accrue des STD. </w:t>
      </w:r>
      <w:r>
        <w:rPr>
          <w:lang w:val="fr-SN"/>
        </w:rPr>
        <w:t xml:space="preserve"> Il serait </w:t>
      </w:r>
      <w:r w:rsidRPr="00F013EF">
        <w:rPr>
          <w:lang w:val="fr-SN"/>
        </w:rPr>
        <w:t>é</w:t>
      </w:r>
      <w:r>
        <w:rPr>
          <w:lang w:val="fr-SN"/>
        </w:rPr>
        <w:t>galement important pour les CR de d</w:t>
      </w:r>
      <w:r w:rsidRPr="00F013EF">
        <w:rPr>
          <w:lang w:val="fr-SN"/>
        </w:rPr>
        <w:t>é</w:t>
      </w:r>
      <w:r>
        <w:rPr>
          <w:lang w:val="fr-SN"/>
        </w:rPr>
        <w:t>finir en priorit</w:t>
      </w:r>
      <w:r w:rsidRPr="00F013EF">
        <w:rPr>
          <w:lang w:val="fr-SN"/>
        </w:rPr>
        <w:t>é</w:t>
      </w:r>
      <w:r>
        <w:rPr>
          <w:lang w:val="fr-SN"/>
        </w:rPr>
        <w:t xml:space="preserve"> une politique de gestion des </w:t>
      </w:r>
      <w:r w:rsidRPr="00F013EF">
        <w:rPr>
          <w:lang w:val="fr-SN"/>
        </w:rPr>
        <w:t>é</w:t>
      </w:r>
      <w:r>
        <w:rPr>
          <w:lang w:val="fr-SN"/>
        </w:rPr>
        <w:t xml:space="preserve">quipements qui leur permettrait d’ appliquer les directives de gestion et de maintenance des </w:t>
      </w:r>
      <w:r w:rsidRPr="00F013EF">
        <w:rPr>
          <w:lang w:val="fr-SN"/>
        </w:rPr>
        <w:t>é</w:t>
      </w:r>
      <w:r>
        <w:rPr>
          <w:lang w:val="fr-SN"/>
        </w:rPr>
        <w:t xml:space="preserve">quipements sur leur territoire. </w:t>
      </w:r>
      <w:r w:rsidRPr="00824D30">
        <w:rPr>
          <w:lang w:val="fr-SN"/>
        </w:rPr>
        <w:t>Des mesures d’att</w:t>
      </w:r>
      <w:r w:rsidRPr="004F3730">
        <w:rPr>
          <w:lang w:val="fr-SN"/>
        </w:rPr>
        <w:t>é</w:t>
      </w:r>
      <w:r w:rsidRPr="00824D30">
        <w:rPr>
          <w:lang w:val="fr-SN"/>
        </w:rPr>
        <w:t xml:space="preserve">nuation des impacts environnementaux des infrastructures devraient </w:t>
      </w:r>
      <w:r w:rsidRPr="004F3730">
        <w:rPr>
          <w:lang w:val="fr-SN"/>
        </w:rPr>
        <w:t>é</w:t>
      </w:r>
      <w:r w:rsidRPr="00824D30">
        <w:rPr>
          <w:lang w:val="fr-SN"/>
        </w:rPr>
        <w:t>galement être favoris</w:t>
      </w:r>
      <w:r w:rsidRPr="004F3730">
        <w:rPr>
          <w:lang w:val="fr-SN"/>
        </w:rPr>
        <w:t>é</w:t>
      </w:r>
      <w:r w:rsidRPr="00824D30">
        <w:rPr>
          <w:lang w:val="fr-SN"/>
        </w:rPr>
        <w:t>es. Par ailleurs, il convient de rappeler la n</w:t>
      </w:r>
      <w:r w:rsidRPr="004F3730">
        <w:rPr>
          <w:lang w:val="fr-SN"/>
        </w:rPr>
        <w:t>é</w:t>
      </w:r>
      <w:r w:rsidRPr="00824D30">
        <w:rPr>
          <w:lang w:val="fr-SN"/>
        </w:rPr>
        <w:t>cessit</w:t>
      </w:r>
      <w:r w:rsidRPr="004F3730">
        <w:rPr>
          <w:lang w:val="fr-SN"/>
        </w:rPr>
        <w:t>é</w:t>
      </w:r>
      <w:r w:rsidRPr="00824D30">
        <w:rPr>
          <w:lang w:val="fr-SN"/>
        </w:rPr>
        <w:t xml:space="preserve"> </w:t>
      </w:r>
      <w:r>
        <w:rPr>
          <w:lang w:val="fr-SN"/>
        </w:rPr>
        <w:t>pour l’Etat s</w:t>
      </w:r>
      <w:r w:rsidRPr="00F013EF">
        <w:rPr>
          <w:lang w:val="fr-SN"/>
        </w:rPr>
        <w:t>é</w:t>
      </w:r>
      <w:r>
        <w:rPr>
          <w:lang w:val="fr-SN"/>
        </w:rPr>
        <w:t>n</w:t>
      </w:r>
      <w:r w:rsidRPr="00F013EF">
        <w:rPr>
          <w:lang w:val="fr-SN"/>
        </w:rPr>
        <w:t>é</w:t>
      </w:r>
      <w:r>
        <w:rPr>
          <w:lang w:val="fr-SN"/>
        </w:rPr>
        <w:t xml:space="preserve">galais </w:t>
      </w:r>
      <w:r w:rsidRPr="00824D30">
        <w:rPr>
          <w:lang w:val="fr-SN"/>
        </w:rPr>
        <w:t>de revoir la nomenclature budg</w:t>
      </w:r>
      <w:r w:rsidRPr="004F3730">
        <w:rPr>
          <w:lang w:val="fr-SN"/>
        </w:rPr>
        <w:t>é</w:t>
      </w:r>
      <w:r w:rsidRPr="00824D30">
        <w:rPr>
          <w:lang w:val="fr-SN"/>
        </w:rPr>
        <w:t xml:space="preserve">taire des CL, afin de permettre </w:t>
      </w:r>
      <w:r>
        <w:rPr>
          <w:lang w:val="fr-SN"/>
        </w:rPr>
        <w:t xml:space="preserve">aux CR </w:t>
      </w:r>
      <w:r w:rsidRPr="00824D30">
        <w:rPr>
          <w:lang w:val="fr-SN"/>
        </w:rPr>
        <w:t>de budg</w:t>
      </w:r>
      <w:r w:rsidRPr="004F3730">
        <w:rPr>
          <w:lang w:val="fr-SN"/>
        </w:rPr>
        <w:t>é</w:t>
      </w:r>
      <w:r w:rsidRPr="00824D30">
        <w:rPr>
          <w:lang w:val="fr-SN"/>
        </w:rPr>
        <w:t xml:space="preserve">tiser les charges d’entretien et de maintenance. </w:t>
      </w:r>
    </w:p>
    <w:p w:rsidR="008D3165" w:rsidRDefault="008D3165" w:rsidP="008D3165">
      <w:pPr>
        <w:rPr>
          <w:lang w:val="fr-SN"/>
        </w:rPr>
      </w:pPr>
    </w:p>
    <w:p w:rsidR="008D3165" w:rsidRPr="00047211" w:rsidRDefault="008D3165" w:rsidP="008D3165">
      <w:pPr>
        <w:numPr>
          <w:ilvl w:val="0"/>
          <w:numId w:val="2"/>
        </w:numPr>
        <w:rPr>
          <w:lang w:val="fr-SN"/>
        </w:rPr>
      </w:pPr>
      <w:r>
        <w:rPr>
          <w:lang w:val="fr-SN"/>
        </w:rPr>
        <w:t>Afin de pallier au non respect des d</w:t>
      </w:r>
      <w:r w:rsidRPr="00F013EF">
        <w:rPr>
          <w:lang w:val="fr-SN"/>
        </w:rPr>
        <w:t>é</w:t>
      </w:r>
      <w:r>
        <w:rPr>
          <w:lang w:val="fr-SN"/>
        </w:rPr>
        <w:t xml:space="preserve">lais contractuels par les entrepreneurs, il pourrait </w:t>
      </w:r>
      <w:r w:rsidRPr="00047211">
        <w:rPr>
          <w:lang w:val="fr-SN"/>
        </w:rPr>
        <w:t>ê</w:t>
      </w:r>
      <w:r>
        <w:rPr>
          <w:lang w:val="fr-SN"/>
        </w:rPr>
        <w:t>tre utile pour les CR d’instaurer un système de p</w:t>
      </w:r>
      <w:r w:rsidRPr="00F013EF">
        <w:rPr>
          <w:lang w:val="fr-SN"/>
        </w:rPr>
        <w:t>é</w:t>
      </w:r>
      <w:r>
        <w:rPr>
          <w:lang w:val="fr-SN"/>
        </w:rPr>
        <w:t>nalit</w:t>
      </w:r>
      <w:r w:rsidRPr="00F013EF">
        <w:rPr>
          <w:lang w:val="fr-SN"/>
        </w:rPr>
        <w:t>é</w:t>
      </w:r>
      <w:r>
        <w:rPr>
          <w:lang w:val="fr-SN"/>
        </w:rPr>
        <w:t>s, tel que cela est pratiqu</w:t>
      </w:r>
      <w:r w:rsidRPr="004F3730">
        <w:rPr>
          <w:lang w:val="fr-SN"/>
        </w:rPr>
        <w:t>é</w:t>
      </w:r>
      <w:r>
        <w:rPr>
          <w:lang w:val="fr-SN"/>
        </w:rPr>
        <w:t xml:space="preserve"> dans le domaine de la construction.</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 xml:space="preserve">Une distinction plus claire pourrait être </w:t>
      </w:r>
      <w:r w:rsidRPr="00F013EF">
        <w:rPr>
          <w:lang w:val="fr-SN"/>
        </w:rPr>
        <w:t>é</w:t>
      </w:r>
      <w:r w:rsidRPr="00047211">
        <w:rPr>
          <w:lang w:val="fr-SN"/>
        </w:rPr>
        <w:t>tablie dans l’attribution des fonds AGR entre des micro cr</w:t>
      </w:r>
      <w:r w:rsidRPr="004F3730">
        <w:rPr>
          <w:lang w:val="fr-SN"/>
        </w:rPr>
        <w:t>é</w:t>
      </w:r>
      <w:r w:rsidRPr="00047211">
        <w:rPr>
          <w:lang w:val="fr-SN"/>
        </w:rPr>
        <w:t>dits pour am</w:t>
      </w:r>
      <w:r w:rsidRPr="004F3730">
        <w:rPr>
          <w:lang w:val="fr-SN"/>
        </w:rPr>
        <w:t>é</w:t>
      </w:r>
      <w:r w:rsidRPr="00047211">
        <w:rPr>
          <w:lang w:val="fr-SN"/>
        </w:rPr>
        <w:t>liorer les conditions de vie et r</w:t>
      </w:r>
      <w:r w:rsidRPr="004F3730">
        <w:rPr>
          <w:lang w:val="fr-SN"/>
        </w:rPr>
        <w:t>é</w:t>
      </w:r>
      <w:r w:rsidRPr="00047211">
        <w:rPr>
          <w:lang w:val="fr-SN"/>
        </w:rPr>
        <w:t>duire la pauvret</w:t>
      </w:r>
      <w:r w:rsidRPr="004F3730">
        <w:rPr>
          <w:lang w:val="fr-SN"/>
        </w:rPr>
        <w:t>é,</w:t>
      </w:r>
      <w:r w:rsidRPr="00047211">
        <w:rPr>
          <w:lang w:val="fr-SN"/>
        </w:rPr>
        <w:t xml:space="preserve"> et des micro cr</w:t>
      </w:r>
      <w:r w:rsidRPr="004F3730">
        <w:rPr>
          <w:lang w:val="fr-SN"/>
        </w:rPr>
        <w:t>é</w:t>
      </w:r>
      <w:r w:rsidRPr="00047211">
        <w:rPr>
          <w:lang w:val="fr-SN"/>
        </w:rPr>
        <w:t>dits qui encourage</w:t>
      </w:r>
      <w:r>
        <w:rPr>
          <w:lang w:val="fr-SN"/>
        </w:rPr>
        <w:t>raie</w:t>
      </w:r>
      <w:r w:rsidRPr="00047211">
        <w:rPr>
          <w:lang w:val="fr-SN"/>
        </w:rPr>
        <w:t>nt le d</w:t>
      </w:r>
      <w:r w:rsidRPr="004F3730">
        <w:rPr>
          <w:lang w:val="fr-SN"/>
        </w:rPr>
        <w:t>é</w:t>
      </w:r>
      <w:r w:rsidRPr="00047211">
        <w:rPr>
          <w:lang w:val="fr-SN"/>
        </w:rPr>
        <w:t>veloppement de micro et petites entreprises avec une perspective de croissance.</w:t>
      </w:r>
      <w:r w:rsidRPr="004F3730">
        <w:rPr>
          <w:lang w:val="fr-SN"/>
        </w:rPr>
        <w:t xml:space="preserve"> Dans cet esprit, l’intention de l’UAT de K</w:t>
      </w:r>
      <w:r w:rsidRPr="00F013EF">
        <w:rPr>
          <w:lang w:val="fr-SN"/>
        </w:rPr>
        <w:t>é</w:t>
      </w:r>
      <w:r w:rsidRPr="004F3730">
        <w:rPr>
          <w:lang w:val="fr-SN"/>
        </w:rPr>
        <w:t>b</w:t>
      </w:r>
      <w:r w:rsidRPr="00F013EF">
        <w:rPr>
          <w:lang w:val="fr-SN"/>
        </w:rPr>
        <w:t>é</w:t>
      </w:r>
      <w:r w:rsidRPr="004F3730">
        <w:rPr>
          <w:lang w:val="fr-SN"/>
        </w:rPr>
        <w:t xml:space="preserve">mer de promouvoir une articulation entre les fonds AGR et ceux destinés au développement de l’entrepreneuriat local est considérée comme particulièrement pertinente et devrait </w:t>
      </w:r>
      <w:r w:rsidRPr="00047211">
        <w:rPr>
          <w:lang w:val="fr-SN"/>
        </w:rPr>
        <w:t>ê</w:t>
      </w:r>
      <w:r w:rsidRPr="004F3730">
        <w:rPr>
          <w:lang w:val="fr-SN"/>
        </w:rPr>
        <w:t>tre favorisée d’ici la fin du programme.</w:t>
      </w:r>
    </w:p>
    <w:p w:rsidR="008D3165" w:rsidRPr="00047211" w:rsidRDefault="008D3165" w:rsidP="008D3165">
      <w:pPr>
        <w:rPr>
          <w:lang w:val="fr-SN"/>
        </w:rPr>
      </w:pPr>
    </w:p>
    <w:p w:rsidR="008D3165" w:rsidRDefault="008D3165" w:rsidP="008D3165">
      <w:pPr>
        <w:numPr>
          <w:ilvl w:val="0"/>
          <w:numId w:val="2"/>
        </w:numPr>
        <w:rPr>
          <w:lang w:val="fr-SN"/>
        </w:rPr>
      </w:pPr>
      <w:r w:rsidRPr="00047211">
        <w:rPr>
          <w:lang w:val="fr-SN"/>
        </w:rPr>
        <w:t>Dans une optique de durabilit</w:t>
      </w:r>
      <w:r w:rsidRPr="004F3730">
        <w:rPr>
          <w:lang w:val="fr-SN"/>
        </w:rPr>
        <w:t>é</w:t>
      </w:r>
      <w:r w:rsidRPr="00047211">
        <w:rPr>
          <w:lang w:val="fr-SN"/>
        </w:rPr>
        <w:t xml:space="preserve"> des fonds AGR, il serait utile </w:t>
      </w:r>
      <w:r>
        <w:rPr>
          <w:lang w:val="fr-SN"/>
        </w:rPr>
        <w:t xml:space="preserve">que le FENU puisse </w:t>
      </w:r>
      <w:r w:rsidRPr="00047211">
        <w:rPr>
          <w:lang w:val="fr-SN"/>
        </w:rPr>
        <w:t xml:space="preserve">examiner la </w:t>
      </w:r>
      <w:r w:rsidRPr="004F3730">
        <w:rPr>
          <w:lang w:val="fr-SN"/>
        </w:rPr>
        <w:t xml:space="preserve">mise en place de structures de financement au profit des communautés villageoises, </w:t>
      </w:r>
      <w:r w:rsidRPr="00047211">
        <w:rPr>
          <w:lang w:val="fr-SN"/>
        </w:rPr>
        <w:t>à</w:t>
      </w:r>
      <w:r w:rsidRPr="004F3730">
        <w:rPr>
          <w:lang w:val="fr-SN"/>
        </w:rPr>
        <w:t xml:space="preserve"> l’instar des initiatives développées au titre du FDL dans le cadre du </w:t>
      </w:r>
      <w:r w:rsidRPr="004F3730">
        <w:rPr>
          <w:lang w:val="fr-SN"/>
        </w:rPr>
        <w:lastRenderedPageBreak/>
        <w:t>PAREP</w:t>
      </w:r>
      <w:r w:rsidRPr="00047211">
        <w:rPr>
          <w:lang w:val="fr-SN"/>
        </w:rPr>
        <w:t xml:space="preserve">, qui ont permis une plus grande responsabilisation des GPF dans la mise en œuvre de micro-projets et la dynamisation des cadres de concertation. De la même façon, le </w:t>
      </w:r>
      <w:r>
        <w:rPr>
          <w:lang w:val="fr-SN"/>
        </w:rPr>
        <w:t xml:space="preserve">FENU </w:t>
      </w:r>
      <w:r w:rsidRPr="00047211">
        <w:rPr>
          <w:lang w:val="fr-SN"/>
        </w:rPr>
        <w:t>pourrait s’int</w:t>
      </w:r>
      <w:r w:rsidRPr="004F3730">
        <w:rPr>
          <w:lang w:val="fr-SN"/>
        </w:rPr>
        <w:t>é</w:t>
      </w:r>
      <w:r w:rsidRPr="00047211">
        <w:rPr>
          <w:lang w:val="fr-SN"/>
        </w:rPr>
        <w:t>resser à l’exp</w:t>
      </w:r>
      <w:r w:rsidRPr="004F3730">
        <w:rPr>
          <w:lang w:val="fr-SN"/>
        </w:rPr>
        <w:t>é</w:t>
      </w:r>
      <w:r w:rsidRPr="00047211">
        <w:rPr>
          <w:lang w:val="fr-SN"/>
        </w:rPr>
        <w:t>rience des Comit</w:t>
      </w:r>
      <w:r w:rsidRPr="004F3730">
        <w:rPr>
          <w:lang w:val="fr-SN"/>
        </w:rPr>
        <w:t>é</w:t>
      </w:r>
      <w:r w:rsidRPr="00047211">
        <w:rPr>
          <w:lang w:val="fr-SN"/>
        </w:rPr>
        <w:t>s Locaux de Suivi des micro-projets du PAREP qui semblent avoir bien fonctionn</w:t>
      </w:r>
      <w:r w:rsidRPr="004F3730">
        <w:rPr>
          <w:lang w:val="fr-SN"/>
        </w:rPr>
        <w:t>é</w:t>
      </w:r>
      <w:r w:rsidRPr="004F3730">
        <w:rPr>
          <w:i/>
          <w:lang w:val="fr-SN"/>
        </w:rPr>
        <w:footnoteReference w:id="5"/>
      </w:r>
      <w:r w:rsidRPr="00047211">
        <w:rPr>
          <w:lang w:val="fr-SN"/>
        </w:rPr>
        <w:t>.</w:t>
      </w:r>
    </w:p>
    <w:p w:rsidR="008D3165" w:rsidRDefault="008D3165" w:rsidP="008D3165">
      <w:pPr>
        <w:rPr>
          <w:lang w:val="fr-SN"/>
        </w:rPr>
      </w:pPr>
    </w:p>
    <w:p w:rsidR="008D3165" w:rsidRPr="00582B2E" w:rsidRDefault="008D3165" w:rsidP="008D3165">
      <w:pPr>
        <w:numPr>
          <w:ilvl w:val="0"/>
          <w:numId w:val="2"/>
        </w:numPr>
        <w:rPr>
          <w:lang w:val="fr-SN"/>
        </w:rPr>
      </w:pPr>
      <w:r w:rsidRPr="003227CF">
        <w:rPr>
          <w:lang w:val="fr-SN"/>
        </w:rPr>
        <w:t xml:space="preserve">Il serait important </w:t>
      </w:r>
      <w:r>
        <w:rPr>
          <w:lang w:val="fr-SN"/>
        </w:rPr>
        <w:t>que le FENU puisse</w:t>
      </w:r>
      <w:r w:rsidRPr="003227CF">
        <w:rPr>
          <w:lang w:val="fr-SN"/>
        </w:rPr>
        <w:t xml:space="preserve"> sensibiliser davantage les CR et les populations </w:t>
      </w:r>
      <w:r>
        <w:rPr>
          <w:lang w:val="fr-SN"/>
        </w:rPr>
        <w:t xml:space="preserve">eu </w:t>
      </w:r>
      <w:r w:rsidRPr="00F013EF">
        <w:rPr>
          <w:lang w:val="fr-SN"/>
        </w:rPr>
        <w:t>é</w:t>
      </w:r>
      <w:r>
        <w:rPr>
          <w:lang w:val="fr-SN"/>
        </w:rPr>
        <w:t xml:space="preserve">gard </w:t>
      </w:r>
      <w:r w:rsidRPr="00577CAA">
        <w:rPr>
          <w:lang w:val="fr-SN"/>
        </w:rPr>
        <w:t>à</w:t>
      </w:r>
      <w:r w:rsidRPr="003227CF">
        <w:rPr>
          <w:lang w:val="fr-SN"/>
        </w:rPr>
        <w:t xml:space="preserve"> </w:t>
      </w:r>
      <w:r>
        <w:rPr>
          <w:lang w:val="fr-SN"/>
        </w:rPr>
        <w:t xml:space="preserve">tout </w:t>
      </w:r>
      <w:r w:rsidRPr="003227CF">
        <w:rPr>
          <w:lang w:val="fr-SN"/>
        </w:rPr>
        <w:t>l’</w:t>
      </w:r>
      <w:r>
        <w:rPr>
          <w:lang w:val="fr-SN"/>
        </w:rPr>
        <w:t>int</w:t>
      </w:r>
      <w:r w:rsidRPr="00F013EF">
        <w:rPr>
          <w:lang w:val="fr-SN"/>
        </w:rPr>
        <w:t>é</w:t>
      </w:r>
      <w:r>
        <w:rPr>
          <w:lang w:val="fr-SN"/>
        </w:rPr>
        <w:t>r</w:t>
      </w:r>
      <w:r w:rsidRPr="00F013EF">
        <w:rPr>
          <w:lang w:val="fr-SN"/>
        </w:rPr>
        <w:t>ê</w:t>
      </w:r>
      <w:r>
        <w:rPr>
          <w:lang w:val="fr-SN"/>
        </w:rPr>
        <w:t xml:space="preserve">t d’entreprendre </w:t>
      </w:r>
      <w:r w:rsidRPr="003227CF">
        <w:rPr>
          <w:lang w:val="fr-SN"/>
        </w:rPr>
        <w:t>des actions en faveur de la gestion des ressources naturelles et de l’</w:t>
      </w:r>
      <w:r>
        <w:rPr>
          <w:lang w:val="fr-SN"/>
        </w:rPr>
        <w:t>environnement. Il s’agirait de d</w:t>
      </w:r>
      <w:r w:rsidRPr="004304F3">
        <w:rPr>
          <w:lang w:val="fr-SN"/>
        </w:rPr>
        <w:t>é</w:t>
      </w:r>
      <w:r>
        <w:rPr>
          <w:lang w:val="fr-SN"/>
        </w:rPr>
        <w:t>montrer que toute action dans ce domaine a son utilit</w:t>
      </w:r>
      <w:r w:rsidRPr="00F013EF">
        <w:rPr>
          <w:lang w:val="fr-SN"/>
        </w:rPr>
        <w:t>é</w:t>
      </w:r>
      <w:r>
        <w:rPr>
          <w:lang w:val="fr-SN"/>
        </w:rPr>
        <w:t>, quelque soit son niveau, et que la GRN est un moyen efficace de lutter contre la pauvret</w:t>
      </w:r>
      <w:r w:rsidRPr="004304F3">
        <w:rPr>
          <w:lang w:val="fr-SN"/>
        </w:rPr>
        <w:t>é</w:t>
      </w:r>
      <w:r>
        <w:rPr>
          <w:lang w:val="fr-SN"/>
        </w:rPr>
        <w:t>. L</w:t>
      </w:r>
      <w:r w:rsidRPr="00582B2E">
        <w:rPr>
          <w:lang w:val="fr-SN"/>
        </w:rPr>
        <w:t>a d</w:t>
      </w:r>
      <w:r w:rsidRPr="00F013EF">
        <w:rPr>
          <w:lang w:val="fr-SN"/>
        </w:rPr>
        <w:t>é</w:t>
      </w:r>
      <w:r w:rsidRPr="00582B2E">
        <w:rPr>
          <w:lang w:val="fr-SN"/>
        </w:rPr>
        <w:t>sertification, la d</w:t>
      </w:r>
      <w:r w:rsidRPr="00F013EF">
        <w:rPr>
          <w:lang w:val="fr-SN"/>
        </w:rPr>
        <w:t>é</w:t>
      </w:r>
      <w:r w:rsidRPr="00582B2E">
        <w:rPr>
          <w:lang w:val="fr-SN"/>
        </w:rPr>
        <w:t>forestation et la d</w:t>
      </w:r>
      <w:r w:rsidRPr="00F013EF">
        <w:rPr>
          <w:lang w:val="fr-SN"/>
        </w:rPr>
        <w:t>é</w:t>
      </w:r>
      <w:r w:rsidRPr="00582B2E">
        <w:rPr>
          <w:lang w:val="fr-SN"/>
        </w:rPr>
        <w:t xml:space="preserve">gradation rapide des sols constituent des domaines d’intervention prioritaires devant impliquer l’ensemble des acteurs (CR, populations et acteurs </w:t>
      </w:r>
      <w:r w:rsidRPr="00F013EF">
        <w:rPr>
          <w:lang w:val="fr-SN"/>
        </w:rPr>
        <w:t>é</w:t>
      </w:r>
      <w:r w:rsidRPr="00582B2E">
        <w:rPr>
          <w:lang w:val="fr-SN"/>
        </w:rPr>
        <w:t xml:space="preserve">conomiques). Ainsi, le FENU pourrait inciter les CR </w:t>
      </w:r>
      <w:r w:rsidRPr="00577CAA">
        <w:rPr>
          <w:lang w:val="fr-SN"/>
        </w:rPr>
        <w:t>à</w:t>
      </w:r>
      <w:r w:rsidRPr="00582B2E">
        <w:rPr>
          <w:lang w:val="fr-SN"/>
        </w:rPr>
        <w:t xml:space="preserve"> mener des op</w:t>
      </w:r>
      <w:r w:rsidRPr="00F013EF">
        <w:rPr>
          <w:lang w:val="fr-SN"/>
        </w:rPr>
        <w:t>é</w:t>
      </w:r>
      <w:r w:rsidRPr="00582B2E">
        <w:rPr>
          <w:lang w:val="fr-SN"/>
        </w:rPr>
        <w:t>rations de reboisement (en utilisant des esp</w:t>
      </w:r>
      <w:r w:rsidRPr="004F3730">
        <w:rPr>
          <w:lang w:val="fr-SN"/>
        </w:rPr>
        <w:t>è</w:t>
      </w:r>
      <w:r w:rsidRPr="00582B2E">
        <w:rPr>
          <w:lang w:val="fr-SN"/>
        </w:rPr>
        <w:t>ces foresti</w:t>
      </w:r>
      <w:r w:rsidRPr="004F3730">
        <w:rPr>
          <w:lang w:val="fr-SN"/>
        </w:rPr>
        <w:t>è</w:t>
      </w:r>
      <w:r w:rsidRPr="00582B2E">
        <w:rPr>
          <w:lang w:val="fr-SN"/>
        </w:rPr>
        <w:t>res locales, menac</w:t>
      </w:r>
      <w:r w:rsidRPr="00F013EF">
        <w:rPr>
          <w:lang w:val="fr-SN"/>
        </w:rPr>
        <w:t>é</w:t>
      </w:r>
      <w:r w:rsidRPr="00582B2E">
        <w:rPr>
          <w:lang w:val="fr-SN"/>
        </w:rPr>
        <w:t xml:space="preserve">es ou disparues), </w:t>
      </w:r>
      <w:r w:rsidRPr="00577CAA">
        <w:rPr>
          <w:lang w:val="fr-SN"/>
        </w:rPr>
        <w:t>à</w:t>
      </w:r>
      <w:r w:rsidRPr="00582B2E">
        <w:rPr>
          <w:lang w:val="fr-SN"/>
        </w:rPr>
        <w:t xml:space="preserve"> </w:t>
      </w:r>
      <w:r>
        <w:rPr>
          <w:lang w:val="fr-SN"/>
        </w:rPr>
        <w:t>favoriser la pratique de l’agro-</w:t>
      </w:r>
      <w:r w:rsidRPr="00F013EF">
        <w:rPr>
          <w:lang w:val="fr-SN"/>
        </w:rPr>
        <w:t>é</w:t>
      </w:r>
      <w:r>
        <w:rPr>
          <w:lang w:val="fr-SN"/>
        </w:rPr>
        <w:t xml:space="preserve">cologie dans le cadre des micro-projets, </w:t>
      </w:r>
      <w:r w:rsidRPr="00577CAA">
        <w:rPr>
          <w:lang w:val="fr-SN"/>
        </w:rPr>
        <w:t>à</w:t>
      </w:r>
      <w:r>
        <w:rPr>
          <w:lang w:val="fr-SN"/>
        </w:rPr>
        <w:t xml:space="preserve"> </w:t>
      </w:r>
      <w:r w:rsidRPr="00582B2E">
        <w:rPr>
          <w:lang w:val="fr-SN"/>
        </w:rPr>
        <w:t>encourager la valorisation des ordures m</w:t>
      </w:r>
      <w:r w:rsidRPr="00F013EF">
        <w:rPr>
          <w:lang w:val="fr-SN"/>
        </w:rPr>
        <w:t>é</w:t>
      </w:r>
      <w:r w:rsidRPr="00582B2E">
        <w:rPr>
          <w:lang w:val="fr-SN"/>
        </w:rPr>
        <w:t>nag</w:t>
      </w:r>
      <w:r w:rsidRPr="004F3730">
        <w:rPr>
          <w:lang w:val="fr-SN"/>
        </w:rPr>
        <w:t>è</w:t>
      </w:r>
      <w:r w:rsidRPr="00582B2E">
        <w:rPr>
          <w:lang w:val="fr-SN"/>
        </w:rPr>
        <w:t>res (</w:t>
      </w:r>
      <w:r>
        <w:rPr>
          <w:lang w:val="fr-SN"/>
        </w:rPr>
        <w:t xml:space="preserve">qui seraient par exemple </w:t>
      </w:r>
      <w:r w:rsidRPr="00582B2E">
        <w:rPr>
          <w:lang w:val="fr-SN"/>
        </w:rPr>
        <w:t>transform</w:t>
      </w:r>
      <w:r w:rsidRPr="00F013EF">
        <w:rPr>
          <w:lang w:val="fr-SN"/>
        </w:rPr>
        <w:t>é</w:t>
      </w:r>
      <w:r w:rsidRPr="00582B2E">
        <w:rPr>
          <w:lang w:val="fr-SN"/>
        </w:rPr>
        <w:t xml:space="preserve">es en compost et pourraient </w:t>
      </w:r>
      <w:r w:rsidRPr="00047211">
        <w:rPr>
          <w:lang w:val="fr-SN"/>
        </w:rPr>
        <w:t>ê</w:t>
      </w:r>
      <w:r w:rsidRPr="00582B2E">
        <w:rPr>
          <w:lang w:val="fr-SN"/>
        </w:rPr>
        <w:t>tre utilis</w:t>
      </w:r>
      <w:r w:rsidRPr="00F013EF">
        <w:rPr>
          <w:lang w:val="fr-SN"/>
        </w:rPr>
        <w:t>é</w:t>
      </w:r>
      <w:r w:rsidRPr="00582B2E">
        <w:rPr>
          <w:lang w:val="fr-SN"/>
        </w:rPr>
        <w:t>es dans les cultures mara</w:t>
      </w:r>
      <w:r w:rsidRPr="00FF37AE">
        <w:rPr>
          <w:lang w:val="fr-SN"/>
        </w:rPr>
        <w:t>î</w:t>
      </w:r>
      <w:r w:rsidRPr="00582B2E">
        <w:rPr>
          <w:lang w:val="fr-SN"/>
        </w:rPr>
        <w:t>ch</w:t>
      </w:r>
      <w:r w:rsidRPr="004F3730">
        <w:rPr>
          <w:lang w:val="fr-SN"/>
        </w:rPr>
        <w:t>è</w:t>
      </w:r>
      <w:r w:rsidRPr="00582B2E">
        <w:rPr>
          <w:lang w:val="fr-SN"/>
        </w:rPr>
        <w:t>res et hivernales)</w:t>
      </w:r>
      <w:r>
        <w:rPr>
          <w:lang w:val="fr-SN"/>
        </w:rPr>
        <w:t xml:space="preserve">, </w:t>
      </w:r>
      <w:r w:rsidRPr="00577CAA">
        <w:rPr>
          <w:lang w:val="fr-SN"/>
        </w:rPr>
        <w:t>à</w:t>
      </w:r>
      <w:r>
        <w:rPr>
          <w:lang w:val="fr-SN"/>
        </w:rPr>
        <w:t xml:space="preserve"> favoriser l’utilisation d’engrais organique (potentiel identifi</w:t>
      </w:r>
      <w:r w:rsidRPr="00F013EF">
        <w:rPr>
          <w:lang w:val="fr-SN"/>
        </w:rPr>
        <w:t>é</w:t>
      </w:r>
      <w:r>
        <w:rPr>
          <w:lang w:val="fr-SN"/>
        </w:rPr>
        <w:t xml:space="preserve"> dans la CR de Boulel)</w:t>
      </w:r>
      <w:r w:rsidRPr="00582B2E">
        <w:rPr>
          <w:lang w:val="fr-SN"/>
        </w:rPr>
        <w:t xml:space="preserve"> et la protection des ressources en eau souterraine et superficielle. Enfin, le FENU pourrait appuyer les CR dans l’</w:t>
      </w:r>
      <w:r w:rsidRPr="00F013EF">
        <w:rPr>
          <w:lang w:val="fr-SN"/>
        </w:rPr>
        <w:t>é</w:t>
      </w:r>
      <w:r w:rsidRPr="00582B2E">
        <w:rPr>
          <w:lang w:val="fr-SN"/>
        </w:rPr>
        <w:t>laboration de Plans communaux d’action pour l’environnement, articul</w:t>
      </w:r>
      <w:r w:rsidRPr="00F013EF">
        <w:rPr>
          <w:lang w:val="fr-SN"/>
        </w:rPr>
        <w:t>é</w:t>
      </w:r>
      <w:r w:rsidRPr="00582B2E">
        <w:rPr>
          <w:lang w:val="fr-SN"/>
        </w:rPr>
        <w:t xml:space="preserve">s </w:t>
      </w:r>
      <w:r>
        <w:rPr>
          <w:lang w:val="fr-SN"/>
        </w:rPr>
        <w:t>aux</w:t>
      </w:r>
      <w:r w:rsidRPr="00582B2E">
        <w:rPr>
          <w:lang w:val="fr-SN"/>
        </w:rPr>
        <w:t xml:space="preserve"> orientations nationales strat</w:t>
      </w:r>
      <w:r w:rsidRPr="00F013EF">
        <w:rPr>
          <w:lang w:val="fr-SN"/>
        </w:rPr>
        <w:t>é</w:t>
      </w:r>
      <w:r w:rsidRPr="00582B2E">
        <w:rPr>
          <w:lang w:val="fr-SN"/>
        </w:rPr>
        <w:t>giques en la mati</w:t>
      </w:r>
      <w:r w:rsidRPr="004F3730">
        <w:rPr>
          <w:lang w:val="fr-SN"/>
        </w:rPr>
        <w:t>è</w:t>
      </w:r>
      <w:r w:rsidRPr="00582B2E">
        <w:rPr>
          <w:lang w:val="fr-SN"/>
        </w:rPr>
        <w:t>re</w:t>
      </w:r>
      <w:r w:rsidRPr="004F3730">
        <w:rPr>
          <w:i/>
        </w:rPr>
        <w:footnoteReference w:id="6"/>
      </w:r>
      <w:r>
        <w:rPr>
          <w:lang w:val="fr-SN"/>
        </w:rPr>
        <w:t>.</w:t>
      </w:r>
      <w:r w:rsidRPr="00582B2E">
        <w:rPr>
          <w:lang w:val="fr-SN"/>
        </w:rPr>
        <w:t xml:space="preserve"> Dans le cadre de la mise en œuvre de ces actions, </w:t>
      </w:r>
      <w:r>
        <w:rPr>
          <w:lang w:val="fr-SN"/>
        </w:rPr>
        <w:t xml:space="preserve">le partenariat avec l’ONG SOS Sahel pourrait </w:t>
      </w:r>
      <w:r w:rsidRPr="00047211">
        <w:rPr>
          <w:lang w:val="fr-SN"/>
        </w:rPr>
        <w:t>ê</w:t>
      </w:r>
      <w:r>
        <w:rPr>
          <w:lang w:val="fr-SN"/>
        </w:rPr>
        <w:t xml:space="preserve">tre poursuivi et l’appui du Centre de Suivi Ecologique pourrait </w:t>
      </w:r>
      <w:r w:rsidRPr="00047211">
        <w:rPr>
          <w:lang w:val="fr-SN"/>
        </w:rPr>
        <w:t>ê</w:t>
      </w:r>
      <w:r>
        <w:rPr>
          <w:lang w:val="fr-SN"/>
        </w:rPr>
        <w:t>tre recherch</w:t>
      </w:r>
      <w:r w:rsidRPr="00F013EF">
        <w:rPr>
          <w:lang w:val="fr-SN"/>
        </w:rPr>
        <w:t>é</w:t>
      </w:r>
      <w:r>
        <w:rPr>
          <w:lang w:val="fr-SN"/>
        </w:rPr>
        <w:t>.</w:t>
      </w:r>
    </w:p>
    <w:p w:rsidR="008D3165" w:rsidRDefault="008D3165" w:rsidP="008D3165">
      <w:pPr>
        <w:rPr>
          <w:lang w:val="fr-SN"/>
        </w:rPr>
      </w:pPr>
    </w:p>
    <w:p w:rsidR="008D3165" w:rsidRPr="00047211" w:rsidRDefault="008D3165" w:rsidP="008D3165">
      <w:pPr>
        <w:numPr>
          <w:ilvl w:val="0"/>
          <w:numId w:val="2"/>
        </w:numPr>
        <w:rPr>
          <w:lang w:val="fr-SN"/>
        </w:rPr>
      </w:pPr>
      <w:r>
        <w:rPr>
          <w:lang w:val="fr-SN"/>
        </w:rPr>
        <w:t>L</w:t>
      </w:r>
      <w:r w:rsidRPr="00047211">
        <w:rPr>
          <w:lang w:val="fr-SN"/>
        </w:rPr>
        <w:t xml:space="preserve">e </w:t>
      </w:r>
      <w:r>
        <w:rPr>
          <w:lang w:val="fr-SN"/>
        </w:rPr>
        <w:t xml:space="preserve">FENU </w:t>
      </w:r>
      <w:r w:rsidRPr="00047211">
        <w:rPr>
          <w:lang w:val="fr-SN"/>
        </w:rPr>
        <w:t>gagnerait à adopter la d</w:t>
      </w:r>
      <w:r w:rsidRPr="004F3730">
        <w:rPr>
          <w:lang w:val="fr-SN"/>
        </w:rPr>
        <w:t>é</w:t>
      </w:r>
      <w:r w:rsidRPr="00047211">
        <w:rPr>
          <w:lang w:val="fr-SN"/>
        </w:rPr>
        <w:t xml:space="preserve">marche contractuelle du PAREP, à savoir </w:t>
      </w:r>
      <w:r>
        <w:rPr>
          <w:lang w:val="fr-SN"/>
        </w:rPr>
        <w:t>« </w:t>
      </w:r>
      <w:r w:rsidRPr="00047211">
        <w:rPr>
          <w:lang w:val="fr-SN"/>
        </w:rPr>
        <w:t>la lutte contre la pauvret</w:t>
      </w:r>
      <w:r w:rsidRPr="004F3730">
        <w:rPr>
          <w:lang w:val="fr-SN"/>
        </w:rPr>
        <w:t>é</w:t>
      </w:r>
      <w:r w:rsidRPr="00047211">
        <w:rPr>
          <w:lang w:val="fr-SN"/>
        </w:rPr>
        <w:t xml:space="preserve"> li</w:t>
      </w:r>
      <w:r w:rsidRPr="004F3730">
        <w:rPr>
          <w:lang w:val="fr-SN"/>
        </w:rPr>
        <w:t>é</w:t>
      </w:r>
      <w:r w:rsidRPr="00047211">
        <w:rPr>
          <w:lang w:val="fr-SN"/>
        </w:rPr>
        <w:t>e à la pr</w:t>
      </w:r>
      <w:r w:rsidRPr="004F3730">
        <w:rPr>
          <w:lang w:val="fr-SN"/>
        </w:rPr>
        <w:t>é</w:t>
      </w:r>
      <w:r w:rsidRPr="00047211">
        <w:rPr>
          <w:lang w:val="fr-SN"/>
        </w:rPr>
        <w:t>servation de l’environnement</w:t>
      </w:r>
      <w:r>
        <w:rPr>
          <w:lang w:val="fr-SN"/>
        </w:rPr>
        <w:t> »</w:t>
      </w:r>
      <w:r w:rsidRPr="00047211">
        <w:rPr>
          <w:lang w:val="fr-SN"/>
        </w:rPr>
        <w:t>. Cela pourrait notamment passer par une int</w:t>
      </w:r>
      <w:r w:rsidRPr="004F3730">
        <w:rPr>
          <w:lang w:val="fr-SN"/>
        </w:rPr>
        <w:t>é</w:t>
      </w:r>
      <w:r w:rsidRPr="00047211">
        <w:rPr>
          <w:lang w:val="fr-SN"/>
        </w:rPr>
        <w:t>gration, dans les accords de financement des AGR, de l’obligation pour les b</w:t>
      </w:r>
      <w:r w:rsidRPr="004F3730">
        <w:rPr>
          <w:lang w:val="fr-SN"/>
        </w:rPr>
        <w:t>é</w:t>
      </w:r>
      <w:r w:rsidRPr="00047211">
        <w:rPr>
          <w:lang w:val="fr-SN"/>
        </w:rPr>
        <w:t>n</w:t>
      </w:r>
      <w:r w:rsidRPr="004F3730">
        <w:rPr>
          <w:lang w:val="fr-SN"/>
        </w:rPr>
        <w:t>é</w:t>
      </w:r>
      <w:r w:rsidRPr="00047211">
        <w:rPr>
          <w:lang w:val="fr-SN"/>
        </w:rPr>
        <w:t>ficiaires de mener des activit</w:t>
      </w:r>
      <w:r w:rsidRPr="004F3730">
        <w:rPr>
          <w:lang w:val="fr-SN"/>
        </w:rPr>
        <w:t>é</w:t>
      </w:r>
      <w:r w:rsidRPr="00047211">
        <w:rPr>
          <w:lang w:val="fr-SN"/>
        </w:rPr>
        <w:t>s ad hoc de pr</w:t>
      </w:r>
      <w:r w:rsidRPr="004F3730">
        <w:rPr>
          <w:lang w:val="fr-SN"/>
        </w:rPr>
        <w:t>é</w:t>
      </w:r>
      <w:r w:rsidRPr="00047211">
        <w:rPr>
          <w:lang w:val="fr-SN"/>
        </w:rPr>
        <w:t>servation de l’environnement. Par ailleurs, dans le cadre du plaidoyer pour l’atteinte des OMD, une synergie pourrait être recherch</w:t>
      </w:r>
      <w:r w:rsidRPr="004F3730">
        <w:rPr>
          <w:lang w:val="fr-SN"/>
        </w:rPr>
        <w:t>é</w:t>
      </w:r>
      <w:r w:rsidRPr="00047211">
        <w:rPr>
          <w:lang w:val="fr-SN"/>
        </w:rPr>
        <w:t>e entre l’UAT de K</w:t>
      </w:r>
      <w:r w:rsidRPr="00F013EF">
        <w:rPr>
          <w:lang w:val="fr-SN"/>
        </w:rPr>
        <w:t>é</w:t>
      </w:r>
      <w:r w:rsidRPr="00047211">
        <w:rPr>
          <w:lang w:val="fr-SN"/>
        </w:rPr>
        <w:t>b</w:t>
      </w:r>
      <w:r w:rsidRPr="00F013EF">
        <w:rPr>
          <w:lang w:val="fr-SN"/>
        </w:rPr>
        <w:t>é</w:t>
      </w:r>
      <w:r w:rsidRPr="00047211">
        <w:rPr>
          <w:lang w:val="fr-SN"/>
        </w:rPr>
        <w:t xml:space="preserve">mer et l’antenne du PAREP à Saint Louis pour la mise en œuvre des </w:t>
      </w:r>
      <w:r>
        <w:rPr>
          <w:lang w:val="fr-SN"/>
        </w:rPr>
        <w:t>AGR</w:t>
      </w:r>
      <w:r w:rsidRPr="004F3730">
        <w:rPr>
          <w:i/>
        </w:rPr>
        <w:footnoteReference w:id="7"/>
      </w:r>
      <w:r w:rsidRPr="00047211">
        <w:rPr>
          <w:lang w:val="fr-SN"/>
        </w:rPr>
        <w:t xml:space="preserve">. </w:t>
      </w:r>
    </w:p>
    <w:p w:rsidR="008D3165" w:rsidRPr="00047211" w:rsidRDefault="008D3165" w:rsidP="008D3165">
      <w:pPr>
        <w:rPr>
          <w:lang w:val="fr-SN"/>
        </w:rPr>
      </w:pPr>
    </w:p>
    <w:p w:rsidR="008D3165" w:rsidRDefault="008D3165" w:rsidP="008D3165">
      <w:pPr>
        <w:numPr>
          <w:ilvl w:val="0"/>
          <w:numId w:val="2"/>
        </w:numPr>
        <w:rPr>
          <w:lang w:val="fr-SN"/>
        </w:rPr>
      </w:pPr>
      <w:r w:rsidRPr="00EF57F3">
        <w:rPr>
          <w:lang w:val="fr-SN"/>
        </w:rPr>
        <w:t>S’agissant de la structure naissante de DEL, il conviendrait de s’assurer que ses rôles en mati</w:t>
      </w:r>
      <w:r w:rsidRPr="004F3730">
        <w:rPr>
          <w:lang w:val="fr-SN"/>
        </w:rPr>
        <w:t>è</w:t>
      </w:r>
      <w:r w:rsidRPr="00EF57F3">
        <w:rPr>
          <w:lang w:val="fr-SN"/>
        </w:rPr>
        <w:t>re d’appui sont clairement d</w:t>
      </w:r>
      <w:r w:rsidRPr="004F3730">
        <w:rPr>
          <w:lang w:val="fr-SN"/>
        </w:rPr>
        <w:t>é</w:t>
      </w:r>
      <w:r w:rsidRPr="00EF57F3">
        <w:rPr>
          <w:lang w:val="fr-SN"/>
        </w:rPr>
        <w:t>finis, que les ressources mises à sa disposition lui permettront de r</w:t>
      </w:r>
      <w:r w:rsidRPr="004F3730">
        <w:rPr>
          <w:lang w:val="fr-SN"/>
        </w:rPr>
        <w:t>é</w:t>
      </w:r>
      <w:r w:rsidRPr="00EF57F3">
        <w:rPr>
          <w:lang w:val="fr-SN"/>
        </w:rPr>
        <w:t>aliser ses objectifs et qu’elle pourra r</w:t>
      </w:r>
      <w:r w:rsidRPr="004F3730">
        <w:rPr>
          <w:lang w:val="fr-SN"/>
        </w:rPr>
        <w:t>é</w:t>
      </w:r>
      <w:r w:rsidRPr="00EF57F3">
        <w:rPr>
          <w:lang w:val="fr-SN"/>
        </w:rPr>
        <w:t>pondre aux attentes des acteurs locaux. L’exp</w:t>
      </w:r>
      <w:r w:rsidRPr="004F3730">
        <w:rPr>
          <w:lang w:val="fr-SN"/>
        </w:rPr>
        <w:t>é</w:t>
      </w:r>
      <w:r w:rsidRPr="00EF57F3">
        <w:rPr>
          <w:lang w:val="fr-SN"/>
        </w:rPr>
        <w:t>rience en matière de DEL indique que dans des zones rurales marginalis</w:t>
      </w:r>
      <w:r w:rsidRPr="004F3730">
        <w:rPr>
          <w:lang w:val="fr-SN"/>
        </w:rPr>
        <w:t>é</w:t>
      </w:r>
      <w:r w:rsidRPr="00EF57F3">
        <w:rPr>
          <w:lang w:val="fr-SN"/>
        </w:rPr>
        <w:t xml:space="preserve">es au plan </w:t>
      </w:r>
      <w:r w:rsidRPr="004F3730">
        <w:rPr>
          <w:lang w:val="fr-SN"/>
        </w:rPr>
        <w:t>é</w:t>
      </w:r>
      <w:r w:rsidRPr="00EF57F3">
        <w:rPr>
          <w:lang w:val="fr-SN"/>
        </w:rPr>
        <w:t xml:space="preserve">conomique avec de faibles structures d’appui, des </w:t>
      </w:r>
      <w:r w:rsidRPr="004F3730">
        <w:rPr>
          <w:lang w:val="fr-SN"/>
        </w:rPr>
        <w:t>é</w:t>
      </w:r>
      <w:r w:rsidRPr="00EF57F3">
        <w:rPr>
          <w:lang w:val="fr-SN"/>
        </w:rPr>
        <w:t>checs du march</w:t>
      </w:r>
      <w:r w:rsidRPr="004F3730">
        <w:rPr>
          <w:lang w:val="fr-SN"/>
        </w:rPr>
        <w:t>é (market failure)</w:t>
      </w:r>
      <w:r w:rsidRPr="00EF57F3">
        <w:rPr>
          <w:lang w:val="fr-SN"/>
        </w:rPr>
        <w:t xml:space="preserve"> et des </w:t>
      </w:r>
      <w:r w:rsidRPr="004F3730">
        <w:rPr>
          <w:lang w:val="fr-SN"/>
        </w:rPr>
        <w:t>é</w:t>
      </w:r>
      <w:r w:rsidRPr="00EF57F3">
        <w:rPr>
          <w:lang w:val="fr-SN"/>
        </w:rPr>
        <w:t>checs de l’Etat (</w:t>
      </w:r>
      <w:r w:rsidRPr="004F3730">
        <w:rPr>
          <w:lang w:val="fr-SN"/>
        </w:rPr>
        <w:t>state failure</w:t>
      </w:r>
      <w:r w:rsidRPr="00EF57F3">
        <w:rPr>
          <w:lang w:val="fr-SN"/>
        </w:rPr>
        <w:t>), les structures de DEL devraient se concentrer sur l’abaissement des barri</w:t>
      </w:r>
      <w:r w:rsidRPr="004F3730">
        <w:rPr>
          <w:lang w:val="fr-SN"/>
        </w:rPr>
        <w:t>è</w:t>
      </w:r>
      <w:r w:rsidRPr="00EF57F3">
        <w:rPr>
          <w:lang w:val="fr-SN"/>
        </w:rPr>
        <w:t>res à l’entr</w:t>
      </w:r>
      <w:r w:rsidRPr="004F3730">
        <w:rPr>
          <w:lang w:val="fr-SN"/>
        </w:rPr>
        <w:t>é</w:t>
      </w:r>
      <w:r w:rsidRPr="00EF57F3">
        <w:rPr>
          <w:lang w:val="fr-SN"/>
        </w:rPr>
        <w:t>e et sur l’am</w:t>
      </w:r>
      <w:r w:rsidRPr="004F3730">
        <w:rPr>
          <w:lang w:val="fr-SN"/>
        </w:rPr>
        <w:t>é</w:t>
      </w:r>
      <w:r w:rsidRPr="00EF57F3">
        <w:rPr>
          <w:lang w:val="fr-SN"/>
        </w:rPr>
        <w:t>lioration de l’environnement cr</w:t>
      </w:r>
      <w:r w:rsidRPr="004F3730">
        <w:rPr>
          <w:lang w:val="fr-SN"/>
        </w:rPr>
        <w:t>é</w:t>
      </w:r>
      <w:r w:rsidRPr="00EF57F3">
        <w:rPr>
          <w:lang w:val="fr-SN"/>
        </w:rPr>
        <w:t>é par l’Etat pour le d</w:t>
      </w:r>
      <w:r w:rsidRPr="004F3730">
        <w:rPr>
          <w:lang w:val="fr-SN"/>
        </w:rPr>
        <w:t>é</w:t>
      </w:r>
      <w:r w:rsidRPr="00EF57F3">
        <w:rPr>
          <w:lang w:val="fr-SN"/>
        </w:rPr>
        <w:t xml:space="preserve">veloppement des entreprises, y compris </w:t>
      </w:r>
      <w:r w:rsidRPr="00EF57F3">
        <w:rPr>
          <w:lang w:val="fr-SN"/>
        </w:rPr>
        <w:lastRenderedPageBreak/>
        <w:t xml:space="preserve">l’infrastructure </w:t>
      </w:r>
      <w:r w:rsidRPr="004F3730">
        <w:rPr>
          <w:lang w:val="fr-SN"/>
        </w:rPr>
        <w:t>é</w:t>
      </w:r>
      <w:r w:rsidRPr="00EF57F3">
        <w:rPr>
          <w:lang w:val="fr-SN"/>
        </w:rPr>
        <w:t>conomique de base, les r</w:t>
      </w:r>
      <w:r w:rsidRPr="004F3730">
        <w:rPr>
          <w:lang w:val="fr-SN"/>
        </w:rPr>
        <w:t>é</w:t>
      </w:r>
      <w:r w:rsidRPr="00EF57F3">
        <w:rPr>
          <w:lang w:val="fr-SN"/>
        </w:rPr>
        <w:t>glementations et le système fiscal. Enfin, il importera</w:t>
      </w:r>
      <w:r>
        <w:rPr>
          <w:lang w:val="fr-SN"/>
        </w:rPr>
        <w:t>it</w:t>
      </w:r>
      <w:r w:rsidRPr="00EF57F3">
        <w:rPr>
          <w:lang w:val="fr-SN"/>
        </w:rPr>
        <w:t xml:space="preserve"> de favoriser une approche parall</w:t>
      </w:r>
      <w:r w:rsidRPr="004F3730">
        <w:rPr>
          <w:lang w:val="fr-SN"/>
        </w:rPr>
        <w:t>è</w:t>
      </w:r>
      <w:r w:rsidRPr="00EF57F3">
        <w:rPr>
          <w:lang w:val="fr-SN"/>
        </w:rPr>
        <w:t>le et complémentaire entre la poursuite de la création de cette structure et la mise en œuvre d’actions concr</w:t>
      </w:r>
      <w:r w:rsidRPr="004F3730">
        <w:rPr>
          <w:lang w:val="fr-SN"/>
        </w:rPr>
        <w:t>è</w:t>
      </w:r>
      <w:r w:rsidRPr="00EF57F3">
        <w:rPr>
          <w:lang w:val="fr-SN"/>
        </w:rPr>
        <w:t xml:space="preserve">tes de DEL, afin que l’une et l’autre puissent se renforcer. </w:t>
      </w:r>
      <w:r>
        <w:rPr>
          <w:lang w:val="fr-SN"/>
        </w:rPr>
        <w:t xml:space="preserve">A ce titre, il serait pertinent que puisse avoir lieu la restitution des </w:t>
      </w:r>
      <w:r w:rsidRPr="00F013EF">
        <w:rPr>
          <w:lang w:val="fr-SN"/>
        </w:rPr>
        <w:t>é</w:t>
      </w:r>
      <w:r>
        <w:rPr>
          <w:lang w:val="fr-SN"/>
        </w:rPr>
        <w:t>tudes ECOLOC au niveau national, afin de d</w:t>
      </w:r>
      <w:r w:rsidRPr="00F013EF">
        <w:rPr>
          <w:lang w:val="fr-SN"/>
        </w:rPr>
        <w:t>é</w:t>
      </w:r>
      <w:r>
        <w:rPr>
          <w:lang w:val="fr-SN"/>
        </w:rPr>
        <w:t>gager les principaux enseignements de l’utilisation de cette m</w:t>
      </w:r>
      <w:r w:rsidRPr="00F013EF">
        <w:rPr>
          <w:lang w:val="fr-SN"/>
        </w:rPr>
        <w:t>é</w:t>
      </w:r>
      <w:r>
        <w:rPr>
          <w:lang w:val="fr-SN"/>
        </w:rPr>
        <w:t>thodologie et des propositions pour la mise en œuvre d’initiatives concr</w:t>
      </w:r>
      <w:r w:rsidRPr="004F3730">
        <w:rPr>
          <w:lang w:val="fr-SN"/>
        </w:rPr>
        <w:t>è</w:t>
      </w:r>
      <w:r>
        <w:rPr>
          <w:lang w:val="fr-SN"/>
        </w:rPr>
        <w:t>tes de DEL.</w:t>
      </w:r>
    </w:p>
    <w:p w:rsidR="008D3165" w:rsidRPr="00EF57F3" w:rsidRDefault="008D3165" w:rsidP="008D3165">
      <w:pPr>
        <w:rPr>
          <w:lang w:val="fr-SN"/>
        </w:rPr>
      </w:pPr>
    </w:p>
    <w:p w:rsidR="008D3165" w:rsidRPr="00FF37AE" w:rsidRDefault="008D3165" w:rsidP="008D3165">
      <w:pPr>
        <w:numPr>
          <w:ilvl w:val="0"/>
          <w:numId w:val="2"/>
        </w:numPr>
        <w:rPr>
          <w:lang w:val="fr-SN"/>
        </w:rPr>
      </w:pPr>
      <w:r w:rsidRPr="00BF7844">
        <w:rPr>
          <w:lang w:val="fr-SN"/>
        </w:rPr>
        <w:t>Comme nous l’avons mentionn</w:t>
      </w:r>
      <w:r w:rsidRPr="00F013EF">
        <w:rPr>
          <w:lang w:val="fr-SN"/>
        </w:rPr>
        <w:t>é</w:t>
      </w:r>
      <w:r w:rsidRPr="00BF7844">
        <w:rPr>
          <w:lang w:val="fr-SN"/>
        </w:rPr>
        <w:t>, la mise en œuvre du DEL d</w:t>
      </w:r>
      <w:r w:rsidRPr="00F013EF">
        <w:rPr>
          <w:lang w:val="fr-SN"/>
        </w:rPr>
        <w:t>é</w:t>
      </w:r>
      <w:r w:rsidRPr="00BF7844">
        <w:rPr>
          <w:lang w:val="fr-SN"/>
        </w:rPr>
        <w:t>passe les d</w:t>
      </w:r>
      <w:r w:rsidRPr="00F013EF">
        <w:rPr>
          <w:lang w:val="fr-SN"/>
        </w:rPr>
        <w:t>é</w:t>
      </w:r>
      <w:r w:rsidRPr="00BF7844">
        <w:rPr>
          <w:lang w:val="fr-SN"/>
        </w:rPr>
        <w:t xml:space="preserve">coupages administratifs. </w:t>
      </w:r>
      <w:r>
        <w:rPr>
          <w:lang w:val="fr-SN"/>
        </w:rPr>
        <w:t xml:space="preserve">Aussi, conviendrait-il </w:t>
      </w:r>
      <w:r w:rsidRPr="00BF7844">
        <w:rPr>
          <w:lang w:val="fr-SN"/>
        </w:rPr>
        <w:t>de privil</w:t>
      </w:r>
      <w:r w:rsidRPr="00F013EF">
        <w:rPr>
          <w:lang w:val="fr-SN"/>
        </w:rPr>
        <w:t>é</w:t>
      </w:r>
      <w:r w:rsidRPr="00BF7844">
        <w:rPr>
          <w:lang w:val="fr-SN"/>
        </w:rPr>
        <w:t>gier une int</w:t>
      </w:r>
      <w:r w:rsidRPr="00F013EF">
        <w:rPr>
          <w:lang w:val="fr-SN"/>
        </w:rPr>
        <w:t>é</w:t>
      </w:r>
      <w:r w:rsidRPr="00BF7844">
        <w:rPr>
          <w:lang w:val="fr-SN"/>
        </w:rPr>
        <w:t>gration des trois niveaux (r</w:t>
      </w:r>
      <w:r w:rsidRPr="00F013EF">
        <w:rPr>
          <w:lang w:val="fr-SN"/>
        </w:rPr>
        <w:t>é</w:t>
      </w:r>
      <w:r w:rsidRPr="00BF7844">
        <w:rPr>
          <w:lang w:val="fr-SN"/>
        </w:rPr>
        <w:t>gional, d</w:t>
      </w:r>
      <w:r w:rsidRPr="00F013EF">
        <w:rPr>
          <w:lang w:val="fr-SN"/>
        </w:rPr>
        <w:t>é</w:t>
      </w:r>
      <w:r w:rsidRPr="00BF7844">
        <w:rPr>
          <w:lang w:val="fr-SN"/>
        </w:rPr>
        <w:t>partemental, local) dans la mise en œuvre du DEL et de prendre en consid</w:t>
      </w:r>
      <w:r w:rsidRPr="00F013EF">
        <w:rPr>
          <w:lang w:val="fr-SN"/>
        </w:rPr>
        <w:t>é</w:t>
      </w:r>
      <w:r w:rsidRPr="00BF7844">
        <w:rPr>
          <w:lang w:val="fr-SN"/>
        </w:rPr>
        <w:t>ration la notion de « p</w:t>
      </w:r>
      <w:r w:rsidRPr="00231D22">
        <w:rPr>
          <w:lang w:val="fr-SN"/>
        </w:rPr>
        <w:t>ô</w:t>
      </w:r>
      <w:r w:rsidRPr="00BF7844">
        <w:rPr>
          <w:lang w:val="fr-SN"/>
        </w:rPr>
        <w:t>les de d</w:t>
      </w:r>
      <w:r w:rsidRPr="00F013EF">
        <w:rPr>
          <w:lang w:val="fr-SN"/>
        </w:rPr>
        <w:t>é</w:t>
      </w:r>
      <w:r w:rsidRPr="00BF7844">
        <w:rPr>
          <w:lang w:val="fr-SN"/>
        </w:rPr>
        <w:t>veloppement »</w:t>
      </w:r>
      <w:r>
        <w:rPr>
          <w:lang w:val="fr-SN"/>
        </w:rPr>
        <w:t xml:space="preserve">. Il conviendrait </w:t>
      </w:r>
      <w:r w:rsidRPr="00F013EF">
        <w:rPr>
          <w:lang w:val="fr-SN"/>
        </w:rPr>
        <w:t>é</w:t>
      </w:r>
      <w:r>
        <w:rPr>
          <w:lang w:val="fr-SN"/>
        </w:rPr>
        <w:t xml:space="preserve">galement de mettre </w:t>
      </w:r>
      <w:r w:rsidRPr="00BF7844">
        <w:rPr>
          <w:lang w:val="fr-SN"/>
        </w:rPr>
        <w:t>l’accent sur le r</w:t>
      </w:r>
      <w:r w:rsidRPr="00231D22">
        <w:rPr>
          <w:lang w:val="fr-SN"/>
        </w:rPr>
        <w:t>ô</w:t>
      </w:r>
      <w:r w:rsidRPr="00BF7844">
        <w:rPr>
          <w:lang w:val="fr-SN"/>
        </w:rPr>
        <w:t xml:space="preserve">le important </w:t>
      </w:r>
      <w:r>
        <w:rPr>
          <w:lang w:val="fr-SN"/>
        </w:rPr>
        <w:t>d</w:t>
      </w:r>
      <w:r w:rsidRPr="00F013EF">
        <w:rPr>
          <w:lang w:val="fr-SN"/>
        </w:rPr>
        <w:t>é</w:t>
      </w:r>
      <w:r>
        <w:rPr>
          <w:lang w:val="fr-SN"/>
        </w:rPr>
        <w:t>volu aux</w:t>
      </w:r>
      <w:r w:rsidRPr="00BF7844">
        <w:rPr>
          <w:lang w:val="fr-SN"/>
        </w:rPr>
        <w:t xml:space="preserve"> CR</w:t>
      </w:r>
      <w:r>
        <w:rPr>
          <w:lang w:val="fr-SN"/>
        </w:rPr>
        <w:t xml:space="preserve"> dans la mise en œuvre du DEL</w:t>
      </w:r>
      <w:r w:rsidRPr="00BF7844">
        <w:rPr>
          <w:lang w:val="fr-SN"/>
        </w:rPr>
        <w:t xml:space="preserve">, notamment </w:t>
      </w:r>
      <w:r>
        <w:rPr>
          <w:lang w:val="fr-SN"/>
        </w:rPr>
        <w:t>dans l</w:t>
      </w:r>
      <w:r w:rsidRPr="00BF7844">
        <w:rPr>
          <w:lang w:val="fr-SN"/>
        </w:rPr>
        <w:t>’interm</w:t>
      </w:r>
      <w:r w:rsidRPr="00F013EF">
        <w:rPr>
          <w:lang w:val="fr-SN"/>
        </w:rPr>
        <w:t>é</w:t>
      </w:r>
      <w:r w:rsidRPr="00BF7844">
        <w:rPr>
          <w:lang w:val="fr-SN"/>
        </w:rPr>
        <w:t>diation entre les diff</w:t>
      </w:r>
      <w:r w:rsidRPr="00F013EF">
        <w:rPr>
          <w:lang w:val="fr-SN"/>
        </w:rPr>
        <w:t>é</w:t>
      </w:r>
      <w:r w:rsidRPr="00BF7844">
        <w:rPr>
          <w:lang w:val="fr-SN"/>
        </w:rPr>
        <w:t xml:space="preserve">rents acteurs et </w:t>
      </w:r>
      <w:r>
        <w:rPr>
          <w:lang w:val="fr-SN"/>
        </w:rPr>
        <w:t>la</w:t>
      </w:r>
      <w:r w:rsidRPr="00BF7844">
        <w:rPr>
          <w:lang w:val="fr-SN"/>
        </w:rPr>
        <w:t xml:space="preserve"> promotion d</w:t>
      </w:r>
      <w:r>
        <w:rPr>
          <w:lang w:val="fr-SN"/>
        </w:rPr>
        <w:t>u</w:t>
      </w:r>
      <w:r w:rsidRPr="00BF7844">
        <w:rPr>
          <w:lang w:val="fr-SN"/>
        </w:rPr>
        <w:t xml:space="preserve"> dialogue public-priv</w:t>
      </w:r>
      <w:r w:rsidRPr="00F013EF">
        <w:rPr>
          <w:lang w:val="fr-SN"/>
        </w:rPr>
        <w:t>é</w:t>
      </w:r>
      <w:r w:rsidRPr="00BF7844">
        <w:rPr>
          <w:lang w:val="fr-SN"/>
        </w:rPr>
        <w:t xml:space="preserve">. </w:t>
      </w:r>
      <w:r>
        <w:rPr>
          <w:lang w:val="fr-SN"/>
        </w:rPr>
        <w:t xml:space="preserve">Enfin, il importerait </w:t>
      </w:r>
      <w:r w:rsidRPr="00FF37AE">
        <w:rPr>
          <w:lang w:val="fr-SN"/>
        </w:rPr>
        <w:t>de reconnaître le r</w:t>
      </w:r>
      <w:r w:rsidRPr="00231D22">
        <w:rPr>
          <w:lang w:val="fr-SN"/>
        </w:rPr>
        <w:t>ô</w:t>
      </w:r>
      <w:r w:rsidRPr="00FF37AE">
        <w:rPr>
          <w:lang w:val="fr-SN"/>
        </w:rPr>
        <w:t xml:space="preserve">le significatif des ARD dans ce domaine, d’autant qu’elles </w:t>
      </w:r>
      <w:r w:rsidRPr="004F3730">
        <w:rPr>
          <w:lang w:val="fr-SN"/>
        </w:rPr>
        <w:t>vont constituer le principal point d’entr</w:t>
      </w:r>
      <w:r w:rsidRPr="00FF37AE">
        <w:rPr>
          <w:lang w:val="fr-SN"/>
        </w:rPr>
        <w:t>é</w:t>
      </w:r>
      <w:r w:rsidRPr="004F3730">
        <w:rPr>
          <w:lang w:val="fr-SN"/>
        </w:rPr>
        <w:t xml:space="preserve">e du PNDL, </w:t>
      </w:r>
    </w:p>
    <w:p w:rsidR="008D3165" w:rsidRDefault="008D3165" w:rsidP="008D3165">
      <w:pPr>
        <w:rPr>
          <w:lang w:val="fr-SN"/>
        </w:rPr>
      </w:pPr>
    </w:p>
    <w:p w:rsidR="008D3165" w:rsidRDefault="008D3165" w:rsidP="008D3165">
      <w:pPr>
        <w:numPr>
          <w:ilvl w:val="0"/>
          <w:numId w:val="2"/>
        </w:numPr>
        <w:rPr>
          <w:lang w:val="fr-SN"/>
        </w:rPr>
      </w:pPr>
      <w:r>
        <w:rPr>
          <w:lang w:val="fr-SN"/>
        </w:rPr>
        <w:t>Le secteur associatif a été le principal b</w:t>
      </w:r>
      <w:r w:rsidRPr="00F013EF">
        <w:rPr>
          <w:lang w:val="fr-SN"/>
        </w:rPr>
        <w:t>é</w:t>
      </w:r>
      <w:r>
        <w:rPr>
          <w:lang w:val="fr-SN"/>
        </w:rPr>
        <w:t>n</w:t>
      </w:r>
      <w:r w:rsidRPr="00F013EF">
        <w:rPr>
          <w:lang w:val="fr-SN"/>
        </w:rPr>
        <w:t>é</w:t>
      </w:r>
      <w:r>
        <w:rPr>
          <w:lang w:val="fr-SN"/>
        </w:rPr>
        <w:t>ficiaire de l’appui du FENU dans le cadre des AGR, au travers notamment des OCB. Or, comme il a été mentionn</w:t>
      </w:r>
      <w:r w:rsidRPr="00F013EF">
        <w:rPr>
          <w:lang w:val="fr-SN"/>
        </w:rPr>
        <w:t>é</w:t>
      </w:r>
      <w:r>
        <w:rPr>
          <w:lang w:val="fr-SN"/>
        </w:rPr>
        <w:t>, les activit</w:t>
      </w:r>
      <w:r w:rsidRPr="00F013EF">
        <w:rPr>
          <w:lang w:val="fr-SN"/>
        </w:rPr>
        <w:t>é</w:t>
      </w:r>
      <w:r>
        <w:rPr>
          <w:lang w:val="fr-SN"/>
        </w:rPr>
        <w:t>s entreprises n’ont pas été rentables et n’ont pu d</w:t>
      </w:r>
      <w:r w:rsidRPr="00F013EF">
        <w:rPr>
          <w:lang w:val="fr-SN"/>
        </w:rPr>
        <w:t>é</w:t>
      </w:r>
      <w:r>
        <w:rPr>
          <w:lang w:val="fr-SN"/>
        </w:rPr>
        <w:t>boucher sur une dynamique de cr</w:t>
      </w:r>
      <w:r w:rsidRPr="00F013EF">
        <w:rPr>
          <w:lang w:val="fr-SN"/>
        </w:rPr>
        <w:t>é</w:t>
      </w:r>
      <w:r>
        <w:rPr>
          <w:lang w:val="fr-SN"/>
        </w:rPr>
        <w:t xml:space="preserve">ation de richesses, ce qui en appelle </w:t>
      </w:r>
      <w:r w:rsidRPr="00577CAA">
        <w:rPr>
          <w:lang w:val="fr-SN"/>
        </w:rPr>
        <w:t>à</w:t>
      </w:r>
      <w:r>
        <w:rPr>
          <w:lang w:val="fr-SN"/>
        </w:rPr>
        <w:t xml:space="preserve"> un ciblage du secteur priv</w:t>
      </w:r>
      <w:r w:rsidRPr="00F013EF">
        <w:rPr>
          <w:lang w:val="fr-SN"/>
        </w:rPr>
        <w:t>é</w:t>
      </w:r>
      <w:r>
        <w:rPr>
          <w:lang w:val="fr-SN"/>
        </w:rPr>
        <w:t>. Ainsi, il ne s’agirait pas d’ignorer les OCB mais plutôt de consid</w:t>
      </w:r>
      <w:r w:rsidRPr="00F013EF">
        <w:rPr>
          <w:lang w:val="fr-SN"/>
        </w:rPr>
        <w:t>é</w:t>
      </w:r>
      <w:r>
        <w:rPr>
          <w:lang w:val="fr-SN"/>
        </w:rPr>
        <w:t>rer les opportunit</w:t>
      </w:r>
      <w:r w:rsidRPr="00F013EF">
        <w:rPr>
          <w:lang w:val="fr-SN"/>
        </w:rPr>
        <w:t>é</w:t>
      </w:r>
      <w:r>
        <w:rPr>
          <w:lang w:val="fr-SN"/>
        </w:rPr>
        <w:t>s qui se pr</w:t>
      </w:r>
      <w:r w:rsidRPr="00F013EF">
        <w:rPr>
          <w:lang w:val="fr-SN"/>
        </w:rPr>
        <w:t>é</w:t>
      </w:r>
      <w:r>
        <w:rPr>
          <w:lang w:val="fr-SN"/>
        </w:rPr>
        <w:t xml:space="preserve">sentent </w:t>
      </w:r>
      <w:r w:rsidRPr="00577CAA">
        <w:rPr>
          <w:lang w:val="fr-SN"/>
        </w:rPr>
        <w:t>à</w:t>
      </w:r>
      <w:r>
        <w:rPr>
          <w:lang w:val="fr-SN"/>
        </w:rPr>
        <w:t xml:space="preserve"> elles dans un contexte plus large. La mission recommande </w:t>
      </w:r>
      <w:r w:rsidRPr="00577CAA">
        <w:rPr>
          <w:lang w:val="fr-SN"/>
        </w:rPr>
        <w:t>à</w:t>
      </w:r>
      <w:r>
        <w:rPr>
          <w:lang w:val="fr-SN"/>
        </w:rPr>
        <w:t xml:space="preserve"> cet </w:t>
      </w:r>
      <w:r w:rsidRPr="00F013EF">
        <w:rPr>
          <w:lang w:val="fr-SN"/>
        </w:rPr>
        <w:t>é</w:t>
      </w:r>
      <w:r>
        <w:rPr>
          <w:lang w:val="fr-SN"/>
        </w:rPr>
        <w:t>gard que la structure naissante de DEL cible trois cat</w:t>
      </w:r>
      <w:r w:rsidRPr="00F013EF">
        <w:rPr>
          <w:lang w:val="fr-SN"/>
        </w:rPr>
        <w:t>é</w:t>
      </w:r>
      <w:r>
        <w:rPr>
          <w:lang w:val="fr-SN"/>
        </w:rPr>
        <w:t xml:space="preserve">gories d’acteurs </w:t>
      </w:r>
      <w:r w:rsidRPr="00F013EF">
        <w:rPr>
          <w:lang w:val="fr-SN"/>
        </w:rPr>
        <w:t>é</w:t>
      </w:r>
      <w:r>
        <w:rPr>
          <w:lang w:val="fr-SN"/>
        </w:rPr>
        <w:t xml:space="preserve">conomiques : </w:t>
      </w:r>
    </w:p>
    <w:p w:rsidR="008D3165" w:rsidRDefault="008D3165" w:rsidP="008D3165">
      <w:pPr>
        <w:pStyle w:val="ListParagraph"/>
        <w:rPr>
          <w:lang w:val="fr-SN"/>
        </w:rPr>
      </w:pPr>
    </w:p>
    <w:p w:rsidR="008D3165" w:rsidRDefault="008D3165" w:rsidP="008D3165">
      <w:pPr>
        <w:ind w:left="720"/>
        <w:rPr>
          <w:lang w:val="fr-SN"/>
        </w:rPr>
      </w:pPr>
      <w:r>
        <w:rPr>
          <w:lang w:val="fr-SN"/>
        </w:rPr>
        <w:t>1) l’ensemble de la gamme des entreprises existantes dans les zones concern</w:t>
      </w:r>
      <w:r w:rsidRPr="00F013EF">
        <w:rPr>
          <w:lang w:val="fr-SN"/>
        </w:rPr>
        <w:t>é</w:t>
      </w:r>
      <w:r>
        <w:rPr>
          <w:lang w:val="fr-SN"/>
        </w:rPr>
        <w:t xml:space="preserve">es (qu’il s’agisse des grandes et moyennes entreprises quand elles existent, ainsi que des petites, micro entreprises des secteurs formel et informel), </w:t>
      </w:r>
    </w:p>
    <w:p w:rsidR="008D3165" w:rsidRDefault="008D3165" w:rsidP="008D3165">
      <w:pPr>
        <w:ind w:left="720"/>
        <w:rPr>
          <w:lang w:val="fr-SN"/>
        </w:rPr>
      </w:pPr>
    </w:p>
    <w:p w:rsidR="008D3165" w:rsidRDefault="008D3165" w:rsidP="008D3165">
      <w:pPr>
        <w:ind w:left="720"/>
        <w:rPr>
          <w:lang w:val="fr-SN"/>
        </w:rPr>
      </w:pPr>
      <w:r>
        <w:rPr>
          <w:lang w:val="fr-SN"/>
        </w:rPr>
        <w:t xml:space="preserve">2) les entrepreneurs </w:t>
      </w:r>
      <w:r w:rsidRPr="00F013EF">
        <w:rPr>
          <w:lang w:val="fr-SN"/>
        </w:rPr>
        <w:t>é</w:t>
      </w:r>
      <w:r>
        <w:rPr>
          <w:lang w:val="fr-SN"/>
        </w:rPr>
        <w:t>mergents (notamment les femmes et les jeunes au sein des OCB qui font preuve d’un esprit entrepreneurial marqu</w:t>
      </w:r>
      <w:r w:rsidRPr="00F013EF">
        <w:rPr>
          <w:lang w:val="fr-SN"/>
        </w:rPr>
        <w:t>é</w:t>
      </w:r>
      <w:r>
        <w:rPr>
          <w:lang w:val="fr-SN"/>
        </w:rPr>
        <w:t xml:space="preserve">), </w:t>
      </w:r>
    </w:p>
    <w:p w:rsidR="008D3165" w:rsidRDefault="008D3165" w:rsidP="008D3165">
      <w:pPr>
        <w:ind w:left="720"/>
        <w:rPr>
          <w:lang w:val="fr-SN"/>
        </w:rPr>
      </w:pPr>
    </w:p>
    <w:p w:rsidR="008D3165" w:rsidRDefault="008D3165" w:rsidP="008D3165">
      <w:pPr>
        <w:ind w:left="720"/>
        <w:rPr>
          <w:lang w:val="fr-SN"/>
        </w:rPr>
      </w:pPr>
      <w:r>
        <w:rPr>
          <w:lang w:val="fr-SN"/>
        </w:rPr>
        <w:t>3) les investisseurs potentiels ext</w:t>
      </w:r>
      <w:r w:rsidRPr="00F013EF">
        <w:rPr>
          <w:lang w:val="fr-SN"/>
        </w:rPr>
        <w:t>é</w:t>
      </w:r>
      <w:r>
        <w:rPr>
          <w:lang w:val="fr-SN"/>
        </w:rPr>
        <w:t xml:space="preserve">rieurs </w:t>
      </w:r>
      <w:r w:rsidRPr="00577CAA">
        <w:rPr>
          <w:lang w:val="fr-SN"/>
        </w:rPr>
        <w:t>à</w:t>
      </w:r>
      <w:r>
        <w:rPr>
          <w:lang w:val="fr-SN"/>
        </w:rPr>
        <w:t xml:space="preserve"> la zone (qu’ils soient </w:t>
      </w:r>
      <w:r w:rsidRPr="00F013EF">
        <w:rPr>
          <w:lang w:val="fr-SN"/>
        </w:rPr>
        <w:t>é</w:t>
      </w:r>
      <w:r>
        <w:rPr>
          <w:lang w:val="fr-SN"/>
        </w:rPr>
        <w:t xml:space="preserve">trangers ou nationaux). </w:t>
      </w:r>
    </w:p>
    <w:p w:rsidR="008D3165" w:rsidRDefault="008D3165" w:rsidP="008D3165">
      <w:pPr>
        <w:ind w:left="720"/>
        <w:rPr>
          <w:lang w:val="fr-SN"/>
        </w:rPr>
      </w:pPr>
    </w:p>
    <w:p w:rsidR="008D3165" w:rsidRDefault="008D3165" w:rsidP="008D3165">
      <w:pPr>
        <w:ind w:left="720"/>
        <w:rPr>
          <w:lang w:val="fr-SN"/>
        </w:rPr>
      </w:pPr>
      <w:r>
        <w:rPr>
          <w:lang w:val="fr-SN"/>
        </w:rPr>
        <w:t>Afin de favoriser une dynamique de d</w:t>
      </w:r>
      <w:r w:rsidRPr="00F013EF">
        <w:rPr>
          <w:lang w:val="fr-SN"/>
        </w:rPr>
        <w:t>é</w:t>
      </w:r>
      <w:r>
        <w:rPr>
          <w:lang w:val="fr-SN"/>
        </w:rPr>
        <w:t>veloppement des entreprises, il conviendrait pour la structure de DEL non seulement d’appuyer ces trois cat</w:t>
      </w:r>
      <w:r w:rsidRPr="00F013EF">
        <w:rPr>
          <w:lang w:val="fr-SN"/>
        </w:rPr>
        <w:t>é</w:t>
      </w:r>
      <w:r>
        <w:rPr>
          <w:lang w:val="fr-SN"/>
        </w:rPr>
        <w:t xml:space="preserve">gories d’acteurs </w:t>
      </w:r>
      <w:r w:rsidRPr="00F013EF">
        <w:rPr>
          <w:lang w:val="fr-SN"/>
        </w:rPr>
        <w:t>é</w:t>
      </w:r>
      <w:r>
        <w:rPr>
          <w:lang w:val="fr-SN"/>
        </w:rPr>
        <w:t xml:space="preserve">conomiques, mais </w:t>
      </w:r>
      <w:r w:rsidRPr="00F013EF">
        <w:rPr>
          <w:lang w:val="fr-SN"/>
        </w:rPr>
        <w:t>é</w:t>
      </w:r>
      <w:r>
        <w:rPr>
          <w:lang w:val="fr-SN"/>
        </w:rPr>
        <w:t>galement et surtout, de favoriser des liens entre eux, dans le cadre en particulier du d</w:t>
      </w:r>
      <w:r w:rsidRPr="00F013EF">
        <w:rPr>
          <w:lang w:val="fr-SN"/>
        </w:rPr>
        <w:t>é</w:t>
      </w:r>
      <w:r>
        <w:rPr>
          <w:lang w:val="fr-SN"/>
        </w:rPr>
        <w:t>veloppement de fili</w:t>
      </w:r>
      <w:r w:rsidRPr="005D755F">
        <w:rPr>
          <w:bCs/>
          <w:lang w:val="fr-SN"/>
        </w:rPr>
        <w:t>è</w:t>
      </w:r>
      <w:r>
        <w:rPr>
          <w:lang w:val="fr-SN"/>
        </w:rPr>
        <w:t>res porteuses (telles que l’</w:t>
      </w:r>
      <w:r w:rsidRPr="00F013EF">
        <w:rPr>
          <w:lang w:val="fr-SN"/>
        </w:rPr>
        <w:t>é</w:t>
      </w:r>
      <w:r>
        <w:rPr>
          <w:lang w:val="fr-SN"/>
        </w:rPr>
        <w:t>levage ou la fili</w:t>
      </w:r>
      <w:r w:rsidRPr="005D755F">
        <w:rPr>
          <w:bCs/>
          <w:lang w:val="fr-SN"/>
        </w:rPr>
        <w:t>è</w:t>
      </w:r>
      <w:r>
        <w:rPr>
          <w:lang w:val="fr-SN"/>
        </w:rPr>
        <w:t xml:space="preserve">re halieutique). </w:t>
      </w:r>
    </w:p>
    <w:p w:rsidR="008D3165" w:rsidRDefault="008D3165" w:rsidP="008D3165">
      <w:pPr>
        <w:ind w:left="720"/>
        <w:rPr>
          <w:lang w:val="fr-SN"/>
        </w:rPr>
      </w:pPr>
    </w:p>
    <w:p w:rsidR="008D3165" w:rsidRPr="00EF57F3" w:rsidRDefault="008D3165" w:rsidP="008D3165">
      <w:pPr>
        <w:ind w:left="720"/>
        <w:rPr>
          <w:lang w:val="fr-SN"/>
        </w:rPr>
      </w:pPr>
      <w:r>
        <w:rPr>
          <w:lang w:val="fr-SN"/>
        </w:rPr>
        <w:t xml:space="preserve">Par ailleurs, il serait opportun pour la structure de DEL de mobiliser les entreprises locales </w:t>
      </w:r>
      <w:r w:rsidRPr="00577CAA">
        <w:rPr>
          <w:lang w:val="fr-SN"/>
        </w:rPr>
        <w:t>à</w:t>
      </w:r>
      <w:r>
        <w:rPr>
          <w:lang w:val="fr-SN"/>
        </w:rPr>
        <w:t xml:space="preserve"> travers leurs associations (notamment la F</w:t>
      </w:r>
      <w:r w:rsidRPr="00F013EF">
        <w:rPr>
          <w:lang w:val="fr-SN"/>
        </w:rPr>
        <w:t>é</w:t>
      </w:r>
      <w:r>
        <w:rPr>
          <w:lang w:val="fr-SN"/>
        </w:rPr>
        <w:t>d</w:t>
      </w:r>
      <w:r w:rsidRPr="00F013EF">
        <w:rPr>
          <w:lang w:val="fr-SN"/>
        </w:rPr>
        <w:t>é</w:t>
      </w:r>
      <w:r>
        <w:rPr>
          <w:lang w:val="fr-SN"/>
        </w:rPr>
        <w:t>ration des associations de d</w:t>
      </w:r>
      <w:r w:rsidRPr="00F013EF">
        <w:rPr>
          <w:lang w:val="fr-SN"/>
        </w:rPr>
        <w:t>é</w:t>
      </w:r>
      <w:r>
        <w:rPr>
          <w:lang w:val="fr-SN"/>
        </w:rPr>
        <w:t>veloppement communautaire (FADEC), les associations d’</w:t>
      </w:r>
      <w:r w:rsidRPr="00F013EF">
        <w:rPr>
          <w:lang w:val="fr-SN"/>
        </w:rPr>
        <w:t>é</w:t>
      </w:r>
      <w:r>
        <w:rPr>
          <w:lang w:val="fr-SN"/>
        </w:rPr>
        <w:t>leveurs, les d</w:t>
      </w:r>
      <w:r w:rsidRPr="00F013EF">
        <w:rPr>
          <w:lang w:val="fr-SN"/>
        </w:rPr>
        <w:t>é</w:t>
      </w:r>
      <w:r>
        <w:rPr>
          <w:lang w:val="fr-SN"/>
        </w:rPr>
        <w:t>membrements des Chambres de M</w:t>
      </w:r>
      <w:r w:rsidRPr="00F013EF">
        <w:rPr>
          <w:lang w:val="fr-SN"/>
        </w:rPr>
        <w:t>é</w:t>
      </w:r>
      <w:r>
        <w:rPr>
          <w:lang w:val="fr-SN"/>
        </w:rPr>
        <w:t xml:space="preserve">tiers, ou encore le GIE des mareyeuses </w:t>
      </w:r>
      <w:r w:rsidRPr="00577CAA">
        <w:rPr>
          <w:lang w:val="fr-SN"/>
        </w:rPr>
        <w:t>à</w:t>
      </w:r>
      <w:r>
        <w:rPr>
          <w:lang w:val="fr-SN"/>
        </w:rPr>
        <w:t xml:space="preserve"> </w:t>
      </w:r>
      <w:r>
        <w:rPr>
          <w:lang w:val="fr-SN"/>
        </w:rPr>
        <w:lastRenderedPageBreak/>
        <w:t>K</w:t>
      </w:r>
      <w:r w:rsidRPr="00F013EF">
        <w:rPr>
          <w:lang w:val="fr-SN"/>
        </w:rPr>
        <w:t>é</w:t>
      </w:r>
      <w:r>
        <w:rPr>
          <w:lang w:val="fr-SN"/>
        </w:rPr>
        <w:t>b</w:t>
      </w:r>
      <w:r w:rsidRPr="00F013EF">
        <w:rPr>
          <w:lang w:val="fr-SN"/>
        </w:rPr>
        <w:t>é</w:t>
      </w:r>
      <w:r>
        <w:rPr>
          <w:lang w:val="fr-SN"/>
        </w:rPr>
        <w:t xml:space="preserve">mer) et de fournir un appui </w:t>
      </w:r>
      <w:r w:rsidRPr="00577CAA">
        <w:rPr>
          <w:lang w:val="fr-SN"/>
        </w:rPr>
        <w:t>à</w:t>
      </w:r>
      <w:r>
        <w:rPr>
          <w:lang w:val="fr-SN"/>
        </w:rPr>
        <w:t xml:space="preserve"> la cr</w:t>
      </w:r>
      <w:r w:rsidRPr="00F013EF">
        <w:rPr>
          <w:lang w:val="fr-SN"/>
        </w:rPr>
        <w:t>é</w:t>
      </w:r>
      <w:r>
        <w:rPr>
          <w:lang w:val="fr-SN"/>
        </w:rPr>
        <w:t xml:space="preserve">ation de groupements (notamment dans le domaine de l’agriculture), afin de faciliter un processus de dialogue entre les CL et ces associations. </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Deux options se pr</w:t>
      </w:r>
      <w:r w:rsidRPr="004F3730">
        <w:rPr>
          <w:lang w:val="fr-SN"/>
        </w:rPr>
        <w:t>é</w:t>
      </w:r>
      <w:r w:rsidRPr="00047211">
        <w:rPr>
          <w:lang w:val="fr-SN"/>
        </w:rPr>
        <w:t>sentent quant à la mise en œuvre de la MDL : la premi</w:t>
      </w:r>
      <w:r w:rsidRPr="004F3730">
        <w:rPr>
          <w:lang w:val="fr-SN"/>
        </w:rPr>
        <w:t>è</w:t>
      </w:r>
      <w:r w:rsidRPr="00047211">
        <w:rPr>
          <w:lang w:val="fr-SN"/>
        </w:rPr>
        <w:t>re est de combiner l’appui conseil, information et formation avec la promotion du DEL ; la seconde est de distinguer ces fonctions, en favorisant la distinction des structures. La mission est d’avis qu’il est pr</w:t>
      </w:r>
      <w:r w:rsidRPr="004F3730">
        <w:rPr>
          <w:lang w:val="fr-SN"/>
        </w:rPr>
        <w:t>é</w:t>
      </w:r>
      <w:r w:rsidRPr="00047211">
        <w:rPr>
          <w:lang w:val="fr-SN"/>
        </w:rPr>
        <w:t>f</w:t>
      </w:r>
      <w:r w:rsidRPr="004F3730">
        <w:rPr>
          <w:lang w:val="fr-SN"/>
        </w:rPr>
        <w:t>é</w:t>
      </w:r>
      <w:r w:rsidRPr="00047211">
        <w:rPr>
          <w:lang w:val="fr-SN"/>
        </w:rPr>
        <w:t xml:space="preserve">rable de distinguer ces deux structures, la MDL </w:t>
      </w:r>
      <w:r w:rsidRPr="004F3730">
        <w:rPr>
          <w:lang w:val="fr-SN"/>
        </w:rPr>
        <w:t>é</w:t>
      </w:r>
      <w:r w:rsidRPr="00047211">
        <w:rPr>
          <w:lang w:val="fr-SN"/>
        </w:rPr>
        <w:t>tant destin</w:t>
      </w:r>
      <w:r w:rsidRPr="004F3730">
        <w:rPr>
          <w:lang w:val="fr-SN"/>
        </w:rPr>
        <w:t>é</w:t>
      </w:r>
      <w:r w:rsidRPr="00047211">
        <w:rPr>
          <w:lang w:val="fr-SN"/>
        </w:rPr>
        <w:t>e au niveau d</w:t>
      </w:r>
      <w:r w:rsidRPr="004F3730">
        <w:rPr>
          <w:lang w:val="fr-SN"/>
        </w:rPr>
        <w:t>é</w:t>
      </w:r>
      <w:r w:rsidRPr="00047211">
        <w:rPr>
          <w:lang w:val="fr-SN"/>
        </w:rPr>
        <w:t>partemental pour favoriser la solidarit</w:t>
      </w:r>
      <w:r w:rsidRPr="004F3730">
        <w:rPr>
          <w:lang w:val="fr-SN"/>
        </w:rPr>
        <w:t>é</w:t>
      </w:r>
      <w:r w:rsidRPr="00047211">
        <w:rPr>
          <w:lang w:val="fr-SN"/>
        </w:rPr>
        <w:t xml:space="preserve"> intercommunautaire, tandis</w:t>
      </w:r>
      <w:r>
        <w:rPr>
          <w:lang w:val="fr-SN"/>
        </w:rPr>
        <w:t xml:space="preserve"> que</w:t>
      </w:r>
      <w:r w:rsidRPr="00047211">
        <w:rPr>
          <w:lang w:val="fr-SN"/>
        </w:rPr>
        <w:t xml:space="preserve"> la structure de DEL se</w:t>
      </w:r>
      <w:r>
        <w:rPr>
          <w:lang w:val="fr-SN"/>
        </w:rPr>
        <w:t xml:space="preserve"> consacre</w:t>
      </w:r>
      <w:r w:rsidRPr="00047211">
        <w:rPr>
          <w:lang w:val="fr-SN"/>
        </w:rPr>
        <w:t xml:space="preserve">rait </w:t>
      </w:r>
      <w:r w:rsidRPr="00577CAA">
        <w:rPr>
          <w:lang w:val="fr-SN"/>
        </w:rPr>
        <w:t>à</w:t>
      </w:r>
      <w:r>
        <w:rPr>
          <w:lang w:val="fr-SN"/>
        </w:rPr>
        <w:t xml:space="preserve"> des missions sp</w:t>
      </w:r>
      <w:r w:rsidRPr="004F3730">
        <w:rPr>
          <w:lang w:val="fr-SN"/>
        </w:rPr>
        <w:t>é</w:t>
      </w:r>
      <w:r>
        <w:rPr>
          <w:lang w:val="fr-SN"/>
        </w:rPr>
        <w:t>cifiques de promotion du DEL (</w:t>
      </w:r>
      <w:r w:rsidRPr="00047211">
        <w:rPr>
          <w:lang w:val="fr-SN"/>
        </w:rPr>
        <w:t>am</w:t>
      </w:r>
      <w:r w:rsidRPr="004F3730">
        <w:rPr>
          <w:lang w:val="fr-SN"/>
        </w:rPr>
        <w:t>é</w:t>
      </w:r>
      <w:r w:rsidRPr="00047211">
        <w:rPr>
          <w:lang w:val="fr-SN"/>
        </w:rPr>
        <w:t>lior</w:t>
      </w:r>
      <w:r>
        <w:rPr>
          <w:lang w:val="fr-SN"/>
        </w:rPr>
        <w:t>ation de</w:t>
      </w:r>
      <w:r w:rsidRPr="00047211">
        <w:rPr>
          <w:lang w:val="fr-SN"/>
        </w:rPr>
        <w:t xml:space="preserve"> l’environnement des affaires, renforce</w:t>
      </w:r>
      <w:r>
        <w:rPr>
          <w:lang w:val="fr-SN"/>
        </w:rPr>
        <w:t>ment d</w:t>
      </w:r>
      <w:r w:rsidRPr="00047211">
        <w:rPr>
          <w:lang w:val="fr-SN"/>
        </w:rPr>
        <w:t xml:space="preserve">es entreprises et </w:t>
      </w:r>
      <w:r>
        <w:rPr>
          <w:lang w:val="fr-SN"/>
        </w:rPr>
        <w:t>d</w:t>
      </w:r>
      <w:r w:rsidRPr="00047211">
        <w:rPr>
          <w:lang w:val="fr-SN"/>
        </w:rPr>
        <w:t>es march</w:t>
      </w:r>
      <w:r w:rsidRPr="004F3730">
        <w:rPr>
          <w:lang w:val="fr-SN"/>
        </w:rPr>
        <w:t>é</w:t>
      </w:r>
      <w:r w:rsidRPr="00047211">
        <w:rPr>
          <w:lang w:val="fr-SN"/>
        </w:rPr>
        <w:t>s</w:t>
      </w:r>
      <w:r>
        <w:rPr>
          <w:lang w:val="fr-SN"/>
        </w:rPr>
        <w:t>)</w:t>
      </w:r>
      <w:r w:rsidRPr="00047211">
        <w:rPr>
          <w:lang w:val="fr-SN"/>
        </w:rPr>
        <w:t xml:space="preserve"> au sein d’un espace </w:t>
      </w:r>
      <w:r w:rsidRPr="004F3730">
        <w:rPr>
          <w:lang w:val="fr-SN"/>
        </w:rPr>
        <w:t>é</w:t>
      </w:r>
      <w:r w:rsidRPr="00047211">
        <w:rPr>
          <w:lang w:val="fr-SN"/>
        </w:rPr>
        <w:t xml:space="preserve">conomique viable. </w:t>
      </w:r>
    </w:p>
    <w:p w:rsidR="008D3165" w:rsidRDefault="008D3165" w:rsidP="008D3165">
      <w:pPr>
        <w:rPr>
          <w:b/>
          <w:bCs/>
          <w:iCs/>
          <w:lang w:val="fr-SN"/>
        </w:rPr>
      </w:pPr>
    </w:p>
    <w:p w:rsidR="008D3165" w:rsidRPr="003F71C8" w:rsidRDefault="008D3165" w:rsidP="008D3165">
      <w:pPr>
        <w:rPr>
          <w:b/>
          <w:bCs/>
          <w:iCs/>
          <w:lang w:val="fr-SN"/>
        </w:rPr>
      </w:pPr>
      <w:r w:rsidRPr="003F71C8">
        <w:rPr>
          <w:b/>
          <w:bCs/>
          <w:iCs/>
          <w:lang w:val="fr-SN"/>
        </w:rPr>
        <w:t>Conception et ex</w:t>
      </w:r>
      <w:r w:rsidRPr="003F71C8">
        <w:rPr>
          <w:b/>
          <w:bCs/>
          <w:iCs/>
          <w:lang w:val="fr-FR"/>
        </w:rPr>
        <w:t>é</w:t>
      </w:r>
      <w:r w:rsidRPr="003F71C8">
        <w:rPr>
          <w:b/>
          <w:bCs/>
          <w:iCs/>
          <w:lang w:val="fr-SN"/>
        </w:rPr>
        <w:t>cution d’un SSE du PADMIR en rapport avec les acteurs/d</w:t>
      </w:r>
      <w:r w:rsidRPr="003F71C8">
        <w:rPr>
          <w:b/>
          <w:bCs/>
          <w:iCs/>
          <w:lang w:val="fr-FR"/>
        </w:rPr>
        <w:t>é</w:t>
      </w:r>
      <w:r w:rsidRPr="003F71C8">
        <w:rPr>
          <w:b/>
          <w:bCs/>
          <w:iCs/>
          <w:lang w:val="fr-SN"/>
        </w:rPr>
        <w:t xml:space="preserve">cideurs nationaux </w:t>
      </w:r>
    </w:p>
    <w:p w:rsidR="008D3165" w:rsidRPr="00047211" w:rsidRDefault="008D3165" w:rsidP="008D3165">
      <w:pPr>
        <w:rPr>
          <w:bCs/>
          <w:iCs/>
          <w:lang w:val="fr-SN"/>
        </w:rPr>
      </w:pPr>
    </w:p>
    <w:p w:rsidR="008D3165" w:rsidRPr="00047211" w:rsidRDefault="008D3165" w:rsidP="008D3165">
      <w:pPr>
        <w:numPr>
          <w:ilvl w:val="0"/>
          <w:numId w:val="2"/>
        </w:numPr>
        <w:rPr>
          <w:lang w:val="fr-SN"/>
        </w:rPr>
      </w:pPr>
      <w:r w:rsidRPr="00047211">
        <w:rPr>
          <w:lang w:val="fr-SN"/>
        </w:rPr>
        <w:t>A ce stade du programme, il serait important de se concentrer sur le renforcement des capacit</w:t>
      </w:r>
      <w:r w:rsidRPr="004F3730">
        <w:rPr>
          <w:lang w:val="fr-SN"/>
        </w:rPr>
        <w:t>é</w:t>
      </w:r>
      <w:r w:rsidRPr="00047211">
        <w:rPr>
          <w:lang w:val="fr-SN"/>
        </w:rPr>
        <w:t>s des partenaires de la rel</w:t>
      </w:r>
      <w:r w:rsidRPr="004F3730">
        <w:rPr>
          <w:lang w:val="fr-SN"/>
        </w:rPr>
        <w:t>è</w:t>
      </w:r>
      <w:r w:rsidRPr="00047211">
        <w:rPr>
          <w:lang w:val="fr-SN"/>
        </w:rPr>
        <w:t>ve (en particulier les ARD et CADL)</w:t>
      </w:r>
      <w:r>
        <w:rPr>
          <w:lang w:val="fr-SN"/>
        </w:rPr>
        <w:t>,</w:t>
      </w:r>
      <w:r w:rsidRPr="00047211">
        <w:rPr>
          <w:lang w:val="fr-SN"/>
        </w:rPr>
        <w:t xml:space="preserve"> afin qu’ils puissent ma</w:t>
      </w:r>
      <w:r>
        <w:rPr>
          <w:lang w:val="fr-SN"/>
        </w:rPr>
        <w:t>î</w:t>
      </w:r>
      <w:r w:rsidRPr="00047211">
        <w:rPr>
          <w:lang w:val="fr-SN"/>
        </w:rPr>
        <w:t>triser le MIS et collecter de manière plus efficace les donn</w:t>
      </w:r>
      <w:r w:rsidRPr="004F3730">
        <w:rPr>
          <w:lang w:val="fr-SN"/>
        </w:rPr>
        <w:t>é</w:t>
      </w:r>
      <w:r w:rsidRPr="00047211">
        <w:rPr>
          <w:lang w:val="fr-SN"/>
        </w:rPr>
        <w:t>es de base.</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Il conviendrait de compl</w:t>
      </w:r>
      <w:r w:rsidRPr="004F3730">
        <w:rPr>
          <w:lang w:val="fr-SN"/>
        </w:rPr>
        <w:t>é</w:t>
      </w:r>
      <w:r w:rsidRPr="00047211">
        <w:rPr>
          <w:lang w:val="fr-SN"/>
        </w:rPr>
        <w:t>ter les donn</w:t>
      </w:r>
      <w:r w:rsidRPr="004F3730">
        <w:rPr>
          <w:lang w:val="fr-SN"/>
        </w:rPr>
        <w:t>é</w:t>
      </w:r>
      <w:r w:rsidRPr="00047211">
        <w:rPr>
          <w:lang w:val="fr-SN"/>
        </w:rPr>
        <w:t>es du MIS par l’</w:t>
      </w:r>
      <w:r w:rsidRPr="004F3730">
        <w:rPr>
          <w:lang w:val="fr-SN"/>
        </w:rPr>
        <w:t>é</w:t>
      </w:r>
      <w:r w:rsidRPr="00047211">
        <w:rPr>
          <w:lang w:val="fr-SN"/>
        </w:rPr>
        <w:t>tablissement de mesures de performances des CR en termes de comp</w:t>
      </w:r>
      <w:r w:rsidRPr="004F3730">
        <w:rPr>
          <w:lang w:val="fr-SN"/>
        </w:rPr>
        <w:t>é</w:t>
      </w:r>
      <w:r w:rsidRPr="00047211">
        <w:rPr>
          <w:lang w:val="fr-SN"/>
        </w:rPr>
        <w:t>tences acquises pour la gouvernance locale, tel que sugger</w:t>
      </w:r>
      <w:r w:rsidRPr="004F3730">
        <w:rPr>
          <w:lang w:val="fr-SN"/>
        </w:rPr>
        <w:t>é</w:t>
      </w:r>
      <w:r w:rsidRPr="00047211">
        <w:rPr>
          <w:lang w:val="fr-SN"/>
        </w:rPr>
        <w:t xml:space="preserve"> par l’</w:t>
      </w:r>
      <w:r w:rsidRPr="004F3730">
        <w:rPr>
          <w:lang w:val="fr-SN"/>
        </w:rPr>
        <w:t>é</w:t>
      </w:r>
      <w:r w:rsidRPr="00047211">
        <w:rPr>
          <w:lang w:val="fr-SN"/>
        </w:rPr>
        <w:t>valuation à mi-parcours</w:t>
      </w:r>
      <w:r w:rsidRPr="004F3730">
        <w:rPr>
          <w:lang w:val="fr-SN"/>
        </w:rPr>
        <w:footnoteReference w:id="8"/>
      </w:r>
      <w:r w:rsidRPr="00047211">
        <w:rPr>
          <w:lang w:val="fr-SN"/>
        </w:rPr>
        <w:t>.</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Des enquêtes de satisfaction aupr</w:t>
      </w:r>
      <w:r w:rsidRPr="004F3730">
        <w:rPr>
          <w:lang w:val="fr-SN"/>
        </w:rPr>
        <w:t>è</w:t>
      </w:r>
      <w:r w:rsidRPr="00047211">
        <w:rPr>
          <w:lang w:val="fr-SN"/>
        </w:rPr>
        <w:t>s des m</w:t>
      </w:r>
      <w:r w:rsidRPr="004F3730">
        <w:rPr>
          <w:lang w:val="fr-SN"/>
        </w:rPr>
        <w:t>é</w:t>
      </w:r>
      <w:r w:rsidRPr="00047211">
        <w:rPr>
          <w:lang w:val="fr-SN"/>
        </w:rPr>
        <w:t>nages auraient pu utilement compl</w:t>
      </w:r>
      <w:r w:rsidRPr="004F3730">
        <w:rPr>
          <w:lang w:val="fr-SN"/>
        </w:rPr>
        <w:t>é</w:t>
      </w:r>
      <w:r w:rsidRPr="00047211">
        <w:rPr>
          <w:lang w:val="fr-SN"/>
        </w:rPr>
        <w:t>ter le SSE, comme a pu le faire le PNIR.</w:t>
      </w:r>
    </w:p>
    <w:p w:rsidR="008D3165" w:rsidRPr="00047211" w:rsidRDefault="008D3165" w:rsidP="008D3165">
      <w:pPr>
        <w:rPr>
          <w:lang w:val="fr-SN"/>
        </w:rPr>
      </w:pPr>
    </w:p>
    <w:p w:rsidR="008D3165" w:rsidRPr="00047211" w:rsidRDefault="008D3165" w:rsidP="008D3165">
      <w:pPr>
        <w:numPr>
          <w:ilvl w:val="0"/>
          <w:numId w:val="2"/>
        </w:numPr>
        <w:rPr>
          <w:lang w:val="fr-SN"/>
        </w:rPr>
      </w:pPr>
      <w:r w:rsidRPr="00047211">
        <w:rPr>
          <w:lang w:val="fr-SN"/>
        </w:rPr>
        <w:t>La conception d’un nouveau programme devrait int</w:t>
      </w:r>
      <w:r w:rsidRPr="00F013EF">
        <w:rPr>
          <w:lang w:val="fr-SN"/>
        </w:rPr>
        <w:t>é</w:t>
      </w:r>
      <w:r w:rsidRPr="00047211">
        <w:rPr>
          <w:lang w:val="fr-SN"/>
        </w:rPr>
        <w:t>grer de manière prioritaire l’</w:t>
      </w:r>
      <w:r w:rsidRPr="004F3730">
        <w:rPr>
          <w:lang w:val="fr-SN"/>
        </w:rPr>
        <w:t>é</w:t>
      </w:r>
      <w:r w:rsidRPr="00047211">
        <w:rPr>
          <w:lang w:val="fr-SN"/>
        </w:rPr>
        <w:t>tablissement d’une situation de r</w:t>
      </w:r>
      <w:r w:rsidRPr="004F3730">
        <w:rPr>
          <w:lang w:val="fr-SN"/>
        </w:rPr>
        <w:t>é</w:t>
      </w:r>
      <w:r w:rsidRPr="00047211">
        <w:rPr>
          <w:lang w:val="fr-SN"/>
        </w:rPr>
        <w:t>f</w:t>
      </w:r>
      <w:r w:rsidRPr="004F3730">
        <w:rPr>
          <w:lang w:val="fr-SN"/>
        </w:rPr>
        <w:t>é</w:t>
      </w:r>
      <w:r w:rsidRPr="00047211">
        <w:rPr>
          <w:lang w:val="fr-SN"/>
        </w:rPr>
        <w:t>rence, afin de mesurer, de manière appropri</w:t>
      </w:r>
      <w:r w:rsidRPr="004F3730">
        <w:rPr>
          <w:lang w:val="fr-SN"/>
        </w:rPr>
        <w:t>é</w:t>
      </w:r>
      <w:r w:rsidRPr="00047211">
        <w:rPr>
          <w:lang w:val="fr-SN"/>
        </w:rPr>
        <w:t>e, les progr</w:t>
      </w:r>
      <w:r w:rsidRPr="004F3730">
        <w:rPr>
          <w:lang w:val="fr-SN"/>
        </w:rPr>
        <w:t>è</w:t>
      </w:r>
      <w:r w:rsidRPr="00047211">
        <w:rPr>
          <w:lang w:val="fr-SN"/>
        </w:rPr>
        <w:t>s r</w:t>
      </w:r>
      <w:r w:rsidRPr="004F3730">
        <w:rPr>
          <w:lang w:val="fr-SN"/>
        </w:rPr>
        <w:t>é</w:t>
      </w:r>
      <w:r w:rsidRPr="00047211">
        <w:rPr>
          <w:lang w:val="fr-SN"/>
        </w:rPr>
        <w:t>alis</w:t>
      </w:r>
      <w:r w:rsidRPr="004F3730">
        <w:rPr>
          <w:lang w:val="fr-SN"/>
        </w:rPr>
        <w:t>é</w:t>
      </w:r>
      <w:r w:rsidRPr="00047211">
        <w:rPr>
          <w:lang w:val="fr-SN"/>
        </w:rPr>
        <w:t>s, les effets et les impacts. Il conviendrait par ailleurs de porter attention dans la conception d’un SSE à la promotion de l’apprentissage et de l’innovation.</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Les rapports narratifs gagneraient, pour une meilleure lisibilité, à être articulés de façon systématique au PTA en produisant des tableaux indicatifs qui fournissent les indicateurs annuels du PTA, les prévisions de réalisation (trimestre), les réalisations de la période, les progrès vers les résultats annuels attendus, les écarts constatés sur le trimestre et leurs justifications ainsi que les mesures correctrices prises.</w:t>
      </w:r>
    </w:p>
    <w:p w:rsidR="008D3165" w:rsidRPr="00047211" w:rsidRDefault="008D3165" w:rsidP="008D3165">
      <w:pPr>
        <w:rPr>
          <w:lang w:val="fr-SN"/>
        </w:rPr>
      </w:pPr>
    </w:p>
    <w:p w:rsidR="008D3165" w:rsidRPr="004F3730" w:rsidRDefault="008D3165" w:rsidP="008D3165">
      <w:pPr>
        <w:numPr>
          <w:ilvl w:val="0"/>
          <w:numId w:val="2"/>
        </w:numPr>
        <w:rPr>
          <w:lang w:val="fr-SN"/>
        </w:rPr>
      </w:pPr>
      <w:r>
        <w:rPr>
          <w:lang w:val="fr-SN"/>
        </w:rPr>
        <w:t>A d</w:t>
      </w:r>
      <w:r w:rsidRPr="00F013EF">
        <w:rPr>
          <w:lang w:val="fr-SN"/>
        </w:rPr>
        <w:t>é</w:t>
      </w:r>
      <w:r>
        <w:rPr>
          <w:lang w:val="fr-SN"/>
        </w:rPr>
        <w:t>faut du MIS, il serait important, d</w:t>
      </w:r>
      <w:r w:rsidRPr="00047211">
        <w:rPr>
          <w:lang w:val="fr-SN"/>
        </w:rPr>
        <w:t xml:space="preserve">ans la perspective de la mise en place de la MDL, </w:t>
      </w:r>
      <w:r>
        <w:rPr>
          <w:lang w:val="fr-SN"/>
        </w:rPr>
        <w:t>que celle-ci soit dot</w:t>
      </w:r>
      <w:r w:rsidRPr="00F013EF">
        <w:rPr>
          <w:lang w:val="fr-SN"/>
        </w:rPr>
        <w:t>é</w:t>
      </w:r>
      <w:r>
        <w:rPr>
          <w:lang w:val="fr-SN"/>
        </w:rPr>
        <w:t xml:space="preserve">e d’un système de gestion d’une </w:t>
      </w:r>
      <w:r w:rsidRPr="00047211">
        <w:rPr>
          <w:lang w:val="fr-SN"/>
        </w:rPr>
        <w:t>base de donn</w:t>
      </w:r>
      <w:r w:rsidRPr="00F013EF">
        <w:rPr>
          <w:lang w:val="fr-SN"/>
        </w:rPr>
        <w:t>é</w:t>
      </w:r>
      <w:r w:rsidRPr="00047211">
        <w:rPr>
          <w:lang w:val="fr-SN"/>
        </w:rPr>
        <w:t xml:space="preserve">es, </w:t>
      </w:r>
      <w:r>
        <w:rPr>
          <w:lang w:val="fr-SN"/>
        </w:rPr>
        <w:t xml:space="preserve">dont les indicateurs s’apparenteraient </w:t>
      </w:r>
      <w:r w:rsidRPr="00047211">
        <w:rPr>
          <w:lang w:val="fr-SN"/>
        </w:rPr>
        <w:t>à</w:t>
      </w:r>
      <w:r>
        <w:rPr>
          <w:lang w:val="fr-SN"/>
        </w:rPr>
        <w:t xml:space="preserve"> ceux du MIS</w:t>
      </w:r>
      <w:r w:rsidRPr="00047211">
        <w:rPr>
          <w:lang w:val="fr-SN"/>
        </w:rPr>
        <w:t xml:space="preserve">. </w:t>
      </w:r>
    </w:p>
    <w:p w:rsidR="008D3165" w:rsidRPr="00047211" w:rsidRDefault="008D3165" w:rsidP="008D3165">
      <w:pPr>
        <w:rPr>
          <w:b/>
          <w:lang w:val="fr-CH"/>
        </w:rPr>
      </w:pPr>
      <w:r>
        <w:rPr>
          <w:b/>
          <w:lang w:val="fr-CH"/>
        </w:rPr>
        <w:br w:type="page"/>
      </w:r>
    </w:p>
    <w:p w:rsidR="008D3165" w:rsidRDefault="008D3165" w:rsidP="008D3165">
      <w:pPr>
        <w:rPr>
          <w:b/>
          <w:lang w:val="fr-SN"/>
        </w:rPr>
      </w:pPr>
    </w:p>
    <w:p w:rsidR="008D3165" w:rsidRPr="003F71C8" w:rsidRDefault="008D3165" w:rsidP="008D3165">
      <w:pPr>
        <w:rPr>
          <w:b/>
          <w:lang w:val="fr-SN"/>
        </w:rPr>
      </w:pPr>
      <w:r w:rsidRPr="003F71C8">
        <w:rPr>
          <w:b/>
          <w:lang w:val="fr-SN"/>
        </w:rPr>
        <w:t>Appui au d</w:t>
      </w:r>
      <w:r w:rsidRPr="003F71C8">
        <w:rPr>
          <w:b/>
          <w:lang w:val="fr-FR"/>
        </w:rPr>
        <w:t>é</w:t>
      </w:r>
      <w:r w:rsidRPr="003F71C8">
        <w:rPr>
          <w:b/>
          <w:lang w:val="fr-SN"/>
        </w:rPr>
        <w:t>veloppement rural d</w:t>
      </w:r>
      <w:r w:rsidRPr="003F71C8">
        <w:rPr>
          <w:b/>
          <w:lang w:val="fr-FR"/>
        </w:rPr>
        <w:t>é</w:t>
      </w:r>
      <w:r w:rsidRPr="003F71C8">
        <w:rPr>
          <w:b/>
          <w:lang w:val="fr-SN"/>
        </w:rPr>
        <w:t>centralis</w:t>
      </w:r>
      <w:r w:rsidRPr="003F71C8">
        <w:rPr>
          <w:b/>
          <w:lang w:val="fr-FR"/>
        </w:rPr>
        <w:t>é</w:t>
      </w:r>
    </w:p>
    <w:p w:rsidR="008D3165" w:rsidRPr="00047211" w:rsidRDefault="008D3165" w:rsidP="008D3165">
      <w:pPr>
        <w:rPr>
          <w:lang w:val="fr-SN"/>
        </w:rPr>
      </w:pPr>
    </w:p>
    <w:p w:rsidR="008D3165" w:rsidRPr="004F3730" w:rsidRDefault="008D3165" w:rsidP="008D3165">
      <w:pPr>
        <w:numPr>
          <w:ilvl w:val="0"/>
          <w:numId w:val="2"/>
        </w:numPr>
        <w:rPr>
          <w:lang w:val="fr-SN"/>
        </w:rPr>
      </w:pPr>
      <w:r w:rsidRPr="00047211">
        <w:rPr>
          <w:lang w:val="fr-SN"/>
        </w:rPr>
        <w:t>La finalisation du processus de capitalisation des exp</w:t>
      </w:r>
      <w:r w:rsidRPr="004F3730">
        <w:rPr>
          <w:lang w:val="fr-SN"/>
        </w:rPr>
        <w:t>é</w:t>
      </w:r>
      <w:r w:rsidRPr="00047211">
        <w:rPr>
          <w:lang w:val="fr-SN"/>
        </w:rPr>
        <w:t>riences du PADMIR, lanc</w:t>
      </w:r>
      <w:r w:rsidRPr="004F3730">
        <w:rPr>
          <w:lang w:val="fr-SN"/>
        </w:rPr>
        <w:t>é</w:t>
      </w:r>
      <w:r w:rsidRPr="00047211">
        <w:rPr>
          <w:lang w:val="fr-SN"/>
        </w:rPr>
        <w:t xml:space="preserve"> par le CNP, gagnerait à faire l’objet d’une plus grande concertation, afin de permettre une capitalisation </w:t>
      </w:r>
      <w:r>
        <w:rPr>
          <w:lang w:val="fr-SN"/>
        </w:rPr>
        <w:t xml:space="preserve">plus </w:t>
      </w:r>
      <w:r w:rsidRPr="00047211">
        <w:rPr>
          <w:lang w:val="fr-SN"/>
        </w:rPr>
        <w:t>compr</w:t>
      </w:r>
      <w:r w:rsidRPr="004F3730">
        <w:rPr>
          <w:lang w:val="fr-SN"/>
        </w:rPr>
        <w:t>é</w:t>
      </w:r>
      <w:r w:rsidRPr="00047211">
        <w:rPr>
          <w:lang w:val="fr-SN"/>
        </w:rPr>
        <w:t>hensive des interventions en appui à la d</w:t>
      </w:r>
      <w:r w:rsidRPr="004F3730">
        <w:rPr>
          <w:lang w:val="fr-SN"/>
        </w:rPr>
        <w:t>é</w:t>
      </w:r>
      <w:r w:rsidRPr="00047211">
        <w:rPr>
          <w:lang w:val="fr-SN"/>
        </w:rPr>
        <w:t>centralisation au b</w:t>
      </w:r>
      <w:r w:rsidRPr="004F3730">
        <w:rPr>
          <w:lang w:val="fr-SN"/>
        </w:rPr>
        <w:t>é</w:t>
      </w:r>
      <w:r w:rsidRPr="00047211">
        <w:rPr>
          <w:lang w:val="fr-SN"/>
        </w:rPr>
        <w:t>n</w:t>
      </w:r>
      <w:r w:rsidRPr="004F3730">
        <w:rPr>
          <w:lang w:val="fr-SN"/>
        </w:rPr>
        <w:t>é</w:t>
      </w:r>
      <w:r w:rsidRPr="00047211">
        <w:rPr>
          <w:lang w:val="fr-SN"/>
        </w:rPr>
        <w:t>fice du PNDL.</w:t>
      </w:r>
    </w:p>
    <w:p w:rsidR="008D3165" w:rsidRPr="00DE26D9" w:rsidRDefault="008D3165" w:rsidP="008D3165">
      <w:pPr>
        <w:rPr>
          <w:lang w:val="fr-SN"/>
        </w:rPr>
      </w:pPr>
    </w:p>
    <w:p w:rsidR="008D3165" w:rsidRPr="00DE26D9" w:rsidRDefault="008D3165" w:rsidP="008D3165">
      <w:pPr>
        <w:numPr>
          <w:ilvl w:val="0"/>
          <w:numId w:val="2"/>
        </w:numPr>
        <w:rPr>
          <w:lang w:val="fr-SN"/>
        </w:rPr>
      </w:pPr>
      <w:r>
        <w:rPr>
          <w:lang w:val="fr-SN"/>
        </w:rPr>
        <w:t>Dans le cadre de l’approfondissement de la d</w:t>
      </w:r>
      <w:r w:rsidRPr="00047211">
        <w:rPr>
          <w:lang w:val="fr-SN"/>
        </w:rPr>
        <w:t>é</w:t>
      </w:r>
      <w:r>
        <w:rPr>
          <w:lang w:val="fr-SN"/>
        </w:rPr>
        <w:t>centralisation, il serait indispensable de renforcer les capacit</w:t>
      </w:r>
      <w:r w:rsidRPr="00F013EF">
        <w:rPr>
          <w:lang w:val="fr-SN"/>
        </w:rPr>
        <w:t>é</w:t>
      </w:r>
      <w:r>
        <w:rPr>
          <w:lang w:val="fr-SN"/>
        </w:rPr>
        <w:t>s des associations d’</w:t>
      </w:r>
      <w:r w:rsidRPr="00047211">
        <w:rPr>
          <w:lang w:val="fr-SN"/>
        </w:rPr>
        <w:t>é</w:t>
      </w:r>
      <w:r>
        <w:rPr>
          <w:lang w:val="fr-SN"/>
        </w:rPr>
        <w:t>lus locaux, afin qu’elles puissent jouer un r</w:t>
      </w:r>
      <w:r w:rsidRPr="00231D22">
        <w:rPr>
          <w:lang w:val="fr-SN"/>
        </w:rPr>
        <w:t>ô</w:t>
      </w:r>
      <w:r>
        <w:rPr>
          <w:lang w:val="fr-SN"/>
        </w:rPr>
        <w:t>le constructif dans le processus de d</w:t>
      </w:r>
      <w:r w:rsidRPr="00F013EF">
        <w:rPr>
          <w:lang w:val="fr-SN"/>
        </w:rPr>
        <w:t>é</w:t>
      </w:r>
      <w:r>
        <w:rPr>
          <w:lang w:val="fr-SN"/>
        </w:rPr>
        <w:t xml:space="preserve">centralisation et qu’elles puissent s’engager dans un dialogue politique plus </w:t>
      </w:r>
      <w:r w:rsidRPr="00F013EF">
        <w:rPr>
          <w:lang w:val="fr-SN"/>
        </w:rPr>
        <w:t>é</w:t>
      </w:r>
      <w:r>
        <w:rPr>
          <w:lang w:val="fr-SN"/>
        </w:rPr>
        <w:t>quilibr</w:t>
      </w:r>
      <w:r w:rsidRPr="00F013EF">
        <w:rPr>
          <w:lang w:val="fr-SN"/>
        </w:rPr>
        <w:t>é</w:t>
      </w:r>
      <w:r>
        <w:rPr>
          <w:lang w:val="fr-SN"/>
        </w:rPr>
        <w:t xml:space="preserve"> avec l’Etat s</w:t>
      </w:r>
      <w:r w:rsidRPr="00F013EF">
        <w:rPr>
          <w:lang w:val="fr-SN"/>
        </w:rPr>
        <w:t>é</w:t>
      </w:r>
      <w:r>
        <w:rPr>
          <w:lang w:val="fr-SN"/>
        </w:rPr>
        <w:t>n</w:t>
      </w:r>
      <w:r w:rsidRPr="00F013EF">
        <w:rPr>
          <w:lang w:val="fr-SN"/>
        </w:rPr>
        <w:t>é</w:t>
      </w:r>
      <w:r>
        <w:rPr>
          <w:lang w:val="fr-SN"/>
        </w:rPr>
        <w:t>galais. La Coop</w:t>
      </w:r>
      <w:r w:rsidRPr="00F013EF">
        <w:rPr>
          <w:lang w:val="fr-SN"/>
        </w:rPr>
        <w:t>é</w:t>
      </w:r>
      <w:r>
        <w:rPr>
          <w:lang w:val="fr-SN"/>
        </w:rPr>
        <w:t>ration canadienne a entam</w:t>
      </w:r>
      <w:r w:rsidRPr="00F013EF">
        <w:rPr>
          <w:lang w:val="fr-SN"/>
        </w:rPr>
        <w:t>é</w:t>
      </w:r>
      <w:r>
        <w:rPr>
          <w:lang w:val="fr-SN"/>
        </w:rPr>
        <w:t xml:space="preserve"> un travail important dans ce domaine et le FENU pourrait utilement apporter son appui.</w:t>
      </w:r>
      <w:r w:rsidRPr="004F3730">
        <w:rPr>
          <w:lang w:val="fr-SN"/>
        </w:rPr>
        <w:t xml:space="preserve"> Il serait </w:t>
      </w:r>
      <w:r w:rsidRPr="00F013EF">
        <w:rPr>
          <w:lang w:val="fr-SN"/>
        </w:rPr>
        <w:t>é</w:t>
      </w:r>
      <w:r w:rsidRPr="004F3730">
        <w:rPr>
          <w:lang w:val="fr-SN"/>
        </w:rPr>
        <w:t>galement utile pour le</w:t>
      </w:r>
      <w:r w:rsidRPr="00047211">
        <w:rPr>
          <w:lang w:val="fr-SN"/>
        </w:rPr>
        <w:t xml:space="preserve"> </w:t>
      </w:r>
      <w:r>
        <w:rPr>
          <w:lang w:val="fr-SN"/>
        </w:rPr>
        <w:t>FENU, en liaison avec la Coop</w:t>
      </w:r>
      <w:r w:rsidRPr="00F013EF">
        <w:rPr>
          <w:lang w:val="fr-SN"/>
        </w:rPr>
        <w:t>é</w:t>
      </w:r>
      <w:r>
        <w:rPr>
          <w:lang w:val="fr-SN"/>
        </w:rPr>
        <w:t>ration canadienne,</w:t>
      </w:r>
      <w:r w:rsidRPr="00047211">
        <w:rPr>
          <w:lang w:val="fr-SN"/>
        </w:rPr>
        <w:t xml:space="preserve"> de poursuivre un travail intense de se</w:t>
      </w:r>
      <w:r>
        <w:rPr>
          <w:lang w:val="fr-SN"/>
        </w:rPr>
        <w:t>nsibilisation et de négociation</w:t>
      </w:r>
      <w:r w:rsidRPr="00047211">
        <w:rPr>
          <w:lang w:val="fr-SN"/>
        </w:rPr>
        <w:t>, notamment avec l’Association Nationale des Conseillers Ruraux (ANCR)</w:t>
      </w:r>
      <w:r>
        <w:rPr>
          <w:lang w:val="fr-SN"/>
        </w:rPr>
        <w:t xml:space="preserve"> et la Maison des Elus Locaux</w:t>
      </w:r>
      <w:r w:rsidRPr="00047211">
        <w:rPr>
          <w:lang w:val="fr-SN"/>
        </w:rPr>
        <w:t xml:space="preserve">, en vue de donner une légitimité politique et institutionnelle à la </w:t>
      </w:r>
      <w:r>
        <w:rPr>
          <w:lang w:val="fr-SN"/>
        </w:rPr>
        <w:t>MDL</w:t>
      </w:r>
      <w:r w:rsidRPr="00047211">
        <w:rPr>
          <w:lang w:val="fr-SN"/>
        </w:rPr>
        <w:t>.</w:t>
      </w:r>
    </w:p>
    <w:p w:rsidR="008D3165" w:rsidRPr="00F7055E" w:rsidRDefault="008D3165" w:rsidP="008D3165">
      <w:pPr>
        <w:rPr>
          <w:lang w:val="fr-SN"/>
        </w:rPr>
      </w:pPr>
    </w:p>
    <w:p w:rsidR="008D3165" w:rsidRPr="004F3730" w:rsidRDefault="008D3165" w:rsidP="008D3165">
      <w:pPr>
        <w:numPr>
          <w:ilvl w:val="0"/>
          <w:numId w:val="2"/>
        </w:numPr>
        <w:rPr>
          <w:lang w:val="fr-SN"/>
        </w:rPr>
      </w:pPr>
      <w:r w:rsidRPr="004F3730">
        <w:rPr>
          <w:lang w:val="fr-SN"/>
        </w:rPr>
        <w:t xml:space="preserve">Dans le respect de la Déclaration de Paris, il serait important que le FENU et ses partenaires puissent, dans le cadre de la mise en œuvre du PNDL, favoriser l’harmonisation des approches et la concertation entre différents projets et programmes d’appui </w:t>
      </w:r>
      <w:r w:rsidRPr="00047211">
        <w:rPr>
          <w:lang w:val="fr-SN"/>
        </w:rPr>
        <w:t>à</w:t>
      </w:r>
      <w:r w:rsidRPr="004F3730">
        <w:rPr>
          <w:lang w:val="fr-SN"/>
        </w:rPr>
        <w:t xml:space="preserve"> la d</w:t>
      </w:r>
      <w:r w:rsidRPr="00F013EF">
        <w:rPr>
          <w:lang w:val="fr-SN"/>
        </w:rPr>
        <w:t>é</w:t>
      </w:r>
      <w:r w:rsidRPr="004F3730">
        <w:rPr>
          <w:lang w:val="fr-SN"/>
        </w:rPr>
        <w:t>centralisation, notamment dans le ciblage des bénéficiaires, le mode de détermination des contreparties et le partage de critères de répartition des fonds, tout en favorisant des approches spécifiques pour faciliter l’implication des populations les plus pauvres.</w:t>
      </w:r>
    </w:p>
    <w:p w:rsidR="008D3165" w:rsidRPr="004F3730" w:rsidRDefault="008D3165" w:rsidP="008D3165">
      <w:pPr>
        <w:rPr>
          <w:lang w:val="fr-SN"/>
        </w:rPr>
      </w:pPr>
    </w:p>
    <w:p w:rsidR="008D3165" w:rsidRPr="00047211" w:rsidRDefault="008D3165" w:rsidP="008D3165">
      <w:pPr>
        <w:numPr>
          <w:ilvl w:val="0"/>
          <w:numId w:val="2"/>
        </w:numPr>
        <w:rPr>
          <w:lang w:val="fr-SN"/>
        </w:rPr>
      </w:pPr>
      <w:r w:rsidRPr="00047211">
        <w:rPr>
          <w:lang w:val="fr-SN"/>
        </w:rPr>
        <w:t>Afin que le FECL puisse ad</w:t>
      </w:r>
      <w:r w:rsidRPr="004F3730">
        <w:rPr>
          <w:lang w:val="fr-SN"/>
        </w:rPr>
        <w:t>é</w:t>
      </w:r>
      <w:r w:rsidRPr="00047211">
        <w:rPr>
          <w:lang w:val="fr-SN"/>
        </w:rPr>
        <w:t xml:space="preserve">quatement satisfaire les besoins de financement des CL, il importerait </w:t>
      </w:r>
      <w:r>
        <w:rPr>
          <w:lang w:val="fr-SN"/>
        </w:rPr>
        <w:t>que l’Etat puisse</w:t>
      </w:r>
      <w:r w:rsidRPr="00047211">
        <w:rPr>
          <w:lang w:val="fr-SN"/>
        </w:rPr>
        <w:t xml:space="preserve"> tenir compte, dans le cadre de sa restructuration, des capacit</w:t>
      </w:r>
      <w:r w:rsidRPr="004F3730">
        <w:rPr>
          <w:lang w:val="fr-SN"/>
        </w:rPr>
        <w:t>é</w:t>
      </w:r>
      <w:r w:rsidRPr="00047211">
        <w:rPr>
          <w:lang w:val="fr-SN"/>
        </w:rPr>
        <w:t xml:space="preserve">s contributives des CL. </w:t>
      </w:r>
    </w:p>
    <w:p w:rsidR="008D3165" w:rsidRPr="004F3730" w:rsidRDefault="008D3165" w:rsidP="008D3165">
      <w:pPr>
        <w:rPr>
          <w:lang w:val="fr-SN"/>
        </w:rPr>
      </w:pPr>
    </w:p>
    <w:p w:rsidR="008D3165" w:rsidRPr="00047211" w:rsidRDefault="008D3165" w:rsidP="008D3165">
      <w:pPr>
        <w:numPr>
          <w:ilvl w:val="0"/>
          <w:numId w:val="2"/>
        </w:numPr>
        <w:rPr>
          <w:lang w:val="fr-SN"/>
        </w:rPr>
      </w:pPr>
      <w:r w:rsidRPr="004F3730">
        <w:rPr>
          <w:lang w:val="fr-SN"/>
        </w:rPr>
        <w:t>S’agissant de la détermination annuelle du montant des fonds de transfert de l’Etat, i</w:t>
      </w:r>
      <w:r w:rsidRPr="00047211">
        <w:rPr>
          <w:lang w:val="fr-SN"/>
        </w:rPr>
        <w:t xml:space="preserve">l conviendrait </w:t>
      </w:r>
      <w:r>
        <w:rPr>
          <w:lang w:val="fr-SN"/>
        </w:rPr>
        <w:t xml:space="preserve">que le Gouvernement </w:t>
      </w:r>
      <w:r w:rsidRPr="00047211">
        <w:rPr>
          <w:lang w:val="fr-SN"/>
        </w:rPr>
        <w:t>engage une r</w:t>
      </w:r>
      <w:r w:rsidRPr="004F3730">
        <w:rPr>
          <w:lang w:val="fr-SN"/>
        </w:rPr>
        <w:t>é</w:t>
      </w:r>
      <w:r w:rsidRPr="00047211">
        <w:rPr>
          <w:lang w:val="fr-SN"/>
        </w:rPr>
        <w:t>flexion sur le r</w:t>
      </w:r>
      <w:r w:rsidRPr="00577CAA">
        <w:rPr>
          <w:lang w:val="fr-SN"/>
        </w:rPr>
        <w:t>ô</w:t>
      </w:r>
      <w:r w:rsidRPr="00047211">
        <w:rPr>
          <w:lang w:val="fr-SN"/>
        </w:rPr>
        <w:t>le du parlementaire dans l’</w:t>
      </w:r>
      <w:r w:rsidRPr="004F3730">
        <w:rPr>
          <w:lang w:val="fr-SN"/>
        </w:rPr>
        <w:t>é</w:t>
      </w:r>
      <w:r w:rsidRPr="00047211">
        <w:rPr>
          <w:lang w:val="fr-SN"/>
        </w:rPr>
        <w:t xml:space="preserve">laboration de la loi de Finances, qui fixe notamment le montant du FECL et du FDD par rapport </w:t>
      </w:r>
      <w:r>
        <w:rPr>
          <w:lang w:val="fr-SN"/>
        </w:rPr>
        <w:t>aux recettes fiscales de l’Etat, en particulier la TVA.</w:t>
      </w:r>
    </w:p>
    <w:p w:rsidR="008D3165" w:rsidRPr="00047211" w:rsidRDefault="008D3165" w:rsidP="008D3165">
      <w:pPr>
        <w:rPr>
          <w:lang w:val="fr-SN"/>
        </w:rPr>
      </w:pPr>
    </w:p>
    <w:p w:rsidR="008D3165" w:rsidRPr="004F3730" w:rsidRDefault="008D3165" w:rsidP="008D3165">
      <w:pPr>
        <w:numPr>
          <w:ilvl w:val="0"/>
          <w:numId w:val="2"/>
        </w:numPr>
        <w:rPr>
          <w:lang w:val="fr-SN"/>
        </w:rPr>
      </w:pPr>
      <w:r w:rsidRPr="00047211">
        <w:rPr>
          <w:lang w:val="fr-SN"/>
        </w:rPr>
        <w:t>La mise en place d’un système de suivi de l’utilisation des ressources allou</w:t>
      </w:r>
      <w:r w:rsidRPr="004F3730">
        <w:rPr>
          <w:lang w:val="fr-SN"/>
        </w:rPr>
        <w:t>é</w:t>
      </w:r>
      <w:r w:rsidRPr="00047211">
        <w:rPr>
          <w:lang w:val="fr-SN"/>
        </w:rPr>
        <w:t>es par l’Etat aux CL permettrait d’en am</w:t>
      </w:r>
      <w:r w:rsidRPr="004F3730">
        <w:rPr>
          <w:lang w:val="fr-SN"/>
        </w:rPr>
        <w:t>é</w:t>
      </w:r>
      <w:r w:rsidRPr="00047211">
        <w:rPr>
          <w:lang w:val="fr-SN"/>
        </w:rPr>
        <w:t>liorer l’efficacit</w:t>
      </w:r>
      <w:r w:rsidRPr="004F3730">
        <w:rPr>
          <w:lang w:val="fr-SN"/>
        </w:rPr>
        <w:t>é</w:t>
      </w:r>
      <w:r w:rsidRPr="00047211">
        <w:rPr>
          <w:lang w:val="fr-SN"/>
        </w:rPr>
        <w:t>, la pertinence et la transparence.</w:t>
      </w:r>
      <w:r w:rsidRPr="004F3730">
        <w:rPr>
          <w:lang w:val="fr-SN"/>
        </w:rPr>
        <w:t xml:space="preserve"> De ce point de vue, tant l’Etat sénégalais que le PNDL gagneraient à s’approprier le MIS qui offre cette opportunité.</w:t>
      </w:r>
    </w:p>
    <w:p w:rsidR="008D3165" w:rsidRPr="00047211" w:rsidRDefault="008D3165" w:rsidP="008D3165">
      <w:pPr>
        <w:rPr>
          <w:lang w:val="fr-SN"/>
        </w:rPr>
      </w:pPr>
    </w:p>
    <w:p w:rsidR="008D3165" w:rsidRPr="004F3730" w:rsidRDefault="008D3165" w:rsidP="008D3165">
      <w:pPr>
        <w:numPr>
          <w:ilvl w:val="0"/>
          <w:numId w:val="2"/>
        </w:numPr>
        <w:rPr>
          <w:lang w:val="fr-SN"/>
        </w:rPr>
      </w:pPr>
      <w:r w:rsidRPr="004F3730">
        <w:rPr>
          <w:lang w:val="fr-SN"/>
        </w:rPr>
        <w:t>La généralisation du mécanisme d’appui budgétaire par les partenaires au d</w:t>
      </w:r>
      <w:r w:rsidRPr="00F013EF">
        <w:rPr>
          <w:lang w:val="fr-SN"/>
        </w:rPr>
        <w:t>é</w:t>
      </w:r>
      <w:r w:rsidRPr="004F3730">
        <w:rPr>
          <w:lang w:val="fr-SN"/>
        </w:rPr>
        <w:t xml:space="preserve">veloppement, assortie de mesures de modernisation de la nomenclature budgétaire, pourraient largement contribuer au renforcement des capacités d’intervention des CL, en favorisant une meilleure affectation des ressources. </w:t>
      </w:r>
    </w:p>
    <w:p w:rsidR="008D3165" w:rsidRPr="004F3730" w:rsidRDefault="008D3165" w:rsidP="008D3165">
      <w:pPr>
        <w:rPr>
          <w:lang w:val="fr-SN"/>
        </w:rPr>
      </w:pPr>
    </w:p>
    <w:p w:rsidR="008D3165" w:rsidRPr="00047211" w:rsidRDefault="008D3165" w:rsidP="008D3165">
      <w:pPr>
        <w:numPr>
          <w:ilvl w:val="0"/>
          <w:numId w:val="2"/>
        </w:numPr>
        <w:rPr>
          <w:lang w:val="fr-SN"/>
        </w:rPr>
      </w:pPr>
      <w:r w:rsidRPr="00047211">
        <w:rPr>
          <w:lang w:val="fr-SN"/>
        </w:rPr>
        <w:lastRenderedPageBreak/>
        <w:t>Dans le cadre de la poursuite de la d</w:t>
      </w:r>
      <w:r w:rsidRPr="00F013EF">
        <w:rPr>
          <w:lang w:val="fr-SN"/>
        </w:rPr>
        <w:t>é</w:t>
      </w:r>
      <w:r w:rsidRPr="00047211">
        <w:rPr>
          <w:lang w:val="fr-SN"/>
        </w:rPr>
        <w:t>centralisation</w:t>
      </w:r>
      <w:r>
        <w:rPr>
          <w:lang w:val="fr-SN"/>
        </w:rPr>
        <w:t xml:space="preserve"> et notamment de la standardisation des proc</w:t>
      </w:r>
      <w:r w:rsidRPr="00F013EF">
        <w:rPr>
          <w:lang w:val="fr-SN"/>
        </w:rPr>
        <w:t>é</w:t>
      </w:r>
      <w:r>
        <w:rPr>
          <w:lang w:val="fr-SN"/>
        </w:rPr>
        <w:t>dures de planification</w:t>
      </w:r>
      <w:r w:rsidRPr="00047211">
        <w:rPr>
          <w:lang w:val="fr-SN"/>
        </w:rPr>
        <w:t xml:space="preserve">, il devient indispensable </w:t>
      </w:r>
      <w:r>
        <w:rPr>
          <w:lang w:val="fr-SN"/>
        </w:rPr>
        <w:t xml:space="preserve">pour le Gouvernement </w:t>
      </w:r>
      <w:r w:rsidRPr="00047211">
        <w:rPr>
          <w:lang w:val="fr-SN"/>
        </w:rPr>
        <w:t>de mettre l’accent sur le « maillon manquant » du système national de planification s</w:t>
      </w:r>
      <w:r w:rsidRPr="004F3730">
        <w:rPr>
          <w:lang w:val="fr-SN"/>
        </w:rPr>
        <w:t>é</w:t>
      </w:r>
      <w:r w:rsidRPr="00047211">
        <w:rPr>
          <w:lang w:val="fr-SN"/>
        </w:rPr>
        <w:t>n</w:t>
      </w:r>
      <w:r w:rsidRPr="004F3730">
        <w:rPr>
          <w:lang w:val="fr-SN"/>
        </w:rPr>
        <w:t>é</w:t>
      </w:r>
      <w:r w:rsidRPr="00047211">
        <w:rPr>
          <w:lang w:val="fr-SN"/>
        </w:rPr>
        <w:t xml:space="preserve">galais : </w:t>
      </w:r>
      <w:r w:rsidRPr="0093358C">
        <w:rPr>
          <w:lang w:val="fr-SN"/>
        </w:rPr>
        <w:t>l</w:t>
      </w:r>
      <w:r w:rsidRPr="00047211">
        <w:rPr>
          <w:lang w:val="fr-SN"/>
        </w:rPr>
        <w:t>e Plan Triennal d’Investissements Publics (PTIP), dont la capacit</w:t>
      </w:r>
      <w:r w:rsidRPr="004F3730">
        <w:rPr>
          <w:lang w:val="fr-SN"/>
        </w:rPr>
        <w:t>é</w:t>
      </w:r>
      <w:r w:rsidRPr="00047211">
        <w:rPr>
          <w:lang w:val="fr-SN"/>
        </w:rPr>
        <w:t xml:space="preserve"> de pr</w:t>
      </w:r>
      <w:r w:rsidRPr="004F3730">
        <w:rPr>
          <w:lang w:val="fr-SN"/>
        </w:rPr>
        <w:t>é</w:t>
      </w:r>
      <w:r w:rsidRPr="00047211">
        <w:rPr>
          <w:lang w:val="fr-SN"/>
        </w:rPr>
        <w:t xml:space="preserve">vision est faible. </w:t>
      </w:r>
    </w:p>
    <w:p w:rsidR="008D3165" w:rsidRPr="00047211" w:rsidRDefault="008D3165" w:rsidP="008D3165">
      <w:pPr>
        <w:rPr>
          <w:lang w:val="fr-SN"/>
        </w:rPr>
      </w:pPr>
    </w:p>
    <w:p w:rsidR="008D3165" w:rsidRPr="004F3730" w:rsidRDefault="008D3165" w:rsidP="008D3165">
      <w:pPr>
        <w:numPr>
          <w:ilvl w:val="0"/>
          <w:numId w:val="2"/>
        </w:numPr>
        <w:rPr>
          <w:lang w:val="fr-SN"/>
        </w:rPr>
      </w:pPr>
      <w:r w:rsidRPr="00047211">
        <w:rPr>
          <w:lang w:val="fr-SN"/>
        </w:rPr>
        <w:t>L’Etat s</w:t>
      </w:r>
      <w:r w:rsidRPr="004F3730">
        <w:rPr>
          <w:lang w:val="fr-SN"/>
        </w:rPr>
        <w:t>é</w:t>
      </w:r>
      <w:r w:rsidRPr="00047211">
        <w:rPr>
          <w:lang w:val="fr-SN"/>
        </w:rPr>
        <w:t>n</w:t>
      </w:r>
      <w:r w:rsidRPr="004F3730">
        <w:rPr>
          <w:lang w:val="fr-SN"/>
        </w:rPr>
        <w:t>é</w:t>
      </w:r>
      <w:r w:rsidRPr="00047211">
        <w:rPr>
          <w:lang w:val="fr-SN"/>
        </w:rPr>
        <w:t>galais pourrait b</w:t>
      </w:r>
      <w:r w:rsidRPr="004F3730">
        <w:rPr>
          <w:lang w:val="fr-SN"/>
        </w:rPr>
        <w:t>é</w:t>
      </w:r>
      <w:r w:rsidRPr="00047211">
        <w:rPr>
          <w:lang w:val="fr-SN"/>
        </w:rPr>
        <w:t>n</w:t>
      </w:r>
      <w:r w:rsidRPr="004F3730">
        <w:rPr>
          <w:lang w:val="fr-SN"/>
        </w:rPr>
        <w:t>é</w:t>
      </w:r>
      <w:r w:rsidRPr="00047211">
        <w:rPr>
          <w:lang w:val="fr-SN"/>
        </w:rPr>
        <w:t>ficier de la mise en place d’un « Système de gestion des dépenses en infrastructures », afin d'évaluer leur rentabilité tant économique que social</w:t>
      </w:r>
      <w:r>
        <w:rPr>
          <w:lang w:val="fr-SN"/>
        </w:rPr>
        <w:t>e</w:t>
      </w:r>
      <w:r w:rsidRPr="00047211">
        <w:rPr>
          <w:lang w:val="fr-SN"/>
        </w:rPr>
        <w:t xml:space="preserve"> et d’optimiser l’efficience productive et allocative de l’investissement public. </w:t>
      </w:r>
    </w:p>
    <w:p w:rsidR="008D3165" w:rsidRPr="004F3730" w:rsidRDefault="008D3165" w:rsidP="008D3165">
      <w:pPr>
        <w:rPr>
          <w:lang w:val="fr-SN"/>
        </w:rPr>
      </w:pPr>
    </w:p>
    <w:p w:rsidR="008D3165" w:rsidRDefault="008D3165" w:rsidP="008D3165">
      <w:pPr>
        <w:numPr>
          <w:ilvl w:val="0"/>
          <w:numId w:val="2"/>
        </w:numPr>
        <w:rPr>
          <w:lang w:val="fr-SN"/>
        </w:rPr>
      </w:pPr>
      <w:r w:rsidRPr="00047211">
        <w:rPr>
          <w:lang w:val="fr-SN"/>
        </w:rPr>
        <w:t>Enfin, l’Etat s</w:t>
      </w:r>
      <w:r w:rsidRPr="004F3730">
        <w:rPr>
          <w:lang w:val="fr-SN"/>
        </w:rPr>
        <w:t>é</w:t>
      </w:r>
      <w:r w:rsidRPr="00047211">
        <w:rPr>
          <w:lang w:val="fr-SN"/>
        </w:rPr>
        <w:t>n</w:t>
      </w:r>
      <w:r w:rsidRPr="004F3730">
        <w:rPr>
          <w:lang w:val="fr-SN"/>
        </w:rPr>
        <w:t>é</w:t>
      </w:r>
      <w:r w:rsidRPr="00047211">
        <w:rPr>
          <w:lang w:val="fr-SN"/>
        </w:rPr>
        <w:t>galais marquerait sa volont</w:t>
      </w:r>
      <w:r w:rsidRPr="004F3730">
        <w:rPr>
          <w:lang w:val="fr-SN"/>
        </w:rPr>
        <w:t>é</w:t>
      </w:r>
      <w:r w:rsidRPr="00047211">
        <w:rPr>
          <w:lang w:val="fr-SN"/>
        </w:rPr>
        <w:t xml:space="preserve"> </w:t>
      </w:r>
      <w:r>
        <w:rPr>
          <w:lang w:val="fr-SN"/>
        </w:rPr>
        <w:t>de poursuivre et de faciliter</w:t>
      </w:r>
      <w:r w:rsidRPr="00047211">
        <w:rPr>
          <w:lang w:val="fr-SN"/>
        </w:rPr>
        <w:t xml:space="preserve"> l</w:t>
      </w:r>
      <w:r>
        <w:rPr>
          <w:lang w:val="fr-SN"/>
        </w:rPr>
        <w:t>e processus de</w:t>
      </w:r>
      <w:r w:rsidRPr="00047211">
        <w:rPr>
          <w:lang w:val="fr-SN"/>
        </w:rPr>
        <w:t xml:space="preserve"> d</w:t>
      </w:r>
      <w:r w:rsidRPr="004F3730">
        <w:rPr>
          <w:lang w:val="fr-SN"/>
        </w:rPr>
        <w:t>é</w:t>
      </w:r>
      <w:r w:rsidRPr="00047211">
        <w:rPr>
          <w:lang w:val="fr-SN"/>
        </w:rPr>
        <w:t>centralisation</w:t>
      </w:r>
      <w:r>
        <w:rPr>
          <w:lang w:val="fr-SN"/>
        </w:rPr>
        <w:t>, d’une part en renfor</w:t>
      </w:r>
      <w:r w:rsidRPr="005431B7">
        <w:rPr>
          <w:lang w:val="fr-SN"/>
        </w:rPr>
        <w:t>ç</w:t>
      </w:r>
      <w:r>
        <w:rPr>
          <w:lang w:val="fr-SN"/>
        </w:rPr>
        <w:t>ant le processus de d</w:t>
      </w:r>
      <w:r w:rsidRPr="004F3730">
        <w:rPr>
          <w:lang w:val="fr-SN"/>
        </w:rPr>
        <w:t>é</w:t>
      </w:r>
      <w:r>
        <w:rPr>
          <w:lang w:val="fr-SN"/>
        </w:rPr>
        <w:t xml:space="preserve">concentration et d’autre part </w:t>
      </w:r>
      <w:r w:rsidRPr="005A43E1">
        <w:rPr>
          <w:lang w:val="fr-SN"/>
        </w:rPr>
        <w:t xml:space="preserve">en </w:t>
      </w:r>
      <w:r>
        <w:rPr>
          <w:lang w:val="fr-SN"/>
        </w:rPr>
        <w:t>adoptant un « Plan d’action concert</w:t>
      </w:r>
      <w:r w:rsidRPr="00F013EF">
        <w:rPr>
          <w:lang w:val="fr-SN"/>
        </w:rPr>
        <w:t>é</w:t>
      </w:r>
      <w:r>
        <w:rPr>
          <w:lang w:val="fr-SN"/>
        </w:rPr>
        <w:t> » avec les minist</w:t>
      </w:r>
      <w:r w:rsidRPr="00047211">
        <w:rPr>
          <w:lang w:val="fr-SN"/>
        </w:rPr>
        <w:t>è</w:t>
      </w:r>
      <w:r>
        <w:rPr>
          <w:lang w:val="fr-SN"/>
        </w:rPr>
        <w:t>res sectoriels et l’ANCR pour une meilleure inclusion des CR dans la livraison des programmes sectoriels.</w:t>
      </w:r>
    </w:p>
    <w:p w:rsidR="006D126A" w:rsidRPr="008D3165" w:rsidRDefault="006D126A">
      <w:pPr>
        <w:rPr>
          <w:lang w:val="fr-SN"/>
        </w:rPr>
      </w:pPr>
    </w:p>
    <w:sectPr w:rsidR="006D126A" w:rsidRPr="008D3165" w:rsidSect="006D12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A2" w:rsidRDefault="008842A2" w:rsidP="008D3165">
      <w:pPr>
        <w:spacing w:line="240" w:lineRule="auto"/>
      </w:pPr>
      <w:r>
        <w:separator/>
      </w:r>
    </w:p>
  </w:endnote>
  <w:endnote w:type="continuationSeparator" w:id="0">
    <w:p w:rsidR="008842A2" w:rsidRDefault="008842A2" w:rsidP="008D31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A2" w:rsidRDefault="008842A2" w:rsidP="008D3165">
      <w:pPr>
        <w:spacing w:line="240" w:lineRule="auto"/>
      </w:pPr>
      <w:r>
        <w:separator/>
      </w:r>
    </w:p>
  </w:footnote>
  <w:footnote w:type="continuationSeparator" w:id="0">
    <w:p w:rsidR="008842A2" w:rsidRDefault="008842A2" w:rsidP="008D3165">
      <w:pPr>
        <w:spacing w:line="240" w:lineRule="auto"/>
      </w:pPr>
      <w:r>
        <w:continuationSeparator/>
      </w:r>
    </w:p>
  </w:footnote>
  <w:footnote w:id="1">
    <w:p w:rsidR="008D3165" w:rsidRPr="004655AE" w:rsidRDefault="008D3165" w:rsidP="008D3165">
      <w:pPr>
        <w:pStyle w:val="Notedebasdepage"/>
        <w:rPr>
          <w:lang w:val="fr-SN"/>
        </w:rPr>
      </w:pPr>
      <w:r>
        <w:rPr>
          <w:rStyle w:val="Appelnotedebasdep"/>
        </w:rPr>
        <w:footnoteRef/>
      </w:r>
      <w:r w:rsidRPr="004655AE">
        <w:rPr>
          <w:lang w:val="fr-SN"/>
        </w:rPr>
        <w:t xml:space="preserve"> </w:t>
      </w:r>
      <w:r>
        <w:rPr>
          <w:lang w:val="fr-SN"/>
        </w:rPr>
        <w:t>Se r</w:t>
      </w:r>
      <w:r w:rsidRPr="00F013EF">
        <w:rPr>
          <w:lang w:val="fr-SN"/>
        </w:rPr>
        <w:t>é</w:t>
      </w:r>
      <w:r>
        <w:rPr>
          <w:lang w:val="fr-SN"/>
        </w:rPr>
        <w:t>f</w:t>
      </w:r>
      <w:r w:rsidRPr="00F013EF">
        <w:rPr>
          <w:lang w:val="fr-SN"/>
        </w:rPr>
        <w:t>é</w:t>
      </w:r>
      <w:r>
        <w:rPr>
          <w:lang w:val="fr-SN"/>
        </w:rPr>
        <w:t>rer au Recueil des commentaires, Annexe 9, Section 1E.</w:t>
      </w:r>
    </w:p>
  </w:footnote>
  <w:footnote w:id="2">
    <w:p w:rsidR="008D3165" w:rsidRPr="006019B0" w:rsidRDefault="008D3165" w:rsidP="008D3165">
      <w:pPr>
        <w:pStyle w:val="Notedebasdepage"/>
        <w:rPr>
          <w:lang w:val="fr-SN"/>
        </w:rPr>
      </w:pPr>
      <w:r>
        <w:rPr>
          <w:rStyle w:val="Appelnotedebasdep"/>
        </w:rPr>
        <w:footnoteRef/>
      </w:r>
      <w:r w:rsidRPr="0001119A">
        <w:rPr>
          <w:lang w:val="fr-SN"/>
        </w:rPr>
        <w:t xml:space="preserve"> </w:t>
      </w:r>
      <w:r w:rsidRPr="006019B0">
        <w:rPr>
          <w:lang w:val="fr-FR"/>
        </w:rPr>
        <w:t>En en faisant, par exemple, un crit</w:t>
      </w:r>
      <w:r w:rsidRPr="006019B0">
        <w:rPr>
          <w:rFonts w:cs="Arial"/>
          <w:bCs/>
          <w:lang w:val="fr-SN"/>
        </w:rPr>
        <w:t>è</w:t>
      </w:r>
      <w:r w:rsidRPr="006019B0">
        <w:rPr>
          <w:lang w:val="fr-FR"/>
        </w:rPr>
        <w:t>re de s</w:t>
      </w:r>
      <w:r w:rsidRPr="00F013EF">
        <w:rPr>
          <w:lang w:val="fr-SN"/>
        </w:rPr>
        <w:t>é</w:t>
      </w:r>
      <w:r w:rsidRPr="006019B0">
        <w:rPr>
          <w:lang w:val="fr-FR"/>
        </w:rPr>
        <w:t>lection des projets dans les PIL.</w:t>
      </w:r>
    </w:p>
  </w:footnote>
  <w:footnote w:id="3">
    <w:p w:rsidR="008D3165" w:rsidRPr="006019B0" w:rsidRDefault="008D3165" w:rsidP="008D3165">
      <w:pPr>
        <w:pStyle w:val="Notedebasdepage"/>
        <w:rPr>
          <w:lang w:val="fr-SN"/>
        </w:rPr>
      </w:pPr>
      <w:r w:rsidRPr="006019B0">
        <w:rPr>
          <w:rStyle w:val="Appelnotedebasdep"/>
        </w:rPr>
        <w:footnoteRef/>
      </w:r>
      <w:r w:rsidRPr="006019B0">
        <w:rPr>
          <w:lang w:val="fr-SN"/>
        </w:rPr>
        <w:t xml:space="preserve"> </w:t>
      </w:r>
      <w:r w:rsidRPr="006019B0">
        <w:rPr>
          <w:lang w:val="fr-FR"/>
        </w:rPr>
        <w:t xml:space="preserve">Notamment la Coopération allemande, le PNIR et le DGL </w:t>
      </w:r>
      <w:r>
        <w:rPr>
          <w:lang w:val="fr-FR"/>
        </w:rPr>
        <w:t>-</w:t>
      </w:r>
      <w:r w:rsidRPr="006019B0">
        <w:rPr>
          <w:lang w:val="fr-FR"/>
        </w:rPr>
        <w:t>FELO avec l’élaboration de plans stratégiques.</w:t>
      </w:r>
    </w:p>
  </w:footnote>
  <w:footnote w:id="4">
    <w:p w:rsidR="008D3165" w:rsidRPr="006019B0" w:rsidRDefault="008D3165" w:rsidP="008D3165">
      <w:pPr>
        <w:rPr>
          <w:lang w:val="fr-FR"/>
        </w:rPr>
      </w:pPr>
      <w:r w:rsidRPr="006019B0">
        <w:rPr>
          <w:rStyle w:val="Appelnotedebasdep"/>
        </w:rPr>
        <w:footnoteRef/>
      </w:r>
      <w:r w:rsidRPr="006019B0">
        <w:rPr>
          <w:lang w:val="fr-SN"/>
        </w:rPr>
        <w:t xml:space="preserve"> </w:t>
      </w:r>
      <w:r w:rsidRPr="006019B0">
        <w:rPr>
          <w:lang w:val="fr-FR"/>
        </w:rPr>
        <w:t>Ainsi, il semblerait que la gestion participative au niveau des infrastructures communautaires hydrauliques présente des perspectives particuli</w:t>
      </w:r>
      <w:r w:rsidRPr="006019B0">
        <w:rPr>
          <w:rFonts w:cs="Arial"/>
          <w:bCs/>
          <w:lang w:val="fr-SN"/>
        </w:rPr>
        <w:t>è</w:t>
      </w:r>
      <w:r w:rsidRPr="006019B0">
        <w:rPr>
          <w:lang w:val="fr-FR"/>
        </w:rPr>
        <w:t>rement favorables pour un développement de l’intercommunalité (</w:t>
      </w:r>
      <w:r w:rsidRPr="006019B0">
        <w:rPr>
          <w:rFonts w:cs="Arial"/>
          <w:lang w:val="fr-SN"/>
        </w:rPr>
        <w:t>à</w:t>
      </w:r>
      <w:r w:rsidRPr="006019B0">
        <w:rPr>
          <w:lang w:val="fr-FR"/>
        </w:rPr>
        <w:t xml:space="preserve"> l’image du CG du forage de Djing Diaw dans la CR de Sagatta et du forage de Thieppe dans l’arrondissement de Ndande). De m</w:t>
      </w:r>
      <w:r w:rsidRPr="00047211">
        <w:rPr>
          <w:lang w:val="fr-SN"/>
        </w:rPr>
        <w:t>ê</w:t>
      </w:r>
      <w:r w:rsidRPr="006019B0">
        <w:rPr>
          <w:lang w:val="fr-FR"/>
        </w:rPr>
        <w:t xml:space="preserve">me, les partenariats féconds développés entre le PADMIR et certains autres projets (notamment avec le PSIDEL, SOS Sahel et World Vision) devraient pouvoir constituer un atout pour la promotion de l’intercommunalité dans le cadre d’une planification concertée, en favorisant par exemple le cofinancement d’investissements locaux. </w:t>
      </w:r>
    </w:p>
    <w:p w:rsidR="008D3165" w:rsidRPr="006019B0" w:rsidRDefault="008D3165" w:rsidP="008D3165">
      <w:pPr>
        <w:pStyle w:val="Notedebasdepage"/>
        <w:rPr>
          <w:lang w:val="fr-FR"/>
        </w:rPr>
      </w:pPr>
    </w:p>
  </w:footnote>
  <w:footnote w:id="5">
    <w:p w:rsidR="008D3165" w:rsidRPr="004E5C5A" w:rsidRDefault="008D3165" w:rsidP="008D3165">
      <w:pPr>
        <w:pStyle w:val="Notedebasdepage"/>
        <w:rPr>
          <w:lang w:val="fr-SN"/>
        </w:rPr>
      </w:pPr>
      <w:r>
        <w:rPr>
          <w:rStyle w:val="Appelnotedebasdep"/>
        </w:rPr>
        <w:footnoteRef/>
      </w:r>
      <w:r w:rsidRPr="004E5C5A">
        <w:rPr>
          <w:lang w:val="fr-SN"/>
        </w:rPr>
        <w:t xml:space="preserve"> </w:t>
      </w:r>
      <w:r>
        <w:rPr>
          <w:lang w:val="fr-SN"/>
        </w:rPr>
        <w:t>Se r</w:t>
      </w:r>
      <w:r w:rsidRPr="00F013EF">
        <w:rPr>
          <w:lang w:val="fr-SN"/>
        </w:rPr>
        <w:t>é</w:t>
      </w:r>
      <w:r>
        <w:rPr>
          <w:lang w:val="fr-SN"/>
        </w:rPr>
        <w:t>f</w:t>
      </w:r>
      <w:r w:rsidRPr="00F013EF">
        <w:rPr>
          <w:lang w:val="fr-SN"/>
        </w:rPr>
        <w:t>é</w:t>
      </w:r>
      <w:r>
        <w:rPr>
          <w:lang w:val="fr-SN"/>
        </w:rPr>
        <w:t>rer au Recueil des commentaires, Annexe 9, Section 3</w:t>
      </w:r>
      <w:r>
        <w:rPr>
          <w:vertAlign w:val="superscript"/>
          <w:lang w:val="fr-SN"/>
        </w:rPr>
        <w:t xml:space="preserve"> </w:t>
      </w:r>
      <w:r>
        <w:rPr>
          <w:lang w:val="fr-SN"/>
        </w:rPr>
        <w:t>F.</w:t>
      </w:r>
    </w:p>
  </w:footnote>
  <w:footnote w:id="6">
    <w:p w:rsidR="008D3165" w:rsidRPr="00A80C2A" w:rsidRDefault="008D3165" w:rsidP="008D3165">
      <w:pPr>
        <w:pStyle w:val="Notedebasdepage"/>
        <w:rPr>
          <w:lang w:val="fr-SN"/>
        </w:rPr>
      </w:pPr>
      <w:r>
        <w:rPr>
          <w:rStyle w:val="Appelnotedebasdep"/>
        </w:rPr>
        <w:footnoteRef/>
      </w:r>
      <w:r w:rsidRPr="00A80C2A">
        <w:rPr>
          <w:lang w:val="fr-SN"/>
        </w:rPr>
        <w:t xml:space="preserve"> </w:t>
      </w:r>
      <w:r>
        <w:rPr>
          <w:lang w:val="fr-SN"/>
        </w:rPr>
        <w:t>E</w:t>
      </w:r>
      <w:r w:rsidRPr="00582B2E">
        <w:rPr>
          <w:lang w:val="fr-SN"/>
        </w:rPr>
        <w:t>n particulier la Strat</w:t>
      </w:r>
      <w:r w:rsidRPr="00F013EF">
        <w:rPr>
          <w:lang w:val="fr-SN"/>
        </w:rPr>
        <w:t>é</w:t>
      </w:r>
      <w:r w:rsidRPr="00582B2E">
        <w:rPr>
          <w:lang w:val="fr-SN"/>
        </w:rPr>
        <w:t>gie nationale sur la biodiversit</w:t>
      </w:r>
      <w:r w:rsidRPr="00F013EF">
        <w:rPr>
          <w:lang w:val="fr-SN"/>
        </w:rPr>
        <w:t>é</w:t>
      </w:r>
      <w:r w:rsidRPr="00582B2E">
        <w:rPr>
          <w:lang w:val="fr-SN"/>
        </w:rPr>
        <w:t>, le Plan national d’actions pour l’environnement,  le Plan d’action nationale de lutte contre la d</w:t>
      </w:r>
      <w:r w:rsidRPr="00F013EF">
        <w:rPr>
          <w:lang w:val="fr-SN"/>
        </w:rPr>
        <w:t>é</w:t>
      </w:r>
      <w:r w:rsidRPr="00582B2E">
        <w:rPr>
          <w:lang w:val="fr-SN"/>
        </w:rPr>
        <w:t>sertification et le Code Forestier r</w:t>
      </w:r>
      <w:r w:rsidRPr="00F013EF">
        <w:rPr>
          <w:lang w:val="fr-SN"/>
        </w:rPr>
        <w:t>é</w:t>
      </w:r>
      <w:r w:rsidRPr="00582B2E">
        <w:rPr>
          <w:lang w:val="fr-SN"/>
        </w:rPr>
        <w:t>vis</w:t>
      </w:r>
      <w:r w:rsidRPr="00F013EF">
        <w:rPr>
          <w:lang w:val="fr-SN"/>
        </w:rPr>
        <w:t>é</w:t>
      </w:r>
      <w:r w:rsidRPr="00582B2E">
        <w:rPr>
          <w:lang w:val="fr-SN"/>
        </w:rPr>
        <w:t>.</w:t>
      </w:r>
    </w:p>
  </w:footnote>
  <w:footnote w:id="7">
    <w:p w:rsidR="008D3165" w:rsidRPr="000B0A54" w:rsidRDefault="008D3165" w:rsidP="008D3165">
      <w:pPr>
        <w:pStyle w:val="Notedebasdepage"/>
        <w:rPr>
          <w:lang w:val="fr-SN"/>
        </w:rPr>
      </w:pPr>
      <w:r>
        <w:rPr>
          <w:rStyle w:val="Appelnotedebasdep"/>
        </w:rPr>
        <w:footnoteRef/>
      </w:r>
      <w:r w:rsidRPr="000B0A54">
        <w:rPr>
          <w:lang w:val="fr-SN"/>
        </w:rPr>
        <w:t xml:space="preserve"> </w:t>
      </w:r>
      <w:r>
        <w:rPr>
          <w:lang w:val="fr-SN"/>
        </w:rPr>
        <w:t>Se r</w:t>
      </w:r>
      <w:r w:rsidRPr="00F013EF">
        <w:rPr>
          <w:lang w:val="fr-SN"/>
        </w:rPr>
        <w:t>é</w:t>
      </w:r>
      <w:r>
        <w:rPr>
          <w:lang w:val="fr-SN"/>
        </w:rPr>
        <w:t>f</w:t>
      </w:r>
      <w:r w:rsidRPr="00F013EF">
        <w:rPr>
          <w:lang w:val="fr-SN"/>
        </w:rPr>
        <w:t>é</w:t>
      </w:r>
      <w:r>
        <w:rPr>
          <w:lang w:val="fr-SN"/>
        </w:rPr>
        <w:t>rer au Recueil des commentaires, Annexe 9, Section 3</w:t>
      </w:r>
      <w:r>
        <w:rPr>
          <w:vertAlign w:val="superscript"/>
          <w:lang w:val="fr-SN"/>
        </w:rPr>
        <w:t xml:space="preserve"> </w:t>
      </w:r>
      <w:r>
        <w:rPr>
          <w:lang w:val="fr-SN"/>
        </w:rPr>
        <w:t>E.</w:t>
      </w:r>
    </w:p>
  </w:footnote>
  <w:footnote w:id="8">
    <w:p w:rsidR="008D3165" w:rsidRPr="004D5EF6" w:rsidRDefault="008D3165" w:rsidP="008D3165">
      <w:pPr>
        <w:rPr>
          <w:lang w:val="fr-SN"/>
        </w:rPr>
      </w:pPr>
      <w:r>
        <w:rPr>
          <w:rStyle w:val="Appelnotedebasdep"/>
        </w:rPr>
        <w:footnoteRef/>
      </w:r>
      <w:r w:rsidRPr="0001119A">
        <w:rPr>
          <w:lang w:val="fr-SN"/>
        </w:rPr>
        <w:t xml:space="preserve"> </w:t>
      </w:r>
      <w:r w:rsidRPr="004D5EF6">
        <w:rPr>
          <w:lang w:val="fr-SN"/>
        </w:rPr>
        <w:t xml:space="preserve">Il serait utile à cet égard de se rapprocher du PBA qui mesure </w:t>
      </w:r>
      <w:r>
        <w:rPr>
          <w:lang w:val="fr-SN"/>
        </w:rPr>
        <w:t xml:space="preserve">de la sorte </w:t>
      </w:r>
      <w:r w:rsidRPr="004D5EF6">
        <w:rPr>
          <w:lang w:val="fr-SN"/>
        </w:rPr>
        <w:t>la performance des CR.</w:t>
      </w:r>
    </w:p>
    <w:p w:rsidR="008D3165" w:rsidRPr="004D5EF6" w:rsidRDefault="008D3165" w:rsidP="008D3165">
      <w:pPr>
        <w:pStyle w:val="Notedebasdepage"/>
        <w:rPr>
          <w:lang w:val="fr-S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3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6F416177"/>
    <w:multiLevelType w:val="multilevel"/>
    <w:tmpl w:val="95902996"/>
    <w:lvl w:ilvl="0">
      <w:start w:val="1"/>
      <w:numFmt w:val="decimal"/>
      <w:pStyle w:val="Titre1"/>
      <w:lvlText w:val="%1"/>
      <w:lvlJc w:val="left"/>
      <w:pPr>
        <w:tabs>
          <w:tab w:val="num" w:pos="720"/>
        </w:tabs>
        <w:ind w:left="720" w:hanging="363"/>
      </w:pPr>
      <w:rPr>
        <w:rFonts w:ascii="Arial Black" w:hAnsi="Arial Black" w:hint="default"/>
        <w:szCs w:val="28"/>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3165"/>
    <w:rsid w:val="006D126A"/>
    <w:rsid w:val="008842A2"/>
    <w:rsid w:val="008D3165"/>
    <w:rsid w:val="00BE0684"/>
    <w:rsid w:val="00F37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65"/>
    <w:pPr>
      <w:spacing w:after="0" w:line="288" w:lineRule="auto"/>
      <w:jc w:val="both"/>
    </w:pPr>
    <w:rPr>
      <w:rFonts w:ascii="Arial" w:eastAsia="Times New Roman" w:hAnsi="Arial" w:cs="Times New Roman"/>
      <w:lang w:val="en-ZA"/>
    </w:rPr>
  </w:style>
  <w:style w:type="paragraph" w:styleId="Titre1">
    <w:name w:val="heading 1"/>
    <w:basedOn w:val="Normal"/>
    <w:next w:val="Normal"/>
    <w:link w:val="Titre1Car"/>
    <w:autoRedefine/>
    <w:qFormat/>
    <w:rsid w:val="008D3165"/>
    <w:pPr>
      <w:pageBreakBefore/>
      <w:numPr>
        <w:numId w:val="1"/>
      </w:numPr>
      <w:tabs>
        <w:tab w:val="clear" w:pos="720"/>
      </w:tabs>
      <w:spacing w:after="120" w:line="240" w:lineRule="auto"/>
      <w:ind w:left="567" w:hanging="567"/>
      <w:jc w:val="left"/>
      <w:outlineLvl w:val="0"/>
    </w:pPr>
    <w:rPr>
      <w:rFonts w:ascii="Arial Black" w:hAnsi="Arial Black" w:cs="Arial"/>
      <w:caps/>
      <w:color w:val="333333"/>
      <w:spacing w:val="-20"/>
      <w:sz w:val="28"/>
      <w:szCs w:val="26"/>
    </w:rPr>
  </w:style>
  <w:style w:type="paragraph" w:styleId="Titre2">
    <w:name w:val="heading 2"/>
    <w:basedOn w:val="Normal"/>
    <w:next w:val="Normal"/>
    <w:link w:val="Titre2Car"/>
    <w:autoRedefine/>
    <w:qFormat/>
    <w:rsid w:val="008D3165"/>
    <w:pPr>
      <w:keepNext/>
      <w:numPr>
        <w:ilvl w:val="1"/>
        <w:numId w:val="1"/>
      </w:numPr>
      <w:spacing w:before="240" w:after="120" w:line="240" w:lineRule="auto"/>
      <w:jc w:val="left"/>
      <w:outlineLvl w:val="1"/>
    </w:pPr>
    <w:rPr>
      <w:rFonts w:ascii="Arial Black" w:hAnsi="Arial Black" w:cs="Arial"/>
      <w:bCs/>
      <w:iCs/>
      <w:color w:val="808080"/>
      <w:spacing w:val="-20"/>
      <w:sz w:val="26"/>
    </w:rPr>
  </w:style>
  <w:style w:type="paragraph" w:styleId="Titre3">
    <w:name w:val="heading 3"/>
    <w:next w:val="Normal"/>
    <w:link w:val="Titre3Car"/>
    <w:qFormat/>
    <w:rsid w:val="008D3165"/>
    <w:pPr>
      <w:keepNext/>
      <w:numPr>
        <w:ilvl w:val="2"/>
        <w:numId w:val="1"/>
      </w:numPr>
      <w:spacing w:before="240" w:after="120" w:line="240" w:lineRule="auto"/>
      <w:outlineLvl w:val="2"/>
    </w:pPr>
    <w:rPr>
      <w:rFonts w:ascii="Arial Bold" w:eastAsia="Times New Roman" w:hAnsi="Arial Bold" w:cs="Arial"/>
      <w:b/>
      <w:bCs/>
      <w:color w:val="333333"/>
      <w:spacing w:val="-14"/>
      <w:sz w:val="24"/>
      <w:szCs w:val="24"/>
      <w:lang w:val="en-ZA"/>
    </w:rPr>
  </w:style>
  <w:style w:type="paragraph" w:styleId="Titre5">
    <w:name w:val="heading 5"/>
    <w:basedOn w:val="Normal"/>
    <w:next w:val="Normal"/>
    <w:link w:val="Titre5Car"/>
    <w:qFormat/>
    <w:rsid w:val="008D3165"/>
    <w:pPr>
      <w:numPr>
        <w:ilvl w:val="4"/>
        <w:numId w:val="1"/>
      </w:numPr>
      <w:spacing w:after="60"/>
      <w:outlineLvl w:val="4"/>
    </w:pPr>
    <w:rPr>
      <w:b/>
      <w:bCs/>
      <w:i/>
      <w:iCs/>
      <w:sz w:val="26"/>
      <w:szCs w:val="26"/>
    </w:rPr>
  </w:style>
  <w:style w:type="paragraph" w:styleId="Titre6">
    <w:name w:val="heading 6"/>
    <w:basedOn w:val="Normal"/>
    <w:next w:val="Normal"/>
    <w:link w:val="Titre6Car"/>
    <w:qFormat/>
    <w:rsid w:val="008D3165"/>
    <w:pPr>
      <w:numPr>
        <w:ilvl w:val="5"/>
        <w:numId w:val="1"/>
      </w:numPr>
      <w:spacing w:after="60"/>
      <w:outlineLvl w:val="5"/>
    </w:pPr>
    <w:rPr>
      <w:b/>
      <w:bCs/>
    </w:rPr>
  </w:style>
  <w:style w:type="paragraph" w:styleId="Titre7">
    <w:name w:val="heading 7"/>
    <w:basedOn w:val="Normal"/>
    <w:next w:val="Normal"/>
    <w:link w:val="Titre7Car"/>
    <w:qFormat/>
    <w:rsid w:val="008D3165"/>
    <w:pPr>
      <w:numPr>
        <w:ilvl w:val="6"/>
        <w:numId w:val="1"/>
      </w:numPr>
      <w:spacing w:after="60"/>
      <w:outlineLvl w:val="6"/>
    </w:pPr>
  </w:style>
  <w:style w:type="paragraph" w:styleId="Titre8">
    <w:name w:val="heading 8"/>
    <w:basedOn w:val="Normal"/>
    <w:next w:val="Normal"/>
    <w:link w:val="Titre8Car"/>
    <w:qFormat/>
    <w:rsid w:val="008D3165"/>
    <w:pPr>
      <w:numPr>
        <w:ilvl w:val="7"/>
        <w:numId w:val="1"/>
      </w:numPr>
      <w:spacing w:after="60"/>
      <w:outlineLvl w:val="7"/>
    </w:pPr>
    <w:rPr>
      <w:i/>
      <w:iCs/>
    </w:rPr>
  </w:style>
  <w:style w:type="paragraph" w:styleId="Titre9">
    <w:name w:val="heading 9"/>
    <w:basedOn w:val="Normal"/>
    <w:next w:val="Normal"/>
    <w:link w:val="Titre9Car"/>
    <w:qFormat/>
    <w:rsid w:val="008D3165"/>
    <w:pPr>
      <w:numPr>
        <w:ilvl w:val="8"/>
        <w:numId w:val="1"/>
      </w:numPr>
      <w:spacing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3165"/>
    <w:rPr>
      <w:rFonts w:ascii="Arial Black" w:eastAsia="Times New Roman" w:hAnsi="Arial Black" w:cs="Arial"/>
      <w:caps/>
      <w:color w:val="333333"/>
      <w:spacing w:val="-20"/>
      <w:sz w:val="28"/>
      <w:szCs w:val="26"/>
      <w:lang w:val="en-ZA"/>
    </w:rPr>
  </w:style>
  <w:style w:type="character" w:customStyle="1" w:styleId="Titre2Car">
    <w:name w:val="Titre 2 Car"/>
    <w:basedOn w:val="Policepardfaut"/>
    <w:link w:val="Titre2"/>
    <w:rsid w:val="008D3165"/>
    <w:rPr>
      <w:rFonts w:ascii="Arial Black" w:eastAsia="Times New Roman" w:hAnsi="Arial Black" w:cs="Arial"/>
      <w:bCs/>
      <w:iCs/>
      <w:color w:val="808080"/>
      <w:spacing w:val="-20"/>
      <w:sz w:val="26"/>
      <w:lang w:val="en-ZA"/>
    </w:rPr>
  </w:style>
  <w:style w:type="character" w:customStyle="1" w:styleId="Titre3Car">
    <w:name w:val="Titre 3 Car"/>
    <w:basedOn w:val="Policepardfaut"/>
    <w:link w:val="Titre3"/>
    <w:rsid w:val="008D3165"/>
    <w:rPr>
      <w:rFonts w:ascii="Arial Bold" w:eastAsia="Times New Roman" w:hAnsi="Arial Bold" w:cs="Arial"/>
      <w:b/>
      <w:bCs/>
      <w:color w:val="333333"/>
      <w:spacing w:val="-14"/>
      <w:sz w:val="24"/>
      <w:szCs w:val="24"/>
      <w:lang w:val="en-ZA"/>
    </w:rPr>
  </w:style>
  <w:style w:type="character" w:customStyle="1" w:styleId="Titre5Car">
    <w:name w:val="Titre 5 Car"/>
    <w:basedOn w:val="Policepardfaut"/>
    <w:link w:val="Titre5"/>
    <w:rsid w:val="008D3165"/>
    <w:rPr>
      <w:rFonts w:ascii="Arial" w:eastAsia="Times New Roman" w:hAnsi="Arial" w:cs="Times New Roman"/>
      <w:b/>
      <w:bCs/>
      <w:i/>
      <w:iCs/>
      <w:sz w:val="26"/>
      <w:szCs w:val="26"/>
      <w:lang w:val="en-ZA"/>
    </w:rPr>
  </w:style>
  <w:style w:type="character" w:customStyle="1" w:styleId="Titre6Car">
    <w:name w:val="Titre 6 Car"/>
    <w:basedOn w:val="Policepardfaut"/>
    <w:link w:val="Titre6"/>
    <w:rsid w:val="008D3165"/>
    <w:rPr>
      <w:rFonts w:ascii="Arial" w:eastAsia="Times New Roman" w:hAnsi="Arial" w:cs="Times New Roman"/>
      <w:b/>
      <w:bCs/>
      <w:lang w:val="en-ZA"/>
    </w:rPr>
  </w:style>
  <w:style w:type="character" w:customStyle="1" w:styleId="Titre7Car">
    <w:name w:val="Titre 7 Car"/>
    <w:basedOn w:val="Policepardfaut"/>
    <w:link w:val="Titre7"/>
    <w:rsid w:val="008D3165"/>
    <w:rPr>
      <w:rFonts w:ascii="Arial" w:eastAsia="Times New Roman" w:hAnsi="Arial" w:cs="Times New Roman"/>
      <w:lang w:val="en-ZA"/>
    </w:rPr>
  </w:style>
  <w:style w:type="character" w:customStyle="1" w:styleId="Titre8Car">
    <w:name w:val="Titre 8 Car"/>
    <w:basedOn w:val="Policepardfaut"/>
    <w:link w:val="Titre8"/>
    <w:rsid w:val="008D3165"/>
    <w:rPr>
      <w:rFonts w:ascii="Arial" w:eastAsia="Times New Roman" w:hAnsi="Arial" w:cs="Times New Roman"/>
      <w:i/>
      <w:iCs/>
      <w:lang w:val="en-ZA"/>
    </w:rPr>
  </w:style>
  <w:style w:type="character" w:customStyle="1" w:styleId="Titre9Car">
    <w:name w:val="Titre 9 Car"/>
    <w:basedOn w:val="Policepardfaut"/>
    <w:link w:val="Titre9"/>
    <w:rsid w:val="008D3165"/>
    <w:rPr>
      <w:rFonts w:ascii="Arial" w:eastAsia="Times New Roman" w:hAnsi="Arial" w:cs="Arial"/>
      <w:lang w:val="en-ZA"/>
    </w:rPr>
  </w:style>
  <w:style w:type="paragraph" w:styleId="Notedebasdepage">
    <w:name w:val="footnote text"/>
    <w:aliases w:val="FOOTNOTES,fn,single space,ALTS FOOTNOTE"/>
    <w:basedOn w:val="Normal"/>
    <w:link w:val="NotedebasdepageCar"/>
    <w:semiHidden/>
    <w:rsid w:val="008D3165"/>
  </w:style>
  <w:style w:type="character" w:customStyle="1" w:styleId="NotedebasdepageCar">
    <w:name w:val="Note de bas de page Car"/>
    <w:aliases w:val="FOOTNOTES Car,fn Car,single space Car,ALTS FOOTNOTE Car"/>
    <w:basedOn w:val="Policepardfaut"/>
    <w:link w:val="Notedebasdepage"/>
    <w:semiHidden/>
    <w:rsid w:val="008D3165"/>
    <w:rPr>
      <w:rFonts w:ascii="Arial" w:eastAsia="Times New Roman" w:hAnsi="Arial" w:cs="Times New Roman"/>
      <w:lang w:val="en-ZA"/>
    </w:rPr>
  </w:style>
  <w:style w:type="character" w:styleId="Appelnotedebasdep">
    <w:name w:val="footnote reference"/>
    <w:basedOn w:val="Policepardfaut"/>
    <w:semiHidden/>
    <w:rsid w:val="008D3165"/>
    <w:rPr>
      <w:rFonts w:ascii="Arial" w:hAnsi="Arial"/>
      <w:i/>
      <w:sz w:val="18"/>
      <w:szCs w:val="18"/>
      <w:bdr w:val="none" w:sz="0" w:space="0" w:color="auto"/>
      <w:vertAlign w:val="superscript"/>
    </w:rPr>
  </w:style>
  <w:style w:type="paragraph" w:customStyle="1" w:styleId="ListParagraph">
    <w:name w:val="List Paragraph"/>
    <w:basedOn w:val="Normal"/>
    <w:qFormat/>
    <w:rsid w:val="008D3165"/>
    <w:pPr>
      <w:spacing w:after="200" w:line="276" w:lineRule="auto"/>
      <w:ind w:left="720"/>
      <w:contextualSpacing/>
      <w:jc w:val="left"/>
    </w:pPr>
    <w:rPr>
      <w:rFonts w:ascii="Calibri" w:eastAsia="Calibri" w:hAnsi="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3802</Words>
  <Characters>20913</Characters>
  <Application>Microsoft Office Word</Application>
  <DocSecurity>0</DocSecurity>
  <Lines>174</Lines>
  <Paragraphs>49</Paragraphs>
  <ScaleCrop>false</ScaleCrop>
  <Company>Hewlett-Packard</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THIOUNE</dc:creator>
  <cp:lastModifiedBy>O THIOUNE</cp:lastModifiedBy>
  <cp:revision>2</cp:revision>
  <dcterms:created xsi:type="dcterms:W3CDTF">2010-01-26T13:56:00Z</dcterms:created>
  <dcterms:modified xsi:type="dcterms:W3CDTF">2010-01-26T13:56:00Z</dcterms:modified>
</cp:coreProperties>
</file>