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59" w:rsidRDefault="00757259" w:rsidP="00757259">
      <w:pPr>
        <w:pStyle w:val="Titreprincipal"/>
      </w:pPr>
      <w:r>
        <w:t>Evaluation finale du projet PACA</w:t>
      </w:r>
    </w:p>
    <w:p w:rsidR="00757259" w:rsidRDefault="00757259" w:rsidP="00757259">
      <w:pPr>
        <w:pStyle w:val="Sous-titreprincipal"/>
      </w:pPr>
      <w:r>
        <w:t>Aide Mémoire</w:t>
      </w:r>
    </w:p>
    <w:p w:rsidR="003C644E" w:rsidRDefault="003C644E" w:rsidP="00417125">
      <w:r>
        <w:t xml:space="preserve">Cet aide-mémoire est </w:t>
      </w:r>
      <w:r w:rsidR="00BD2360">
        <w:t xml:space="preserve">rédigé pour préparer </w:t>
      </w:r>
      <w:r>
        <w:t>la restitution de l’évaluation finale projet d’appui aux communes de l’ASSABA</w:t>
      </w:r>
      <w:r w:rsidR="00BD2360">
        <w:t xml:space="preserve">, qui est </w:t>
      </w:r>
      <w:r>
        <w:t>pr</w:t>
      </w:r>
      <w:r w:rsidR="004B2C3D">
        <w:t>ogrammée</w:t>
      </w:r>
      <w:r>
        <w:t xml:space="preserve"> le 22 décembre </w:t>
      </w:r>
      <w:r w:rsidR="00BD2360">
        <w:t xml:space="preserve">2009 </w:t>
      </w:r>
      <w:r>
        <w:t>à Nouakchott.</w:t>
      </w:r>
    </w:p>
    <w:p w:rsidR="004B2C3D" w:rsidRDefault="00BD2360" w:rsidP="00417125">
      <w:r>
        <w:t>La</w:t>
      </w:r>
      <w:r w:rsidR="004B2C3D">
        <w:t xml:space="preserve"> mission </w:t>
      </w:r>
      <w:r>
        <w:t xml:space="preserve">d’évaluation </w:t>
      </w:r>
      <w:r w:rsidR="004B2C3D">
        <w:t xml:space="preserve">s’est déroulée sur le terrain comme prévu, du 4 au 17 décembre. </w:t>
      </w:r>
      <w:r>
        <w:t xml:space="preserve">Les six évaluateurs organisés en deux groupes ont visité </w:t>
      </w:r>
      <w:r w:rsidR="004B2C3D">
        <w:t>neuf des vin</w:t>
      </w:r>
      <w:r>
        <w:t>g</w:t>
      </w:r>
      <w:r w:rsidR="004B2C3D">
        <w:t>t et une communes conce</w:t>
      </w:r>
      <w:r w:rsidR="004B2C3D">
        <w:t>r</w:t>
      </w:r>
      <w:r w:rsidR="004B2C3D">
        <w:t xml:space="preserve">nées par l’action du projet (plus celle de Kankossa). </w:t>
      </w:r>
      <w:r>
        <w:t>C</w:t>
      </w:r>
      <w:r w:rsidR="004B2C3D">
        <w:t>haque fois que possible</w:t>
      </w:r>
      <w:r>
        <w:t xml:space="preserve">, ils ont </w:t>
      </w:r>
      <w:r w:rsidR="00CE56B8">
        <w:t>r</w:t>
      </w:r>
      <w:r>
        <w:t>enco</w:t>
      </w:r>
      <w:r>
        <w:t>n</w:t>
      </w:r>
      <w:r>
        <w:t>tré</w:t>
      </w:r>
      <w:r w:rsidR="004B2C3D">
        <w:t xml:space="preserve"> le maire et </w:t>
      </w:r>
      <w:r w:rsidR="002278C3">
        <w:t xml:space="preserve">le </w:t>
      </w:r>
      <w:r w:rsidR="004B2C3D">
        <w:t>secrétaire général, discuté avec un petit groupe d’élu</w:t>
      </w:r>
      <w:r>
        <w:t>s</w:t>
      </w:r>
      <w:r w:rsidR="004B2C3D">
        <w:t xml:space="preserve"> et de représentant</w:t>
      </w:r>
      <w:r>
        <w:t>s</w:t>
      </w:r>
      <w:r w:rsidR="004B2C3D">
        <w:t xml:space="preserve"> de la société civile local</w:t>
      </w:r>
      <w:r>
        <w:t>e</w:t>
      </w:r>
      <w:r w:rsidR="004B2C3D">
        <w:t xml:space="preserve">, </w:t>
      </w:r>
      <w:r w:rsidR="00513C5A">
        <w:t xml:space="preserve">et </w:t>
      </w:r>
      <w:r w:rsidR="004B2C3D">
        <w:t xml:space="preserve">visité les réalisations financées par le PACA dans la limite de leur accessibilité. </w:t>
      </w:r>
      <w:r w:rsidR="00513C5A">
        <w:t xml:space="preserve">Ils ont </w:t>
      </w:r>
      <w:r w:rsidR="004B2C3D">
        <w:t xml:space="preserve">également examiné les archives </w:t>
      </w:r>
      <w:r>
        <w:t xml:space="preserve">disponibles en mairie </w:t>
      </w:r>
      <w:r w:rsidR="004B2C3D">
        <w:t>relatives au fon</w:t>
      </w:r>
      <w:r w:rsidR="004B2C3D">
        <w:t>c</w:t>
      </w:r>
      <w:r w:rsidR="004B2C3D">
        <w:t>tionnement des institutions communales, à sa gestion</w:t>
      </w:r>
      <w:r>
        <w:t>,</w:t>
      </w:r>
      <w:r w:rsidR="004B2C3D">
        <w:t xml:space="preserve"> et à la maîtrise d’ouvrage de </w:t>
      </w:r>
      <w:r w:rsidR="00CE56B8">
        <w:t>s</w:t>
      </w:r>
      <w:r w:rsidR="004B2C3D">
        <w:t>es projets.</w:t>
      </w:r>
    </w:p>
    <w:p w:rsidR="00513C5A" w:rsidRDefault="00513C5A" w:rsidP="00417125">
      <w:r>
        <w:t>L</w:t>
      </w:r>
      <w:r w:rsidR="00723713">
        <w:t>es évaluateurs</w:t>
      </w:r>
      <w:r>
        <w:t xml:space="preserve"> s</w:t>
      </w:r>
      <w:r w:rsidR="00723713">
        <w:t xml:space="preserve">e sont </w:t>
      </w:r>
      <w:r>
        <w:t>également efforcé</w:t>
      </w:r>
      <w:r w:rsidR="00723713">
        <w:t>s</w:t>
      </w:r>
      <w:r>
        <w:t xml:space="preserve"> de rencontrer les services déconcentrés de l’Etat co</w:t>
      </w:r>
      <w:r>
        <w:t>n</w:t>
      </w:r>
      <w:r>
        <w:t xml:space="preserve">cernés au niveau des </w:t>
      </w:r>
      <w:r w:rsidR="00A55629">
        <w:t>moughataas et de la wilaya</w:t>
      </w:r>
      <w:r>
        <w:t xml:space="preserve"> ainsi que les autres partenaires du projet à Kiffa.</w:t>
      </w:r>
    </w:p>
    <w:p w:rsidR="00F56C9C" w:rsidRDefault="00723713" w:rsidP="00417125">
      <w:r w:rsidRPr="00F56C9C">
        <w:t>L</w:t>
      </w:r>
      <w:r w:rsidR="00F56C9C" w:rsidRPr="00F56C9C">
        <w:t xml:space="preserve">a mission n’a pas pu rencontrer toutes les personnes qu’elle souhait, notamment au niveau des services des Moughataa, car celles-ci étaient absentes lors de son passage. </w:t>
      </w:r>
      <w:r w:rsidR="00F56C9C">
        <w:t>Son travail, compliqué par le</w:t>
      </w:r>
      <w:r w:rsidR="00F56C9C" w:rsidRPr="00F56C9C">
        <w:t xml:space="preserve"> </w:t>
      </w:r>
      <w:r w:rsidRPr="00F56C9C">
        <w:t>nombre, l’enclavement et la divers</w:t>
      </w:r>
      <w:r w:rsidR="00F56C9C" w:rsidRPr="00F56C9C">
        <w:t xml:space="preserve">ité </w:t>
      </w:r>
      <w:r w:rsidRPr="00F56C9C">
        <w:t>des communes</w:t>
      </w:r>
      <w:r w:rsidR="00F56C9C">
        <w:t>, s’est par ailleurs</w:t>
      </w:r>
      <w:r w:rsidR="00F56C9C" w:rsidRPr="00F56C9C">
        <w:t xml:space="preserve"> heu</w:t>
      </w:r>
      <w:r w:rsidR="00F56C9C" w:rsidRPr="00F56C9C">
        <w:t>r</w:t>
      </w:r>
      <w:r w:rsidR="00F56C9C" w:rsidRPr="00F56C9C">
        <w:t>té à la faiblesse de l’archivage communale</w:t>
      </w:r>
      <w:r w:rsidR="00F56C9C">
        <w:t>.</w:t>
      </w:r>
    </w:p>
    <w:p w:rsidR="00723713" w:rsidRPr="00513C5A" w:rsidRDefault="00F56C9C" w:rsidP="00417125">
      <w:pPr>
        <w:rPr>
          <w:color w:val="FF0000"/>
        </w:rPr>
      </w:pPr>
      <w:r>
        <w:t>Le PACA</w:t>
      </w:r>
      <w:r w:rsidR="00CC1DB8">
        <w:t xml:space="preserve"> s’est révélé un projet difficile à évaluer compte tenu de la faiblesse de son dispositif de suivi évaluation, de la diversité de ses intervention et du manque de clarté du document de projet initial.</w:t>
      </w:r>
    </w:p>
    <w:p w:rsidR="00417125" w:rsidRPr="00D626B1" w:rsidRDefault="00417125" w:rsidP="00D626B1">
      <w:pPr>
        <w:spacing w:before="400" w:after="80"/>
        <w:rPr>
          <w:rFonts w:ascii="Arial" w:hAnsi="Arial" w:cs="Arial"/>
          <w:b/>
        </w:rPr>
      </w:pPr>
      <w:r w:rsidRPr="00D626B1">
        <w:rPr>
          <w:rFonts w:ascii="Arial" w:hAnsi="Arial" w:cs="Arial"/>
          <w:b/>
        </w:rPr>
        <w:t>Résumé</w:t>
      </w:r>
    </w:p>
    <w:p w:rsidR="005E0C80" w:rsidRDefault="00B63BCB" w:rsidP="005E0C80">
      <w:r>
        <w:t>F</w:t>
      </w:r>
      <w:r w:rsidR="005E0C80">
        <w:t xml:space="preserve">ondée sur des principes d’action pertinents, </w:t>
      </w:r>
      <w:r w:rsidR="00FF08AB">
        <w:t xml:space="preserve">mais manquant de </w:t>
      </w:r>
      <w:r w:rsidR="005E0C80">
        <w:t>cohérence</w:t>
      </w:r>
      <w:r w:rsidR="00FF08AB">
        <w:t>, la conception du  PACA est resté inachevée. Le projet n’</w:t>
      </w:r>
      <w:r w:rsidR="005E0C80">
        <w:t>a pas</w:t>
      </w:r>
      <w:r w:rsidR="00FF08AB">
        <w:t xml:space="preserve"> été doté des</w:t>
      </w:r>
      <w:r w:rsidR="005E0C80">
        <w:t xml:space="preserve"> instruments nécessaires à </w:t>
      </w:r>
      <w:r w:rsidR="00FF08AB">
        <w:t>s</w:t>
      </w:r>
      <w:r w:rsidR="005E0C80">
        <w:t xml:space="preserve">a </w:t>
      </w:r>
      <w:r w:rsidR="00BD2360">
        <w:t xml:space="preserve">bonne </w:t>
      </w:r>
      <w:r w:rsidR="005E0C80">
        <w:t>mise en œuvre</w:t>
      </w:r>
      <w:r w:rsidR="00FF08AB">
        <w:t> :</w:t>
      </w:r>
      <w:r w:rsidR="005E0C80">
        <w:t xml:space="preserve"> </w:t>
      </w:r>
      <w:r w:rsidR="00FF08AB">
        <w:t>une stratégie opérationnelle</w:t>
      </w:r>
      <w:r w:rsidR="00CF4DB1">
        <w:t xml:space="preserve"> claire</w:t>
      </w:r>
      <w:r w:rsidR="00FF08AB">
        <w:t xml:space="preserve">, </w:t>
      </w:r>
      <w:r w:rsidR="005E0C80">
        <w:t>un manuel de procédure, un dispositif de suivi évaluation</w:t>
      </w:r>
      <w:r w:rsidR="00FF08AB">
        <w:t>.</w:t>
      </w:r>
      <w:r w:rsidR="005E0C80">
        <w:t xml:space="preserve"> </w:t>
      </w:r>
    </w:p>
    <w:p w:rsidR="006C3B36" w:rsidRDefault="00B63BCB" w:rsidP="005E0C80">
      <w:r>
        <w:t>Ces instruments étaient d’autant plus nécessaires que le projet tentait d’innover dans un co</w:t>
      </w:r>
      <w:r>
        <w:t>n</w:t>
      </w:r>
      <w:r>
        <w:t xml:space="preserve">texte difficile et </w:t>
      </w:r>
      <w:r w:rsidR="006C3B36">
        <w:t>perturbé par une longue période d’</w:t>
      </w:r>
      <w:r>
        <w:t>instabilité politique</w:t>
      </w:r>
      <w:r w:rsidR="006C3B36">
        <w:t>.</w:t>
      </w:r>
    </w:p>
    <w:p w:rsidR="0095553B" w:rsidRDefault="00FF08AB" w:rsidP="005E0C80">
      <w:r>
        <w:t>I</w:t>
      </w:r>
      <w:r w:rsidR="006C3B36">
        <w:t xml:space="preserve">l aurait </w:t>
      </w:r>
      <w:r w:rsidR="00417125">
        <w:t xml:space="preserve">donc </w:t>
      </w:r>
      <w:r w:rsidR="006C3B36">
        <w:t xml:space="preserve">fallu une équipe particulièrement expérimentée, </w:t>
      </w:r>
      <w:r w:rsidR="00CF4DB1">
        <w:t>stable et placée dans des cond</w:t>
      </w:r>
      <w:r w:rsidR="00CF4DB1">
        <w:t>i</w:t>
      </w:r>
      <w:r w:rsidR="00CF4DB1">
        <w:t xml:space="preserve">tions favorables </w:t>
      </w:r>
      <w:r w:rsidR="004F4D83">
        <w:t xml:space="preserve">pour surmonter </w:t>
      </w:r>
      <w:r w:rsidR="006C3B36">
        <w:t>ce</w:t>
      </w:r>
      <w:r w:rsidR="00CF4DB1">
        <w:t>s</w:t>
      </w:r>
      <w:r w:rsidR="006C3B36">
        <w:t xml:space="preserve"> handicap</w:t>
      </w:r>
      <w:r w:rsidR="00CF4DB1">
        <w:t>s.</w:t>
      </w:r>
    </w:p>
    <w:p w:rsidR="00BD3354" w:rsidRDefault="00BD3354" w:rsidP="005E0C80">
      <w:r>
        <w:t>Les faiblesses de la conception initiale, les difficultés du contexte, les limites de l’équipe ont pesé sur les résultats obtenus par le projet</w:t>
      </w:r>
      <w:r w:rsidR="00B57E4B">
        <w:t xml:space="preserve">. Ceux-ci apparaissent </w:t>
      </w:r>
      <w:r w:rsidR="00417125">
        <w:t>final</w:t>
      </w:r>
      <w:r w:rsidR="00B57E4B">
        <w:t>ement</w:t>
      </w:r>
      <w:r w:rsidR="00417125">
        <w:t xml:space="preserve"> assez inégaux</w:t>
      </w:r>
      <w:r w:rsidR="00B57E4B">
        <w:t> :</w:t>
      </w:r>
      <w:r w:rsidR="00CF4DB1">
        <w:t xml:space="preserve"> </w:t>
      </w:r>
      <w:r w:rsidR="00417125">
        <w:lastRenderedPageBreak/>
        <w:t xml:space="preserve">Selon la </w:t>
      </w:r>
      <w:r>
        <w:t>mission</w:t>
      </w:r>
      <w:r w:rsidR="00CF4DB1">
        <w:t>,</w:t>
      </w:r>
      <w:r>
        <w:t xml:space="preserve"> </w:t>
      </w:r>
      <w:r w:rsidR="00B57E4B">
        <w:t xml:space="preserve">ils </w:t>
      </w:r>
      <w:r>
        <w:t>sont a</w:t>
      </w:r>
      <w:r w:rsidR="00CF4DB1">
        <w:t>ssez bons</w:t>
      </w:r>
      <w:r>
        <w:t xml:space="preserve"> pour le</w:t>
      </w:r>
      <w:r w:rsidR="00CE56B8">
        <w:t>s</w:t>
      </w:r>
      <w:r>
        <w:t xml:space="preserve"> produit</w:t>
      </w:r>
      <w:r w:rsidR="00CE56B8">
        <w:t>s</w:t>
      </w:r>
      <w:r>
        <w:t xml:space="preserve"> </w:t>
      </w:r>
      <w:r w:rsidR="00CF4DB1">
        <w:t>un</w:t>
      </w:r>
      <w:r>
        <w:t xml:space="preserve"> (institution</w:t>
      </w:r>
      <w:r w:rsidR="00BD2360">
        <w:t>s</w:t>
      </w:r>
      <w:r w:rsidR="00417125">
        <w:t xml:space="preserve"> et outils </w:t>
      </w:r>
      <w:r w:rsidR="00B57E4B">
        <w:t>de planific</w:t>
      </w:r>
      <w:r w:rsidR="00B57E4B">
        <w:t>a</w:t>
      </w:r>
      <w:r w:rsidR="00B57E4B">
        <w:t>tion</w:t>
      </w:r>
      <w:r w:rsidR="00417125">
        <w:t>)</w:t>
      </w:r>
      <w:r w:rsidR="00CE56B8">
        <w:t xml:space="preserve"> et deux </w:t>
      </w:r>
      <w:r>
        <w:t xml:space="preserve">(le renforcement de capacité), décevants pour le produit trois (la mise en œuvre du </w:t>
      </w:r>
      <w:r w:rsidR="002278C3">
        <w:t xml:space="preserve">fonds </w:t>
      </w:r>
      <w:r w:rsidR="005E129C">
        <w:t>d’investissements des communes de l’Assaba, le FICA)</w:t>
      </w:r>
      <w:r>
        <w:t>, inégaux pour le produit quatre (</w:t>
      </w:r>
      <w:r w:rsidR="00445524">
        <w:t>capitalisation</w:t>
      </w:r>
      <w:r>
        <w:t>)</w:t>
      </w:r>
      <w:r w:rsidR="00445524">
        <w:t>.</w:t>
      </w:r>
    </w:p>
    <w:p w:rsidR="00A27C64" w:rsidRDefault="0024605D" w:rsidP="005E0C80">
      <w:r>
        <w:t>Au final</w:t>
      </w:r>
      <w:r w:rsidR="00BC1AAC">
        <w:t>,</w:t>
      </w:r>
      <w:r w:rsidR="00BC1AAC" w:rsidRPr="00BC1AAC">
        <w:t xml:space="preserve"> </w:t>
      </w:r>
      <w:r>
        <w:t xml:space="preserve">l’action du projet a effectivement contribué </w:t>
      </w:r>
      <w:r w:rsidR="00B57E4B">
        <w:t>à renforcer l’</w:t>
      </w:r>
      <w:r>
        <w:t xml:space="preserve">institution municipale et </w:t>
      </w:r>
      <w:r w:rsidR="00B57E4B">
        <w:t>la participation de la société civile</w:t>
      </w:r>
      <w:r w:rsidR="00BC1AAC">
        <w:t xml:space="preserve"> aux affaires communales. Elle a moins fortement et moins durablement fait évoluer la relation entre les services décentrées de l’</w:t>
      </w:r>
      <w:r w:rsidR="002278C3">
        <w:t>E</w:t>
      </w:r>
      <w:r w:rsidR="00BC1AAC">
        <w:t>tat et les communes. Ses</w:t>
      </w:r>
      <w:r w:rsidR="00445524">
        <w:t xml:space="preserve"> e</w:t>
      </w:r>
      <w:r w:rsidR="005E129C">
        <w:t>ffets immédiats sur l</w:t>
      </w:r>
      <w:r w:rsidR="00CF4DB1">
        <w:t>’amélioration d</w:t>
      </w:r>
      <w:r w:rsidR="005E129C">
        <w:t xml:space="preserve">es conditions de vie des populations </w:t>
      </w:r>
      <w:r w:rsidR="00BC1AAC">
        <w:t>sont très ténus.</w:t>
      </w:r>
      <w:r w:rsidR="00445524">
        <w:t xml:space="preserve"> </w:t>
      </w:r>
    </w:p>
    <w:p w:rsidR="0019217A" w:rsidRDefault="00BC1AAC" w:rsidP="005E0C80">
      <w:r>
        <w:t>Ce</w:t>
      </w:r>
      <w:r w:rsidR="005E129C">
        <w:t>s limites n’ont pas permis au PACA d</w:t>
      </w:r>
      <w:r w:rsidR="008257A7">
        <w:t>’</w:t>
      </w:r>
      <w:r>
        <w:t xml:space="preserve">assumer </w:t>
      </w:r>
      <w:r w:rsidR="005E129C">
        <w:t>pleinement s</w:t>
      </w:r>
      <w:r>
        <w:t xml:space="preserve">a fonction </w:t>
      </w:r>
      <w:r w:rsidR="00BD2360">
        <w:t xml:space="preserve">de projet </w:t>
      </w:r>
      <w:r>
        <w:t xml:space="preserve">pilote. </w:t>
      </w:r>
      <w:r w:rsidR="0019217A">
        <w:t xml:space="preserve">Son expérience, qui reste à capitaliser, est cependant riche </w:t>
      </w:r>
      <w:r w:rsidR="008257A7">
        <w:t xml:space="preserve">en </w:t>
      </w:r>
      <w:r w:rsidR="0019217A">
        <w:t xml:space="preserve">leçons à verser aux débats en cours sur la politique de décentralisation et les programmes d’appui </w:t>
      </w:r>
      <w:r w:rsidR="0059212D">
        <w:t xml:space="preserve">à la gouvernance </w:t>
      </w:r>
      <w:r w:rsidR="00BD2360">
        <w:t>communa</w:t>
      </w:r>
      <w:r w:rsidR="0059212D">
        <w:t>le</w:t>
      </w:r>
      <w:r w:rsidR="0019217A">
        <w:t xml:space="preserve">. </w:t>
      </w:r>
      <w:r w:rsidR="008257A7">
        <w:t xml:space="preserve">Elle </w:t>
      </w:r>
      <w:r w:rsidR="0019217A">
        <w:t xml:space="preserve">peut également contribuer aux réflexions que </w:t>
      </w:r>
      <w:r w:rsidR="002278C3">
        <w:t xml:space="preserve">le </w:t>
      </w:r>
      <w:r w:rsidR="0019217A">
        <w:t>PNUD et le FENU voudrai</w:t>
      </w:r>
      <w:r w:rsidR="007C36CB">
        <w:t>en</w:t>
      </w:r>
      <w:r w:rsidR="0019217A">
        <w:t xml:space="preserve">t conduire </w:t>
      </w:r>
      <w:r w:rsidR="008257A7">
        <w:t xml:space="preserve">pour </w:t>
      </w:r>
      <w:r w:rsidR="0019217A">
        <w:t>amélior</w:t>
      </w:r>
      <w:r w:rsidR="008257A7">
        <w:t>er</w:t>
      </w:r>
      <w:r w:rsidR="0019217A">
        <w:t xml:space="preserve"> leurs méthodes d’intervention.</w:t>
      </w:r>
    </w:p>
    <w:p w:rsidR="007C36CB" w:rsidRDefault="007C36CB" w:rsidP="005E0C80">
      <w:r>
        <w:t xml:space="preserve">La </w:t>
      </w:r>
      <w:r w:rsidR="008257A7">
        <w:t xml:space="preserve">valorisation de cette </w:t>
      </w:r>
      <w:r>
        <w:t xml:space="preserve">expérience </w:t>
      </w:r>
      <w:r w:rsidR="008257A7">
        <w:t>fait partie des</w:t>
      </w:r>
      <w:r>
        <w:t xml:space="preserve"> propositions </w:t>
      </w:r>
      <w:r w:rsidR="008257A7">
        <w:t>suggérées par la mission</w:t>
      </w:r>
      <w:r w:rsidR="00BD2360">
        <w:t xml:space="preserve"> qui </w:t>
      </w:r>
      <w:r>
        <w:t>concernent également quelques actions a entreprendre d’ici la clôture du projet et les suites qui pourraient lui être données en Assaba.</w:t>
      </w:r>
    </w:p>
    <w:p w:rsidR="00E43DB8" w:rsidRPr="00417125" w:rsidRDefault="00E43DB8" w:rsidP="00417125">
      <w:pPr>
        <w:pStyle w:val="Titre2"/>
      </w:pPr>
      <w:r w:rsidRPr="00417125">
        <w:t>Le cadre d</w:t>
      </w:r>
      <w:r w:rsidR="008257A7">
        <w:t xml:space="preserve">e l’action </w:t>
      </w:r>
      <w:r w:rsidRPr="00417125">
        <w:t>: sa conception, son contexte</w:t>
      </w:r>
      <w:r w:rsidR="008257A7">
        <w:t>, ses moyens</w:t>
      </w:r>
    </w:p>
    <w:p w:rsidR="007C36CB" w:rsidRDefault="008257A7" w:rsidP="00417125">
      <w:pPr>
        <w:pStyle w:val="Titre3"/>
      </w:pPr>
      <w:r>
        <w:t xml:space="preserve">Une </w:t>
      </w:r>
      <w:r w:rsidR="00CC1DB8">
        <w:t>logique d’intervention</w:t>
      </w:r>
      <w:r>
        <w:t xml:space="preserve"> fondée sur d</w:t>
      </w:r>
      <w:r w:rsidR="007C36CB">
        <w:t xml:space="preserve">es </w:t>
      </w:r>
      <w:r>
        <w:t xml:space="preserve">objectifs et des </w:t>
      </w:r>
      <w:r w:rsidR="007C36CB">
        <w:t xml:space="preserve">principes d’action cohérents </w:t>
      </w:r>
    </w:p>
    <w:p w:rsidR="00417125" w:rsidRDefault="008257A7" w:rsidP="00417125">
      <w:pPr>
        <w:pStyle w:val="Titre4"/>
      </w:pPr>
      <w:r>
        <w:t xml:space="preserve">Un </w:t>
      </w:r>
      <w:r w:rsidR="00417125">
        <w:t>objectif</w:t>
      </w:r>
      <w:r>
        <w:t xml:space="preserve"> spécifique</w:t>
      </w:r>
      <w:r w:rsidR="002278C3">
        <w:t xml:space="preserve"> </w:t>
      </w:r>
      <w:r w:rsidR="001F4179">
        <w:t>(ou immédiat)</w:t>
      </w:r>
      <w:r>
        <w:t xml:space="preserve"> </w:t>
      </w:r>
      <w:r w:rsidR="00417125">
        <w:t>pertinent</w:t>
      </w:r>
    </w:p>
    <w:p w:rsidR="00541BEB" w:rsidRDefault="00C9631E" w:rsidP="0073725A">
      <w:r>
        <w:t>L</w:t>
      </w:r>
      <w:r w:rsidR="00177009">
        <w:t xml:space="preserve">’objectif </w:t>
      </w:r>
      <w:r w:rsidR="0059212D">
        <w:t xml:space="preserve">de développement du PACA est clair «  </w:t>
      </w:r>
      <w:r w:rsidR="0059212D" w:rsidRPr="007F0CB4">
        <w:rPr>
          <w:i/>
        </w:rPr>
        <w:t>Créer les conditions qui favorisent un dév</w:t>
      </w:r>
      <w:r w:rsidR="0059212D" w:rsidRPr="007F0CB4">
        <w:rPr>
          <w:i/>
        </w:rPr>
        <w:t>e</w:t>
      </w:r>
      <w:r w:rsidR="0059212D" w:rsidRPr="007F0CB4">
        <w:rPr>
          <w:i/>
        </w:rPr>
        <w:t xml:space="preserve">loppement local durable et qui réduisent la pauvreté </w:t>
      </w:r>
      <w:r w:rsidR="007F0CB4" w:rsidRPr="007F0CB4">
        <w:rPr>
          <w:i/>
        </w:rPr>
        <w:t>dans la Wilaya de l’Assaba</w:t>
      </w:r>
      <w:r w:rsidR="007F0CB4">
        <w:t xml:space="preserve"> ». Mais son objectif </w:t>
      </w:r>
      <w:r w:rsidR="00177009">
        <w:t xml:space="preserve">spécifique </w:t>
      </w:r>
      <w:r w:rsidR="00770FA3">
        <w:t>(ou immédiat) n’est pas formulé de façon très cohérente</w:t>
      </w:r>
      <w:r w:rsidR="007F0CB4">
        <w:t>.</w:t>
      </w:r>
      <w:r w:rsidR="00770FA3">
        <w:t xml:space="preserve"> </w:t>
      </w:r>
      <w:r w:rsidR="0059212D">
        <w:t xml:space="preserve">A posteriori </w:t>
      </w:r>
      <w:r w:rsidR="007F0CB4">
        <w:t>il apparaît que le</w:t>
      </w:r>
      <w:r w:rsidR="0059212D">
        <w:t xml:space="preserve"> projet visait essentiellement à </w:t>
      </w:r>
      <w:r w:rsidR="00177009">
        <w:t>ren</w:t>
      </w:r>
      <w:r w:rsidR="00F718E8">
        <w:t>forcer l</w:t>
      </w:r>
      <w:r w:rsidR="0059212D">
        <w:t xml:space="preserve">es </w:t>
      </w:r>
      <w:r w:rsidR="00F718E8">
        <w:t>institution</w:t>
      </w:r>
      <w:r w:rsidR="0059212D">
        <w:t>s</w:t>
      </w:r>
      <w:r w:rsidR="00F718E8">
        <w:t xml:space="preserve"> communale</w:t>
      </w:r>
      <w:r w:rsidR="0059212D">
        <w:t>s</w:t>
      </w:r>
      <w:r w:rsidR="00F718E8">
        <w:t xml:space="preserve"> </w:t>
      </w:r>
      <w:r w:rsidR="00177009">
        <w:t>et</w:t>
      </w:r>
      <w:r w:rsidR="00242E30">
        <w:t xml:space="preserve"> pr</w:t>
      </w:r>
      <w:r w:rsidR="00242E30">
        <w:t>o</w:t>
      </w:r>
      <w:r w:rsidR="00242E30">
        <w:t>mouvoir la</w:t>
      </w:r>
      <w:r w:rsidR="00177009">
        <w:t xml:space="preserve"> bonne gouvernance </w:t>
      </w:r>
      <w:r w:rsidR="007F0CB4">
        <w:t xml:space="preserve">locale </w:t>
      </w:r>
      <w:r w:rsidR="0059212D">
        <w:t>en Assaba</w:t>
      </w:r>
      <w:r w:rsidR="00177009">
        <w:t>.</w:t>
      </w:r>
      <w:r w:rsidR="00242E30">
        <w:t xml:space="preserve"> </w:t>
      </w:r>
    </w:p>
    <w:p w:rsidR="00B70589" w:rsidRDefault="007F0CB4" w:rsidP="0073725A">
      <w:r>
        <w:t xml:space="preserve">Il entendait </w:t>
      </w:r>
      <w:r w:rsidR="00B70589">
        <w:t>r</w:t>
      </w:r>
      <w:r w:rsidR="00541BEB">
        <w:t>enforce</w:t>
      </w:r>
      <w:r>
        <w:t>r</w:t>
      </w:r>
      <w:r w:rsidR="00B70589">
        <w:t xml:space="preserve"> </w:t>
      </w:r>
      <w:r w:rsidR="00541BEB">
        <w:t>l</w:t>
      </w:r>
      <w:r>
        <w:t xml:space="preserve">es </w:t>
      </w:r>
      <w:r w:rsidR="00541BEB">
        <w:t>institution</w:t>
      </w:r>
      <w:r>
        <w:t>s</w:t>
      </w:r>
      <w:r w:rsidR="00541BEB">
        <w:t xml:space="preserve"> communal</w:t>
      </w:r>
      <w:r>
        <w:t>es</w:t>
      </w:r>
      <w:r w:rsidR="00541BEB">
        <w:t xml:space="preserve"> </w:t>
      </w:r>
      <w:r>
        <w:t xml:space="preserve">en contribuant à </w:t>
      </w:r>
      <w:r w:rsidR="00242E30">
        <w:t>amélior</w:t>
      </w:r>
      <w:r w:rsidR="00B70589">
        <w:t>er</w:t>
      </w:r>
      <w:r w:rsidR="00242E30">
        <w:t xml:space="preserve"> </w:t>
      </w:r>
      <w:r>
        <w:t>leur</w:t>
      </w:r>
      <w:r w:rsidR="00242E30">
        <w:t xml:space="preserve"> fonctionn</w:t>
      </w:r>
      <w:r w:rsidR="00242E30">
        <w:t>e</w:t>
      </w:r>
      <w:r w:rsidR="00242E30">
        <w:t xml:space="preserve">ment institutionnel </w:t>
      </w:r>
      <w:r w:rsidR="00541BEB">
        <w:t xml:space="preserve">et </w:t>
      </w:r>
      <w:r>
        <w:t>à accroître leur</w:t>
      </w:r>
      <w:r w:rsidR="00541BEB">
        <w:t xml:space="preserve"> </w:t>
      </w:r>
      <w:r w:rsidR="00242E30">
        <w:t xml:space="preserve">capacité </w:t>
      </w:r>
      <w:r w:rsidR="00C9631E">
        <w:t>à</w:t>
      </w:r>
      <w:r w:rsidR="00B70589">
        <w:t xml:space="preserve"> contribuer au développement de son territoire et à l’amélioration des conditions de vie de sa population.</w:t>
      </w:r>
    </w:p>
    <w:p w:rsidR="00541BEB" w:rsidRDefault="007F0CB4" w:rsidP="0073725A">
      <w:r>
        <w:t>Il se proposait de</w:t>
      </w:r>
      <w:r w:rsidR="00541BEB">
        <w:t xml:space="preserve"> promo</w:t>
      </w:r>
      <w:r>
        <w:t xml:space="preserve">uvoir </w:t>
      </w:r>
      <w:r w:rsidR="00541BEB">
        <w:t xml:space="preserve">la bonne gouvernance </w:t>
      </w:r>
      <w:r>
        <w:t xml:space="preserve">locale d’abord en favorisant </w:t>
      </w:r>
      <w:r w:rsidR="002278C3">
        <w:t xml:space="preserve">la </w:t>
      </w:r>
      <w:r>
        <w:t>particip</w:t>
      </w:r>
      <w:r>
        <w:t>a</w:t>
      </w:r>
      <w:r>
        <w:t>tion de la société civile à la définition et à la mise en œuvre de la politique communal</w:t>
      </w:r>
      <w:r w:rsidR="002278C3">
        <w:t>e</w:t>
      </w:r>
      <w:r>
        <w:t xml:space="preserve"> mais aussi en contribuant à l’</w:t>
      </w:r>
      <w:r w:rsidR="00541BEB">
        <w:t xml:space="preserve">application </w:t>
      </w:r>
      <w:r w:rsidR="00B70589">
        <w:t xml:space="preserve">plus </w:t>
      </w:r>
      <w:r w:rsidR="00541BEB">
        <w:t xml:space="preserve">effective du cadre légal </w:t>
      </w:r>
      <w:r>
        <w:t>dans lequel s’inscrive les communes.</w:t>
      </w:r>
    </w:p>
    <w:p w:rsidR="00417125" w:rsidRDefault="00417125" w:rsidP="00B70589">
      <w:pPr>
        <w:pStyle w:val="Titre4"/>
        <w:numPr>
          <w:ilvl w:val="0"/>
          <w:numId w:val="0"/>
        </w:numPr>
      </w:pPr>
      <w:r>
        <w:t xml:space="preserve">Des principes d’action </w:t>
      </w:r>
      <w:r w:rsidR="003C644E">
        <w:t>cohéren</w:t>
      </w:r>
      <w:r w:rsidR="00B620F2">
        <w:t>t</w:t>
      </w:r>
      <w:r w:rsidR="00C9631E">
        <w:t>s</w:t>
      </w:r>
      <w:r w:rsidR="003C644E">
        <w:t xml:space="preserve"> avec cet objectif : </w:t>
      </w:r>
      <w:r>
        <w:t xml:space="preserve"> </w:t>
      </w:r>
    </w:p>
    <w:p w:rsidR="00B70589" w:rsidRPr="00B70589" w:rsidRDefault="003C644E" w:rsidP="00B70589">
      <w:r>
        <w:t>Les principes d’actions du projet sont cohérents avec cet o</w:t>
      </w:r>
      <w:r w:rsidR="00B70589">
        <w:t>bje</w:t>
      </w:r>
      <w:r>
        <w:t>c</w:t>
      </w:r>
      <w:r w:rsidR="00B70589">
        <w:t>tif spéc</w:t>
      </w:r>
      <w:r>
        <w:t>ifique</w:t>
      </w:r>
      <w:r w:rsidR="002278C3">
        <w:t xml:space="preserve"> redéfini</w:t>
      </w:r>
      <w:r>
        <w:t xml:space="preserve">. Ils </w:t>
      </w:r>
      <w:r w:rsidR="00FA1289">
        <w:t>pe</w:t>
      </w:r>
      <w:r w:rsidR="00FA1289">
        <w:t>u</w:t>
      </w:r>
      <w:r w:rsidR="00FA1289">
        <w:t xml:space="preserve">vent être résumés comme suit : </w:t>
      </w:r>
    </w:p>
    <w:p w:rsidR="00652032" w:rsidRDefault="00530D64" w:rsidP="00417125">
      <w:pPr>
        <w:pStyle w:val="Pucepournumration"/>
      </w:pPr>
      <w:r w:rsidRPr="00417125">
        <w:t>L</w:t>
      </w:r>
      <w:r w:rsidR="00652032">
        <w:t>a conjugaison d’appui</w:t>
      </w:r>
      <w:r w:rsidR="00C9631E">
        <w:t>s</w:t>
      </w:r>
      <w:r w:rsidR="00652032">
        <w:t xml:space="preserve"> financier</w:t>
      </w:r>
      <w:r w:rsidR="00C9631E">
        <w:t>s</w:t>
      </w:r>
      <w:r w:rsidR="00652032">
        <w:t xml:space="preserve"> et non financier</w:t>
      </w:r>
      <w:r w:rsidR="00C9631E">
        <w:t xml:space="preserve">s aux communes </w:t>
      </w:r>
    </w:p>
    <w:p w:rsidR="00A945BC" w:rsidRPr="00417125" w:rsidRDefault="00652032" w:rsidP="00417125">
      <w:pPr>
        <w:pStyle w:val="Pucepournumration"/>
      </w:pPr>
      <w:r>
        <w:t>L</w:t>
      </w:r>
      <w:r w:rsidR="00530D64" w:rsidRPr="00417125">
        <w:t>e respect de l’autonomie communale et de sa maîtrise d’ouvrage</w:t>
      </w:r>
    </w:p>
    <w:p w:rsidR="00A945BC" w:rsidRPr="00417125" w:rsidRDefault="002278C3" w:rsidP="00417125">
      <w:pPr>
        <w:pStyle w:val="Pucepournumration"/>
      </w:pPr>
      <w:r>
        <w:t xml:space="preserve">La mise en place d’un outil financier, le FICA cohérent avec ce principe. </w:t>
      </w:r>
      <w:r w:rsidR="00E456AB">
        <w:t>En effet, le FICA</w:t>
      </w:r>
      <w:r>
        <w:t xml:space="preserve"> transite par le circuit de trésor public, est </w:t>
      </w:r>
      <w:r w:rsidR="00FA1289">
        <w:t xml:space="preserve">mis en œuvre par </w:t>
      </w:r>
      <w:r w:rsidR="00557B01">
        <w:t>cycle budgétaire</w:t>
      </w:r>
      <w:r w:rsidR="00FA1289">
        <w:t xml:space="preserve">s successifs, </w:t>
      </w:r>
      <w:r>
        <w:lastRenderedPageBreak/>
        <w:t xml:space="preserve">ses </w:t>
      </w:r>
      <w:r w:rsidR="00FA1289">
        <w:t xml:space="preserve">dotations </w:t>
      </w:r>
      <w:r>
        <w:t xml:space="preserve">sont </w:t>
      </w:r>
      <w:r w:rsidR="00FA1289">
        <w:t>cohérente</w:t>
      </w:r>
      <w:r w:rsidR="00E456AB">
        <w:t>s</w:t>
      </w:r>
      <w:r w:rsidR="00FA1289">
        <w:t xml:space="preserve"> avec les capacités initiales </w:t>
      </w:r>
      <w:r w:rsidR="00E456AB">
        <w:t>d</w:t>
      </w:r>
      <w:r w:rsidR="00FA1289">
        <w:t xml:space="preserve">es communes, </w:t>
      </w:r>
      <w:r w:rsidR="00E456AB">
        <w:t xml:space="preserve">et </w:t>
      </w:r>
      <w:r w:rsidR="00FA1289">
        <w:t xml:space="preserve">une </w:t>
      </w:r>
      <w:r w:rsidR="00557B01">
        <w:t>large de gamme d</w:t>
      </w:r>
      <w:r w:rsidR="00652032">
        <w:t>e projets</w:t>
      </w:r>
      <w:r w:rsidR="00E456AB">
        <w:t xml:space="preserve"> est</w:t>
      </w:r>
      <w:r w:rsidR="00652032">
        <w:t xml:space="preserve"> </w:t>
      </w:r>
      <w:r w:rsidR="00557B01">
        <w:t>éligibles</w:t>
      </w:r>
      <w:r w:rsidR="00FA1289">
        <w:t xml:space="preserve"> pour respecter leur lib</w:t>
      </w:r>
      <w:r w:rsidR="00652032">
        <w:t>erté de choix</w:t>
      </w:r>
    </w:p>
    <w:p w:rsidR="00A945BC" w:rsidRPr="00417125" w:rsidRDefault="00530D64" w:rsidP="00417125">
      <w:pPr>
        <w:pStyle w:val="Pucepournumration"/>
      </w:pPr>
      <w:r w:rsidRPr="00417125">
        <w:t>La priorité donnée au renforcement de capacité</w:t>
      </w:r>
      <w:r w:rsidR="00557B01">
        <w:t xml:space="preserve"> visant d’abord l</w:t>
      </w:r>
      <w:r w:rsidR="00652032">
        <w:t>a</w:t>
      </w:r>
      <w:r w:rsidR="00557B01">
        <w:t xml:space="preserve"> commune </w:t>
      </w:r>
      <w:r w:rsidR="00652032">
        <w:t xml:space="preserve">(sa gestion, ses capacités de planification, de programmation et </w:t>
      </w:r>
      <w:r w:rsidR="00E456AB">
        <w:t xml:space="preserve">de </w:t>
      </w:r>
      <w:r w:rsidR="00652032">
        <w:t xml:space="preserve">maîtrise d’ouvrage), mais </w:t>
      </w:r>
      <w:r w:rsidR="00C9631E">
        <w:t>étendu ég</w:t>
      </w:r>
      <w:r w:rsidR="00C9631E">
        <w:t>a</w:t>
      </w:r>
      <w:r w:rsidR="00C9631E">
        <w:t xml:space="preserve">lement à </w:t>
      </w:r>
      <w:r w:rsidR="00652032">
        <w:t>ses partenaires, services déconcentrés et organisation</w:t>
      </w:r>
      <w:r w:rsidR="00E456AB">
        <w:t>s</w:t>
      </w:r>
      <w:r w:rsidR="00652032">
        <w:t xml:space="preserve"> de la </w:t>
      </w:r>
      <w:r w:rsidR="00557B01">
        <w:t>société civile</w:t>
      </w:r>
    </w:p>
    <w:p w:rsidR="00A945BC" w:rsidRDefault="00557B01" w:rsidP="00417125">
      <w:pPr>
        <w:pStyle w:val="Pucepournumration"/>
      </w:pPr>
      <w:r>
        <w:t xml:space="preserve">Une attention </w:t>
      </w:r>
      <w:r w:rsidR="00530D64" w:rsidRPr="00417125">
        <w:t xml:space="preserve">marquée à </w:t>
      </w:r>
      <w:r w:rsidR="00652032">
        <w:t xml:space="preserve">la participation de </w:t>
      </w:r>
      <w:r w:rsidR="00E456AB">
        <w:t>la société civile</w:t>
      </w:r>
      <w:r w:rsidR="00652032">
        <w:t xml:space="preserve"> </w:t>
      </w:r>
      <w:r w:rsidR="00E456AB">
        <w:t xml:space="preserve">dans </w:t>
      </w:r>
      <w:r w:rsidR="00652032">
        <w:t>la définition et la mise en œuvre de la politique de développement communal.</w:t>
      </w:r>
    </w:p>
    <w:p w:rsidR="00B620F2" w:rsidRDefault="00B620F2" w:rsidP="00417125">
      <w:pPr>
        <w:pStyle w:val="Pucepournumration"/>
      </w:pPr>
      <w:r>
        <w:t>Une approche fondé</w:t>
      </w:r>
      <w:r w:rsidR="00E456AB">
        <w:t>e</w:t>
      </w:r>
      <w:r>
        <w:t xml:space="preserve"> sur le faire</w:t>
      </w:r>
      <w:r w:rsidR="00E456AB">
        <w:t xml:space="preserve"> f</w:t>
      </w:r>
      <w:r>
        <w:t>aire et la responsabilisation des acteurs locaux nota</w:t>
      </w:r>
      <w:r>
        <w:t>m</w:t>
      </w:r>
      <w:r>
        <w:t>ment des services de l’Etat</w:t>
      </w:r>
    </w:p>
    <w:p w:rsidR="003C644E" w:rsidRPr="00417125" w:rsidRDefault="00B544DA" w:rsidP="00417125">
      <w:pPr>
        <w:pStyle w:val="Pucepournumration"/>
      </w:pPr>
      <w:r>
        <w:t>L</w:t>
      </w:r>
      <w:r w:rsidR="003C644E">
        <w:t xml:space="preserve">’expérimentation </w:t>
      </w:r>
      <w:r w:rsidR="003D3E32">
        <w:t xml:space="preserve">de </w:t>
      </w:r>
      <w:r w:rsidR="00652032">
        <w:t>méthodes</w:t>
      </w:r>
      <w:r w:rsidR="003D3E32">
        <w:t xml:space="preserve"> (système de bonification des performances des communes prévu dans le cadre du FICA)</w:t>
      </w:r>
      <w:r w:rsidR="00E456AB">
        <w:t>,</w:t>
      </w:r>
      <w:r w:rsidR="00652032">
        <w:t xml:space="preserve"> de montages institutionnels</w:t>
      </w:r>
      <w:r w:rsidR="00B620F2">
        <w:t xml:space="preserve"> (la création des C</w:t>
      </w:r>
      <w:r w:rsidR="003D3E32">
        <w:t>AD et des CAEP pour la mise en œuvre de ce même du FICA</w:t>
      </w:r>
      <w:r w:rsidR="003D3E32">
        <w:rPr>
          <w:rStyle w:val="Appelnotedebasdep"/>
        </w:rPr>
        <w:footnoteReference w:id="3"/>
      </w:r>
      <w:r w:rsidR="003D3E32">
        <w:t xml:space="preserve">) </w:t>
      </w:r>
      <w:r w:rsidR="00652032">
        <w:t xml:space="preserve">et d’outils </w:t>
      </w:r>
      <w:r>
        <w:t xml:space="preserve">innovants </w:t>
      </w:r>
      <w:r w:rsidR="003D3E32">
        <w:t>(les PDC</w:t>
      </w:r>
      <w:r w:rsidR="00E456AB">
        <w:t>,</w:t>
      </w:r>
      <w:r w:rsidR="003D3E32">
        <w:t xml:space="preserve"> le SAFIC) </w:t>
      </w:r>
      <w:r w:rsidR="00652032">
        <w:t xml:space="preserve">sur un territoire suffisamment vaste pour en tester la pertinence et la </w:t>
      </w:r>
      <w:r>
        <w:t>faisabilité avant d’en prop</w:t>
      </w:r>
      <w:r w:rsidR="00C9631E">
        <w:t>o</w:t>
      </w:r>
      <w:r>
        <w:t>ser éventuellement la reproduction.</w:t>
      </w:r>
    </w:p>
    <w:p w:rsidR="007C36CB" w:rsidRDefault="007C36CB" w:rsidP="0073725A">
      <w:pPr>
        <w:pStyle w:val="Titre3"/>
      </w:pPr>
      <w:r>
        <w:t xml:space="preserve">Des incohérences et des imprécisions dans </w:t>
      </w:r>
      <w:r w:rsidR="00C358AB">
        <w:t>une</w:t>
      </w:r>
      <w:r>
        <w:t xml:space="preserve"> conception initiale </w:t>
      </w:r>
      <w:r w:rsidR="00C358AB">
        <w:t>non finalisée</w:t>
      </w:r>
    </w:p>
    <w:p w:rsidR="0073725A" w:rsidRDefault="0073725A" w:rsidP="00F0502C">
      <w:pPr>
        <w:pStyle w:val="Titre4"/>
      </w:pPr>
      <w:r>
        <w:t>Un Prodoc</w:t>
      </w:r>
      <w:r w:rsidR="008A5AA5">
        <w:rPr>
          <w:rStyle w:val="Appelnotedebasdep"/>
        </w:rPr>
        <w:footnoteReference w:id="4"/>
      </w:r>
      <w:r>
        <w:t xml:space="preserve"> hésitant entre plusieurs logiques d’intervention</w:t>
      </w:r>
    </w:p>
    <w:p w:rsidR="000B057F" w:rsidRDefault="00B544DA" w:rsidP="00417125">
      <w:r>
        <w:t>Cet objectif et ces principes n’apparaissent pas clairement dans le Prodoc du projet probabl</w:t>
      </w:r>
      <w:r>
        <w:t>e</w:t>
      </w:r>
      <w:r>
        <w:t>ment élaboré en 2003 2004</w:t>
      </w:r>
      <w:r w:rsidR="001F4179">
        <w:t xml:space="preserve">. La formulation de l’objectif immédiat </w:t>
      </w:r>
      <w:r w:rsidR="000B057F">
        <w:t xml:space="preserve">du projet </w:t>
      </w:r>
      <w:r w:rsidR="001F4179">
        <w:t xml:space="preserve">change d’une page à l’autre. </w:t>
      </w:r>
      <w:r w:rsidR="000B057F">
        <w:t xml:space="preserve">Son </w:t>
      </w:r>
      <w:r w:rsidR="001F4179">
        <w:t>fil directeur semble hésit</w:t>
      </w:r>
      <w:r w:rsidR="000B057F">
        <w:t>er</w:t>
      </w:r>
      <w:r w:rsidR="001F4179">
        <w:t xml:space="preserve"> entre </w:t>
      </w:r>
      <w:r w:rsidR="00C9631E">
        <w:t>« </w:t>
      </w:r>
      <w:r w:rsidR="000B057F">
        <w:t>l</w:t>
      </w:r>
      <w:r w:rsidR="0073725A">
        <w:t>utte contre la pauvreté</w:t>
      </w:r>
      <w:r w:rsidR="00C9631E">
        <w:t> »</w:t>
      </w:r>
      <w:r w:rsidR="0073725A">
        <w:t xml:space="preserve">, </w:t>
      </w:r>
      <w:r w:rsidR="00C9631E">
        <w:t>« </w:t>
      </w:r>
      <w:r w:rsidR="0073725A">
        <w:t>développ</w:t>
      </w:r>
      <w:r w:rsidR="0073725A">
        <w:t>e</w:t>
      </w:r>
      <w:r w:rsidR="0073725A">
        <w:t xml:space="preserve">ment </w:t>
      </w:r>
      <w:r w:rsidR="006267C6">
        <w:t xml:space="preserve">économique </w:t>
      </w:r>
      <w:r w:rsidR="0073725A">
        <w:t>local</w:t>
      </w:r>
      <w:r w:rsidR="00C9631E">
        <w:t> »</w:t>
      </w:r>
      <w:r w:rsidR="0073725A">
        <w:t xml:space="preserve">, </w:t>
      </w:r>
      <w:r w:rsidR="00C9631E">
        <w:t>« </w:t>
      </w:r>
      <w:r w:rsidR="0073725A">
        <w:t>appui à la gouvernance communal</w:t>
      </w:r>
      <w:r w:rsidR="00E456AB">
        <w:t>e</w:t>
      </w:r>
      <w:r w:rsidR="00C9631E">
        <w:t> »</w:t>
      </w:r>
      <w:r w:rsidR="000B057F">
        <w:t>. Ce</w:t>
      </w:r>
      <w:r w:rsidR="006267C6">
        <w:t xml:space="preserve">tte hésitation </w:t>
      </w:r>
      <w:r w:rsidR="00E456AB">
        <w:t xml:space="preserve">engendre </w:t>
      </w:r>
      <w:r w:rsidR="006267C6">
        <w:t xml:space="preserve">une certaine incohérence </w:t>
      </w:r>
      <w:r w:rsidR="000B057F">
        <w:t>dans les indicateurs de son cadre logique, les études préalables qu’il prévoit, le choix des compétences qu’il entend mobiliser. L’ensemble apparaît à ce stade assez mal structuré et peu opérationnel.</w:t>
      </w:r>
    </w:p>
    <w:p w:rsidR="000B057F" w:rsidRDefault="000B057F" w:rsidP="00417125">
      <w:r>
        <w:t xml:space="preserve">Ces défauts ne sont </w:t>
      </w:r>
      <w:r w:rsidR="006267C6">
        <w:t>ni rédhibitoires ni propre</w:t>
      </w:r>
      <w:r w:rsidR="00B2328E">
        <w:t>s</w:t>
      </w:r>
      <w:r w:rsidR="006267C6">
        <w:t xml:space="preserve"> </w:t>
      </w:r>
      <w:r>
        <w:t xml:space="preserve">au </w:t>
      </w:r>
      <w:r w:rsidR="000E0340">
        <w:t>P</w:t>
      </w:r>
      <w:r>
        <w:t>rodoc du PACA</w:t>
      </w:r>
      <w:r w:rsidR="006267C6">
        <w:t xml:space="preserve">. </w:t>
      </w:r>
      <w:r>
        <w:t>Les documents projets vise</w:t>
      </w:r>
      <w:r w:rsidR="000E0340">
        <w:t>nt</w:t>
      </w:r>
      <w:r>
        <w:t xml:space="preserve"> </w:t>
      </w:r>
      <w:r w:rsidR="000E0340">
        <w:t>d’abord à</w:t>
      </w:r>
      <w:r>
        <w:t xml:space="preserve"> </w:t>
      </w:r>
      <w:r w:rsidR="000E0340">
        <w:t>obtenir l’aval de décideurs éloignés du terrain, souvent plus attentifs à l’inscription des projets dans les priorités politiques de leur institution qu’à leur faisabilité opérationnelle. Ils traduisent souvent des compromis entre bailleurs</w:t>
      </w:r>
      <w:r w:rsidR="0061136D">
        <w:t xml:space="preserve"> qui sont </w:t>
      </w:r>
      <w:r w:rsidR="000E0340">
        <w:t>pa</w:t>
      </w:r>
      <w:r w:rsidR="004D6652">
        <w:t>rfois difficil</w:t>
      </w:r>
      <w:r w:rsidR="004D6652">
        <w:t>e</w:t>
      </w:r>
      <w:r w:rsidR="004D6652">
        <w:t>ment compatibles avec la coh</w:t>
      </w:r>
      <w:r w:rsidR="000E0340">
        <w:t>érence</w:t>
      </w:r>
      <w:r w:rsidR="004D6652">
        <w:t xml:space="preserve"> de l’action.</w:t>
      </w:r>
      <w:r w:rsidR="000E0340">
        <w:t xml:space="preserve"> </w:t>
      </w:r>
      <w:r w:rsidR="004D6652">
        <w:t xml:space="preserve">La mise au point de la stratégie opérationnelle des projets est donc souvent renvoyée aux premiers mois de leur mise en œuvre. </w:t>
      </w:r>
      <w:r w:rsidR="0061136D">
        <w:t xml:space="preserve">Mais elle ne peut aboutir que si les moyens prévus par le </w:t>
      </w:r>
      <w:r w:rsidR="00E456AB">
        <w:t>P</w:t>
      </w:r>
      <w:r w:rsidR="0061136D">
        <w:t>rodoc sont compatibles avec les ambitions aff</w:t>
      </w:r>
      <w:r w:rsidR="0061136D">
        <w:t>i</w:t>
      </w:r>
      <w:r w:rsidR="0061136D">
        <w:t>chées.</w:t>
      </w:r>
    </w:p>
    <w:p w:rsidR="006267C6" w:rsidRDefault="00326F3A" w:rsidP="00F0502C">
      <w:pPr>
        <w:pStyle w:val="Titre4"/>
      </w:pPr>
      <w:r>
        <w:t>Les</w:t>
      </w:r>
      <w:r w:rsidR="0073725A">
        <w:t xml:space="preserve"> moyens p</w:t>
      </w:r>
      <w:r>
        <w:t xml:space="preserve">révus par le </w:t>
      </w:r>
      <w:r w:rsidR="00E456AB">
        <w:t>P</w:t>
      </w:r>
      <w:r>
        <w:t>rodoc ne correspondent pas aux ambitions initiales du projet.</w:t>
      </w:r>
    </w:p>
    <w:p w:rsidR="004D6652" w:rsidRPr="004D6652" w:rsidRDefault="004D6652" w:rsidP="006267C6">
      <w:r>
        <w:t xml:space="preserve">Ce n’est </w:t>
      </w:r>
      <w:r w:rsidR="0061136D">
        <w:t>pas vrai</w:t>
      </w:r>
      <w:r>
        <w:t>m</w:t>
      </w:r>
      <w:r w:rsidR="0061136D">
        <w:t xml:space="preserve">ent le </w:t>
      </w:r>
      <w:r>
        <w:t>cas du PACA</w:t>
      </w:r>
      <w:r w:rsidR="0061136D">
        <w:t xml:space="preserve"> prévu sur une durée trop courte et </w:t>
      </w:r>
      <w:r w:rsidR="00E456AB">
        <w:t xml:space="preserve">avec </w:t>
      </w:r>
      <w:r w:rsidR="0061136D">
        <w:t>des ressources humaines trop limitées et mal adaptées à sa mission</w:t>
      </w:r>
      <w:r w:rsidR="00E456AB">
        <w:t>.</w:t>
      </w:r>
    </w:p>
    <w:p w:rsidR="00326F3A" w:rsidRDefault="00E456AB" w:rsidP="0061136D">
      <w:r>
        <w:lastRenderedPageBreak/>
        <w:t>Ainsi, l</w:t>
      </w:r>
      <w:r w:rsidR="004D6652">
        <w:t>e projet entend contribuer au financement des communes au cours de trois exercices budg</w:t>
      </w:r>
      <w:r w:rsidR="00326F3A">
        <w:t>é</w:t>
      </w:r>
      <w:r w:rsidR="004D6652">
        <w:t xml:space="preserve">taires, après </w:t>
      </w:r>
      <w:r w:rsidR="00326F3A">
        <w:t>avoir accompagné un processus de planification participatif, formé et mis en place les instances nécessaires au fonctionnement de son instrument de financement. Pou</w:t>
      </w:r>
      <w:r w:rsidR="00326F3A">
        <w:t>r</w:t>
      </w:r>
      <w:r w:rsidR="00326F3A">
        <w:t xml:space="preserve">tant, </w:t>
      </w:r>
      <w:r w:rsidR="008A4543">
        <w:t>l</w:t>
      </w:r>
      <w:r w:rsidR="00326F3A">
        <w:t xml:space="preserve">a durée initiale de mise en œuvre </w:t>
      </w:r>
      <w:r w:rsidR="008A4543">
        <w:t xml:space="preserve">du PACA </w:t>
      </w:r>
      <w:r w:rsidR="00326F3A">
        <w:t>est limitée à trois années.</w:t>
      </w:r>
    </w:p>
    <w:p w:rsidR="00F0502C" w:rsidRDefault="00E456AB" w:rsidP="0061136D">
      <w:r>
        <w:t>De plus, le</w:t>
      </w:r>
      <w:r w:rsidR="008A4543">
        <w:t xml:space="preserve"> projet doit contribuer au renforcement de capacités des acteurs locaux et veiller à la bonne fin des investissements qu’il </w:t>
      </w:r>
      <w:r w:rsidR="004269DB">
        <w:t xml:space="preserve">cofinance. Pourtant, </w:t>
      </w:r>
      <w:r w:rsidR="008A4543">
        <w:t>le Prodoc ne prévoit pas explicit</w:t>
      </w:r>
      <w:r w:rsidR="004269DB">
        <w:t xml:space="preserve">ement </w:t>
      </w:r>
      <w:r w:rsidR="008A4543">
        <w:t>la mise en place d’</w:t>
      </w:r>
      <w:r w:rsidR="00F0502C">
        <w:t>appui</w:t>
      </w:r>
      <w:r w:rsidR="008A4543">
        <w:t>s</w:t>
      </w:r>
      <w:r w:rsidR="00F0502C">
        <w:t xml:space="preserve"> à </w:t>
      </w:r>
      <w:r>
        <w:t xml:space="preserve">la </w:t>
      </w:r>
      <w:r w:rsidR="00F0502C">
        <w:t xml:space="preserve">maîtrise d’ouvrage </w:t>
      </w:r>
      <w:r w:rsidR="004269DB">
        <w:t xml:space="preserve">ou </w:t>
      </w:r>
      <w:r w:rsidR="008A4543">
        <w:t>d’</w:t>
      </w:r>
      <w:r w:rsidR="00F0502C">
        <w:t>appui</w:t>
      </w:r>
      <w:r w:rsidR="004269DB">
        <w:t>s</w:t>
      </w:r>
      <w:r w:rsidR="00F0502C">
        <w:t xml:space="preserve"> de proximité</w:t>
      </w:r>
      <w:r w:rsidR="008A4543">
        <w:t>s</w:t>
      </w:r>
      <w:r w:rsidR="00F0502C">
        <w:t xml:space="preserve"> aux </w:t>
      </w:r>
      <w:r w:rsidR="008A4543">
        <w:t>acteurs l</w:t>
      </w:r>
      <w:r w:rsidR="008A4543">
        <w:t>o</w:t>
      </w:r>
      <w:r w:rsidR="008A4543">
        <w:t xml:space="preserve">caux, </w:t>
      </w:r>
      <w:r>
        <w:t>ne dotant pas</w:t>
      </w:r>
      <w:r w:rsidR="008A4543">
        <w:t xml:space="preserve"> l’équipe </w:t>
      </w:r>
      <w:r w:rsidR="004269DB">
        <w:t>des ressources nécessaires</w:t>
      </w:r>
      <w:r>
        <w:t>, et ne</w:t>
      </w:r>
      <w:r w:rsidR="004269DB">
        <w:t xml:space="preserve"> prévoyant </w:t>
      </w:r>
      <w:r>
        <w:t xml:space="preserve">pas </w:t>
      </w:r>
      <w:r w:rsidR="004269DB">
        <w:t>le recours à des prestataires externes.</w:t>
      </w:r>
    </w:p>
    <w:p w:rsidR="00883341" w:rsidRDefault="00C358AB" w:rsidP="00264173">
      <w:pPr>
        <w:pStyle w:val="Titre4"/>
      </w:pPr>
      <w:r>
        <w:t xml:space="preserve">Une conception </w:t>
      </w:r>
      <w:r w:rsidR="00883341">
        <w:t xml:space="preserve">non finalisée </w:t>
      </w:r>
    </w:p>
    <w:p w:rsidR="00AC1DD2" w:rsidRDefault="00883341" w:rsidP="00417125">
      <w:r>
        <w:t xml:space="preserve">Le Prodoc renvoie </w:t>
      </w:r>
      <w:r w:rsidR="00E456AB">
        <w:t xml:space="preserve">l’élaboration d’un manuel de procédure et d’une stratégie de formation </w:t>
      </w:r>
      <w:r>
        <w:t>aux premiers mois du projet</w:t>
      </w:r>
      <w:r w:rsidR="0061136D">
        <w:t xml:space="preserve">. </w:t>
      </w:r>
      <w:r w:rsidR="00AC1DD2">
        <w:t xml:space="preserve">Il prévoie de recourir à l’outil M.I.S mis au point par le FENU pour la mise en place d’un système de suivi simple et performant. </w:t>
      </w:r>
    </w:p>
    <w:p w:rsidR="009C466F" w:rsidRDefault="00AC1DD2" w:rsidP="00417125">
      <w:r>
        <w:t>Ni ce manuel</w:t>
      </w:r>
      <w:r w:rsidR="009C466F">
        <w:t xml:space="preserve">, dont la nécessité est soulignée par les premiers rapports de supervision, </w:t>
      </w:r>
      <w:r>
        <w:t xml:space="preserve">ni cette stratégie n’ont été </w:t>
      </w:r>
      <w:r w:rsidR="009C466F">
        <w:t>finalisé</w:t>
      </w:r>
      <w:r w:rsidR="00E456AB">
        <w:t>s</w:t>
      </w:r>
      <w:r>
        <w:t>. L’outil MIS n’a pas été opérationnel</w:t>
      </w:r>
      <w:r w:rsidR="009C466F">
        <w:t>. Aucun outil de suivi simple n’a été mis en place pour palier à cette défaillance.</w:t>
      </w:r>
    </w:p>
    <w:p w:rsidR="008A5AA5" w:rsidRDefault="009C466F" w:rsidP="00417125">
      <w:r>
        <w:t>L’absence d’un manuel de procédure a probablement été la plus pénalisante. Les documents qui auraient pu y pallier, le code de financement, la convention signée et entre le PNUD/FENU et le gouvernement mauritanien, la convention signée entre le projet PACA et les communes sont insuffisamment détaillés ou difficilement applicables</w:t>
      </w:r>
      <w:r w:rsidR="008A5AA5">
        <w:t xml:space="preserve"> et </w:t>
      </w:r>
      <w:r w:rsidR="00E456AB">
        <w:t xml:space="preserve">parfois </w:t>
      </w:r>
      <w:r w:rsidR="008A5AA5">
        <w:t>contradi</w:t>
      </w:r>
      <w:r w:rsidR="008A5AA5">
        <w:t>c</w:t>
      </w:r>
      <w:r w:rsidR="008A5AA5">
        <w:t>toires entre eux.</w:t>
      </w:r>
    </w:p>
    <w:p w:rsidR="00466204" w:rsidRDefault="008A5AA5" w:rsidP="00417125">
      <w:r>
        <w:t>Ces contradictions dénotent, semble-t-il, de deux conceptions différentes du mécanisme fina</w:t>
      </w:r>
      <w:r>
        <w:t>n</w:t>
      </w:r>
      <w:r>
        <w:t>cier du FICA</w:t>
      </w:r>
      <w:r w:rsidR="00AA02CC">
        <w:t>. Il s’oriente</w:t>
      </w:r>
      <w:r w:rsidR="00466204">
        <w:t> :</w:t>
      </w:r>
    </w:p>
    <w:p w:rsidR="00466204" w:rsidRDefault="008A5AA5" w:rsidP="00466204">
      <w:pPr>
        <w:pStyle w:val="Tirets"/>
      </w:pPr>
      <w:r>
        <w:t>soit</w:t>
      </w:r>
      <w:r w:rsidR="00E456AB">
        <w:t xml:space="preserve"> vers</w:t>
      </w:r>
      <w:r>
        <w:t xml:space="preserve"> un système de subvention annuelle</w:t>
      </w:r>
      <w:r w:rsidR="00466204">
        <w:t xml:space="preserve"> dont le montant </w:t>
      </w:r>
      <w:r w:rsidR="003229FF">
        <w:t>est fixé a priori en fonction des caractéristiques de la commune puis varie</w:t>
      </w:r>
      <w:r w:rsidR="00466204">
        <w:t xml:space="preserve"> d’une année sur l’autre, </w:t>
      </w:r>
      <w:r>
        <w:t xml:space="preserve">en fonction de l’évaluation </w:t>
      </w:r>
      <w:r w:rsidR="00466204">
        <w:t xml:space="preserve">de leur bonne utilisation par les communes, </w:t>
      </w:r>
    </w:p>
    <w:p w:rsidR="00466204" w:rsidRDefault="00466204" w:rsidP="00466204">
      <w:pPr>
        <w:pStyle w:val="Tirets"/>
      </w:pPr>
      <w:r>
        <w:t xml:space="preserve">soit </w:t>
      </w:r>
      <w:r w:rsidR="00AA02CC">
        <w:t xml:space="preserve">vers </w:t>
      </w:r>
      <w:r>
        <w:t>un système plus classique de financement par projet</w:t>
      </w:r>
      <w:r w:rsidR="003229FF">
        <w:t xml:space="preserve"> qui fixe un droit à tirage par commune et prévoit une validation de</w:t>
      </w:r>
      <w:r>
        <w:t xml:space="preserve"> document</w:t>
      </w:r>
      <w:r w:rsidR="003229FF">
        <w:t>s</w:t>
      </w:r>
      <w:r>
        <w:t xml:space="preserve"> d’avant projet</w:t>
      </w:r>
      <w:r w:rsidR="00AD2759">
        <w:t xml:space="preserve"> avant </w:t>
      </w:r>
      <w:r w:rsidR="003229FF">
        <w:t>l’</w:t>
      </w:r>
      <w:r w:rsidR="00AD2759">
        <w:t xml:space="preserve">inscription </w:t>
      </w:r>
      <w:r w:rsidR="003229FF">
        <w:t xml:space="preserve">des subventions </w:t>
      </w:r>
      <w:r w:rsidR="00AD2759">
        <w:t>au budget des communes.</w:t>
      </w:r>
    </w:p>
    <w:p w:rsidR="00AD2759" w:rsidRDefault="00466204" w:rsidP="00466204">
      <w:r>
        <w:t xml:space="preserve">Ces deux types de mécanismes renvoient à des modalités d’engagement et de paiement </w:t>
      </w:r>
      <w:r w:rsidR="00AD2759">
        <w:t xml:space="preserve">et à des dispositifs de suivi différents. </w:t>
      </w:r>
      <w:r>
        <w:t xml:space="preserve">Ils exigent l’un et l’autre </w:t>
      </w:r>
      <w:r w:rsidR="00AD2759">
        <w:t>une évaluation technique et fina</w:t>
      </w:r>
      <w:r w:rsidR="00AD2759">
        <w:t>n</w:t>
      </w:r>
      <w:r w:rsidR="00AD2759">
        <w:t>cière ex post des réalisations. Au final faute</w:t>
      </w:r>
      <w:r w:rsidR="00712E30">
        <w:t>,</w:t>
      </w:r>
      <w:r w:rsidR="00AD2759">
        <w:t xml:space="preserve"> semble-t-il, d’avoir choisi</w:t>
      </w:r>
      <w:r w:rsidR="00AA02CC">
        <w:t xml:space="preserve"> entre</w:t>
      </w:r>
      <w:r w:rsidR="00AD2759">
        <w:t xml:space="preserve"> l’un</w:t>
      </w:r>
      <w:r w:rsidR="00AA02CC">
        <w:t>e</w:t>
      </w:r>
      <w:r w:rsidR="00AD2759">
        <w:t xml:space="preserve"> ou l’autre </w:t>
      </w:r>
      <w:r w:rsidR="00AA02CC">
        <w:t xml:space="preserve">des approches, </w:t>
      </w:r>
      <w:r w:rsidR="00AD2759">
        <w:t>les modalités d’engagement et de paiement</w:t>
      </w:r>
      <w:r w:rsidR="00AA02CC">
        <w:t>, et</w:t>
      </w:r>
      <w:r w:rsidR="003229FF">
        <w:t xml:space="preserve"> </w:t>
      </w:r>
      <w:r w:rsidR="00AD2759">
        <w:t xml:space="preserve">le système </w:t>
      </w:r>
      <w:r w:rsidR="00AA02CC">
        <w:t xml:space="preserve">de </w:t>
      </w:r>
      <w:r w:rsidR="003229FF">
        <w:t>validation des documents projets et de</w:t>
      </w:r>
      <w:r w:rsidR="00AD2759">
        <w:t xml:space="preserve"> suivi apparaissent confus</w:t>
      </w:r>
      <w:r w:rsidR="005F5BFB">
        <w:t>. Ils n’ont pas fait l’objet d’accords clairs entre les parties</w:t>
      </w:r>
      <w:r w:rsidR="00AD2759">
        <w:t xml:space="preserve"> et p</w:t>
      </w:r>
      <w:r w:rsidR="005F5BFB">
        <w:t xml:space="preserve">euvent </w:t>
      </w:r>
      <w:r w:rsidR="00AD2759">
        <w:t xml:space="preserve"> donner lieu à diverses interprétations. </w:t>
      </w:r>
      <w:r w:rsidR="003229FF">
        <w:t>Enfin a</w:t>
      </w:r>
      <w:r w:rsidR="00AD2759">
        <w:t>ucune modalité d’</w:t>
      </w:r>
      <w:r w:rsidR="001F65A4">
        <w:t>évaluation ex</w:t>
      </w:r>
      <w:r w:rsidR="005F5BFB">
        <w:t>-</w:t>
      </w:r>
      <w:r w:rsidR="001F65A4">
        <w:t xml:space="preserve">post des projets financés par le </w:t>
      </w:r>
      <w:r w:rsidR="00AA02CC">
        <w:t xml:space="preserve">FICA </w:t>
      </w:r>
      <w:r w:rsidR="001F65A4">
        <w:t>n’a été définie</w:t>
      </w:r>
      <w:r w:rsidR="005F5BFB">
        <w:t xml:space="preserve">, ni a fortiori </w:t>
      </w:r>
      <w:r w:rsidR="003229FF">
        <w:t xml:space="preserve">mise en </w:t>
      </w:r>
      <w:r w:rsidR="00AA02CC">
        <w:t>œuvre</w:t>
      </w:r>
      <w:r w:rsidR="001F65A4">
        <w:t>.</w:t>
      </w:r>
    </w:p>
    <w:p w:rsidR="007C36CB" w:rsidRDefault="003229FF" w:rsidP="00264173">
      <w:pPr>
        <w:pStyle w:val="Titre3"/>
      </w:pPr>
      <w:r>
        <w:t>Un contexte</w:t>
      </w:r>
      <w:r w:rsidR="007C36CB">
        <w:t xml:space="preserve"> difficile</w:t>
      </w:r>
    </w:p>
    <w:p w:rsidR="00264173" w:rsidRDefault="00264173" w:rsidP="00264173">
      <w:pPr>
        <w:pStyle w:val="Titre4"/>
      </w:pPr>
      <w:r>
        <w:t>Le contexte politique</w:t>
      </w:r>
    </w:p>
    <w:p w:rsidR="0034453B" w:rsidRDefault="001F65A4" w:rsidP="00264173">
      <w:r>
        <w:t>Depuis l’approbation du projet, en février 2005 le pays a connu deux coup</w:t>
      </w:r>
      <w:r w:rsidR="00AA02CC">
        <w:t>s</w:t>
      </w:r>
      <w:r>
        <w:t xml:space="preserve"> d’</w:t>
      </w:r>
      <w:r w:rsidR="00AA02CC">
        <w:t>E</w:t>
      </w:r>
      <w:r>
        <w:t>tat en ao</w:t>
      </w:r>
      <w:r w:rsidR="00AA02CC">
        <w:t>û</w:t>
      </w:r>
      <w:r>
        <w:t>t 2005 et ao</w:t>
      </w:r>
      <w:r w:rsidR="00AA02CC">
        <w:t>û</w:t>
      </w:r>
      <w:r>
        <w:t>t 2008 suivis chacun d’une élection présidentielle. Les périodes de transitions qui se sont ainsi succédé</w:t>
      </w:r>
      <w:r w:rsidR="002B38A2">
        <w:t>es</w:t>
      </w:r>
      <w:r>
        <w:t xml:space="preserve"> ont accru l’instabilité </w:t>
      </w:r>
      <w:r w:rsidR="002B38A2">
        <w:t>de</w:t>
      </w:r>
      <w:r w:rsidR="0034453B">
        <w:t xml:space="preserve"> l’administration (</w:t>
      </w:r>
      <w:r w:rsidR="002B38A2">
        <w:t xml:space="preserve">Les interlocuteurs du PACA </w:t>
      </w:r>
      <w:r w:rsidR="002B38A2">
        <w:lastRenderedPageBreak/>
        <w:t>ont changé plusieurs fois tant à Nouakchott qu’à Kiffa</w:t>
      </w:r>
      <w:r w:rsidR="0034453B">
        <w:t>)</w:t>
      </w:r>
      <w:r w:rsidR="002B38A2">
        <w:t xml:space="preserve">. Elles </w:t>
      </w:r>
      <w:r w:rsidR="0034453B">
        <w:t>n’</w:t>
      </w:r>
      <w:r w:rsidR="002B38A2">
        <w:t xml:space="preserve">ont </w:t>
      </w:r>
      <w:r w:rsidR="0034453B">
        <w:t xml:space="preserve">pas </w:t>
      </w:r>
      <w:r w:rsidR="002B38A2">
        <w:t>favorisé la continuité et la lisibilité de la politique nationale de décentralisation.</w:t>
      </w:r>
      <w:r w:rsidR="0034453B">
        <w:t xml:space="preserve"> Elles ont enfin contribué à aggraver la situation budgétaire du </w:t>
      </w:r>
      <w:r w:rsidR="00AA02CC">
        <w:t>p</w:t>
      </w:r>
      <w:r w:rsidR="0034453B">
        <w:t>ays, ne facilitant</w:t>
      </w:r>
      <w:r w:rsidR="00AA02CC">
        <w:t xml:space="preserve"> pas</w:t>
      </w:r>
      <w:r w:rsidR="0034453B">
        <w:t xml:space="preserve"> le respect de ses engagements financiers mêmes minimes</w:t>
      </w:r>
      <w:r w:rsidR="00AA02CC">
        <w:t>,</w:t>
      </w:r>
      <w:r w:rsidR="0034453B">
        <w:t xml:space="preserve"> tel que le versement de la contrepartie de l’Etat au FICA (300.000 UM)</w:t>
      </w:r>
    </w:p>
    <w:p w:rsidR="002B38A2" w:rsidRDefault="002B38A2" w:rsidP="00264173">
      <w:r>
        <w:t>La mise en œuvre du PACA a par ailleurs été marquée par les élections municipales de 2006. La période pré</w:t>
      </w:r>
      <w:r w:rsidR="00AA02CC">
        <w:t>-</w:t>
      </w:r>
      <w:r>
        <w:t>électorale qui a précédé n’était guère propice à la mise en place de la première tranche du FICA et à l’utilisation rigoureuse de ses subventions.</w:t>
      </w:r>
    </w:p>
    <w:p w:rsidR="00264173" w:rsidRDefault="00264173" w:rsidP="00264173">
      <w:pPr>
        <w:pStyle w:val="Titre4"/>
      </w:pPr>
      <w:r>
        <w:t xml:space="preserve">La faiblesse </w:t>
      </w:r>
      <w:r w:rsidR="002B38A2">
        <w:t xml:space="preserve">des </w:t>
      </w:r>
      <w:r>
        <w:t>acteurs</w:t>
      </w:r>
    </w:p>
    <w:p w:rsidR="009E6CEC" w:rsidRDefault="00770FA3" w:rsidP="002B38A2">
      <w:r>
        <w:t>Bien que le processus de décentralisation ait été amorcé dès les années 86</w:t>
      </w:r>
      <w:r w:rsidR="00AA02CC">
        <w:t>/</w:t>
      </w:r>
      <w:r>
        <w:t>88, les communes mauritan</w:t>
      </w:r>
      <w:r w:rsidR="001C4F49">
        <w:t>iennes ne deviennent réellement autonome qu’au début des années 2000 avec</w:t>
      </w:r>
      <w:r w:rsidR="009E6CEC">
        <w:t>,</w:t>
      </w:r>
      <w:r w:rsidR="001C4F49">
        <w:t xml:space="preserve"> n</w:t>
      </w:r>
      <w:r w:rsidR="001C4F49">
        <w:t>o</w:t>
      </w:r>
      <w:r w:rsidR="001C4F49">
        <w:t>tamment</w:t>
      </w:r>
      <w:r w:rsidR="009E6CEC">
        <w:t>,</w:t>
      </w:r>
      <w:r w:rsidR="001C4F49">
        <w:t xml:space="preserve"> </w:t>
      </w:r>
      <w:r w:rsidR="009E6CEC">
        <w:t>en 2002 la transformation du Fonds Régional de Développement en dotation glob</w:t>
      </w:r>
      <w:r w:rsidR="009E6CEC">
        <w:t>a</w:t>
      </w:r>
      <w:r w:rsidR="009E6CEC">
        <w:t>lisé au communes. Les communes rurales auxquelles s’adresse le PACA en 2005 sont donc encore des institutions très faibles, dotées de peu de moyens.</w:t>
      </w:r>
    </w:p>
    <w:p w:rsidR="009E6CEC" w:rsidRDefault="009E6CEC" w:rsidP="002B38A2">
      <w:r>
        <w:t>Les services déconcentrés de l’Etat chargés d’en assurer la tutelle ou de leur apport</w:t>
      </w:r>
      <w:r w:rsidR="00AA02CC">
        <w:t>er</w:t>
      </w:r>
      <w:r>
        <w:t xml:space="preserve"> un appui disposent également de ressources très limitées. Leur efficacité est très inégale.</w:t>
      </w:r>
      <w:r w:rsidR="000E1979">
        <w:t xml:space="preserve"> </w:t>
      </w:r>
      <w:r w:rsidR="000637C7">
        <w:t>Leur faiblesse fragilise l’approche du projet fondé sur le « faire faire » et</w:t>
      </w:r>
      <w:r w:rsidR="00AA02CC">
        <w:t xml:space="preserve"> la</w:t>
      </w:r>
      <w:r w:rsidR="000637C7">
        <w:t xml:space="preserve"> fonctionnalité minimale de ce</w:t>
      </w:r>
      <w:r w:rsidR="000637C7">
        <w:t>r</w:t>
      </w:r>
      <w:r w:rsidR="000637C7">
        <w:t xml:space="preserve">tains services, dont, notamment les perceptions du </w:t>
      </w:r>
      <w:r w:rsidR="00AA02CC">
        <w:t>T</w:t>
      </w:r>
      <w:r w:rsidR="000637C7">
        <w:t>résor au niveau des Moughataa.</w:t>
      </w:r>
    </w:p>
    <w:p w:rsidR="00264173" w:rsidRDefault="00264173" w:rsidP="00264173">
      <w:pPr>
        <w:pStyle w:val="Titre4"/>
      </w:pPr>
      <w:r>
        <w:t>L’étendu</w:t>
      </w:r>
      <w:r w:rsidR="00AA02CC">
        <w:t>e</w:t>
      </w:r>
      <w:r w:rsidR="009E6CEC">
        <w:t xml:space="preserve"> et </w:t>
      </w:r>
      <w:r>
        <w:t>l’enclavement de la zone</w:t>
      </w:r>
      <w:r w:rsidR="00770FA3">
        <w:t xml:space="preserve"> </w:t>
      </w:r>
    </w:p>
    <w:p w:rsidR="001F75D3" w:rsidRDefault="00AB18B7" w:rsidP="009E6CEC">
      <w:r>
        <w:t xml:space="preserve">Le PACA intervient sur les vingt et une communes des </w:t>
      </w:r>
      <w:r w:rsidR="00AA02CC">
        <w:t>M</w:t>
      </w:r>
      <w:r>
        <w:t xml:space="preserve">oughataa de Kiffa, Boumdeid, </w:t>
      </w:r>
      <w:r w:rsidR="00AA02CC">
        <w:t>Gu</w:t>
      </w:r>
      <w:r w:rsidR="00AA02CC">
        <w:t>e</w:t>
      </w:r>
      <w:r w:rsidR="00AA02CC">
        <w:t>rou</w:t>
      </w:r>
      <w:r>
        <w:t xml:space="preserve"> et </w:t>
      </w:r>
      <w:r w:rsidR="00AA02CC">
        <w:t>Barkeol</w:t>
      </w:r>
      <w:r>
        <w:t xml:space="preserve">, soit au total près de 180.000 habitants </w:t>
      </w:r>
      <w:r>
        <w:rPr>
          <w:rStyle w:val="Appelnotedebasdep"/>
        </w:rPr>
        <w:footnoteReference w:id="5"/>
      </w:r>
      <w:r>
        <w:t xml:space="preserve"> résidents dans plus 430 localités répa</w:t>
      </w:r>
      <w:r>
        <w:t>r</w:t>
      </w:r>
      <w:r>
        <w:t xml:space="preserve">ties sur plus environ 26.000 km². </w:t>
      </w:r>
      <w:r w:rsidR="003229FF">
        <w:t>H</w:t>
      </w:r>
      <w:r>
        <w:t xml:space="preserve">ors la ville de Kiffa, la densité de la zone est de </w:t>
      </w:r>
      <w:r w:rsidR="001F75D3">
        <w:t xml:space="preserve">5,6 </w:t>
      </w:r>
      <w:r w:rsidR="005A684E">
        <w:t>hab.</w:t>
      </w:r>
      <w:r w:rsidR="001F75D3">
        <w:t xml:space="preserve">/km². La distance moyenne entre Kiffa et les 21 chefs lieu de commune est d’environ 130 km. Les communes de la </w:t>
      </w:r>
      <w:r w:rsidR="00AA02CC">
        <w:t>M</w:t>
      </w:r>
      <w:r w:rsidR="001F75D3">
        <w:t xml:space="preserve">oughataa de </w:t>
      </w:r>
      <w:r w:rsidR="00AA02CC">
        <w:t>Barkeol</w:t>
      </w:r>
      <w:r w:rsidR="001F75D3">
        <w:t xml:space="preserve"> sont à quatre</w:t>
      </w:r>
      <w:r w:rsidR="00AA02CC">
        <w:t xml:space="preserve"> ou cinq</w:t>
      </w:r>
      <w:r w:rsidR="001F75D3">
        <w:t xml:space="preserve"> heures de route de la capitale régionale.</w:t>
      </w:r>
    </w:p>
    <w:p w:rsidR="00264173" w:rsidRDefault="00AA02CC" w:rsidP="00264173">
      <w:pPr>
        <w:pStyle w:val="Titre4"/>
      </w:pPr>
      <w:r>
        <w:t>Un contexte de g</w:t>
      </w:r>
      <w:r w:rsidR="00264173">
        <w:t>rande pauvreté et opportunités de développement limités</w:t>
      </w:r>
    </w:p>
    <w:p w:rsidR="001F75D3" w:rsidRPr="001F75D3" w:rsidRDefault="009C5E64" w:rsidP="001F75D3">
      <w:r>
        <w:t xml:space="preserve">Selon le document projet, l’Assaba est la deuxième </w:t>
      </w:r>
      <w:r w:rsidR="00AF1C96">
        <w:t>W</w:t>
      </w:r>
      <w:r>
        <w:t>ilaya la plus pauvre du pays</w:t>
      </w:r>
      <w:r w:rsidR="00AF1C96">
        <w:t xml:space="preserve"> (84% de ménages pauvres et 41% de très pauvres). La région est loin de couvrir ses besoins alime</w:t>
      </w:r>
      <w:r w:rsidR="00AF1C96">
        <w:t>n</w:t>
      </w:r>
      <w:r w:rsidR="00AF1C96">
        <w:t>taires. Les conditions climatiques et la dégradation des écosystèmes ont durablement déstabil</w:t>
      </w:r>
      <w:r w:rsidR="00AF1C96">
        <w:t>i</w:t>
      </w:r>
      <w:r w:rsidR="00AF1C96">
        <w:t>sé les systèmes d’élevage extensif et de cultures pluviales traditionnel</w:t>
      </w:r>
      <w:r w:rsidR="00AA02CC">
        <w:t>le</w:t>
      </w:r>
      <w:r w:rsidR="00AF1C96">
        <w:t>s</w:t>
      </w:r>
      <w:r w:rsidR="00AA02CC">
        <w:t>,</w:t>
      </w:r>
      <w:r w:rsidR="00AF1C96">
        <w:t xml:space="preserve"> auxquels il n’existe </w:t>
      </w:r>
      <w:r w:rsidR="002437DE">
        <w:t>guère</w:t>
      </w:r>
      <w:r w:rsidR="00AA02CC">
        <w:t xml:space="preserve"> </w:t>
      </w:r>
      <w:r w:rsidR="00AF1C96">
        <w:t xml:space="preserve">d’alternatives. Les opportunités de développement sont </w:t>
      </w:r>
      <w:r w:rsidR="00941DCE">
        <w:t>limitées</w:t>
      </w:r>
      <w:r w:rsidR="00AF1C96">
        <w:t xml:space="preserve"> notamment dans les zones les plus enclavés des </w:t>
      </w:r>
      <w:r w:rsidR="00AA02CC">
        <w:t>Moughataas</w:t>
      </w:r>
      <w:r w:rsidR="00AF1C96">
        <w:t xml:space="preserve"> de </w:t>
      </w:r>
      <w:r w:rsidR="00AA02CC">
        <w:t>Barkeol</w:t>
      </w:r>
      <w:r w:rsidR="00AF1C96">
        <w:t xml:space="preserve"> et Boumd</w:t>
      </w:r>
      <w:r w:rsidR="00941DCE">
        <w:t>e</w:t>
      </w:r>
      <w:r w:rsidR="00AF1C96">
        <w:t>i</w:t>
      </w:r>
      <w:r w:rsidR="00941DCE">
        <w:t xml:space="preserve">d. </w:t>
      </w:r>
    </w:p>
    <w:p w:rsidR="00E43DB8" w:rsidRDefault="00E43DB8" w:rsidP="002C59A8">
      <w:pPr>
        <w:pStyle w:val="Titre3"/>
      </w:pPr>
      <w:r>
        <w:t>Les limites d</w:t>
      </w:r>
      <w:r w:rsidR="00EB1CAC">
        <w:t xml:space="preserve">u dispositif </w:t>
      </w:r>
      <w:r>
        <w:t>projet face aux difficultés de sa mission</w:t>
      </w:r>
    </w:p>
    <w:p w:rsidR="00941DCE" w:rsidRDefault="005F5BFB" w:rsidP="00941DCE">
      <w:r>
        <w:t>Dans ce contexte</w:t>
      </w:r>
      <w:r w:rsidR="00712E30">
        <w:t>, l</w:t>
      </w:r>
      <w:r w:rsidR="00181F0D">
        <w:t xml:space="preserve">’exécution </w:t>
      </w:r>
      <w:r w:rsidR="00712E30">
        <w:t xml:space="preserve">du PACA </w:t>
      </w:r>
      <w:r w:rsidR="00181F0D">
        <w:t>était un</w:t>
      </w:r>
      <w:r>
        <w:t xml:space="preserve"> vrai défi. </w:t>
      </w:r>
      <w:r w:rsidR="0002442A">
        <w:t>Malgré l’engagement des pe</w:t>
      </w:r>
      <w:r w:rsidR="0002442A">
        <w:t>r</w:t>
      </w:r>
      <w:r w:rsidR="0002442A">
        <w:t>sonnes, l</w:t>
      </w:r>
      <w:r>
        <w:t xml:space="preserve">es ressources </w:t>
      </w:r>
      <w:r w:rsidR="00181F0D">
        <w:t>mobilisé</w:t>
      </w:r>
      <w:r>
        <w:t>es</w:t>
      </w:r>
      <w:r w:rsidR="00AA02CC">
        <w:t xml:space="preserve"> et l’organisation prévue</w:t>
      </w:r>
      <w:r w:rsidR="00181F0D">
        <w:t xml:space="preserve"> pour </w:t>
      </w:r>
      <w:r>
        <w:t>la mise en œuvre du projet n’étai</w:t>
      </w:r>
      <w:r w:rsidR="0002442A">
        <w:t>ent pas suffisantes pour le relever.</w:t>
      </w:r>
    </w:p>
    <w:p w:rsidR="002B4DB7" w:rsidRDefault="002B4DB7" w:rsidP="002B4DB7">
      <w:pPr>
        <w:pStyle w:val="Titre4"/>
      </w:pPr>
      <w:r>
        <w:lastRenderedPageBreak/>
        <w:t>Une équipe projet insuffisamment armé</w:t>
      </w:r>
      <w:r w:rsidR="00045461">
        <w:t>e</w:t>
      </w:r>
      <w:r>
        <w:t xml:space="preserve"> </w:t>
      </w:r>
      <w:r w:rsidR="00D97B8C">
        <w:t>dans des conditions difficiles</w:t>
      </w:r>
      <w:r>
        <w:t xml:space="preserve"> </w:t>
      </w:r>
    </w:p>
    <w:p w:rsidR="00D97B8C" w:rsidRDefault="00941DCE" w:rsidP="00941DCE">
      <w:r>
        <w:t xml:space="preserve">L’équipe </w:t>
      </w:r>
      <w:r w:rsidR="002B4DB7">
        <w:t xml:space="preserve">de l’UACP </w:t>
      </w:r>
      <w:r w:rsidR="00900754">
        <w:t xml:space="preserve">à </w:t>
      </w:r>
      <w:r w:rsidR="002B4DB7">
        <w:t xml:space="preserve">Kiffa </w:t>
      </w:r>
      <w:r w:rsidR="0002442A">
        <w:t>réunissait quatre cadres, u</w:t>
      </w:r>
      <w:r>
        <w:t>n coordinateur, un conseiller technique, un responsable administratif et fi</w:t>
      </w:r>
      <w:r w:rsidR="002B4DB7">
        <w:t>n</w:t>
      </w:r>
      <w:r>
        <w:t>ancier, un responsable suivi évaluation</w:t>
      </w:r>
      <w:r w:rsidR="0002442A">
        <w:t>. Malgré la qualité des personnes qui l’on</w:t>
      </w:r>
      <w:r w:rsidR="00AA02CC">
        <w:t>t</w:t>
      </w:r>
      <w:r w:rsidR="0002442A">
        <w:t xml:space="preserve"> composée, elle </w:t>
      </w:r>
      <w:r>
        <w:t xml:space="preserve">n’avait </w:t>
      </w:r>
      <w:r w:rsidR="00900754">
        <w:t>pas</w:t>
      </w:r>
      <w:r>
        <w:t xml:space="preserve"> collectivement les compétences nécessaires </w:t>
      </w:r>
      <w:r w:rsidR="00776EA9">
        <w:t xml:space="preserve">ni </w:t>
      </w:r>
      <w:r>
        <w:t xml:space="preserve">pour finaliser la conception du </w:t>
      </w:r>
      <w:r w:rsidR="002B4DB7">
        <w:t>PACA</w:t>
      </w:r>
      <w:r w:rsidR="00900754">
        <w:t xml:space="preserve"> ni pour l’exécuter sans </w:t>
      </w:r>
      <w:r w:rsidR="00776EA9">
        <w:t xml:space="preserve">un </w:t>
      </w:r>
      <w:r w:rsidR="00900754">
        <w:t xml:space="preserve">cahier des charges </w:t>
      </w:r>
      <w:r w:rsidR="0002442A">
        <w:t xml:space="preserve">plus </w:t>
      </w:r>
      <w:r w:rsidR="00900754">
        <w:t>précis.</w:t>
      </w:r>
    </w:p>
    <w:p w:rsidR="00900754" w:rsidRDefault="00900754" w:rsidP="00941DCE">
      <w:r>
        <w:t>Elle a de plus souffert d’une relative instabilité</w:t>
      </w:r>
      <w:r w:rsidR="002B4DB7">
        <w:t xml:space="preserve"> </w:t>
      </w:r>
      <w:r w:rsidR="002D0147">
        <w:t xml:space="preserve">(changement du coordinateur </w:t>
      </w:r>
      <w:r w:rsidR="00AC1BB4">
        <w:t xml:space="preserve">en juillet </w:t>
      </w:r>
      <w:r w:rsidR="002D0147">
        <w:t xml:space="preserve">2005, de la conseillère technique </w:t>
      </w:r>
      <w:r>
        <w:t>et de la VNU chargée de suivi</w:t>
      </w:r>
      <w:r w:rsidR="00AA02CC">
        <w:t>-</w:t>
      </w:r>
      <w:r>
        <w:t>évaluation en 2007), arrivée tardive en octobre novembre 2008 des quatre VNU chargé</w:t>
      </w:r>
      <w:r w:rsidR="00045461">
        <w:t>s</w:t>
      </w:r>
      <w:r>
        <w:t xml:space="preserve"> de l’appui rapproché au</w:t>
      </w:r>
      <w:r w:rsidR="00AA02CC">
        <w:t>x</w:t>
      </w:r>
      <w:r>
        <w:t xml:space="preserve"> communes.</w:t>
      </w:r>
    </w:p>
    <w:p w:rsidR="006231AA" w:rsidRDefault="00D97B8C" w:rsidP="00941DCE">
      <w:r>
        <w:t>Son action n’a pas été facilitée par les outils et les procédures de gestion du PNUD. Comme le soulignait déjà la mission d’évaluation à mi-parcours, les PTA ne facilite</w:t>
      </w:r>
      <w:r w:rsidR="006231AA">
        <w:t>nt</w:t>
      </w:r>
      <w:r>
        <w:t xml:space="preserve"> un suivi strat</w:t>
      </w:r>
      <w:r>
        <w:t>é</w:t>
      </w:r>
      <w:r>
        <w:t>gique de l’action. Le M</w:t>
      </w:r>
      <w:r w:rsidR="006231AA">
        <w:t>IS</w:t>
      </w:r>
      <w:r>
        <w:t xml:space="preserve"> a finalement gêné la mise en place d’un outil de suivi efficace</w:t>
      </w:r>
      <w:r w:rsidR="0002442A">
        <w:t xml:space="preserve"> i</w:t>
      </w:r>
      <w:r w:rsidR="0002442A">
        <w:t>n</w:t>
      </w:r>
      <w:r w:rsidR="0002442A">
        <w:t>dispensable sur un tel projet</w:t>
      </w:r>
      <w:r>
        <w:t xml:space="preserve">. </w:t>
      </w:r>
      <w:r w:rsidR="006231AA">
        <w:t>Le</w:t>
      </w:r>
      <w:r w:rsidR="0002442A">
        <w:t xml:space="preserve"> respect des</w:t>
      </w:r>
      <w:r w:rsidR="006231AA">
        <w:t xml:space="preserve"> procédures </w:t>
      </w:r>
      <w:r w:rsidR="0002442A">
        <w:t xml:space="preserve">financières </w:t>
      </w:r>
      <w:r w:rsidR="006231AA">
        <w:t xml:space="preserve">du </w:t>
      </w:r>
      <w:r>
        <w:t>PNUD</w:t>
      </w:r>
      <w:r w:rsidR="00AA02CC">
        <w:t xml:space="preserve">, </w:t>
      </w:r>
      <w:r w:rsidR="0002442A">
        <w:t>exigé à la suite d’un audit</w:t>
      </w:r>
      <w:r w:rsidR="00AA02CC">
        <w:t>,</w:t>
      </w:r>
      <w:r w:rsidR="0002442A">
        <w:t xml:space="preserve"> a </w:t>
      </w:r>
      <w:r w:rsidR="006231AA">
        <w:t>conduit</w:t>
      </w:r>
      <w:r w:rsidR="0002442A">
        <w:t>,</w:t>
      </w:r>
      <w:r w:rsidR="006231AA">
        <w:t xml:space="preserve"> en avril 2008</w:t>
      </w:r>
      <w:r w:rsidR="0002442A">
        <w:t>,</w:t>
      </w:r>
      <w:r w:rsidR="006231AA">
        <w:t xml:space="preserve"> à l’interruption du système de caisse d’avance mis en place en début de projet. Cette interruption a fortement </w:t>
      </w:r>
      <w:r w:rsidR="0002442A">
        <w:t>perturbé</w:t>
      </w:r>
      <w:r w:rsidR="006231AA">
        <w:t xml:space="preserve"> les derniers mois de la mise en œuvre du projet.</w:t>
      </w:r>
    </w:p>
    <w:p w:rsidR="00EB1CAC" w:rsidRDefault="00EB1CAC" w:rsidP="00EB1CAC">
      <w:pPr>
        <w:pStyle w:val="Titre4"/>
      </w:pPr>
      <w:r>
        <w:t xml:space="preserve">Des appuis peut-être trop distants </w:t>
      </w:r>
      <w:r w:rsidR="006231AA">
        <w:t>ou bien une certaine dilution des responsabilités ?</w:t>
      </w:r>
    </w:p>
    <w:p w:rsidR="000637C7" w:rsidRDefault="006231AA" w:rsidP="006231AA">
      <w:r>
        <w:t xml:space="preserve">L’UACP a bénéficié de l’appui d’un chargé de programme basé à Nouakchott. </w:t>
      </w:r>
      <w:r w:rsidR="0002442A">
        <w:t>Mais t</w:t>
      </w:r>
      <w:r>
        <w:t>rois pe</w:t>
      </w:r>
      <w:r>
        <w:t>r</w:t>
      </w:r>
      <w:r>
        <w:t>sonne se sont succédé</w:t>
      </w:r>
      <w:r w:rsidR="0064048D">
        <w:t>es</w:t>
      </w:r>
      <w:r>
        <w:t xml:space="preserve"> à ce poste, dont d</w:t>
      </w:r>
      <w:r w:rsidR="000E1979">
        <w:t xml:space="preserve">e fin 2007 à fin </w:t>
      </w:r>
      <w:r>
        <w:t>2008 une stagiaire junior</w:t>
      </w:r>
      <w:r w:rsidR="0064048D">
        <w:t>e</w:t>
      </w:r>
      <w:r>
        <w:t xml:space="preserve"> peu exp</w:t>
      </w:r>
      <w:r>
        <w:t>é</w:t>
      </w:r>
      <w:r>
        <w:t>rimentée.</w:t>
      </w:r>
      <w:r w:rsidR="009504ED">
        <w:t xml:space="preserve"> </w:t>
      </w:r>
      <w:r w:rsidR="0064048D">
        <w:t>L’UACP</w:t>
      </w:r>
      <w:r w:rsidR="0002442A">
        <w:t xml:space="preserve"> a </w:t>
      </w:r>
      <w:r w:rsidR="009504ED">
        <w:t xml:space="preserve">reçu cinq missions du FENU Dakar en cinq ans. </w:t>
      </w:r>
      <w:r w:rsidR="000E1979">
        <w:t>Ces missions se pos</w:t>
      </w:r>
      <w:r w:rsidR="000E1979">
        <w:t>i</w:t>
      </w:r>
      <w:r w:rsidR="000E1979">
        <w:t>tionnent en appui conseil</w:t>
      </w:r>
      <w:r w:rsidR="00437EEE">
        <w:t xml:space="preserve"> et se concluent par des « matrice d’action » précises et pertinentes. Mais le dispositif d’ensemble Kiffa/Nouakchott/Dakar semble réagir assez lentement au</w:t>
      </w:r>
      <w:r w:rsidR="0064048D">
        <w:t>x</w:t>
      </w:r>
      <w:r w:rsidR="00437EEE">
        <w:t xml:space="preserve"> di</w:t>
      </w:r>
      <w:r w:rsidR="00437EEE">
        <w:t>s</w:t>
      </w:r>
      <w:r w:rsidR="00437EEE">
        <w:t>fonctionnement</w:t>
      </w:r>
      <w:r w:rsidR="0064048D">
        <w:t>s</w:t>
      </w:r>
      <w:r w:rsidR="00437EEE">
        <w:t xml:space="preserve"> constatés. Ainsi</w:t>
      </w:r>
      <w:r w:rsidR="0064048D">
        <w:t xml:space="preserve">, </w:t>
      </w:r>
      <w:r w:rsidR="00437EEE">
        <w:t xml:space="preserve">les </w:t>
      </w:r>
      <w:r w:rsidR="009504ED">
        <w:t xml:space="preserve">deux premières </w:t>
      </w:r>
      <w:r w:rsidR="0064048D">
        <w:t xml:space="preserve">missions </w:t>
      </w:r>
      <w:r w:rsidR="000E1979">
        <w:t xml:space="preserve">en novembre </w:t>
      </w:r>
      <w:r w:rsidR="009504ED">
        <w:t xml:space="preserve">2005 et </w:t>
      </w:r>
      <w:r w:rsidR="000E1979">
        <w:t xml:space="preserve">février </w:t>
      </w:r>
      <w:r w:rsidR="009504ED">
        <w:t>2006 identifient bien les priorités et les enjeux</w:t>
      </w:r>
      <w:r w:rsidR="00437EEE">
        <w:t xml:space="preserve"> de l’époque :</w:t>
      </w:r>
      <w:r w:rsidR="009504ED">
        <w:t> l</w:t>
      </w:r>
      <w:r w:rsidR="000E1979">
        <w:t>a programmation du processus d’appui à la planification, l</w:t>
      </w:r>
      <w:r w:rsidR="009504ED">
        <w:t xml:space="preserve">’élaboration du manuel de procédure, </w:t>
      </w:r>
      <w:r w:rsidR="000E1979">
        <w:t xml:space="preserve">la mise en place </w:t>
      </w:r>
      <w:r w:rsidR="00437EEE">
        <w:t>en</w:t>
      </w:r>
      <w:r w:rsidR="009504ED">
        <w:t xml:space="preserve"> collabor</w:t>
      </w:r>
      <w:r w:rsidR="009504ED">
        <w:t>a</w:t>
      </w:r>
      <w:r w:rsidR="009504ED">
        <w:t xml:space="preserve">tion </w:t>
      </w:r>
      <w:r w:rsidR="00437EEE">
        <w:t>avec le programme Vaincre et sa</w:t>
      </w:r>
      <w:r w:rsidR="009504ED">
        <w:t xml:space="preserve"> cellule « Intercom » </w:t>
      </w:r>
      <w:r w:rsidR="00437EEE">
        <w:t xml:space="preserve">d’un appui à maitrise d’ouvrage, </w:t>
      </w:r>
      <w:r w:rsidR="000E1979">
        <w:t>la nécessaire simplification des indicateurs de suivi</w:t>
      </w:r>
      <w:r w:rsidR="00437EEE">
        <w:t xml:space="preserve">. Mais </w:t>
      </w:r>
      <w:r w:rsidR="0064048D">
        <w:t>c</w:t>
      </w:r>
      <w:r w:rsidR="00437EEE">
        <w:t>es recommandations ne seront pas, ou trop tardivement</w:t>
      </w:r>
      <w:r w:rsidR="0064048D">
        <w:t>,</w:t>
      </w:r>
      <w:r w:rsidR="00437EEE">
        <w:t xml:space="preserve"> suivies d’effets.</w:t>
      </w:r>
    </w:p>
    <w:p w:rsidR="00E43DB8" w:rsidRDefault="00E43DB8" w:rsidP="00C358AB">
      <w:pPr>
        <w:pStyle w:val="Titre2"/>
      </w:pPr>
      <w:r>
        <w:t>Les résultats et les effets</w:t>
      </w:r>
    </w:p>
    <w:p w:rsidR="000637C7" w:rsidRPr="000637C7" w:rsidRDefault="000637C7" w:rsidP="000637C7">
      <w:r>
        <w:t>Les faiblesses de la conception initiale, les difficultés structurelles et imprévues du contexte, les limites du « dispositif projet » n’ont pas permis la pleine atteinte des résultats escomptés.</w:t>
      </w:r>
    </w:p>
    <w:p w:rsidR="00E43DB8" w:rsidRDefault="00E43DB8" w:rsidP="00C358AB">
      <w:pPr>
        <w:pStyle w:val="Titre3"/>
      </w:pPr>
      <w:r>
        <w:t xml:space="preserve">Les </w:t>
      </w:r>
      <w:r w:rsidR="00C358AB">
        <w:t>instances et les outils de planification et de programmation</w:t>
      </w:r>
    </w:p>
    <w:p w:rsidR="00B620F2" w:rsidRPr="00784A3D" w:rsidRDefault="00B620F2" w:rsidP="00B620F2">
      <w:pPr>
        <w:pStyle w:val="Titre4"/>
        <w:rPr>
          <w:u w:val="single"/>
        </w:rPr>
      </w:pPr>
      <w:r w:rsidRPr="00784A3D">
        <w:t>Les CAD et les CAEP auraient nécessité plus de temps et de stabilité pour s’installer durablement dans le paysage institutionnel</w:t>
      </w:r>
    </w:p>
    <w:p w:rsidR="005170C4" w:rsidRDefault="00B620F2" w:rsidP="00A26936">
      <w:r>
        <w:t xml:space="preserve">Les </w:t>
      </w:r>
      <w:r w:rsidR="0064048D">
        <w:t>C</w:t>
      </w:r>
      <w:r>
        <w:t>omités d’analyse des dossiers (CAD) et les Comité d’arbitrage et d</w:t>
      </w:r>
      <w:r w:rsidR="003D3E32">
        <w:t>’évaluation des pe</w:t>
      </w:r>
      <w:r w:rsidR="003D3E32">
        <w:t>r</w:t>
      </w:r>
      <w:r w:rsidR="003D3E32">
        <w:t>formance</w:t>
      </w:r>
      <w:r w:rsidR="00A26936">
        <w:t>s</w:t>
      </w:r>
      <w:r w:rsidR="003D3E32">
        <w:t xml:space="preserve"> (CAEP) ont bien été mis en place dans les quatre Moughataa. Mais </w:t>
      </w:r>
      <w:r w:rsidR="00A26936">
        <w:t xml:space="preserve">ils </w:t>
      </w:r>
      <w:r w:rsidR="00437EEE">
        <w:t>se</w:t>
      </w:r>
      <w:r w:rsidR="00A26936">
        <w:t xml:space="preserve"> </w:t>
      </w:r>
      <w:r w:rsidR="003D3E32">
        <w:t>sont ré</w:t>
      </w:r>
      <w:r w:rsidR="003D3E32">
        <w:t>u</w:t>
      </w:r>
      <w:r w:rsidR="003D3E32">
        <w:t>nis une à deux fois</w:t>
      </w:r>
      <w:r w:rsidR="00A26936">
        <w:t xml:space="preserve"> (CAD) ou t</w:t>
      </w:r>
      <w:r w:rsidR="003D3E32">
        <w:t>rois fois</w:t>
      </w:r>
      <w:r w:rsidR="00A26936">
        <w:t xml:space="preserve"> (CAEP) sur la durée du projet</w:t>
      </w:r>
      <w:r w:rsidR="00437EEE">
        <w:t xml:space="preserve">, un nombre et un rythme </w:t>
      </w:r>
      <w:r w:rsidR="003D3E32">
        <w:t xml:space="preserve">sans doute </w:t>
      </w:r>
      <w:r w:rsidR="00437EEE">
        <w:t>insuffisant</w:t>
      </w:r>
      <w:r w:rsidR="0064048D">
        <w:t>s</w:t>
      </w:r>
      <w:r w:rsidR="00437EEE">
        <w:t xml:space="preserve"> </w:t>
      </w:r>
      <w:r w:rsidR="003D3E32">
        <w:t xml:space="preserve">pour s’inscrire durablement dans le paysage institutionnel </w:t>
      </w:r>
      <w:r w:rsidR="005170C4">
        <w:t>et pour g</w:t>
      </w:r>
      <w:r w:rsidR="005170C4">
        <w:t>a</w:t>
      </w:r>
      <w:r w:rsidR="005170C4">
        <w:t xml:space="preserve">rantir leur pérennité </w:t>
      </w:r>
      <w:r w:rsidR="003D3E32">
        <w:t xml:space="preserve">après la </w:t>
      </w:r>
      <w:r w:rsidR="00A26936">
        <w:t>clôture du PACA et la fin du FICA</w:t>
      </w:r>
      <w:r w:rsidR="003D3E32">
        <w:t xml:space="preserve">. </w:t>
      </w:r>
    </w:p>
    <w:p w:rsidR="00A26936" w:rsidRDefault="003D3E32" w:rsidP="00A26936">
      <w:r>
        <w:lastRenderedPageBreak/>
        <w:t xml:space="preserve">Ces deux instances </w:t>
      </w:r>
      <w:r w:rsidR="005170C4">
        <w:t xml:space="preserve">pertinentes dans leur principe ont </w:t>
      </w:r>
      <w:r>
        <w:t>souffert de l‘instabilité des chefs de se</w:t>
      </w:r>
      <w:r>
        <w:t>r</w:t>
      </w:r>
      <w:r>
        <w:t xml:space="preserve">vice qui les composent et </w:t>
      </w:r>
      <w:r w:rsidR="00A26936">
        <w:t xml:space="preserve">de l’absence de certaines compétences au niveau de l’administration départementale. </w:t>
      </w:r>
    </w:p>
    <w:p w:rsidR="00784A3D" w:rsidRDefault="00A26936" w:rsidP="00A26936">
      <w:r>
        <w:t>Les CAD, chargés de donner des avis consultatifs sur l’opportunité et la pertinence des do</w:t>
      </w:r>
      <w:r>
        <w:t>s</w:t>
      </w:r>
      <w:r>
        <w:t>siers de projet présentés par les communes n’ont guère marqué leurs interlocuteurs comm</w:t>
      </w:r>
      <w:r>
        <w:t>u</w:t>
      </w:r>
      <w:r>
        <w:t>naux</w:t>
      </w:r>
      <w:r w:rsidR="0064048D">
        <w:t>,</w:t>
      </w:r>
      <w:r>
        <w:t xml:space="preserve"> à la différence des CAEP chargés de les évaluer. </w:t>
      </w:r>
    </w:p>
    <w:p w:rsidR="00596544" w:rsidRPr="00B563AB" w:rsidRDefault="00A26936" w:rsidP="00B563AB">
      <w:r>
        <w:t>Le système d</w:t>
      </w:r>
      <w:r w:rsidR="00784A3D">
        <w:t xml:space="preserve">’évaluation de ces derniers (sur document) et de </w:t>
      </w:r>
      <w:r>
        <w:t xml:space="preserve">notation </w:t>
      </w:r>
      <w:r w:rsidR="00784A3D">
        <w:t>(qui prend peu en compte la qualité des réalisations et la transparence) est perfectible.</w:t>
      </w:r>
      <w:r w:rsidR="00B563AB">
        <w:t xml:space="preserve"> Mais il constitue une avancée dans le suivi de la gestion communale</w:t>
      </w:r>
      <w:r w:rsidR="0064048D">
        <w:t xml:space="preserve"> et</w:t>
      </w:r>
      <w:r w:rsidR="00B563AB">
        <w:t xml:space="preserve"> l’appréciation de </w:t>
      </w:r>
      <w:r w:rsidR="0064048D">
        <w:t>s</w:t>
      </w:r>
      <w:r w:rsidR="00B563AB">
        <w:t>es progr</w:t>
      </w:r>
      <w:r w:rsidR="005170C4">
        <w:t>è</w:t>
      </w:r>
      <w:r w:rsidR="00B563AB">
        <w:t>s et lacunes. Il d</w:t>
      </w:r>
      <w:r w:rsidR="00596544" w:rsidRPr="00B563AB">
        <w:t>onn</w:t>
      </w:r>
      <w:r w:rsidR="00B563AB">
        <w:t>e</w:t>
      </w:r>
      <w:r w:rsidR="00596544" w:rsidRPr="00B563AB">
        <w:t xml:space="preserve"> l’occasion à la tutelle et aux services techniques de mieux connaître les communes et leur situation</w:t>
      </w:r>
      <w:r w:rsidR="00B563AB">
        <w:t>.</w:t>
      </w:r>
    </w:p>
    <w:p w:rsidR="00784A3D" w:rsidRPr="00784A3D" w:rsidRDefault="00B620F2" w:rsidP="00B620F2">
      <w:pPr>
        <w:pStyle w:val="Titre4"/>
      </w:pPr>
      <w:r w:rsidRPr="00784A3D">
        <w:t xml:space="preserve">Les </w:t>
      </w:r>
      <w:r w:rsidR="00784A3D" w:rsidRPr="00784A3D">
        <w:t xml:space="preserve">instances communales jouent effectivement leur rôle dans le processus de planification et de programmation </w:t>
      </w:r>
    </w:p>
    <w:p w:rsidR="00B620F2" w:rsidRPr="00B620F2" w:rsidRDefault="00784A3D" w:rsidP="00784A3D">
      <w:r>
        <w:t>Le lancement des diagnostics participatifs, la validation des PD</w:t>
      </w:r>
      <w:r w:rsidR="0064048D">
        <w:t>C</w:t>
      </w:r>
      <w:r>
        <w:t xml:space="preserve">, le choix des projets </w:t>
      </w:r>
      <w:r w:rsidR="006F6AAF">
        <w:t>financ</w:t>
      </w:r>
      <w:r w:rsidR="005170C4">
        <w:t xml:space="preserve">és par le </w:t>
      </w:r>
      <w:r w:rsidR="006F6AAF">
        <w:t>FICA ont effectivement</w:t>
      </w:r>
      <w:r w:rsidR="005170C4">
        <w:t xml:space="preserve"> été soumis au</w:t>
      </w:r>
      <w:r w:rsidR="0064048D">
        <w:t>x</w:t>
      </w:r>
      <w:r w:rsidR="005170C4">
        <w:t xml:space="preserve"> délibérations et aux votes des conseil</w:t>
      </w:r>
      <w:r w:rsidR="0064048D">
        <w:t>s</w:t>
      </w:r>
      <w:r w:rsidR="005170C4">
        <w:t xml:space="preserve"> munic</w:t>
      </w:r>
      <w:r w:rsidR="005170C4">
        <w:t>i</w:t>
      </w:r>
      <w:r w:rsidR="005170C4">
        <w:t>paux</w:t>
      </w:r>
      <w:r w:rsidR="006F6AAF">
        <w:t xml:space="preserve"> dans la plupar</w:t>
      </w:r>
      <w:r w:rsidR="0064048D">
        <w:t>t</w:t>
      </w:r>
      <w:r w:rsidR="006F6AAF">
        <w:t xml:space="preserve"> des communes</w:t>
      </w:r>
      <w:r w:rsidR="005170C4">
        <w:t>.</w:t>
      </w:r>
      <w:r w:rsidR="006F6AAF">
        <w:t xml:space="preserve"> </w:t>
      </w:r>
      <w:r w:rsidR="00B620F2" w:rsidRPr="00B620F2">
        <w:t>Le</w:t>
      </w:r>
      <w:r w:rsidR="006F6AAF">
        <w:t>s</w:t>
      </w:r>
      <w:r w:rsidR="00B620F2" w:rsidRPr="00B620F2">
        <w:t xml:space="preserve"> commissions municipales</w:t>
      </w:r>
      <w:r w:rsidR="006F6AAF">
        <w:t xml:space="preserve"> sont en place mais leur fonctionnement semble inégal. Les comités consultatifs communaux (les CCC) ont effectiv</w:t>
      </w:r>
      <w:r w:rsidR="006F6AAF">
        <w:t>e</w:t>
      </w:r>
      <w:r w:rsidR="006F6AAF">
        <w:t>ment joué leur rôle formel durant l’élaboration des PD</w:t>
      </w:r>
      <w:r w:rsidR="0064048D">
        <w:t>C</w:t>
      </w:r>
      <w:r w:rsidR="006F6AAF">
        <w:t>, mais</w:t>
      </w:r>
      <w:r w:rsidR="0064048D">
        <w:t>,</w:t>
      </w:r>
      <w:r w:rsidR="006F6AAF">
        <w:t xml:space="preserve"> </w:t>
      </w:r>
      <w:r w:rsidR="005170C4">
        <w:t xml:space="preserve">assez </w:t>
      </w:r>
      <w:r w:rsidR="006F6AAF">
        <w:t>logiquement</w:t>
      </w:r>
      <w:r w:rsidR="0064048D">
        <w:t>,</w:t>
      </w:r>
      <w:r w:rsidR="006F6AAF">
        <w:t xml:space="preserve"> l</w:t>
      </w:r>
      <w:r w:rsidR="00B620F2" w:rsidRPr="00B620F2">
        <w:t>a concert</w:t>
      </w:r>
      <w:r w:rsidR="00B620F2" w:rsidRPr="00B620F2">
        <w:t>a</w:t>
      </w:r>
      <w:r w:rsidR="00B620F2" w:rsidRPr="00B620F2">
        <w:t>tion entre élus et société civile passe pa</w:t>
      </w:r>
      <w:r w:rsidR="005170C4">
        <w:t>r de multiple</w:t>
      </w:r>
      <w:r w:rsidR="0064048D">
        <w:t>s</w:t>
      </w:r>
      <w:r w:rsidR="005170C4">
        <w:t xml:space="preserve"> canaux qui ne requièrent pas toujours la réunion de cette instance.</w:t>
      </w:r>
      <w:r w:rsidR="006F6AAF">
        <w:t xml:space="preserve"> </w:t>
      </w:r>
    </w:p>
    <w:p w:rsidR="00B620F2" w:rsidRPr="00B10856" w:rsidRDefault="00B620F2" w:rsidP="00B620F2">
      <w:pPr>
        <w:pStyle w:val="Titre4"/>
      </w:pPr>
      <w:r w:rsidRPr="00B10856">
        <w:t>L’élaboration participative des PDC constitue un événement dans la vie de la commune, les PIP et PIA sont moins convaincants</w:t>
      </w:r>
      <w:r w:rsidR="00A9691F" w:rsidRPr="00B10856">
        <w:t>, le test du SAFIC</w:t>
      </w:r>
      <w:r w:rsidR="0064048D">
        <w:t xml:space="preserve"> a</w:t>
      </w:r>
      <w:r w:rsidR="00A9691F" w:rsidRPr="00B10856">
        <w:t xml:space="preserve"> échou</w:t>
      </w:r>
      <w:r w:rsidR="0064048D">
        <w:t>é</w:t>
      </w:r>
    </w:p>
    <w:p w:rsidR="00B620F2" w:rsidRPr="00B10856" w:rsidRDefault="00B620F2" w:rsidP="00B620F2">
      <w:r w:rsidRPr="00B10856">
        <w:t xml:space="preserve">Toutes les communes sont dotées de PDC bien présentés, </w:t>
      </w:r>
      <w:r w:rsidR="005170C4">
        <w:t xml:space="preserve">dont les </w:t>
      </w:r>
      <w:r w:rsidRPr="00B10856">
        <w:t xml:space="preserve">contenus </w:t>
      </w:r>
      <w:r w:rsidR="005170C4">
        <w:t xml:space="preserve">sont un peu </w:t>
      </w:r>
      <w:r w:rsidRPr="00B10856">
        <w:t>in</w:t>
      </w:r>
      <w:r w:rsidRPr="00B10856">
        <w:t>é</w:t>
      </w:r>
      <w:r w:rsidRPr="00B10856">
        <w:t>gaux</w:t>
      </w:r>
      <w:r w:rsidR="005170C4">
        <w:t>. L</w:t>
      </w:r>
      <w:r w:rsidR="006F6AAF" w:rsidRPr="00B10856">
        <w:t>’</w:t>
      </w:r>
      <w:r w:rsidRPr="00B10856">
        <w:t>élaboration participative des PDC a constitué un temps fort dans la vie des co</w:t>
      </w:r>
      <w:r w:rsidRPr="00B10856">
        <w:t>m</w:t>
      </w:r>
      <w:r w:rsidRPr="00B10856">
        <w:t>munes</w:t>
      </w:r>
      <w:r w:rsidR="006F6AAF" w:rsidRPr="00B10856">
        <w:t>. Les</w:t>
      </w:r>
      <w:r w:rsidRPr="00B10856">
        <w:t xml:space="preserve"> acteurs locaux disent se référer </w:t>
      </w:r>
      <w:r w:rsidR="006F6AAF" w:rsidRPr="00B10856">
        <w:t>à ces plans. Mais l</w:t>
      </w:r>
      <w:r w:rsidR="0064048D">
        <w:t>es</w:t>
      </w:r>
      <w:r w:rsidR="006F6AAF" w:rsidRPr="00B10856">
        <w:t xml:space="preserve"> longue</w:t>
      </w:r>
      <w:r w:rsidR="0064048D">
        <w:t>s</w:t>
      </w:r>
      <w:r w:rsidR="006F6AAF" w:rsidRPr="00B10856">
        <w:t xml:space="preserve"> liste</w:t>
      </w:r>
      <w:r w:rsidR="0064048D">
        <w:t>s</w:t>
      </w:r>
      <w:r w:rsidR="006F6AAF" w:rsidRPr="00B10856">
        <w:t xml:space="preserve"> de réalisations possibles et attendues </w:t>
      </w:r>
      <w:r w:rsidR="005170C4">
        <w:t xml:space="preserve">qui les constituent, </w:t>
      </w:r>
      <w:r w:rsidR="006F6AAF" w:rsidRPr="00B10856">
        <w:t>semble</w:t>
      </w:r>
      <w:r w:rsidR="0064048D">
        <w:t>nt</w:t>
      </w:r>
      <w:r w:rsidR="006F6AAF" w:rsidRPr="00B10856">
        <w:t xml:space="preserve"> </w:t>
      </w:r>
      <w:r w:rsidR="005170C4">
        <w:t xml:space="preserve">trop </w:t>
      </w:r>
      <w:r w:rsidR="006F6AAF" w:rsidRPr="00B10856">
        <w:t>exhaustive</w:t>
      </w:r>
      <w:r w:rsidR="0064048D">
        <w:t>s</w:t>
      </w:r>
      <w:r w:rsidR="006F6AAF" w:rsidRPr="00B10856">
        <w:t xml:space="preserve"> pour </w:t>
      </w:r>
      <w:r w:rsidRPr="00B10856">
        <w:t>faciliter réellement des processus de hiérarchisation et de programmation</w:t>
      </w:r>
      <w:r w:rsidR="006F6AAF" w:rsidRPr="00B10856">
        <w:t>.</w:t>
      </w:r>
      <w:r w:rsidR="00A9691F" w:rsidRPr="00B10856">
        <w:t xml:space="preserve"> </w:t>
      </w:r>
      <w:r w:rsidR="00475D67" w:rsidRPr="00475D67">
        <w:t>U</w:t>
      </w:r>
      <w:r w:rsidR="005170C4" w:rsidRPr="00475D67">
        <w:t>tile</w:t>
      </w:r>
      <w:r w:rsidR="005170C4">
        <w:t xml:space="preserve"> dans cette première version, </w:t>
      </w:r>
      <w:r w:rsidR="00475D67">
        <w:t xml:space="preserve">l’outil </w:t>
      </w:r>
      <w:r w:rsidR="00A9691F" w:rsidRPr="00B10856">
        <w:t>apparaît donc perfectible</w:t>
      </w:r>
      <w:r w:rsidR="005170C4">
        <w:t xml:space="preserve">. </w:t>
      </w:r>
      <w:r w:rsidR="00475D67">
        <w:t xml:space="preserve">Il aurait été intéressant d’amorcer la démarche qui permettra aux communes de le </w:t>
      </w:r>
      <w:r w:rsidR="00A9691F" w:rsidRPr="00B10856">
        <w:t xml:space="preserve">perfectionner </w:t>
      </w:r>
      <w:r w:rsidR="00475D67">
        <w:t>par étape.</w:t>
      </w:r>
    </w:p>
    <w:p w:rsidR="00B620F2" w:rsidRDefault="00475D67" w:rsidP="00B10856">
      <w:r>
        <w:t>Les</w:t>
      </w:r>
      <w:r w:rsidR="00B620F2" w:rsidRPr="00B10856">
        <w:t xml:space="preserve"> PIP et les PIA </w:t>
      </w:r>
      <w:r w:rsidR="00A9691F" w:rsidRPr="00B10856">
        <w:t>2007 et 2008 élaborés avec les PDC ou l’année suivante</w:t>
      </w:r>
      <w:r w:rsidR="0064048D">
        <w:t>,</w:t>
      </w:r>
      <w:r w:rsidR="00A9691F" w:rsidRPr="00B10856">
        <w:t xml:space="preserve"> </w:t>
      </w:r>
      <w:r>
        <w:t xml:space="preserve">aboutissent à </w:t>
      </w:r>
      <w:r w:rsidR="00B10856" w:rsidRPr="00B10856">
        <w:t xml:space="preserve">des budgets </w:t>
      </w:r>
      <w:r>
        <w:t xml:space="preserve">d’investissement </w:t>
      </w:r>
      <w:r w:rsidR="00B10856" w:rsidRPr="00B10856">
        <w:t>totalement irréalistes</w:t>
      </w:r>
      <w:r>
        <w:t>, sans rapport avec l</w:t>
      </w:r>
      <w:r w:rsidR="00B10856" w:rsidRPr="00B10856">
        <w:t>es ressources actuel</w:t>
      </w:r>
      <w:r>
        <w:t>le</w:t>
      </w:r>
      <w:r w:rsidR="00B10856" w:rsidRPr="00B10856">
        <w:t xml:space="preserve">s des communes (FRD, PACA et Vaincre compris). Ils </w:t>
      </w:r>
      <w:r w:rsidR="00B620F2" w:rsidRPr="00B10856">
        <w:t>sont donc inopérants</w:t>
      </w:r>
      <w:r w:rsidR="00B10856" w:rsidRPr="00B10856">
        <w:t xml:space="preserve"> et sans </w:t>
      </w:r>
      <w:r>
        <w:t xml:space="preserve">grand </w:t>
      </w:r>
      <w:r w:rsidR="00B10856" w:rsidRPr="00B10856">
        <w:t>intérêt</w:t>
      </w:r>
      <w:r w:rsidR="00B620F2" w:rsidRPr="00B10856">
        <w:t>.</w:t>
      </w:r>
    </w:p>
    <w:p w:rsidR="00B620F2" w:rsidRPr="00B10856" w:rsidRDefault="00B10856" w:rsidP="00B10856">
      <w:r w:rsidRPr="00B10856">
        <w:t xml:space="preserve">Le test du SAFIC prévu dans quatre communes de la Wilaya a échoué. Cet </w:t>
      </w:r>
      <w:r w:rsidR="00B620F2" w:rsidRPr="00B10856">
        <w:t>échec ne remet pas en cause la pertinence des objectifs de cet outil</w:t>
      </w:r>
      <w:r w:rsidR="00475D67">
        <w:t>. M</w:t>
      </w:r>
      <w:r w:rsidR="00B620F2" w:rsidRPr="00B10856">
        <w:t xml:space="preserve">ais </w:t>
      </w:r>
      <w:r w:rsidR="00475D67">
        <w:t xml:space="preserve">il </w:t>
      </w:r>
      <w:r w:rsidR="00B620F2" w:rsidRPr="00B10856">
        <w:t>interroge son</w:t>
      </w:r>
      <w:r w:rsidR="00475D67">
        <w:t xml:space="preserve"> caractère universel et son adéquation </w:t>
      </w:r>
      <w:r w:rsidR="00B620F2" w:rsidRPr="00B10856">
        <w:t>aux communes de l’Assaba</w:t>
      </w:r>
    </w:p>
    <w:p w:rsidR="00E43DB8" w:rsidRDefault="00E43DB8" w:rsidP="00C358AB">
      <w:pPr>
        <w:pStyle w:val="Titre3"/>
      </w:pPr>
      <w:r>
        <w:t>Le</w:t>
      </w:r>
      <w:r w:rsidR="00C358AB">
        <w:t xml:space="preserve"> renforcement de capacité</w:t>
      </w:r>
    </w:p>
    <w:p w:rsidR="00F6141C" w:rsidRDefault="00B10856" w:rsidP="00DD0E86">
      <w:pPr>
        <w:pStyle w:val="Titre4"/>
      </w:pPr>
      <w:r>
        <w:t>Un effort important</w:t>
      </w:r>
      <w:r w:rsidR="00F6141C">
        <w:t xml:space="preserve"> de formation</w:t>
      </w:r>
      <w:r>
        <w:t>,</w:t>
      </w:r>
      <w:r w:rsidR="003E5828">
        <w:t xml:space="preserve"> </w:t>
      </w:r>
      <w:r w:rsidR="00F6141C">
        <w:t>d</w:t>
      </w:r>
      <w:r w:rsidR="003E5828">
        <w:t xml:space="preserve">ont l’efficience est difficile </w:t>
      </w:r>
      <w:r w:rsidR="00F6141C">
        <w:t xml:space="preserve">à </w:t>
      </w:r>
      <w:r w:rsidR="003E5828">
        <w:t xml:space="preserve">mesure </w:t>
      </w:r>
      <w:r w:rsidR="00F6141C">
        <w:t>faute d’outil</w:t>
      </w:r>
      <w:r w:rsidR="003E5828">
        <w:t>s</w:t>
      </w:r>
      <w:r w:rsidR="00F6141C">
        <w:t xml:space="preserve"> de suivi</w:t>
      </w:r>
      <w:r w:rsidR="003E5828">
        <w:t>.</w:t>
      </w:r>
    </w:p>
    <w:p w:rsidR="006C2611" w:rsidRDefault="00F6141C" w:rsidP="00F6141C">
      <w:r>
        <w:t xml:space="preserve">Le PACA a </w:t>
      </w:r>
      <w:r w:rsidR="006C2611">
        <w:t xml:space="preserve">réalisé </w:t>
      </w:r>
      <w:r>
        <w:t>un effort important en matière de formation en collaboration avec les autres projets de la région</w:t>
      </w:r>
      <w:r w:rsidR="006361EF">
        <w:t>,</w:t>
      </w:r>
      <w:r>
        <w:t xml:space="preserve"> notamment le PADDEM. </w:t>
      </w:r>
      <w:r w:rsidR="003F4F91">
        <w:t xml:space="preserve">Mais </w:t>
      </w:r>
      <w:r w:rsidR="00475D67">
        <w:t xml:space="preserve">cet effort n’a pas été mis en œuvre selon </w:t>
      </w:r>
      <w:r w:rsidR="003F4F91">
        <w:t xml:space="preserve">une stratégie </w:t>
      </w:r>
      <w:r w:rsidR="00475D67">
        <w:t xml:space="preserve">très explicite. </w:t>
      </w:r>
      <w:r w:rsidR="003461FD">
        <w:t>La formation de formateurs locaux initialement recomma</w:t>
      </w:r>
      <w:r w:rsidR="003461FD">
        <w:t>n</w:t>
      </w:r>
      <w:r w:rsidR="003461FD">
        <w:lastRenderedPageBreak/>
        <w:t>dée n’a pas été mise en œuvre. F</w:t>
      </w:r>
      <w:r w:rsidR="001C5A82">
        <w:t>aute d’</w:t>
      </w:r>
      <w:r w:rsidR="00DB62C0">
        <w:t>un dispositif de suivi</w:t>
      </w:r>
      <w:r w:rsidR="006C2611">
        <w:t xml:space="preserve"> ad hoc et </w:t>
      </w:r>
      <w:r w:rsidR="001C5A82">
        <w:t xml:space="preserve">d’un bon </w:t>
      </w:r>
      <w:r w:rsidR="00B563AB">
        <w:t>archiv</w:t>
      </w:r>
      <w:r w:rsidR="001C5A82">
        <w:t xml:space="preserve">age des </w:t>
      </w:r>
      <w:r w:rsidR="00B563AB">
        <w:t>su</w:t>
      </w:r>
      <w:r w:rsidR="00B563AB">
        <w:t>p</w:t>
      </w:r>
      <w:r w:rsidR="00B563AB">
        <w:t xml:space="preserve">ports et contre-rendus de </w:t>
      </w:r>
      <w:r w:rsidR="001C5A82">
        <w:t>c</w:t>
      </w:r>
      <w:r w:rsidR="00B563AB">
        <w:t>es formations</w:t>
      </w:r>
      <w:r w:rsidR="001C5A82">
        <w:t xml:space="preserve">, la </w:t>
      </w:r>
      <w:r w:rsidR="003E5828">
        <w:t>capitalisation de cet</w:t>
      </w:r>
      <w:r w:rsidR="001C5A82">
        <w:t>te activité sera très limité</w:t>
      </w:r>
      <w:r w:rsidR="006361EF">
        <w:t>e</w:t>
      </w:r>
      <w:r w:rsidR="003461FD">
        <w:t xml:space="preserve"> et l’</w:t>
      </w:r>
      <w:r w:rsidR="001C5A82">
        <w:t>efficience de ce volet</w:t>
      </w:r>
      <w:r w:rsidR="003461FD">
        <w:t xml:space="preserve"> ne peut pas être m</w:t>
      </w:r>
      <w:r w:rsidR="003461FD">
        <w:t>e</w:t>
      </w:r>
      <w:r w:rsidR="003461FD">
        <w:t>surée</w:t>
      </w:r>
      <w:r w:rsidR="001C5A82">
        <w:t>.</w:t>
      </w:r>
      <w:r w:rsidR="003461FD">
        <w:t xml:space="preserve"> </w:t>
      </w:r>
    </w:p>
    <w:p w:rsidR="003F4F91" w:rsidRDefault="00F6141C" w:rsidP="00F6141C">
      <w:r>
        <w:t>Selon les informations fournies par l’UACP</w:t>
      </w:r>
      <w:r w:rsidR="003029B9">
        <w:t>, le projet</w:t>
      </w:r>
      <w:r>
        <w:t xml:space="preserve"> aurait organisé 26 opérations de form</w:t>
      </w:r>
      <w:r>
        <w:t>a</w:t>
      </w:r>
      <w:r>
        <w:t>tions correspondant à près de 6000 personnes/jours</w:t>
      </w:r>
      <w:r w:rsidR="003029B9">
        <w:t xml:space="preserve">, </w:t>
      </w:r>
      <w:r>
        <w:t xml:space="preserve">dans </w:t>
      </w:r>
      <w:r w:rsidR="00AD33EB">
        <w:t xml:space="preserve">quatre </w:t>
      </w:r>
      <w:r>
        <w:t>domaines</w:t>
      </w:r>
      <w:r w:rsidR="006361EF">
        <w:t> :</w:t>
      </w:r>
      <w:r>
        <w:t> le PACA et ses outils</w:t>
      </w:r>
      <w:r w:rsidR="00AD33EB">
        <w:t xml:space="preserve"> (42% des opérations)</w:t>
      </w:r>
      <w:r>
        <w:t xml:space="preserve">, la </w:t>
      </w:r>
      <w:r w:rsidR="00AD33EB">
        <w:t xml:space="preserve">gestion communale (31%) la </w:t>
      </w:r>
      <w:r>
        <w:t xml:space="preserve">maîtrise d’ouvrage communale </w:t>
      </w:r>
      <w:r w:rsidR="00AD33EB">
        <w:t xml:space="preserve">(8%) et des thèmes plus généraux (15%). </w:t>
      </w:r>
    </w:p>
    <w:p w:rsidR="00DB62C0" w:rsidRDefault="003029B9" w:rsidP="00F6141C">
      <w:r>
        <w:t xml:space="preserve">Ces formations ont d’abord </w:t>
      </w:r>
      <w:r w:rsidR="003F4F91">
        <w:t>visé</w:t>
      </w:r>
      <w:r w:rsidR="006361EF">
        <w:t xml:space="preserve"> </w:t>
      </w:r>
      <w:r w:rsidR="003F4F91">
        <w:t>les maires</w:t>
      </w:r>
      <w:r w:rsidR="006361EF">
        <w:t xml:space="preserve"> et</w:t>
      </w:r>
      <w:r w:rsidR="003F4F91">
        <w:t xml:space="preserve"> les secrétaires généraux, </w:t>
      </w:r>
      <w:r w:rsidR="00DB62C0">
        <w:t xml:space="preserve">mais </w:t>
      </w:r>
      <w:r w:rsidR="006361EF">
        <w:t>s</w:t>
      </w:r>
      <w:r w:rsidR="00DB62C0">
        <w:t>e sont souvent adressé</w:t>
      </w:r>
      <w:r w:rsidR="001C5A82">
        <w:t>e</w:t>
      </w:r>
      <w:r w:rsidR="00DB62C0">
        <w:t xml:space="preserve">s à l’ensemble des acteurs </w:t>
      </w:r>
      <w:r w:rsidR="001C5A82">
        <w:t xml:space="preserve">locaux </w:t>
      </w:r>
      <w:r w:rsidR="00DB62C0">
        <w:t>concernés par la gouvernance communale.</w:t>
      </w:r>
    </w:p>
    <w:p w:rsidR="003E5828" w:rsidRDefault="00DB62C0" w:rsidP="003029B9">
      <w:pPr>
        <w:pStyle w:val="Titre4"/>
      </w:pPr>
      <w:r>
        <w:t xml:space="preserve">Une contribution effective au renforcement des capacités des communes, </w:t>
      </w:r>
      <w:r w:rsidR="003E5828">
        <w:t xml:space="preserve">un effort à poursuivre </w:t>
      </w:r>
    </w:p>
    <w:p w:rsidR="003E5828" w:rsidRDefault="003029B9" w:rsidP="003E5828">
      <w:r>
        <w:t>Cet e</w:t>
      </w:r>
      <w:r w:rsidR="003F4F91">
        <w:t xml:space="preserve">ffort </w:t>
      </w:r>
      <w:r>
        <w:t>es</w:t>
      </w:r>
      <w:r w:rsidR="003F4F91">
        <w:t>t assez unanimement apprécié</w:t>
      </w:r>
      <w:r w:rsidR="00DB62C0">
        <w:t xml:space="preserve"> </w:t>
      </w:r>
      <w:r w:rsidR="006361EF">
        <w:t xml:space="preserve">par </w:t>
      </w:r>
      <w:r>
        <w:t>ses bénéficiaires directs</w:t>
      </w:r>
      <w:r w:rsidR="001C5A82">
        <w:t>,</w:t>
      </w:r>
      <w:r w:rsidR="00DB62C0">
        <w:t xml:space="preserve"> </w:t>
      </w:r>
      <w:r w:rsidR="003F4F91">
        <w:t>avec des différences marquée</w:t>
      </w:r>
      <w:r w:rsidR="006361EF">
        <w:t>s</w:t>
      </w:r>
      <w:r w:rsidR="003F4F91">
        <w:t xml:space="preserve"> selon les zones et le niveau initial des maires et des secrétaires généraux. </w:t>
      </w:r>
      <w:r w:rsidR="001C5A82">
        <w:t>Ces form</w:t>
      </w:r>
      <w:r w:rsidR="001C5A82">
        <w:t>a</w:t>
      </w:r>
      <w:r w:rsidR="001C5A82">
        <w:t>tions ont</w:t>
      </w:r>
      <w:r w:rsidR="006361EF">
        <w:t xml:space="preserve"> sans doute</w:t>
      </w:r>
      <w:r w:rsidR="001C5A82">
        <w:t xml:space="preserve"> </w:t>
      </w:r>
      <w:r w:rsidR="00DB62C0">
        <w:t>eu u</w:t>
      </w:r>
      <w:r w:rsidR="003F4F91">
        <w:t>n im</w:t>
      </w:r>
      <w:r w:rsidR="00B563AB">
        <w:t xml:space="preserve">pact réel sur le </w:t>
      </w:r>
      <w:r w:rsidR="003F4F91">
        <w:t>fonctionnement de</w:t>
      </w:r>
      <w:r w:rsidR="001C5A82">
        <w:t xml:space="preserve">s </w:t>
      </w:r>
      <w:r w:rsidR="003F4F91">
        <w:t>institution</w:t>
      </w:r>
      <w:r w:rsidR="001C5A82">
        <w:t>s</w:t>
      </w:r>
      <w:r w:rsidR="003F4F91">
        <w:t xml:space="preserve"> communale</w:t>
      </w:r>
      <w:r w:rsidR="001C5A82">
        <w:t>s</w:t>
      </w:r>
      <w:r>
        <w:t> : les maires, les secrétaires généraux</w:t>
      </w:r>
      <w:r w:rsidR="006361EF">
        <w:t xml:space="preserve"> et dans une moindre mesure,</w:t>
      </w:r>
      <w:r>
        <w:t xml:space="preserve"> les élus </w:t>
      </w:r>
      <w:r w:rsidR="00B563AB">
        <w:t>rencontrés par la mi</w:t>
      </w:r>
      <w:r w:rsidR="00B563AB">
        <w:t>s</w:t>
      </w:r>
      <w:r w:rsidR="00B563AB">
        <w:t>sion</w:t>
      </w:r>
      <w:r w:rsidR="006361EF">
        <w:t>,</w:t>
      </w:r>
      <w:r w:rsidR="00B563AB">
        <w:t xml:space="preserve"> </w:t>
      </w:r>
      <w:r>
        <w:t>connaissent bien leur rôle et leur mission. Les conseils communaux se réunissent réguli</w:t>
      </w:r>
      <w:r>
        <w:t>è</w:t>
      </w:r>
      <w:r>
        <w:t>rement et délibèrent régulièrement</w:t>
      </w:r>
      <w:r w:rsidR="00B563AB">
        <w:t xml:space="preserve"> dans la plus part des communes</w:t>
      </w:r>
      <w:r w:rsidR="006C2611">
        <w:t>. A quelques exceptions</w:t>
      </w:r>
      <w:r w:rsidR="006361EF">
        <w:t xml:space="preserve"> près,</w:t>
      </w:r>
      <w:r w:rsidR="006C2611">
        <w:t xml:space="preserve"> les notes attribuées par le CAEP en 2007 témoignent du bon niveau de fonctionnement communal. </w:t>
      </w:r>
    </w:p>
    <w:p w:rsidR="00A33E8B" w:rsidRDefault="001C5A82" w:rsidP="003E5828">
      <w:r>
        <w:t>L</w:t>
      </w:r>
      <w:r w:rsidR="006361EF">
        <w:t>es conséquences des élections</w:t>
      </w:r>
      <w:r w:rsidR="00A33E8B">
        <w:t xml:space="preserve"> de 2006 (fort taux de </w:t>
      </w:r>
      <w:r w:rsidR="003E5828">
        <w:t>renouvellement des maires et des co</w:t>
      </w:r>
      <w:r w:rsidR="003E5828">
        <w:t>n</w:t>
      </w:r>
      <w:r w:rsidR="003E5828">
        <w:t>seils municipaux</w:t>
      </w:r>
      <w:r w:rsidR="00A33E8B">
        <w:t>)</w:t>
      </w:r>
      <w:r w:rsidR="006361EF">
        <w:t>,</w:t>
      </w:r>
      <w:r w:rsidR="003E5828">
        <w:t xml:space="preserve"> le </w:t>
      </w:r>
      <w:r w:rsidR="006C2611">
        <w:t>remplacement en cours de la plupart des secrétaire</w:t>
      </w:r>
      <w:r w:rsidR="003E5828">
        <w:t>s</w:t>
      </w:r>
      <w:r w:rsidR="006C2611">
        <w:t xml:space="preserve"> généraux</w:t>
      </w:r>
      <w:r w:rsidR="00A33E8B">
        <w:t xml:space="preserve"> et</w:t>
      </w:r>
      <w:r w:rsidR="003E5828">
        <w:t xml:space="preserve"> les l</w:t>
      </w:r>
      <w:r w:rsidR="003E5828">
        <w:t>a</w:t>
      </w:r>
      <w:r w:rsidR="003E5828">
        <w:t xml:space="preserve">cunes </w:t>
      </w:r>
      <w:r w:rsidR="00A33E8B">
        <w:t>constatées au niveau des communes (</w:t>
      </w:r>
      <w:r w:rsidR="006361EF">
        <w:t xml:space="preserve">surtout </w:t>
      </w:r>
      <w:r w:rsidR="003E5828">
        <w:t>en matière de maîtrise d’ouvrage, d’archivages</w:t>
      </w:r>
      <w:r w:rsidR="006361EF">
        <w:t xml:space="preserve"> et </w:t>
      </w:r>
      <w:r w:rsidR="003E5828">
        <w:t xml:space="preserve">de </w:t>
      </w:r>
      <w:r w:rsidR="00A33E8B">
        <w:t xml:space="preserve">politique fiscale) plaident pour une poursuite de cet effort de </w:t>
      </w:r>
      <w:r>
        <w:t>renforcement de</w:t>
      </w:r>
      <w:r w:rsidR="006361EF">
        <w:t>s</w:t>
      </w:r>
      <w:r>
        <w:t xml:space="preserve"> capacité</w:t>
      </w:r>
      <w:r w:rsidR="006361EF">
        <w:t>s</w:t>
      </w:r>
      <w:r>
        <w:t>. Il devrait à l’avenir mieux articuler formation et appui</w:t>
      </w:r>
      <w:r w:rsidR="006361EF">
        <w:t>-conseil/de proximité.</w:t>
      </w:r>
    </w:p>
    <w:p w:rsidR="003E5828" w:rsidRDefault="003E5828" w:rsidP="003E5828">
      <w:pPr>
        <w:pStyle w:val="Titre4"/>
      </w:pPr>
      <w:r>
        <w:t>Des résultats plus inégaux sur les autres acteurs</w:t>
      </w:r>
      <w:r w:rsidR="00F319F3">
        <w:t>, services déconcentrés et organisations de la société civile locale</w:t>
      </w:r>
    </w:p>
    <w:p w:rsidR="00A33E8B" w:rsidRDefault="003F4F91" w:rsidP="00A33E8B">
      <w:r>
        <w:t>Les appuis significatifs en équipement apportés à certain</w:t>
      </w:r>
      <w:r w:rsidR="001C5A82">
        <w:t>e</w:t>
      </w:r>
      <w:r>
        <w:t xml:space="preserve">s </w:t>
      </w:r>
      <w:r w:rsidR="001C5A82">
        <w:t>administrations</w:t>
      </w:r>
      <w:r>
        <w:t xml:space="preserve"> </w:t>
      </w:r>
      <w:r w:rsidR="001C5A82">
        <w:t xml:space="preserve">déconcentrées </w:t>
      </w:r>
      <w:r>
        <w:t xml:space="preserve">étaient indispensables. </w:t>
      </w:r>
      <w:r w:rsidR="006361EF">
        <w:t>Mais i</w:t>
      </w:r>
      <w:r>
        <w:t xml:space="preserve">ls </w:t>
      </w:r>
      <w:r w:rsidR="006361EF">
        <w:t xml:space="preserve">ne suffisent pas toujours </w:t>
      </w:r>
      <w:r>
        <w:t>à renforcer notoirement leur efficacité (Cellule régionale du MAED, percepteurs).</w:t>
      </w:r>
      <w:r w:rsidR="00A33E8B">
        <w:t xml:space="preserve"> </w:t>
      </w:r>
    </w:p>
    <w:p w:rsidR="003F4F91" w:rsidRDefault="003F4F91" w:rsidP="00F319F3">
      <w:r>
        <w:t>Les S</w:t>
      </w:r>
      <w:r w:rsidR="001C5A82">
        <w:t xml:space="preserve">ervices techniques </w:t>
      </w:r>
      <w:r>
        <w:t xml:space="preserve">n’ont pas vraiment bénéficié de formations spécifiques. Ils ont été invités à participer à des formations ouvertes à l’ensemble des acteurs. L’impact de </w:t>
      </w:r>
      <w:r w:rsidR="006361EF">
        <w:t>ces form</w:t>
      </w:r>
      <w:r w:rsidR="006361EF">
        <w:t>a</w:t>
      </w:r>
      <w:r w:rsidR="006361EF">
        <w:t>tions</w:t>
      </w:r>
      <w:r>
        <w:t xml:space="preserve"> est difficile à apprécier</w:t>
      </w:r>
      <w:r w:rsidR="006361EF">
        <w:t xml:space="preserve">, d’autant que </w:t>
      </w:r>
      <w:r>
        <w:t>la mobilité des responsables de ces services est un obstacle sérieux à toute stratégie locale de renforcement de capacité</w:t>
      </w:r>
      <w:r w:rsidR="006361EF">
        <w:t>s</w:t>
      </w:r>
      <w:r>
        <w:t xml:space="preserve"> (et à son évaluation)</w:t>
      </w:r>
      <w:r w:rsidR="006361EF">
        <w:t>.</w:t>
      </w:r>
    </w:p>
    <w:p w:rsidR="003F4F91" w:rsidRDefault="003F4F91" w:rsidP="00F319F3">
      <w:r>
        <w:t>Les acteurs de la société civile communale sont bien informés du processus de planification locale</w:t>
      </w:r>
      <w:r w:rsidR="006361EF">
        <w:t>. En revanche, ils sont</w:t>
      </w:r>
      <w:r>
        <w:t xml:space="preserve"> inégalement armés pour participer au montage de leur projet</w:t>
      </w:r>
      <w:r w:rsidR="00B84861">
        <w:t xml:space="preserve"> et pour ensuite les gérer. Ils n’ont bénéficié d’un appui du PACA que depuis l’arrivé</w:t>
      </w:r>
      <w:r w:rsidR="006361EF">
        <w:t>e</w:t>
      </w:r>
      <w:r w:rsidR="00B84861">
        <w:t xml:space="preserve"> des VNU en 2008</w:t>
      </w:r>
      <w:r w:rsidR="006361EF">
        <w:t xml:space="preserve"> dans les 4 Moughataas. </w:t>
      </w:r>
    </w:p>
    <w:p w:rsidR="00B10856" w:rsidRDefault="00E43DB8" w:rsidP="00C358AB">
      <w:pPr>
        <w:pStyle w:val="Titre3"/>
      </w:pPr>
      <w:r>
        <w:t>L</w:t>
      </w:r>
      <w:r w:rsidR="00B10856">
        <w:t xml:space="preserve">a mise en œuvre du </w:t>
      </w:r>
      <w:r w:rsidR="006361EF">
        <w:t>f</w:t>
      </w:r>
      <w:r w:rsidR="00B10856">
        <w:t>onds d’investissement</w:t>
      </w:r>
      <w:r w:rsidR="006361EF">
        <w:t xml:space="preserve"> (FICA)</w:t>
      </w:r>
    </w:p>
    <w:p w:rsidR="00B10856" w:rsidRDefault="00B10856" w:rsidP="00B10856">
      <w:pPr>
        <w:pStyle w:val="Titre4"/>
      </w:pPr>
      <w:r>
        <w:t>Une mise en œuvre chaotique et peu transparente</w:t>
      </w:r>
    </w:p>
    <w:p w:rsidR="005A046D" w:rsidRDefault="004D32DB" w:rsidP="005A046D">
      <w:r>
        <w:t xml:space="preserve">La </w:t>
      </w:r>
      <w:r w:rsidR="00596544">
        <w:t xml:space="preserve">mise en œuvre du </w:t>
      </w:r>
      <w:r w:rsidR="006361EF">
        <w:t>f</w:t>
      </w:r>
      <w:r w:rsidR="00596544">
        <w:t xml:space="preserve">onds d’investissement a </w:t>
      </w:r>
      <w:r w:rsidR="005A046D">
        <w:t>été perturbé</w:t>
      </w:r>
      <w:r w:rsidR="009525D6">
        <w:t>e</w:t>
      </w:r>
      <w:r w:rsidR="005A046D">
        <w:t xml:space="preserve"> par </w:t>
      </w:r>
      <w:r w:rsidR="00596544">
        <w:t xml:space="preserve">l’absence </w:t>
      </w:r>
      <w:r w:rsidR="001C5A82">
        <w:t>(évoquée ci</w:t>
      </w:r>
      <w:r w:rsidR="006361EF">
        <w:t>-</w:t>
      </w:r>
      <w:r w:rsidR="001C5A82">
        <w:t xml:space="preserve">dessus) </w:t>
      </w:r>
      <w:r w:rsidR="00596544">
        <w:t xml:space="preserve">de </w:t>
      </w:r>
      <w:r w:rsidR="00B84861">
        <w:t xml:space="preserve">procédures claires </w:t>
      </w:r>
      <w:r w:rsidR="006361EF">
        <w:t>de mise en œuvre,</w:t>
      </w:r>
      <w:r w:rsidR="00B84861">
        <w:t xml:space="preserve"> validées par tou</w:t>
      </w:r>
      <w:r w:rsidR="00596544">
        <w:t>s</w:t>
      </w:r>
      <w:r w:rsidR="00B84861">
        <w:t xml:space="preserve"> les acteurs</w:t>
      </w:r>
      <w:r w:rsidR="005A046D">
        <w:t xml:space="preserve">. Elle a </w:t>
      </w:r>
      <w:r w:rsidR="006361EF">
        <w:t xml:space="preserve">également </w:t>
      </w:r>
      <w:r w:rsidR="005A046D">
        <w:t xml:space="preserve">souffert </w:t>
      </w:r>
      <w:r w:rsidR="003229FF">
        <w:lastRenderedPageBreak/>
        <w:t>de la mise en place trop tardive d</w:t>
      </w:r>
      <w:r w:rsidR="005A046D">
        <w:t>’</w:t>
      </w:r>
      <w:r w:rsidR="003229FF">
        <w:t>u</w:t>
      </w:r>
      <w:r w:rsidR="005A046D">
        <w:t>n dispositif d’appui à maîtrise d’ouvrage</w:t>
      </w:r>
      <w:r w:rsidR="001F54C8">
        <w:rPr>
          <w:rStyle w:val="Appelnotedebasdep"/>
        </w:rPr>
        <w:footnoteReference w:id="6"/>
      </w:r>
      <w:r w:rsidR="009525D6">
        <w:t xml:space="preserve">. Elle a enfin été contrariée par </w:t>
      </w:r>
      <w:r w:rsidR="006361EF">
        <w:t xml:space="preserve">le </w:t>
      </w:r>
      <w:r w:rsidR="009525D6">
        <w:t xml:space="preserve">non versement de la participation de l’Etat </w:t>
      </w:r>
      <w:r w:rsidR="006361EF">
        <w:t xml:space="preserve">mauritanien </w:t>
      </w:r>
      <w:r w:rsidR="009525D6">
        <w:t>au Fonds</w:t>
      </w:r>
      <w:r w:rsidR="006361EF">
        <w:t>.</w:t>
      </w:r>
    </w:p>
    <w:p w:rsidR="000356CE" w:rsidRDefault="00776EA9" w:rsidP="00B84861">
      <w:r>
        <w:t>A</w:t>
      </w:r>
      <w:r w:rsidR="006361EF">
        <w:t>ussi, a</w:t>
      </w:r>
      <w:r>
        <w:t>ucun de</w:t>
      </w:r>
      <w:r w:rsidR="001F54C8">
        <w:t>s</w:t>
      </w:r>
      <w:r>
        <w:t xml:space="preserve"> trois cycles </w:t>
      </w:r>
      <w:r w:rsidR="001F54C8">
        <w:t xml:space="preserve">du FICA </w:t>
      </w:r>
      <w:r>
        <w:t>ne s’est déroulé normalement</w:t>
      </w:r>
      <w:r w:rsidR="006361EF">
        <w:t> :</w:t>
      </w:r>
    </w:p>
    <w:p w:rsidR="000356CE" w:rsidRDefault="00776EA9" w:rsidP="00E24338">
      <w:pPr>
        <w:pStyle w:val="Pucepournumration"/>
      </w:pPr>
      <w:r>
        <w:t xml:space="preserve">Le </w:t>
      </w:r>
      <w:r w:rsidR="00596544">
        <w:t xml:space="preserve">premier </w:t>
      </w:r>
      <w:r w:rsidR="006361EF">
        <w:t xml:space="preserve">cycle </w:t>
      </w:r>
      <w:r>
        <w:t xml:space="preserve">est </w:t>
      </w:r>
      <w:r w:rsidR="00596544">
        <w:t xml:space="preserve">lancé rapidement </w:t>
      </w:r>
      <w:r w:rsidR="000356CE">
        <w:t xml:space="preserve">en 2006 </w:t>
      </w:r>
      <w:r>
        <w:t>(le changement de coordinateur a fait perdre six mois au projet). L’intégralité de la subvention est versée en une seule fois. La période préélectorale n’est pas favorable à la qualité des réalisations.</w:t>
      </w:r>
      <w:r w:rsidR="000356CE">
        <w:t xml:space="preserve"> </w:t>
      </w:r>
    </w:p>
    <w:p w:rsidR="004D32DB" w:rsidRDefault="000356CE" w:rsidP="00E24338">
      <w:pPr>
        <w:pStyle w:val="Pucepournumration"/>
      </w:pPr>
      <w:r>
        <w:t xml:space="preserve">Le second </w:t>
      </w:r>
      <w:r w:rsidR="006361EF">
        <w:t xml:space="preserve"> cycle </w:t>
      </w:r>
      <w:r>
        <w:t>lui succède sans que les procédures n’ai</w:t>
      </w:r>
      <w:r w:rsidR="006361EF">
        <w:t>en</w:t>
      </w:r>
      <w:r>
        <w:t xml:space="preserve">t </w:t>
      </w:r>
      <w:r w:rsidR="006361EF">
        <w:t>été</w:t>
      </w:r>
      <w:r>
        <w:t xml:space="preserve"> précisées</w:t>
      </w:r>
      <w:r w:rsidR="006361EF">
        <w:t xml:space="preserve">, </w:t>
      </w:r>
      <w:r>
        <w:t xml:space="preserve">ni l’appui à la maitrise d’ouvrage renforcé. Le paiement des subventions aux communes </w:t>
      </w:r>
      <w:r w:rsidR="009525D6">
        <w:t>reste incomplet</w:t>
      </w:r>
      <w:r w:rsidR="006361EF">
        <w:t>, car l</w:t>
      </w:r>
      <w:r w:rsidR="009525D6">
        <w:t>’Etat n</w:t>
      </w:r>
      <w:r w:rsidR="00E24338">
        <w:t xml:space="preserve">’a pas </w:t>
      </w:r>
      <w:r w:rsidR="009525D6">
        <w:t>vers</w:t>
      </w:r>
      <w:r w:rsidR="00E24338">
        <w:t>é</w:t>
      </w:r>
      <w:r w:rsidR="009525D6">
        <w:t xml:space="preserve"> les </w:t>
      </w:r>
      <w:r w:rsidR="004D32DB">
        <w:t xml:space="preserve">20% </w:t>
      </w:r>
      <w:r w:rsidR="009525D6">
        <w:t xml:space="preserve">du </w:t>
      </w:r>
      <w:r w:rsidR="004D32DB">
        <w:t>FICA 2</w:t>
      </w:r>
      <w:r w:rsidR="009525D6">
        <w:t xml:space="preserve"> auquel il s’était engagé</w:t>
      </w:r>
      <w:r w:rsidR="004D32DB">
        <w:t xml:space="preserve">. </w:t>
      </w:r>
    </w:p>
    <w:p w:rsidR="00534DA6" w:rsidRDefault="005A046D" w:rsidP="00E24338">
      <w:pPr>
        <w:pStyle w:val="Pucepournumration"/>
      </w:pPr>
      <w:r>
        <w:t xml:space="preserve">Le lancement du FICA 3 intervient tardivement. </w:t>
      </w:r>
      <w:r w:rsidR="009E1F89">
        <w:t>L’intervention d’</w:t>
      </w:r>
      <w:r w:rsidR="00162C1A">
        <w:t>Intercom</w:t>
      </w:r>
      <w:r w:rsidR="009E1F89">
        <w:t xml:space="preserve"> apporte plus de rigueur à la procédure. En novembre 2009</w:t>
      </w:r>
      <w:r w:rsidR="00162C1A">
        <w:t>,</w:t>
      </w:r>
      <w:r w:rsidR="009E1F89">
        <w:t xml:space="preserve"> dix neuf</w:t>
      </w:r>
      <w:r w:rsidR="00185E02">
        <w:t xml:space="preserve"> projets d’un premier groupe de 10 communes </w:t>
      </w:r>
      <w:r w:rsidR="00162C1A">
        <w:t>sont</w:t>
      </w:r>
      <w:r w:rsidR="009E1F89">
        <w:t xml:space="preserve"> </w:t>
      </w:r>
      <w:r w:rsidR="00185E02">
        <w:t xml:space="preserve">finalisés </w:t>
      </w:r>
      <w:r w:rsidR="00162C1A">
        <w:t>et</w:t>
      </w:r>
      <w:r w:rsidR="009E1F89">
        <w:t xml:space="preserve"> </w:t>
      </w:r>
      <w:r w:rsidR="00185E02">
        <w:t>les financements correspondants</w:t>
      </w:r>
      <w:r w:rsidR="009E1F89">
        <w:t xml:space="preserve"> </w:t>
      </w:r>
      <w:r w:rsidR="00162C1A">
        <w:t>sont</w:t>
      </w:r>
      <w:r w:rsidR="00185E02">
        <w:t xml:space="preserve"> versé</w:t>
      </w:r>
      <w:r w:rsidR="009E1F89">
        <w:t>s</w:t>
      </w:r>
      <w:r w:rsidR="00185E02">
        <w:t xml:space="preserve"> au </w:t>
      </w:r>
      <w:r w:rsidR="009525D6">
        <w:t>T</w:t>
      </w:r>
      <w:r w:rsidR="00185E02">
        <w:t xml:space="preserve">résor par le PNUD/FENU. </w:t>
      </w:r>
      <w:r w:rsidR="009E1F89">
        <w:t xml:space="preserve">Un deuxième groupe de 25 projets est prêt mais </w:t>
      </w:r>
      <w:r w:rsidR="009525D6">
        <w:t>n’a pas été financé</w:t>
      </w:r>
      <w:r w:rsidR="00162C1A">
        <w:t>. D’une part, l</w:t>
      </w:r>
      <w:r w:rsidR="00534DA6">
        <w:t>’Etat n’a toujours pas respecté ses engagements</w:t>
      </w:r>
      <w:r w:rsidR="00162C1A">
        <w:t xml:space="preserve">, d’autre part, </w:t>
      </w:r>
      <w:r w:rsidR="00534DA6">
        <w:t>il apparaît que des pe</w:t>
      </w:r>
      <w:r w:rsidR="00534DA6">
        <w:t>r</w:t>
      </w:r>
      <w:r w:rsidR="00534DA6">
        <w:t>ceptions ont effectué des versements anticipés au bénéfice de cinq communes</w:t>
      </w:r>
      <w:r w:rsidR="00162C1A">
        <w:t>.</w:t>
      </w:r>
    </w:p>
    <w:p w:rsidR="00B10856" w:rsidRDefault="00B10856" w:rsidP="00B10856">
      <w:pPr>
        <w:pStyle w:val="Titre4"/>
      </w:pPr>
      <w:r>
        <w:t>Seu</w:t>
      </w:r>
      <w:r w:rsidR="00162C1A">
        <w:t>ls</w:t>
      </w:r>
      <w:r>
        <w:t xml:space="preserve"> les deux tiers des fonds disponibl</w:t>
      </w:r>
      <w:r w:rsidR="00162C1A">
        <w:t>es</w:t>
      </w:r>
      <w:r>
        <w:t xml:space="preserve"> ont été utilisé</w:t>
      </w:r>
      <w:r w:rsidR="00162C1A">
        <w:t>s</w:t>
      </w:r>
      <w:r w:rsidR="001F54C8">
        <w:t xml:space="preserve"> pour financer environ 160 microprojet</w:t>
      </w:r>
      <w:r w:rsidR="00162C1A">
        <w:t>s.</w:t>
      </w:r>
    </w:p>
    <w:p w:rsidR="00B10856" w:rsidRDefault="00534DA6" w:rsidP="001F54C8">
      <w:r>
        <w:t xml:space="preserve">Au final, selon les données du </w:t>
      </w:r>
      <w:r w:rsidR="001F54C8">
        <w:t>PACA</w:t>
      </w:r>
      <w:r>
        <w:t xml:space="preserve">, </w:t>
      </w:r>
      <w:r w:rsidR="00A17B5F">
        <w:t>les financement</w:t>
      </w:r>
      <w:r w:rsidR="00E24338">
        <w:t>s</w:t>
      </w:r>
      <w:r w:rsidR="00A17B5F">
        <w:t xml:space="preserve"> effectivement mobilisés par le FICA (contributions des bénéficiaires et des communes comprises) ne s’élèvent qu’</w:t>
      </w:r>
      <w:r w:rsidR="00162C1A">
        <w:t>à</w:t>
      </w:r>
      <w:r w:rsidR="00A17B5F">
        <w:t xml:space="preserve"> 195 millions d’UM, soit 66% du total prévu, </w:t>
      </w:r>
      <w:r w:rsidR="00162C1A">
        <w:t xml:space="preserve">à savoir </w:t>
      </w:r>
      <w:r w:rsidR="00A17B5F">
        <w:t>286 millions d’UM.</w:t>
      </w:r>
      <w:r w:rsidR="001F54C8">
        <w:t xml:space="preserve"> Le</w:t>
      </w:r>
      <w:r w:rsidR="00E24338">
        <w:t xml:space="preserve"> mécanisme de bonification n’a </w:t>
      </w:r>
      <w:r w:rsidR="00162C1A">
        <w:t xml:space="preserve">finalement </w:t>
      </w:r>
      <w:r w:rsidR="00E24338">
        <w:t>fonctionné que pour le FICA 3</w:t>
      </w:r>
      <w:r w:rsidR="00162C1A">
        <w:t xml:space="preserve"> (i</w:t>
      </w:r>
      <w:r w:rsidR="00E24338">
        <w:t>l n’a pas été appliqué avec raison pour le FICA 2 pour ne pas pénaliser les nouveaux élus</w:t>
      </w:r>
      <w:r w:rsidR="001F54C8">
        <w:t>)</w:t>
      </w:r>
      <w:r w:rsidR="00E24338">
        <w:t>.</w:t>
      </w:r>
      <w:r w:rsidR="001F54C8">
        <w:t xml:space="preserve"> Le Fond</w:t>
      </w:r>
      <w:r w:rsidR="00162C1A">
        <w:t>s</w:t>
      </w:r>
      <w:r w:rsidR="001F54C8">
        <w:t xml:space="preserve"> de réserve et de performance de 90 millions d’UM n’a donc pas </w:t>
      </w:r>
      <w:r w:rsidR="00382163">
        <w:t>été utilisé</w:t>
      </w:r>
      <w:r w:rsidR="001F54C8">
        <w:t xml:space="preserve"> comme prévu.</w:t>
      </w:r>
    </w:p>
    <w:p w:rsidR="0003297C" w:rsidRDefault="001F54C8" w:rsidP="001F54C8">
      <w:r>
        <w:t>Le FICA a malgré tout permis de financ</w:t>
      </w:r>
      <w:r w:rsidR="00162C1A">
        <w:t>er</w:t>
      </w:r>
      <w:r>
        <w:t xml:space="preserve"> environ 160 microprojet</w:t>
      </w:r>
      <w:r w:rsidR="00162C1A">
        <w:t xml:space="preserve">s </w:t>
      </w:r>
      <w:r>
        <w:t>qui peuvent se répartir en trois groupes</w:t>
      </w:r>
      <w:r w:rsidR="0003297C">
        <w:t xml:space="preserve"> selon qu’ils visent</w:t>
      </w:r>
      <w:r w:rsidR="00162C1A">
        <w:t> :</w:t>
      </w:r>
      <w:r w:rsidR="0003297C">
        <w:t xml:space="preserve"> </w:t>
      </w:r>
      <w:r w:rsidR="00162C1A">
        <w:t xml:space="preserve">1) </w:t>
      </w:r>
      <w:r w:rsidR="0003297C">
        <w:t>l’amélioration des services de base (éducation, santé, a</w:t>
      </w:r>
      <w:r w:rsidR="0003297C">
        <w:t>c</w:t>
      </w:r>
      <w:r w:rsidR="0003297C">
        <w:t>cès à l’eau, assainissement)</w:t>
      </w:r>
      <w:r w:rsidR="00162C1A">
        <w:t>, 2)</w:t>
      </w:r>
      <w:r w:rsidR="0003297C">
        <w:t xml:space="preserve"> l’extension, la réhabilitation ou l’équipement des mairie</w:t>
      </w:r>
      <w:r w:rsidR="00CE56B8">
        <w:t>s</w:t>
      </w:r>
      <w:r w:rsidR="0003297C">
        <w:t xml:space="preserve">, </w:t>
      </w:r>
      <w:r w:rsidR="00162C1A">
        <w:t xml:space="preserve">3) </w:t>
      </w:r>
      <w:r w:rsidR="0003297C">
        <w:t>la mise en œuvre d’activité</w:t>
      </w:r>
      <w:r w:rsidR="00162C1A">
        <w:t>s</w:t>
      </w:r>
      <w:r w:rsidR="0003297C">
        <w:t xml:space="preserve"> économiques, AGR ou services marchants.</w:t>
      </w:r>
    </w:p>
    <w:p w:rsidR="001F54C8" w:rsidRDefault="0003297C" w:rsidP="001F54C8">
      <w:r>
        <w:t>.Le tableau ci-dessous, élaboré à partir des données fournies par le PACA présente somma</w:t>
      </w:r>
      <w:r>
        <w:t>i</w:t>
      </w:r>
      <w:r>
        <w:t>rement ces trois catégories de microp</w:t>
      </w:r>
      <w:r w:rsidR="00CE56B8">
        <w:t>r</w:t>
      </w:r>
      <w:r>
        <w:t>ojets.</w:t>
      </w:r>
    </w:p>
    <w:p w:rsidR="0003297C" w:rsidRPr="001F54C8" w:rsidRDefault="0003297C" w:rsidP="0003297C">
      <w:pPr>
        <w:pStyle w:val="Petitsautdeparagraphe"/>
      </w:pPr>
    </w:p>
    <w:tbl>
      <w:tblPr>
        <w:tblW w:w="7936" w:type="dxa"/>
        <w:jc w:val="center"/>
        <w:tblCellMar>
          <w:left w:w="0" w:type="dxa"/>
          <w:right w:w="0" w:type="dxa"/>
        </w:tblCellMar>
        <w:tblLook w:val="04A0"/>
      </w:tblPr>
      <w:tblGrid>
        <w:gridCol w:w="4195"/>
        <w:gridCol w:w="1247"/>
        <w:gridCol w:w="1247"/>
        <w:gridCol w:w="1247"/>
      </w:tblGrid>
      <w:tr w:rsidR="00470D0F" w:rsidTr="0003297C">
        <w:trPr>
          <w:trHeight w:val="20"/>
          <w:jc w:val="center"/>
        </w:trPr>
        <w:tc>
          <w:tcPr>
            <w:tcW w:w="4195" w:type="dxa"/>
            <w:tcBorders>
              <w:top w:val="single" w:sz="8" w:space="0" w:color="FFFFFF"/>
              <w:left w:val="single" w:sz="8" w:space="0" w:color="FFFFFF"/>
              <w:bottom w:val="single" w:sz="24" w:space="0" w:color="FFFFFF"/>
              <w:right w:val="single" w:sz="8" w:space="0" w:color="FFFFFF"/>
            </w:tcBorders>
            <w:shd w:val="clear" w:color="auto" w:fill="DCE6F2"/>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b/>
                <w:sz w:val="18"/>
                <w:szCs w:val="18"/>
              </w:rPr>
            </w:pPr>
            <w:r w:rsidRPr="00470D0F">
              <w:rPr>
                <w:rFonts w:ascii="Arial Narrow" w:hAnsi="Arial Narrow"/>
                <w:b/>
                <w:kern w:val="24"/>
                <w:sz w:val="18"/>
                <w:szCs w:val="18"/>
              </w:rPr>
              <w:lastRenderedPageBreak/>
              <w:t>Total FICA (FDC+FIL 1,2 &amp;3)</w:t>
            </w:r>
          </w:p>
        </w:tc>
        <w:tc>
          <w:tcPr>
            <w:tcW w:w="1247" w:type="dxa"/>
            <w:tcBorders>
              <w:top w:val="single" w:sz="8" w:space="0" w:color="FFFFFF"/>
              <w:left w:val="single" w:sz="8" w:space="0" w:color="FFFFFF"/>
              <w:bottom w:val="single" w:sz="24" w:space="0" w:color="FFFFFF"/>
              <w:right w:val="single" w:sz="8" w:space="0" w:color="FFFFFF"/>
            </w:tcBorders>
            <w:shd w:val="clear" w:color="auto" w:fill="DCE6F2"/>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b/>
                <w:sz w:val="18"/>
                <w:szCs w:val="18"/>
              </w:rPr>
            </w:pPr>
            <w:r w:rsidRPr="00470D0F">
              <w:rPr>
                <w:rFonts w:ascii="Arial Narrow" w:hAnsi="Arial Narrow"/>
                <w:b/>
                <w:kern w:val="24"/>
                <w:sz w:val="18"/>
                <w:szCs w:val="18"/>
              </w:rPr>
              <w:t>nb projets</w:t>
            </w:r>
          </w:p>
        </w:tc>
        <w:tc>
          <w:tcPr>
            <w:tcW w:w="1247" w:type="dxa"/>
            <w:tcBorders>
              <w:top w:val="single" w:sz="8" w:space="0" w:color="FFFFFF"/>
              <w:left w:val="single" w:sz="8" w:space="0" w:color="FFFFFF"/>
              <w:bottom w:val="single" w:sz="24" w:space="0" w:color="FFFFFF"/>
              <w:right w:val="single" w:sz="8" w:space="0" w:color="FFFFFF"/>
            </w:tcBorders>
            <w:shd w:val="clear" w:color="auto" w:fill="DCE6F2"/>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b/>
                <w:sz w:val="18"/>
                <w:szCs w:val="18"/>
              </w:rPr>
            </w:pPr>
            <w:r w:rsidRPr="00470D0F">
              <w:rPr>
                <w:rFonts w:ascii="Arial Narrow" w:hAnsi="Arial Narrow"/>
                <w:b/>
                <w:kern w:val="24"/>
                <w:sz w:val="18"/>
                <w:szCs w:val="18"/>
              </w:rPr>
              <w:t>montant en million UM</w:t>
            </w:r>
          </w:p>
        </w:tc>
        <w:tc>
          <w:tcPr>
            <w:tcW w:w="1247" w:type="dxa"/>
            <w:tcBorders>
              <w:top w:val="single" w:sz="8" w:space="0" w:color="FFFFFF"/>
              <w:left w:val="single" w:sz="8" w:space="0" w:color="FFFFFF"/>
              <w:bottom w:val="single" w:sz="24" w:space="0" w:color="FFFFFF"/>
              <w:right w:val="single" w:sz="8" w:space="0" w:color="FFFFFF"/>
            </w:tcBorders>
            <w:shd w:val="clear" w:color="auto" w:fill="DCE6F2"/>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b/>
                <w:sz w:val="18"/>
                <w:szCs w:val="18"/>
              </w:rPr>
            </w:pPr>
            <w:r w:rsidRPr="00470D0F">
              <w:rPr>
                <w:rFonts w:ascii="Arial Narrow" w:hAnsi="Arial Narrow"/>
                <w:b/>
                <w:kern w:val="24"/>
                <w:sz w:val="18"/>
                <w:szCs w:val="18"/>
              </w:rPr>
              <w:t>Montant  en %</w:t>
            </w:r>
          </w:p>
        </w:tc>
      </w:tr>
      <w:tr w:rsidR="00470D0F" w:rsidTr="0003297C">
        <w:trPr>
          <w:trHeight w:val="20"/>
          <w:jc w:val="center"/>
        </w:trPr>
        <w:tc>
          <w:tcPr>
            <w:tcW w:w="4195" w:type="dxa"/>
            <w:tcBorders>
              <w:top w:val="single" w:sz="24"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rPr>
                <w:rFonts w:ascii="Arial Narrow" w:hAnsi="Arial Narrow"/>
                <w:sz w:val="18"/>
                <w:szCs w:val="18"/>
              </w:rPr>
            </w:pPr>
            <w:r w:rsidRPr="00470D0F">
              <w:rPr>
                <w:rFonts w:ascii="Arial Narrow" w:hAnsi="Arial Narrow"/>
                <w:kern w:val="24"/>
                <w:sz w:val="18"/>
                <w:szCs w:val="18"/>
              </w:rPr>
              <w:t xml:space="preserve">  Service de base (éducation santé eau)</w:t>
            </w:r>
          </w:p>
        </w:tc>
        <w:tc>
          <w:tcPr>
            <w:tcW w:w="1247" w:type="dxa"/>
            <w:tcBorders>
              <w:top w:val="single" w:sz="24"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22</w:t>
            </w:r>
          </w:p>
        </w:tc>
        <w:tc>
          <w:tcPr>
            <w:tcW w:w="1247" w:type="dxa"/>
            <w:tcBorders>
              <w:top w:val="single" w:sz="24"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ind w:right="340"/>
              <w:jc w:val="right"/>
              <w:rPr>
                <w:rFonts w:ascii="Arial Narrow" w:hAnsi="Arial Narrow"/>
                <w:sz w:val="18"/>
                <w:szCs w:val="18"/>
              </w:rPr>
            </w:pPr>
            <w:r w:rsidRPr="00470D0F">
              <w:rPr>
                <w:rFonts w:ascii="Arial Narrow" w:hAnsi="Arial Narrow"/>
                <w:kern w:val="24"/>
                <w:sz w:val="18"/>
                <w:szCs w:val="18"/>
              </w:rPr>
              <w:t>21,73</w:t>
            </w:r>
          </w:p>
        </w:tc>
        <w:tc>
          <w:tcPr>
            <w:tcW w:w="1247" w:type="dxa"/>
            <w:tcBorders>
              <w:top w:val="single" w:sz="24"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11%</w:t>
            </w:r>
          </w:p>
        </w:tc>
      </w:tr>
      <w:tr w:rsidR="00470D0F" w:rsidTr="0003297C">
        <w:trPr>
          <w:trHeight w:val="20"/>
          <w:jc w:val="center"/>
        </w:trPr>
        <w:tc>
          <w:tcPr>
            <w:tcW w:w="4195"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rPr>
                <w:rFonts w:ascii="Arial Narrow" w:hAnsi="Arial Narrow"/>
                <w:sz w:val="18"/>
                <w:szCs w:val="18"/>
              </w:rPr>
            </w:pPr>
            <w:r w:rsidRPr="00470D0F">
              <w:rPr>
                <w:rFonts w:ascii="Arial Narrow" w:hAnsi="Arial Narrow"/>
                <w:kern w:val="24"/>
                <w:sz w:val="18"/>
                <w:szCs w:val="18"/>
              </w:rPr>
              <w:t xml:space="preserve">   Assainissement (</w:t>
            </w:r>
            <w:r>
              <w:rPr>
                <w:rFonts w:ascii="Arial Narrow" w:hAnsi="Arial Narrow"/>
                <w:kern w:val="24"/>
                <w:sz w:val="18"/>
                <w:szCs w:val="18"/>
              </w:rPr>
              <w:t xml:space="preserve">dont </w:t>
            </w:r>
            <w:r w:rsidRPr="00470D0F">
              <w:rPr>
                <w:rFonts w:ascii="Arial Narrow" w:hAnsi="Arial Narrow"/>
                <w:kern w:val="24"/>
                <w:sz w:val="18"/>
                <w:szCs w:val="18"/>
              </w:rPr>
              <w:t xml:space="preserve">ramassage ordure) </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13</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ind w:right="340"/>
              <w:jc w:val="right"/>
              <w:rPr>
                <w:rFonts w:ascii="Arial Narrow" w:hAnsi="Arial Narrow"/>
                <w:sz w:val="18"/>
                <w:szCs w:val="18"/>
              </w:rPr>
            </w:pPr>
            <w:r w:rsidRPr="00470D0F">
              <w:rPr>
                <w:rFonts w:ascii="Arial Narrow" w:hAnsi="Arial Narrow"/>
                <w:kern w:val="24"/>
                <w:sz w:val="18"/>
                <w:szCs w:val="18"/>
              </w:rPr>
              <w:t>20,92</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11%</w:t>
            </w:r>
          </w:p>
        </w:tc>
      </w:tr>
      <w:tr w:rsidR="00470D0F" w:rsidTr="0003297C">
        <w:trPr>
          <w:trHeight w:val="20"/>
          <w:jc w:val="center"/>
        </w:trPr>
        <w:tc>
          <w:tcPr>
            <w:tcW w:w="4195"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rPr>
                <w:rFonts w:ascii="Arial Narrow" w:hAnsi="Arial Narrow"/>
                <w:b/>
                <w:sz w:val="18"/>
                <w:szCs w:val="18"/>
              </w:rPr>
            </w:pPr>
            <w:r w:rsidRPr="00F519AA">
              <w:rPr>
                <w:rFonts w:ascii="Arial Narrow" w:hAnsi="Arial Narrow"/>
                <w:b/>
                <w:kern w:val="24"/>
                <w:sz w:val="18"/>
                <w:szCs w:val="18"/>
              </w:rPr>
              <w:t xml:space="preserve">    Total 1</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jc w:val="center"/>
              <w:rPr>
                <w:rFonts w:ascii="Arial Narrow" w:hAnsi="Arial Narrow"/>
                <w:b/>
                <w:sz w:val="18"/>
                <w:szCs w:val="18"/>
              </w:rPr>
            </w:pPr>
            <w:r w:rsidRPr="00F519AA">
              <w:rPr>
                <w:rFonts w:ascii="Arial Narrow" w:hAnsi="Arial Narrow"/>
                <w:b/>
                <w:kern w:val="24"/>
                <w:sz w:val="18"/>
                <w:szCs w:val="18"/>
              </w:rPr>
              <w:t>35</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ind w:right="340"/>
              <w:jc w:val="right"/>
              <w:rPr>
                <w:rFonts w:ascii="Arial Narrow" w:hAnsi="Arial Narrow"/>
                <w:b/>
                <w:sz w:val="18"/>
                <w:szCs w:val="18"/>
              </w:rPr>
            </w:pPr>
            <w:r w:rsidRPr="00F519AA">
              <w:rPr>
                <w:rFonts w:ascii="Arial Narrow" w:hAnsi="Arial Narrow"/>
                <w:b/>
                <w:kern w:val="24"/>
                <w:sz w:val="18"/>
                <w:szCs w:val="18"/>
              </w:rPr>
              <w:t>43,69</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jc w:val="center"/>
              <w:rPr>
                <w:rFonts w:ascii="Arial Narrow" w:hAnsi="Arial Narrow"/>
                <w:b/>
                <w:sz w:val="18"/>
                <w:szCs w:val="18"/>
              </w:rPr>
            </w:pPr>
            <w:r w:rsidRPr="00F519AA">
              <w:rPr>
                <w:rFonts w:ascii="Arial Narrow" w:hAnsi="Arial Narrow"/>
                <w:b/>
                <w:kern w:val="24"/>
                <w:sz w:val="18"/>
                <w:szCs w:val="18"/>
              </w:rPr>
              <w:t>22%</w:t>
            </w:r>
          </w:p>
        </w:tc>
      </w:tr>
      <w:tr w:rsidR="00470D0F" w:rsidTr="0003297C">
        <w:trPr>
          <w:trHeight w:val="20"/>
          <w:jc w:val="center"/>
        </w:trPr>
        <w:tc>
          <w:tcPr>
            <w:tcW w:w="4195"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rPr>
                <w:rFonts w:ascii="Arial Narrow" w:hAnsi="Arial Narrow"/>
                <w:b/>
                <w:sz w:val="18"/>
                <w:szCs w:val="18"/>
              </w:rPr>
            </w:pPr>
            <w:r w:rsidRPr="00F519AA">
              <w:rPr>
                <w:rFonts w:ascii="Arial Narrow" w:hAnsi="Arial Narrow"/>
                <w:b/>
                <w:kern w:val="24"/>
                <w:sz w:val="18"/>
                <w:szCs w:val="18"/>
              </w:rPr>
              <w:t xml:space="preserve">   Mairie </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jc w:val="center"/>
              <w:rPr>
                <w:rFonts w:ascii="Arial Narrow" w:hAnsi="Arial Narrow"/>
                <w:b/>
                <w:sz w:val="18"/>
                <w:szCs w:val="18"/>
              </w:rPr>
            </w:pPr>
            <w:r w:rsidRPr="00F519AA">
              <w:rPr>
                <w:rFonts w:ascii="Arial Narrow" w:hAnsi="Arial Narrow"/>
                <w:b/>
                <w:kern w:val="24"/>
                <w:sz w:val="18"/>
                <w:szCs w:val="18"/>
              </w:rPr>
              <w:t>22</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ind w:right="340"/>
              <w:jc w:val="right"/>
              <w:rPr>
                <w:rFonts w:ascii="Arial Narrow" w:hAnsi="Arial Narrow"/>
                <w:b/>
                <w:sz w:val="18"/>
                <w:szCs w:val="18"/>
              </w:rPr>
            </w:pPr>
            <w:r w:rsidRPr="00F519AA">
              <w:rPr>
                <w:rFonts w:ascii="Arial Narrow" w:hAnsi="Arial Narrow"/>
                <w:b/>
                <w:kern w:val="24"/>
                <w:sz w:val="18"/>
                <w:szCs w:val="18"/>
              </w:rPr>
              <w:t>38,96</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jc w:val="center"/>
              <w:rPr>
                <w:rFonts w:ascii="Arial Narrow" w:hAnsi="Arial Narrow"/>
                <w:b/>
                <w:sz w:val="18"/>
                <w:szCs w:val="18"/>
              </w:rPr>
            </w:pPr>
            <w:r w:rsidRPr="00F519AA">
              <w:rPr>
                <w:rFonts w:ascii="Arial Narrow" w:hAnsi="Arial Narrow"/>
                <w:b/>
                <w:kern w:val="24"/>
                <w:sz w:val="18"/>
                <w:szCs w:val="18"/>
              </w:rPr>
              <w:t>20%</w:t>
            </w:r>
          </w:p>
        </w:tc>
      </w:tr>
      <w:tr w:rsidR="00470D0F" w:rsidTr="0003297C">
        <w:trPr>
          <w:trHeight w:val="20"/>
          <w:jc w:val="center"/>
        </w:trPr>
        <w:tc>
          <w:tcPr>
            <w:tcW w:w="4195"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rPr>
                <w:rFonts w:ascii="Arial Narrow" w:hAnsi="Arial Narrow"/>
                <w:sz w:val="18"/>
                <w:szCs w:val="18"/>
              </w:rPr>
            </w:pPr>
            <w:r w:rsidRPr="00470D0F">
              <w:rPr>
                <w:rFonts w:ascii="Arial Narrow" w:hAnsi="Arial Narrow"/>
                <w:kern w:val="24"/>
                <w:sz w:val="18"/>
                <w:szCs w:val="18"/>
              </w:rPr>
              <w:t xml:space="preserve">   Agriculture </w:t>
            </w:r>
            <w:r>
              <w:rPr>
                <w:rFonts w:ascii="Arial Narrow" w:hAnsi="Arial Narrow"/>
                <w:kern w:val="24"/>
                <w:sz w:val="18"/>
                <w:szCs w:val="18"/>
              </w:rPr>
              <w:t>(jardin maraîcher)</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74</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ind w:right="340"/>
              <w:jc w:val="right"/>
              <w:rPr>
                <w:rFonts w:ascii="Arial Narrow" w:hAnsi="Arial Narrow"/>
                <w:sz w:val="18"/>
                <w:szCs w:val="18"/>
              </w:rPr>
            </w:pPr>
            <w:r w:rsidRPr="00470D0F">
              <w:rPr>
                <w:rFonts w:ascii="Arial Narrow" w:hAnsi="Arial Narrow"/>
                <w:kern w:val="24"/>
                <w:sz w:val="18"/>
                <w:szCs w:val="18"/>
              </w:rPr>
              <w:t>67,97</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35%</w:t>
            </w:r>
          </w:p>
        </w:tc>
      </w:tr>
      <w:tr w:rsidR="00470D0F" w:rsidTr="0003297C">
        <w:trPr>
          <w:trHeight w:val="20"/>
          <w:jc w:val="center"/>
        </w:trPr>
        <w:tc>
          <w:tcPr>
            <w:tcW w:w="4195"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rPr>
                <w:rFonts w:ascii="Arial Narrow" w:hAnsi="Arial Narrow"/>
                <w:sz w:val="18"/>
                <w:szCs w:val="18"/>
              </w:rPr>
            </w:pPr>
            <w:r w:rsidRPr="00470D0F">
              <w:rPr>
                <w:rFonts w:ascii="Arial Narrow" w:hAnsi="Arial Narrow"/>
                <w:kern w:val="24"/>
                <w:sz w:val="18"/>
                <w:szCs w:val="18"/>
              </w:rPr>
              <w:t xml:space="preserve">   Aval de l'élevage</w:t>
            </w:r>
            <w:r>
              <w:rPr>
                <w:rFonts w:ascii="Arial Narrow" w:hAnsi="Arial Narrow"/>
                <w:kern w:val="24"/>
                <w:sz w:val="18"/>
                <w:szCs w:val="18"/>
              </w:rPr>
              <w:t xml:space="preserve"> (abattoir Boucherie)</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11</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ind w:right="340"/>
              <w:jc w:val="right"/>
              <w:rPr>
                <w:rFonts w:ascii="Arial Narrow" w:hAnsi="Arial Narrow"/>
                <w:sz w:val="18"/>
                <w:szCs w:val="18"/>
              </w:rPr>
            </w:pPr>
            <w:r w:rsidRPr="00470D0F">
              <w:rPr>
                <w:rFonts w:ascii="Arial Narrow" w:hAnsi="Arial Narrow"/>
                <w:kern w:val="24"/>
                <w:sz w:val="18"/>
                <w:szCs w:val="18"/>
              </w:rPr>
              <w:t>16,16</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8%</w:t>
            </w:r>
          </w:p>
        </w:tc>
      </w:tr>
      <w:tr w:rsidR="00470D0F" w:rsidTr="0003297C">
        <w:trPr>
          <w:trHeight w:val="20"/>
          <w:jc w:val="center"/>
        </w:trPr>
        <w:tc>
          <w:tcPr>
            <w:tcW w:w="4195"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rPr>
                <w:rFonts w:ascii="Arial Narrow" w:hAnsi="Arial Narrow"/>
                <w:sz w:val="18"/>
                <w:szCs w:val="18"/>
              </w:rPr>
            </w:pPr>
            <w:r w:rsidRPr="00470D0F">
              <w:rPr>
                <w:rFonts w:ascii="Arial Narrow" w:hAnsi="Arial Narrow"/>
                <w:kern w:val="24"/>
                <w:sz w:val="18"/>
                <w:szCs w:val="18"/>
              </w:rPr>
              <w:t xml:space="preserve">   </w:t>
            </w:r>
            <w:r>
              <w:rPr>
                <w:rFonts w:ascii="Arial Narrow" w:hAnsi="Arial Narrow"/>
                <w:kern w:val="24"/>
                <w:sz w:val="18"/>
                <w:szCs w:val="18"/>
              </w:rPr>
              <w:t>Boutique (produit de 1</w:t>
            </w:r>
            <w:r w:rsidRPr="00470D0F">
              <w:rPr>
                <w:rFonts w:ascii="Arial Narrow" w:hAnsi="Arial Narrow"/>
                <w:kern w:val="24"/>
                <w:sz w:val="18"/>
                <w:szCs w:val="18"/>
                <w:vertAlign w:val="superscript"/>
              </w:rPr>
              <w:t>ère</w:t>
            </w:r>
            <w:r>
              <w:rPr>
                <w:rFonts w:ascii="Arial Narrow" w:hAnsi="Arial Narrow"/>
                <w:kern w:val="24"/>
                <w:sz w:val="18"/>
                <w:szCs w:val="18"/>
              </w:rPr>
              <w:t xml:space="preserve"> nécessité, gaz) et  Moulins</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14</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ind w:right="340"/>
              <w:jc w:val="right"/>
              <w:rPr>
                <w:rFonts w:ascii="Arial Narrow" w:hAnsi="Arial Narrow"/>
                <w:sz w:val="18"/>
                <w:szCs w:val="18"/>
              </w:rPr>
            </w:pPr>
            <w:r w:rsidRPr="00470D0F">
              <w:rPr>
                <w:rFonts w:ascii="Arial Narrow" w:hAnsi="Arial Narrow"/>
                <w:kern w:val="24"/>
                <w:sz w:val="18"/>
                <w:szCs w:val="18"/>
              </w:rPr>
              <w:t>20,13</w:t>
            </w:r>
          </w:p>
        </w:tc>
        <w:tc>
          <w:tcPr>
            <w:tcW w:w="1247" w:type="dxa"/>
            <w:tcBorders>
              <w:top w:val="single" w:sz="8" w:space="0" w:color="FFFFFF"/>
              <w:left w:val="single" w:sz="8" w:space="0" w:color="FFFFFF"/>
              <w:bottom w:val="single" w:sz="8" w:space="0" w:color="FFFFFF"/>
              <w:right w:val="single" w:sz="8" w:space="0" w:color="FFFFFF"/>
            </w:tcBorders>
            <w:shd w:val="clear" w:color="auto" w:fill="EEECE1"/>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10%</w:t>
            </w:r>
          </w:p>
        </w:tc>
      </w:tr>
      <w:tr w:rsidR="00470D0F" w:rsidTr="0003297C">
        <w:trPr>
          <w:trHeight w:val="20"/>
          <w:jc w:val="center"/>
        </w:trPr>
        <w:tc>
          <w:tcPr>
            <w:tcW w:w="4195"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rPr>
                <w:rFonts w:ascii="Arial Narrow" w:hAnsi="Arial Narrow"/>
                <w:b/>
                <w:sz w:val="18"/>
                <w:szCs w:val="18"/>
              </w:rPr>
            </w:pPr>
            <w:r w:rsidRPr="00F519AA">
              <w:rPr>
                <w:rFonts w:ascii="Arial Narrow" w:hAnsi="Arial Narrow"/>
                <w:b/>
                <w:kern w:val="24"/>
                <w:sz w:val="18"/>
                <w:szCs w:val="18"/>
              </w:rPr>
              <w:t xml:space="preserve">   Total 2</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jc w:val="center"/>
              <w:rPr>
                <w:rFonts w:ascii="Arial Narrow" w:hAnsi="Arial Narrow"/>
                <w:b/>
                <w:sz w:val="18"/>
                <w:szCs w:val="18"/>
              </w:rPr>
            </w:pPr>
            <w:r w:rsidRPr="00F519AA">
              <w:rPr>
                <w:rFonts w:ascii="Arial Narrow" w:hAnsi="Arial Narrow"/>
                <w:b/>
                <w:kern w:val="24"/>
                <w:sz w:val="18"/>
                <w:szCs w:val="18"/>
              </w:rPr>
              <w:t>99</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ind w:right="340"/>
              <w:jc w:val="right"/>
              <w:rPr>
                <w:rFonts w:ascii="Arial Narrow" w:hAnsi="Arial Narrow"/>
                <w:b/>
                <w:sz w:val="18"/>
                <w:szCs w:val="18"/>
              </w:rPr>
            </w:pPr>
            <w:r w:rsidRPr="00F519AA">
              <w:rPr>
                <w:rFonts w:ascii="Arial Narrow" w:hAnsi="Arial Narrow"/>
                <w:b/>
                <w:kern w:val="24"/>
                <w:sz w:val="18"/>
                <w:szCs w:val="18"/>
              </w:rPr>
              <w:t>104,26</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jc w:val="center"/>
              <w:rPr>
                <w:rFonts w:ascii="Arial Narrow" w:hAnsi="Arial Narrow"/>
                <w:b/>
                <w:sz w:val="18"/>
                <w:szCs w:val="18"/>
              </w:rPr>
            </w:pPr>
            <w:r w:rsidRPr="00F519AA">
              <w:rPr>
                <w:rFonts w:ascii="Arial Narrow" w:hAnsi="Arial Narrow"/>
                <w:b/>
                <w:kern w:val="24"/>
                <w:sz w:val="18"/>
                <w:szCs w:val="18"/>
              </w:rPr>
              <w:t>54%</w:t>
            </w:r>
          </w:p>
        </w:tc>
      </w:tr>
      <w:tr w:rsidR="00470D0F" w:rsidTr="0003297C">
        <w:trPr>
          <w:trHeight w:val="20"/>
          <w:jc w:val="center"/>
        </w:trPr>
        <w:tc>
          <w:tcPr>
            <w:tcW w:w="4195" w:type="dxa"/>
            <w:tcBorders>
              <w:top w:val="single" w:sz="8" w:space="0" w:color="FFFFFF"/>
              <w:left w:val="single" w:sz="8" w:space="0" w:color="FFFFFF"/>
              <w:bottom w:val="single" w:sz="8" w:space="0" w:color="FFFFFF"/>
              <w:right w:val="single" w:sz="8" w:space="0" w:color="FFFFFF"/>
            </w:tcBorders>
            <w:shd w:val="clear" w:color="auto" w:fill="F2F2F2"/>
            <w:tcMar>
              <w:top w:w="11" w:type="dxa"/>
              <w:left w:w="11" w:type="dxa"/>
              <w:bottom w:w="0" w:type="dxa"/>
              <w:right w:w="11" w:type="dxa"/>
            </w:tcMar>
            <w:vAlign w:val="center"/>
            <w:hideMark/>
          </w:tcPr>
          <w:p w:rsidR="00470D0F" w:rsidRPr="00470D0F" w:rsidRDefault="00470D0F" w:rsidP="00470D0F">
            <w:pPr>
              <w:pStyle w:val="Contenudetableau"/>
              <w:rPr>
                <w:rFonts w:ascii="Arial Narrow" w:hAnsi="Arial Narrow"/>
                <w:sz w:val="18"/>
                <w:szCs w:val="18"/>
              </w:rPr>
            </w:pPr>
            <w:r w:rsidRPr="00470D0F">
              <w:rPr>
                <w:rFonts w:ascii="Arial Narrow" w:hAnsi="Arial Narrow"/>
                <w:kern w:val="24"/>
                <w:sz w:val="18"/>
                <w:szCs w:val="18"/>
              </w:rPr>
              <w:t xml:space="preserve">   Autres </w:t>
            </w:r>
          </w:p>
        </w:tc>
        <w:tc>
          <w:tcPr>
            <w:tcW w:w="1247" w:type="dxa"/>
            <w:tcBorders>
              <w:top w:val="single" w:sz="8" w:space="0" w:color="FFFFFF"/>
              <w:left w:val="single" w:sz="8" w:space="0" w:color="FFFFFF"/>
              <w:bottom w:val="single" w:sz="8" w:space="0" w:color="FFFFFF"/>
              <w:right w:val="single" w:sz="8" w:space="0" w:color="FFFFFF"/>
            </w:tcBorders>
            <w:shd w:val="clear" w:color="auto" w:fill="F2F2F2"/>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4</w:t>
            </w:r>
          </w:p>
        </w:tc>
        <w:tc>
          <w:tcPr>
            <w:tcW w:w="1247" w:type="dxa"/>
            <w:tcBorders>
              <w:top w:val="single" w:sz="8" w:space="0" w:color="FFFFFF"/>
              <w:left w:val="single" w:sz="8" w:space="0" w:color="FFFFFF"/>
              <w:bottom w:val="single" w:sz="8" w:space="0" w:color="FFFFFF"/>
              <w:right w:val="single" w:sz="8" w:space="0" w:color="FFFFFF"/>
            </w:tcBorders>
            <w:shd w:val="clear" w:color="auto" w:fill="F2F2F2"/>
            <w:tcMar>
              <w:top w:w="11" w:type="dxa"/>
              <w:left w:w="11" w:type="dxa"/>
              <w:bottom w:w="0" w:type="dxa"/>
              <w:right w:w="11" w:type="dxa"/>
            </w:tcMar>
            <w:vAlign w:val="center"/>
            <w:hideMark/>
          </w:tcPr>
          <w:p w:rsidR="00470D0F" w:rsidRPr="00470D0F" w:rsidRDefault="00470D0F" w:rsidP="00470D0F">
            <w:pPr>
              <w:pStyle w:val="Contenudetableau"/>
              <w:ind w:right="340"/>
              <w:jc w:val="right"/>
              <w:rPr>
                <w:rFonts w:ascii="Arial Narrow" w:hAnsi="Arial Narrow"/>
                <w:sz w:val="18"/>
                <w:szCs w:val="18"/>
              </w:rPr>
            </w:pPr>
            <w:r w:rsidRPr="00470D0F">
              <w:rPr>
                <w:rFonts w:ascii="Arial Narrow" w:hAnsi="Arial Narrow"/>
                <w:kern w:val="24"/>
                <w:sz w:val="18"/>
                <w:szCs w:val="18"/>
              </w:rPr>
              <w:t>7,66</w:t>
            </w:r>
          </w:p>
        </w:tc>
        <w:tc>
          <w:tcPr>
            <w:tcW w:w="1247" w:type="dxa"/>
            <w:tcBorders>
              <w:top w:val="single" w:sz="8" w:space="0" w:color="FFFFFF"/>
              <w:left w:val="single" w:sz="8" w:space="0" w:color="FFFFFF"/>
              <w:bottom w:val="single" w:sz="8" w:space="0" w:color="FFFFFF"/>
              <w:right w:val="single" w:sz="8" w:space="0" w:color="FFFFFF"/>
            </w:tcBorders>
            <w:shd w:val="clear" w:color="auto" w:fill="F2F2F2"/>
            <w:tcMar>
              <w:top w:w="11" w:type="dxa"/>
              <w:left w:w="11" w:type="dxa"/>
              <w:bottom w:w="0" w:type="dxa"/>
              <w:right w:w="11" w:type="dxa"/>
            </w:tcMar>
            <w:vAlign w:val="center"/>
            <w:hideMark/>
          </w:tcPr>
          <w:p w:rsidR="00470D0F" w:rsidRPr="00470D0F" w:rsidRDefault="00470D0F" w:rsidP="00470D0F">
            <w:pPr>
              <w:pStyle w:val="Contenudetableau"/>
              <w:jc w:val="center"/>
              <w:rPr>
                <w:rFonts w:ascii="Arial Narrow" w:hAnsi="Arial Narrow"/>
                <w:sz w:val="18"/>
                <w:szCs w:val="18"/>
              </w:rPr>
            </w:pPr>
            <w:r w:rsidRPr="00470D0F">
              <w:rPr>
                <w:rFonts w:ascii="Arial Narrow" w:hAnsi="Arial Narrow"/>
                <w:kern w:val="24"/>
                <w:sz w:val="18"/>
                <w:szCs w:val="18"/>
              </w:rPr>
              <w:t>4%</w:t>
            </w:r>
          </w:p>
        </w:tc>
      </w:tr>
      <w:tr w:rsidR="00470D0F" w:rsidRPr="00F519AA" w:rsidTr="0003297C">
        <w:trPr>
          <w:trHeight w:val="20"/>
          <w:jc w:val="center"/>
        </w:trPr>
        <w:tc>
          <w:tcPr>
            <w:tcW w:w="4195"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rPr>
                <w:rFonts w:ascii="Arial Narrow" w:hAnsi="Arial Narrow"/>
                <w:b/>
                <w:sz w:val="18"/>
                <w:szCs w:val="18"/>
              </w:rPr>
            </w:pPr>
            <w:r w:rsidRPr="00F519AA">
              <w:rPr>
                <w:rFonts w:ascii="Arial Narrow" w:hAnsi="Arial Narrow"/>
                <w:b/>
                <w:kern w:val="24"/>
                <w:sz w:val="18"/>
                <w:szCs w:val="18"/>
              </w:rPr>
              <w:t xml:space="preserve">  Total </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jc w:val="center"/>
              <w:rPr>
                <w:rFonts w:ascii="Arial Narrow" w:hAnsi="Arial Narrow"/>
                <w:b/>
                <w:sz w:val="18"/>
                <w:szCs w:val="18"/>
              </w:rPr>
            </w:pPr>
            <w:r w:rsidRPr="00F519AA">
              <w:rPr>
                <w:rFonts w:ascii="Arial Narrow" w:hAnsi="Arial Narrow"/>
                <w:b/>
                <w:kern w:val="24"/>
                <w:sz w:val="18"/>
                <w:szCs w:val="18"/>
              </w:rPr>
              <w:t>160</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ind w:right="340"/>
              <w:jc w:val="right"/>
              <w:rPr>
                <w:rFonts w:ascii="Arial Narrow" w:hAnsi="Arial Narrow"/>
                <w:b/>
                <w:sz w:val="18"/>
                <w:szCs w:val="18"/>
              </w:rPr>
            </w:pPr>
            <w:r w:rsidRPr="00F519AA">
              <w:rPr>
                <w:rFonts w:ascii="Arial Narrow" w:hAnsi="Arial Narrow"/>
                <w:b/>
                <w:kern w:val="24"/>
                <w:sz w:val="18"/>
                <w:szCs w:val="18"/>
              </w:rPr>
              <w:t>194,57</w:t>
            </w:r>
          </w:p>
        </w:tc>
        <w:tc>
          <w:tcPr>
            <w:tcW w:w="1247" w:type="dxa"/>
            <w:tcBorders>
              <w:top w:val="single" w:sz="8" w:space="0" w:color="FFFFFF"/>
              <w:left w:val="single" w:sz="8" w:space="0" w:color="FFFFFF"/>
              <w:bottom w:val="single" w:sz="8" w:space="0" w:color="FFFFFF"/>
              <w:right w:val="single" w:sz="8" w:space="0" w:color="FFFFFF"/>
            </w:tcBorders>
            <w:shd w:val="clear" w:color="auto" w:fill="DBEEF4"/>
            <w:tcMar>
              <w:top w:w="11" w:type="dxa"/>
              <w:left w:w="11" w:type="dxa"/>
              <w:bottom w:w="0" w:type="dxa"/>
              <w:right w:w="11" w:type="dxa"/>
            </w:tcMar>
            <w:vAlign w:val="center"/>
            <w:hideMark/>
          </w:tcPr>
          <w:p w:rsidR="00470D0F" w:rsidRPr="00F519AA" w:rsidRDefault="00470D0F" w:rsidP="00470D0F">
            <w:pPr>
              <w:pStyle w:val="Contenudetableau"/>
              <w:jc w:val="center"/>
              <w:rPr>
                <w:rFonts w:ascii="Arial Narrow" w:hAnsi="Arial Narrow"/>
                <w:b/>
                <w:sz w:val="18"/>
                <w:szCs w:val="18"/>
              </w:rPr>
            </w:pPr>
            <w:r w:rsidRPr="00F519AA">
              <w:rPr>
                <w:rFonts w:ascii="Arial Narrow" w:hAnsi="Arial Narrow"/>
                <w:b/>
                <w:kern w:val="24"/>
                <w:sz w:val="18"/>
                <w:szCs w:val="18"/>
              </w:rPr>
              <w:t>100%</w:t>
            </w:r>
          </w:p>
        </w:tc>
      </w:tr>
    </w:tbl>
    <w:p w:rsidR="0003297C" w:rsidRPr="00F519AA" w:rsidRDefault="0003297C" w:rsidP="0003297C">
      <w:pPr>
        <w:pStyle w:val="Petitsautdeparagraphe"/>
        <w:rPr>
          <w:b/>
        </w:rPr>
      </w:pPr>
    </w:p>
    <w:p w:rsidR="00E24338" w:rsidRDefault="00470D0F" w:rsidP="0003297C">
      <w:pPr>
        <w:pStyle w:val="Titre4"/>
      </w:pPr>
      <w:r>
        <w:t xml:space="preserve"> </w:t>
      </w:r>
      <w:r w:rsidR="0003297C">
        <w:t>Des microprojets inégalement réussis</w:t>
      </w:r>
      <w:r w:rsidR="00E24338">
        <w:t xml:space="preserve"> </w:t>
      </w:r>
    </w:p>
    <w:p w:rsidR="001468DD" w:rsidRDefault="001468DD" w:rsidP="001468DD">
      <w:r>
        <w:t>Au</w:t>
      </w:r>
      <w:r w:rsidR="00162C1A">
        <w:t>x</w:t>
      </w:r>
      <w:r>
        <w:t xml:space="preserve"> vu</w:t>
      </w:r>
      <w:r w:rsidR="00162C1A">
        <w:t>es</w:t>
      </w:r>
      <w:r>
        <w:t xml:space="preserve"> des visites réalisées, la réussite des </w:t>
      </w:r>
      <w:r w:rsidR="00162C1A">
        <w:t>micro</w:t>
      </w:r>
      <w:r>
        <w:t>projets financés par le FICA est assez in</w:t>
      </w:r>
      <w:r>
        <w:t>é</w:t>
      </w:r>
      <w:r>
        <w:t xml:space="preserve">gale d’une commune à l’autre et selon les types de projets. </w:t>
      </w:r>
      <w:r w:rsidR="00162C1A">
        <w:t>Leur qualité r</w:t>
      </w:r>
      <w:r>
        <w:t xml:space="preserve">eflète des </w:t>
      </w:r>
      <w:r w:rsidR="00162C1A">
        <w:t xml:space="preserve">niveaux </w:t>
      </w:r>
      <w:r>
        <w:t xml:space="preserve">contrastés de </w:t>
      </w:r>
      <w:r w:rsidR="00CE56B8">
        <w:t xml:space="preserve">la </w:t>
      </w:r>
      <w:r>
        <w:t xml:space="preserve">maîtrise d’ouvrage </w:t>
      </w:r>
      <w:r w:rsidR="00CE56B8">
        <w:t>commu</w:t>
      </w:r>
      <w:r w:rsidR="00162C1A">
        <w:t>nale,</w:t>
      </w:r>
      <w:r w:rsidR="00CE56B8">
        <w:t xml:space="preserve"> </w:t>
      </w:r>
      <w:r>
        <w:t xml:space="preserve">qui </w:t>
      </w:r>
      <w:r w:rsidR="00CE56B8">
        <w:t xml:space="preserve">semblent </w:t>
      </w:r>
      <w:r>
        <w:t>dépend</w:t>
      </w:r>
      <w:r w:rsidR="00CE56B8">
        <w:t>re</w:t>
      </w:r>
      <w:r>
        <w:t xml:space="preserve"> largement de la pe</w:t>
      </w:r>
      <w:r>
        <w:t>r</w:t>
      </w:r>
      <w:r>
        <w:t>sonnalité des ma</w:t>
      </w:r>
      <w:r w:rsidR="00CE56B8">
        <w:t>i</w:t>
      </w:r>
      <w:r>
        <w:t>res. Elle souligne les difficultés propres à chaque type de projet.</w:t>
      </w:r>
    </w:p>
    <w:p w:rsidR="00843283" w:rsidRDefault="001468DD" w:rsidP="00F519AA">
      <w:pPr>
        <w:pStyle w:val="Pucepournumration"/>
      </w:pPr>
      <w:r>
        <w:t>La qualité des réhabilitations et des constructions de bâtiment se situe globalement dans les standards moyens de la région</w:t>
      </w:r>
      <w:r w:rsidR="00CE56B8">
        <w:t xml:space="preserve">. Elle reflète </w:t>
      </w:r>
      <w:r w:rsidR="00066A97">
        <w:t xml:space="preserve">aussi </w:t>
      </w:r>
      <w:r w:rsidR="00CE56B8">
        <w:t>le niveau des entreprises locales</w:t>
      </w:r>
      <w:r>
        <w:t xml:space="preserve">. Quelques échecs patents </w:t>
      </w:r>
      <w:r w:rsidR="00843283">
        <w:t>nuisent à l’image d’ensemble.</w:t>
      </w:r>
    </w:p>
    <w:p w:rsidR="00604795" w:rsidRDefault="00843283" w:rsidP="00F519AA">
      <w:pPr>
        <w:pStyle w:val="Pucepournumration"/>
      </w:pPr>
      <w:r>
        <w:t>Les projets de ramassage d’ordure échouent généralement dans l’Assaba comme ailleurs faute de prises en charge de leur</w:t>
      </w:r>
      <w:r w:rsidR="00066A97">
        <w:t>s</w:t>
      </w:r>
      <w:r>
        <w:t xml:space="preserve"> coût</w:t>
      </w:r>
      <w:r w:rsidR="00066A97">
        <w:t>s</w:t>
      </w:r>
      <w:r>
        <w:t xml:space="preserve"> par leur</w:t>
      </w:r>
      <w:r w:rsidR="00604795">
        <w:t>s</w:t>
      </w:r>
      <w:r>
        <w:t xml:space="preserve"> bénéficiaires.</w:t>
      </w:r>
    </w:p>
    <w:p w:rsidR="00604795" w:rsidRDefault="00604795" w:rsidP="00F519AA">
      <w:pPr>
        <w:pStyle w:val="Pucepournumration"/>
      </w:pPr>
      <w:r w:rsidRPr="00604795">
        <w:t xml:space="preserve">Les projets d’abattoir sont </w:t>
      </w:r>
      <w:r>
        <w:t>rarement des réussites faute d’entente entre communes et bo</w:t>
      </w:r>
      <w:r>
        <w:t>u</w:t>
      </w:r>
      <w:r>
        <w:t>chers sur leur utilisation</w:t>
      </w:r>
      <w:r w:rsidR="00CE56B8">
        <w:t xml:space="preserve"> et leur entretien.</w:t>
      </w:r>
    </w:p>
    <w:p w:rsidR="00604795" w:rsidRDefault="00604795" w:rsidP="00F519AA">
      <w:pPr>
        <w:pStyle w:val="Pucepournumration"/>
      </w:pPr>
      <w:r>
        <w:t>Le taux de mise en culture des jardins maraichers est très faible, faute de systèmes d’exhaure adaptés</w:t>
      </w:r>
      <w:r w:rsidR="00CE56B8">
        <w:t xml:space="preserve"> et d’appui organisationnel et technique</w:t>
      </w:r>
      <w:r>
        <w:t>.</w:t>
      </w:r>
    </w:p>
    <w:p w:rsidR="00604795" w:rsidRDefault="00604795" w:rsidP="00F519AA">
      <w:pPr>
        <w:pStyle w:val="Pucepournumration"/>
      </w:pPr>
      <w:r>
        <w:t>Les boutiques (boucherie, approvisionnement en produits de première nécessité</w:t>
      </w:r>
      <w:r w:rsidR="0087443C">
        <w:t xml:space="preserve"> ou </w:t>
      </w:r>
      <w:r>
        <w:t>en gaz</w:t>
      </w:r>
      <w:r w:rsidR="00066A97">
        <w:t>)</w:t>
      </w:r>
      <w:r>
        <w:t>, fonctionnent plutôt bien et rendent un service effectif aux populations</w:t>
      </w:r>
    </w:p>
    <w:p w:rsidR="0087443C" w:rsidRDefault="0087443C" w:rsidP="00F519AA">
      <w:pPr>
        <w:rPr>
          <w:color w:val="FF0000"/>
        </w:rPr>
      </w:pPr>
      <w:r w:rsidRPr="0087443C">
        <w:t>Ces résultats mitigés soulignent les limites de l’approche « microprojets »</w:t>
      </w:r>
      <w:r>
        <w:t>, sans accompagn</w:t>
      </w:r>
      <w:r>
        <w:t>e</w:t>
      </w:r>
      <w:r>
        <w:t>ment technique et méthodologique</w:t>
      </w:r>
      <w:r w:rsidR="00066A97">
        <w:t>,</w:t>
      </w:r>
      <w:r>
        <w:t xml:space="preserve"> </w:t>
      </w:r>
      <w:r w:rsidRPr="0087443C">
        <w:t>dans des régions aussi difficiles que l’Assaba</w:t>
      </w:r>
      <w:r>
        <w:t>.</w:t>
      </w:r>
    </w:p>
    <w:p w:rsidR="00D752CD" w:rsidRPr="00D626B1" w:rsidRDefault="00D752CD" w:rsidP="00C358AB">
      <w:pPr>
        <w:pStyle w:val="Titre3"/>
      </w:pPr>
      <w:r w:rsidRPr="00D626B1">
        <w:t>L’impact sur les politiques</w:t>
      </w:r>
    </w:p>
    <w:p w:rsidR="00D752CD" w:rsidRDefault="00D752CD" w:rsidP="00D752CD">
      <w:pPr>
        <w:pStyle w:val="Titre4"/>
      </w:pPr>
      <w:r>
        <w:t xml:space="preserve">L’absence d’un dispositif de suivi évaluation, </w:t>
      </w:r>
      <w:r w:rsidR="001408F8">
        <w:t xml:space="preserve">en partie </w:t>
      </w:r>
      <w:r>
        <w:t>du</w:t>
      </w:r>
      <w:r w:rsidR="00066A97">
        <w:t>e</w:t>
      </w:r>
      <w:r>
        <w:t xml:space="preserve"> à l’échec du MIS réduit la capacité d</w:t>
      </w:r>
      <w:r w:rsidR="004923E1">
        <w:t>e démonstration</w:t>
      </w:r>
      <w:r>
        <w:t xml:space="preserve"> du projet</w:t>
      </w:r>
    </w:p>
    <w:p w:rsidR="00BB5219" w:rsidRDefault="00D752CD" w:rsidP="00D752CD">
      <w:r>
        <w:t xml:space="preserve">Le PACA a été conçu comme un projet pilote dont les résultats devaient </w:t>
      </w:r>
      <w:r w:rsidR="00BB5219">
        <w:t>« alimenter le débat  régional et national</w:t>
      </w:r>
      <w:r w:rsidR="00066A97">
        <w:t> »</w:t>
      </w:r>
      <w:r w:rsidR="00BB5219">
        <w:t xml:space="preserve">. La crédibilité de ses démonstrations devait être fondée sur la mise en place d’une base de données communale </w:t>
      </w:r>
      <w:r w:rsidR="001408F8">
        <w:t xml:space="preserve">construite à partir d’un outil du FENU, le MIS. Cette base </w:t>
      </w:r>
      <w:r w:rsidR="00BB5219">
        <w:t>devait également servir d’outil de suivi</w:t>
      </w:r>
      <w:r w:rsidR="00066A97">
        <w:t>-</w:t>
      </w:r>
      <w:r w:rsidR="00BB5219">
        <w:t>évaluation du projet.</w:t>
      </w:r>
    </w:p>
    <w:p w:rsidR="00BB5219" w:rsidRDefault="00BB5219" w:rsidP="00D752CD">
      <w:r>
        <w:lastRenderedPageBreak/>
        <w:t xml:space="preserve">Beaucoup d’énergie </w:t>
      </w:r>
      <w:r w:rsidR="00066A97">
        <w:t>a</w:t>
      </w:r>
      <w:r>
        <w:t xml:space="preserve"> été consacrée à cette base de données : une VNU y a travaillé à plein temps sur presque toute la durée du projet, </w:t>
      </w:r>
      <w:r w:rsidR="00066A97">
        <w:t>u</w:t>
      </w:r>
      <w:r>
        <w:t>ne mission d’appui du FENU New</w:t>
      </w:r>
      <w:r w:rsidR="00066A97">
        <w:t>-</w:t>
      </w:r>
      <w:r>
        <w:t>York lui a été consacrée. Mais l’outil n’a finalement pas été utilisable. A posteriori</w:t>
      </w:r>
      <w:r w:rsidR="00066A97">
        <w:t>,</w:t>
      </w:r>
      <w:r>
        <w:t xml:space="preserve"> il apparaît totalement inadapté au contexte local.</w:t>
      </w:r>
    </w:p>
    <w:p w:rsidR="00BB5219" w:rsidRDefault="001408F8" w:rsidP="00BB5219">
      <w:pPr>
        <w:pStyle w:val="Titre4"/>
      </w:pPr>
      <w:r>
        <w:t>Les deux apports du PACA en matière de dé</w:t>
      </w:r>
      <w:r w:rsidR="004E3528">
        <w:t>veloppement local dé</w:t>
      </w:r>
      <w:r>
        <w:t>centralis</w:t>
      </w:r>
      <w:r w:rsidR="004E3528">
        <w:t>é</w:t>
      </w:r>
      <w:r>
        <w:t> : l</w:t>
      </w:r>
      <w:r w:rsidR="00D478DC">
        <w:t>a démarche de planification communale e</w:t>
      </w:r>
      <w:r>
        <w:t>t le principe d’évaluation des performances des  communes.</w:t>
      </w:r>
      <w:r w:rsidR="00BB5219">
        <w:t xml:space="preserve"> </w:t>
      </w:r>
    </w:p>
    <w:p w:rsidR="00D478DC" w:rsidRDefault="001408F8" w:rsidP="00D752CD">
      <w:r>
        <w:t>La démarche de planification communale et le principe d’évaluation des performance</w:t>
      </w:r>
      <w:r w:rsidR="00D478DC">
        <w:t xml:space="preserve">s des commues constituent les </w:t>
      </w:r>
      <w:r>
        <w:t>deux apports principaux du PACA en</w:t>
      </w:r>
      <w:r w:rsidR="00D478DC">
        <w:t xml:space="preserve"> matière de développement local décentralisé. </w:t>
      </w:r>
    </w:p>
    <w:p w:rsidR="0011596C" w:rsidRDefault="00D478DC" w:rsidP="00D752CD">
      <w:r>
        <w:t>Le projet a contribué à la généralisation de</w:t>
      </w:r>
      <w:r w:rsidR="00066A97">
        <w:t xml:space="preserve"> l’outil de planification</w:t>
      </w:r>
      <w:r>
        <w:t>. Les PDC élaborés avec l’appui du PACA sont utilisés par les autres projets qui interviennent dans la région. La d</w:t>
      </w:r>
      <w:r>
        <w:t>é</w:t>
      </w:r>
      <w:r>
        <w:t>marche proposée est cependant perfectible</w:t>
      </w:r>
      <w:r w:rsidR="0011596C">
        <w:t xml:space="preserve">. Elle </w:t>
      </w:r>
      <w:r>
        <w:t xml:space="preserve">mériterait d’être complétée </w:t>
      </w:r>
      <w:r w:rsidR="0011596C">
        <w:t>par une méthode qui facilit</w:t>
      </w:r>
      <w:r w:rsidR="00066A97">
        <w:t>e</w:t>
      </w:r>
      <w:r w:rsidR="0011596C">
        <w:t xml:space="preserve"> l’actualisation des PDC</w:t>
      </w:r>
      <w:r w:rsidR="00066A97">
        <w:t>,</w:t>
      </w:r>
      <w:r w:rsidR="0011596C">
        <w:t xml:space="preserve"> leur évolution</w:t>
      </w:r>
      <w:r w:rsidR="00066A97">
        <w:t xml:space="preserve"> et leur accompagnement par de véritables outils de programmation et budgétisation.</w:t>
      </w:r>
    </w:p>
    <w:p w:rsidR="0011596C" w:rsidRDefault="0011596C" w:rsidP="00D752CD">
      <w:r>
        <w:t>Dans le contexte mauritanien, le principe d’évaluation des performances apparaît plus inn</w:t>
      </w:r>
      <w:r>
        <w:t>o</w:t>
      </w:r>
      <w:r>
        <w:t>vant. Le système testé par le PACA a été discuté au niveau national. Sa généralisation est en débat</w:t>
      </w:r>
      <w:r w:rsidR="00066A97">
        <w:t xml:space="preserve"> et mériterait une amélioration de la méthode utilisée.</w:t>
      </w:r>
    </w:p>
    <w:p w:rsidR="007E4CCE" w:rsidRDefault="007E4CCE" w:rsidP="00D752CD">
      <w:r>
        <w:t>Le Fonds pour les initiatives locales</w:t>
      </w:r>
      <w:r w:rsidR="00066A97">
        <w:t xml:space="preserve"> (FIL) visant les initiatives de la société civile locale,</w:t>
      </w:r>
      <w:r>
        <w:t xml:space="preserve"> constitue une autre innovation </w:t>
      </w:r>
      <w:r w:rsidR="00D80AC7">
        <w:t>testée par le PACA. Moins spontanément r</w:t>
      </w:r>
      <w:r w:rsidR="00066A97">
        <w:t>e</w:t>
      </w:r>
      <w:r w:rsidR="00D80AC7">
        <w:t>plicable, elle n’a pas encore fait d’une réelle capitalisation.</w:t>
      </w:r>
    </w:p>
    <w:p w:rsidR="0011596C" w:rsidRDefault="0011596C" w:rsidP="0011596C">
      <w:pPr>
        <w:pStyle w:val="Titre4"/>
      </w:pPr>
      <w:r>
        <w:t>Un</w:t>
      </w:r>
      <w:r w:rsidR="001408F8">
        <w:t xml:space="preserve"> premier effort de capitalisation</w:t>
      </w:r>
    </w:p>
    <w:p w:rsidR="00B62A18" w:rsidRDefault="004E3528" w:rsidP="00D752CD">
      <w:r>
        <w:t xml:space="preserve"> L’équipe a effectué </w:t>
      </w:r>
      <w:r w:rsidR="00066A97">
        <w:t xml:space="preserve">courant </w:t>
      </w:r>
      <w:r>
        <w:t xml:space="preserve">2009 un premier travail de capitalisation. Elle a </w:t>
      </w:r>
      <w:r w:rsidR="00CF40B6">
        <w:t xml:space="preserve">notamment </w:t>
      </w:r>
      <w:r>
        <w:t>pr</w:t>
      </w:r>
      <w:r>
        <w:t>o</w:t>
      </w:r>
      <w:r>
        <w:t>duit un rapport de bilan du PACA bien documenté qui résume l’ensemble des activités et r</w:t>
      </w:r>
      <w:r>
        <w:t>é</w:t>
      </w:r>
      <w:r>
        <w:t>sultats du projet, détaille la démarche suivi</w:t>
      </w:r>
      <w:r w:rsidR="00066A97">
        <w:t>e</w:t>
      </w:r>
      <w:r>
        <w:t xml:space="preserve"> en matière de planification et tire quelques leçon </w:t>
      </w:r>
      <w:r w:rsidR="00B62A18">
        <w:t>de l’ensemble</w:t>
      </w:r>
      <w:r w:rsidR="00066A97">
        <w:t xml:space="preserve">. </w:t>
      </w:r>
    </w:p>
    <w:p w:rsidR="00D752CD" w:rsidRPr="00D752CD" w:rsidRDefault="004E3528" w:rsidP="00D752CD">
      <w:r>
        <w:t xml:space="preserve">Par ailleurs, la </w:t>
      </w:r>
      <w:r w:rsidR="0011596C">
        <w:t xml:space="preserve">politique de communication </w:t>
      </w:r>
      <w:r w:rsidR="00DC1824">
        <w:t xml:space="preserve">externe </w:t>
      </w:r>
      <w:r w:rsidR="0011596C">
        <w:t xml:space="preserve">du PACA semble avoir été assez réduite. </w:t>
      </w:r>
    </w:p>
    <w:p w:rsidR="00F519AA" w:rsidRPr="00F519AA" w:rsidRDefault="00D752CD" w:rsidP="00D752CD">
      <w:pPr>
        <w:pStyle w:val="Titre2"/>
      </w:pPr>
      <w:r>
        <w:t>Conclusions</w:t>
      </w:r>
    </w:p>
    <w:p w:rsidR="00F519AA" w:rsidRDefault="00E43DB8" w:rsidP="00C358AB">
      <w:pPr>
        <w:pStyle w:val="Titre3"/>
      </w:pPr>
      <w:r>
        <w:t>Les effets</w:t>
      </w:r>
    </w:p>
    <w:p w:rsidR="00F519AA" w:rsidRPr="00393AF3" w:rsidRDefault="00B560C1" w:rsidP="00664485">
      <w:pPr>
        <w:pStyle w:val="Titre4"/>
      </w:pPr>
      <w:r w:rsidRPr="00B560C1">
        <w:t>Une</w:t>
      </w:r>
      <w:r w:rsidR="00181D7A">
        <w:t xml:space="preserve"> réelle</w:t>
      </w:r>
      <w:r w:rsidRPr="00B560C1">
        <w:t xml:space="preserve"> contribution au renforcement de l’institution communale </w:t>
      </w:r>
    </w:p>
    <w:p w:rsidR="003F2E32" w:rsidRDefault="005F0039" w:rsidP="00664485">
      <w:pPr>
        <w:tabs>
          <w:tab w:val="num" w:pos="1440"/>
        </w:tabs>
      </w:pPr>
      <w:r>
        <w:t>La plupart des interlocuteurs</w:t>
      </w:r>
      <w:r w:rsidR="00664485">
        <w:t xml:space="preserve"> de la mission souligne les progrès accomplis par les communes aux cours de ses dernières années</w:t>
      </w:r>
      <w:r w:rsidR="00393AF3">
        <w:t xml:space="preserve"> notamment qu’il s’agisse : du</w:t>
      </w:r>
      <w:r w:rsidR="00664485">
        <w:t xml:space="preserve"> </w:t>
      </w:r>
      <w:r w:rsidR="00B1505D" w:rsidRPr="00664485">
        <w:t xml:space="preserve">fonctionnement </w:t>
      </w:r>
      <w:r w:rsidR="00664485">
        <w:t>plus régulier</w:t>
      </w:r>
      <w:r w:rsidR="005A684E">
        <w:t xml:space="preserve"> </w:t>
      </w:r>
      <w:r w:rsidR="00B1505D" w:rsidRPr="00664485">
        <w:t>de</w:t>
      </w:r>
      <w:r w:rsidR="00664485">
        <w:t>s</w:t>
      </w:r>
      <w:r w:rsidR="00B1505D" w:rsidRPr="00664485">
        <w:t xml:space="preserve"> instances</w:t>
      </w:r>
      <w:r w:rsidR="00664485">
        <w:t>,</w:t>
      </w:r>
      <w:r w:rsidR="00393AF3">
        <w:t xml:space="preserve"> de</w:t>
      </w:r>
      <w:r w:rsidR="00DA6AE3">
        <w:t xml:space="preserve"> </w:t>
      </w:r>
      <w:r w:rsidR="00664485">
        <w:t>l</w:t>
      </w:r>
      <w:r w:rsidR="00B1505D" w:rsidRPr="00664485">
        <w:t>’amélioration de l</w:t>
      </w:r>
      <w:r w:rsidR="00DA6AE3">
        <w:t>a</w:t>
      </w:r>
      <w:r w:rsidR="00B1505D" w:rsidRPr="00664485">
        <w:t xml:space="preserve"> gestion</w:t>
      </w:r>
      <w:r w:rsidR="00393AF3">
        <w:t xml:space="preserve"> communale</w:t>
      </w:r>
      <w:r w:rsidR="00664485">
        <w:t xml:space="preserve">, </w:t>
      </w:r>
      <w:r w:rsidR="00393AF3">
        <w:t>du</w:t>
      </w:r>
      <w:r w:rsidR="00664485">
        <w:t xml:space="preserve"> </w:t>
      </w:r>
      <w:r w:rsidR="00B1505D" w:rsidRPr="00664485">
        <w:t>renforcement des compétences des cadres</w:t>
      </w:r>
      <w:r w:rsidR="00664485">
        <w:t xml:space="preserve">, </w:t>
      </w:r>
      <w:r w:rsidR="00393AF3">
        <w:t xml:space="preserve">de </w:t>
      </w:r>
      <w:r w:rsidR="00664485">
        <w:t>l’</w:t>
      </w:r>
      <w:r w:rsidR="00B1505D" w:rsidRPr="00664485">
        <w:t>émergence d’une nouvelle génération d’élu</w:t>
      </w:r>
      <w:r w:rsidR="00664485">
        <w:t xml:space="preserve">s, </w:t>
      </w:r>
      <w:r w:rsidR="00393AF3">
        <w:t xml:space="preserve">de </w:t>
      </w:r>
      <w:r w:rsidR="00664485">
        <w:t>l’</w:t>
      </w:r>
      <w:r w:rsidR="00B1505D" w:rsidRPr="00664485">
        <w:t>accroissement de</w:t>
      </w:r>
      <w:r w:rsidR="00664485">
        <w:t xml:space="preserve">s </w:t>
      </w:r>
      <w:r w:rsidR="00B1505D" w:rsidRPr="00664485">
        <w:t xml:space="preserve">capacités d’action </w:t>
      </w:r>
      <w:r w:rsidR="00DA6AE3">
        <w:t xml:space="preserve">des communes </w:t>
      </w:r>
      <w:r w:rsidR="00B1505D" w:rsidRPr="00664485">
        <w:t>grâce au</w:t>
      </w:r>
      <w:r w:rsidR="00664485">
        <w:t>x soutiens financiers dont elles bénéficient, et</w:t>
      </w:r>
      <w:r w:rsidR="00393AF3">
        <w:t xml:space="preserve"> de</w:t>
      </w:r>
      <w:r w:rsidR="00664485">
        <w:t xml:space="preserve"> l</w:t>
      </w:r>
      <w:r w:rsidR="00B1505D" w:rsidRPr="00664485">
        <w:t>a reconnai</w:t>
      </w:r>
      <w:r w:rsidR="00B1505D" w:rsidRPr="00664485">
        <w:t>s</w:t>
      </w:r>
      <w:r w:rsidR="00B1505D" w:rsidRPr="00664485">
        <w:t xml:space="preserve">sance de </w:t>
      </w:r>
      <w:r w:rsidR="00664485">
        <w:t xml:space="preserve">leur </w:t>
      </w:r>
      <w:r w:rsidR="00B1505D" w:rsidRPr="00664485">
        <w:t xml:space="preserve">rôle et l’amélioration de </w:t>
      </w:r>
      <w:r w:rsidR="00664485">
        <w:t xml:space="preserve">leur </w:t>
      </w:r>
      <w:r w:rsidR="00B1505D" w:rsidRPr="00664485">
        <w:t>image</w:t>
      </w:r>
      <w:r w:rsidR="00664485">
        <w:t xml:space="preserve">. </w:t>
      </w:r>
    </w:p>
    <w:p w:rsidR="00DB2EE5" w:rsidRDefault="00664485" w:rsidP="00CF3611">
      <w:pPr>
        <w:tabs>
          <w:tab w:val="num" w:pos="720"/>
          <w:tab w:val="num" w:pos="1440"/>
        </w:tabs>
      </w:pPr>
      <w:r>
        <w:t>Certes</w:t>
      </w:r>
      <w:r w:rsidR="00393AF3">
        <w:t>,</w:t>
      </w:r>
      <w:r>
        <w:t xml:space="preserve"> cette progression d’ensemble recouvre </w:t>
      </w:r>
      <w:r w:rsidR="00393AF3">
        <w:t>des</w:t>
      </w:r>
      <w:r>
        <w:t xml:space="preserve"> situations qui diffèrent s</w:t>
      </w:r>
      <w:r w:rsidR="00B1505D" w:rsidRPr="00664485">
        <w:t>elon la personnalité des maires</w:t>
      </w:r>
      <w:r>
        <w:t xml:space="preserve">, </w:t>
      </w:r>
      <w:r w:rsidR="00B1505D" w:rsidRPr="00664485">
        <w:t>le niveau des secrétaire</w:t>
      </w:r>
      <w:r w:rsidR="00DB2EE5">
        <w:t>s</w:t>
      </w:r>
      <w:r w:rsidR="00B1505D" w:rsidRPr="00664485">
        <w:t xml:space="preserve"> généraux</w:t>
      </w:r>
      <w:r>
        <w:t xml:space="preserve">, les </w:t>
      </w:r>
      <w:r w:rsidR="00B1505D" w:rsidRPr="00664485">
        <w:t>ressources et l’enclavement des territoires communaux</w:t>
      </w:r>
      <w:r>
        <w:t>.</w:t>
      </w:r>
      <w:r w:rsidR="00DB2EE5">
        <w:t xml:space="preserve"> </w:t>
      </w:r>
      <w:r w:rsidRPr="003E39A0">
        <w:t xml:space="preserve">Certes, les communes de l’Assaba sont encore loin </w:t>
      </w:r>
      <w:r w:rsidR="00177188">
        <w:t xml:space="preserve">de </w:t>
      </w:r>
      <w:r w:rsidR="003E39A0">
        <w:t xml:space="preserve">se conformer à l’ensemble des dispositions prévues par la loi. Leur capacité de maîtrise d’ouvrage, la façon dont elles </w:t>
      </w:r>
      <w:r w:rsidR="003E39A0">
        <w:lastRenderedPageBreak/>
        <w:t>appliquent le code des marchés, leur archivage, et la transparence de leur gestion sont encore très perfectibles.</w:t>
      </w:r>
      <w:r w:rsidR="00DB2EE5">
        <w:t xml:space="preserve"> </w:t>
      </w:r>
      <w:r w:rsidR="003E39A0">
        <w:t>Mais il faut comparer la situation actuelle à celle qui prévalait il y</w:t>
      </w:r>
      <w:r w:rsidR="00177188">
        <w:t xml:space="preserve"> </w:t>
      </w:r>
      <w:r w:rsidR="003E39A0">
        <w:t>a quelques années</w:t>
      </w:r>
      <w:r w:rsidR="00DB2EE5">
        <w:t xml:space="preserve"> et la faiblesse des institutions communales avant 2002.</w:t>
      </w:r>
      <w:r w:rsidR="003E39A0">
        <w:t xml:space="preserve"> </w:t>
      </w:r>
      <w:r w:rsidR="00DB2EE5">
        <w:t>« </w:t>
      </w:r>
      <w:r w:rsidR="00DB2EE5" w:rsidRPr="00DB2EE5">
        <w:rPr>
          <w:i/>
        </w:rPr>
        <w:t>Quand je suis arrivé, pour mon premier mandat, il y a douze ans, on ne m’a donné qu’un tampon</w:t>
      </w:r>
      <w:r w:rsidR="00DB2EE5">
        <w:t xml:space="preserve"> » rappelle </w:t>
      </w:r>
      <w:r w:rsidR="00177188">
        <w:t>l’</w:t>
      </w:r>
      <w:r w:rsidR="00DB2EE5">
        <w:t>un des maires rencontré par la mission.</w:t>
      </w:r>
      <w:r w:rsidR="00177188">
        <w:t xml:space="preserve"> </w:t>
      </w:r>
      <w:r w:rsidR="00CF3611">
        <w:t>C</w:t>
      </w:r>
      <w:r w:rsidR="00DB2EE5">
        <w:t>ette progression n</w:t>
      </w:r>
      <w:r w:rsidR="00CF3611">
        <w:t xml:space="preserve">’est pas du au </w:t>
      </w:r>
      <w:r w:rsidR="00177188">
        <w:t xml:space="preserve">seul </w:t>
      </w:r>
      <w:r w:rsidR="00CF3611">
        <w:t xml:space="preserve">mérite du </w:t>
      </w:r>
      <w:r w:rsidR="00DB2EE5">
        <w:t xml:space="preserve">PACA, mais celui-ci y </w:t>
      </w:r>
      <w:r w:rsidR="00177188">
        <w:t>a certainement</w:t>
      </w:r>
      <w:r w:rsidR="00DB2EE5">
        <w:t xml:space="preserve"> contribu</w:t>
      </w:r>
      <w:r w:rsidR="00CF3611">
        <w:t>é.</w:t>
      </w:r>
    </w:p>
    <w:p w:rsidR="003E39A0" w:rsidRDefault="003E39A0" w:rsidP="003E39A0">
      <w:pPr>
        <w:pStyle w:val="Titre4"/>
      </w:pPr>
      <w:r>
        <w:t xml:space="preserve">Une </w:t>
      </w:r>
      <w:r w:rsidR="00177188">
        <w:t xml:space="preserve">certaine </w:t>
      </w:r>
      <w:r>
        <w:t>contribution à la participation de la société civile à la définition et à la mise en œuvre de la politique de développement de la commune</w:t>
      </w:r>
    </w:p>
    <w:p w:rsidR="00841A15" w:rsidRDefault="00CF3611" w:rsidP="00DB2EE5">
      <w:r>
        <w:t xml:space="preserve">Le diagnostic participatif, </w:t>
      </w:r>
      <w:r w:rsidR="00841A15">
        <w:t xml:space="preserve">puis </w:t>
      </w:r>
      <w:r>
        <w:t xml:space="preserve">le </w:t>
      </w:r>
      <w:r w:rsidR="005A684E">
        <w:t>distinguo</w:t>
      </w:r>
      <w:r>
        <w:t xml:space="preserve"> en sein du FICA entre </w:t>
      </w:r>
      <w:r w:rsidR="00841A15">
        <w:t xml:space="preserve">un fonds de développement communal (FDC) et un Fonds pour les initiatives locales (FIL), et enfin la </w:t>
      </w:r>
      <w:r>
        <w:t xml:space="preserve">concertation </w:t>
      </w:r>
      <w:r w:rsidR="00841A15">
        <w:t>org</w:t>
      </w:r>
      <w:r w:rsidR="00841A15">
        <w:t>a</w:t>
      </w:r>
      <w:r w:rsidR="00841A15">
        <w:t xml:space="preserve">nisée pour la mise en œuvre de </w:t>
      </w:r>
      <w:r w:rsidR="00177188">
        <w:t xml:space="preserve">ce </w:t>
      </w:r>
      <w:r w:rsidR="00841A15">
        <w:t xml:space="preserve">dernier contribuent à accroître les relations entre sociétés civiles et communes. </w:t>
      </w:r>
    </w:p>
    <w:p w:rsidR="00841A15" w:rsidRDefault="00841A15" w:rsidP="00DB2EE5">
      <w:r>
        <w:t>Ces relations ne vont pas toujours sans conflit notamment dans les communes les plus impo</w:t>
      </w:r>
      <w:r>
        <w:t>r</w:t>
      </w:r>
      <w:r>
        <w:t>tantes. L’existence de ces conflits est un signe plutôt positif de l’importance que les deux pa</w:t>
      </w:r>
      <w:r>
        <w:t>r</w:t>
      </w:r>
      <w:r>
        <w:t>tenaires</w:t>
      </w:r>
      <w:r w:rsidR="00177188">
        <w:t>,</w:t>
      </w:r>
      <w:r>
        <w:t xml:space="preserve"> </w:t>
      </w:r>
      <w:r w:rsidR="00177188">
        <w:t>c</w:t>
      </w:r>
      <w:r>
        <w:t>ommunes et OSC</w:t>
      </w:r>
      <w:r w:rsidR="00177188">
        <w:t>,</w:t>
      </w:r>
      <w:r>
        <w:t xml:space="preserve"> s’accordent réciproquement.</w:t>
      </w:r>
    </w:p>
    <w:p w:rsidR="00757259" w:rsidRDefault="00F519AA" w:rsidP="00664485">
      <w:pPr>
        <w:pStyle w:val="Titre4"/>
      </w:pPr>
      <w:r>
        <w:t xml:space="preserve">Un effet plus </w:t>
      </w:r>
      <w:r w:rsidR="00177188">
        <w:t>diffus</w:t>
      </w:r>
      <w:r>
        <w:t xml:space="preserve"> sur l</w:t>
      </w:r>
      <w:r w:rsidR="00664485">
        <w:t>’amélioration de</w:t>
      </w:r>
      <w:r w:rsidR="00757259">
        <w:t xml:space="preserve"> la </w:t>
      </w:r>
      <w:r>
        <w:t>capacité des services techniques</w:t>
      </w:r>
      <w:r w:rsidR="00757259">
        <w:t xml:space="preserve"> à </w:t>
      </w:r>
      <w:r>
        <w:t xml:space="preserve">assurer leurs missions </w:t>
      </w:r>
      <w:r w:rsidR="00177188">
        <w:t>vis-à-vis</w:t>
      </w:r>
      <w:r>
        <w:t xml:space="preserve"> des communes</w:t>
      </w:r>
    </w:p>
    <w:p w:rsidR="00581BE8" w:rsidRDefault="005E5736" w:rsidP="00757259">
      <w:r>
        <w:t xml:space="preserve">La mission </w:t>
      </w:r>
      <w:r w:rsidR="00757259">
        <w:t>de</w:t>
      </w:r>
      <w:r>
        <w:t>s services déconcentrés de l’Etat</w:t>
      </w:r>
      <w:r w:rsidR="00757259">
        <w:t xml:space="preserve"> </w:t>
      </w:r>
      <w:r>
        <w:t>à l’égard des communes est à la fois une mi</w:t>
      </w:r>
      <w:r>
        <w:t>s</w:t>
      </w:r>
      <w:r>
        <w:t>sion de t</w:t>
      </w:r>
      <w:r w:rsidR="00757259">
        <w:t>utelle, d’appui et de coordination</w:t>
      </w:r>
      <w:r>
        <w:t>. Le PACA n’a guère contribué à renforcer les cap</w:t>
      </w:r>
      <w:r>
        <w:t>a</w:t>
      </w:r>
      <w:r>
        <w:t>cités de ces services à mieux assumer cette mission. La mise en place des CAD et des CAEP, l’ouverture des formations aux services concernés</w:t>
      </w:r>
      <w:r w:rsidR="00177188">
        <w:t>,</w:t>
      </w:r>
      <w:r>
        <w:t xml:space="preserve"> les appuis institutionnels apportés par le projet</w:t>
      </w:r>
      <w:r w:rsidR="00177188">
        <w:t>,</w:t>
      </w:r>
      <w:r>
        <w:t xml:space="preserve"> ne pouvai</w:t>
      </w:r>
      <w:r w:rsidR="00177188">
        <w:t>en</w:t>
      </w:r>
      <w:r>
        <w:t xml:space="preserve">t avoir </w:t>
      </w:r>
      <w:r w:rsidR="00177188">
        <w:t>qu</w:t>
      </w:r>
      <w:r>
        <w:t>’un effet limité sur les capacités de ces services</w:t>
      </w:r>
      <w:r w:rsidR="00177188">
        <w:t>,</w:t>
      </w:r>
      <w:r>
        <w:t xml:space="preserve"> compte tenu de  leurs difficultés structurelles de fonctionnement. Cet effet </w:t>
      </w:r>
      <w:r w:rsidR="00581BE8">
        <w:t xml:space="preserve">était certes attendu </w:t>
      </w:r>
      <w:r w:rsidR="00177188">
        <w:t>par</w:t>
      </w:r>
      <w:r w:rsidR="00581BE8">
        <w:t xml:space="preserve"> l’action du PACA, mais n’en constituait pas une des</w:t>
      </w:r>
      <w:r>
        <w:t xml:space="preserve"> pr</w:t>
      </w:r>
      <w:r w:rsidR="00581BE8">
        <w:t>incipales priorités.</w:t>
      </w:r>
    </w:p>
    <w:p w:rsidR="00F519AA" w:rsidRDefault="00F519AA" w:rsidP="00664485">
      <w:pPr>
        <w:pStyle w:val="Titre4"/>
      </w:pPr>
      <w:r>
        <w:t>Des effets immédiats</w:t>
      </w:r>
      <w:r w:rsidR="00FE099F">
        <w:t xml:space="preserve"> tr</w:t>
      </w:r>
      <w:r w:rsidR="004923E1">
        <w:t>è</w:t>
      </w:r>
      <w:r w:rsidR="00FE099F">
        <w:t>s</w:t>
      </w:r>
      <w:r>
        <w:t xml:space="preserve"> limités en terme de lutte contre la pauvreté</w:t>
      </w:r>
    </w:p>
    <w:p w:rsidR="00F83189" w:rsidRDefault="00581BE8" w:rsidP="00581BE8">
      <w:r>
        <w:t xml:space="preserve">Les objectifs du PACA étaient plus ambitieux en termes de lutte contre la pauvreté. De ce point de vue ces effets immédiats apparaissent décevants. Les difficultés de mise en œuvre du FICA </w:t>
      </w:r>
      <w:r w:rsidR="00F83189">
        <w:t>n’ont</w:t>
      </w:r>
      <w:r>
        <w:t xml:space="preserve"> </w:t>
      </w:r>
      <w:r w:rsidR="00F83189">
        <w:t xml:space="preserve">pas permis la pleine utilisation du </w:t>
      </w:r>
      <w:r w:rsidR="00F604B2">
        <w:t>f</w:t>
      </w:r>
      <w:r w:rsidR="00F83189">
        <w:t xml:space="preserve">onds. La faiblesse de l’appui à maîtrise d’ouvrage, sauf dans les derniers mois du projet, a pesé sur le taux de réussite des projets. </w:t>
      </w:r>
    </w:p>
    <w:p w:rsidR="00033F43" w:rsidRDefault="00F83189" w:rsidP="00581BE8">
      <w:r>
        <w:t xml:space="preserve">Les </w:t>
      </w:r>
      <w:r w:rsidR="00F604B2">
        <w:t xml:space="preserve">quelques </w:t>
      </w:r>
      <w:r>
        <w:t>projets réussis de réhabilitation d’infrastructures sociales, d’adduction d’eau, de boutiques d’approvisionnement ont certes des effets positifs dans leur environnement imm</w:t>
      </w:r>
      <w:r>
        <w:t>é</w:t>
      </w:r>
      <w:r>
        <w:t>diats. Mais ils sont trop peu nombreux et portent sur des investissements trop limités compte tenu des dimensions de la zone</w:t>
      </w:r>
      <w:r w:rsidR="00F604B2">
        <w:t>,</w:t>
      </w:r>
      <w:r>
        <w:t xml:space="preserve"> pour que le PACA puisse se prévaloir d’un impact global i</w:t>
      </w:r>
      <w:r>
        <w:t>m</w:t>
      </w:r>
      <w:r>
        <w:t>médiat en terme</w:t>
      </w:r>
      <w:r w:rsidR="00383DFE">
        <w:t xml:space="preserve">s d’amélioration des conditions de vie des populations. </w:t>
      </w:r>
    </w:p>
    <w:p w:rsidR="00383DFE" w:rsidRDefault="00383DFE" w:rsidP="00581BE8">
      <w:r>
        <w:t>Très grossièrement</w:t>
      </w:r>
      <w:r w:rsidR="00D16DD3">
        <w:rPr>
          <w:rStyle w:val="Appelnotedebasdep"/>
        </w:rPr>
        <w:footnoteReference w:id="7"/>
      </w:r>
      <w:r>
        <w:t xml:space="preserve"> on peut estimer le montant des investissements susceptibles de contribuer à un tel impact aux environs de </w:t>
      </w:r>
      <w:r w:rsidR="00181D7A">
        <w:t>70</w:t>
      </w:r>
      <w:r>
        <w:t xml:space="preserve"> millions d’UM soit </w:t>
      </w:r>
      <w:r w:rsidR="00D16DD3">
        <w:t>400</w:t>
      </w:r>
      <w:r>
        <w:t xml:space="preserve"> UM par habitants.</w:t>
      </w:r>
    </w:p>
    <w:p w:rsidR="004923E1" w:rsidRDefault="004923E1" w:rsidP="004923E1">
      <w:pPr>
        <w:pStyle w:val="Titre4"/>
      </w:pPr>
      <w:r>
        <w:lastRenderedPageBreak/>
        <w:t>Un impact limité sur les politiques publiques</w:t>
      </w:r>
    </w:p>
    <w:p w:rsidR="004923E1" w:rsidRPr="004923E1" w:rsidRDefault="004923E1" w:rsidP="004923E1">
      <w:r>
        <w:t xml:space="preserve">Comme souligné ci-dessus l’impact du PACA sur la politique nationale de décentralisation est très ténu, non seulement </w:t>
      </w:r>
      <w:r w:rsidR="002D73FB">
        <w:t xml:space="preserve">parce que ses résultats sont inégaux (Cf. § 3 ci-dessus) mais aussi parce qu’il est intervenu dans une période politique perturbée durant laquelle la politique de décentralisation </w:t>
      </w:r>
      <w:r w:rsidR="00F604B2">
        <w:t>a</w:t>
      </w:r>
      <w:r w:rsidR="002D73FB">
        <w:t xml:space="preserve"> momentanément perdue sa lisibilité.</w:t>
      </w:r>
    </w:p>
    <w:p w:rsidR="00E43DB8" w:rsidRPr="004923E1" w:rsidRDefault="00E43DB8" w:rsidP="004923E1">
      <w:pPr>
        <w:pStyle w:val="Titre3"/>
      </w:pPr>
      <w:r w:rsidRPr="004923E1">
        <w:t>Leçons</w:t>
      </w:r>
      <w:r w:rsidR="00A24E19" w:rsidRPr="004923E1">
        <w:t xml:space="preserve"> </w:t>
      </w:r>
      <w:r w:rsidR="00B96ADD" w:rsidRPr="004923E1">
        <w:t>en matière d’appui communal</w:t>
      </w:r>
    </w:p>
    <w:p w:rsidR="00A24E19" w:rsidRDefault="00A24E19" w:rsidP="00A24E19">
      <w:r>
        <w:t>Le PACA illustre les difficultés des projets qui s’efforcent de contribuer au renforcement des institutions communales et à l’amélioration de la bonne gouvernance locale, dans des co</w:t>
      </w:r>
      <w:r>
        <w:t>n</w:t>
      </w:r>
      <w:r>
        <w:t>textes difficiles comme celui de l’Assaba. L</w:t>
      </w:r>
      <w:r w:rsidR="005C51A8">
        <w:t xml:space="preserve">e bilan du PACA </w:t>
      </w:r>
      <w:r>
        <w:t>permet de tirer une première série de leçons</w:t>
      </w:r>
      <w:r w:rsidR="00F604B2">
        <w:t>,</w:t>
      </w:r>
      <w:r>
        <w:t xml:space="preserve"> propre</w:t>
      </w:r>
      <w:r w:rsidR="00F604B2">
        <w:t>s</w:t>
      </w:r>
      <w:r>
        <w:t xml:space="preserve"> à ce type de projet</w:t>
      </w:r>
    </w:p>
    <w:p w:rsidR="00A24E19" w:rsidRDefault="00A24E19" w:rsidP="00A24E19">
      <w:pPr>
        <w:pStyle w:val="Titre4"/>
      </w:pPr>
      <w:r>
        <w:t>Pertinence et difficultés d’une approche global</w:t>
      </w:r>
      <w:r w:rsidR="00F604B2">
        <w:t>e</w:t>
      </w:r>
      <w:r>
        <w:t xml:space="preserve"> visant l’ensemble des acteurs de la bonne gouvernance locale : </w:t>
      </w:r>
      <w:r w:rsidR="00F604B2">
        <w:t>l</w:t>
      </w:r>
      <w:r>
        <w:t>es limites des projets « polyvalents »</w:t>
      </w:r>
    </w:p>
    <w:p w:rsidR="00804CC6" w:rsidRDefault="00A24E19" w:rsidP="00A24E19">
      <w:r>
        <w:t>L</w:t>
      </w:r>
      <w:r w:rsidR="00E81B84">
        <w:t>e</w:t>
      </w:r>
      <w:r w:rsidR="005C51A8">
        <w:t xml:space="preserve"> PACA montre à la fois la nécessité et la difficulté de renforcer les capacités et les liens entre les différents acteurs d</w:t>
      </w:r>
      <w:r w:rsidR="00D80AC7">
        <w:t xml:space="preserve">e </w:t>
      </w:r>
      <w:r w:rsidR="005C51A8">
        <w:t>la bonne gouvernance locale</w:t>
      </w:r>
      <w:r w:rsidR="00D80AC7">
        <w:t> :</w:t>
      </w:r>
      <w:r w:rsidR="005C51A8">
        <w:t xml:space="preserve"> </w:t>
      </w:r>
      <w:r w:rsidR="00F604B2">
        <w:t>l</w:t>
      </w:r>
      <w:r w:rsidR="005C51A8">
        <w:t>es institutions communales, les services techniques déconcentrés dans leur fonction d’appui, de tutelle et de coordination, les organisations de la société civile au niveau local et régional</w:t>
      </w:r>
      <w:r w:rsidR="00F604B2">
        <w:t xml:space="preserve">. </w:t>
      </w:r>
      <w:r w:rsidR="00D80AC7">
        <w:t>L’ensemble de c</w:t>
      </w:r>
      <w:r w:rsidR="005C51A8">
        <w:t>es appuis doi</w:t>
      </w:r>
      <w:r w:rsidR="00D80AC7">
        <w:t xml:space="preserve">t </w:t>
      </w:r>
      <w:r w:rsidR="005C51A8">
        <w:t xml:space="preserve">être </w:t>
      </w:r>
      <w:r w:rsidR="00D80AC7">
        <w:t xml:space="preserve">équilibré et </w:t>
      </w:r>
      <w:r w:rsidR="005C51A8">
        <w:t>cohérent</w:t>
      </w:r>
      <w:r w:rsidR="00D80AC7">
        <w:t xml:space="preserve">, mais il fait appel à </w:t>
      </w:r>
      <w:r w:rsidR="005C51A8">
        <w:t>un</w:t>
      </w:r>
      <w:r w:rsidR="00D80AC7">
        <w:t xml:space="preserve">e somme </w:t>
      </w:r>
      <w:r w:rsidR="005C51A8">
        <w:t xml:space="preserve">de compétences difficiles à concilier et </w:t>
      </w:r>
      <w:r w:rsidR="00D80AC7">
        <w:t xml:space="preserve">requière </w:t>
      </w:r>
      <w:r w:rsidR="005C51A8">
        <w:t>des positionnements di</w:t>
      </w:r>
      <w:r w:rsidR="00804CC6">
        <w:t>fférents di</w:t>
      </w:r>
      <w:r w:rsidR="005C51A8">
        <w:t>fficilement compatib</w:t>
      </w:r>
      <w:r w:rsidR="00804CC6">
        <w:t>les.</w:t>
      </w:r>
    </w:p>
    <w:p w:rsidR="00804CC6" w:rsidRDefault="00804CC6" w:rsidP="00A24E19">
      <w:r>
        <w:t xml:space="preserve">L’appui aux institutions communales doit lui même associer </w:t>
      </w:r>
      <w:r w:rsidR="00D80AC7">
        <w:t xml:space="preserve">des </w:t>
      </w:r>
      <w:r>
        <w:t>appui</w:t>
      </w:r>
      <w:r w:rsidR="00D80AC7">
        <w:t>s</w:t>
      </w:r>
      <w:r>
        <w:t xml:space="preserve"> financier</w:t>
      </w:r>
      <w:r w:rsidR="00D80AC7">
        <w:t>s</w:t>
      </w:r>
      <w:r>
        <w:t xml:space="preserve"> et non f</w:t>
      </w:r>
      <w:r>
        <w:t>i</w:t>
      </w:r>
      <w:r>
        <w:t>nancier</w:t>
      </w:r>
      <w:r w:rsidR="00D80AC7">
        <w:t>s</w:t>
      </w:r>
      <w:r>
        <w:t xml:space="preserve">. </w:t>
      </w:r>
      <w:r w:rsidR="00D80AC7">
        <w:t xml:space="preserve">Ces derniers </w:t>
      </w:r>
      <w:r>
        <w:t>doi</w:t>
      </w:r>
      <w:r w:rsidR="00D80AC7">
        <w:t>vent</w:t>
      </w:r>
      <w:r>
        <w:t xml:space="preserve"> porter sur des domaines différents : outil et processus de plan</w:t>
      </w:r>
      <w:r>
        <w:t>i</w:t>
      </w:r>
      <w:r>
        <w:t>fication et de programmation, gestion communale, fiscalité, maîtrise d’ouvrage dans ces d</w:t>
      </w:r>
      <w:r>
        <w:t>i</w:t>
      </w:r>
      <w:r>
        <w:t>mensions techniques et réglementaires, développement local…Ce</w:t>
      </w:r>
      <w:r w:rsidR="00D80AC7">
        <w:t>s</w:t>
      </w:r>
      <w:r>
        <w:t xml:space="preserve"> appui</w:t>
      </w:r>
      <w:r w:rsidR="00D80AC7">
        <w:t>s</w:t>
      </w:r>
      <w:r>
        <w:t xml:space="preserve"> demande</w:t>
      </w:r>
      <w:r w:rsidR="00D80AC7">
        <w:t xml:space="preserve">nt </w:t>
      </w:r>
      <w:r>
        <w:t>un panel de compétences très différentes</w:t>
      </w:r>
      <w:r w:rsidR="00F604B2">
        <w:t>.</w:t>
      </w:r>
    </w:p>
    <w:p w:rsidR="00C13D2D" w:rsidRDefault="00804CC6" w:rsidP="00A24E19">
      <w:r>
        <w:t>Le bilan du PACA laisse penser qu’un projet</w:t>
      </w:r>
      <w:r w:rsidR="00F604B2">
        <w:t xml:space="preserve">- </w:t>
      </w:r>
      <w:r w:rsidR="00C13D2D">
        <w:t>ou qu’un dispositif</w:t>
      </w:r>
      <w:r w:rsidR="00F604B2">
        <w:t xml:space="preserve">- </w:t>
      </w:r>
      <w:r>
        <w:t xml:space="preserve">très polyvalent qui s’efforce de </w:t>
      </w:r>
      <w:r w:rsidR="00AA5A1D">
        <w:t xml:space="preserve">mettre en </w:t>
      </w:r>
      <w:r w:rsidR="00D80AC7">
        <w:t>œuvre</w:t>
      </w:r>
      <w:r w:rsidR="00AA5A1D">
        <w:t xml:space="preserve"> </w:t>
      </w:r>
      <w:r>
        <w:t xml:space="preserve"> un ensemble d’appui</w:t>
      </w:r>
      <w:r w:rsidR="00F604B2">
        <w:t>s</w:t>
      </w:r>
      <w:r>
        <w:t xml:space="preserve"> trop différent</w:t>
      </w:r>
      <w:r w:rsidR="00AA5A1D">
        <w:t>s</w:t>
      </w:r>
      <w:r w:rsidR="00F604B2">
        <w:t xml:space="preserve">, </w:t>
      </w:r>
      <w:r w:rsidR="00D80AC7">
        <w:t>sur un vaste territoire</w:t>
      </w:r>
      <w:r w:rsidR="00F604B2">
        <w:t>,</w:t>
      </w:r>
      <w:r w:rsidR="00D80AC7">
        <w:t xml:space="preserve"> </w:t>
      </w:r>
      <w:r w:rsidR="00AA5A1D">
        <w:t xml:space="preserve">est difficile à mettre au point et à exécuter. </w:t>
      </w:r>
      <w:r w:rsidR="00C13D2D">
        <w:t>L’expérience des différents projets intervenus en Assaba au cours de ces dernières années</w:t>
      </w:r>
      <w:r w:rsidR="00F604B2">
        <w:t xml:space="preserve"> (Paddem, Vaincre, PACA…)</w:t>
      </w:r>
      <w:r w:rsidR="00C13D2D">
        <w:t>, chacun avec son volet financier et non financier conduit à s’interroger sur la pertinence de ces chevauchements. L’appui aux communes ne serait-il pas plus efficace via des projets ou des dispositifs plus compléme</w:t>
      </w:r>
      <w:r w:rsidR="00C13D2D">
        <w:t>n</w:t>
      </w:r>
      <w:r w:rsidR="00C13D2D">
        <w:t xml:space="preserve">taires parce que plus spécialisés et mieux coordonnés ? </w:t>
      </w:r>
    </w:p>
    <w:p w:rsidR="00C13D2D" w:rsidRDefault="00C13D2D" w:rsidP="00A24E19">
      <w:r>
        <w:t>L’enjeu de l’harmonisation et de la coordination des différents projets qui interviennent sur un même territoire régional est toujours un enjeu majeur en matière d’appui à la décentralisation</w:t>
      </w:r>
      <w:r w:rsidR="004805DC">
        <w:t>.</w:t>
      </w:r>
    </w:p>
    <w:p w:rsidR="00AA5A1D" w:rsidRDefault="00AA5A1D" w:rsidP="00A24E19">
      <w:r>
        <w:t>L’expérience de la collaboration entre le PACA, le PADDEM et Vaincre montre que cette harmonisation ne va pas d’elle même, malgré la bonne volonté manifeste de chacun. Cette harmonisation devrait intervenir dès la conception des projets. Elle demande également de renforcer les capacités de coordination  au niveau régional, en termes d’outil</w:t>
      </w:r>
      <w:r w:rsidR="004805DC">
        <w:t>s</w:t>
      </w:r>
      <w:r>
        <w:t xml:space="preserve"> et de méthode</w:t>
      </w:r>
      <w:r w:rsidR="004805DC">
        <w:t>s</w:t>
      </w:r>
      <w:r>
        <w:t>, de ressources humaines, et d’organisation.</w:t>
      </w:r>
    </w:p>
    <w:p w:rsidR="00AA5A1D" w:rsidRDefault="00AA5A1D" w:rsidP="00AA5A1D">
      <w:pPr>
        <w:pStyle w:val="Titre4"/>
      </w:pPr>
      <w:r>
        <w:t>Les difficultés spécifiques de l’appui aux communes rurales dans des zones enclavées : Quel dispositif ?</w:t>
      </w:r>
    </w:p>
    <w:p w:rsidR="00330E29" w:rsidRDefault="00E81B84" w:rsidP="00A24E19">
      <w:r>
        <w:t xml:space="preserve">La déficience initiale du PACA en matière d’appui à maîtrise d’ouvrage </w:t>
      </w:r>
      <w:r w:rsidR="005A684E">
        <w:t>a</w:t>
      </w:r>
      <w:r>
        <w:t xml:space="preserve"> été comblée en pa</w:t>
      </w:r>
      <w:r>
        <w:t>r</w:t>
      </w:r>
      <w:r>
        <w:t xml:space="preserve">tie par le recours </w:t>
      </w:r>
      <w:r w:rsidR="004805DC">
        <w:t xml:space="preserve">tardif </w:t>
      </w:r>
      <w:r>
        <w:t xml:space="preserve">au bureau Intercom. </w:t>
      </w:r>
      <w:r w:rsidR="004805DC">
        <w:t>S</w:t>
      </w:r>
      <w:r w:rsidR="00B62A18">
        <w:t xml:space="preserve">i </w:t>
      </w:r>
      <w:r>
        <w:t xml:space="preserve">cette </w:t>
      </w:r>
      <w:r w:rsidR="004805DC">
        <w:t>option</w:t>
      </w:r>
      <w:r w:rsidR="00330E29">
        <w:t xml:space="preserve">, un bureau d’études régional, est </w:t>
      </w:r>
      <w:r>
        <w:lastRenderedPageBreak/>
        <w:t>adaptée pour accompagner la réalisation d’infrastructures relativement importantes</w:t>
      </w:r>
      <w:r w:rsidR="00B62A18">
        <w:t>, e</w:t>
      </w:r>
      <w:r w:rsidR="00330E29">
        <w:t>lle l’est moins quand il s’agit de microprojets</w:t>
      </w:r>
      <w:r w:rsidR="004805DC">
        <w:t>,</w:t>
      </w:r>
      <w:r w:rsidR="00330E29">
        <w:t xml:space="preserve"> </w:t>
      </w:r>
      <w:r w:rsidR="004805DC">
        <w:t xml:space="preserve">aux montants très faibles, </w:t>
      </w:r>
      <w:r w:rsidR="00330E29">
        <w:t>de natures très diverses, épa</w:t>
      </w:r>
      <w:r w:rsidR="00330E29">
        <w:t>r</w:t>
      </w:r>
      <w:r w:rsidR="00330E29">
        <w:t xml:space="preserve">pillées sur un vaste territoire. </w:t>
      </w:r>
    </w:p>
    <w:p w:rsidR="00330E29" w:rsidRDefault="00330E29" w:rsidP="00A24E19">
      <w:r>
        <w:t>Le PACA a</w:t>
      </w:r>
      <w:r w:rsidR="004805DC">
        <w:t>,</w:t>
      </w:r>
      <w:r>
        <w:t xml:space="preserve"> d’autre part</w:t>
      </w:r>
      <w:r w:rsidR="004805DC">
        <w:t xml:space="preserve">, </w:t>
      </w:r>
      <w:r>
        <w:t>finalement renforcé ses capacités d’appui et de suivi en mettant en place</w:t>
      </w:r>
      <w:r w:rsidR="004805DC">
        <w:t>, également tardivement,</w:t>
      </w:r>
      <w:r>
        <w:t xml:space="preserve"> un dispositif de proximité par l’intermédiaire de quatre VNU placés au niveau des </w:t>
      </w:r>
      <w:r w:rsidR="005A684E">
        <w:t>Moughataas</w:t>
      </w:r>
      <w:r>
        <w:t xml:space="preserve">. Mais la mission de ces derniers apparaît particulièrement exigeante. Elle </w:t>
      </w:r>
      <w:r w:rsidR="00B62A18">
        <w:t xml:space="preserve">exige une </w:t>
      </w:r>
      <w:r>
        <w:t xml:space="preserve">grande polyvalence. </w:t>
      </w:r>
      <w:r w:rsidR="00B62A18">
        <w:t xml:space="preserve">Elle aurait besoin de s’appuyer sur une vraie « base arrière ». </w:t>
      </w:r>
    </w:p>
    <w:p w:rsidR="00AD302C" w:rsidRDefault="00B62A18" w:rsidP="00A24E19">
      <w:r>
        <w:t xml:space="preserve">L’expérience du PACA laisse penser qu’un dispositif d’appui aux communes rurales dans des zones enclavées devrait </w:t>
      </w:r>
      <w:r w:rsidR="00330E29">
        <w:t>articuler ces deux types d’appui</w:t>
      </w:r>
      <w:r w:rsidR="004805DC">
        <w:t> : appui à maîtrise d’ouvrage et appui de proximité</w:t>
      </w:r>
      <w:r>
        <w:t>.</w:t>
      </w:r>
      <w:r w:rsidR="00330E29">
        <w:t xml:space="preserve"> </w:t>
      </w:r>
      <w:r>
        <w:t xml:space="preserve">Mais elle n’apporte pas de réponses aux questions </w:t>
      </w:r>
      <w:r w:rsidR="001853C6">
        <w:t>essentielles posées par l</w:t>
      </w:r>
      <w:r>
        <w:t>eur articulation</w:t>
      </w:r>
      <w:r w:rsidR="001853C6">
        <w:t xml:space="preserve"> et leur pérennisation institutionnel</w:t>
      </w:r>
      <w:r w:rsidR="007E4CCE">
        <w:t>le</w:t>
      </w:r>
      <w:r w:rsidR="001853C6">
        <w:t xml:space="preserve"> et financière. Ces questions sont au </w:t>
      </w:r>
      <w:r w:rsidR="00827611">
        <w:t xml:space="preserve">cœur de la relance du projet </w:t>
      </w:r>
      <w:r w:rsidR="005A684E">
        <w:t>Périclès</w:t>
      </w:r>
      <w:r w:rsidR="00827611">
        <w:t>. La capitalisation commune des quatre projets qui sont intervenus en Assaba, PACA, PADDEM, Vaincre et PASK, pourrait</w:t>
      </w:r>
      <w:r w:rsidR="001853C6">
        <w:t xml:space="preserve"> contribuer utilement à cette r</w:t>
      </w:r>
      <w:r w:rsidR="001853C6">
        <w:t>é</w:t>
      </w:r>
      <w:r w:rsidR="001853C6">
        <w:t>flexion sut les dispositifs d’appui aux communes.</w:t>
      </w:r>
    </w:p>
    <w:p w:rsidR="00827611" w:rsidRDefault="00827611" w:rsidP="00827611">
      <w:pPr>
        <w:pStyle w:val="Titre3"/>
      </w:pPr>
      <w:r w:rsidRPr="00827611">
        <w:t xml:space="preserve">Leçons </w:t>
      </w:r>
      <w:r w:rsidR="00B96ADD">
        <w:t>propres à l’approche PNUD/FENU</w:t>
      </w:r>
    </w:p>
    <w:p w:rsidR="00A66DD6" w:rsidRPr="00C8424D" w:rsidRDefault="00A66DD6" w:rsidP="00A66DD6">
      <w:pPr>
        <w:pStyle w:val="Titre4"/>
      </w:pPr>
      <w:r w:rsidRPr="00C8424D">
        <w:t>L’expérience du FIL mériterait d’être capitalisée avec celles d’outils financiers analogues</w:t>
      </w:r>
    </w:p>
    <w:p w:rsidR="0077267E" w:rsidRDefault="00A66DD6" w:rsidP="00A66DD6">
      <w:r>
        <w:t xml:space="preserve">La participation de la société civile à l’élaboration et à la mise en œuvre des politiques </w:t>
      </w:r>
      <w:r w:rsidR="0077267E">
        <w:t>p</w:t>
      </w:r>
      <w:r w:rsidR="0077267E">
        <w:t>u</w:t>
      </w:r>
      <w:r w:rsidR="0077267E">
        <w:t xml:space="preserve">bliques </w:t>
      </w:r>
      <w:r>
        <w:t xml:space="preserve">communales </w:t>
      </w:r>
      <w:r w:rsidR="0077267E">
        <w:t>apparaît comme un élément central dans l’approche du FENU. Elle fonde l’originalité de sa démarche.</w:t>
      </w:r>
    </w:p>
    <w:p w:rsidR="0077267E" w:rsidRDefault="0077267E" w:rsidP="00A66DD6">
      <w:r>
        <w:t>Cette démarche repose d’abord sur l’utilisation d’outils participatifs de planification et de pr</w:t>
      </w:r>
      <w:r>
        <w:t>o</w:t>
      </w:r>
      <w:r>
        <w:t xml:space="preserve">grammation de l’action communale qui sont, pour </w:t>
      </w:r>
      <w:r w:rsidR="004805DC">
        <w:t xml:space="preserve">la </w:t>
      </w:r>
      <w:r>
        <w:t>plupart de ces outils, comme les P</w:t>
      </w:r>
      <w:r w:rsidR="004805DC">
        <w:t>DC</w:t>
      </w:r>
      <w:r>
        <w:t xml:space="preserve"> déjà éprouvés. </w:t>
      </w:r>
      <w:r w:rsidR="005A684E">
        <w:t>Elle repose ensuite sur des outils financiers, tel que le FIL qui permet aux communes de soutenir financièrement des initiatives locales qui s’inscrivent dans les priorités qu’elles ont elles-mêmes définies.</w:t>
      </w:r>
    </w:p>
    <w:p w:rsidR="003059C7" w:rsidRDefault="0077267E" w:rsidP="00A66DD6">
      <w:r>
        <w:t>L</w:t>
      </w:r>
      <w:r w:rsidR="009E4F10">
        <w:t xml:space="preserve">’expérience du PACA illustre l’intérêt </w:t>
      </w:r>
      <w:r w:rsidR="00C8424D">
        <w:t xml:space="preserve">de ce type d’outil </w:t>
      </w:r>
      <w:r w:rsidR="009E4F10">
        <w:t xml:space="preserve">(mobilisation de la société civile, </w:t>
      </w:r>
      <w:r w:rsidR="00C8424D">
        <w:t>intensification de la relation commune</w:t>
      </w:r>
      <w:r w:rsidR="00506BFE">
        <w:t>/</w:t>
      </w:r>
      <w:r w:rsidR="00C8424D">
        <w:t>OSC, évolution positive de l’image des comm</w:t>
      </w:r>
      <w:r w:rsidR="002D73FB">
        <w:t>u</w:t>
      </w:r>
      <w:r w:rsidR="00C8424D">
        <w:t xml:space="preserve">nes). </w:t>
      </w:r>
    </w:p>
    <w:p w:rsidR="009E4F10" w:rsidRDefault="00C8424D" w:rsidP="00A66DD6">
      <w:r>
        <w:t>Elle montre aussi</w:t>
      </w:r>
      <w:r w:rsidR="009E4F10">
        <w:t xml:space="preserve"> les difficultés de </w:t>
      </w:r>
      <w:r>
        <w:t>l</w:t>
      </w:r>
      <w:r w:rsidR="002D73FB">
        <w:t>a</w:t>
      </w:r>
      <w:r w:rsidR="009E4F10">
        <w:t xml:space="preserve"> </w:t>
      </w:r>
      <w:r w:rsidR="002D73FB">
        <w:t>mise</w:t>
      </w:r>
      <w:r w:rsidR="00506BFE">
        <w:t xml:space="preserve"> en œuvre </w:t>
      </w:r>
      <w:r w:rsidR="002D73FB">
        <w:t xml:space="preserve">de ces </w:t>
      </w:r>
      <w:r w:rsidR="00506BFE">
        <w:t>f</w:t>
      </w:r>
      <w:r w:rsidR="002D73FB">
        <w:t>onds</w:t>
      </w:r>
      <w:r w:rsidR="009E4F10">
        <w:t xml:space="preserve"> (</w:t>
      </w:r>
      <w:r>
        <w:t>faibles impacts des mi</w:t>
      </w:r>
      <w:r w:rsidR="009E4F10">
        <w:t>cr</w:t>
      </w:r>
      <w:r w:rsidR="009E4F10">
        <w:t>o</w:t>
      </w:r>
      <w:r w:rsidR="009E4F10">
        <w:t xml:space="preserve">projets, </w:t>
      </w:r>
      <w:r>
        <w:t>distinction mal</w:t>
      </w:r>
      <w:r w:rsidR="009E4F10">
        <w:t xml:space="preserve"> aisée entre projets communaux</w:t>
      </w:r>
      <w:r>
        <w:t xml:space="preserve"> affermés à une OSC</w:t>
      </w:r>
      <w:r w:rsidR="00506BFE">
        <w:t>,</w:t>
      </w:r>
      <w:r w:rsidR="009E4F10">
        <w:t xml:space="preserve"> et </w:t>
      </w:r>
      <w:r w:rsidR="002D73FB">
        <w:t xml:space="preserve">véritable </w:t>
      </w:r>
      <w:r w:rsidR="009E4F10">
        <w:t>initi</w:t>
      </w:r>
      <w:r w:rsidR="009E4F10">
        <w:t>a</w:t>
      </w:r>
      <w:r w:rsidR="009E4F10">
        <w:t>tive locale</w:t>
      </w:r>
      <w:r>
        <w:t>,</w:t>
      </w:r>
      <w:r w:rsidR="009E4F10">
        <w:t xml:space="preserve"> difficultés à concilier maîtrise d’ouvrage communal</w:t>
      </w:r>
      <w:r w:rsidR="00506BFE">
        <w:t>e</w:t>
      </w:r>
      <w:r w:rsidR="009E4F10">
        <w:t xml:space="preserve"> et appui </w:t>
      </w:r>
      <w:r w:rsidR="00506BFE">
        <w:t xml:space="preserve">aux </w:t>
      </w:r>
      <w:r w:rsidR="009E4F10">
        <w:t>projets comm</w:t>
      </w:r>
      <w:r w:rsidR="009E4F10">
        <w:t>u</w:t>
      </w:r>
      <w:r w:rsidR="009E4F10">
        <w:t>nautaires…)</w:t>
      </w:r>
      <w:r w:rsidR="00D16DD3">
        <w:t>. Ces difficultés interrogent la pertinence de l’utilisation de cet outil dans des co</w:t>
      </w:r>
      <w:r w:rsidR="00D16DD3">
        <w:t>n</w:t>
      </w:r>
      <w:r w:rsidR="00D16DD3">
        <w:t xml:space="preserve">textes où l’institution communale et les OSC </w:t>
      </w:r>
      <w:r w:rsidR="003059C7">
        <w:t>sont encore peu aguerries, d’autant que ces  FIL ont peu de chance de survivre après l’interruption des projets d’appui.</w:t>
      </w:r>
    </w:p>
    <w:p w:rsidR="00506BFE" w:rsidRDefault="00C8424D" w:rsidP="00A66DD6">
      <w:r>
        <w:t xml:space="preserve"> </w:t>
      </w:r>
      <w:r w:rsidR="002D73FB">
        <w:t xml:space="preserve">Compte tenu de leur importance pour le FENU, ce type de </w:t>
      </w:r>
      <w:r w:rsidR="00506BFE">
        <w:t>f</w:t>
      </w:r>
      <w:r w:rsidR="002D73FB">
        <w:t>onds d’appui</w:t>
      </w:r>
      <w:r>
        <w:t xml:space="preserve"> mériterait </w:t>
      </w:r>
      <w:r w:rsidR="002D73FB">
        <w:t>de faire l’objet d’</w:t>
      </w:r>
      <w:r>
        <w:t xml:space="preserve">un exercice de capitalisation croisée réunissant plusieurs expériences </w:t>
      </w:r>
      <w:r w:rsidR="002D73FB">
        <w:t>analogues</w:t>
      </w:r>
      <w:r>
        <w:t xml:space="preserve"> (</w:t>
      </w:r>
      <w:r w:rsidR="00506BFE">
        <w:t>FIL du PACA et</w:t>
      </w:r>
      <w:r>
        <w:t xml:space="preserve"> FAIL du PACURD).</w:t>
      </w:r>
    </w:p>
    <w:p w:rsidR="00827611" w:rsidRDefault="00B96ADD" w:rsidP="00827611">
      <w:pPr>
        <w:pStyle w:val="Titre4"/>
      </w:pPr>
      <w:r>
        <w:t>L</w:t>
      </w:r>
      <w:r w:rsidR="00D16F52">
        <w:t xml:space="preserve">e bilan </w:t>
      </w:r>
      <w:r>
        <w:t xml:space="preserve">du PACA invite le FENU à réinterroger </w:t>
      </w:r>
      <w:r w:rsidR="00FE099F">
        <w:t xml:space="preserve">et </w:t>
      </w:r>
      <w:r w:rsidR="00D16F52">
        <w:t>à</w:t>
      </w:r>
      <w:r w:rsidR="00FE099F">
        <w:t xml:space="preserve"> perfectionner </w:t>
      </w:r>
      <w:r>
        <w:t xml:space="preserve">certains de ses outils </w:t>
      </w:r>
    </w:p>
    <w:p w:rsidR="00506BFE" w:rsidRDefault="001853C6" w:rsidP="001853C6">
      <w:r>
        <w:t>L</w:t>
      </w:r>
      <w:r w:rsidR="00B96ADD">
        <w:t xml:space="preserve">a démarche </w:t>
      </w:r>
      <w:r>
        <w:t xml:space="preserve">SAFIC et l’outil MIS sont sans doute efficaces dans certains contextes, dès lors que les communes partenaires des projets sont dotées d’un minimum de moyens et disposent de réelles opportunités de développement. Ils n’étaient pas adaptés au contexte de l’Assaba. </w:t>
      </w:r>
      <w:r w:rsidR="00FE099F">
        <w:lastRenderedPageBreak/>
        <w:t>(</w:t>
      </w:r>
      <w:r>
        <w:t>Le concept d’outil universel</w:t>
      </w:r>
      <w:r w:rsidR="00FE099F">
        <w:t>,</w:t>
      </w:r>
      <w:r>
        <w:t xml:space="preserve"> r</w:t>
      </w:r>
      <w:r w:rsidR="00506BFE">
        <w:t>e</w:t>
      </w:r>
      <w:r>
        <w:t>plicable et adaptable à toute</w:t>
      </w:r>
      <w:r w:rsidR="007C5A6D">
        <w:t>s</w:t>
      </w:r>
      <w:r>
        <w:t xml:space="preserve"> les situation</w:t>
      </w:r>
      <w:r w:rsidR="00B96ADD">
        <w:t>s</w:t>
      </w:r>
      <w:r w:rsidR="00FE099F">
        <w:t>,</w:t>
      </w:r>
      <w:r w:rsidR="00B96ADD">
        <w:t xml:space="preserve"> est </w:t>
      </w:r>
      <w:r w:rsidR="007C5A6D">
        <w:t>à</w:t>
      </w:r>
      <w:r w:rsidR="00B96ADD">
        <w:t xml:space="preserve"> </w:t>
      </w:r>
      <w:r w:rsidR="007C5A6D">
        <w:t xml:space="preserve">donc </w:t>
      </w:r>
      <w:r w:rsidR="00B96ADD">
        <w:t>manier avec prudence</w:t>
      </w:r>
      <w:r w:rsidR="007C5A6D">
        <w:t>.</w:t>
      </w:r>
      <w:r w:rsidR="00FE099F">
        <w:t xml:space="preserve">). </w:t>
      </w:r>
    </w:p>
    <w:p w:rsidR="002475C1" w:rsidRDefault="00FE099F" w:rsidP="001853C6">
      <w:r>
        <w:t>La pertinence de l’objectif du SAFIC n’est pas remise en question, mais les praticiens qui a</w:t>
      </w:r>
      <w:r>
        <w:t>c</w:t>
      </w:r>
      <w:r>
        <w:t>compagnent des institutions communales aux moyens limités auraient</w:t>
      </w:r>
      <w:r w:rsidR="00506BFE">
        <w:t xml:space="preserve"> sans doute</w:t>
      </w:r>
      <w:r>
        <w:t xml:space="preserve"> besoin d’outils plus simples et plus pragmatiques.</w:t>
      </w:r>
      <w:r w:rsidR="002475C1">
        <w:t xml:space="preserve"> </w:t>
      </w:r>
      <w:r w:rsidR="00506BFE">
        <w:t>Par ailleurs, l</w:t>
      </w:r>
      <w:r w:rsidR="002475C1">
        <w:t>’expérience du PACA montre</w:t>
      </w:r>
      <w:r w:rsidR="00506BFE">
        <w:t>,</w:t>
      </w:r>
      <w:r w:rsidR="002475C1">
        <w:t xml:space="preserve"> qu’à défaut de pouvoir utiliser </w:t>
      </w:r>
      <w:r w:rsidR="00506BFE">
        <w:t xml:space="preserve">le </w:t>
      </w:r>
      <w:r w:rsidR="002475C1">
        <w:t xml:space="preserve">MIS, les responsables de ce type de projet </w:t>
      </w:r>
      <w:r w:rsidR="005A684E">
        <w:t>auraient</w:t>
      </w:r>
      <w:r w:rsidR="002475C1">
        <w:t xml:space="preserve"> besoin d’un canevas simple pour concevoir et mettre en place des dispositifs de suivi évaluation adaptés à leur besoin.</w:t>
      </w:r>
    </w:p>
    <w:p w:rsidR="001853C6" w:rsidRPr="001853C6" w:rsidRDefault="007C5A6D" w:rsidP="001853C6">
      <w:r>
        <w:t>L</w:t>
      </w:r>
      <w:r w:rsidR="00FE099F">
        <w:t>es</w:t>
      </w:r>
      <w:r>
        <w:t xml:space="preserve"> démarche</w:t>
      </w:r>
      <w:r w:rsidR="00FE099F">
        <w:t>s</w:t>
      </w:r>
      <w:r>
        <w:t xml:space="preserve"> de planification locale participative </w:t>
      </w:r>
      <w:r w:rsidR="00FE099F">
        <w:t xml:space="preserve">sont désormais assez largement vulgarisées en Afrique de l’Ouest, en partie grâce au FENU. L’expérience du PACA illustre la force et l’intérêt de </w:t>
      </w:r>
      <w:r w:rsidR="007E4CCE">
        <w:t>l’</w:t>
      </w:r>
      <w:r w:rsidR="00FE099F">
        <w:t>outil</w:t>
      </w:r>
      <w:r w:rsidR="007E4CCE">
        <w:t xml:space="preserve"> PDC</w:t>
      </w:r>
      <w:r w:rsidR="00FE099F">
        <w:t>. Mais elle montre aussi</w:t>
      </w:r>
      <w:r w:rsidR="002475C1">
        <w:t xml:space="preserve"> les limites propres </w:t>
      </w:r>
      <w:r w:rsidR="007E4CCE">
        <w:t>au résultat d’</w:t>
      </w:r>
      <w:r w:rsidR="002475C1">
        <w:t xml:space="preserve">un premier exercice de planification. </w:t>
      </w:r>
      <w:r w:rsidR="007E4CCE">
        <w:t>Pour garder</w:t>
      </w:r>
      <w:r w:rsidR="002475C1">
        <w:t xml:space="preserve"> </w:t>
      </w:r>
      <w:r w:rsidR="007E4CCE">
        <w:t>son avance en matière de planification locale, le FENU aurait peut-être intérêt à travailler sur des méthodes d’actualisation et de perfectionnement des outils de planification communale, méthodes destinées aux communes déjà dotées de PDC.</w:t>
      </w:r>
    </w:p>
    <w:p w:rsidR="00827611" w:rsidRPr="00D964F5" w:rsidRDefault="00827611" w:rsidP="00827611">
      <w:pPr>
        <w:pStyle w:val="Titre4"/>
      </w:pPr>
      <w:r w:rsidRPr="00D964F5">
        <w:t>L</w:t>
      </w:r>
      <w:r w:rsidR="00A66DD6" w:rsidRPr="00D964F5">
        <w:t>es difficultés du projet questionne l</w:t>
      </w:r>
      <w:r w:rsidR="00507102" w:rsidRPr="00D964F5">
        <w:t xml:space="preserve">’organisation du copilotage </w:t>
      </w:r>
      <w:r w:rsidRPr="00D964F5">
        <w:t>PNUD</w:t>
      </w:r>
      <w:r w:rsidR="00507102" w:rsidRPr="00D964F5">
        <w:t xml:space="preserve"> -</w:t>
      </w:r>
      <w:r w:rsidRPr="00D964F5">
        <w:t>FENU</w:t>
      </w:r>
    </w:p>
    <w:p w:rsidR="00507102" w:rsidRPr="00D964F5" w:rsidRDefault="00D16F52" w:rsidP="007E4CCE">
      <w:r w:rsidRPr="00D964F5">
        <w:t>Au cours de la mise en œuvre du PACA, l’association PNUD/FENU n’est pas apparue part</w:t>
      </w:r>
      <w:r w:rsidRPr="00D964F5">
        <w:t>i</w:t>
      </w:r>
      <w:r w:rsidRPr="00D964F5">
        <w:t xml:space="preserve">culièrement bien armée pour assurer la conduite, le suivi et le redressement d’un projet qui </w:t>
      </w:r>
      <w:r w:rsidR="00506BFE">
        <w:t>a rencontré</w:t>
      </w:r>
      <w:r w:rsidR="00507102" w:rsidRPr="00D964F5">
        <w:t xml:space="preserve"> de grandes difficultés</w:t>
      </w:r>
      <w:r w:rsidRPr="00D964F5">
        <w:t>.</w:t>
      </w:r>
      <w:r w:rsidR="00C022BC" w:rsidRPr="00D964F5">
        <w:t xml:space="preserve"> </w:t>
      </w:r>
      <w:r w:rsidR="00507102" w:rsidRPr="00D964F5">
        <w:t xml:space="preserve">Il faudrait mieux </w:t>
      </w:r>
      <w:r w:rsidR="00C022BC" w:rsidRPr="00D964F5">
        <w:t>connaît</w:t>
      </w:r>
      <w:r w:rsidR="00507102" w:rsidRPr="00D964F5">
        <w:t xml:space="preserve">re </w:t>
      </w:r>
      <w:r w:rsidR="00C022BC" w:rsidRPr="00D964F5">
        <w:t xml:space="preserve">les deux institutions </w:t>
      </w:r>
      <w:r w:rsidR="00507102" w:rsidRPr="00D964F5">
        <w:t xml:space="preserve">pour </w:t>
      </w:r>
      <w:r w:rsidR="00C022BC" w:rsidRPr="00D964F5">
        <w:t xml:space="preserve">tirer </w:t>
      </w:r>
      <w:r w:rsidR="00507102" w:rsidRPr="00D964F5">
        <w:t>d</w:t>
      </w:r>
      <w:r w:rsidR="00C022BC" w:rsidRPr="00D964F5">
        <w:t xml:space="preserve">es </w:t>
      </w:r>
      <w:r w:rsidR="00506BFE">
        <w:t xml:space="preserve">véritables </w:t>
      </w:r>
      <w:r w:rsidR="00C022BC" w:rsidRPr="00D964F5">
        <w:t xml:space="preserve">leçons </w:t>
      </w:r>
      <w:r w:rsidR="00507102" w:rsidRPr="00D964F5">
        <w:t>opérationnelles de ce constat.</w:t>
      </w:r>
    </w:p>
    <w:p w:rsidR="00873D9C" w:rsidRPr="00D964F5" w:rsidRDefault="00C022BC" w:rsidP="007E4CCE">
      <w:r w:rsidRPr="00D964F5">
        <w:t xml:space="preserve"> </w:t>
      </w:r>
      <w:r w:rsidR="005A684E" w:rsidRPr="00D964F5">
        <w:t>En règle générale</w:t>
      </w:r>
      <w:r w:rsidR="00506BFE">
        <w:t>,</w:t>
      </w:r>
      <w:r w:rsidR="005A684E" w:rsidRPr="00D964F5">
        <w:t xml:space="preserve"> le copilotage d’un projet nécessite que les deux partenaires s’accordent tout au long du « cycle de projet »</w:t>
      </w:r>
      <w:r w:rsidR="00506BFE">
        <w:t>, et notamment qu’ils :</w:t>
      </w:r>
    </w:p>
    <w:p w:rsidR="00873D9C" w:rsidRDefault="00873D9C" w:rsidP="00873D9C">
      <w:pPr>
        <w:pStyle w:val="Tirets"/>
      </w:pPr>
      <w:r>
        <w:t xml:space="preserve">Définissent des </w:t>
      </w:r>
      <w:r w:rsidR="00033F43">
        <w:t>« </w:t>
      </w:r>
      <w:r>
        <w:t>stratégies pays</w:t>
      </w:r>
      <w:r w:rsidR="00033F43">
        <w:t> »</w:t>
      </w:r>
      <w:r>
        <w:t xml:space="preserve"> claires, explicites et compatibles</w:t>
      </w:r>
      <w:r w:rsidR="00033F43">
        <w:t> </w:t>
      </w:r>
    </w:p>
    <w:p w:rsidR="00C022BC" w:rsidRDefault="00873D9C" w:rsidP="00873D9C">
      <w:pPr>
        <w:pStyle w:val="Tirets"/>
      </w:pPr>
      <w:r>
        <w:t xml:space="preserve">Partagent </w:t>
      </w:r>
      <w:r w:rsidR="00C022BC">
        <w:t>bien la conception initiale du projet</w:t>
      </w:r>
      <w:r>
        <w:t xml:space="preserve"> avant de la valider</w:t>
      </w:r>
      <w:r w:rsidR="00C022BC">
        <w:t xml:space="preserve"> </w:t>
      </w:r>
    </w:p>
    <w:p w:rsidR="00C022BC" w:rsidRDefault="00C022BC" w:rsidP="00873D9C">
      <w:pPr>
        <w:pStyle w:val="Tirets"/>
      </w:pPr>
      <w:r>
        <w:t>Définisse</w:t>
      </w:r>
      <w:r w:rsidR="00873D9C">
        <w:t>nt</w:t>
      </w:r>
      <w:r>
        <w:t xml:space="preserve"> clairement leur</w:t>
      </w:r>
      <w:r w:rsidR="00873D9C">
        <w:t>s</w:t>
      </w:r>
      <w:r>
        <w:t xml:space="preserve"> responsabilité</w:t>
      </w:r>
      <w:r w:rsidR="00873D9C">
        <w:t>s</w:t>
      </w:r>
      <w:r>
        <w:t xml:space="preserve"> réciproque</w:t>
      </w:r>
      <w:r w:rsidR="00873D9C">
        <w:t>s</w:t>
      </w:r>
      <w:r>
        <w:t xml:space="preserve"> et le rôle des différentes pe</w:t>
      </w:r>
      <w:r>
        <w:t>r</w:t>
      </w:r>
      <w:r>
        <w:t>sonnes associées à la mise en œuvre du projet : qui assure la responsabilité du projet, le dirige, le supervise, l’appui</w:t>
      </w:r>
      <w:r w:rsidR="00033F43">
        <w:t>e</w:t>
      </w:r>
      <w:r w:rsidR="00873D9C">
        <w:t>… ?</w:t>
      </w:r>
    </w:p>
    <w:p w:rsidR="00C022BC" w:rsidRDefault="00C022BC" w:rsidP="00873D9C">
      <w:pPr>
        <w:pStyle w:val="Tirets"/>
      </w:pPr>
      <w:r>
        <w:t>S’accorde</w:t>
      </w:r>
      <w:r w:rsidR="00873D9C">
        <w:t>nt</w:t>
      </w:r>
      <w:r>
        <w:t xml:space="preserve"> sur des modalités de gestion fi</w:t>
      </w:r>
      <w:r w:rsidR="00873D9C">
        <w:t>n</w:t>
      </w:r>
      <w:r>
        <w:t>ancières compatibles avec les contraintes des deux partenaires</w:t>
      </w:r>
    </w:p>
    <w:p w:rsidR="00873D9C" w:rsidRDefault="00873D9C" w:rsidP="00873D9C">
      <w:pPr>
        <w:pStyle w:val="Tirets"/>
      </w:pPr>
      <w:r>
        <w:t>Disposent</w:t>
      </w:r>
      <w:r w:rsidR="00033F43">
        <w:t xml:space="preserve"> </w:t>
      </w:r>
      <w:r w:rsidR="00C022BC">
        <w:t>d’un outil de suivi effecti</w:t>
      </w:r>
      <w:r>
        <w:t>f et d’un outil financier qui leur permette de suivre régulièrement l’exécution financière du projet.</w:t>
      </w:r>
    </w:p>
    <w:p w:rsidR="00873D9C" w:rsidRDefault="00873D9C" w:rsidP="00873D9C">
      <w:pPr>
        <w:pStyle w:val="Tirets"/>
      </w:pPr>
      <w:r>
        <w:t>Organisent des bilans intermédiaires formels et réguliers (</w:t>
      </w:r>
      <w:r w:rsidR="00033F43">
        <w:t xml:space="preserve">et </w:t>
      </w:r>
      <w:r>
        <w:t>si nécessaire, dans ce</w:t>
      </w:r>
      <w:r>
        <w:t>r</w:t>
      </w:r>
      <w:r>
        <w:t>taines situations, en amont de comités de pilotage officielles)</w:t>
      </w:r>
    </w:p>
    <w:p w:rsidR="00507102" w:rsidRDefault="00507102" w:rsidP="00873D9C">
      <w:pPr>
        <w:pStyle w:val="Tirets"/>
      </w:pPr>
      <w:r>
        <w:t>Ajustent formellement la stratégie opérationnel</w:t>
      </w:r>
      <w:r w:rsidR="00033F43">
        <w:t>le</w:t>
      </w:r>
      <w:r>
        <w:t xml:space="preserve"> des projets lorsque ces bilans inte</w:t>
      </w:r>
      <w:r>
        <w:t>r</w:t>
      </w:r>
      <w:r>
        <w:t>médiaires l’exigent (mise à jour du cadre logique).</w:t>
      </w:r>
    </w:p>
    <w:p w:rsidR="00507102" w:rsidRDefault="00507102" w:rsidP="00507102">
      <w:r>
        <w:t xml:space="preserve">Il ne semble pas que ces conditions pour un bon copilotage </w:t>
      </w:r>
      <w:r w:rsidR="00033F43">
        <w:t xml:space="preserve">aient été </w:t>
      </w:r>
      <w:r>
        <w:t xml:space="preserve">en place au démarrage du PACA. </w:t>
      </w:r>
    </w:p>
    <w:p w:rsidR="005E129C" w:rsidRPr="003F1ADF" w:rsidRDefault="00E43DB8" w:rsidP="00C358AB">
      <w:pPr>
        <w:pStyle w:val="Titre3"/>
      </w:pPr>
      <w:r w:rsidRPr="003F1ADF">
        <w:t xml:space="preserve">Les </w:t>
      </w:r>
      <w:r w:rsidR="00D626B1" w:rsidRPr="003F1ADF">
        <w:t>recommandations</w:t>
      </w:r>
    </w:p>
    <w:p w:rsidR="00956280" w:rsidRPr="003F1ADF" w:rsidRDefault="00956280" w:rsidP="00B544DA">
      <w:pPr>
        <w:pStyle w:val="Titre4"/>
      </w:pPr>
      <w:r w:rsidRPr="003F1ADF">
        <w:t>Avant la clôture du PACA</w:t>
      </w:r>
    </w:p>
    <w:p w:rsidR="00D626B1" w:rsidRDefault="00D626B1" w:rsidP="00D626B1">
      <w:pPr>
        <w:pStyle w:val="Pucepournumration"/>
      </w:pPr>
      <w:r>
        <w:t>Il importe, évidemment que l’</w:t>
      </w:r>
      <w:r w:rsidR="00033F43">
        <w:t>a</w:t>
      </w:r>
      <w:r>
        <w:t>udit du FICA décidé par le comité de pilotage du 9 n</w:t>
      </w:r>
      <w:r>
        <w:t>o</w:t>
      </w:r>
      <w:r>
        <w:t>vembre intervienne avant la clôture du projet</w:t>
      </w:r>
      <w:r w:rsidR="00033F43">
        <w:t>.</w:t>
      </w:r>
    </w:p>
    <w:p w:rsidR="00D626B1" w:rsidRDefault="00D626B1" w:rsidP="00D626B1">
      <w:pPr>
        <w:pStyle w:val="Pucepournumration"/>
      </w:pPr>
      <w:r>
        <w:lastRenderedPageBreak/>
        <w:t>S’il est encore temps il est conseillé au PACA de faire un effort d’archivage électronique de façon à ce que l’essentiel de la documentation qu’il a produite et accumulée reste dur</w:t>
      </w:r>
      <w:r>
        <w:t>a</w:t>
      </w:r>
      <w:r>
        <w:t xml:space="preserve">blement accessible aux projets qui lui succèderont et </w:t>
      </w:r>
      <w:r w:rsidR="00BA0E95">
        <w:t xml:space="preserve">soit </w:t>
      </w:r>
      <w:r>
        <w:t>utilisable pour d’éventuels tr</w:t>
      </w:r>
      <w:r>
        <w:t>a</w:t>
      </w:r>
      <w:r>
        <w:t>vaux de capitalisation ultérieur</w:t>
      </w:r>
      <w:r w:rsidR="00BA0E95">
        <w:t>s</w:t>
      </w:r>
      <w:r>
        <w:t>. Cet archivage</w:t>
      </w:r>
      <w:r w:rsidR="00BA0E95">
        <w:t xml:space="preserve">, que tout projet devrait prévoir et effectuer, </w:t>
      </w:r>
      <w:r>
        <w:t>demande un gros travail de tri et d’organisation documentaire. Mais il serait bien utile</w:t>
      </w:r>
      <w:r w:rsidR="00033F43">
        <w:t xml:space="preserve"> pour les futures actions du FENU et du PNUD</w:t>
      </w:r>
      <w:r w:rsidR="00BA0E95">
        <w:t>.</w:t>
      </w:r>
    </w:p>
    <w:p w:rsidR="00BA0E95" w:rsidRDefault="009948BE" w:rsidP="00D626B1">
      <w:pPr>
        <w:pStyle w:val="Pucepournumration"/>
      </w:pPr>
      <w:r>
        <w:t xml:space="preserve">Il importe que </w:t>
      </w:r>
      <w:r w:rsidR="00BA0E95">
        <w:t xml:space="preserve">19 projets financés par le FICA 3 </w:t>
      </w:r>
      <w:r>
        <w:t xml:space="preserve">soient </w:t>
      </w:r>
      <w:r w:rsidR="00BA0E95">
        <w:t xml:space="preserve">menés à bonne fin. </w:t>
      </w:r>
      <w:r>
        <w:t>Comme t</w:t>
      </w:r>
      <w:r w:rsidR="00BA0E95">
        <w:t>ous ne seront pas achevés fin décembre</w:t>
      </w:r>
      <w:r>
        <w:t xml:space="preserve"> cela implique de prolonger la convention PACA/Vaincre de quelques semaines</w:t>
      </w:r>
      <w:r w:rsidR="00033F43">
        <w:t>.</w:t>
      </w:r>
    </w:p>
    <w:p w:rsidR="00BF0D5E" w:rsidRDefault="005A684E" w:rsidP="00D626B1">
      <w:pPr>
        <w:pStyle w:val="Pucepournumration"/>
      </w:pPr>
      <w:r>
        <w:t>Quelque soit son opinion, la mission se doit de répercuter la demande fai</w:t>
      </w:r>
      <w:r w:rsidR="00033F43">
        <w:t xml:space="preserve">te </w:t>
      </w:r>
      <w:r>
        <w:t>par un certain nombre d’acteur</w:t>
      </w:r>
      <w:r w:rsidR="00033F43">
        <w:t>s</w:t>
      </w:r>
      <w:r>
        <w:t xml:space="preserve"> à Kiffa qui souhaitent que les 25 derniers microprojets identifiés avec l’aide d’Intercom</w:t>
      </w:r>
      <w:r w:rsidR="00033F43">
        <w:t xml:space="preserve"> et</w:t>
      </w:r>
      <w:r>
        <w:t xml:space="preserve"> votés par des conseils municipaux avant les délais du 31 octobre pui</w:t>
      </w:r>
      <w:r>
        <w:t>s</w:t>
      </w:r>
      <w:r>
        <w:t xml:space="preserve">sent bénéficier des subventions du FICA 3 avant la clôture définitive du projet. </w:t>
      </w:r>
      <w:r w:rsidR="00BA0E95">
        <w:t xml:space="preserve">Le </w:t>
      </w:r>
      <w:r w:rsidR="00BF0D5E">
        <w:t xml:space="preserve">suivi </w:t>
      </w:r>
      <w:r w:rsidR="00BA0E95">
        <w:t xml:space="preserve">de ces projets </w:t>
      </w:r>
      <w:r w:rsidR="00BF0D5E">
        <w:t>pou</w:t>
      </w:r>
      <w:r w:rsidR="00BA0E95">
        <w:t xml:space="preserve">rrait être </w:t>
      </w:r>
      <w:r w:rsidR="00BF0D5E">
        <w:t>assuré via le projet Vaincre après la fermeture des bureaux du PACA à Kiffa.</w:t>
      </w:r>
    </w:p>
    <w:p w:rsidR="00BA0E95" w:rsidRDefault="00BF0D5E" w:rsidP="00D626B1">
      <w:pPr>
        <w:pStyle w:val="Pucepournumration"/>
      </w:pPr>
      <w:r>
        <w:t>Si l’idée d’une capitalisation croisée entre les projets PACA, PADDEM, VAINCRE et PASK suggérée ci-dessus étaient retenue, elle devrait être mise en œuvre le plus rapid</w:t>
      </w:r>
      <w:r>
        <w:t>e</w:t>
      </w:r>
      <w:r>
        <w:t>ment possible et donc financée sur les reliquats du projet</w:t>
      </w:r>
      <w:r w:rsidR="00033F43">
        <w:t xml:space="preserve">. Pour être efficace, </w:t>
      </w:r>
      <w:r>
        <w:t>l’exercice doit rester simple et rapide : études documentaires, formalisation et validation de questio</w:t>
      </w:r>
      <w:r>
        <w:t>n</w:t>
      </w:r>
      <w:r>
        <w:t>nements communs, mise en débat de ces questionnements entre quelques personnes re</w:t>
      </w:r>
      <w:r>
        <w:t>s</w:t>
      </w:r>
      <w:r>
        <w:t xml:space="preserve">sources </w:t>
      </w:r>
      <w:r w:rsidR="00BA0E95">
        <w:t>directement associés à la mise en œuvre de ces quatre projets</w:t>
      </w:r>
      <w:r w:rsidR="00033F43">
        <w:t>.</w:t>
      </w:r>
    </w:p>
    <w:p w:rsidR="00956280" w:rsidRPr="00722687" w:rsidRDefault="00D0569A" w:rsidP="00B544DA">
      <w:pPr>
        <w:pStyle w:val="Titre4"/>
      </w:pPr>
      <w:r>
        <w:t>A</w:t>
      </w:r>
      <w:r w:rsidRPr="00722687">
        <w:t>près le PACA</w:t>
      </w:r>
      <w:r>
        <w:t>, p</w:t>
      </w:r>
      <w:r w:rsidR="003F1ADF" w:rsidRPr="00722687">
        <w:t>oursuivre l’appui aux communes de l</w:t>
      </w:r>
      <w:r>
        <w:t>’</w:t>
      </w:r>
      <w:r w:rsidR="003F1ADF" w:rsidRPr="00722687">
        <w:t xml:space="preserve">Assaba </w:t>
      </w:r>
      <w:r w:rsidR="0037534B" w:rsidRPr="00722687">
        <w:t>et à leur</w:t>
      </w:r>
      <w:r>
        <w:t>s</w:t>
      </w:r>
      <w:r w:rsidR="0037534B" w:rsidRPr="00722687">
        <w:t xml:space="preserve"> partenaire</w:t>
      </w:r>
      <w:r>
        <w:t>s</w:t>
      </w:r>
      <w:r w:rsidR="0037534B" w:rsidRPr="00722687">
        <w:t xml:space="preserve"> </w:t>
      </w:r>
    </w:p>
    <w:p w:rsidR="00722687" w:rsidRDefault="0037534B" w:rsidP="0037534B">
      <w:r>
        <w:t>L’effort de renforcement des capacités des communes et de leur partenaire devrait être un e</w:t>
      </w:r>
      <w:r>
        <w:t>f</w:t>
      </w:r>
      <w:r>
        <w:t xml:space="preserve">fort continu. Les lacunes constatées et le </w:t>
      </w:r>
      <w:r w:rsidR="00722687">
        <w:t xml:space="preserve">récent </w:t>
      </w:r>
      <w:r>
        <w:t>changement des secrétaires généraux invitent à p</w:t>
      </w:r>
      <w:r w:rsidR="00722687">
        <w:t xml:space="preserve">rolonger les actions de </w:t>
      </w:r>
      <w:r>
        <w:t xml:space="preserve">formation et d’appui-conseil entrepris par le PADDEM et le PACA. </w:t>
      </w:r>
      <w:r w:rsidR="00722687">
        <w:t xml:space="preserve">Ce prolongement </w:t>
      </w:r>
      <w:r>
        <w:t>devrait s’inscrire dans l</w:t>
      </w:r>
      <w:r w:rsidR="00722687">
        <w:t xml:space="preserve">a logique d’ensemble du </w:t>
      </w:r>
      <w:r>
        <w:t>programme PERICLES. Il pourrait s’appuyer sur la présence de l’assistant technique de la coopération française placé au près du Wali de Kiffa. L</w:t>
      </w:r>
      <w:r w:rsidR="00722687">
        <w:t>e bon niveau de base des nouveaux secrétaires généraux invitent peut être à faire évoluer la stratégie de formation et d’appui conseil utilisée jusque là. Les leçons du PACA plaident pour que cet appui</w:t>
      </w:r>
      <w:r w:rsidR="00A34F5E">
        <w:t>-</w:t>
      </w:r>
      <w:r w:rsidR="00722687">
        <w:t>conseil bénéficie également aux services déconcentrés au niveau des Wilaya.</w:t>
      </w:r>
    </w:p>
    <w:p w:rsidR="00A34F5E" w:rsidRDefault="00A34F5E" w:rsidP="0037534B">
      <w:r>
        <w:t>Il faudrait également continuer de permettre aux communes d’exercer pleinement leur fon</w:t>
      </w:r>
      <w:r>
        <w:t>c</w:t>
      </w:r>
      <w:r>
        <w:t>tion de maître d’ouvrage de leur développement en accédant à des outils financiers</w:t>
      </w:r>
      <w:r w:rsidR="00D0569A">
        <w:t xml:space="preserve"> adaptés à leurs capacités</w:t>
      </w:r>
      <w:r>
        <w:t>. Ces outils, à la différence du PACA</w:t>
      </w:r>
      <w:r w:rsidR="00D0569A">
        <w:t>,</w:t>
      </w:r>
      <w:r>
        <w:t xml:space="preserve"> devraient </w:t>
      </w:r>
      <w:r w:rsidR="00D0569A">
        <w:t>être</w:t>
      </w:r>
      <w:r>
        <w:t xml:space="preserve"> dotés de sérieux gardes fous pour </w:t>
      </w:r>
      <w:r w:rsidR="00D0569A">
        <w:t>que leur utilisation soit é</w:t>
      </w:r>
      <w:r>
        <w:t>galement source d’apprentissage pour leurs bénéficiaires.</w:t>
      </w:r>
    </w:p>
    <w:p w:rsidR="00D0569A" w:rsidRPr="00A01A76" w:rsidRDefault="00D0569A" w:rsidP="00FA74B3">
      <w:pPr>
        <w:pStyle w:val="Titre4"/>
      </w:pPr>
      <w:r w:rsidRPr="00A01A76">
        <w:t>Après le PACA, améliorer les capacités régionales de planification et de coordination</w:t>
      </w:r>
    </w:p>
    <w:p w:rsidR="00AD302C" w:rsidRPr="00A01A76" w:rsidRDefault="00FF521F" w:rsidP="00AD302C">
      <w:r w:rsidRPr="00A01A76">
        <w:t>L</w:t>
      </w:r>
      <w:r w:rsidR="00AB650F" w:rsidRPr="00A01A76">
        <w:t>e manque de</w:t>
      </w:r>
      <w:r w:rsidRPr="00A01A76">
        <w:t xml:space="preserve"> cohérence d’ensemble </w:t>
      </w:r>
      <w:r w:rsidR="00AB650F" w:rsidRPr="00A01A76">
        <w:t xml:space="preserve">apparaît comme un obstacle majeur à l’efficacité.des actions de développement </w:t>
      </w:r>
      <w:r w:rsidR="00AB650F" w:rsidRPr="00A01A76">
        <w:t xml:space="preserve">au niveau </w:t>
      </w:r>
      <w:r w:rsidR="006F344A">
        <w:t>de la Wilaya</w:t>
      </w:r>
      <w:r w:rsidR="00AB650F" w:rsidRPr="00A01A76">
        <w:t xml:space="preserve">. </w:t>
      </w:r>
      <w:r w:rsidR="00B370C1" w:rsidRPr="00A01A76">
        <w:t xml:space="preserve">La </w:t>
      </w:r>
      <w:r w:rsidR="00AB650F" w:rsidRPr="00A01A76">
        <w:t>synergie e</w:t>
      </w:r>
      <w:r w:rsidR="00B370C1" w:rsidRPr="00A01A76">
        <w:t>t la meilleure</w:t>
      </w:r>
      <w:r w:rsidR="00AB650F" w:rsidRPr="00A01A76">
        <w:t xml:space="preserve"> complémentar</w:t>
      </w:r>
      <w:r w:rsidR="00AB650F" w:rsidRPr="00A01A76">
        <w:t>i</w:t>
      </w:r>
      <w:r w:rsidR="00AB650F" w:rsidRPr="00A01A76">
        <w:t xml:space="preserve">té entre projet </w:t>
      </w:r>
      <w:r w:rsidR="00B370C1" w:rsidRPr="00A01A76">
        <w:t>dépend des</w:t>
      </w:r>
      <w:r w:rsidR="00AB650F" w:rsidRPr="00A01A76">
        <w:t xml:space="preserve"> capacités </w:t>
      </w:r>
      <w:r w:rsidR="006F344A">
        <w:t xml:space="preserve">régionales </w:t>
      </w:r>
      <w:r w:rsidR="00AB650F" w:rsidRPr="00A01A76">
        <w:t>de planification et de coordination</w:t>
      </w:r>
      <w:r w:rsidR="006F344A">
        <w:t>.</w:t>
      </w:r>
      <w:r w:rsidR="00B370C1" w:rsidRPr="00A01A76">
        <w:t xml:space="preserve"> L’amélioration de ces capacités devrait être un objectif prioritaire en </w:t>
      </w:r>
      <w:r w:rsidR="00AB650F" w:rsidRPr="00A01A76">
        <w:t>A</w:t>
      </w:r>
      <w:r w:rsidR="00B370C1" w:rsidRPr="00A01A76">
        <w:t>SSABA</w:t>
      </w:r>
      <w:r w:rsidR="00AB650F" w:rsidRPr="00A01A76">
        <w:t xml:space="preserve"> o</w:t>
      </w:r>
      <w:r w:rsidR="00B370C1" w:rsidRPr="00A01A76">
        <w:t>ù</w:t>
      </w:r>
      <w:r w:rsidR="00AB650F" w:rsidRPr="00A01A76">
        <w:t xml:space="preserve"> se côtoient de nombreux pr</w:t>
      </w:r>
      <w:r w:rsidR="00AB650F" w:rsidRPr="00A01A76">
        <w:t>o</w:t>
      </w:r>
      <w:r w:rsidR="00AB650F" w:rsidRPr="00A01A76">
        <w:t>jets</w:t>
      </w:r>
      <w:r w:rsidR="00B370C1" w:rsidRPr="00A01A76">
        <w:t>.</w:t>
      </w:r>
      <w:r w:rsidR="00AB650F" w:rsidRPr="00A01A76">
        <w:t xml:space="preserve"> </w:t>
      </w:r>
      <w:r w:rsidR="00B370C1" w:rsidRPr="00A01A76">
        <w:t xml:space="preserve">Elle devrait faire l’objet d’un effort particulier qui pourrait être soutenu par le PNUD et le FENU. </w:t>
      </w:r>
      <w:r w:rsidR="006F344A">
        <w:t>Un</w:t>
      </w:r>
      <w:r w:rsidR="00A01A76" w:rsidRPr="00A01A76">
        <w:t xml:space="preserve"> tel projet</w:t>
      </w:r>
      <w:r w:rsidR="006F344A">
        <w:t xml:space="preserve"> apparaitrait </w:t>
      </w:r>
      <w:r w:rsidR="00A01A76" w:rsidRPr="00A01A76">
        <w:t>cohérent avec les axes d’intervention des deux institutions</w:t>
      </w:r>
      <w:r w:rsidR="006F344A">
        <w:t xml:space="preserve">. Mais il </w:t>
      </w:r>
      <w:r w:rsidR="00A01A76" w:rsidRPr="00A01A76">
        <w:t xml:space="preserve"> n’aurait de sens que si le renforcement du niveau régional était co</w:t>
      </w:r>
      <w:r w:rsidR="00A01A76" w:rsidRPr="00A01A76">
        <w:t>n</w:t>
      </w:r>
      <w:r w:rsidR="00A01A76" w:rsidRPr="00A01A76">
        <w:lastRenderedPageBreak/>
        <w:t>firmé comme une des priorités de la politique nationale de décentralisation et de déconcentr</w:t>
      </w:r>
      <w:r w:rsidR="00A01A76" w:rsidRPr="00A01A76">
        <w:t>a</w:t>
      </w:r>
      <w:r w:rsidR="00A01A76" w:rsidRPr="00A01A76">
        <w:t>tion.  Faute de s’inscrire dans une volonté politique forte, un tel projet aurait très peu de chance d’aboutir.</w:t>
      </w:r>
    </w:p>
    <w:p w:rsidR="00AD302C" w:rsidRPr="00A01A76" w:rsidRDefault="00FA74B3" w:rsidP="00B544DA">
      <w:pPr>
        <w:pStyle w:val="Titre4"/>
      </w:pPr>
      <w:r w:rsidRPr="00A01A76">
        <w:t>Propositions au FENU et au PNUD</w:t>
      </w:r>
    </w:p>
    <w:p w:rsidR="00317304" w:rsidRPr="00A01A76" w:rsidRDefault="00FA74B3" w:rsidP="00B544DA">
      <w:r w:rsidRPr="00A01A76">
        <w:t xml:space="preserve">Si le FENU partage les leçons </w:t>
      </w:r>
      <w:r w:rsidR="00317304" w:rsidRPr="00A01A76">
        <w:t>tirées de la mise en œuvre de ces outils sur le PACA, il devrait capitaliser avec rigueur les bilans de ses différentes expériences de fonds communaux d’appui à initiatives locales, et de doter d’outils alternatifs au MIS et au SAFIC pour intervenir plus efficacement dans des communes émergentes</w:t>
      </w:r>
    </w:p>
    <w:p w:rsidR="00AD302C" w:rsidRPr="00A01A76" w:rsidRDefault="00317304" w:rsidP="00B544DA">
      <w:r w:rsidRPr="00A01A76">
        <w:t xml:space="preserve">Enfin en Mauritanie le PNUD er le FENU devrait mieux  définir leur stratégie et leur modalité de coopération </w:t>
      </w:r>
      <w:r w:rsidR="00B34586" w:rsidRPr="00A01A76">
        <w:t>avant d’identifier de nouveaux projets communs.</w:t>
      </w:r>
    </w:p>
    <w:sectPr w:rsidR="00AD302C" w:rsidRPr="00A01A76" w:rsidSect="005E5354">
      <w:headerReference w:type="default" r:id="rId8"/>
      <w:footerReference w:type="default" r:id="rId9"/>
      <w:type w:val="oddPage"/>
      <w:pgSz w:w="11906" w:h="16838" w:code="9"/>
      <w:pgMar w:top="2268" w:right="1588" w:bottom="1985" w:left="1588" w:header="113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401" w:rsidRDefault="00DC0401">
      <w:r>
        <w:separator/>
      </w:r>
    </w:p>
  </w:endnote>
  <w:endnote w:type="continuationSeparator" w:id="1">
    <w:p w:rsidR="00DC0401" w:rsidRDefault="00DC0401">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FD" w:rsidRDefault="003461F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F344A">
      <w:rPr>
        <w:rStyle w:val="Numrodepage"/>
        <w:noProof/>
      </w:rPr>
      <w:t>17</w:t>
    </w:r>
    <w:r>
      <w:rPr>
        <w:rStyle w:val="Numrodepage"/>
      </w:rPr>
      <w:fldChar w:fldCharType="end"/>
    </w:r>
  </w:p>
  <w:p w:rsidR="003461FD" w:rsidRDefault="003461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401" w:rsidRDefault="00DC0401">
      <w:pPr>
        <w:pStyle w:val="Pieddepage"/>
        <w:pBdr>
          <w:top w:val="single" w:sz="2" w:space="1" w:color="auto"/>
        </w:pBdr>
        <w:tabs>
          <w:tab w:val="clear" w:pos="4536"/>
          <w:tab w:val="clear" w:pos="9072"/>
        </w:tabs>
        <w:spacing w:before="240"/>
        <w:ind w:right="6237"/>
        <w:rPr>
          <w:sz w:val="8"/>
        </w:rPr>
      </w:pPr>
    </w:p>
  </w:footnote>
  <w:footnote w:type="continuationSeparator" w:id="1">
    <w:p w:rsidR="00DC0401" w:rsidRDefault="00DC0401">
      <w:pPr>
        <w:pStyle w:val="Pieddepage"/>
        <w:pBdr>
          <w:top w:val="single" w:sz="2" w:space="1" w:color="auto"/>
        </w:pBdr>
        <w:tabs>
          <w:tab w:val="clear" w:pos="4536"/>
          <w:tab w:val="clear" w:pos="9072"/>
        </w:tabs>
        <w:spacing w:before="240"/>
        <w:ind w:right="6237"/>
        <w:rPr>
          <w:sz w:val="8"/>
        </w:rPr>
      </w:pPr>
    </w:p>
  </w:footnote>
  <w:footnote w:type="continuationNotice" w:id="2">
    <w:p w:rsidR="00DC0401" w:rsidRDefault="00DC0401">
      <w:r>
        <w:t>…</w:t>
      </w:r>
    </w:p>
  </w:footnote>
  <w:footnote w:id="3">
    <w:p w:rsidR="003461FD" w:rsidRDefault="003461FD">
      <w:pPr>
        <w:pStyle w:val="Notedebasdepage"/>
      </w:pPr>
      <w:r>
        <w:rPr>
          <w:rStyle w:val="Appelnotedebasdep"/>
        </w:rPr>
        <w:footnoteRef/>
      </w:r>
      <w:r>
        <w:t xml:space="preserve"> CAD : Comité d’Analyse des dossiers, CAEP Comité d’arbitrage et d’évaluation des performances.</w:t>
      </w:r>
    </w:p>
  </w:footnote>
  <w:footnote w:id="4">
    <w:p w:rsidR="003461FD" w:rsidRDefault="003461FD">
      <w:pPr>
        <w:pStyle w:val="Notedebasdepage"/>
      </w:pPr>
      <w:r>
        <w:rPr>
          <w:rStyle w:val="Appelnotedebasdep"/>
        </w:rPr>
        <w:footnoteRef/>
      </w:r>
      <w:r>
        <w:t xml:space="preserve"> FICA : Fonds d’investissement des communes de l’ASSABA.</w:t>
      </w:r>
    </w:p>
  </w:footnote>
  <w:footnote w:id="5">
    <w:p w:rsidR="003461FD" w:rsidRDefault="003461FD">
      <w:pPr>
        <w:pStyle w:val="Notedebasdepage"/>
      </w:pPr>
      <w:r>
        <w:rPr>
          <w:rStyle w:val="Appelnotedebasdep"/>
        </w:rPr>
        <w:footnoteRef/>
      </w:r>
      <w:r>
        <w:t xml:space="preserve"> Selon le recensement réalisé en 2000</w:t>
      </w:r>
    </w:p>
  </w:footnote>
  <w:footnote w:id="6">
    <w:p w:rsidR="003461FD" w:rsidRDefault="003461FD">
      <w:pPr>
        <w:pStyle w:val="Notedebasdepage"/>
      </w:pPr>
      <w:r>
        <w:rPr>
          <w:rStyle w:val="Appelnotedebasdep"/>
        </w:rPr>
        <w:footnoteRef/>
      </w:r>
      <w:r>
        <w:t xml:space="preserve"> Cet appui n’est intervenu qu’en juillet 2008, après la signature d’une convention signée entre les projets Paca et Vaincre et le bureau d’étude Eco-qualité pour l’extension des services du bureau Intercom aux projets financés par le FICA)</w:t>
      </w:r>
    </w:p>
  </w:footnote>
  <w:footnote w:id="7">
    <w:p w:rsidR="003461FD" w:rsidRDefault="003461FD">
      <w:pPr>
        <w:pStyle w:val="Notedebasdepage"/>
      </w:pPr>
      <w:r>
        <w:rPr>
          <w:rStyle w:val="Appelnotedebasdep"/>
        </w:rPr>
        <w:footnoteRef/>
      </w:r>
      <w:r>
        <w:t xml:space="preserve"> Selon un calcul fondé sur l’hypothèse que 80% des projets d’infrastructures des services de base, 20% des pr</w:t>
      </w:r>
      <w:r>
        <w:t>o</w:t>
      </w:r>
      <w:r>
        <w:t>jets d’assainissements et des projets agricoles, 60¨% de projets en aval de l’élévage et 100% des projets de se</w:t>
      </w:r>
      <w:r>
        <w:t>r</w:t>
      </w:r>
      <w:r>
        <w:t>vices d’approvisionnement et de transformation, ont un impact effectif sur les conditions de vie des popul</w:t>
      </w:r>
      <w:r>
        <w:t>a</w:t>
      </w:r>
      <w:r>
        <w:t>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FD" w:rsidRDefault="003461FD">
    <w:pPr>
      <w:pStyle w:val="En-tte"/>
    </w:pPr>
    <w:r>
      <w:t xml:space="preserve">Restitution de l’évaluation finale du Projet PACA – Aide Mémoire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CD237F8"/>
    <w:lvl w:ilvl="0">
      <w:start w:val="1"/>
      <w:numFmt w:val="decimal"/>
      <w:pStyle w:val="Listenumros"/>
      <w:lvlText w:val="%1."/>
      <w:lvlJc w:val="left"/>
      <w:pPr>
        <w:tabs>
          <w:tab w:val="num" w:pos="360"/>
        </w:tabs>
        <w:ind w:left="360" w:hanging="360"/>
      </w:pPr>
    </w:lvl>
  </w:abstractNum>
  <w:abstractNum w:abstractNumId="1">
    <w:nsid w:val="091931B6"/>
    <w:multiLevelType w:val="multilevel"/>
    <w:tmpl w:val="1E34087E"/>
    <w:lvl w:ilvl="0">
      <w:start w:val="1"/>
      <w:numFmt w:val="none"/>
      <w:pStyle w:val="Titredintercalaire"/>
      <w:suff w:val="nothing"/>
      <w:lvlText w:val="%1"/>
      <w:lvlJc w:val="left"/>
      <w:pPr>
        <w:ind w:left="0" w:firstLine="0"/>
      </w:pPr>
    </w:lvl>
    <w:lvl w:ilvl="1">
      <w:start w:val="1"/>
      <w:numFmt w:val="none"/>
      <w:pStyle w:val="Titreprincipal"/>
      <w:suff w:val="nothing"/>
      <w:lvlText w:val="%2"/>
      <w:lvlJc w:val="left"/>
      <w:pPr>
        <w:ind w:left="0" w:firstLine="0"/>
      </w:pPr>
    </w:lvl>
    <w:lvl w:ilvl="2">
      <w:start w:val="1"/>
      <w:numFmt w:val="none"/>
      <w:pStyle w:val="Titredannexe"/>
      <w:suff w:val="nothing"/>
      <w:lvlText w:val=""/>
      <w:lvlJc w:val="left"/>
      <w:pPr>
        <w:ind w:left="0" w:firstLine="0"/>
      </w:pPr>
      <w:rPr>
        <w:rFonts w:ascii="Arial Black" w:hAnsi="Tahoma" w:hint="default"/>
      </w:rPr>
    </w:lvl>
    <w:lvl w:ilvl="3">
      <w:start w:val="1"/>
      <w:numFmt w:val="upperRoman"/>
      <w:pStyle w:val="Titre1"/>
      <w:lvlText w:val="%4."/>
      <w:lvlJc w:val="left"/>
      <w:pPr>
        <w:tabs>
          <w:tab w:val="num" w:pos="720"/>
        </w:tabs>
        <w:ind w:left="510" w:hanging="510"/>
      </w:pPr>
    </w:lvl>
    <w:lvl w:ilvl="4">
      <w:start w:val="1"/>
      <w:numFmt w:val="decimal"/>
      <w:pStyle w:val="Titre2"/>
      <w:lvlText w:val="%1%5."/>
      <w:lvlJc w:val="left"/>
      <w:pPr>
        <w:tabs>
          <w:tab w:val="num" w:pos="510"/>
        </w:tabs>
        <w:ind w:left="510" w:hanging="510"/>
      </w:pPr>
    </w:lvl>
    <w:lvl w:ilvl="5">
      <w:start w:val="1"/>
      <w:numFmt w:val="decimal"/>
      <w:pStyle w:val="Titre3"/>
      <w:lvlText w:val="%5.%6"/>
      <w:lvlJc w:val="left"/>
      <w:pPr>
        <w:tabs>
          <w:tab w:val="num" w:pos="510"/>
        </w:tabs>
        <w:ind w:left="510" w:hanging="510"/>
      </w:pPr>
    </w:lvl>
    <w:lvl w:ilvl="6">
      <w:start w:val="1"/>
      <w:numFmt w:val="none"/>
      <w:pStyle w:val="Titre4"/>
      <w:suff w:val="nothing"/>
      <w:lvlText w:val=""/>
      <w:lvlJc w:val="left"/>
      <w:pPr>
        <w:ind w:left="0" w:firstLine="0"/>
      </w:pPr>
    </w:lvl>
    <w:lvl w:ilvl="7">
      <w:start w:val="1"/>
      <w:numFmt w:val="bullet"/>
      <w:pStyle w:val="Pucepourtitre"/>
      <w:lvlText w:val=""/>
      <w:lvlJc w:val="left"/>
      <w:pPr>
        <w:tabs>
          <w:tab w:val="num" w:pos="360"/>
        </w:tabs>
        <w:ind w:left="340" w:hanging="340"/>
      </w:pPr>
      <w:rPr>
        <w:rFonts w:ascii="Wingdings" w:hAnsi="Wingdings" w:hint="default"/>
        <w:sz w:val="20"/>
      </w:rPr>
    </w:lvl>
    <w:lvl w:ilvl="8">
      <w:start w:val="1"/>
      <w:numFmt w:val="none"/>
      <w:suff w:val="nothing"/>
      <w:lvlText w:val=""/>
      <w:lvlJc w:val="left"/>
      <w:pPr>
        <w:ind w:left="0" w:firstLine="0"/>
      </w:pPr>
      <w:rPr>
        <w:rFonts w:hint="default"/>
      </w:rPr>
    </w:lvl>
  </w:abstractNum>
  <w:abstractNum w:abstractNumId="2">
    <w:nsid w:val="133D462D"/>
    <w:multiLevelType w:val="singleLevel"/>
    <w:tmpl w:val="880A670A"/>
    <w:lvl w:ilvl="0">
      <w:start w:val="1"/>
      <w:numFmt w:val="bullet"/>
      <w:pStyle w:val="Encadrpucepournumration"/>
      <w:lvlText w:val=""/>
      <w:lvlJc w:val="left"/>
      <w:pPr>
        <w:tabs>
          <w:tab w:val="num" w:pos="360"/>
        </w:tabs>
        <w:ind w:left="284" w:hanging="284"/>
      </w:pPr>
      <w:rPr>
        <w:rFonts w:ascii="MT Extra" w:hAnsi="MT Extra" w:hint="default"/>
        <w:sz w:val="20"/>
      </w:rPr>
    </w:lvl>
  </w:abstractNum>
  <w:abstractNum w:abstractNumId="3">
    <w:nsid w:val="18C60825"/>
    <w:multiLevelType w:val="singleLevel"/>
    <w:tmpl w:val="51000042"/>
    <w:lvl w:ilvl="0">
      <w:start w:val="1"/>
      <w:numFmt w:val="bullet"/>
      <w:pStyle w:val="Pucepournumration"/>
      <w:lvlText w:val=""/>
      <w:lvlJc w:val="left"/>
      <w:pPr>
        <w:tabs>
          <w:tab w:val="num" w:pos="360"/>
        </w:tabs>
        <w:ind w:left="340" w:hanging="340"/>
      </w:pPr>
      <w:rPr>
        <w:rFonts w:ascii="MT Extra" w:hAnsi="MT Extra" w:hint="default"/>
        <w:sz w:val="24"/>
      </w:rPr>
    </w:lvl>
  </w:abstractNum>
  <w:abstractNum w:abstractNumId="4">
    <w:nsid w:val="190765B2"/>
    <w:multiLevelType w:val="singleLevel"/>
    <w:tmpl w:val="DE3C4472"/>
    <w:lvl w:ilvl="0">
      <w:start w:val="1"/>
      <w:numFmt w:val="bullet"/>
      <w:pStyle w:val="Pucepourparagraphe"/>
      <w:lvlText w:val=""/>
      <w:lvlJc w:val="left"/>
      <w:pPr>
        <w:tabs>
          <w:tab w:val="num" w:pos="360"/>
        </w:tabs>
        <w:ind w:left="340" w:hanging="340"/>
      </w:pPr>
      <w:rPr>
        <w:rFonts w:ascii="Wingdings" w:hAnsi="Wingdings" w:hint="default"/>
        <w:sz w:val="20"/>
      </w:rPr>
    </w:lvl>
  </w:abstractNum>
  <w:abstractNum w:abstractNumId="5">
    <w:nsid w:val="23E54212"/>
    <w:multiLevelType w:val="hybridMultilevel"/>
    <w:tmpl w:val="CAC44B1A"/>
    <w:lvl w:ilvl="0" w:tplc="ABFA0F74">
      <w:start w:val="1"/>
      <w:numFmt w:val="bullet"/>
      <w:lvlText w:val=""/>
      <w:lvlJc w:val="left"/>
      <w:pPr>
        <w:tabs>
          <w:tab w:val="num" w:pos="720"/>
        </w:tabs>
        <w:ind w:left="720" w:hanging="360"/>
      </w:pPr>
      <w:rPr>
        <w:rFonts w:ascii="Wingdings" w:hAnsi="Wingdings" w:hint="default"/>
      </w:rPr>
    </w:lvl>
    <w:lvl w:ilvl="1" w:tplc="21D6695C">
      <w:start w:val="1"/>
      <w:numFmt w:val="bullet"/>
      <w:lvlText w:val=""/>
      <w:lvlJc w:val="left"/>
      <w:pPr>
        <w:tabs>
          <w:tab w:val="num" w:pos="1440"/>
        </w:tabs>
        <w:ind w:left="1440" w:hanging="360"/>
      </w:pPr>
      <w:rPr>
        <w:rFonts w:ascii="Wingdings" w:hAnsi="Wingdings" w:hint="default"/>
      </w:rPr>
    </w:lvl>
    <w:lvl w:ilvl="2" w:tplc="819234C8" w:tentative="1">
      <w:start w:val="1"/>
      <w:numFmt w:val="bullet"/>
      <w:lvlText w:val=""/>
      <w:lvlJc w:val="left"/>
      <w:pPr>
        <w:tabs>
          <w:tab w:val="num" w:pos="2160"/>
        </w:tabs>
        <w:ind w:left="2160" w:hanging="360"/>
      </w:pPr>
      <w:rPr>
        <w:rFonts w:ascii="Wingdings" w:hAnsi="Wingdings" w:hint="default"/>
      </w:rPr>
    </w:lvl>
    <w:lvl w:ilvl="3" w:tplc="2A1E2346" w:tentative="1">
      <w:start w:val="1"/>
      <w:numFmt w:val="bullet"/>
      <w:lvlText w:val=""/>
      <w:lvlJc w:val="left"/>
      <w:pPr>
        <w:tabs>
          <w:tab w:val="num" w:pos="2880"/>
        </w:tabs>
        <w:ind w:left="2880" w:hanging="360"/>
      </w:pPr>
      <w:rPr>
        <w:rFonts w:ascii="Wingdings" w:hAnsi="Wingdings" w:hint="default"/>
      </w:rPr>
    </w:lvl>
    <w:lvl w:ilvl="4" w:tplc="8884A718" w:tentative="1">
      <w:start w:val="1"/>
      <w:numFmt w:val="bullet"/>
      <w:lvlText w:val=""/>
      <w:lvlJc w:val="left"/>
      <w:pPr>
        <w:tabs>
          <w:tab w:val="num" w:pos="3600"/>
        </w:tabs>
        <w:ind w:left="3600" w:hanging="360"/>
      </w:pPr>
      <w:rPr>
        <w:rFonts w:ascii="Wingdings" w:hAnsi="Wingdings" w:hint="default"/>
      </w:rPr>
    </w:lvl>
    <w:lvl w:ilvl="5" w:tplc="C8D04706" w:tentative="1">
      <w:start w:val="1"/>
      <w:numFmt w:val="bullet"/>
      <w:lvlText w:val=""/>
      <w:lvlJc w:val="left"/>
      <w:pPr>
        <w:tabs>
          <w:tab w:val="num" w:pos="4320"/>
        </w:tabs>
        <w:ind w:left="4320" w:hanging="360"/>
      </w:pPr>
      <w:rPr>
        <w:rFonts w:ascii="Wingdings" w:hAnsi="Wingdings" w:hint="default"/>
      </w:rPr>
    </w:lvl>
    <w:lvl w:ilvl="6" w:tplc="1C822FAA" w:tentative="1">
      <w:start w:val="1"/>
      <w:numFmt w:val="bullet"/>
      <w:lvlText w:val=""/>
      <w:lvlJc w:val="left"/>
      <w:pPr>
        <w:tabs>
          <w:tab w:val="num" w:pos="5040"/>
        </w:tabs>
        <w:ind w:left="5040" w:hanging="360"/>
      </w:pPr>
      <w:rPr>
        <w:rFonts w:ascii="Wingdings" w:hAnsi="Wingdings" w:hint="default"/>
      </w:rPr>
    </w:lvl>
    <w:lvl w:ilvl="7" w:tplc="DA382854" w:tentative="1">
      <w:start w:val="1"/>
      <w:numFmt w:val="bullet"/>
      <w:lvlText w:val=""/>
      <w:lvlJc w:val="left"/>
      <w:pPr>
        <w:tabs>
          <w:tab w:val="num" w:pos="5760"/>
        </w:tabs>
        <w:ind w:left="5760" w:hanging="360"/>
      </w:pPr>
      <w:rPr>
        <w:rFonts w:ascii="Wingdings" w:hAnsi="Wingdings" w:hint="default"/>
      </w:rPr>
    </w:lvl>
    <w:lvl w:ilvl="8" w:tplc="6D280796" w:tentative="1">
      <w:start w:val="1"/>
      <w:numFmt w:val="bullet"/>
      <w:lvlText w:val=""/>
      <w:lvlJc w:val="left"/>
      <w:pPr>
        <w:tabs>
          <w:tab w:val="num" w:pos="6480"/>
        </w:tabs>
        <w:ind w:left="6480" w:hanging="360"/>
      </w:pPr>
      <w:rPr>
        <w:rFonts w:ascii="Wingdings" w:hAnsi="Wingdings" w:hint="default"/>
      </w:rPr>
    </w:lvl>
  </w:abstractNum>
  <w:abstractNum w:abstractNumId="6">
    <w:nsid w:val="24B86A34"/>
    <w:multiLevelType w:val="singleLevel"/>
    <w:tmpl w:val="39A85DC2"/>
    <w:lvl w:ilvl="0">
      <w:start w:val="1"/>
      <w:numFmt w:val="decimal"/>
      <w:pStyle w:val="TM5"/>
      <w:lvlText w:val="Annexe %1"/>
      <w:lvlJc w:val="left"/>
      <w:pPr>
        <w:tabs>
          <w:tab w:val="num" w:pos="1440"/>
        </w:tabs>
        <w:ind w:left="284" w:hanging="284"/>
      </w:pPr>
    </w:lvl>
  </w:abstractNum>
  <w:abstractNum w:abstractNumId="7">
    <w:nsid w:val="28BD1E8C"/>
    <w:multiLevelType w:val="hybridMultilevel"/>
    <w:tmpl w:val="39BE86A2"/>
    <w:lvl w:ilvl="0" w:tplc="6F14D3DA">
      <w:start w:val="1"/>
      <w:numFmt w:val="bullet"/>
      <w:lvlText w:val=""/>
      <w:lvlJc w:val="left"/>
      <w:pPr>
        <w:tabs>
          <w:tab w:val="num" w:pos="720"/>
        </w:tabs>
        <w:ind w:left="720" w:hanging="360"/>
      </w:pPr>
      <w:rPr>
        <w:rFonts w:ascii="Wingdings 2" w:hAnsi="Wingdings 2" w:hint="default"/>
      </w:rPr>
    </w:lvl>
    <w:lvl w:ilvl="1" w:tplc="D3E6D8A0">
      <w:start w:val="1000"/>
      <w:numFmt w:val="bullet"/>
      <w:lvlText w:val="▪"/>
      <w:lvlJc w:val="left"/>
      <w:pPr>
        <w:tabs>
          <w:tab w:val="num" w:pos="1440"/>
        </w:tabs>
        <w:ind w:left="1440" w:hanging="360"/>
      </w:pPr>
      <w:rPr>
        <w:rFonts w:ascii="Times New Roman" w:hAnsi="Times New Roman" w:hint="default"/>
      </w:rPr>
    </w:lvl>
    <w:lvl w:ilvl="2" w:tplc="29AE4650" w:tentative="1">
      <w:start w:val="1"/>
      <w:numFmt w:val="bullet"/>
      <w:lvlText w:val=""/>
      <w:lvlJc w:val="left"/>
      <w:pPr>
        <w:tabs>
          <w:tab w:val="num" w:pos="2160"/>
        </w:tabs>
        <w:ind w:left="2160" w:hanging="360"/>
      </w:pPr>
      <w:rPr>
        <w:rFonts w:ascii="Wingdings 2" w:hAnsi="Wingdings 2" w:hint="default"/>
      </w:rPr>
    </w:lvl>
    <w:lvl w:ilvl="3" w:tplc="CDB8968E" w:tentative="1">
      <w:start w:val="1"/>
      <w:numFmt w:val="bullet"/>
      <w:lvlText w:val=""/>
      <w:lvlJc w:val="left"/>
      <w:pPr>
        <w:tabs>
          <w:tab w:val="num" w:pos="2880"/>
        </w:tabs>
        <w:ind w:left="2880" w:hanging="360"/>
      </w:pPr>
      <w:rPr>
        <w:rFonts w:ascii="Wingdings 2" w:hAnsi="Wingdings 2" w:hint="default"/>
      </w:rPr>
    </w:lvl>
    <w:lvl w:ilvl="4" w:tplc="33F0CCB2" w:tentative="1">
      <w:start w:val="1"/>
      <w:numFmt w:val="bullet"/>
      <w:lvlText w:val=""/>
      <w:lvlJc w:val="left"/>
      <w:pPr>
        <w:tabs>
          <w:tab w:val="num" w:pos="3600"/>
        </w:tabs>
        <w:ind w:left="3600" w:hanging="360"/>
      </w:pPr>
      <w:rPr>
        <w:rFonts w:ascii="Wingdings 2" w:hAnsi="Wingdings 2" w:hint="default"/>
      </w:rPr>
    </w:lvl>
    <w:lvl w:ilvl="5" w:tplc="4D344D88" w:tentative="1">
      <w:start w:val="1"/>
      <w:numFmt w:val="bullet"/>
      <w:lvlText w:val=""/>
      <w:lvlJc w:val="left"/>
      <w:pPr>
        <w:tabs>
          <w:tab w:val="num" w:pos="4320"/>
        </w:tabs>
        <w:ind w:left="4320" w:hanging="360"/>
      </w:pPr>
      <w:rPr>
        <w:rFonts w:ascii="Wingdings 2" w:hAnsi="Wingdings 2" w:hint="default"/>
      </w:rPr>
    </w:lvl>
    <w:lvl w:ilvl="6" w:tplc="BFBAEA68" w:tentative="1">
      <w:start w:val="1"/>
      <w:numFmt w:val="bullet"/>
      <w:lvlText w:val=""/>
      <w:lvlJc w:val="left"/>
      <w:pPr>
        <w:tabs>
          <w:tab w:val="num" w:pos="5040"/>
        </w:tabs>
        <w:ind w:left="5040" w:hanging="360"/>
      </w:pPr>
      <w:rPr>
        <w:rFonts w:ascii="Wingdings 2" w:hAnsi="Wingdings 2" w:hint="default"/>
      </w:rPr>
    </w:lvl>
    <w:lvl w:ilvl="7" w:tplc="552C1140" w:tentative="1">
      <w:start w:val="1"/>
      <w:numFmt w:val="bullet"/>
      <w:lvlText w:val=""/>
      <w:lvlJc w:val="left"/>
      <w:pPr>
        <w:tabs>
          <w:tab w:val="num" w:pos="5760"/>
        </w:tabs>
        <w:ind w:left="5760" w:hanging="360"/>
      </w:pPr>
      <w:rPr>
        <w:rFonts w:ascii="Wingdings 2" w:hAnsi="Wingdings 2" w:hint="default"/>
      </w:rPr>
    </w:lvl>
    <w:lvl w:ilvl="8" w:tplc="317CD106" w:tentative="1">
      <w:start w:val="1"/>
      <w:numFmt w:val="bullet"/>
      <w:lvlText w:val=""/>
      <w:lvlJc w:val="left"/>
      <w:pPr>
        <w:tabs>
          <w:tab w:val="num" w:pos="6480"/>
        </w:tabs>
        <w:ind w:left="6480" w:hanging="360"/>
      </w:pPr>
      <w:rPr>
        <w:rFonts w:ascii="Wingdings 2" w:hAnsi="Wingdings 2" w:hint="default"/>
      </w:rPr>
    </w:lvl>
  </w:abstractNum>
  <w:abstractNum w:abstractNumId="8">
    <w:nsid w:val="36F46D18"/>
    <w:multiLevelType w:val="singleLevel"/>
    <w:tmpl w:val="F92A85D2"/>
    <w:lvl w:ilvl="0">
      <w:start w:val="1"/>
      <w:numFmt w:val="bullet"/>
      <w:pStyle w:val="Encadrpucepourtitre"/>
      <w:lvlText w:val=""/>
      <w:lvlJc w:val="left"/>
      <w:pPr>
        <w:tabs>
          <w:tab w:val="num" w:pos="360"/>
        </w:tabs>
        <w:ind w:left="284" w:hanging="284"/>
      </w:pPr>
      <w:rPr>
        <w:rFonts w:ascii="Wingdings" w:hAnsi="Wingdings" w:hint="default"/>
        <w:sz w:val="16"/>
      </w:rPr>
    </w:lvl>
  </w:abstractNum>
  <w:abstractNum w:abstractNumId="9">
    <w:nsid w:val="4CE11ECB"/>
    <w:multiLevelType w:val="hybridMultilevel"/>
    <w:tmpl w:val="15D26C46"/>
    <w:lvl w:ilvl="0" w:tplc="50961122">
      <w:start w:val="1"/>
      <w:numFmt w:val="bullet"/>
      <w:lvlText w:val="•"/>
      <w:lvlJc w:val="left"/>
      <w:pPr>
        <w:tabs>
          <w:tab w:val="num" w:pos="720"/>
        </w:tabs>
        <w:ind w:left="720" w:hanging="360"/>
      </w:pPr>
      <w:rPr>
        <w:rFonts w:ascii="Times New Roman" w:hAnsi="Times New Roman" w:hint="default"/>
      </w:rPr>
    </w:lvl>
    <w:lvl w:ilvl="1" w:tplc="A2AC157C" w:tentative="1">
      <w:start w:val="1"/>
      <w:numFmt w:val="bullet"/>
      <w:lvlText w:val="•"/>
      <w:lvlJc w:val="left"/>
      <w:pPr>
        <w:tabs>
          <w:tab w:val="num" w:pos="1440"/>
        </w:tabs>
        <w:ind w:left="1440" w:hanging="360"/>
      </w:pPr>
      <w:rPr>
        <w:rFonts w:ascii="Times New Roman" w:hAnsi="Times New Roman" w:hint="default"/>
      </w:rPr>
    </w:lvl>
    <w:lvl w:ilvl="2" w:tplc="7B9817E2" w:tentative="1">
      <w:start w:val="1"/>
      <w:numFmt w:val="bullet"/>
      <w:lvlText w:val="•"/>
      <w:lvlJc w:val="left"/>
      <w:pPr>
        <w:tabs>
          <w:tab w:val="num" w:pos="2160"/>
        </w:tabs>
        <w:ind w:left="2160" w:hanging="360"/>
      </w:pPr>
      <w:rPr>
        <w:rFonts w:ascii="Times New Roman" w:hAnsi="Times New Roman" w:hint="default"/>
      </w:rPr>
    </w:lvl>
    <w:lvl w:ilvl="3" w:tplc="7ABE38B8" w:tentative="1">
      <w:start w:val="1"/>
      <w:numFmt w:val="bullet"/>
      <w:lvlText w:val="•"/>
      <w:lvlJc w:val="left"/>
      <w:pPr>
        <w:tabs>
          <w:tab w:val="num" w:pos="2880"/>
        </w:tabs>
        <w:ind w:left="2880" w:hanging="360"/>
      </w:pPr>
      <w:rPr>
        <w:rFonts w:ascii="Times New Roman" w:hAnsi="Times New Roman" w:hint="default"/>
      </w:rPr>
    </w:lvl>
    <w:lvl w:ilvl="4" w:tplc="72CEDC0A" w:tentative="1">
      <w:start w:val="1"/>
      <w:numFmt w:val="bullet"/>
      <w:lvlText w:val="•"/>
      <w:lvlJc w:val="left"/>
      <w:pPr>
        <w:tabs>
          <w:tab w:val="num" w:pos="3600"/>
        </w:tabs>
        <w:ind w:left="3600" w:hanging="360"/>
      </w:pPr>
      <w:rPr>
        <w:rFonts w:ascii="Times New Roman" w:hAnsi="Times New Roman" w:hint="default"/>
      </w:rPr>
    </w:lvl>
    <w:lvl w:ilvl="5" w:tplc="04AA29B4" w:tentative="1">
      <w:start w:val="1"/>
      <w:numFmt w:val="bullet"/>
      <w:lvlText w:val="•"/>
      <w:lvlJc w:val="left"/>
      <w:pPr>
        <w:tabs>
          <w:tab w:val="num" w:pos="4320"/>
        </w:tabs>
        <w:ind w:left="4320" w:hanging="360"/>
      </w:pPr>
      <w:rPr>
        <w:rFonts w:ascii="Times New Roman" w:hAnsi="Times New Roman" w:hint="default"/>
      </w:rPr>
    </w:lvl>
    <w:lvl w:ilvl="6" w:tplc="4A6C6294" w:tentative="1">
      <w:start w:val="1"/>
      <w:numFmt w:val="bullet"/>
      <w:lvlText w:val="•"/>
      <w:lvlJc w:val="left"/>
      <w:pPr>
        <w:tabs>
          <w:tab w:val="num" w:pos="5040"/>
        </w:tabs>
        <w:ind w:left="5040" w:hanging="360"/>
      </w:pPr>
      <w:rPr>
        <w:rFonts w:ascii="Times New Roman" w:hAnsi="Times New Roman" w:hint="default"/>
      </w:rPr>
    </w:lvl>
    <w:lvl w:ilvl="7" w:tplc="579085F8" w:tentative="1">
      <w:start w:val="1"/>
      <w:numFmt w:val="bullet"/>
      <w:lvlText w:val="•"/>
      <w:lvlJc w:val="left"/>
      <w:pPr>
        <w:tabs>
          <w:tab w:val="num" w:pos="5760"/>
        </w:tabs>
        <w:ind w:left="5760" w:hanging="360"/>
      </w:pPr>
      <w:rPr>
        <w:rFonts w:ascii="Times New Roman" w:hAnsi="Times New Roman" w:hint="default"/>
      </w:rPr>
    </w:lvl>
    <w:lvl w:ilvl="8" w:tplc="0F6CF6A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BD83787"/>
    <w:multiLevelType w:val="singleLevel"/>
    <w:tmpl w:val="50A6515C"/>
    <w:lvl w:ilvl="0">
      <w:start w:val="1"/>
      <w:numFmt w:val="bullet"/>
      <w:pStyle w:val="Tirets"/>
      <w:lvlText w:val="–"/>
      <w:lvlJc w:val="left"/>
      <w:pPr>
        <w:tabs>
          <w:tab w:val="num" w:pos="700"/>
        </w:tabs>
        <w:ind w:left="624" w:hanging="284"/>
      </w:pPr>
      <w:rPr>
        <w:rFonts w:ascii="Times New Roman" w:hAnsi="Times New Roman" w:hint="default"/>
      </w:rPr>
    </w:lvl>
  </w:abstractNum>
  <w:abstractNum w:abstractNumId="11">
    <w:nsid w:val="61B94DC1"/>
    <w:multiLevelType w:val="hybridMultilevel"/>
    <w:tmpl w:val="5DB41DE8"/>
    <w:lvl w:ilvl="0" w:tplc="C0C28A44">
      <w:start w:val="1"/>
      <w:numFmt w:val="bullet"/>
      <w:lvlText w:val="▪"/>
      <w:lvlJc w:val="left"/>
      <w:pPr>
        <w:tabs>
          <w:tab w:val="num" w:pos="720"/>
        </w:tabs>
        <w:ind w:left="720" w:hanging="360"/>
      </w:pPr>
      <w:rPr>
        <w:rFonts w:ascii="Times New Roman" w:hAnsi="Times New Roman" w:hint="default"/>
      </w:rPr>
    </w:lvl>
    <w:lvl w:ilvl="1" w:tplc="E11EC6AE">
      <w:start w:val="1"/>
      <w:numFmt w:val="bullet"/>
      <w:lvlText w:val="▪"/>
      <w:lvlJc w:val="left"/>
      <w:pPr>
        <w:tabs>
          <w:tab w:val="num" w:pos="1440"/>
        </w:tabs>
        <w:ind w:left="1440" w:hanging="360"/>
      </w:pPr>
      <w:rPr>
        <w:rFonts w:ascii="Times New Roman" w:hAnsi="Times New Roman" w:hint="default"/>
      </w:rPr>
    </w:lvl>
    <w:lvl w:ilvl="2" w:tplc="B8540FD6" w:tentative="1">
      <w:start w:val="1"/>
      <w:numFmt w:val="bullet"/>
      <w:lvlText w:val="▪"/>
      <w:lvlJc w:val="left"/>
      <w:pPr>
        <w:tabs>
          <w:tab w:val="num" w:pos="2160"/>
        </w:tabs>
        <w:ind w:left="2160" w:hanging="360"/>
      </w:pPr>
      <w:rPr>
        <w:rFonts w:ascii="Times New Roman" w:hAnsi="Times New Roman" w:hint="default"/>
      </w:rPr>
    </w:lvl>
    <w:lvl w:ilvl="3" w:tplc="D6C85074" w:tentative="1">
      <w:start w:val="1"/>
      <w:numFmt w:val="bullet"/>
      <w:lvlText w:val="▪"/>
      <w:lvlJc w:val="left"/>
      <w:pPr>
        <w:tabs>
          <w:tab w:val="num" w:pos="2880"/>
        </w:tabs>
        <w:ind w:left="2880" w:hanging="360"/>
      </w:pPr>
      <w:rPr>
        <w:rFonts w:ascii="Times New Roman" w:hAnsi="Times New Roman" w:hint="default"/>
      </w:rPr>
    </w:lvl>
    <w:lvl w:ilvl="4" w:tplc="052256E2" w:tentative="1">
      <w:start w:val="1"/>
      <w:numFmt w:val="bullet"/>
      <w:lvlText w:val="▪"/>
      <w:lvlJc w:val="left"/>
      <w:pPr>
        <w:tabs>
          <w:tab w:val="num" w:pos="3600"/>
        </w:tabs>
        <w:ind w:left="3600" w:hanging="360"/>
      </w:pPr>
      <w:rPr>
        <w:rFonts w:ascii="Times New Roman" w:hAnsi="Times New Roman" w:hint="default"/>
      </w:rPr>
    </w:lvl>
    <w:lvl w:ilvl="5" w:tplc="8E283A0C" w:tentative="1">
      <w:start w:val="1"/>
      <w:numFmt w:val="bullet"/>
      <w:lvlText w:val="▪"/>
      <w:lvlJc w:val="left"/>
      <w:pPr>
        <w:tabs>
          <w:tab w:val="num" w:pos="4320"/>
        </w:tabs>
        <w:ind w:left="4320" w:hanging="360"/>
      </w:pPr>
      <w:rPr>
        <w:rFonts w:ascii="Times New Roman" w:hAnsi="Times New Roman" w:hint="default"/>
      </w:rPr>
    </w:lvl>
    <w:lvl w:ilvl="6" w:tplc="6D524E2E" w:tentative="1">
      <w:start w:val="1"/>
      <w:numFmt w:val="bullet"/>
      <w:lvlText w:val="▪"/>
      <w:lvlJc w:val="left"/>
      <w:pPr>
        <w:tabs>
          <w:tab w:val="num" w:pos="5040"/>
        </w:tabs>
        <w:ind w:left="5040" w:hanging="360"/>
      </w:pPr>
      <w:rPr>
        <w:rFonts w:ascii="Times New Roman" w:hAnsi="Times New Roman" w:hint="default"/>
      </w:rPr>
    </w:lvl>
    <w:lvl w:ilvl="7" w:tplc="C2C45C6A" w:tentative="1">
      <w:start w:val="1"/>
      <w:numFmt w:val="bullet"/>
      <w:lvlText w:val="▪"/>
      <w:lvlJc w:val="left"/>
      <w:pPr>
        <w:tabs>
          <w:tab w:val="num" w:pos="5760"/>
        </w:tabs>
        <w:ind w:left="5760" w:hanging="360"/>
      </w:pPr>
      <w:rPr>
        <w:rFonts w:ascii="Times New Roman" w:hAnsi="Times New Roman" w:hint="default"/>
      </w:rPr>
    </w:lvl>
    <w:lvl w:ilvl="8" w:tplc="D61A36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B9C0923"/>
    <w:multiLevelType w:val="hybridMultilevel"/>
    <w:tmpl w:val="5BEAAE94"/>
    <w:lvl w:ilvl="0" w:tplc="F7FAFD7E">
      <w:start w:val="1"/>
      <w:numFmt w:val="bullet"/>
      <w:lvlText w:val=""/>
      <w:lvlJc w:val="left"/>
      <w:pPr>
        <w:tabs>
          <w:tab w:val="num" w:pos="720"/>
        </w:tabs>
        <w:ind w:left="720" w:hanging="360"/>
      </w:pPr>
      <w:rPr>
        <w:rFonts w:ascii="Wingdings" w:hAnsi="Wingdings" w:hint="default"/>
      </w:rPr>
    </w:lvl>
    <w:lvl w:ilvl="1" w:tplc="801C30CA">
      <w:start w:val="1"/>
      <w:numFmt w:val="bullet"/>
      <w:lvlText w:val=""/>
      <w:lvlJc w:val="left"/>
      <w:pPr>
        <w:tabs>
          <w:tab w:val="num" w:pos="1440"/>
        </w:tabs>
        <w:ind w:left="1440" w:hanging="360"/>
      </w:pPr>
      <w:rPr>
        <w:rFonts w:ascii="Wingdings" w:hAnsi="Wingdings" w:hint="default"/>
      </w:rPr>
    </w:lvl>
    <w:lvl w:ilvl="2" w:tplc="323A2AB6" w:tentative="1">
      <w:start w:val="1"/>
      <w:numFmt w:val="bullet"/>
      <w:lvlText w:val=""/>
      <w:lvlJc w:val="left"/>
      <w:pPr>
        <w:tabs>
          <w:tab w:val="num" w:pos="2160"/>
        </w:tabs>
        <w:ind w:left="2160" w:hanging="360"/>
      </w:pPr>
      <w:rPr>
        <w:rFonts w:ascii="Wingdings" w:hAnsi="Wingdings" w:hint="default"/>
      </w:rPr>
    </w:lvl>
    <w:lvl w:ilvl="3" w:tplc="F9B8C3DC" w:tentative="1">
      <w:start w:val="1"/>
      <w:numFmt w:val="bullet"/>
      <w:lvlText w:val=""/>
      <w:lvlJc w:val="left"/>
      <w:pPr>
        <w:tabs>
          <w:tab w:val="num" w:pos="2880"/>
        </w:tabs>
        <w:ind w:left="2880" w:hanging="360"/>
      </w:pPr>
      <w:rPr>
        <w:rFonts w:ascii="Wingdings" w:hAnsi="Wingdings" w:hint="default"/>
      </w:rPr>
    </w:lvl>
    <w:lvl w:ilvl="4" w:tplc="4204EC7C" w:tentative="1">
      <w:start w:val="1"/>
      <w:numFmt w:val="bullet"/>
      <w:lvlText w:val=""/>
      <w:lvlJc w:val="left"/>
      <w:pPr>
        <w:tabs>
          <w:tab w:val="num" w:pos="3600"/>
        </w:tabs>
        <w:ind w:left="3600" w:hanging="360"/>
      </w:pPr>
      <w:rPr>
        <w:rFonts w:ascii="Wingdings" w:hAnsi="Wingdings" w:hint="default"/>
      </w:rPr>
    </w:lvl>
    <w:lvl w:ilvl="5" w:tplc="D27211B6" w:tentative="1">
      <w:start w:val="1"/>
      <w:numFmt w:val="bullet"/>
      <w:lvlText w:val=""/>
      <w:lvlJc w:val="left"/>
      <w:pPr>
        <w:tabs>
          <w:tab w:val="num" w:pos="4320"/>
        </w:tabs>
        <w:ind w:left="4320" w:hanging="360"/>
      </w:pPr>
      <w:rPr>
        <w:rFonts w:ascii="Wingdings" w:hAnsi="Wingdings" w:hint="default"/>
      </w:rPr>
    </w:lvl>
    <w:lvl w:ilvl="6" w:tplc="C9EE30B2" w:tentative="1">
      <w:start w:val="1"/>
      <w:numFmt w:val="bullet"/>
      <w:lvlText w:val=""/>
      <w:lvlJc w:val="left"/>
      <w:pPr>
        <w:tabs>
          <w:tab w:val="num" w:pos="5040"/>
        </w:tabs>
        <w:ind w:left="5040" w:hanging="360"/>
      </w:pPr>
      <w:rPr>
        <w:rFonts w:ascii="Wingdings" w:hAnsi="Wingdings" w:hint="default"/>
      </w:rPr>
    </w:lvl>
    <w:lvl w:ilvl="7" w:tplc="A3B84496" w:tentative="1">
      <w:start w:val="1"/>
      <w:numFmt w:val="bullet"/>
      <w:lvlText w:val=""/>
      <w:lvlJc w:val="left"/>
      <w:pPr>
        <w:tabs>
          <w:tab w:val="num" w:pos="5760"/>
        </w:tabs>
        <w:ind w:left="5760" w:hanging="360"/>
      </w:pPr>
      <w:rPr>
        <w:rFonts w:ascii="Wingdings" w:hAnsi="Wingdings" w:hint="default"/>
      </w:rPr>
    </w:lvl>
    <w:lvl w:ilvl="8" w:tplc="ABF43EF0" w:tentative="1">
      <w:start w:val="1"/>
      <w:numFmt w:val="bullet"/>
      <w:lvlText w:val=""/>
      <w:lvlJc w:val="left"/>
      <w:pPr>
        <w:tabs>
          <w:tab w:val="num" w:pos="6480"/>
        </w:tabs>
        <w:ind w:left="6480" w:hanging="360"/>
      </w:pPr>
      <w:rPr>
        <w:rFonts w:ascii="Wingdings" w:hAnsi="Wingdings" w:hint="default"/>
      </w:rPr>
    </w:lvl>
  </w:abstractNum>
  <w:abstractNum w:abstractNumId="13">
    <w:nsid w:val="6E9D407E"/>
    <w:multiLevelType w:val="singleLevel"/>
    <w:tmpl w:val="87DCA4B8"/>
    <w:lvl w:ilvl="0">
      <w:start w:val="1"/>
      <w:numFmt w:val="bullet"/>
      <w:pStyle w:val="Encadrtirets"/>
      <w:lvlText w:val="–"/>
      <w:lvlJc w:val="left"/>
      <w:pPr>
        <w:tabs>
          <w:tab w:val="num" w:pos="644"/>
        </w:tabs>
        <w:ind w:left="284" w:firstLine="0"/>
      </w:pPr>
      <w:rPr>
        <w:rFonts w:ascii="Times New Roman" w:hAnsi="Times New Roman" w:hint="default"/>
      </w:rPr>
    </w:lvl>
  </w:abstractNum>
  <w:abstractNum w:abstractNumId="14">
    <w:nsid w:val="78F5126E"/>
    <w:multiLevelType w:val="hybridMultilevel"/>
    <w:tmpl w:val="8F28653C"/>
    <w:lvl w:ilvl="0" w:tplc="2FB80890">
      <w:start w:val="1"/>
      <w:numFmt w:val="bullet"/>
      <w:lvlText w:val=""/>
      <w:lvlJc w:val="left"/>
      <w:pPr>
        <w:tabs>
          <w:tab w:val="num" w:pos="720"/>
        </w:tabs>
        <w:ind w:left="720" w:hanging="360"/>
      </w:pPr>
      <w:rPr>
        <w:rFonts w:ascii="Wingdings 2" w:hAnsi="Wingdings 2" w:hint="default"/>
      </w:rPr>
    </w:lvl>
    <w:lvl w:ilvl="1" w:tplc="FF46D13C">
      <w:start w:val="1039"/>
      <w:numFmt w:val="bullet"/>
      <w:lvlText w:val="▪"/>
      <w:lvlJc w:val="left"/>
      <w:pPr>
        <w:tabs>
          <w:tab w:val="num" w:pos="1440"/>
        </w:tabs>
        <w:ind w:left="1440" w:hanging="360"/>
      </w:pPr>
      <w:rPr>
        <w:rFonts w:ascii="Times New Roman" w:hAnsi="Times New Roman" w:hint="default"/>
      </w:rPr>
    </w:lvl>
    <w:lvl w:ilvl="2" w:tplc="94C84AEA" w:tentative="1">
      <w:start w:val="1"/>
      <w:numFmt w:val="bullet"/>
      <w:lvlText w:val=""/>
      <w:lvlJc w:val="left"/>
      <w:pPr>
        <w:tabs>
          <w:tab w:val="num" w:pos="2160"/>
        </w:tabs>
        <w:ind w:left="2160" w:hanging="360"/>
      </w:pPr>
      <w:rPr>
        <w:rFonts w:ascii="Wingdings 2" w:hAnsi="Wingdings 2" w:hint="default"/>
      </w:rPr>
    </w:lvl>
    <w:lvl w:ilvl="3" w:tplc="4AF4E996" w:tentative="1">
      <w:start w:val="1"/>
      <w:numFmt w:val="bullet"/>
      <w:lvlText w:val=""/>
      <w:lvlJc w:val="left"/>
      <w:pPr>
        <w:tabs>
          <w:tab w:val="num" w:pos="2880"/>
        </w:tabs>
        <w:ind w:left="2880" w:hanging="360"/>
      </w:pPr>
      <w:rPr>
        <w:rFonts w:ascii="Wingdings 2" w:hAnsi="Wingdings 2" w:hint="default"/>
      </w:rPr>
    </w:lvl>
    <w:lvl w:ilvl="4" w:tplc="C068F170" w:tentative="1">
      <w:start w:val="1"/>
      <w:numFmt w:val="bullet"/>
      <w:lvlText w:val=""/>
      <w:lvlJc w:val="left"/>
      <w:pPr>
        <w:tabs>
          <w:tab w:val="num" w:pos="3600"/>
        </w:tabs>
        <w:ind w:left="3600" w:hanging="360"/>
      </w:pPr>
      <w:rPr>
        <w:rFonts w:ascii="Wingdings 2" w:hAnsi="Wingdings 2" w:hint="default"/>
      </w:rPr>
    </w:lvl>
    <w:lvl w:ilvl="5" w:tplc="007260A6" w:tentative="1">
      <w:start w:val="1"/>
      <w:numFmt w:val="bullet"/>
      <w:lvlText w:val=""/>
      <w:lvlJc w:val="left"/>
      <w:pPr>
        <w:tabs>
          <w:tab w:val="num" w:pos="4320"/>
        </w:tabs>
        <w:ind w:left="4320" w:hanging="360"/>
      </w:pPr>
      <w:rPr>
        <w:rFonts w:ascii="Wingdings 2" w:hAnsi="Wingdings 2" w:hint="default"/>
      </w:rPr>
    </w:lvl>
    <w:lvl w:ilvl="6" w:tplc="2C2E43C0" w:tentative="1">
      <w:start w:val="1"/>
      <w:numFmt w:val="bullet"/>
      <w:lvlText w:val=""/>
      <w:lvlJc w:val="left"/>
      <w:pPr>
        <w:tabs>
          <w:tab w:val="num" w:pos="5040"/>
        </w:tabs>
        <w:ind w:left="5040" w:hanging="360"/>
      </w:pPr>
      <w:rPr>
        <w:rFonts w:ascii="Wingdings 2" w:hAnsi="Wingdings 2" w:hint="default"/>
      </w:rPr>
    </w:lvl>
    <w:lvl w:ilvl="7" w:tplc="B34E4EB6" w:tentative="1">
      <w:start w:val="1"/>
      <w:numFmt w:val="bullet"/>
      <w:lvlText w:val=""/>
      <w:lvlJc w:val="left"/>
      <w:pPr>
        <w:tabs>
          <w:tab w:val="num" w:pos="5760"/>
        </w:tabs>
        <w:ind w:left="5760" w:hanging="360"/>
      </w:pPr>
      <w:rPr>
        <w:rFonts w:ascii="Wingdings 2" w:hAnsi="Wingdings 2" w:hint="default"/>
      </w:rPr>
    </w:lvl>
    <w:lvl w:ilvl="8" w:tplc="04F6B5C6" w:tentative="1">
      <w:start w:val="1"/>
      <w:numFmt w:val="bullet"/>
      <w:lvlText w:val=""/>
      <w:lvlJc w:val="left"/>
      <w:pPr>
        <w:tabs>
          <w:tab w:val="num" w:pos="6480"/>
        </w:tabs>
        <w:ind w:left="6480" w:hanging="360"/>
      </w:pPr>
      <w:rPr>
        <w:rFonts w:ascii="Wingdings 2" w:hAnsi="Wingdings 2" w:hint="default"/>
      </w:rPr>
    </w:lvl>
  </w:abstractNum>
  <w:abstractNum w:abstractNumId="15">
    <w:nsid w:val="7B9300D4"/>
    <w:multiLevelType w:val="hybridMultilevel"/>
    <w:tmpl w:val="F864BBAE"/>
    <w:lvl w:ilvl="0" w:tplc="B8A630FA">
      <w:start w:val="1"/>
      <w:numFmt w:val="bullet"/>
      <w:lvlText w:val=""/>
      <w:lvlJc w:val="left"/>
      <w:pPr>
        <w:tabs>
          <w:tab w:val="num" w:pos="720"/>
        </w:tabs>
        <w:ind w:left="720" w:hanging="360"/>
      </w:pPr>
      <w:rPr>
        <w:rFonts w:ascii="Wingdings 2" w:hAnsi="Wingdings 2" w:hint="default"/>
      </w:rPr>
    </w:lvl>
    <w:lvl w:ilvl="1" w:tplc="783ACA2E">
      <w:start w:val="1334"/>
      <w:numFmt w:val="bullet"/>
      <w:lvlText w:val="▪"/>
      <w:lvlJc w:val="left"/>
      <w:pPr>
        <w:tabs>
          <w:tab w:val="num" w:pos="1440"/>
        </w:tabs>
        <w:ind w:left="1440" w:hanging="360"/>
      </w:pPr>
      <w:rPr>
        <w:rFonts w:ascii="Times New Roman" w:hAnsi="Times New Roman" w:hint="default"/>
      </w:rPr>
    </w:lvl>
    <w:lvl w:ilvl="2" w:tplc="C7161C92" w:tentative="1">
      <w:start w:val="1"/>
      <w:numFmt w:val="bullet"/>
      <w:lvlText w:val=""/>
      <w:lvlJc w:val="left"/>
      <w:pPr>
        <w:tabs>
          <w:tab w:val="num" w:pos="2160"/>
        </w:tabs>
        <w:ind w:left="2160" w:hanging="360"/>
      </w:pPr>
      <w:rPr>
        <w:rFonts w:ascii="Wingdings 2" w:hAnsi="Wingdings 2" w:hint="default"/>
      </w:rPr>
    </w:lvl>
    <w:lvl w:ilvl="3" w:tplc="59323E4C" w:tentative="1">
      <w:start w:val="1"/>
      <w:numFmt w:val="bullet"/>
      <w:lvlText w:val=""/>
      <w:lvlJc w:val="left"/>
      <w:pPr>
        <w:tabs>
          <w:tab w:val="num" w:pos="2880"/>
        </w:tabs>
        <w:ind w:left="2880" w:hanging="360"/>
      </w:pPr>
      <w:rPr>
        <w:rFonts w:ascii="Wingdings 2" w:hAnsi="Wingdings 2" w:hint="default"/>
      </w:rPr>
    </w:lvl>
    <w:lvl w:ilvl="4" w:tplc="7A9E9FDE" w:tentative="1">
      <w:start w:val="1"/>
      <w:numFmt w:val="bullet"/>
      <w:lvlText w:val=""/>
      <w:lvlJc w:val="left"/>
      <w:pPr>
        <w:tabs>
          <w:tab w:val="num" w:pos="3600"/>
        </w:tabs>
        <w:ind w:left="3600" w:hanging="360"/>
      </w:pPr>
      <w:rPr>
        <w:rFonts w:ascii="Wingdings 2" w:hAnsi="Wingdings 2" w:hint="default"/>
      </w:rPr>
    </w:lvl>
    <w:lvl w:ilvl="5" w:tplc="B3C641C2" w:tentative="1">
      <w:start w:val="1"/>
      <w:numFmt w:val="bullet"/>
      <w:lvlText w:val=""/>
      <w:lvlJc w:val="left"/>
      <w:pPr>
        <w:tabs>
          <w:tab w:val="num" w:pos="4320"/>
        </w:tabs>
        <w:ind w:left="4320" w:hanging="360"/>
      </w:pPr>
      <w:rPr>
        <w:rFonts w:ascii="Wingdings 2" w:hAnsi="Wingdings 2" w:hint="default"/>
      </w:rPr>
    </w:lvl>
    <w:lvl w:ilvl="6" w:tplc="1F8C9E88" w:tentative="1">
      <w:start w:val="1"/>
      <w:numFmt w:val="bullet"/>
      <w:lvlText w:val=""/>
      <w:lvlJc w:val="left"/>
      <w:pPr>
        <w:tabs>
          <w:tab w:val="num" w:pos="5040"/>
        </w:tabs>
        <w:ind w:left="5040" w:hanging="360"/>
      </w:pPr>
      <w:rPr>
        <w:rFonts w:ascii="Wingdings 2" w:hAnsi="Wingdings 2" w:hint="default"/>
      </w:rPr>
    </w:lvl>
    <w:lvl w:ilvl="7" w:tplc="5EEE346C" w:tentative="1">
      <w:start w:val="1"/>
      <w:numFmt w:val="bullet"/>
      <w:lvlText w:val=""/>
      <w:lvlJc w:val="left"/>
      <w:pPr>
        <w:tabs>
          <w:tab w:val="num" w:pos="5760"/>
        </w:tabs>
        <w:ind w:left="5760" w:hanging="360"/>
      </w:pPr>
      <w:rPr>
        <w:rFonts w:ascii="Wingdings 2" w:hAnsi="Wingdings 2" w:hint="default"/>
      </w:rPr>
    </w:lvl>
    <w:lvl w:ilvl="8" w:tplc="7CB4743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8"/>
  </w:num>
  <w:num w:numId="3">
    <w:abstractNumId w:val="1"/>
  </w:num>
  <w:num w:numId="4">
    <w:abstractNumId w:val="6"/>
  </w:num>
  <w:num w:numId="5">
    <w:abstractNumId w:val="4"/>
  </w:num>
  <w:num w:numId="6">
    <w:abstractNumId w:val="3"/>
  </w:num>
  <w:num w:numId="7">
    <w:abstractNumId w:val="2"/>
  </w:num>
  <w:num w:numId="8">
    <w:abstractNumId w:val="13"/>
  </w:num>
  <w:num w:numId="9">
    <w:abstractNumId w:val="10"/>
  </w:num>
  <w:num w:numId="10">
    <w:abstractNumId w:val="12"/>
  </w:num>
  <w:num w:numId="11">
    <w:abstractNumId w:val="5"/>
  </w:num>
  <w:num w:numId="12">
    <w:abstractNumId w:val="9"/>
  </w:num>
  <w:num w:numId="13">
    <w:abstractNumId w:val="15"/>
  </w:num>
  <w:num w:numId="14">
    <w:abstractNumId w:val="11"/>
  </w:num>
  <w:num w:numId="15">
    <w:abstractNumId w:val="7"/>
  </w:num>
  <w:num w:numId="16">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activeWritingStyle w:appName="MSWord" w:lang="fr-FR" w:vendorID="9" w:dllVersion="512" w:checkStyle="1"/>
  <w:attachedTemplate r:id="rId1"/>
  <w:linkStyles/>
  <w:stylePaneFormatFilter w:val="3F01"/>
  <w:trackRevision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0658" fillcolor="white">
      <v:fill color="white"/>
      <v:stroke weight=".25pt"/>
      <v:textbox inset="5mm,5mm,5mm,5mm"/>
    </o:shapedefaults>
  </w:hdrShapeDefaults>
  <w:footnotePr>
    <w:footnote w:id="0"/>
    <w:footnote w:id="1"/>
    <w:footnote w:id="2"/>
  </w:footnotePr>
  <w:endnotePr>
    <w:endnote w:id="0"/>
    <w:endnote w:id="1"/>
  </w:endnotePr>
  <w:compat/>
  <w:rsids>
    <w:rsidRoot w:val="005E0C80"/>
    <w:rsid w:val="0002442A"/>
    <w:rsid w:val="0003297C"/>
    <w:rsid w:val="00033F43"/>
    <w:rsid w:val="000356CE"/>
    <w:rsid w:val="00045461"/>
    <w:rsid w:val="000466C0"/>
    <w:rsid w:val="000637C7"/>
    <w:rsid w:val="00066A97"/>
    <w:rsid w:val="000B057F"/>
    <w:rsid w:val="000E0340"/>
    <w:rsid w:val="000E1979"/>
    <w:rsid w:val="001133C2"/>
    <w:rsid w:val="0011596C"/>
    <w:rsid w:val="00133875"/>
    <w:rsid w:val="001408F8"/>
    <w:rsid w:val="001468DD"/>
    <w:rsid w:val="00162C1A"/>
    <w:rsid w:val="0017458B"/>
    <w:rsid w:val="00177009"/>
    <w:rsid w:val="00177188"/>
    <w:rsid w:val="00181D7A"/>
    <w:rsid w:val="00181F0D"/>
    <w:rsid w:val="001853C6"/>
    <w:rsid w:val="00185E02"/>
    <w:rsid w:val="0019217A"/>
    <w:rsid w:val="001C4F49"/>
    <w:rsid w:val="001C5A82"/>
    <w:rsid w:val="001C766A"/>
    <w:rsid w:val="001E53A8"/>
    <w:rsid w:val="001F4179"/>
    <w:rsid w:val="001F54C8"/>
    <w:rsid w:val="001F65A4"/>
    <w:rsid w:val="001F75D3"/>
    <w:rsid w:val="0020258D"/>
    <w:rsid w:val="00217855"/>
    <w:rsid w:val="00221163"/>
    <w:rsid w:val="002278C3"/>
    <w:rsid w:val="00242E30"/>
    <w:rsid w:val="002437DE"/>
    <w:rsid w:val="0024605D"/>
    <w:rsid w:val="002475C1"/>
    <w:rsid w:val="0025384D"/>
    <w:rsid w:val="00264173"/>
    <w:rsid w:val="002B0868"/>
    <w:rsid w:val="002B38A2"/>
    <w:rsid w:val="002B4DB7"/>
    <w:rsid w:val="002B539D"/>
    <w:rsid w:val="002C59A8"/>
    <w:rsid w:val="002D0147"/>
    <w:rsid w:val="002D7097"/>
    <w:rsid w:val="002D73FB"/>
    <w:rsid w:val="003029B9"/>
    <w:rsid w:val="003059C7"/>
    <w:rsid w:val="00317304"/>
    <w:rsid w:val="003229FF"/>
    <w:rsid w:val="00326F3A"/>
    <w:rsid w:val="00330E29"/>
    <w:rsid w:val="0034453B"/>
    <w:rsid w:val="003461FD"/>
    <w:rsid w:val="0037534B"/>
    <w:rsid w:val="00382163"/>
    <w:rsid w:val="00383DFE"/>
    <w:rsid w:val="00393AF3"/>
    <w:rsid w:val="003A3BB5"/>
    <w:rsid w:val="003C644E"/>
    <w:rsid w:val="003D3AEE"/>
    <w:rsid w:val="003D3E32"/>
    <w:rsid w:val="003E39A0"/>
    <w:rsid w:val="003E5828"/>
    <w:rsid w:val="003F1ADF"/>
    <w:rsid w:val="003F2E32"/>
    <w:rsid w:val="003F4F91"/>
    <w:rsid w:val="00417125"/>
    <w:rsid w:val="004269DB"/>
    <w:rsid w:val="00437EEE"/>
    <w:rsid w:val="00445524"/>
    <w:rsid w:val="00466204"/>
    <w:rsid w:val="00470D0F"/>
    <w:rsid w:val="00471921"/>
    <w:rsid w:val="00475D67"/>
    <w:rsid w:val="004805DC"/>
    <w:rsid w:val="004923E1"/>
    <w:rsid w:val="004B2C3D"/>
    <w:rsid w:val="004D32DB"/>
    <w:rsid w:val="004D6652"/>
    <w:rsid w:val="004E3528"/>
    <w:rsid w:val="004E3F59"/>
    <w:rsid w:val="004F4D83"/>
    <w:rsid w:val="00506BFE"/>
    <w:rsid w:val="00507102"/>
    <w:rsid w:val="00513C5A"/>
    <w:rsid w:val="005170C4"/>
    <w:rsid w:val="00530D64"/>
    <w:rsid w:val="00534DA6"/>
    <w:rsid w:val="00541BEB"/>
    <w:rsid w:val="00557B01"/>
    <w:rsid w:val="00581BE8"/>
    <w:rsid w:val="0059212D"/>
    <w:rsid w:val="00596544"/>
    <w:rsid w:val="005A046D"/>
    <w:rsid w:val="005A684E"/>
    <w:rsid w:val="005C51A8"/>
    <w:rsid w:val="005E0C80"/>
    <w:rsid w:val="005E129C"/>
    <w:rsid w:val="005E5354"/>
    <w:rsid w:val="005E5736"/>
    <w:rsid w:val="005F0039"/>
    <w:rsid w:val="005F5BFB"/>
    <w:rsid w:val="00604795"/>
    <w:rsid w:val="0061136D"/>
    <w:rsid w:val="006231AA"/>
    <w:rsid w:val="006267C6"/>
    <w:rsid w:val="006361EF"/>
    <w:rsid w:val="0064048D"/>
    <w:rsid w:val="00652032"/>
    <w:rsid w:val="006579F8"/>
    <w:rsid w:val="00664485"/>
    <w:rsid w:val="006A5A08"/>
    <w:rsid w:val="006C2611"/>
    <w:rsid w:val="006C3B36"/>
    <w:rsid w:val="006F344A"/>
    <w:rsid w:val="006F6AAF"/>
    <w:rsid w:val="00712E30"/>
    <w:rsid w:val="00722687"/>
    <w:rsid w:val="00723713"/>
    <w:rsid w:val="0073725A"/>
    <w:rsid w:val="00757259"/>
    <w:rsid w:val="00770FA3"/>
    <w:rsid w:val="0077267E"/>
    <w:rsid w:val="00776EA9"/>
    <w:rsid w:val="00784A3D"/>
    <w:rsid w:val="007C1ADA"/>
    <w:rsid w:val="007C36CB"/>
    <w:rsid w:val="007C5A6D"/>
    <w:rsid w:val="007C6A17"/>
    <w:rsid w:val="007E4CCE"/>
    <w:rsid w:val="007F0CB4"/>
    <w:rsid w:val="00804CC6"/>
    <w:rsid w:val="0082028C"/>
    <w:rsid w:val="008257A7"/>
    <w:rsid w:val="00827611"/>
    <w:rsid w:val="00841A15"/>
    <w:rsid w:val="00843283"/>
    <w:rsid w:val="00873D9C"/>
    <w:rsid w:val="0087443C"/>
    <w:rsid w:val="00883341"/>
    <w:rsid w:val="008A4543"/>
    <w:rsid w:val="008A5AA5"/>
    <w:rsid w:val="008C16EC"/>
    <w:rsid w:val="00900754"/>
    <w:rsid w:val="00941DCE"/>
    <w:rsid w:val="009504ED"/>
    <w:rsid w:val="009525D6"/>
    <w:rsid w:val="0095553B"/>
    <w:rsid w:val="00956280"/>
    <w:rsid w:val="0098757E"/>
    <w:rsid w:val="009948BE"/>
    <w:rsid w:val="009C466F"/>
    <w:rsid w:val="009C5E64"/>
    <w:rsid w:val="009E1F89"/>
    <w:rsid w:val="009E4F10"/>
    <w:rsid w:val="009E6CEC"/>
    <w:rsid w:val="009E7AE7"/>
    <w:rsid w:val="00A01A76"/>
    <w:rsid w:val="00A17B5F"/>
    <w:rsid w:val="00A24E19"/>
    <w:rsid w:val="00A26936"/>
    <w:rsid w:val="00A27C64"/>
    <w:rsid w:val="00A33E8B"/>
    <w:rsid w:val="00A34F5E"/>
    <w:rsid w:val="00A404AA"/>
    <w:rsid w:val="00A55629"/>
    <w:rsid w:val="00A66DD6"/>
    <w:rsid w:val="00A945BC"/>
    <w:rsid w:val="00A9691F"/>
    <w:rsid w:val="00AA02CC"/>
    <w:rsid w:val="00AA5A1D"/>
    <w:rsid w:val="00AB18B7"/>
    <w:rsid w:val="00AB24EF"/>
    <w:rsid w:val="00AB650F"/>
    <w:rsid w:val="00AC1BB4"/>
    <w:rsid w:val="00AC1DD2"/>
    <w:rsid w:val="00AD2759"/>
    <w:rsid w:val="00AD302C"/>
    <w:rsid w:val="00AD33EB"/>
    <w:rsid w:val="00AE76CC"/>
    <w:rsid w:val="00AF1C96"/>
    <w:rsid w:val="00AF2BAF"/>
    <w:rsid w:val="00B10856"/>
    <w:rsid w:val="00B1505D"/>
    <w:rsid w:val="00B22EEB"/>
    <w:rsid w:val="00B2328E"/>
    <w:rsid w:val="00B26727"/>
    <w:rsid w:val="00B34586"/>
    <w:rsid w:val="00B370C1"/>
    <w:rsid w:val="00B544DA"/>
    <w:rsid w:val="00B560C1"/>
    <w:rsid w:val="00B563AB"/>
    <w:rsid w:val="00B57E4B"/>
    <w:rsid w:val="00B620F2"/>
    <w:rsid w:val="00B62A18"/>
    <w:rsid w:val="00B63BCB"/>
    <w:rsid w:val="00B70589"/>
    <w:rsid w:val="00B84861"/>
    <w:rsid w:val="00B96ADD"/>
    <w:rsid w:val="00BA0E95"/>
    <w:rsid w:val="00BA1DD5"/>
    <w:rsid w:val="00BB5219"/>
    <w:rsid w:val="00BC1AAC"/>
    <w:rsid w:val="00BD2360"/>
    <w:rsid w:val="00BD3354"/>
    <w:rsid w:val="00BF0D5E"/>
    <w:rsid w:val="00C022BC"/>
    <w:rsid w:val="00C13D2D"/>
    <w:rsid w:val="00C358AB"/>
    <w:rsid w:val="00C440B8"/>
    <w:rsid w:val="00C63087"/>
    <w:rsid w:val="00C8424D"/>
    <w:rsid w:val="00C91210"/>
    <w:rsid w:val="00C9631E"/>
    <w:rsid w:val="00CB7680"/>
    <w:rsid w:val="00CC1DB8"/>
    <w:rsid w:val="00CC597F"/>
    <w:rsid w:val="00CD19D7"/>
    <w:rsid w:val="00CE56B8"/>
    <w:rsid w:val="00CF3611"/>
    <w:rsid w:val="00CF40B6"/>
    <w:rsid w:val="00CF4DB1"/>
    <w:rsid w:val="00CF6E9C"/>
    <w:rsid w:val="00D0569A"/>
    <w:rsid w:val="00D16DD3"/>
    <w:rsid w:val="00D16F52"/>
    <w:rsid w:val="00D478DC"/>
    <w:rsid w:val="00D47D23"/>
    <w:rsid w:val="00D626B1"/>
    <w:rsid w:val="00D752CD"/>
    <w:rsid w:val="00D80AC7"/>
    <w:rsid w:val="00D964F5"/>
    <w:rsid w:val="00D97B8C"/>
    <w:rsid w:val="00DA6AE3"/>
    <w:rsid w:val="00DB2EE5"/>
    <w:rsid w:val="00DB62C0"/>
    <w:rsid w:val="00DC0401"/>
    <w:rsid w:val="00DC1824"/>
    <w:rsid w:val="00DC3096"/>
    <w:rsid w:val="00DD0E86"/>
    <w:rsid w:val="00DE3A9F"/>
    <w:rsid w:val="00E109A6"/>
    <w:rsid w:val="00E14BB9"/>
    <w:rsid w:val="00E21D1B"/>
    <w:rsid w:val="00E24338"/>
    <w:rsid w:val="00E43DB8"/>
    <w:rsid w:val="00E456AB"/>
    <w:rsid w:val="00E737D9"/>
    <w:rsid w:val="00E7688B"/>
    <w:rsid w:val="00E81B84"/>
    <w:rsid w:val="00EB1CAC"/>
    <w:rsid w:val="00F0502C"/>
    <w:rsid w:val="00F319F3"/>
    <w:rsid w:val="00F430A1"/>
    <w:rsid w:val="00F519AA"/>
    <w:rsid w:val="00F56C9C"/>
    <w:rsid w:val="00F604B2"/>
    <w:rsid w:val="00F6141C"/>
    <w:rsid w:val="00F66A5F"/>
    <w:rsid w:val="00F718E8"/>
    <w:rsid w:val="00F83189"/>
    <w:rsid w:val="00F90BF8"/>
    <w:rsid w:val="00FA1289"/>
    <w:rsid w:val="00FA74B3"/>
    <w:rsid w:val="00FC44B1"/>
    <w:rsid w:val="00FE099F"/>
    <w:rsid w:val="00FF08AB"/>
    <w:rsid w:val="00FF4159"/>
    <w:rsid w:val="00FF52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fillcolor="white">
      <v:fill color="white"/>
      <v:stroke weight=".25pt"/>
      <v:textbox inset="5mm,5mm,5mm,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6CC"/>
    <w:pPr>
      <w:spacing w:before="120"/>
      <w:jc w:val="both"/>
    </w:pPr>
    <w:rPr>
      <w:sz w:val="23"/>
    </w:rPr>
  </w:style>
  <w:style w:type="paragraph" w:styleId="Titre1">
    <w:name w:val="heading 1"/>
    <w:basedOn w:val="Normal"/>
    <w:next w:val="Normal"/>
    <w:qFormat/>
    <w:rsid w:val="00AE76CC"/>
    <w:pPr>
      <w:keepNext/>
      <w:numPr>
        <w:ilvl w:val="3"/>
        <w:numId w:val="3"/>
      </w:numPr>
      <w:pBdr>
        <w:bottom w:val="single" w:sz="2" w:space="5" w:color="auto"/>
      </w:pBdr>
      <w:tabs>
        <w:tab w:val="clear" w:pos="720"/>
        <w:tab w:val="left" w:pos="510"/>
      </w:tabs>
      <w:suppressAutoHyphens/>
      <w:spacing w:before="780" w:after="180" w:line="300" w:lineRule="atLeast"/>
      <w:jc w:val="left"/>
      <w:outlineLvl w:val="0"/>
    </w:pPr>
    <w:rPr>
      <w:rFonts w:ascii="Arial" w:hAnsi="Arial"/>
      <w:b/>
      <w:caps/>
      <w:kern w:val="28"/>
      <w:sz w:val="24"/>
    </w:rPr>
  </w:style>
  <w:style w:type="paragraph" w:styleId="Titre2">
    <w:name w:val="heading 2"/>
    <w:basedOn w:val="Normal"/>
    <w:next w:val="Normal"/>
    <w:qFormat/>
    <w:rsid w:val="00AE76CC"/>
    <w:pPr>
      <w:keepNext/>
      <w:numPr>
        <w:ilvl w:val="4"/>
        <w:numId w:val="3"/>
      </w:numPr>
      <w:suppressAutoHyphens/>
      <w:spacing w:before="400" w:after="80"/>
      <w:jc w:val="left"/>
      <w:outlineLvl w:val="1"/>
    </w:pPr>
    <w:rPr>
      <w:rFonts w:ascii="Arial" w:hAnsi="Arial"/>
      <w:b/>
      <w:sz w:val="25"/>
    </w:rPr>
  </w:style>
  <w:style w:type="paragraph" w:styleId="Titre3">
    <w:name w:val="heading 3"/>
    <w:basedOn w:val="Normal"/>
    <w:next w:val="Normal"/>
    <w:qFormat/>
    <w:rsid w:val="00AE76CC"/>
    <w:pPr>
      <w:keepNext/>
      <w:numPr>
        <w:ilvl w:val="5"/>
        <w:numId w:val="3"/>
      </w:numPr>
      <w:suppressAutoHyphens/>
      <w:spacing w:before="240" w:after="60"/>
      <w:jc w:val="left"/>
      <w:outlineLvl w:val="2"/>
    </w:pPr>
    <w:rPr>
      <w:rFonts w:ascii="Arial" w:hAnsi="Arial"/>
      <w:b/>
      <w:sz w:val="22"/>
    </w:rPr>
  </w:style>
  <w:style w:type="paragraph" w:styleId="Titre4">
    <w:name w:val="heading 4"/>
    <w:basedOn w:val="Normal"/>
    <w:next w:val="Normal"/>
    <w:link w:val="Titre4Car"/>
    <w:qFormat/>
    <w:rsid w:val="00AE76CC"/>
    <w:pPr>
      <w:keepNext/>
      <w:numPr>
        <w:ilvl w:val="6"/>
        <w:numId w:val="3"/>
      </w:numPr>
      <w:suppressAutoHyphens/>
      <w:spacing w:before="140"/>
      <w:jc w:val="left"/>
      <w:outlineLvl w:val="3"/>
    </w:pPr>
    <w:rPr>
      <w:i/>
      <w:sz w:val="24"/>
    </w:rPr>
  </w:style>
  <w:style w:type="paragraph" w:styleId="Titre5">
    <w:name w:val="heading 5"/>
    <w:basedOn w:val="Normal"/>
    <w:next w:val="Normal"/>
    <w:qFormat/>
    <w:rsid w:val="00AE76CC"/>
    <w:pPr>
      <w:outlineLvl w:val="4"/>
    </w:pPr>
    <w:rPr>
      <w:rFonts w:ascii="Arial" w:hAnsi="Arial"/>
      <w:sz w:val="20"/>
    </w:rPr>
  </w:style>
  <w:style w:type="paragraph" w:styleId="Titre6">
    <w:name w:val="heading 6"/>
    <w:basedOn w:val="Normal"/>
    <w:next w:val="Normal"/>
    <w:qFormat/>
    <w:rsid w:val="00AE76CC"/>
    <w:pPr>
      <w:outlineLvl w:val="5"/>
    </w:pPr>
    <w:rPr>
      <w:rFonts w:ascii="Arial" w:hAnsi="Arial"/>
      <w:sz w:val="20"/>
    </w:rPr>
  </w:style>
  <w:style w:type="paragraph" w:styleId="Titre7">
    <w:name w:val="heading 7"/>
    <w:basedOn w:val="Normal"/>
    <w:next w:val="Normal"/>
    <w:qFormat/>
    <w:rsid w:val="00AE76CC"/>
    <w:pPr>
      <w:outlineLvl w:val="6"/>
    </w:pPr>
    <w:rPr>
      <w:rFonts w:ascii="Arial" w:hAnsi="Arial"/>
      <w:sz w:val="20"/>
    </w:rPr>
  </w:style>
  <w:style w:type="paragraph" w:styleId="Titre8">
    <w:name w:val="heading 8"/>
    <w:basedOn w:val="Normal"/>
    <w:next w:val="Normal"/>
    <w:qFormat/>
    <w:rsid w:val="00AE76CC"/>
    <w:pPr>
      <w:outlineLvl w:val="7"/>
    </w:pPr>
    <w:rPr>
      <w:rFonts w:ascii="Arial" w:hAnsi="Arial"/>
      <w:sz w:val="20"/>
    </w:rPr>
  </w:style>
  <w:style w:type="paragraph" w:styleId="Titre9">
    <w:name w:val="heading 9"/>
    <w:basedOn w:val="Normal"/>
    <w:next w:val="Normal"/>
    <w:qFormat/>
    <w:rsid w:val="00AE76CC"/>
    <w:pPr>
      <w:outlineLvl w:val="8"/>
    </w:pPr>
    <w:rPr>
      <w:rFonts w:ascii="Arial" w:hAnsi="Arial"/>
      <w:sz w:val="20"/>
    </w:rPr>
  </w:style>
  <w:style w:type="character" w:default="1" w:styleId="Policepardfaut">
    <w:name w:val="Default Paragraph Font"/>
    <w:semiHidden/>
    <w:rsid w:val="00AE76CC"/>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rsid w:val="00AE76CC"/>
  </w:style>
  <w:style w:type="paragraph" w:customStyle="1" w:styleId="Tirets">
    <w:name w:val="Tirets"/>
    <w:basedOn w:val="Normal"/>
    <w:rsid w:val="00AE76CC"/>
    <w:pPr>
      <w:numPr>
        <w:numId w:val="9"/>
      </w:numPr>
      <w:tabs>
        <w:tab w:val="clear" w:pos="700"/>
        <w:tab w:val="left" w:pos="624"/>
      </w:tabs>
      <w:spacing w:before="30"/>
    </w:pPr>
  </w:style>
  <w:style w:type="paragraph" w:styleId="En-tte">
    <w:name w:val="header"/>
    <w:basedOn w:val="Normal"/>
    <w:rsid w:val="00AE76CC"/>
    <w:pPr>
      <w:tabs>
        <w:tab w:val="center" w:pos="4536"/>
        <w:tab w:val="right" w:pos="9072"/>
      </w:tabs>
      <w:jc w:val="center"/>
    </w:pPr>
    <w:rPr>
      <w:i/>
      <w:sz w:val="19"/>
    </w:rPr>
  </w:style>
  <w:style w:type="paragraph" w:styleId="Pieddepage">
    <w:name w:val="footer"/>
    <w:basedOn w:val="Normal"/>
    <w:rsid w:val="00AE76CC"/>
    <w:pPr>
      <w:tabs>
        <w:tab w:val="center" w:pos="4536"/>
        <w:tab w:val="right" w:pos="9072"/>
      </w:tabs>
      <w:jc w:val="left"/>
    </w:pPr>
    <w:rPr>
      <w:sz w:val="20"/>
    </w:rPr>
  </w:style>
  <w:style w:type="character" w:styleId="Numrodepage">
    <w:name w:val="page number"/>
    <w:basedOn w:val="Policepardfaut"/>
    <w:rsid w:val="00AE76CC"/>
    <w:rPr>
      <w:sz w:val="20"/>
    </w:rPr>
  </w:style>
  <w:style w:type="paragraph" w:customStyle="1" w:styleId="Sous-titredintercalaire">
    <w:name w:val="Sous-titre d'intercalaire"/>
    <w:basedOn w:val="Normal"/>
    <w:rsid w:val="00AE76CC"/>
    <w:pPr>
      <w:suppressAutoHyphens/>
      <w:spacing w:before="540"/>
      <w:ind w:left="1276"/>
      <w:jc w:val="left"/>
    </w:pPr>
    <w:rPr>
      <w:rFonts w:ascii="Arial" w:hAnsi="Arial"/>
      <w:b/>
      <w:w w:val="95"/>
      <w:sz w:val="28"/>
    </w:rPr>
  </w:style>
  <w:style w:type="paragraph" w:styleId="Notedebasdepage">
    <w:name w:val="footnote text"/>
    <w:basedOn w:val="Normal"/>
    <w:semiHidden/>
    <w:rsid w:val="00AE76CC"/>
    <w:pPr>
      <w:tabs>
        <w:tab w:val="left" w:pos="227"/>
      </w:tabs>
      <w:spacing w:before="30"/>
      <w:ind w:left="227" w:hanging="227"/>
    </w:pPr>
    <w:rPr>
      <w:sz w:val="19"/>
    </w:rPr>
  </w:style>
  <w:style w:type="character" w:styleId="Appelnotedebasdep">
    <w:name w:val="footnote reference"/>
    <w:basedOn w:val="Policepardfaut"/>
    <w:semiHidden/>
    <w:rsid w:val="00AE76CC"/>
    <w:rPr>
      <w:vertAlign w:val="superscript"/>
    </w:rPr>
  </w:style>
  <w:style w:type="paragraph" w:styleId="TM1">
    <w:name w:val="toc 1"/>
    <w:basedOn w:val="Normal"/>
    <w:next w:val="Normal"/>
    <w:autoRedefine/>
    <w:semiHidden/>
    <w:rsid w:val="00AE76CC"/>
    <w:pPr>
      <w:tabs>
        <w:tab w:val="left" w:pos="510"/>
        <w:tab w:val="right" w:leader="dot" w:pos="8720"/>
      </w:tabs>
      <w:spacing w:after="40"/>
      <w:ind w:left="510" w:right="366" w:hanging="510"/>
      <w:jc w:val="left"/>
    </w:pPr>
    <w:rPr>
      <w:smallCaps/>
      <w:noProof/>
    </w:rPr>
  </w:style>
  <w:style w:type="paragraph" w:styleId="TM2">
    <w:name w:val="toc 2"/>
    <w:basedOn w:val="Normal"/>
    <w:next w:val="Normal"/>
    <w:autoRedefine/>
    <w:semiHidden/>
    <w:rsid w:val="00AE76CC"/>
    <w:pPr>
      <w:tabs>
        <w:tab w:val="left" w:pos="935"/>
        <w:tab w:val="right" w:leader="dot" w:pos="8720"/>
      </w:tabs>
      <w:spacing w:before="60"/>
      <w:ind w:left="935" w:right="369" w:hanging="425"/>
      <w:jc w:val="left"/>
    </w:pPr>
    <w:rPr>
      <w:noProof/>
    </w:rPr>
  </w:style>
  <w:style w:type="paragraph" w:customStyle="1" w:styleId="Miseenvaleur">
    <w:name w:val="Mise en valeur"/>
    <w:basedOn w:val="Normal"/>
    <w:rsid w:val="00AE76CC"/>
    <w:pPr>
      <w:pBdr>
        <w:top w:val="single" w:sz="2" w:space="8" w:color="auto"/>
        <w:left w:val="single" w:sz="18" w:space="14" w:color="auto"/>
        <w:bottom w:val="single" w:sz="2" w:space="8" w:color="auto"/>
        <w:right w:val="single" w:sz="2" w:space="6" w:color="auto"/>
      </w:pBdr>
      <w:spacing w:before="0"/>
      <w:ind w:left="306" w:right="159"/>
    </w:pPr>
  </w:style>
  <w:style w:type="paragraph" w:customStyle="1" w:styleId="Remarqueouexemple">
    <w:name w:val="Remarque ou exemple"/>
    <w:basedOn w:val="Normal"/>
    <w:next w:val="Normal"/>
    <w:rsid w:val="00AE76CC"/>
    <w:pPr>
      <w:pBdr>
        <w:left w:val="single" w:sz="4" w:space="6" w:color="auto"/>
      </w:pBdr>
      <w:spacing w:before="0"/>
      <w:ind w:left="160"/>
    </w:pPr>
    <w:rPr>
      <w:i/>
    </w:rPr>
  </w:style>
  <w:style w:type="paragraph" w:customStyle="1" w:styleId="Retraitpuce">
    <w:name w:val="Retrait puce"/>
    <w:basedOn w:val="Normal"/>
    <w:next w:val="Normal"/>
    <w:rsid w:val="00AE76CC"/>
    <w:pPr>
      <w:spacing w:before="60"/>
      <w:ind w:left="357"/>
    </w:pPr>
  </w:style>
  <w:style w:type="paragraph" w:customStyle="1" w:styleId="Contenudetableau">
    <w:name w:val="Contenu de tableau"/>
    <w:basedOn w:val="Normal"/>
    <w:rsid w:val="00AE76CC"/>
    <w:pPr>
      <w:keepNext/>
      <w:suppressAutoHyphens/>
      <w:spacing w:before="40" w:after="40"/>
      <w:jc w:val="left"/>
    </w:pPr>
    <w:rPr>
      <w:sz w:val="19"/>
    </w:rPr>
  </w:style>
  <w:style w:type="paragraph" w:styleId="Lgende">
    <w:name w:val="caption"/>
    <w:basedOn w:val="Normal"/>
    <w:next w:val="Normal"/>
    <w:qFormat/>
    <w:rsid w:val="00AE76CC"/>
    <w:pPr>
      <w:keepNext/>
      <w:suppressAutoHyphens/>
      <w:spacing w:before="240" w:after="120"/>
      <w:jc w:val="left"/>
    </w:pPr>
    <w:rPr>
      <w:b/>
      <w:i/>
    </w:rPr>
  </w:style>
  <w:style w:type="paragraph" w:customStyle="1" w:styleId="Source">
    <w:name w:val="Source"/>
    <w:basedOn w:val="Normal"/>
    <w:rsid w:val="00AE76CC"/>
    <w:pPr>
      <w:spacing w:before="80"/>
      <w:jc w:val="left"/>
    </w:pPr>
    <w:rPr>
      <w:i/>
      <w:sz w:val="16"/>
    </w:rPr>
  </w:style>
  <w:style w:type="paragraph" w:styleId="TM3">
    <w:name w:val="toc 3"/>
    <w:basedOn w:val="Normal"/>
    <w:next w:val="Normal"/>
    <w:autoRedefine/>
    <w:semiHidden/>
    <w:rsid w:val="00AE76CC"/>
    <w:pPr>
      <w:tabs>
        <w:tab w:val="left" w:pos="1418"/>
        <w:tab w:val="right" w:leader="dot" w:pos="8720"/>
      </w:tabs>
      <w:spacing w:before="20"/>
      <w:ind w:left="1418" w:right="369" w:hanging="482"/>
      <w:jc w:val="left"/>
    </w:pPr>
    <w:rPr>
      <w:noProof/>
    </w:rPr>
  </w:style>
  <w:style w:type="paragraph" w:styleId="TM4">
    <w:name w:val="toc 4"/>
    <w:basedOn w:val="Normal"/>
    <w:next w:val="Normal"/>
    <w:semiHidden/>
    <w:rsid w:val="00AE76CC"/>
    <w:pPr>
      <w:tabs>
        <w:tab w:val="left" w:pos="1418"/>
        <w:tab w:val="right" w:leader="dot" w:pos="8720"/>
      </w:tabs>
      <w:spacing w:before="0"/>
      <w:ind w:left="1418" w:right="369" w:hanging="482"/>
      <w:jc w:val="left"/>
    </w:pPr>
    <w:rPr>
      <w:noProof/>
      <w:spacing w:val="-3"/>
    </w:rPr>
  </w:style>
  <w:style w:type="paragraph" w:styleId="TM5">
    <w:name w:val="toc 5"/>
    <w:basedOn w:val="Normal"/>
    <w:next w:val="Normal"/>
    <w:autoRedefine/>
    <w:semiHidden/>
    <w:rsid w:val="00AE76CC"/>
    <w:pPr>
      <w:numPr>
        <w:numId w:val="4"/>
      </w:numPr>
      <w:tabs>
        <w:tab w:val="clear" w:pos="1440"/>
        <w:tab w:val="right" w:pos="993"/>
        <w:tab w:val="right" w:leader="dot" w:pos="8720"/>
      </w:tabs>
      <w:ind w:right="366"/>
    </w:pPr>
    <w:rPr>
      <w:noProof/>
    </w:rPr>
  </w:style>
  <w:style w:type="paragraph" w:styleId="Listenumros">
    <w:name w:val="List Number"/>
    <w:basedOn w:val="Normal"/>
    <w:rsid w:val="00AE76CC"/>
    <w:pPr>
      <w:keepNext/>
      <w:numPr>
        <w:numId w:val="1"/>
      </w:numPr>
      <w:ind w:left="357" w:hanging="357"/>
    </w:pPr>
  </w:style>
  <w:style w:type="paragraph" w:customStyle="1" w:styleId="Sous-titreprincipal">
    <w:name w:val="Sous-titre principal"/>
    <w:basedOn w:val="Normal"/>
    <w:next w:val="Normal"/>
    <w:rsid w:val="00AE76CC"/>
    <w:pPr>
      <w:spacing w:before="0" w:after="600"/>
      <w:jc w:val="center"/>
    </w:pPr>
    <w:rPr>
      <w:rFonts w:ascii="Arial" w:hAnsi="Arial"/>
      <w:spacing w:val="-6"/>
      <w:sz w:val="27"/>
    </w:rPr>
  </w:style>
  <w:style w:type="paragraph" w:customStyle="1" w:styleId="Titredintercalaire">
    <w:name w:val="Titre d'intercalaire"/>
    <w:basedOn w:val="Normal"/>
    <w:next w:val="Normal"/>
    <w:rsid w:val="00AE76CC"/>
    <w:pPr>
      <w:numPr>
        <w:numId w:val="3"/>
      </w:numPr>
      <w:suppressAutoHyphens/>
      <w:spacing w:before="4600" w:line="680" w:lineRule="exact"/>
      <w:ind w:left="1276"/>
      <w:jc w:val="left"/>
      <w:outlineLvl w:val="0"/>
    </w:pPr>
    <w:rPr>
      <w:rFonts w:ascii="Arial Black" w:hAnsi="Arial Black"/>
      <w:b/>
      <w:w w:val="90"/>
      <w:sz w:val="48"/>
    </w:rPr>
  </w:style>
  <w:style w:type="paragraph" w:customStyle="1" w:styleId="Encadrtirets">
    <w:name w:val="Encadré tirets"/>
    <w:basedOn w:val="Tirets"/>
    <w:rsid w:val="00AE76CC"/>
    <w:pPr>
      <w:numPr>
        <w:numId w:val="8"/>
      </w:numPr>
      <w:tabs>
        <w:tab w:val="clear" w:pos="644"/>
      </w:tabs>
      <w:ind w:left="567" w:hanging="283"/>
    </w:pPr>
    <w:rPr>
      <w:sz w:val="19"/>
    </w:rPr>
  </w:style>
  <w:style w:type="paragraph" w:styleId="TM6">
    <w:name w:val="toc 6"/>
    <w:basedOn w:val="Normal"/>
    <w:next w:val="Normal"/>
    <w:autoRedefine/>
    <w:semiHidden/>
    <w:rsid w:val="00AE76CC"/>
    <w:pPr>
      <w:ind w:left="1150"/>
    </w:pPr>
  </w:style>
  <w:style w:type="paragraph" w:customStyle="1" w:styleId="TitreTabledesmatires">
    <w:name w:val="Titre Table des matières"/>
    <w:basedOn w:val="Normal"/>
    <w:next w:val="Normal"/>
    <w:rsid w:val="00AE76CC"/>
    <w:pPr>
      <w:pageBreakBefore/>
      <w:suppressAutoHyphens/>
      <w:spacing w:before="1200" w:after="780" w:line="480" w:lineRule="exact"/>
      <w:jc w:val="center"/>
    </w:pPr>
    <w:rPr>
      <w:rFonts w:ascii="Arial" w:hAnsi="Arial"/>
      <w:b/>
      <w:sz w:val="40"/>
    </w:rPr>
  </w:style>
  <w:style w:type="paragraph" w:styleId="TM7">
    <w:name w:val="toc 7"/>
    <w:basedOn w:val="Normal"/>
    <w:next w:val="Normal"/>
    <w:autoRedefine/>
    <w:semiHidden/>
    <w:rsid w:val="00AE76CC"/>
    <w:pPr>
      <w:ind w:left="1380"/>
    </w:pPr>
  </w:style>
  <w:style w:type="paragraph" w:styleId="TM8">
    <w:name w:val="toc 8"/>
    <w:basedOn w:val="Normal"/>
    <w:next w:val="Normal"/>
    <w:autoRedefine/>
    <w:semiHidden/>
    <w:rsid w:val="00AE76CC"/>
    <w:pPr>
      <w:ind w:left="1610"/>
    </w:pPr>
  </w:style>
  <w:style w:type="paragraph" w:styleId="TM9">
    <w:name w:val="toc 9"/>
    <w:basedOn w:val="Normal"/>
    <w:next w:val="Normal"/>
    <w:autoRedefine/>
    <w:semiHidden/>
    <w:rsid w:val="00AE76CC"/>
    <w:pPr>
      <w:ind w:left="1840"/>
    </w:pPr>
  </w:style>
  <w:style w:type="paragraph" w:customStyle="1" w:styleId="Titreprincipal">
    <w:name w:val="Titre principal"/>
    <w:basedOn w:val="Normal"/>
    <w:next w:val="Normal"/>
    <w:rsid w:val="00AE76CC"/>
    <w:pPr>
      <w:keepNext/>
      <w:pageBreakBefore/>
      <w:numPr>
        <w:ilvl w:val="1"/>
        <w:numId w:val="3"/>
      </w:numPr>
      <w:suppressAutoHyphens/>
      <w:spacing w:before="1200" w:after="600" w:line="480" w:lineRule="exact"/>
      <w:jc w:val="center"/>
      <w:outlineLvl w:val="0"/>
    </w:pPr>
    <w:rPr>
      <w:rFonts w:ascii="Arial" w:hAnsi="Arial"/>
      <w:b/>
      <w:sz w:val="40"/>
    </w:rPr>
  </w:style>
  <w:style w:type="paragraph" w:styleId="Explorateurdedocuments">
    <w:name w:val="Document Map"/>
    <w:basedOn w:val="Normal"/>
    <w:semiHidden/>
    <w:rsid w:val="00AE76CC"/>
    <w:pPr>
      <w:shd w:val="clear" w:color="auto" w:fill="000080"/>
    </w:pPr>
    <w:rPr>
      <w:rFonts w:ascii="Tahoma" w:hAnsi="Tahoma"/>
    </w:rPr>
  </w:style>
  <w:style w:type="paragraph" w:customStyle="1" w:styleId="Petitsautdeparagraphe">
    <w:name w:val="Petit saut de paragraphe"/>
    <w:basedOn w:val="Normal"/>
    <w:next w:val="Normal"/>
    <w:rsid w:val="00AE76CC"/>
    <w:pPr>
      <w:spacing w:before="0"/>
    </w:pPr>
    <w:rPr>
      <w:sz w:val="12"/>
    </w:rPr>
  </w:style>
  <w:style w:type="paragraph" w:customStyle="1" w:styleId="Pucepournumration">
    <w:name w:val="Puce pour énumération"/>
    <w:basedOn w:val="Normal"/>
    <w:rsid w:val="00AE76CC"/>
    <w:pPr>
      <w:numPr>
        <w:numId w:val="6"/>
      </w:numPr>
      <w:tabs>
        <w:tab w:val="clear" w:pos="360"/>
        <w:tab w:val="num" w:pos="340"/>
      </w:tabs>
      <w:spacing w:before="60"/>
    </w:pPr>
  </w:style>
  <w:style w:type="paragraph" w:customStyle="1" w:styleId="Pucepourtitre">
    <w:name w:val="Puce pour titre"/>
    <w:basedOn w:val="Normal"/>
    <w:next w:val="Normal"/>
    <w:rsid w:val="00AE76CC"/>
    <w:pPr>
      <w:keepNext/>
      <w:numPr>
        <w:ilvl w:val="7"/>
        <w:numId w:val="3"/>
      </w:numPr>
      <w:tabs>
        <w:tab w:val="clear" w:pos="360"/>
        <w:tab w:val="num" w:pos="340"/>
      </w:tabs>
      <w:suppressAutoHyphens/>
      <w:spacing w:before="180"/>
      <w:jc w:val="left"/>
      <w:outlineLvl w:val="4"/>
    </w:pPr>
    <w:rPr>
      <w:b/>
    </w:rPr>
  </w:style>
  <w:style w:type="paragraph" w:customStyle="1" w:styleId="Pucepourparagraphe">
    <w:name w:val="Puce pour paragraphe"/>
    <w:basedOn w:val="Pucepourtitre"/>
    <w:rsid w:val="00AE76CC"/>
    <w:pPr>
      <w:numPr>
        <w:ilvl w:val="0"/>
        <w:numId w:val="5"/>
      </w:numPr>
      <w:tabs>
        <w:tab w:val="clear" w:pos="360"/>
        <w:tab w:val="num" w:pos="340"/>
      </w:tabs>
      <w:spacing w:before="60"/>
      <w:jc w:val="both"/>
      <w:outlineLvl w:val="9"/>
    </w:pPr>
    <w:rPr>
      <w:b w:val="0"/>
    </w:rPr>
  </w:style>
  <w:style w:type="paragraph" w:customStyle="1" w:styleId="Titredannexe">
    <w:name w:val="Titre d'annexe"/>
    <w:basedOn w:val="Normal"/>
    <w:next w:val="Normal"/>
    <w:rsid w:val="00AE76CC"/>
    <w:pPr>
      <w:pageBreakBefore/>
      <w:numPr>
        <w:ilvl w:val="2"/>
        <w:numId w:val="3"/>
      </w:numPr>
      <w:suppressAutoHyphens/>
      <w:spacing w:after="960"/>
      <w:jc w:val="center"/>
      <w:outlineLvl w:val="0"/>
    </w:pPr>
    <w:rPr>
      <w:rFonts w:ascii="Arial" w:hAnsi="Arial"/>
      <w:b/>
      <w:sz w:val="28"/>
    </w:rPr>
  </w:style>
  <w:style w:type="paragraph" w:customStyle="1" w:styleId="Encadrnormal">
    <w:name w:val="Encadré normal"/>
    <w:basedOn w:val="Normal"/>
    <w:rsid w:val="00AE76CC"/>
    <w:pPr>
      <w:spacing w:before="60"/>
    </w:pPr>
    <w:rPr>
      <w:sz w:val="19"/>
    </w:rPr>
  </w:style>
  <w:style w:type="paragraph" w:customStyle="1" w:styleId="Encadrtitre">
    <w:name w:val="Encadré titre"/>
    <w:basedOn w:val="Normal"/>
    <w:next w:val="Encadrnormal"/>
    <w:rsid w:val="00AE76CC"/>
    <w:pPr>
      <w:spacing w:before="0" w:after="120"/>
      <w:jc w:val="center"/>
    </w:pPr>
    <w:rPr>
      <w:rFonts w:ascii="Arial" w:hAnsi="Arial"/>
      <w:b/>
      <w:sz w:val="20"/>
    </w:rPr>
  </w:style>
  <w:style w:type="paragraph" w:customStyle="1" w:styleId="Encadrpucepournumration">
    <w:name w:val="Encadré puce pour énumération"/>
    <w:basedOn w:val="Pucepournumration"/>
    <w:rsid w:val="00AE76CC"/>
    <w:pPr>
      <w:numPr>
        <w:numId w:val="7"/>
      </w:numPr>
      <w:tabs>
        <w:tab w:val="clear" w:pos="360"/>
        <w:tab w:val="left" w:pos="284"/>
      </w:tabs>
      <w:spacing w:before="20"/>
    </w:pPr>
    <w:rPr>
      <w:sz w:val="19"/>
    </w:rPr>
  </w:style>
  <w:style w:type="paragraph" w:customStyle="1" w:styleId="Encadrpucepourtitre">
    <w:name w:val="Encadré puce pour titre"/>
    <w:basedOn w:val="Normal"/>
    <w:next w:val="Encadrnormal"/>
    <w:rsid w:val="00AE76CC"/>
    <w:pPr>
      <w:numPr>
        <w:numId w:val="2"/>
      </w:numPr>
      <w:tabs>
        <w:tab w:val="clear" w:pos="360"/>
        <w:tab w:val="left" w:pos="284"/>
      </w:tabs>
      <w:suppressAutoHyphens/>
      <w:spacing w:before="100"/>
      <w:jc w:val="left"/>
      <w:outlineLvl w:val="4"/>
    </w:pPr>
    <w:rPr>
      <w:b/>
      <w:sz w:val="19"/>
    </w:rPr>
  </w:style>
  <w:style w:type="character" w:customStyle="1" w:styleId="Titre4Car">
    <w:name w:val="Titre 4 Car"/>
    <w:basedOn w:val="Policepardfaut"/>
    <w:link w:val="Titre4"/>
    <w:rsid w:val="00B620F2"/>
    <w:rPr>
      <w:i/>
      <w:sz w:val="24"/>
    </w:rPr>
  </w:style>
  <w:style w:type="paragraph" w:styleId="Sous-titre">
    <w:name w:val="Subtitle"/>
    <w:basedOn w:val="Normal"/>
    <w:next w:val="Normal"/>
    <w:link w:val="Sous-titreCar"/>
    <w:qFormat/>
    <w:rsid w:val="00DD0E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DD0E86"/>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B563AB"/>
    <w:pPr>
      <w:spacing w:before="0"/>
      <w:ind w:left="720"/>
      <w:contextualSpacing/>
      <w:jc w:val="left"/>
    </w:pPr>
    <w:rPr>
      <w:sz w:val="24"/>
      <w:szCs w:val="24"/>
    </w:rPr>
  </w:style>
  <w:style w:type="paragraph" w:styleId="NormalWeb">
    <w:name w:val="Normal (Web)"/>
    <w:basedOn w:val="Normal"/>
    <w:uiPriority w:val="99"/>
    <w:unhideWhenUsed/>
    <w:rsid w:val="00470D0F"/>
    <w:pPr>
      <w:spacing w:before="100" w:beforeAutospacing="1" w:after="100" w:afterAutospacing="1"/>
      <w:jc w:val="left"/>
    </w:pPr>
    <w:rPr>
      <w:sz w:val="24"/>
      <w:szCs w:val="24"/>
    </w:rPr>
  </w:style>
  <w:style w:type="paragraph" w:styleId="Textedebulles">
    <w:name w:val="Balloon Text"/>
    <w:basedOn w:val="Normal"/>
    <w:link w:val="TextedebullesCar"/>
    <w:rsid w:val="00177188"/>
    <w:pPr>
      <w:spacing w:before="0"/>
    </w:pPr>
    <w:rPr>
      <w:rFonts w:ascii="Tahoma" w:hAnsi="Tahoma" w:cs="Tahoma"/>
      <w:sz w:val="16"/>
      <w:szCs w:val="16"/>
    </w:rPr>
  </w:style>
  <w:style w:type="character" w:customStyle="1" w:styleId="TextedebullesCar">
    <w:name w:val="Texte de bulles Car"/>
    <w:basedOn w:val="Policepardfaut"/>
    <w:link w:val="Textedebulles"/>
    <w:rsid w:val="00177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20852">
      <w:bodyDiv w:val="1"/>
      <w:marLeft w:val="0"/>
      <w:marRight w:val="0"/>
      <w:marTop w:val="0"/>
      <w:marBottom w:val="0"/>
      <w:divBdr>
        <w:top w:val="none" w:sz="0" w:space="0" w:color="auto"/>
        <w:left w:val="none" w:sz="0" w:space="0" w:color="auto"/>
        <w:bottom w:val="none" w:sz="0" w:space="0" w:color="auto"/>
        <w:right w:val="none" w:sz="0" w:space="0" w:color="auto"/>
      </w:divBdr>
      <w:divsChild>
        <w:div w:id="511409504">
          <w:marLeft w:val="547"/>
          <w:marRight w:val="0"/>
          <w:marTop w:val="96"/>
          <w:marBottom w:val="0"/>
          <w:divBdr>
            <w:top w:val="none" w:sz="0" w:space="0" w:color="auto"/>
            <w:left w:val="none" w:sz="0" w:space="0" w:color="auto"/>
            <w:bottom w:val="none" w:sz="0" w:space="0" w:color="auto"/>
            <w:right w:val="none" w:sz="0" w:space="0" w:color="auto"/>
          </w:divBdr>
        </w:div>
        <w:div w:id="2086602973">
          <w:marLeft w:val="547"/>
          <w:marRight w:val="0"/>
          <w:marTop w:val="96"/>
          <w:marBottom w:val="0"/>
          <w:divBdr>
            <w:top w:val="none" w:sz="0" w:space="0" w:color="auto"/>
            <w:left w:val="none" w:sz="0" w:space="0" w:color="auto"/>
            <w:bottom w:val="none" w:sz="0" w:space="0" w:color="auto"/>
            <w:right w:val="none" w:sz="0" w:space="0" w:color="auto"/>
          </w:divBdr>
        </w:div>
      </w:divsChild>
    </w:div>
    <w:div w:id="261768234">
      <w:bodyDiv w:val="1"/>
      <w:marLeft w:val="0"/>
      <w:marRight w:val="0"/>
      <w:marTop w:val="0"/>
      <w:marBottom w:val="0"/>
      <w:divBdr>
        <w:top w:val="none" w:sz="0" w:space="0" w:color="auto"/>
        <w:left w:val="none" w:sz="0" w:space="0" w:color="auto"/>
        <w:bottom w:val="none" w:sz="0" w:space="0" w:color="auto"/>
        <w:right w:val="none" w:sz="0" w:space="0" w:color="auto"/>
      </w:divBdr>
    </w:div>
    <w:div w:id="293680228">
      <w:bodyDiv w:val="1"/>
      <w:marLeft w:val="0"/>
      <w:marRight w:val="0"/>
      <w:marTop w:val="0"/>
      <w:marBottom w:val="0"/>
      <w:divBdr>
        <w:top w:val="none" w:sz="0" w:space="0" w:color="auto"/>
        <w:left w:val="none" w:sz="0" w:space="0" w:color="auto"/>
        <w:bottom w:val="none" w:sz="0" w:space="0" w:color="auto"/>
        <w:right w:val="none" w:sz="0" w:space="0" w:color="auto"/>
      </w:divBdr>
      <w:divsChild>
        <w:div w:id="1980258294">
          <w:marLeft w:val="720"/>
          <w:marRight w:val="0"/>
          <w:marTop w:val="160"/>
          <w:marBottom w:val="0"/>
          <w:divBdr>
            <w:top w:val="none" w:sz="0" w:space="0" w:color="auto"/>
            <w:left w:val="none" w:sz="0" w:space="0" w:color="auto"/>
            <w:bottom w:val="none" w:sz="0" w:space="0" w:color="auto"/>
            <w:right w:val="none" w:sz="0" w:space="0" w:color="auto"/>
          </w:divBdr>
        </w:div>
      </w:divsChild>
    </w:div>
    <w:div w:id="298075565">
      <w:bodyDiv w:val="1"/>
      <w:marLeft w:val="0"/>
      <w:marRight w:val="0"/>
      <w:marTop w:val="0"/>
      <w:marBottom w:val="0"/>
      <w:divBdr>
        <w:top w:val="none" w:sz="0" w:space="0" w:color="auto"/>
        <w:left w:val="none" w:sz="0" w:space="0" w:color="auto"/>
        <w:bottom w:val="none" w:sz="0" w:space="0" w:color="auto"/>
        <w:right w:val="none" w:sz="0" w:space="0" w:color="auto"/>
      </w:divBdr>
      <w:divsChild>
        <w:div w:id="791824168">
          <w:marLeft w:val="0"/>
          <w:marRight w:val="0"/>
          <w:marTop w:val="134"/>
          <w:marBottom w:val="0"/>
          <w:divBdr>
            <w:top w:val="none" w:sz="0" w:space="0" w:color="auto"/>
            <w:left w:val="none" w:sz="0" w:space="0" w:color="auto"/>
            <w:bottom w:val="none" w:sz="0" w:space="0" w:color="auto"/>
            <w:right w:val="none" w:sz="0" w:space="0" w:color="auto"/>
          </w:divBdr>
        </w:div>
        <w:div w:id="1869440902">
          <w:marLeft w:val="720"/>
          <w:marRight w:val="0"/>
          <w:marTop w:val="240"/>
          <w:marBottom w:val="0"/>
          <w:divBdr>
            <w:top w:val="none" w:sz="0" w:space="0" w:color="auto"/>
            <w:left w:val="none" w:sz="0" w:space="0" w:color="auto"/>
            <w:bottom w:val="none" w:sz="0" w:space="0" w:color="auto"/>
            <w:right w:val="none" w:sz="0" w:space="0" w:color="auto"/>
          </w:divBdr>
        </w:div>
        <w:div w:id="616327583">
          <w:marLeft w:val="720"/>
          <w:marRight w:val="0"/>
          <w:marTop w:val="240"/>
          <w:marBottom w:val="0"/>
          <w:divBdr>
            <w:top w:val="none" w:sz="0" w:space="0" w:color="auto"/>
            <w:left w:val="none" w:sz="0" w:space="0" w:color="auto"/>
            <w:bottom w:val="none" w:sz="0" w:space="0" w:color="auto"/>
            <w:right w:val="none" w:sz="0" w:space="0" w:color="auto"/>
          </w:divBdr>
        </w:div>
      </w:divsChild>
    </w:div>
    <w:div w:id="823740857">
      <w:bodyDiv w:val="1"/>
      <w:marLeft w:val="0"/>
      <w:marRight w:val="0"/>
      <w:marTop w:val="0"/>
      <w:marBottom w:val="0"/>
      <w:divBdr>
        <w:top w:val="none" w:sz="0" w:space="0" w:color="auto"/>
        <w:left w:val="none" w:sz="0" w:space="0" w:color="auto"/>
        <w:bottom w:val="none" w:sz="0" w:space="0" w:color="auto"/>
        <w:right w:val="none" w:sz="0" w:space="0" w:color="auto"/>
      </w:divBdr>
      <w:divsChild>
        <w:div w:id="1770075481">
          <w:marLeft w:val="0"/>
          <w:marRight w:val="0"/>
          <w:marTop w:val="115"/>
          <w:marBottom w:val="0"/>
          <w:divBdr>
            <w:top w:val="none" w:sz="0" w:space="0" w:color="auto"/>
            <w:left w:val="none" w:sz="0" w:space="0" w:color="auto"/>
            <w:bottom w:val="none" w:sz="0" w:space="0" w:color="auto"/>
            <w:right w:val="none" w:sz="0" w:space="0" w:color="auto"/>
          </w:divBdr>
        </w:div>
        <w:div w:id="698699709">
          <w:marLeft w:val="720"/>
          <w:marRight w:val="0"/>
          <w:marTop w:val="240"/>
          <w:marBottom w:val="0"/>
          <w:divBdr>
            <w:top w:val="none" w:sz="0" w:space="0" w:color="auto"/>
            <w:left w:val="none" w:sz="0" w:space="0" w:color="auto"/>
            <w:bottom w:val="none" w:sz="0" w:space="0" w:color="auto"/>
            <w:right w:val="none" w:sz="0" w:space="0" w:color="auto"/>
          </w:divBdr>
        </w:div>
        <w:div w:id="427193575">
          <w:marLeft w:val="720"/>
          <w:marRight w:val="0"/>
          <w:marTop w:val="240"/>
          <w:marBottom w:val="0"/>
          <w:divBdr>
            <w:top w:val="none" w:sz="0" w:space="0" w:color="auto"/>
            <w:left w:val="none" w:sz="0" w:space="0" w:color="auto"/>
            <w:bottom w:val="none" w:sz="0" w:space="0" w:color="auto"/>
            <w:right w:val="none" w:sz="0" w:space="0" w:color="auto"/>
          </w:divBdr>
        </w:div>
        <w:div w:id="1525048181">
          <w:marLeft w:val="720"/>
          <w:marRight w:val="0"/>
          <w:marTop w:val="240"/>
          <w:marBottom w:val="0"/>
          <w:divBdr>
            <w:top w:val="none" w:sz="0" w:space="0" w:color="auto"/>
            <w:left w:val="none" w:sz="0" w:space="0" w:color="auto"/>
            <w:bottom w:val="none" w:sz="0" w:space="0" w:color="auto"/>
            <w:right w:val="none" w:sz="0" w:space="0" w:color="auto"/>
          </w:divBdr>
        </w:div>
        <w:div w:id="849567018">
          <w:marLeft w:val="720"/>
          <w:marRight w:val="0"/>
          <w:marTop w:val="240"/>
          <w:marBottom w:val="0"/>
          <w:divBdr>
            <w:top w:val="none" w:sz="0" w:space="0" w:color="auto"/>
            <w:left w:val="none" w:sz="0" w:space="0" w:color="auto"/>
            <w:bottom w:val="none" w:sz="0" w:space="0" w:color="auto"/>
            <w:right w:val="none" w:sz="0" w:space="0" w:color="auto"/>
          </w:divBdr>
        </w:div>
      </w:divsChild>
    </w:div>
    <w:div w:id="922882289">
      <w:bodyDiv w:val="1"/>
      <w:marLeft w:val="0"/>
      <w:marRight w:val="0"/>
      <w:marTop w:val="0"/>
      <w:marBottom w:val="0"/>
      <w:divBdr>
        <w:top w:val="none" w:sz="0" w:space="0" w:color="auto"/>
        <w:left w:val="none" w:sz="0" w:space="0" w:color="auto"/>
        <w:bottom w:val="none" w:sz="0" w:space="0" w:color="auto"/>
        <w:right w:val="none" w:sz="0" w:space="0" w:color="auto"/>
      </w:divBdr>
      <w:divsChild>
        <w:div w:id="1971083375">
          <w:marLeft w:val="0"/>
          <w:marRight w:val="0"/>
          <w:marTop w:val="115"/>
          <w:marBottom w:val="0"/>
          <w:divBdr>
            <w:top w:val="none" w:sz="0" w:space="0" w:color="auto"/>
            <w:left w:val="none" w:sz="0" w:space="0" w:color="auto"/>
            <w:bottom w:val="none" w:sz="0" w:space="0" w:color="auto"/>
            <w:right w:val="none" w:sz="0" w:space="0" w:color="auto"/>
          </w:divBdr>
        </w:div>
        <w:div w:id="722559044">
          <w:marLeft w:val="720"/>
          <w:marRight w:val="0"/>
          <w:marTop w:val="240"/>
          <w:marBottom w:val="0"/>
          <w:divBdr>
            <w:top w:val="none" w:sz="0" w:space="0" w:color="auto"/>
            <w:left w:val="none" w:sz="0" w:space="0" w:color="auto"/>
            <w:bottom w:val="none" w:sz="0" w:space="0" w:color="auto"/>
            <w:right w:val="none" w:sz="0" w:space="0" w:color="auto"/>
          </w:divBdr>
        </w:div>
        <w:div w:id="633021975">
          <w:marLeft w:val="720"/>
          <w:marRight w:val="0"/>
          <w:marTop w:val="240"/>
          <w:marBottom w:val="0"/>
          <w:divBdr>
            <w:top w:val="none" w:sz="0" w:space="0" w:color="auto"/>
            <w:left w:val="none" w:sz="0" w:space="0" w:color="auto"/>
            <w:bottom w:val="none" w:sz="0" w:space="0" w:color="auto"/>
            <w:right w:val="none" w:sz="0" w:space="0" w:color="auto"/>
          </w:divBdr>
        </w:div>
        <w:div w:id="1175145436">
          <w:marLeft w:val="720"/>
          <w:marRight w:val="0"/>
          <w:marTop w:val="240"/>
          <w:marBottom w:val="0"/>
          <w:divBdr>
            <w:top w:val="none" w:sz="0" w:space="0" w:color="auto"/>
            <w:left w:val="none" w:sz="0" w:space="0" w:color="auto"/>
            <w:bottom w:val="none" w:sz="0" w:space="0" w:color="auto"/>
            <w:right w:val="none" w:sz="0" w:space="0" w:color="auto"/>
          </w:divBdr>
        </w:div>
        <w:div w:id="1236890333">
          <w:marLeft w:val="720"/>
          <w:marRight w:val="0"/>
          <w:marTop w:val="240"/>
          <w:marBottom w:val="0"/>
          <w:divBdr>
            <w:top w:val="none" w:sz="0" w:space="0" w:color="auto"/>
            <w:left w:val="none" w:sz="0" w:space="0" w:color="auto"/>
            <w:bottom w:val="none" w:sz="0" w:space="0" w:color="auto"/>
            <w:right w:val="none" w:sz="0" w:space="0" w:color="auto"/>
          </w:divBdr>
        </w:div>
      </w:divsChild>
    </w:div>
    <w:div w:id="1075395791">
      <w:bodyDiv w:val="1"/>
      <w:marLeft w:val="0"/>
      <w:marRight w:val="0"/>
      <w:marTop w:val="0"/>
      <w:marBottom w:val="0"/>
      <w:divBdr>
        <w:top w:val="none" w:sz="0" w:space="0" w:color="auto"/>
        <w:left w:val="none" w:sz="0" w:space="0" w:color="auto"/>
        <w:bottom w:val="none" w:sz="0" w:space="0" w:color="auto"/>
        <w:right w:val="none" w:sz="0" w:space="0" w:color="auto"/>
      </w:divBdr>
      <w:divsChild>
        <w:div w:id="1116293375">
          <w:marLeft w:val="720"/>
          <w:marRight w:val="0"/>
          <w:marTop w:val="160"/>
          <w:marBottom w:val="0"/>
          <w:divBdr>
            <w:top w:val="none" w:sz="0" w:space="0" w:color="auto"/>
            <w:left w:val="none" w:sz="0" w:space="0" w:color="auto"/>
            <w:bottom w:val="none" w:sz="0" w:space="0" w:color="auto"/>
            <w:right w:val="none" w:sz="0" w:space="0" w:color="auto"/>
          </w:divBdr>
        </w:div>
        <w:div w:id="144670338">
          <w:marLeft w:val="720"/>
          <w:marRight w:val="0"/>
          <w:marTop w:val="160"/>
          <w:marBottom w:val="0"/>
          <w:divBdr>
            <w:top w:val="none" w:sz="0" w:space="0" w:color="auto"/>
            <w:left w:val="none" w:sz="0" w:space="0" w:color="auto"/>
            <w:bottom w:val="none" w:sz="0" w:space="0" w:color="auto"/>
            <w:right w:val="none" w:sz="0" w:space="0" w:color="auto"/>
          </w:divBdr>
        </w:div>
        <w:div w:id="2093044952">
          <w:marLeft w:val="720"/>
          <w:marRight w:val="0"/>
          <w:marTop w:val="160"/>
          <w:marBottom w:val="0"/>
          <w:divBdr>
            <w:top w:val="none" w:sz="0" w:space="0" w:color="auto"/>
            <w:left w:val="none" w:sz="0" w:space="0" w:color="auto"/>
            <w:bottom w:val="none" w:sz="0" w:space="0" w:color="auto"/>
            <w:right w:val="none" w:sz="0" w:space="0" w:color="auto"/>
          </w:divBdr>
        </w:div>
        <w:div w:id="2094933380">
          <w:marLeft w:val="720"/>
          <w:marRight w:val="0"/>
          <w:marTop w:val="160"/>
          <w:marBottom w:val="0"/>
          <w:divBdr>
            <w:top w:val="none" w:sz="0" w:space="0" w:color="auto"/>
            <w:left w:val="none" w:sz="0" w:space="0" w:color="auto"/>
            <w:bottom w:val="none" w:sz="0" w:space="0" w:color="auto"/>
            <w:right w:val="none" w:sz="0" w:space="0" w:color="auto"/>
          </w:divBdr>
        </w:div>
        <w:div w:id="1089424891">
          <w:marLeft w:val="720"/>
          <w:marRight w:val="0"/>
          <w:marTop w:val="160"/>
          <w:marBottom w:val="0"/>
          <w:divBdr>
            <w:top w:val="none" w:sz="0" w:space="0" w:color="auto"/>
            <w:left w:val="none" w:sz="0" w:space="0" w:color="auto"/>
            <w:bottom w:val="none" w:sz="0" w:space="0" w:color="auto"/>
            <w:right w:val="none" w:sz="0" w:space="0" w:color="auto"/>
          </w:divBdr>
        </w:div>
      </w:divsChild>
    </w:div>
    <w:div w:id="1759864849">
      <w:bodyDiv w:val="1"/>
      <w:marLeft w:val="0"/>
      <w:marRight w:val="0"/>
      <w:marTop w:val="0"/>
      <w:marBottom w:val="0"/>
      <w:divBdr>
        <w:top w:val="none" w:sz="0" w:space="0" w:color="auto"/>
        <w:left w:val="none" w:sz="0" w:space="0" w:color="auto"/>
        <w:bottom w:val="none" w:sz="0" w:space="0" w:color="auto"/>
        <w:right w:val="none" w:sz="0" w:space="0" w:color="auto"/>
      </w:divBdr>
      <w:divsChild>
        <w:div w:id="93135431">
          <w:marLeft w:val="0"/>
          <w:marRight w:val="0"/>
          <w:marTop w:val="115"/>
          <w:marBottom w:val="0"/>
          <w:divBdr>
            <w:top w:val="none" w:sz="0" w:space="0" w:color="auto"/>
            <w:left w:val="none" w:sz="0" w:space="0" w:color="auto"/>
            <w:bottom w:val="none" w:sz="0" w:space="0" w:color="auto"/>
            <w:right w:val="none" w:sz="0" w:space="0" w:color="auto"/>
          </w:divBdr>
        </w:div>
        <w:div w:id="191067751">
          <w:marLeft w:val="720"/>
          <w:marRight w:val="0"/>
          <w:marTop w:val="160"/>
          <w:marBottom w:val="0"/>
          <w:divBdr>
            <w:top w:val="none" w:sz="0" w:space="0" w:color="auto"/>
            <w:left w:val="none" w:sz="0" w:space="0" w:color="auto"/>
            <w:bottom w:val="none" w:sz="0" w:space="0" w:color="auto"/>
            <w:right w:val="none" w:sz="0" w:space="0" w:color="auto"/>
          </w:divBdr>
        </w:div>
        <w:div w:id="1835879745">
          <w:marLeft w:val="720"/>
          <w:marRight w:val="0"/>
          <w:marTop w:val="160"/>
          <w:marBottom w:val="0"/>
          <w:divBdr>
            <w:top w:val="none" w:sz="0" w:space="0" w:color="auto"/>
            <w:left w:val="none" w:sz="0" w:space="0" w:color="auto"/>
            <w:bottom w:val="none" w:sz="0" w:space="0" w:color="auto"/>
            <w:right w:val="none" w:sz="0" w:space="0" w:color="auto"/>
          </w:divBdr>
        </w:div>
        <w:div w:id="1230729370">
          <w:marLeft w:val="720"/>
          <w:marRight w:val="0"/>
          <w:marTop w:val="160"/>
          <w:marBottom w:val="0"/>
          <w:divBdr>
            <w:top w:val="none" w:sz="0" w:space="0" w:color="auto"/>
            <w:left w:val="none" w:sz="0" w:space="0" w:color="auto"/>
            <w:bottom w:val="none" w:sz="0" w:space="0" w:color="auto"/>
            <w:right w:val="none" w:sz="0" w:space="0" w:color="auto"/>
          </w:divBdr>
        </w:div>
      </w:divsChild>
    </w:div>
    <w:div w:id="2032415965">
      <w:bodyDiv w:val="1"/>
      <w:marLeft w:val="0"/>
      <w:marRight w:val="0"/>
      <w:marTop w:val="0"/>
      <w:marBottom w:val="0"/>
      <w:divBdr>
        <w:top w:val="none" w:sz="0" w:space="0" w:color="auto"/>
        <w:left w:val="none" w:sz="0" w:space="0" w:color="auto"/>
        <w:bottom w:val="none" w:sz="0" w:space="0" w:color="auto"/>
        <w:right w:val="none" w:sz="0" w:space="0" w:color="auto"/>
      </w:divBdr>
      <w:divsChild>
        <w:div w:id="35083334">
          <w:marLeft w:val="720"/>
          <w:marRight w:val="0"/>
          <w:marTop w:val="160"/>
          <w:marBottom w:val="0"/>
          <w:divBdr>
            <w:top w:val="none" w:sz="0" w:space="0" w:color="auto"/>
            <w:left w:val="none" w:sz="0" w:space="0" w:color="auto"/>
            <w:bottom w:val="none" w:sz="0" w:space="0" w:color="auto"/>
            <w:right w:val="none" w:sz="0" w:space="0" w:color="auto"/>
          </w:divBdr>
        </w:div>
        <w:div w:id="271712433">
          <w:marLeft w:val="720"/>
          <w:marRight w:val="0"/>
          <w:marTop w:val="160"/>
          <w:marBottom w:val="0"/>
          <w:divBdr>
            <w:top w:val="none" w:sz="0" w:space="0" w:color="auto"/>
            <w:left w:val="none" w:sz="0" w:space="0" w:color="auto"/>
            <w:bottom w:val="none" w:sz="0" w:space="0" w:color="auto"/>
            <w:right w:val="none" w:sz="0" w:space="0" w:color="auto"/>
          </w:divBdr>
        </w:div>
        <w:div w:id="496309988">
          <w:marLeft w:val="720"/>
          <w:marRight w:val="0"/>
          <w:marTop w:val="160"/>
          <w:marBottom w:val="0"/>
          <w:divBdr>
            <w:top w:val="none" w:sz="0" w:space="0" w:color="auto"/>
            <w:left w:val="none" w:sz="0" w:space="0" w:color="auto"/>
            <w:bottom w:val="none" w:sz="0" w:space="0" w:color="auto"/>
            <w:right w:val="none" w:sz="0" w:space="0" w:color="auto"/>
          </w:divBdr>
        </w:div>
        <w:div w:id="940340655">
          <w:marLeft w:val="720"/>
          <w:marRight w:val="0"/>
          <w:marTop w:val="160"/>
          <w:marBottom w:val="0"/>
          <w:divBdr>
            <w:top w:val="none" w:sz="0" w:space="0" w:color="auto"/>
            <w:left w:val="none" w:sz="0" w:space="0" w:color="auto"/>
            <w:bottom w:val="none" w:sz="0" w:space="0" w:color="auto"/>
            <w:right w:val="none" w:sz="0" w:space="0" w:color="auto"/>
          </w:divBdr>
        </w:div>
        <w:div w:id="1531991241">
          <w:marLeft w:val="720"/>
          <w:marRight w:val="0"/>
          <w:marTop w:val="160"/>
          <w:marBottom w:val="0"/>
          <w:divBdr>
            <w:top w:val="none" w:sz="0" w:space="0" w:color="auto"/>
            <w:left w:val="none" w:sz="0" w:space="0" w:color="auto"/>
            <w:bottom w:val="none" w:sz="0" w:space="0" w:color="auto"/>
            <w:right w:val="none" w:sz="0" w:space="0" w:color="auto"/>
          </w:divBdr>
        </w:div>
        <w:div w:id="1127888890">
          <w:marLeft w:val="72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u_d\Application%20Data\Microsoft\Templates\Rapport%20Gre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98B1-EB00-444F-8E57-E41F6ABC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Gret.dot</Template>
  <TotalTime>86</TotalTime>
  <Pages>17</Pages>
  <Words>7432</Words>
  <Characters>40876</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Exemple d'utilisation du modèle rapport</vt:lpstr>
    </vt:vector>
  </TitlesOfParts>
  <Company>GRET</Company>
  <LinksUpToDate>false</LinksUpToDate>
  <CharactersWithSpaces>48212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d'utilisation du modèle rapport</dc:title>
  <dc:subject/>
  <dc:creator>neu_d</dc:creator>
  <cp:keywords/>
  <cp:lastModifiedBy>neu_d</cp:lastModifiedBy>
  <cp:revision>3</cp:revision>
  <cp:lastPrinted>1999-07-16T10:28:00Z</cp:lastPrinted>
  <dcterms:created xsi:type="dcterms:W3CDTF">2009-12-22T05:45:00Z</dcterms:created>
  <dcterms:modified xsi:type="dcterms:W3CDTF">2009-12-22T07:10:00Z</dcterms:modified>
</cp:coreProperties>
</file>