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992" w:rsidRPr="00662006" w:rsidRDefault="00662006" w:rsidP="00662006">
      <w:pPr>
        <w:jc w:val="center"/>
        <w:rPr>
          <w:rFonts w:eastAsia="Times New Roman" w:cs="Times New Roman"/>
          <w:b/>
          <w:noProof/>
          <w:color w:val="003399"/>
          <w:kern w:val="36"/>
          <w:sz w:val="28"/>
          <w:szCs w:val="38"/>
          <w:lang w:val="fr-FR"/>
        </w:rPr>
      </w:pPr>
      <w:r w:rsidRPr="00662006">
        <w:rPr>
          <w:rFonts w:eastAsia="Times New Roman" w:cs="Times New Roman"/>
          <w:b/>
          <w:noProof/>
          <w:color w:val="003399"/>
          <w:kern w:val="36"/>
          <w:sz w:val="28"/>
          <w:szCs w:val="38"/>
          <w:lang w:val="fr-FR"/>
        </w:rPr>
        <w:t>Programme des Nations Unies pour le développement</w:t>
      </w:r>
    </w:p>
    <w:p w:rsidR="00662006" w:rsidRPr="00662006" w:rsidRDefault="00662006" w:rsidP="001F7992">
      <w:pPr>
        <w:rPr>
          <w:rFonts w:eastAsia="Times New Roman" w:cs="Times New Roman"/>
          <w:b/>
          <w:noProof/>
          <w:color w:val="003399"/>
          <w:kern w:val="36"/>
          <w:sz w:val="38"/>
          <w:szCs w:val="38"/>
          <w:lang w:val="fr-FR"/>
        </w:rPr>
      </w:pPr>
      <w:r>
        <w:rPr>
          <w:rFonts w:eastAsia="Times New Roman" w:cs="Times New Roman"/>
          <w:b/>
          <w:noProof/>
          <w:color w:val="003399"/>
          <w:kern w:val="36"/>
          <w:sz w:val="38"/>
          <w:szCs w:val="38"/>
        </w:rPr>
        <w:drawing>
          <wp:anchor distT="0" distB="0" distL="114300" distR="114300" simplePos="0" relativeHeight="251658240" behindDoc="1" locked="0" layoutInCell="1" allowOverlap="0">
            <wp:simplePos x="0" y="0"/>
            <wp:positionH relativeFrom="column">
              <wp:posOffset>5753100</wp:posOffset>
            </wp:positionH>
            <wp:positionV relativeFrom="paragraph">
              <wp:posOffset>106045</wp:posOffset>
            </wp:positionV>
            <wp:extent cx="276225" cy="523875"/>
            <wp:effectExtent l="19050" t="0" r="9525" b="0"/>
            <wp:wrapTight wrapText="bothSides">
              <wp:wrapPolygon edited="0">
                <wp:start x="-1490" y="0"/>
                <wp:lineTo x="-1490" y="21207"/>
                <wp:lineTo x="22345" y="21207"/>
                <wp:lineTo x="22345" y="0"/>
                <wp:lineTo x="-1490" y="0"/>
              </wp:wrapPolygon>
            </wp:wrapTight>
            <wp:docPr id="28" name="logo" descr="PN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PNUD"/>
                    <pic:cNvPicPr>
                      <a:picLocks noChangeAspect="1" noChangeArrowheads="1"/>
                    </pic:cNvPicPr>
                  </pic:nvPicPr>
                  <pic:blipFill>
                    <a:blip r:embed="rId8" r:link="rId9" cstate="print"/>
                    <a:srcRect/>
                    <a:stretch>
                      <a:fillRect/>
                    </a:stretch>
                  </pic:blipFill>
                  <pic:spPr bwMode="auto">
                    <a:xfrm>
                      <a:off x="0" y="0"/>
                      <a:ext cx="276225" cy="523875"/>
                    </a:xfrm>
                    <a:prstGeom prst="rect">
                      <a:avLst/>
                    </a:prstGeom>
                    <a:noFill/>
                    <a:ln w="9525">
                      <a:noFill/>
                      <a:miter lim="800000"/>
                      <a:headEnd/>
                      <a:tailEnd/>
                    </a:ln>
                  </pic:spPr>
                </pic:pic>
              </a:graphicData>
            </a:graphic>
          </wp:anchor>
        </w:drawing>
      </w:r>
    </w:p>
    <w:p w:rsidR="001F7992" w:rsidRDefault="00D0652E" w:rsidP="001F7992">
      <w:pPr>
        <w:rPr>
          <w:rFonts w:eastAsia="Times New Roman" w:cs="Times New Roman"/>
          <w:b/>
          <w:color w:val="003399"/>
          <w:kern w:val="36"/>
          <w:sz w:val="38"/>
          <w:szCs w:val="38"/>
          <w:lang w:val="fr-FR"/>
        </w:rPr>
      </w:pPr>
      <w:r w:rsidRPr="00D0652E">
        <w:rPr>
          <w:rFonts w:ascii="Myriad Pro" w:hAnsi="Myriad Pro"/>
          <w:bCs/>
          <w:i/>
          <w:noProof/>
          <w:color w:val="0000FF"/>
        </w:rPr>
        <w:pict>
          <v:shapetype id="_x0000_t202" coordsize="21600,21600" o:spt="202" path="m,l,21600r21600,l21600,xe">
            <v:stroke joinstyle="miter"/>
            <v:path gradientshapeok="t" o:connecttype="rect"/>
          </v:shapetype>
          <v:shape id="_x0000_s1026" type="#_x0000_t202" style="position:absolute;margin-left:420.75pt;margin-top:12.85pt;width:81.75pt;height:33.75pt;z-index:251659264" stroked="f">
            <v:textbox>
              <w:txbxContent>
                <w:p w:rsidR="001F7992" w:rsidRPr="001F7992" w:rsidRDefault="001F7992" w:rsidP="001F7992">
                  <w:pPr>
                    <w:spacing w:after="0"/>
                    <w:jc w:val="center"/>
                    <w:rPr>
                      <w:i/>
                      <w:color w:val="0070C0"/>
                      <w:sz w:val="20"/>
                      <w:lang w:val="fr-FR"/>
                    </w:rPr>
                  </w:pPr>
                  <w:r w:rsidRPr="001F7992">
                    <w:rPr>
                      <w:i/>
                      <w:color w:val="0070C0"/>
                      <w:sz w:val="20"/>
                      <w:lang w:val="fr-FR"/>
                    </w:rPr>
                    <w:t>République Centrafricaine</w:t>
                  </w:r>
                </w:p>
              </w:txbxContent>
            </v:textbox>
          </v:shape>
        </w:pict>
      </w:r>
    </w:p>
    <w:p w:rsidR="001F7992" w:rsidRDefault="001F7992" w:rsidP="001F7992">
      <w:pPr>
        <w:jc w:val="center"/>
        <w:rPr>
          <w:rFonts w:eastAsia="Times New Roman" w:cs="Times New Roman"/>
          <w:b/>
          <w:color w:val="003399"/>
          <w:kern w:val="36"/>
          <w:sz w:val="38"/>
          <w:szCs w:val="38"/>
          <w:lang w:val="fr-FR"/>
        </w:rPr>
      </w:pPr>
    </w:p>
    <w:p w:rsidR="00DD0DAA" w:rsidRPr="001F7992" w:rsidRDefault="001F7992" w:rsidP="001F7992">
      <w:pPr>
        <w:jc w:val="center"/>
        <w:rPr>
          <w:rFonts w:eastAsia="Times New Roman" w:cs="Times New Roman"/>
          <w:b/>
          <w:color w:val="003399"/>
          <w:kern w:val="36"/>
          <w:sz w:val="38"/>
          <w:szCs w:val="38"/>
          <w:lang w:val="fr-FR"/>
        </w:rPr>
      </w:pPr>
      <w:r>
        <w:rPr>
          <w:rFonts w:eastAsia="Times New Roman" w:cs="Times New Roman"/>
          <w:b/>
          <w:color w:val="003399"/>
          <w:kern w:val="36"/>
          <w:sz w:val="38"/>
          <w:szCs w:val="38"/>
          <w:lang w:val="fr-FR"/>
        </w:rPr>
        <w:t>TERMES DE REFERENCE DE LA MISSION D’</w:t>
      </w:r>
      <w:r w:rsidR="00DD0DAA" w:rsidRPr="001F7992">
        <w:rPr>
          <w:rFonts w:eastAsia="Times New Roman" w:cs="Times New Roman"/>
          <w:b/>
          <w:color w:val="003399"/>
          <w:kern w:val="36"/>
          <w:sz w:val="38"/>
          <w:szCs w:val="38"/>
          <w:lang w:val="fr-FR"/>
        </w:rPr>
        <w:t>EV</w:t>
      </w:r>
      <w:r w:rsidR="00BB7DAE">
        <w:rPr>
          <w:rFonts w:eastAsia="Times New Roman" w:cs="Times New Roman"/>
          <w:b/>
          <w:color w:val="003399"/>
          <w:kern w:val="36"/>
          <w:sz w:val="38"/>
          <w:szCs w:val="38"/>
          <w:lang w:val="fr-FR"/>
        </w:rPr>
        <w:t>A</w:t>
      </w:r>
      <w:r w:rsidR="00DD0DAA" w:rsidRPr="001F7992">
        <w:rPr>
          <w:rFonts w:eastAsia="Times New Roman" w:cs="Times New Roman"/>
          <w:b/>
          <w:color w:val="003399"/>
          <w:kern w:val="36"/>
          <w:sz w:val="38"/>
          <w:szCs w:val="38"/>
          <w:lang w:val="fr-FR"/>
        </w:rPr>
        <w:t>LU</w:t>
      </w:r>
      <w:r w:rsidR="00BB7DAE">
        <w:rPr>
          <w:rFonts w:eastAsia="Times New Roman" w:cs="Times New Roman"/>
          <w:b/>
          <w:color w:val="003399"/>
          <w:kern w:val="36"/>
          <w:sz w:val="38"/>
          <w:szCs w:val="38"/>
          <w:lang w:val="fr-FR"/>
        </w:rPr>
        <w:t>A</w:t>
      </w:r>
      <w:r w:rsidR="00DD0DAA" w:rsidRPr="001F7992">
        <w:rPr>
          <w:rFonts w:eastAsia="Times New Roman" w:cs="Times New Roman"/>
          <w:b/>
          <w:color w:val="003399"/>
          <w:kern w:val="36"/>
          <w:sz w:val="38"/>
          <w:szCs w:val="38"/>
          <w:lang w:val="fr-FR"/>
        </w:rPr>
        <w:t>TION INDEPENDANTE DU PROJET DE SECURITE POUR LE DEVELOPPEMENT (PSPD)</w:t>
      </w:r>
    </w:p>
    <w:p w:rsidR="00DD0DAA" w:rsidRDefault="00DD0DAA" w:rsidP="00DD0DAA">
      <w:pPr>
        <w:spacing w:after="0" w:line="312" w:lineRule="auto"/>
        <w:outlineLvl w:val="5"/>
        <w:rPr>
          <w:rFonts w:ascii="Trebuchet MS" w:eastAsia="Times New Roman" w:hAnsi="Trebuchet MS" w:cs="Times New Roman"/>
          <w:color w:val="003399"/>
          <w:sz w:val="26"/>
          <w:szCs w:val="26"/>
          <w:lang w:val="fr-FR"/>
        </w:rPr>
      </w:pPr>
    </w:p>
    <w:p w:rsidR="00DD0DAA" w:rsidRPr="00DD0DAA" w:rsidRDefault="00DD0DAA" w:rsidP="00DD0DAA">
      <w:pPr>
        <w:spacing w:after="0" w:line="312" w:lineRule="auto"/>
        <w:outlineLvl w:val="5"/>
        <w:rPr>
          <w:rFonts w:ascii="Trebuchet MS" w:eastAsia="Times New Roman" w:hAnsi="Trebuchet MS" w:cs="Times New Roman"/>
          <w:color w:val="003399"/>
          <w:sz w:val="26"/>
          <w:szCs w:val="26"/>
          <w:lang w:val="fr-FR"/>
        </w:rPr>
      </w:pPr>
      <w:r w:rsidRPr="00DD0DAA">
        <w:rPr>
          <w:rFonts w:ascii="Trebuchet MS" w:eastAsia="Times New Roman" w:hAnsi="Trebuchet MS" w:cs="Times New Roman"/>
          <w:color w:val="003399"/>
          <w:sz w:val="26"/>
          <w:szCs w:val="26"/>
          <w:lang w:val="fr-FR"/>
        </w:rPr>
        <w:t>1. Historique et contexte</w:t>
      </w:r>
      <w:r>
        <w:rPr>
          <w:rFonts w:ascii="Trebuchet MS" w:eastAsia="Times New Roman" w:hAnsi="Trebuchet MS" w:cs="Times New Roman"/>
          <w:color w:val="003399"/>
          <w:sz w:val="26"/>
          <w:szCs w:val="26"/>
          <w:lang w:val="fr-FR"/>
        </w:rPr>
        <w:t xml:space="preserve"> </w:t>
      </w:r>
    </w:p>
    <w:p w:rsidR="00972BD3" w:rsidRPr="00662006" w:rsidRDefault="00972BD3" w:rsidP="00972BD3">
      <w:pPr>
        <w:jc w:val="both"/>
        <w:rPr>
          <w:lang w:val="fr-FR"/>
        </w:rPr>
      </w:pPr>
      <w:r w:rsidRPr="00662006">
        <w:rPr>
          <w:lang w:val="fr-FR"/>
        </w:rPr>
        <w:t>Au cours des dernières décennies la République centrafricaine a été le théâtre des crises politiques et militaires les plus graves de son histoire, avec des conflits armés à répétition. Les conséquences sont</w:t>
      </w:r>
      <w:r w:rsidR="00F142B7">
        <w:rPr>
          <w:lang w:val="fr-FR"/>
        </w:rPr>
        <w:t xml:space="preserve"> </w:t>
      </w:r>
      <w:r w:rsidRPr="00662006">
        <w:rPr>
          <w:lang w:val="fr-FR"/>
        </w:rPr>
        <w:t>énormes et profondes, notamment le recul de l’économie entrainant l’accroissement de la pauvreté, le</w:t>
      </w:r>
      <w:r w:rsidR="00F142B7">
        <w:rPr>
          <w:lang w:val="fr-FR"/>
        </w:rPr>
        <w:t xml:space="preserve"> </w:t>
      </w:r>
      <w:r w:rsidRPr="00662006">
        <w:rPr>
          <w:lang w:val="fr-FR"/>
        </w:rPr>
        <w:t xml:space="preserve">déficit chronique de la paix et l’intensification de l’insécurité avec la prolifération des armes. </w:t>
      </w:r>
    </w:p>
    <w:p w:rsidR="00BB7DAE" w:rsidRDefault="00972BD3" w:rsidP="00972BD3">
      <w:pPr>
        <w:jc w:val="both"/>
        <w:rPr>
          <w:lang w:val="fr-FR"/>
        </w:rPr>
      </w:pPr>
      <w:r w:rsidRPr="00662006">
        <w:rPr>
          <w:lang w:val="fr-FR"/>
        </w:rPr>
        <w:t>Pour faire face à de tel</w:t>
      </w:r>
      <w:r w:rsidR="00BB7DAE">
        <w:rPr>
          <w:lang w:val="fr-FR"/>
        </w:rPr>
        <w:t>s</w:t>
      </w:r>
      <w:r w:rsidRPr="00662006">
        <w:rPr>
          <w:lang w:val="fr-FR"/>
        </w:rPr>
        <w:t xml:space="preserve"> défi</w:t>
      </w:r>
      <w:r w:rsidR="00BB7DAE">
        <w:rPr>
          <w:lang w:val="fr-FR"/>
        </w:rPr>
        <w:t>s,</w:t>
      </w:r>
      <w:r w:rsidRPr="00662006">
        <w:rPr>
          <w:lang w:val="fr-FR"/>
        </w:rPr>
        <w:t xml:space="preserve"> le gouvernement, avec l’appui de la communauté internationale a </w:t>
      </w:r>
      <w:r w:rsidR="00052EB9">
        <w:rPr>
          <w:lang w:val="fr-FR"/>
        </w:rPr>
        <w:t>mis</w:t>
      </w:r>
      <w:r w:rsidR="00052EB9" w:rsidRPr="00662006">
        <w:rPr>
          <w:lang w:val="fr-FR"/>
        </w:rPr>
        <w:t xml:space="preserve"> </w:t>
      </w:r>
      <w:r w:rsidRPr="00662006">
        <w:rPr>
          <w:lang w:val="fr-FR"/>
        </w:rPr>
        <w:t xml:space="preserve">en </w:t>
      </w:r>
      <w:r w:rsidR="00052EB9">
        <w:rPr>
          <w:lang w:val="fr-FR"/>
        </w:rPr>
        <w:t xml:space="preserve">place dès fin </w:t>
      </w:r>
      <w:r w:rsidRPr="00662006">
        <w:rPr>
          <w:lang w:val="fr-FR"/>
        </w:rPr>
        <w:t>2003</w:t>
      </w:r>
      <w:r w:rsidR="00052EB9">
        <w:rPr>
          <w:lang w:val="fr-FR"/>
        </w:rPr>
        <w:t>,</w:t>
      </w:r>
      <w:r w:rsidRPr="00662006">
        <w:rPr>
          <w:lang w:val="fr-FR"/>
        </w:rPr>
        <w:t xml:space="preserve"> </w:t>
      </w:r>
      <w:r w:rsidR="00052EB9">
        <w:rPr>
          <w:lang w:val="fr-FR"/>
        </w:rPr>
        <w:t>le Projet de Réinsertion des ex-combattants et d’Appui aux Communautés (PRAC),</w:t>
      </w:r>
      <w:r w:rsidRPr="00662006">
        <w:rPr>
          <w:lang w:val="fr-FR"/>
        </w:rPr>
        <w:t xml:space="preserve"> destiné à contribuer à la restauration de la sécurité, notamment sur une base communautaire</w:t>
      </w:r>
      <w:r w:rsidR="00BB7DAE">
        <w:rPr>
          <w:lang w:val="fr-FR"/>
        </w:rPr>
        <w:t>,</w:t>
      </w:r>
      <w:r w:rsidRPr="00662006">
        <w:rPr>
          <w:lang w:val="fr-FR"/>
        </w:rPr>
        <w:t xml:space="preserve"> et </w:t>
      </w:r>
      <w:r w:rsidR="00052EB9">
        <w:rPr>
          <w:lang w:val="fr-FR"/>
        </w:rPr>
        <w:t xml:space="preserve">au </w:t>
      </w:r>
      <w:r w:rsidRPr="00662006">
        <w:rPr>
          <w:lang w:val="fr-FR"/>
        </w:rPr>
        <w:t xml:space="preserve">rétablissement de la confiance entre les populations et les autorités locales, civiles et militaires. </w:t>
      </w:r>
    </w:p>
    <w:p w:rsidR="005605B9" w:rsidRPr="00662006" w:rsidRDefault="00972BD3" w:rsidP="00972BD3">
      <w:pPr>
        <w:jc w:val="both"/>
        <w:rPr>
          <w:lang w:val="fr-FR"/>
        </w:rPr>
      </w:pPr>
      <w:r w:rsidRPr="00662006">
        <w:rPr>
          <w:lang w:val="fr-FR"/>
        </w:rPr>
        <w:t xml:space="preserve">Ce projet comportait </w:t>
      </w:r>
      <w:r w:rsidR="00052EB9">
        <w:rPr>
          <w:lang w:val="fr-FR"/>
        </w:rPr>
        <w:t>deux</w:t>
      </w:r>
      <w:r w:rsidR="00052EB9" w:rsidRPr="00662006">
        <w:rPr>
          <w:lang w:val="fr-FR"/>
        </w:rPr>
        <w:t xml:space="preserve"> </w:t>
      </w:r>
      <w:r w:rsidRPr="00662006">
        <w:rPr>
          <w:lang w:val="fr-FR"/>
        </w:rPr>
        <w:t>volets : le processus de désarmement, démobilisation et réinsertion (DDR) des ex-combattants </w:t>
      </w:r>
      <w:r w:rsidR="00052EB9">
        <w:rPr>
          <w:lang w:val="fr-FR"/>
        </w:rPr>
        <w:t>et</w:t>
      </w:r>
      <w:r w:rsidRPr="00662006">
        <w:rPr>
          <w:lang w:val="fr-FR"/>
        </w:rPr>
        <w:t xml:space="preserve"> l’appui aux communautés de manière à garantir une réinsertion durable des ex-combattants</w:t>
      </w:r>
      <w:r w:rsidR="00052EB9">
        <w:rPr>
          <w:lang w:val="fr-FR"/>
        </w:rPr>
        <w:t>.</w:t>
      </w:r>
      <w:r w:rsidRPr="00662006">
        <w:rPr>
          <w:lang w:val="fr-FR"/>
        </w:rPr>
        <w:t> </w:t>
      </w:r>
    </w:p>
    <w:p w:rsidR="005F5C2C" w:rsidRPr="00662006" w:rsidRDefault="00C96D89" w:rsidP="00C96D89">
      <w:pPr>
        <w:jc w:val="both"/>
        <w:rPr>
          <w:lang w:val="fr-FR"/>
        </w:rPr>
      </w:pPr>
      <w:r>
        <w:rPr>
          <w:lang w:val="fr-FR"/>
        </w:rPr>
        <w:t xml:space="preserve">En vue de renforcer les liens entre la réinsertion individuelle des ex-combattants et les besoins des communautés d’accueil, le </w:t>
      </w:r>
      <w:r w:rsidRPr="00662006">
        <w:rPr>
          <w:lang w:val="fr-FR"/>
        </w:rPr>
        <w:t>« </w:t>
      </w:r>
      <w:r>
        <w:rPr>
          <w:lang w:val="fr-FR"/>
        </w:rPr>
        <w:t>P</w:t>
      </w:r>
      <w:r w:rsidRPr="00662006">
        <w:rPr>
          <w:lang w:val="fr-FR"/>
        </w:rPr>
        <w:t xml:space="preserve">rojet de </w:t>
      </w:r>
      <w:r>
        <w:rPr>
          <w:lang w:val="fr-FR"/>
        </w:rPr>
        <w:t>S</w:t>
      </w:r>
      <w:r w:rsidRPr="00662006">
        <w:rPr>
          <w:lang w:val="fr-FR"/>
        </w:rPr>
        <w:t xml:space="preserve">écurité </w:t>
      </w:r>
      <w:r>
        <w:rPr>
          <w:lang w:val="fr-FR"/>
        </w:rPr>
        <w:t>P</w:t>
      </w:r>
      <w:r w:rsidRPr="00662006">
        <w:rPr>
          <w:lang w:val="fr-FR"/>
        </w:rPr>
        <w:t xml:space="preserve">our le </w:t>
      </w:r>
      <w:r>
        <w:rPr>
          <w:lang w:val="fr-FR"/>
        </w:rPr>
        <w:t>D</w:t>
      </w:r>
      <w:r w:rsidRPr="00662006">
        <w:rPr>
          <w:lang w:val="fr-FR"/>
        </w:rPr>
        <w:t xml:space="preserve">éveloppement » </w:t>
      </w:r>
      <w:r>
        <w:rPr>
          <w:lang w:val="fr-FR"/>
        </w:rPr>
        <w:t xml:space="preserve">PSPD a été mis en place </w:t>
      </w:r>
      <w:r w:rsidR="00F142B7">
        <w:rPr>
          <w:lang w:val="fr-FR"/>
        </w:rPr>
        <w:t xml:space="preserve">à partir de 2006 </w:t>
      </w:r>
      <w:r>
        <w:rPr>
          <w:lang w:val="fr-FR"/>
        </w:rPr>
        <w:t>en vue de développer</w:t>
      </w:r>
      <w:r w:rsidR="00F142B7">
        <w:rPr>
          <w:lang w:val="fr-FR"/>
        </w:rPr>
        <w:t>,</w:t>
      </w:r>
      <w:r>
        <w:rPr>
          <w:lang w:val="fr-FR"/>
        </w:rPr>
        <w:t xml:space="preserve"> de manière plus conséquente</w:t>
      </w:r>
      <w:r w:rsidR="00F142B7">
        <w:rPr>
          <w:lang w:val="fr-FR"/>
        </w:rPr>
        <w:t>,</w:t>
      </w:r>
      <w:r>
        <w:rPr>
          <w:lang w:val="fr-FR"/>
        </w:rPr>
        <w:t xml:space="preserve"> l’appui aux communautés initié dans le cadre du PRAC. </w:t>
      </w:r>
      <w:r w:rsidR="00F142B7">
        <w:rPr>
          <w:lang w:val="fr-FR"/>
        </w:rPr>
        <w:t xml:space="preserve">Le PSPD </w:t>
      </w:r>
      <w:r>
        <w:rPr>
          <w:lang w:val="fr-FR"/>
        </w:rPr>
        <w:t xml:space="preserve">comprend trois axes de travail : </w:t>
      </w:r>
    </w:p>
    <w:p w:rsidR="00C96D89" w:rsidRDefault="00C96D89" w:rsidP="00C96D89">
      <w:pPr>
        <w:pStyle w:val="ListParagraph"/>
        <w:numPr>
          <w:ilvl w:val="0"/>
          <w:numId w:val="31"/>
        </w:numPr>
        <w:jc w:val="both"/>
        <w:rPr>
          <w:lang w:val="fr-FR"/>
        </w:rPr>
      </w:pPr>
      <w:r w:rsidRPr="00C96D89">
        <w:rPr>
          <w:lang w:val="fr-FR"/>
        </w:rPr>
        <w:t xml:space="preserve">la mise en place et l’appui au bon fonctionnement des fora locaux de concertation et de validation des priorités locales, </w:t>
      </w:r>
    </w:p>
    <w:p w:rsidR="00C96D89" w:rsidRDefault="00C96D89" w:rsidP="00C96D89">
      <w:pPr>
        <w:pStyle w:val="ListParagraph"/>
        <w:numPr>
          <w:ilvl w:val="0"/>
          <w:numId w:val="31"/>
        </w:numPr>
        <w:jc w:val="both"/>
        <w:rPr>
          <w:lang w:val="fr-FR"/>
        </w:rPr>
      </w:pPr>
      <w:r w:rsidRPr="00C96D89">
        <w:rPr>
          <w:lang w:val="fr-FR"/>
        </w:rPr>
        <w:t>le rétablissement d’un climat de confiance, notamment entre les autorités civiles et militaires et les différentes composantes de la population,</w:t>
      </w:r>
    </w:p>
    <w:p w:rsidR="00C96D89" w:rsidRPr="00C96D89" w:rsidRDefault="00C96D89" w:rsidP="00C96D89">
      <w:pPr>
        <w:pStyle w:val="ListParagraph"/>
        <w:numPr>
          <w:ilvl w:val="0"/>
          <w:numId w:val="31"/>
        </w:numPr>
        <w:jc w:val="both"/>
        <w:rPr>
          <w:lang w:val="fr-FR"/>
        </w:rPr>
      </w:pPr>
      <w:r w:rsidRPr="00C96D89">
        <w:rPr>
          <w:lang w:val="fr-FR"/>
        </w:rPr>
        <w:t>la mise en œuvre d’activités de réhabilitation d’infrastructures à caractère social productif, ainsi que des initiatives directement génératrices de revenus, au profit des communautés</w:t>
      </w:r>
    </w:p>
    <w:p w:rsidR="00F8164B" w:rsidRPr="008C3AB5" w:rsidRDefault="00EC5E44" w:rsidP="00EC5E44">
      <w:pPr>
        <w:jc w:val="both"/>
        <w:rPr>
          <w:lang w:val="fr-FR"/>
        </w:rPr>
      </w:pPr>
      <w:r w:rsidRPr="008C3AB5">
        <w:rPr>
          <w:lang w:val="fr-FR"/>
        </w:rPr>
        <w:lastRenderedPageBreak/>
        <w:t>Les ressources mobilisées pour l’ensemble des interventions du PSPD proviennent de la France (1.822.157 $US) et du PNUD (379.820 $US)</w:t>
      </w:r>
      <w:r w:rsidR="008C3AB5" w:rsidRPr="008C3AB5">
        <w:rPr>
          <w:lang w:val="fr-FR"/>
        </w:rPr>
        <w:t>.</w:t>
      </w:r>
      <w:r w:rsidRPr="008C3AB5">
        <w:rPr>
          <w:lang w:val="fr-FR"/>
        </w:rPr>
        <w:t xml:space="preserve"> </w:t>
      </w:r>
    </w:p>
    <w:p w:rsidR="00EC5E44" w:rsidRPr="00F8164B" w:rsidRDefault="00EC5E44" w:rsidP="00EC5E44">
      <w:pPr>
        <w:jc w:val="both"/>
        <w:rPr>
          <w:lang w:val="fr-FR"/>
        </w:rPr>
      </w:pPr>
      <w:r w:rsidRPr="00F8164B">
        <w:rPr>
          <w:lang w:val="fr-FR"/>
        </w:rPr>
        <w:t>Les principaux partenaires nationaux impliqués dans l’intervention sont le Ministère de l’économie, du plan et de la coopération internationale, la Commission Nationale de Désarment, Démobilisation et Réinsertion des Ex-combattants (CNPDR), le Ministère de la Défense nationale, le Ministère des Affaires Sociales et le Ministère de l’Intérieur.</w:t>
      </w:r>
    </w:p>
    <w:p w:rsidR="00DD0DAA" w:rsidRPr="00662006" w:rsidRDefault="007B3217" w:rsidP="00662006">
      <w:pPr>
        <w:jc w:val="both"/>
        <w:rPr>
          <w:lang w:val="fr-FR"/>
        </w:rPr>
      </w:pPr>
      <w:r w:rsidRPr="00662006">
        <w:rPr>
          <w:lang w:val="fr-FR"/>
        </w:rPr>
        <w:t xml:space="preserve">L’évaluation permettra de mettre en exergue les </w:t>
      </w:r>
      <w:r w:rsidR="00DD0DAA" w:rsidRPr="00662006">
        <w:rPr>
          <w:lang w:val="fr-FR"/>
        </w:rPr>
        <w:t xml:space="preserve">changements observés depuis le début de l’exécution et les facteurs qui y contribuent. </w:t>
      </w:r>
      <w:r w:rsidRPr="00662006">
        <w:rPr>
          <w:lang w:val="fr-FR"/>
        </w:rPr>
        <w:t>Elle pourrait aussi indiquer c</w:t>
      </w:r>
      <w:r w:rsidR="00DD0DAA" w:rsidRPr="00662006">
        <w:rPr>
          <w:lang w:val="fr-FR"/>
        </w:rPr>
        <w:t xml:space="preserve">omment </w:t>
      </w:r>
      <w:r w:rsidRPr="00662006">
        <w:rPr>
          <w:lang w:val="fr-FR"/>
        </w:rPr>
        <w:t xml:space="preserve">les résultats </w:t>
      </w:r>
      <w:r w:rsidR="00DD0DAA" w:rsidRPr="00662006">
        <w:rPr>
          <w:lang w:val="fr-FR"/>
        </w:rPr>
        <w:t>s’</w:t>
      </w:r>
      <w:r w:rsidRPr="00662006">
        <w:rPr>
          <w:lang w:val="fr-FR"/>
        </w:rPr>
        <w:t xml:space="preserve">inscrivent </w:t>
      </w:r>
      <w:r w:rsidR="00DD0DAA" w:rsidRPr="00662006">
        <w:rPr>
          <w:lang w:val="fr-FR"/>
        </w:rPr>
        <w:t xml:space="preserve">dans les stratégies et les priorités du gouvernement , les objectifs de développement internationaux, régionaux et nationaux, les stratégies et les structures, les objectifs et les priorités  du PNUD ainsi que les programmes internationaux, régionaux et nationaux du PNUD, le cas échéant. </w:t>
      </w:r>
    </w:p>
    <w:p w:rsidR="00DD0DAA" w:rsidRPr="00662006" w:rsidRDefault="007B3217" w:rsidP="00662006">
      <w:pPr>
        <w:jc w:val="both"/>
        <w:rPr>
          <w:lang w:val="fr-FR"/>
        </w:rPr>
      </w:pPr>
      <w:r w:rsidRPr="00662006">
        <w:rPr>
          <w:lang w:val="fr-FR"/>
        </w:rPr>
        <w:t xml:space="preserve">Les éléments de </w:t>
      </w:r>
      <w:r w:rsidR="00DD0DAA" w:rsidRPr="00662006">
        <w:rPr>
          <w:lang w:val="fr-FR"/>
        </w:rPr>
        <w:t xml:space="preserve">cette évaluation </w:t>
      </w:r>
      <w:r w:rsidRPr="00662006">
        <w:rPr>
          <w:lang w:val="fr-FR"/>
        </w:rPr>
        <w:t xml:space="preserve">doivent </w:t>
      </w:r>
      <w:r w:rsidR="00DD0DAA" w:rsidRPr="00662006">
        <w:rPr>
          <w:lang w:val="fr-FR"/>
        </w:rPr>
        <w:t>correspond</w:t>
      </w:r>
      <w:r w:rsidRPr="00662006">
        <w:rPr>
          <w:lang w:val="fr-FR"/>
        </w:rPr>
        <w:t>re</w:t>
      </w:r>
      <w:r w:rsidR="00DD0DAA" w:rsidRPr="00662006">
        <w:rPr>
          <w:lang w:val="fr-FR"/>
        </w:rPr>
        <w:t xml:space="preserve"> au contexte d’autres évaluations précédentes ou en cours et au cycle d’évaluation. </w:t>
      </w:r>
      <w:r w:rsidRPr="00662006">
        <w:rPr>
          <w:lang w:val="fr-FR"/>
        </w:rPr>
        <w:t xml:space="preserve">Ils doivent prendre en compte la </w:t>
      </w:r>
      <w:r w:rsidR="00DD0DAA" w:rsidRPr="00662006">
        <w:rPr>
          <w:lang w:val="fr-FR"/>
        </w:rPr>
        <w:t xml:space="preserve">proposition de financement initial, </w:t>
      </w:r>
      <w:r w:rsidRPr="00662006">
        <w:rPr>
          <w:lang w:val="fr-FR"/>
        </w:rPr>
        <w:t xml:space="preserve">les </w:t>
      </w:r>
      <w:r w:rsidR="00DD0DAA" w:rsidRPr="00662006">
        <w:rPr>
          <w:lang w:val="fr-FR"/>
        </w:rPr>
        <w:t xml:space="preserve">plans stratégiques, </w:t>
      </w:r>
      <w:r w:rsidRPr="00662006">
        <w:rPr>
          <w:lang w:val="fr-FR"/>
        </w:rPr>
        <w:t xml:space="preserve">le </w:t>
      </w:r>
      <w:r w:rsidR="00DD0DAA" w:rsidRPr="00662006">
        <w:rPr>
          <w:lang w:val="fr-FR"/>
        </w:rPr>
        <w:t xml:space="preserve">cadre logique ou théorie de changement, </w:t>
      </w:r>
      <w:r w:rsidRPr="00662006">
        <w:rPr>
          <w:lang w:val="fr-FR"/>
        </w:rPr>
        <w:t xml:space="preserve">les </w:t>
      </w:r>
      <w:r w:rsidR="00DD0DAA" w:rsidRPr="00662006">
        <w:rPr>
          <w:lang w:val="fr-FR"/>
        </w:rPr>
        <w:t>plans de surveillance et indicateurs</w:t>
      </w:r>
      <w:r w:rsidRPr="00662006">
        <w:rPr>
          <w:lang w:val="fr-FR"/>
        </w:rPr>
        <w:t xml:space="preserve">. Ces derniers </w:t>
      </w:r>
      <w:r w:rsidR="00DD0DAA" w:rsidRPr="00662006">
        <w:rPr>
          <w:lang w:val="fr-FR"/>
        </w:rPr>
        <w:t xml:space="preserve">doivent être incorporés ou indiqués en référence dans les annexes via des liens sur Internet ou d’autres moyens de communication. </w:t>
      </w:r>
    </w:p>
    <w:p w:rsidR="007B3217" w:rsidRPr="00702139" w:rsidRDefault="007B3217" w:rsidP="00702139">
      <w:pPr>
        <w:pStyle w:val="p0"/>
        <w:tabs>
          <w:tab w:val="clear" w:pos="720"/>
        </w:tabs>
        <w:snapToGrid/>
        <w:spacing w:line="240" w:lineRule="auto"/>
        <w:rPr>
          <w:snapToGrid w:val="0"/>
          <w:szCs w:val="24"/>
          <w:lang w:eastAsia="en-US"/>
        </w:rPr>
      </w:pPr>
    </w:p>
    <w:p w:rsidR="00DD0DAA" w:rsidRPr="00DD0DAA" w:rsidRDefault="00DD0DAA" w:rsidP="00DD0DAA">
      <w:pPr>
        <w:spacing w:after="0" w:line="312" w:lineRule="auto"/>
        <w:outlineLvl w:val="5"/>
        <w:rPr>
          <w:rFonts w:ascii="Trebuchet MS" w:eastAsia="Times New Roman" w:hAnsi="Trebuchet MS" w:cs="Times New Roman"/>
          <w:color w:val="003399"/>
          <w:sz w:val="26"/>
          <w:szCs w:val="26"/>
          <w:lang w:val="fr-FR"/>
        </w:rPr>
      </w:pPr>
      <w:r w:rsidRPr="00DD0DAA">
        <w:rPr>
          <w:rFonts w:ascii="Trebuchet MS" w:eastAsia="Times New Roman" w:hAnsi="Trebuchet MS" w:cs="Times New Roman"/>
          <w:color w:val="003399"/>
          <w:sz w:val="26"/>
          <w:szCs w:val="26"/>
          <w:lang w:val="fr-FR"/>
        </w:rPr>
        <w:t xml:space="preserve">2. Objet de l’évaluation </w:t>
      </w:r>
    </w:p>
    <w:p w:rsidR="00E83E0A" w:rsidRPr="00662006" w:rsidRDefault="00E83E0A" w:rsidP="00662006">
      <w:pPr>
        <w:jc w:val="both"/>
        <w:rPr>
          <w:lang w:val="fr-FR"/>
        </w:rPr>
      </w:pPr>
      <w:r w:rsidRPr="00662006">
        <w:rPr>
          <w:lang w:val="fr-FR"/>
        </w:rPr>
        <w:t>Décrire</w:t>
      </w:r>
      <w:r w:rsidR="005C6F81" w:rsidRPr="00662006">
        <w:rPr>
          <w:lang w:val="fr-FR"/>
        </w:rPr>
        <w:t xml:space="preserve"> les changements enregistrés </w:t>
      </w:r>
      <w:r w:rsidRPr="00662006">
        <w:rPr>
          <w:lang w:val="fr-FR"/>
        </w:rPr>
        <w:t>à la fin du projet, mesurer leurs pertinences par rapport aux résultats attendus du projet et  indiquer les leçons apprises ;</w:t>
      </w:r>
    </w:p>
    <w:p w:rsidR="00E83E0A" w:rsidRPr="00662006" w:rsidRDefault="00E83E0A" w:rsidP="00662006">
      <w:pPr>
        <w:jc w:val="both"/>
        <w:rPr>
          <w:lang w:val="fr-FR"/>
        </w:rPr>
      </w:pPr>
      <w:r w:rsidRPr="00662006">
        <w:rPr>
          <w:lang w:val="fr-FR"/>
        </w:rPr>
        <w:t>Fournir des informations qui pourraient être utilisées pour formuler des recommandations pertinentes visant à améliorer la formulation, la mise en œuvre et le suivi des interventions futures</w:t>
      </w:r>
      <w:r w:rsidR="003E180B">
        <w:rPr>
          <w:lang w:val="fr-FR"/>
        </w:rPr>
        <w:t> ;</w:t>
      </w:r>
      <w:r w:rsidRPr="00662006">
        <w:rPr>
          <w:lang w:val="fr-FR"/>
        </w:rPr>
        <w:t xml:space="preserve"> </w:t>
      </w:r>
    </w:p>
    <w:p w:rsidR="00DD0DAA" w:rsidRPr="00E83E0A" w:rsidRDefault="00DD0DAA" w:rsidP="00DD0DAA">
      <w:pPr>
        <w:spacing w:after="0" w:line="312" w:lineRule="auto"/>
        <w:outlineLvl w:val="5"/>
        <w:rPr>
          <w:rFonts w:ascii="Trebuchet MS" w:eastAsia="Times New Roman" w:hAnsi="Trebuchet MS" w:cs="Times New Roman"/>
          <w:b/>
          <w:bCs/>
          <w:color w:val="003399"/>
          <w:sz w:val="26"/>
          <w:szCs w:val="26"/>
          <w:lang w:val="fr-FR"/>
        </w:rPr>
      </w:pPr>
      <w:r w:rsidRPr="00DD0DAA">
        <w:rPr>
          <w:rFonts w:ascii="Trebuchet MS" w:eastAsia="Times New Roman" w:hAnsi="Trebuchet MS" w:cs="Times New Roman"/>
          <w:color w:val="003399"/>
          <w:sz w:val="26"/>
          <w:szCs w:val="26"/>
          <w:lang w:val="fr-FR"/>
        </w:rPr>
        <w:t xml:space="preserve">3. </w:t>
      </w:r>
      <w:r w:rsidRPr="00E83E0A">
        <w:rPr>
          <w:rFonts w:ascii="Trebuchet MS" w:eastAsia="Times New Roman" w:hAnsi="Trebuchet MS" w:cs="Times New Roman"/>
          <w:color w:val="003399"/>
          <w:sz w:val="26"/>
          <w:szCs w:val="26"/>
          <w:lang w:val="fr-FR"/>
        </w:rPr>
        <w:t xml:space="preserve">Portée </w:t>
      </w:r>
      <w:r w:rsidRPr="00E83E0A">
        <w:rPr>
          <w:rFonts w:ascii="Trebuchet MS" w:eastAsia="Times New Roman" w:hAnsi="Trebuchet MS" w:cs="Times New Roman"/>
          <w:b/>
          <w:bCs/>
          <w:color w:val="003399"/>
          <w:sz w:val="26"/>
          <w:szCs w:val="26"/>
          <w:lang w:val="fr-FR"/>
        </w:rPr>
        <w:t>de l’évaluation et objectifs</w:t>
      </w:r>
    </w:p>
    <w:p w:rsidR="00FC7523" w:rsidRPr="00662006" w:rsidRDefault="00E83E0A" w:rsidP="00FC7523">
      <w:pPr>
        <w:spacing w:after="0" w:line="312" w:lineRule="auto"/>
        <w:rPr>
          <w:lang w:val="fr-FR"/>
        </w:rPr>
      </w:pPr>
      <w:r w:rsidRPr="00662006">
        <w:rPr>
          <w:lang w:val="fr-FR"/>
        </w:rPr>
        <w:t xml:space="preserve">De manière pratique, l’évaluation devra se </w:t>
      </w:r>
      <w:r w:rsidR="003E180B" w:rsidRPr="00662006">
        <w:rPr>
          <w:lang w:val="fr-FR"/>
        </w:rPr>
        <w:t>con</w:t>
      </w:r>
      <w:r w:rsidR="003E180B">
        <w:rPr>
          <w:lang w:val="fr-FR"/>
        </w:rPr>
        <w:t>centrer</w:t>
      </w:r>
      <w:r w:rsidR="003E180B" w:rsidRPr="00662006">
        <w:rPr>
          <w:lang w:val="fr-FR"/>
        </w:rPr>
        <w:t xml:space="preserve"> </w:t>
      </w:r>
      <w:r w:rsidRPr="00662006">
        <w:rPr>
          <w:lang w:val="fr-FR"/>
        </w:rPr>
        <w:t>sur l</w:t>
      </w:r>
      <w:r w:rsidR="00FC7523" w:rsidRPr="00662006">
        <w:rPr>
          <w:lang w:val="fr-FR"/>
        </w:rPr>
        <w:t xml:space="preserve">es résultats attendus des interventions. Il s’agit notamment de : </w:t>
      </w:r>
    </w:p>
    <w:p w:rsidR="00FC7523" w:rsidRPr="00662006" w:rsidRDefault="00FC7523" w:rsidP="00FC7523">
      <w:pPr>
        <w:pStyle w:val="ListParagraph"/>
        <w:numPr>
          <w:ilvl w:val="0"/>
          <w:numId w:val="12"/>
        </w:numPr>
        <w:spacing w:after="0" w:line="312" w:lineRule="auto"/>
        <w:jc w:val="both"/>
        <w:rPr>
          <w:lang w:val="fr-FR"/>
        </w:rPr>
      </w:pPr>
      <w:r w:rsidRPr="00662006">
        <w:rPr>
          <w:lang w:val="fr-FR"/>
        </w:rPr>
        <w:t>Les comités de concertation et de validation de projets au niveau local, sont</w:t>
      </w:r>
      <w:r w:rsidR="003E180B">
        <w:rPr>
          <w:lang w:val="fr-FR"/>
        </w:rPr>
        <w:t>-</w:t>
      </w:r>
      <w:r w:rsidRPr="00662006">
        <w:rPr>
          <w:lang w:val="fr-FR"/>
        </w:rPr>
        <w:t xml:space="preserve">ils opérationnels ? Comment ont-ils contribué au changement en terme de résolution des conflits, de promotion des projets et à la réalisation des activités pour le retour de la paix et du processus de développement ? </w:t>
      </w:r>
    </w:p>
    <w:p w:rsidR="00FC7523" w:rsidRPr="00662006" w:rsidRDefault="00FC7523" w:rsidP="00FC7523">
      <w:pPr>
        <w:pStyle w:val="ListParagraph"/>
        <w:numPr>
          <w:ilvl w:val="0"/>
          <w:numId w:val="12"/>
        </w:numPr>
        <w:spacing w:after="0" w:line="312" w:lineRule="auto"/>
        <w:jc w:val="both"/>
        <w:rPr>
          <w:lang w:val="fr-FR"/>
        </w:rPr>
      </w:pPr>
      <w:r w:rsidRPr="00662006">
        <w:rPr>
          <w:lang w:val="fr-FR"/>
        </w:rPr>
        <w:t xml:space="preserve">Un climat de confiance entre autorités locales et communautés est il établi ? Comment est-il entretenu ? Qui sont les principaux acteurs ? Qu’est ce qui est fait pour le pérenniser ? </w:t>
      </w:r>
    </w:p>
    <w:p w:rsidR="00E83E0A" w:rsidRPr="00662006" w:rsidRDefault="00FC7523" w:rsidP="00FC7523">
      <w:pPr>
        <w:pStyle w:val="ListParagraph"/>
        <w:numPr>
          <w:ilvl w:val="0"/>
          <w:numId w:val="12"/>
        </w:numPr>
        <w:spacing w:after="0" w:line="312" w:lineRule="auto"/>
        <w:jc w:val="both"/>
        <w:rPr>
          <w:lang w:val="fr-FR"/>
        </w:rPr>
      </w:pPr>
      <w:r w:rsidRPr="00662006">
        <w:rPr>
          <w:lang w:val="fr-FR"/>
        </w:rPr>
        <w:t xml:space="preserve">Des micro projets ont-ils été réalisés avec une participation communautaire importante ? lesquels ? Quel est leur impact ? Comment est il pérennisé ? </w:t>
      </w:r>
      <w:r w:rsidR="00E83E0A" w:rsidRPr="00662006">
        <w:rPr>
          <w:rFonts w:eastAsia="Times New Roman" w:cs="Times New Roman"/>
          <w:bCs/>
          <w:color w:val="333333"/>
          <w:lang w:val="fr-FR"/>
        </w:rPr>
        <w:t xml:space="preserve"> </w:t>
      </w:r>
    </w:p>
    <w:p w:rsidR="000556CF" w:rsidRPr="00662006" w:rsidRDefault="00FC7523" w:rsidP="00FC7523">
      <w:pPr>
        <w:pStyle w:val="ListParagraph"/>
        <w:numPr>
          <w:ilvl w:val="0"/>
          <w:numId w:val="12"/>
        </w:numPr>
        <w:spacing w:after="0" w:line="312" w:lineRule="auto"/>
        <w:jc w:val="both"/>
        <w:rPr>
          <w:lang w:val="fr-FR"/>
        </w:rPr>
      </w:pPr>
      <w:r w:rsidRPr="00662006">
        <w:rPr>
          <w:rFonts w:eastAsia="Times New Roman" w:cs="Times New Roman"/>
          <w:bCs/>
          <w:color w:val="333333"/>
          <w:lang w:val="fr-FR"/>
        </w:rPr>
        <w:t xml:space="preserve">Si les avancées sont insuffisantes </w:t>
      </w:r>
      <w:r w:rsidR="000556CF" w:rsidRPr="00662006">
        <w:rPr>
          <w:rFonts w:eastAsia="Times New Roman" w:cs="Times New Roman"/>
          <w:bCs/>
          <w:color w:val="333333"/>
          <w:lang w:val="fr-FR"/>
        </w:rPr>
        <w:t>ou s’il y a eu des blocages</w:t>
      </w:r>
      <w:r w:rsidR="003E180B">
        <w:rPr>
          <w:rFonts w:eastAsia="Times New Roman" w:cs="Times New Roman"/>
          <w:bCs/>
          <w:color w:val="333333"/>
          <w:lang w:val="fr-FR"/>
        </w:rPr>
        <w:t>,</w:t>
      </w:r>
      <w:r w:rsidR="000556CF" w:rsidRPr="00662006">
        <w:rPr>
          <w:rFonts w:eastAsia="Times New Roman" w:cs="Times New Roman"/>
          <w:bCs/>
          <w:color w:val="333333"/>
          <w:lang w:val="fr-FR"/>
        </w:rPr>
        <w:t xml:space="preserve"> l’évaluation devrait les faire ressortir, les analyse</w:t>
      </w:r>
      <w:r w:rsidR="003E180B">
        <w:rPr>
          <w:rFonts w:eastAsia="Times New Roman" w:cs="Times New Roman"/>
          <w:bCs/>
          <w:color w:val="333333"/>
          <w:lang w:val="fr-FR"/>
        </w:rPr>
        <w:t>r</w:t>
      </w:r>
      <w:r w:rsidR="000556CF" w:rsidRPr="00662006">
        <w:rPr>
          <w:rFonts w:eastAsia="Times New Roman" w:cs="Times New Roman"/>
          <w:bCs/>
          <w:color w:val="333333"/>
          <w:lang w:val="fr-FR"/>
        </w:rPr>
        <w:t xml:space="preserve"> et fournir des options pour le futur.</w:t>
      </w:r>
    </w:p>
    <w:p w:rsidR="00DD0DAA" w:rsidRPr="00662006" w:rsidRDefault="000556CF" w:rsidP="000556CF">
      <w:pPr>
        <w:pStyle w:val="ListParagraph"/>
        <w:numPr>
          <w:ilvl w:val="0"/>
          <w:numId w:val="12"/>
        </w:numPr>
        <w:spacing w:after="0" w:line="312" w:lineRule="auto"/>
        <w:jc w:val="both"/>
        <w:rPr>
          <w:lang w:val="fr-FR"/>
        </w:rPr>
      </w:pPr>
      <w:r w:rsidRPr="00662006">
        <w:rPr>
          <w:rFonts w:eastAsia="Times New Roman" w:cs="Times New Roman"/>
          <w:bCs/>
          <w:color w:val="333333"/>
          <w:lang w:val="fr-FR"/>
        </w:rPr>
        <w:lastRenderedPageBreak/>
        <w:t xml:space="preserve">Enfin l’évaluation devra mettre un accent particulier sur </w:t>
      </w:r>
      <w:r w:rsidR="00DD0DAA" w:rsidRPr="00662006">
        <w:rPr>
          <w:rFonts w:eastAsia="Times New Roman" w:cs="Times New Roman"/>
          <w:bCs/>
          <w:color w:val="333333"/>
          <w:lang w:val="fr-FR"/>
        </w:rPr>
        <w:t>la pertinence, l’efficience, l’efficacité, la durabilité ou l’impact de l’intervention</w:t>
      </w:r>
      <w:r w:rsidRPr="00662006">
        <w:rPr>
          <w:rFonts w:eastAsia="Times New Roman" w:cs="Times New Roman"/>
          <w:bCs/>
          <w:color w:val="333333"/>
          <w:lang w:val="fr-FR"/>
        </w:rPr>
        <w:t xml:space="preserve"> du projet, en mettant en lumière </w:t>
      </w:r>
      <w:r w:rsidR="00DD0DAA" w:rsidRPr="00662006">
        <w:rPr>
          <w:rFonts w:eastAsia="Times New Roman" w:cs="Times New Roman"/>
          <w:bCs/>
          <w:color w:val="333333"/>
          <w:lang w:val="fr-FR"/>
        </w:rPr>
        <w:t xml:space="preserve">l’application des droits basés sur l’approche </w:t>
      </w:r>
      <w:r w:rsidR="003E180B">
        <w:rPr>
          <w:rFonts w:eastAsia="Times New Roman" w:cs="Times New Roman"/>
          <w:bCs/>
          <w:color w:val="333333"/>
          <w:lang w:val="fr-FR"/>
        </w:rPr>
        <w:t xml:space="preserve">droits humains </w:t>
      </w:r>
      <w:r w:rsidR="00DD0DAA" w:rsidRPr="00662006">
        <w:rPr>
          <w:rFonts w:eastAsia="Times New Roman" w:cs="Times New Roman"/>
          <w:bCs/>
          <w:color w:val="333333"/>
          <w:lang w:val="fr-FR"/>
        </w:rPr>
        <w:t xml:space="preserve">et les facteurs de spécificité de genre dans les efforts </w:t>
      </w:r>
      <w:r w:rsidRPr="00662006">
        <w:rPr>
          <w:rFonts w:eastAsia="Times New Roman" w:cs="Times New Roman"/>
          <w:bCs/>
          <w:color w:val="333333"/>
          <w:lang w:val="fr-FR"/>
        </w:rPr>
        <w:t>consentis dans le déroulement du projet</w:t>
      </w:r>
      <w:r w:rsidR="00DD0DAA" w:rsidRPr="00662006">
        <w:rPr>
          <w:rFonts w:eastAsia="Times New Roman" w:cs="Times New Roman"/>
          <w:bCs/>
          <w:color w:val="333333"/>
          <w:lang w:val="fr-FR"/>
        </w:rPr>
        <w:t>.</w:t>
      </w:r>
    </w:p>
    <w:p w:rsidR="000556CF" w:rsidRPr="00662006" w:rsidRDefault="000556CF" w:rsidP="000556CF">
      <w:pPr>
        <w:pStyle w:val="ListParagraph"/>
        <w:spacing w:after="0" w:line="312" w:lineRule="auto"/>
        <w:ind w:left="1080"/>
        <w:jc w:val="both"/>
        <w:rPr>
          <w:rFonts w:eastAsia="Times New Roman" w:cs="Times New Roman"/>
          <w:bCs/>
          <w:color w:val="333333"/>
          <w:lang w:val="fr-FR"/>
        </w:rPr>
      </w:pPr>
    </w:p>
    <w:p w:rsidR="00DD0DAA" w:rsidRPr="000556CF" w:rsidRDefault="00DD0DAA" w:rsidP="000556CF">
      <w:pPr>
        <w:spacing w:after="0" w:line="312" w:lineRule="auto"/>
        <w:outlineLvl w:val="5"/>
        <w:rPr>
          <w:rFonts w:ascii="Trebuchet MS" w:eastAsia="Times New Roman" w:hAnsi="Trebuchet MS" w:cs="Times New Roman"/>
          <w:color w:val="003399"/>
          <w:sz w:val="26"/>
          <w:szCs w:val="26"/>
          <w:lang w:val="fr-FR"/>
        </w:rPr>
      </w:pPr>
      <w:r w:rsidRPr="000556CF">
        <w:rPr>
          <w:rFonts w:ascii="Trebuchet MS" w:eastAsia="Times New Roman" w:hAnsi="Trebuchet MS" w:cs="Times New Roman"/>
          <w:color w:val="003399"/>
          <w:sz w:val="26"/>
          <w:szCs w:val="26"/>
          <w:lang w:val="fr-FR"/>
        </w:rPr>
        <w:t xml:space="preserve">4. Questions relatives à l’évaluation </w:t>
      </w:r>
    </w:p>
    <w:p w:rsidR="00DD0DAA" w:rsidRPr="003861B6" w:rsidRDefault="002C2941" w:rsidP="00DD0DAA">
      <w:pPr>
        <w:spacing w:before="100" w:beforeAutospacing="1" w:after="100" w:afterAutospacing="1" w:line="312" w:lineRule="auto"/>
        <w:rPr>
          <w:rFonts w:eastAsia="Times New Roman" w:cs="Times New Roman"/>
          <w:bCs/>
          <w:color w:val="333333"/>
          <w:szCs w:val="20"/>
          <w:lang w:val="fr-FR"/>
        </w:rPr>
      </w:pPr>
      <w:r w:rsidRPr="003861B6">
        <w:rPr>
          <w:rFonts w:eastAsia="Times New Roman" w:cs="Times New Roman"/>
          <w:bCs/>
          <w:color w:val="333333"/>
          <w:szCs w:val="20"/>
          <w:lang w:val="fr-FR"/>
        </w:rPr>
        <w:t xml:space="preserve">Plus singulièrement l’évaluation pourra fournir des réponses aux questions suivantes : </w:t>
      </w:r>
    </w:p>
    <w:p w:rsidR="00DD0DAA" w:rsidRPr="003861B6" w:rsidRDefault="00DD0DAA" w:rsidP="00DD0DAA">
      <w:pPr>
        <w:numPr>
          <w:ilvl w:val="0"/>
          <w:numId w:val="3"/>
        </w:numPr>
        <w:spacing w:before="100" w:beforeAutospacing="1" w:after="100" w:afterAutospacing="1" w:line="312" w:lineRule="auto"/>
        <w:rPr>
          <w:rFonts w:eastAsia="Times New Roman" w:cs="Times New Roman"/>
          <w:bCs/>
          <w:color w:val="333333"/>
          <w:szCs w:val="20"/>
          <w:lang w:val="fr-FR"/>
        </w:rPr>
      </w:pPr>
      <w:r w:rsidRPr="003861B6">
        <w:rPr>
          <w:rFonts w:eastAsia="Times New Roman" w:cs="Times New Roman"/>
          <w:bCs/>
          <w:color w:val="333333"/>
          <w:szCs w:val="20"/>
          <w:lang w:val="fr-FR"/>
        </w:rPr>
        <w:t xml:space="preserve">Les effets ou produits ont-ils été atteints ? </w:t>
      </w:r>
    </w:p>
    <w:p w:rsidR="00DD0DAA" w:rsidRPr="003861B6" w:rsidRDefault="00DD0DAA" w:rsidP="00DD0DAA">
      <w:pPr>
        <w:numPr>
          <w:ilvl w:val="0"/>
          <w:numId w:val="3"/>
        </w:numPr>
        <w:spacing w:before="100" w:beforeAutospacing="1" w:after="100" w:afterAutospacing="1" w:line="312" w:lineRule="auto"/>
        <w:rPr>
          <w:rFonts w:eastAsia="Times New Roman" w:cs="Times New Roman"/>
          <w:bCs/>
          <w:color w:val="333333"/>
          <w:szCs w:val="20"/>
          <w:lang w:val="fr-FR"/>
        </w:rPr>
      </w:pPr>
      <w:r w:rsidRPr="003861B6">
        <w:rPr>
          <w:rFonts w:eastAsia="Times New Roman" w:cs="Times New Roman"/>
          <w:bCs/>
          <w:color w:val="333333"/>
          <w:szCs w:val="20"/>
          <w:lang w:val="fr-FR"/>
        </w:rPr>
        <w:t xml:space="preserve">Quels progrès ont été réalisés en matière d’effets ? </w:t>
      </w:r>
    </w:p>
    <w:p w:rsidR="00DD0DAA" w:rsidRPr="003861B6" w:rsidRDefault="00DD0DAA" w:rsidP="00DD0DAA">
      <w:pPr>
        <w:numPr>
          <w:ilvl w:val="0"/>
          <w:numId w:val="3"/>
        </w:numPr>
        <w:spacing w:before="100" w:beforeAutospacing="1" w:after="100" w:afterAutospacing="1" w:line="312" w:lineRule="auto"/>
        <w:rPr>
          <w:rFonts w:eastAsia="Times New Roman" w:cs="Times New Roman"/>
          <w:bCs/>
          <w:color w:val="333333"/>
          <w:szCs w:val="20"/>
          <w:lang w:val="fr-FR"/>
        </w:rPr>
      </w:pPr>
      <w:r w:rsidRPr="003861B6">
        <w:rPr>
          <w:rFonts w:eastAsia="Times New Roman" w:cs="Times New Roman"/>
          <w:bCs/>
          <w:color w:val="333333"/>
          <w:szCs w:val="20"/>
          <w:lang w:val="fr-FR"/>
        </w:rPr>
        <w:t xml:space="preserve">Quels facteurs ont contribué à atteindre ou ne pas atteindre les effets escomptés ? </w:t>
      </w:r>
    </w:p>
    <w:p w:rsidR="00DD0DAA" w:rsidRPr="003861B6" w:rsidRDefault="00DD0DAA" w:rsidP="00DD0DAA">
      <w:pPr>
        <w:numPr>
          <w:ilvl w:val="0"/>
          <w:numId w:val="3"/>
        </w:numPr>
        <w:spacing w:before="100" w:beforeAutospacing="1" w:after="100" w:afterAutospacing="1" w:line="312" w:lineRule="auto"/>
        <w:rPr>
          <w:rFonts w:eastAsia="Times New Roman" w:cs="Times New Roman"/>
          <w:bCs/>
          <w:color w:val="333333"/>
          <w:szCs w:val="20"/>
          <w:lang w:val="fr-FR"/>
        </w:rPr>
      </w:pPr>
      <w:r w:rsidRPr="003861B6">
        <w:rPr>
          <w:rFonts w:eastAsia="Times New Roman" w:cs="Times New Roman"/>
          <w:bCs/>
          <w:color w:val="333333"/>
          <w:szCs w:val="20"/>
          <w:lang w:val="fr-FR"/>
        </w:rPr>
        <w:t xml:space="preserve">Dans quelle mesure les effets du PNUD ont contribué aux produits ? </w:t>
      </w:r>
    </w:p>
    <w:p w:rsidR="00DD0DAA" w:rsidRPr="003861B6" w:rsidRDefault="00DD0DAA" w:rsidP="00DD0DAA">
      <w:pPr>
        <w:numPr>
          <w:ilvl w:val="0"/>
          <w:numId w:val="3"/>
        </w:numPr>
        <w:spacing w:before="100" w:beforeAutospacing="1" w:after="100" w:afterAutospacing="1" w:line="312" w:lineRule="auto"/>
        <w:rPr>
          <w:rFonts w:eastAsia="Times New Roman" w:cs="Times New Roman"/>
          <w:bCs/>
          <w:color w:val="333333"/>
          <w:szCs w:val="20"/>
          <w:lang w:val="fr-FR"/>
        </w:rPr>
      </w:pPr>
      <w:r w:rsidRPr="003861B6">
        <w:rPr>
          <w:rFonts w:eastAsia="Times New Roman" w:cs="Times New Roman"/>
          <w:bCs/>
          <w:color w:val="333333"/>
          <w:szCs w:val="20"/>
          <w:lang w:val="fr-FR"/>
        </w:rPr>
        <w:t xml:space="preserve">La stratégie de partenariat du PNUD a-t-elle été appropriée et efficace ? </w:t>
      </w:r>
    </w:p>
    <w:p w:rsidR="00DD0DAA" w:rsidRPr="003861B6" w:rsidRDefault="00DD0DAA" w:rsidP="00DD0DAA">
      <w:pPr>
        <w:numPr>
          <w:ilvl w:val="0"/>
          <w:numId w:val="3"/>
        </w:numPr>
        <w:spacing w:before="100" w:beforeAutospacing="1" w:after="100" w:afterAutospacing="1" w:line="312" w:lineRule="auto"/>
        <w:rPr>
          <w:rFonts w:eastAsia="Times New Roman" w:cs="Times New Roman"/>
          <w:bCs/>
          <w:color w:val="333333"/>
          <w:szCs w:val="20"/>
          <w:lang w:val="fr-FR"/>
        </w:rPr>
      </w:pPr>
      <w:r w:rsidRPr="003861B6">
        <w:rPr>
          <w:rFonts w:eastAsia="Times New Roman" w:cs="Times New Roman"/>
          <w:bCs/>
          <w:color w:val="333333"/>
          <w:szCs w:val="20"/>
          <w:lang w:val="fr-FR"/>
        </w:rPr>
        <w:t xml:space="preserve">Quels facteurs ont contribué à l’efficacité ou l’inefficacité ? </w:t>
      </w:r>
    </w:p>
    <w:p w:rsidR="00DD0DAA" w:rsidRPr="002C2941" w:rsidRDefault="00DD0DAA" w:rsidP="002C2941">
      <w:pPr>
        <w:spacing w:after="0" w:line="312" w:lineRule="auto"/>
        <w:outlineLvl w:val="5"/>
        <w:rPr>
          <w:rFonts w:ascii="Trebuchet MS" w:eastAsia="Times New Roman" w:hAnsi="Trebuchet MS" w:cs="Times New Roman"/>
          <w:color w:val="003399"/>
          <w:sz w:val="26"/>
          <w:szCs w:val="26"/>
          <w:lang w:val="fr-FR"/>
        </w:rPr>
      </w:pPr>
      <w:r w:rsidRPr="002C2941">
        <w:rPr>
          <w:rFonts w:ascii="Trebuchet MS" w:eastAsia="Times New Roman" w:hAnsi="Trebuchet MS" w:cs="Times New Roman"/>
          <w:color w:val="003399"/>
          <w:sz w:val="26"/>
          <w:szCs w:val="26"/>
          <w:lang w:val="fr-FR"/>
        </w:rPr>
        <w:t> 5. Méthodologie</w:t>
      </w:r>
    </w:p>
    <w:p w:rsidR="002C2941" w:rsidRPr="003861B6" w:rsidRDefault="002C2941" w:rsidP="003324A2">
      <w:pPr>
        <w:spacing w:before="100" w:beforeAutospacing="1" w:after="100" w:afterAutospacing="1" w:line="312" w:lineRule="auto"/>
        <w:jc w:val="both"/>
        <w:rPr>
          <w:rFonts w:eastAsia="Times New Roman" w:cs="Times New Roman"/>
          <w:bCs/>
          <w:color w:val="333333"/>
          <w:lang w:val="fr-FR"/>
        </w:rPr>
      </w:pPr>
      <w:r w:rsidRPr="003861B6">
        <w:rPr>
          <w:rFonts w:eastAsia="Times New Roman" w:cs="Times New Roman"/>
          <w:bCs/>
          <w:color w:val="333333"/>
          <w:lang w:val="fr-FR"/>
        </w:rPr>
        <w:t xml:space="preserve">L’évaluation est envisagée à un moment où </w:t>
      </w:r>
      <w:r w:rsidR="003324A2" w:rsidRPr="003861B6">
        <w:rPr>
          <w:rFonts w:eastAsia="Times New Roman" w:cs="Times New Roman"/>
          <w:bCs/>
          <w:color w:val="333333"/>
          <w:lang w:val="fr-FR"/>
        </w:rPr>
        <w:t xml:space="preserve">dans la </w:t>
      </w:r>
      <w:r w:rsidRPr="003861B6">
        <w:rPr>
          <w:rFonts w:eastAsia="Times New Roman" w:cs="Times New Roman"/>
          <w:bCs/>
          <w:color w:val="333333"/>
          <w:lang w:val="fr-FR"/>
        </w:rPr>
        <w:t xml:space="preserve">zone </w:t>
      </w:r>
      <w:r w:rsidR="003324A2" w:rsidRPr="003861B6">
        <w:rPr>
          <w:rFonts w:eastAsia="Times New Roman" w:cs="Times New Roman"/>
          <w:bCs/>
          <w:color w:val="333333"/>
          <w:lang w:val="fr-FR"/>
        </w:rPr>
        <w:t xml:space="preserve">il est enregistré un </w:t>
      </w:r>
      <w:r w:rsidRPr="003861B6">
        <w:rPr>
          <w:rFonts w:eastAsia="Times New Roman" w:cs="Times New Roman"/>
          <w:bCs/>
          <w:color w:val="333333"/>
          <w:lang w:val="fr-FR"/>
        </w:rPr>
        <w:t xml:space="preserve">progrès sensible </w:t>
      </w:r>
      <w:r w:rsidR="003324A2" w:rsidRPr="003861B6">
        <w:rPr>
          <w:rFonts w:eastAsia="Times New Roman" w:cs="Times New Roman"/>
          <w:bCs/>
          <w:color w:val="333333"/>
          <w:lang w:val="fr-FR"/>
        </w:rPr>
        <w:t xml:space="preserve">vers le retour </w:t>
      </w:r>
      <w:r w:rsidRPr="003861B6">
        <w:rPr>
          <w:rFonts w:eastAsia="Times New Roman" w:cs="Times New Roman"/>
          <w:bCs/>
          <w:color w:val="333333"/>
          <w:lang w:val="fr-FR"/>
        </w:rPr>
        <w:t xml:space="preserve">de la paix, </w:t>
      </w:r>
      <w:r w:rsidR="003324A2" w:rsidRPr="003861B6">
        <w:rPr>
          <w:rFonts w:eastAsia="Times New Roman" w:cs="Times New Roman"/>
          <w:bCs/>
          <w:color w:val="333333"/>
          <w:lang w:val="fr-FR"/>
        </w:rPr>
        <w:t xml:space="preserve">la préparation d’un </w:t>
      </w:r>
      <w:r w:rsidRPr="003861B6">
        <w:rPr>
          <w:rFonts w:eastAsia="Times New Roman" w:cs="Times New Roman"/>
          <w:bCs/>
          <w:color w:val="333333"/>
          <w:lang w:val="fr-FR"/>
        </w:rPr>
        <w:t>nouvel exercice du DDR</w:t>
      </w:r>
      <w:r w:rsidR="003324A2" w:rsidRPr="003861B6">
        <w:rPr>
          <w:rFonts w:eastAsia="Times New Roman" w:cs="Times New Roman"/>
          <w:bCs/>
          <w:color w:val="333333"/>
          <w:lang w:val="fr-FR"/>
        </w:rPr>
        <w:t xml:space="preserve"> et des </w:t>
      </w:r>
      <w:r w:rsidRPr="003861B6">
        <w:rPr>
          <w:rFonts w:eastAsia="Times New Roman" w:cs="Times New Roman"/>
          <w:bCs/>
          <w:color w:val="333333"/>
          <w:lang w:val="fr-FR"/>
        </w:rPr>
        <w:t xml:space="preserve">élections </w:t>
      </w:r>
      <w:r w:rsidR="003E180B">
        <w:rPr>
          <w:rFonts w:eastAsia="Times New Roman" w:cs="Times New Roman"/>
          <w:bCs/>
          <w:color w:val="333333"/>
          <w:lang w:val="fr-FR"/>
        </w:rPr>
        <w:t xml:space="preserve">présidentielles </w:t>
      </w:r>
      <w:r w:rsidRPr="003861B6">
        <w:rPr>
          <w:rFonts w:eastAsia="Times New Roman" w:cs="Times New Roman"/>
          <w:bCs/>
          <w:color w:val="333333"/>
          <w:lang w:val="fr-FR"/>
        </w:rPr>
        <w:t xml:space="preserve">et </w:t>
      </w:r>
      <w:r w:rsidR="003E180B">
        <w:rPr>
          <w:rFonts w:eastAsia="Times New Roman" w:cs="Times New Roman"/>
          <w:bCs/>
          <w:color w:val="333333"/>
          <w:lang w:val="fr-FR"/>
        </w:rPr>
        <w:t>législatives</w:t>
      </w:r>
      <w:r w:rsidRPr="003861B6">
        <w:rPr>
          <w:rFonts w:eastAsia="Times New Roman" w:cs="Times New Roman"/>
          <w:bCs/>
          <w:color w:val="333333"/>
          <w:lang w:val="fr-FR"/>
        </w:rPr>
        <w:t xml:space="preserve">. C’est un exercice mandataire dont l’exécution </w:t>
      </w:r>
      <w:r w:rsidR="00861A1C" w:rsidRPr="003861B6">
        <w:rPr>
          <w:rFonts w:eastAsia="Times New Roman" w:cs="Times New Roman"/>
          <w:bCs/>
          <w:color w:val="333333"/>
          <w:lang w:val="fr-FR"/>
        </w:rPr>
        <w:t>p</w:t>
      </w:r>
      <w:r w:rsidRPr="003861B6">
        <w:rPr>
          <w:rFonts w:eastAsia="Times New Roman" w:cs="Times New Roman"/>
          <w:bCs/>
          <w:color w:val="333333"/>
          <w:lang w:val="fr-FR"/>
        </w:rPr>
        <w:t xml:space="preserve">ourrait </w:t>
      </w:r>
      <w:r w:rsidR="00861A1C" w:rsidRPr="003861B6">
        <w:rPr>
          <w:rFonts w:eastAsia="Times New Roman" w:cs="Times New Roman"/>
          <w:bCs/>
          <w:color w:val="333333"/>
          <w:lang w:val="fr-FR"/>
        </w:rPr>
        <w:t>contribuer à mieux comprendre les efforts fournis et les insuffisances</w:t>
      </w:r>
      <w:r w:rsidR="003324A2" w:rsidRPr="003861B6">
        <w:rPr>
          <w:rFonts w:eastAsia="Times New Roman" w:cs="Times New Roman"/>
          <w:bCs/>
          <w:color w:val="333333"/>
          <w:lang w:val="fr-FR"/>
        </w:rPr>
        <w:t xml:space="preserve">. Il </w:t>
      </w:r>
      <w:r w:rsidR="00861A1C" w:rsidRPr="003861B6">
        <w:rPr>
          <w:rFonts w:eastAsia="Times New Roman" w:cs="Times New Roman"/>
          <w:bCs/>
          <w:color w:val="333333"/>
          <w:lang w:val="fr-FR"/>
        </w:rPr>
        <w:t xml:space="preserve">tiendra compte </w:t>
      </w:r>
      <w:r w:rsidRPr="003861B6">
        <w:rPr>
          <w:rFonts w:eastAsia="Times New Roman" w:cs="Times New Roman"/>
          <w:bCs/>
          <w:color w:val="333333"/>
          <w:lang w:val="fr-FR"/>
        </w:rPr>
        <w:t xml:space="preserve">du cadre de résultats et du cadre </w:t>
      </w:r>
      <w:r w:rsidR="00861A1C" w:rsidRPr="003861B6">
        <w:rPr>
          <w:rFonts w:eastAsia="Times New Roman" w:cs="Times New Roman"/>
          <w:bCs/>
          <w:color w:val="333333"/>
          <w:lang w:val="fr-FR"/>
        </w:rPr>
        <w:t xml:space="preserve">du suivi et évaluation du projet </w:t>
      </w:r>
      <w:r w:rsidRPr="003861B6">
        <w:rPr>
          <w:rFonts w:eastAsia="Times New Roman" w:cs="Times New Roman"/>
          <w:bCs/>
          <w:color w:val="333333"/>
          <w:lang w:val="fr-FR"/>
        </w:rPr>
        <w:t xml:space="preserve">y compris les indicateurs d’effet et de produit ainsi que les cibles pour mesurer la performance et le statut d’exécution. </w:t>
      </w:r>
    </w:p>
    <w:p w:rsidR="003E180B" w:rsidRDefault="00861A1C" w:rsidP="00874B1A">
      <w:pPr>
        <w:spacing w:before="100" w:beforeAutospacing="1" w:after="100" w:afterAutospacing="1" w:line="312" w:lineRule="auto"/>
        <w:jc w:val="both"/>
        <w:rPr>
          <w:rFonts w:eastAsia="Times New Roman" w:cs="Times New Roman"/>
          <w:bCs/>
          <w:color w:val="333333"/>
          <w:lang w:val="fr-FR"/>
        </w:rPr>
      </w:pPr>
      <w:r w:rsidRPr="003861B6">
        <w:rPr>
          <w:rFonts w:eastAsia="Times New Roman" w:cs="Times New Roman"/>
          <w:bCs/>
          <w:color w:val="333333"/>
          <w:lang w:val="fr-FR"/>
        </w:rPr>
        <w:t>L’évaluation de ce fait devrait apprécier la d</w:t>
      </w:r>
      <w:r w:rsidR="002C2941" w:rsidRPr="003861B6">
        <w:rPr>
          <w:rFonts w:eastAsia="Times New Roman" w:cs="Times New Roman"/>
          <w:bCs/>
          <w:color w:val="333333"/>
          <w:lang w:val="fr-FR"/>
        </w:rPr>
        <w:t xml:space="preserve">isponibilité des données globales, régionales et nationales applicables. </w:t>
      </w:r>
      <w:r w:rsidRPr="003861B6">
        <w:rPr>
          <w:rFonts w:eastAsia="Times New Roman" w:cs="Times New Roman"/>
          <w:bCs/>
          <w:color w:val="333333"/>
          <w:lang w:val="fr-FR"/>
        </w:rPr>
        <w:t>Elle établira l</w:t>
      </w:r>
      <w:r w:rsidR="002C2941" w:rsidRPr="003861B6">
        <w:rPr>
          <w:rFonts w:eastAsia="Times New Roman" w:cs="Times New Roman"/>
          <w:bCs/>
          <w:color w:val="333333"/>
          <w:lang w:val="fr-FR"/>
        </w:rPr>
        <w:t xml:space="preserve">es listes et les descriptions des principales parties prenantes (utilisateurs de l’évaluation, bailleurs partenaires, personnel des organisations chargées </w:t>
      </w:r>
      <w:r w:rsidR="003324A2" w:rsidRPr="003861B6">
        <w:rPr>
          <w:rFonts w:eastAsia="Times New Roman" w:cs="Times New Roman"/>
          <w:bCs/>
          <w:color w:val="333333"/>
          <w:lang w:val="fr-FR"/>
        </w:rPr>
        <w:t>de projet</w:t>
      </w:r>
      <w:r w:rsidR="003E180B">
        <w:rPr>
          <w:rFonts w:eastAsia="Times New Roman" w:cs="Times New Roman"/>
          <w:bCs/>
          <w:color w:val="333333"/>
          <w:lang w:val="fr-FR"/>
        </w:rPr>
        <w:t>s</w:t>
      </w:r>
      <w:r w:rsidR="003324A2" w:rsidRPr="003861B6">
        <w:rPr>
          <w:rFonts w:eastAsia="Times New Roman" w:cs="Times New Roman"/>
          <w:bCs/>
          <w:color w:val="333333"/>
          <w:lang w:val="fr-FR"/>
        </w:rPr>
        <w:t xml:space="preserve"> similaire</w:t>
      </w:r>
      <w:r w:rsidR="003E180B">
        <w:rPr>
          <w:rFonts w:eastAsia="Times New Roman" w:cs="Times New Roman"/>
          <w:bCs/>
          <w:color w:val="333333"/>
          <w:lang w:val="fr-FR"/>
        </w:rPr>
        <w:t>s</w:t>
      </w:r>
      <w:r w:rsidR="008D1DDA" w:rsidRPr="003861B6">
        <w:rPr>
          <w:rFonts w:eastAsia="Times New Roman" w:cs="Times New Roman"/>
          <w:bCs/>
          <w:color w:val="333333"/>
          <w:lang w:val="fr-FR"/>
        </w:rPr>
        <w:t>, bénéficiaires</w:t>
      </w:r>
      <w:r w:rsidR="003E180B">
        <w:rPr>
          <w:rFonts w:eastAsia="Times New Roman" w:cs="Times New Roman"/>
          <w:bCs/>
          <w:color w:val="333333"/>
          <w:lang w:val="fr-FR"/>
        </w:rPr>
        <w:t>, etc.</w:t>
      </w:r>
      <w:r w:rsidR="003324A2" w:rsidRPr="003861B6">
        <w:rPr>
          <w:rFonts w:eastAsia="Times New Roman" w:cs="Times New Roman"/>
          <w:bCs/>
          <w:color w:val="333333"/>
          <w:lang w:val="fr-FR"/>
        </w:rPr>
        <w:t xml:space="preserve">) </w:t>
      </w:r>
      <w:r w:rsidR="00DD0DAA" w:rsidRPr="003861B6">
        <w:rPr>
          <w:rFonts w:eastAsia="Times New Roman" w:cs="Times New Roman"/>
          <w:bCs/>
          <w:color w:val="333333"/>
          <w:lang w:val="fr-FR"/>
        </w:rPr>
        <w:t xml:space="preserve">ainsi que des sources de données et des outils qui généreront probablement les réponses les plus fiables et les plus valides aux questions de l’évaluation dans les limites des ressources. </w:t>
      </w:r>
    </w:p>
    <w:p w:rsidR="00874B1A" w:rsidRPr="003861B6" w:rsidRDefault="00874B1A" w:rsidP="00874B1A">
      <w:pPr>
        <w:spacing w:before="100" w:beforeAutospacing="1" w:after="100" w:afterAutospacing="1" w:line="312" w:lineRule="auto"/>
        <w:jc w:val="both"/>
        <w:rPr>
          <w:color w:val="333333"/>
          <w:lang w:val="fr-FR"/>
        </w:rPr>
      </w:pPr>
      <w:r w:rsidRPr="003861B6">
        <w:rPr>
          <w:rFonts w:eastAsia="Times New Roman" w:cs="Times New Roman"/>
          <w:bCs/>
          <w:color w:val="333333"/>
          <w:lang w:val="fr-FR"/>
        </w:rPr>
        <w:t xml:space="preserve">Elle </w:t>
      </w:r>
      <w:r w:rsidRPr="003861B6">
        <w:rPr>
          <w:color w:val="333333"/>
          <w:lang w:val="fr-FR"/>
        </w:rPr>
        <w:t>doit contenir un plan de travail détaillé étape par étape, précisant les méthodes que l’évaluation va adopter pour la collecte de l’information nécessaire au traitement des critères d’évaluation et pour répondre aux questions sur l’évaluation, ainsi que les méthodes à suivre pour l’analyse des données, l’interprétation des conclusions et le rapport des résultats.   </w:t>
      </w:r>
    </w:p>
    <w:p w:rsidR="00874B1A" w:rsidRPr="003861B6" w:rsidRDefault="00874B1A" w:rsidP="00874B1A">
      <w:pPr>
        <w:pStyle w:val="NormalWeb"/>
        <w:shd w:val="clear" w:color="auto" w:fill="EEEEEE"/>
        <w:rPr>
          <w:rFonts w:asciiTheme="minorHAnsi" w:hAnsiTheme="minorHAnsi"/>
          <w:color w:val="333333"/>
          <w:sz w:val="22"/>
          <w:szCs w:val="22"/>
          <w:lang w:val="fr-FR"/>
        </w:rPr>
      </w:pPr>
      <w:r w:rsidRPr="003861B6">
        <w:rPr>
          <w:rFonts w:asciiTheme="minorHAnsi" w:hAnsiTheme="minorHAnsi"/>
          <w:color w:val="333333"/>
          <w:sz w:val="22"/>
          <w:szCs w:val="22"/>
          <w:lang w:val="fr-FR"/>
        </w:rPr>
        <w:t> </w:t>
      </w:r>
    </w:p>
    <w:p w:rsidR="00874B1A" w:rsidRPr="003861B6" w:rsidRDefault="00874B1A" w:rsidP="00874B1A">
      <w:pPr>
        <w:numPr>
          <w:ilvl w:val="0"/>
          <w:numId w:val="13"/>
        </w:numPr>
        <w:shd w:val="clear" w:color="auto" w:fill="EEEEEE"/>
        <w:spacing w:before="100" w:beforeAutospacing="1" w:after="100" w:afterAutospacing="1" w:line="312" w:lineRule="auto"/>
        <w:rPr>
          <w:color w:val="333333"/>
          <w:lang w:val="fr-FR"/>
        </w:rPr>
      </w:pPr>
      <w:r w:rsidRPr="003861B6">
        <w:rPr>
          <w:color w:val="333333"/>
          <w:lang w:val="fr-FR"/>
        </w:rPr>
        <w:lastRenderedPageBreak/>
        <w:t xml:space="preserve">Quel élément est nécessaire pour répondre aux questions de l’évaluation ? </w:t>
      </w:r>
    </w:p>
    <w:p w:rsidR="00874B1A" w:rsidRPr="003861B6" w:rsidRDefault="00874B1A" w:rsidP="00874B1A">
      <w:pPr>
        <w:numPr>
          <w:ilvl w:val="0"/>
          <w:numId w:val="13"/>
        </w:numPr>
        <w:shd w:val="clear" w:color="auto" w:fill="EEEEEE"/>
        <w:spacing w:before="100" w:beforeAutospacing="1" w:after="100" w:afterAutospacing="1" w:line="312" w:lineRule="auto"/>
        <w:rPr>
          <w:color w:val="333333"/>
          <w:lang w:val="fr-FR"/>
        </w:rPr>
      </w:pPr>
      <w:r w:rsidRPr="003861B6">
        <w:rPr>
          <w:color w:val="333333"/>
          <w:lang w:val="fr-FR"/>
        </w:rPr>
        <w:t xml:space="preserve">Quelle(s) méthode(s) de collecte de données seront utilisées pour répondre aux critères et aux questions de l’évaluation ? Pourquoi ces méthodes ont-elles été choisies ? Les ressources allouées sont-elles suffisantes ? </w:t>
      </w:r>
    </w:p>
    <w:p w:rsidR="00874B1A" w:rsidRPr="003861B6" w:rsidRDefault="00874B1A" w:rsidP="00874B1A">
      <w:pPr>
        <w:numPr>
          <w:ilvl w:val="0"/>
          <w:numId w:val="13"/>
        </w:numPr>
        <w:shd w:val="clear" w:color="auto" w:fill="EEEEEE"/>
        <w:spacing w:before="100" w:beforeAutospacing="1" w:after="100" w:afterAutospacing="1" w:line="312" w:lineRule="auto"/>
        <w:rPr>
          <w:color w:val="333333"/>
          <w:lang w:val="fr-FR"/>
        </w:rPr>
      </w:pPr>
      <w:r w:rsidRPr="003861B6">
        <w:rPr>
          <w:color w:val="333333"/>
          <w:lang w:val="fr-FR"/>
        </w:rPr>
        <w:t xml:space="preserve">Qui sera chargé de la collecte des données? </w:t>
      </w:r>
    </w:p>
    <w:p w:rsidR="00874B1A" w:rsidRPr="003861B6" w:rsidRDefault="00874B1A" w:rsidP="00874B1A">
      <w:pPr>
        <w:numPr>
          <w:ilvl w:val="0"/>
          <w:numId w:val="13"/>
        </w:numPr>
        <w:shd w:val="clear" w:color="auto" w:fill="EEEEEE"/>
        <w:spacing w:before="100" w:beforeAutospacing="1" w:after="100" w:afterAutospacing="1" w:line="312" w:lineRule="auto"/>
        <w:rPr>
          <w:color w:val="333333"/>
        </w:rPr>
      </w:pPr>
      <w:r w:rsidRPr="003861B6">
        <w:rPr>
          <w:color w:val="333333"/>
          <w:lang w:val="fr-FR"/>
        </w:rPr>
        <w:t xml:space="preserve">Quel est le cadre choisi pour la modélisation ? </w:t>
      </w:r>
      <w:r w:rsidRPr="003861B6">
        <w:rPr>
          <w:color w:val="333333"/>
        </w:rPr>
        <w:t xml:space="preserve">Quel principe suit-il ? </w:t>
      </w:r>
    </w:p>
    <w:p w:rsidR="00874B1A" w:rsidRPr="003861B6" w:rsidRDefault="00874B1A" w:rsidP="00874B1A">
      <w:pPr>
        <w:numPr>
          <w:ilvl w:val="0"/>
          <w:numId w:val="13"/>
        </w:numPr>
        <w:shd w:val="clear" w:color="auto" w:fill="EEEEEE"/>
        <w:spacing w:before="100" w:beforeAutospacing="1" w:after="100" w:afterAutospacing="1" w:line="312" w:lineRule="auto"/>
        <w:rPr>
          <w:color w:val="333333"/>
          <w:lang w:val="fr-FR"/>
        </w:rPr>
      </w:pPr>
      <w:r w:rsidRPr="003861B6">
        <w:rPr>
          <w:color w:val="333333"/>
          <w:lang w:val="fr-FR"/>
        </w:rPr>
        <w:t xml:space="preserve">Qui sera chargé d’impliquer les participants et autres parties prenantes? </w:t>
      </w:r>
    </w:p>
    <w:p w:rsidR="00874B1A" w:rsidRPr="003861B6" w:rsidRDefault="00874B1A" w:rsidP="00874B1A">
      <w:pPr>
        <w:numPr>
          <w:ilvl w:val="0"/>
          <w:numId w:val="13"/>
        </w:numPr>
        <w:shd w:val="clear" w:color="auto" w:fill="EEEEEE"/>
        <w:spacing w:before="100" w:beforeAutospacing="1" w:after="100" w:afterAutospacing="1" w:line="312" w:lineRule="auto"/>
        <w:rPr>
          <w:color w:val="333333"/>
          <w:lang w:val="fr-FR"/>
        </w:rPr>
      </w:pPr>
      <w:r w:rsidRPr="003861B6">
        <w:rPr>
          <w:color w:val="333333"/>
          <w:lang w:val="fr-FR"/>
        </w:rPr>
        <w:t xml:space="preserve">Quels systèmes de gestion de données seront utilisés ? C'est-à-dire, quelle est la logistique, y compris les procédures, le calendrier et l’infrastructure physique, mises en place pour réunir et traiter l’information? </w:t>
      </w:r>
    </w:p>
    <w:p w:rsidR="00874B1A" w:rsidRPr="003861B6" w:rsidRDefault="00874B1A" w:rsidP="00874B1A">
      <w:pPr>
        <w:numPr>
          <w:ilvl w:val="0"/>
          <w:numId w:val="13"/>
        </w:numPr>
        <w:shd w:val="clear" w:color="auto" w:fill="EEEEEE"/>
        <w:spacing w:before="100" w:beforeAutospacing="1" w:after="100" w:afterAutospacing="1" w:line="312" w:lineRule="auto"/>
        <w:rPr>
          <w:color w:val="333333"/>
          <w:lang w:val="fr-FR"/>
        </w:rPr>
      </w:pPr>
      <w:r w:rsidRPr="003861B6">
        <w:rPr>
          <w:color w:val="333333"/>
          <w:lang w:val="fr-FR"/>
        </w:rPr>
        <w:t xml:space="preserve">Comment les informations collectées seront-elles analysées et les conclusions interprétées et rapportées? </w:t>
      </w:r>
    </w:p>
    <w:p w:rsidR="00874B1A" w:rsidRPr="003861B6" w:rsidRDefault="00874B1A" w:rsidP="00874B1A">
      <w:pPr>
        <w:numPr>
          <w:ilvl w:val="0"/>
          <w:numId w:val="13"/>
        </w:numPr>
        <w:shd w:val="clear" w:color="auto" w:fill="EEEEEE"/>
        <w:spacing w:before="100" w:beforeAutospacing="1" w:after="100" w:afterAutospacing="1" w:line="312" w:lineRule="auto"/>
        <w:rPr>
          <w:color w:val="333333"/>
          <w:lang w:val="fr-FR"/>
        </w:rPr>
      </w:pPr>
      <w:r w:rsidRPr="003861B6">
        <w:rPr>
          <w:color w:val="333333"/>
          <w:lang w:val="fr-FR"/>
        </w:rPr>
        <w:t xml:space="preserve">Quelles sont les questions de méthodologie à revoir pour garantir la qualité? </w:t>
      </w:r>
    </w:p>
    <w:p w:rsidR="00874B1A" w:rsidRPr="005237E9" w:rsidRDefault="00874B1A" w:rsidP="00874B1A">
      <w:pPr>
        <w:spacing w:line="312" w:lineRule="auto"/>
        <w:rPr>
          <w:rFonts w:ascii="Verdana" w:hAnsi="Verdana"/>
          <w:vanish/>
          <w:color w:val="333333"/>
          <w:sz w:val="20"/>
          <w:szCs w:val="20"/>
          <w:lang w:val="fr-FR"/>
        </w:rPr>
      </w:pPr>
    </w:p>
    <w:p w:rsidR="00DD0DAA" w:rsidRPr="00DD0DAA" w:rsidRDefault="00DD0DAA" w:rsidP="00DD0DAA">
      <w:pPr>
        <w:spacing w:before="100" w:beforeAutospacing="1" w:after="100" w:afterAutospacing="1" w:line="312" w:lineRule="auto"/>
        <w:rPr>
          <w:rFonts w:ascii="Verdana" w:eastAsia="Times New Roman" w:hAnsi="Verdana" w:cs="Times New Roman"/>
          <w:bCs/>
          <w:color w:val="333333"/>
          <w:sz w:val="20"/>
          <w:szCs w:val="20"/>
          <w:lang w:val="fr-FR"/>
        </w:rPr>
      </w:pPr>
      <w:r w:rsidRPr="00DD0DAA">
        <w:rPr>
          <w:rFonts w:ascii="Verdana" w:eastAsia="Times New Roman" w:hAnsi="Verdana" w:cs="Times New Roman"/>
          <w:bCs/>
          <w:color w:val="333333"/>
          <w:sz w:val="20"/>
          <w:szCs w:val="20"/>
          <w:lang w:val="fr-FR"/>
        </w:rPr>
        <w:t> </w:t>
      </w:r>
    </w:p>
    <w:p w:rsidR="00DD0DAA" w:rsidRPr="005237E9" w:rsidRDefault="00DD0DAA" w:rsidP="005237E9">
      <w:pPr>
        <w:spacing w:after="0" w:line="312" w:lineRule="auto"/>
        <w:outlineLvl w:val="5"/>
        <w:rPr>
          <w:rFonts w:ascii="Trebuchet MS" w:eastAsia="Times New Roman" w:hAnsi="Trebuchet MS" w:cs="Times New Roman"/>
          <w:color w:val="003399"/>
          <w:sz w:val="26"/>
          <w:szCs w:val="26"/>
          <w:lang w:val="fr-FR"/>
        </w:rPr>
      </w:pPr>
      <w:r w:rsidRPr="005237E9">
        <w:rPr>
          <w:rFonts w:ascii="Trebuchet MS" w:eastAsia="Times New Roman" w:hAnsi="Trebuchet MS" w:cs="Times New Roman"/>
          <w:color w:val="003399"/>
          <w:sz w:val="26"/>
          <w:szCs w:val="26"/>
          <w:lang w:val="fr-FR"/>
        </w:rPr>
        <w:t>6. Produits d’évaluation (prestations)</w:t>
      </w:r>
    </w:p>
    <w:p w:rsidR="00DD0DAA" w:rsidRPr="003861B6" w:rsidRDefault="005237E9" w:rsidP="008D1DDA">
      <w:pPr>
        <w:spacing w:before="100" w:beforeAutospacing="1" w:after="100" w:afterAutospacing="1" w:line="312" w:lineRule="auto"/>
        <w:jc w:val="both"/>
        <w:rPr>
          <w:rFonts w:eastAsia="Times New Roman" w:cs="Times New Roman"/>
          <w:bCs/>
          <w:color w:val="333333"/>
          <w:lang w:val="fr-FR"/>
        </w:rPr>
      </w:pPr>
      <w:r w:rsidRPr="003861B6">
        <w:rPr>
          <w:rFonts w:eastAsia="Times New Roman" w:cs="Times New Roman"/>
          <w:bCs/>
          <w:color w:val="333333"/>
          <w:lang w:val="fr-FR"/>
        </w:rPr>
        <w:t>L’évaluation du projet devra fournir les produits suivants :</w:t>
      </w:r>
    </w:p>
    <w:p w:rsidR="00DD0DAA" w:rsidRPr="003861B6" w:rsidRDefault="00DD0DAA" w:rsidP="008D1DDA">
      <w:pPr>
        <w:numPr>
          <w:ilvl w:val="0"/>
          <w:numId w:val="5"/>
        </w:numPr>
        <w:spacing w:before="100" w:beforeAutospacing="1" w:after="100" w:afterAutospacing="1" w:line="312" w:lineRule="auto"/>
        <w:jc w:val="both"/>
        <w:rPr>
          <w:rFonts w:eastAsia="Times New Roman" w:cs="Times New Roman"/>
          <w:bCs/>
          <w:color w:val="333333"/>
          <w:lang w:val="fr-FR"/>
        </w:rPr>
      </w:pPr>
      <w:r w:rsidRPr="003861B6">
        <w:rPr>
          <w:rFonts w:eastAsia="Times New Roman" w:cs="Times New Roman"/>
          <w:b/>
          <w:bCs/>
          <w:color w:val="333333"/>
          <w:lang w:val="fr-FR"/>
        </w:rPr>
        <w:t>Un rapport initial d’évaluation</w:t>
      </w:r>
      <w:r w:rsidRPr="003861B6">
        <w:rPr>
          <w:rFonts w:eastAsia="Times New Roman" w:cs="Times New Roman"/>
          <w:bCs/>
          <w:color w:val="333333"/>
          <w:lang w:val="fr-FR"/>
        </w:rPr>
        <w:t xml:space="preserve"> – Un rapport initial préparé par </w:t>
      </w:r>
      <w:r w:rsidR="005237E9" w:rsidRPr="003861B6">
        <w:rPr>
          <w:rFonts w:eastAsia="Times New Roman" w:cs="Times New Roman"/>
          <w:bCs/>
          <w:color w:val="333333"/>
          <w:lang w:val="fr-FR"/>
        </w:rPr>
        <w:t xml:space="preserve">l’équipe d’évaluation </w:t>
      </w:r>
      <w:r w:rsidRPr="003861B6">
        <w:rPr>
          <w:rFonts w:eastAsia="Times New Roman" w:cs="Times New Roman"/>
          <w:bCs/>
          <w:color w:val="333333"/>
          <w:lang w:val="fr-FR"/>
        </w:rPr>
        <w:t xml:space="preserve">avant d’entrer dans l’exercice de recollection de données d’évaluation à part entière. </w:t>
      </w:r>
      <w:r w:rsidR="005237E9" w:rsidRPr="003861B6">
        <w:rPr>
          <w:rFonts w:eastAsia="Times New Roman" w:cs="Times New Roman"/>
          <w:bCs/>
          <w:color w:val="333333"/>
          <w:lang w:val="fr-FR"/>
        </w:rPr>
        <w:t xml:space="preserve">Ce rapport </w:t>
      </w:r>
      <w:r w:rsidRPr="003861B6">
        <w:rPr>
          <w:rFonts w:eastAsia="Times New Roman" w:cs="Times New Roman"/>
          <w:bCs/>
          <w:color w:val="333333"/>
          <w:lang w:val="fr-FR"/>
        </w:rPr>
        <w:t>détaille la compréhension de l’é</w:t>
      </w:r>
      <w:r w:rsidR="005237E9" w:rsidRPr="003861B6">
        <w:rPr>
          <w:rFonts w:eastAsia="Times New Roman" w:cs="Times New Roman"/>
          <w:bCs/>
          <w:color w:val="333333"/>
          <w:lang w:val="fr-FR"/>
        </w:rPr>
        <w:t xml:space="preserve">quipe </w:t>
      </w:r>
      <w:r w:rsidRPr="003861B6">
        <w:rPr>
          <w:rFonts w:eastAsia="Times New Roman" w:cs="Times New Roman"/>
          <w:bCs/>
          <w:color w:val="333333"/>
          <w:lang w:val="fr-FR"/>
        </w:rPr>
        <w:t xml:space="preserve">par rapport aux éléments qui sont évalués et pour quelle raison ils sont évalués, en indiquant comment chaque question de l’évaluation obtiendra une réponse à l’aide de méthodes proposées, sources proposées de données et procédures de collecte des données. Le rapport initial doit inclure un programme détaillé des tâches, activités et prestations, en désignant un membre de l’équipe qui aura la responsabilité de chaque tâche ou produit. Le rapport initial offre au chargé des programmes et aux évaluateurs une opportunité de vérifier qu’ils partagent la même compréhension au sujet de l’évaluation et également de clarifier tout malentendu au départ. </w:t>
      </w:r>
    </w:p>
    <w:p w:rsidR="00DD0DAA" w:rsidRPr="003861B6" w:rsidRDefault="00DD0DAA" w:rsidP="008D1DDA">
      <w:pPr>
        <w:numPr>
          <w:ilvl w:val="0"/>
          <w:numId w:val="5"/>
        </w:numPr>
        <w:spacing w:before="100" w:beforeAutospacing="1" w:after="100" w:afterAutospacing="1" w:line="312" w:lineRule="auto"/>
        <w:jc w:val="both"/>
        <w:rPr>
          <w:rFonts w:eastAsia="Times New Roman" w:cs="Times New Roman"/>
          <w:bCs/>
          <w:color w:val="333333"/>
          <w:lang w:val="fr-FR"/>
        </w:rPr>
      </w:pPr>
      <w:r w:rsidRPr="003861B6">
        <w:rPr>
          <w:rFonts w:eastAsia="Times New Roman" w:cs="Times New Roman"/>
          <w:b/>
          <w:bCs/>
          <w:color w:val="333333"/>
          <w:lang w:val="fr-FR"/>
        </w:rPr>
        <w:t>Projet de rapport d’évaluation</w:t>
      </w:r>
      <w:r w:rsidRPr="003861B6">
        <w:rPr>
          <w:rFonts w:eastAsia="Times New Roman" w:cs="Times New Roman"/>
          <w:bCs/>
          <w:color w:val="333333"/>
          <w:lang w:val="fr-FR"/>
        </w:rPr>
        <w:t xml:space="preserve"> – Le chargé des programmes et les principales parties prenantes dans l’évaluation doivent réviser le projet de rapport pour veiller à ce que l’évaluation réponde aux critères de qualité requis. </w:t>
      </w:r>
    </w:p>
    <w:p w:rsidR="00DD0DAA" w:rsidRPr="003861B6" w:rsidRDefault="00DD0DAA" w:rsidP="008D1DDA">
      <w:pPr>
        <w:numPr>
          <w:ilvl w:val="0"/>
          <w:numId w:val="5"/>
        </w:numPr>
        <w:spacing w:before="100" w:beforeAutospacing="1" w:after="100" w:afterAutospacing="1" w:line="312" w:lineRule="auto"/>
        <w:jc w:val="both"/>
        <w:rPr>
          <w:rFonts w:eastAsia="Times New Roman" w:cs="Times New Roman"/>
          <w:bCs/>
          <w:color w:val="333333"/>
        </w:rPr>
      </w:pPr>
      <w:r w:rsidRPr="003861B6">
        <w:rPr>
          <w:rFonts w:eastAsia="Times New Roman" w:cs="Times New Roman"/>
          <w:b/>
          <w:bCs/>
          <w:color w:val="333333"/>
        </w:rPr>
        <w:t>Rapport d’évaluation final</w:t>
      </w:r>
      <w:r w:rsidRPr="003861B6">
        <w:rPr>
          <w:rFonts w:eastAsia="Times New Roman" w:cs="Times New Roman"/>
          <w:bCs/>
          <w:color w:val="333333"/>
        </w:rPr>
        <w:t xml:space="preserve">. </w:t>
      </w:r>
    </w:p>
    <w:p w:rsidR="005237E9" w:rsidRPr="003861B6" w:rsidRDefault="00DD0DAA" w:rsidP="00DD0DAA">
      <w:pPr>
        <w:numPr>
          <w:ilvl w:val="0"/>
          <w:numId w:val="5"/>
        </w:numPr>
        <w:spacing w:before="100" w:beforeAutospacing="1" w:after="100" w:afterAutospacing="1" w:line="312" w:lineRule="auto"/>
        <w:jc w:val="both"/>
        <w:rPr>
          <w:rFonts w:eastAsia="Times New Roman" w:cs="Times New Roman"/>
          <w:color w:val="003399"/>
          <w:lang w:val="fr-FR"/>
        </w:rPr>
      </w:pPr>
      <w:r w:rsidRPr="003861B6">
        <w:rPr>
          <w:rFonts w:eastAsia="Times New Roman" w:cs="Times New Roman"/>
          <w:b/>
          <w:bCs/>
          <w:color w:val="333333"/>
          <w:lang w:val="fr-FR"/>
        </w:rPr>
        <w:t>Evaluation des notes d’informations et autres éléments de connaissance</w:t>
      </w:r>
      <w:r w:rsidRPr="003861B6">
        <w:rPr>
          <w:rFonts w:eastAsia="Times New Roman" w:cs="Times New Roman"/>
          <w:bCs/>
          <w:color w:val="333333"/>
          <w:lang w:val="fr-FR"/>
        </w:rPr>
        <w:t xml:space="preserve"> ou participation dans les évènements de partage des connaissances. </w:t>
      </w:r>
    </w:p>
    <w:p w:rsidR="005237E9" w:rsidRPr="005237E9" w:rsidRDefault="005237E9" w:rsidP="005237E9">
      <w:pPr>
        <w:pStyle w:val="ListParagraph"/>
        <w:spacing w:after="0" w:line="312" w:lineRule="auto"/>
        <w:ind w:left="284"/>
        <w:outlineLvl w:val="5"/>
        <w:rPr>
          <w:rFonts w:ascii="Trebuchet MS" w:eastAsia="Times New Roman" w:hAnsi="Trebuchet MS" w:cs="Times New Roman"/>
          <w:color w:val="003399"/>
          <w:sz w:val="10"/>
          <w:szCs w:val="26"/>
          <w:lang w:val="fr-FR"/>
        </w:rPr>
      </w:pPr>
    </w:p>
    <w:p w:rsidR="00DD0DAA" w:rsidRPr="005237E9" w:rsidRDefault="00DD0DAA" w:rsidP="005237E9">
      <w:pPr>
        <w:pStyle w:val="ListParagraph"/>
        <w:numPr>
          <w:ilvl w:val="1"/>
          <w:numId w:val="5"/>
        </w:numPr>
        <w:spacing w:after="0" w:line="312" w:lineRule="auto"/>
        <w:ind w:left="284" w:hanging="284"/>
        <w:outlineLvl w:val="5"/>
        <w:rPr>
          <w:rFonts w:ascii="Trebuchet MS" w:eastAsia="Times New Roman" w:hAnsi="Trebuchet MS" w:cs="Times New Roman"/>
          <w:color w:val="003399"/>
          <w:sz w:val="26"/>
          <w:szCs w:val="26"/>
          <w:lang w:val="fr-FR"/>
        </w:rPr>
      </w:pPr>
      <w:r w:rsidRPr="005237E9">
        <w:rPr>
          <w:rFonts w:ascii="Trebuchet MS" w:eastAsia="Times New Roman" w:hAnsi="Trebuchet MS" w:cs="Times New Roman"/>
          <w:color w:val="003399"/>
          <w:sz w:val="26"/>
          <w:szCs w:val="26"/>
          <w:lang w:val="fr-FR"/>
        </w:rPr>
        <w:lastRenderedPageBreak/>
        <w:t xml:space="preserve">Composition de l’équipe d’évaluation et compétences requises </w:t>
      </w:r>
    </w:p>
    <w:p w:rsidR="00FC4DEA" w:rsidRPr="003861B6" w:rsidRDefault="00FC4DEA" w:rsidP="00DD0DAA">
      <w:pPr>
        <w:spacing w:before="100" w:beforeAutospacing="1" w:after="100" w:afterAutospacing="1" w:line="312" w:lineRule="auto"/>
        <w:rPr>
          <w:rFonts w:eastAsia="Times New Roman" w:cs="Times New Roman"/>
          <w:bCs/>
          <w:color w:val="333333"/>
          <w:lang w:val="fr-FR"/>
        </w:rPr>
      </w:pPr>
      <w:r w:rsidRPr="003861B6">
        <w:rPr>
          <w:rFonts w:eastAsia="Times New Roman" w:cs="Times New Roman"/>
          <w:bCs/>
          <w:color w:val="333333"/>
          <w:lang w:val="fr-FR"/>
        </w:rPr>
        <w:t xml:space="preserve">L’équipe est composée de trois consultants dont un consultant international, chef d’équipe et deux consultants nationaux </w:t>
      </w:r>
    </w:p>
    <w:p w:rsidR="000800DC" w:rsidRPr="003861B6" w:rsidRDefault="000800DC" w:rsidP="00DD0DAA">
      <w:pPr>
        <w:spacing w:before="100" w:beforeAutospacing="1" w:after="100" w:afterAutospacing="1" w:line="312" w:lineRule="auto"/>
        <w:rPr>
          <w:rFonts w:eastAsia="Times New Roman" w:cs="Times New Roman"/>
          <w:b/>
          <w:bCs/>
          <w:color w:val="333333"/>
          <w:lang w:val="fr-FR"/>
        </w:rPr>
      </w:pPr>
      <w:r w:rsidRPr="003861B6">
        <w:rPr>
          <w:rFonts w:eastAsia="Times New Roman" w:cs="Times New Roman"/>
          <w:b/>
          <w:bCs/>
          <w:color w:val="333333"/>
          <w:lang w:val="fr-FR"/>
        </w:rPr>
        <w:t>7.1. Rôles et responsabilité des membres de l’équipe</w:t>
      </w:r>
    </w:p>
    <w:p w:rsidR="00FC4DEA" w:rsidRPr="003861B6" w:rsidRDefault="00FC4DEA" w:rsidP="000800DC">
      <w:pPr>
        <w:pStyle w:val="ListParagraph"/>
        <w:numPr>
          <w:ilvl w:val="0"/>
          <w:numId w:val="18"/>
        </w:numPr>
        <w:spacing w:before="100" w:beforeAutospacing="1" w:after="100" w:afterAutospacing="1" w:line="312" w:lineRule="auto"/>
        <w:rPr>
          <w:rFonts w:eastAsia="Times New Roman" w:cs="Times New Roman"/>
          <w:bCs/>
          <w:i/>
          <w:color w:val="333333"/>
          <w:lang w:val="fr-FR"/>
        </w:rPr>
      </w:pPr>
      <w:r w:rsidRPr="003861B6">
        <w:rPr>
          <w:rFonts w:eastAsia="Times New Roman" w:cs="Times New Roman"/>
          <w:bCs/>
          <w:i/>
          <w:color w:val="333333"/>
          <w:lang w:val="fr-FR"/>
        </w:rPr>
        <w:t xml:space="preserve">Un consultant international </w:t>
      </w:r>
      <w:r w:rsidR="000800DC" w:rsidRPr="003861B6">
        <w:rPr>
          <w:rFonts w:eastAsia="Times New Roman" w:cs="Times New Roman"/>
          <w:bCs/>
          <w:i/>
          <w:color w:val="333333"/>
          <w:lang w:val="fr-FR"/>
        </w:rPr>
        <w:t xml:space="preserve">spécialiste en développement de programme DDR </w:t>
      </w:r>
    </w:p>
    <w:p w:rsidR="000800DC" w:rsidRPr="003861B6" w:rsidRDefault="000800DC" w:rsidP="000800DC">
      <w:pPr>
        <w:pStyle w:val="ListParagraph"/>
        <w:numPr>
          <w:ilvl w:val="0"/>
          <w:numId w:val="20"/>
        </w:numPr>
      </w:pPr>
      <w:r w:rsidRPr="003861B6">
        <w:t>Supervise l’équipe d’évaluation</w:t>
      </w:r>
    </w:p>
    <w:p w:rsidR="000800DC" w:rsidRPr="003861B6" w:rsidRDefault="000800DC" w:rsidP="00B77BE6">
      <w:pPr>
        <w:pStyle w:val="ListParagraph"/>
        <w:numPr>
          <w:ilvl w:val="0"/>
          <w:numId w:val="20"/>
        </w:numPr>
        <w:jc w:val="both"/>
        <w:rPr>
          <w:lang w:val="fr-FR"/>
        </w:rPr>
      </w:pPr>
      <w:r w:rsidRPr="003861B6">
        <w:rPr>
          <w:lang w:val="fr-FR"/>
        </w:rPr>
        <w:t>Initie et finalise la méthodologie de concert avec les consultants nationaux</w:t>
      </w:r>
    </w:p>
    <w:p w:rsidR="000800DC" w:rsidRPr="003861B6" w:rsidRDefault="000800DC" w:rsidP="00B77BE6">
      <w:pPr>
        <w:pStyle w:val="ListParagraph"/>
        <w:numPr>
          <w:ilvl w:val="0"/>
          <w:numId w:val="20"/>
        </w:numPr>
        <w:jc w:val="both"/>
        <w:rPr>
          <w:lang w:val="fr-FR"/>
        </w:rPr>
      </w:pPr>
      <w:r w:rsidRPr="003861B6">
        <w:rPr>
          <w:lang w:val="fr-FR"/>
        </w:rPr>
        <w:t xml:space="preserve">Conduite l’exercice de collecte (interview, </w:t>
      </w:r>
      <w:r w:rsidR="00B77BE6" w:rsidRPr="003861B6">
        <w:rPr>
          <w:lang w:val="fr-FR"/>
        </w:rPr>
        <w:t>questionnaires, collecte de documents</w:t>
      </w:r>
      <w:r w:rsidR="003E180B">
        <w:rPr>
          <w:lang w:val="fr-FR"/>
        </w:rPr>
        <w:t>,</w:t>
      </w:r>
      <w:r w:rsidR="00B77BE6" w:rsidRPr="003861B6">
        <w:rPr>
          <w:lang w:val="fr-FR"/>
        </w:rPr>
        <w:t xml:space="preserve"> etc</w:t>
      </w:r>
      <w:r w:rsidR="003E180B">
        <w:rPr>
          <w:lang w:val="fr-FR"/>
        </w:rPr>
        <w:t>.</w:t>
      </w:r>
      <w:r w:rsidR="00B77BE6" w:rsidRPr="003861B6">
        <w:rPr>
          <w:lang w:val="fr-FR"/>
        </w:rPr>
        <w:t>)</w:t>
      </w:r>
      <w:r w:rsidR="003E180B">
        <w:rPr>
          <w:lang w:val="fr-FR"/>
        </w:rPr>
        <w:t>,</w:t>
      </w:r>
      <w:r w:rsidR="00B77BE6" w:rsidRPr="003861B6">
        <w:rPr>
          <w:lang w:val="fr-FR"/>
        </w:rPr>
        <w:t xml:space="preserve"> </w:t>
      </w:r>
      <w:r w:rsidRPr="003861B6">
        <w:rPr>
          <w:lang w:val="fr-FR"/>
        </w:rPr>
        <w:t xml:space="preserve">d’analyse des données et fournit les produits de l’évaluation </w:t>
      </w:r>
    </w:p>
    <w:p w:rsidR="000800DC" w:rsidRPr="003861B6" w:rsidRDefault="000800DC" w:rsidP="00B77BE6">
      <w:pPr>
        <w:pStyle w:val="ListParagraph"/>
        <w:numPr>
          <w:ilvl w:val="0"/>
          <w:numId w:val="20"/>
        </w:numPr>
        <w:jc w:val="both"/>
        <w:rPr>
          <w:lang w:val="fr-FR"/>
        </w:rPr>
      </w:pPr>
      <w:r w:rsidRPr="003861B6">
        <w:rPr>
          <w:lang w:val="fr-FR"/>
        </w:rPr>
        <w:t>Veille à la bonne exécution de la mission d’évaluation</w:t>
      </w:r>
    </w:p>
    <w:p w:rsidR="000800DC" w:rsidRPr="003861B6" w:rsidRDefault="00B77BE6" w:rsidP="00B77BE6">
      <w:pPr>
        <w:pStyle w:val="ListParagraph"/>
        <w:numPr>
          <w:ilvl w:val="0"/>
          <w:numId w:val="20"/>
        </w:numPr>
        <w:jc w:val="both"/>
        <w:rPr>
          <w:lang w:val="fr-FR"/>
        </w:rPr>
      </w:pPr>
      <w:r w:rsidRPr="003861B6">
        <w:rPr>
          <w:lang w:val="fr-FR"/>
        </w:rPr>
        <w:t xml:space="preserve">Elabore </w:t>
      </w:r>
      <w:r w:rsidR="000800DC" w:rsidRPr="003861B6">
        <w:rPr>
          <w:lang w:val="fr-FR"/>
        </w:rPr>
        <w:t>le draft et le rapport final en français</w:t>
      </w:r>
    </w:p>
    <w:p w:rsidR="000800DC" w:rsidRPr="003861B6" w:rsidRDefault="000800DC" w:rsidP="00B77BE6">
      <w:pPr>
        <w:pStyle w:val="ListParagraph"/>
        <w:numPr>
          <w:ilvl w:val="0"/>
          <w:numId w:val="20"/>
        </w:numPr>
        <w:jc w:val="both"/>
        <w:rPr>
          <w:lang w:val="fr-FR"/>
        </w:rPr>
      </w:pPr>
      <w:r w:rsidRPr="003861B6">
        <w:rPr>
          <w:lang w:val="fr-FR"/>
        </w:rPr>
        <w:t>Prépare et produi</w:t>
      </w:r>
      <w:r w:rsidR="003E180B">
        <w:rPr>
          <w:lang w:val="fr-FR"/>
        </w:rPr>
        <w:t>t</w:t>
      </w:r>
      <w:r w:rsidRPr="003861B6">
        <w:rPr>
          <w:lang w:val="fr-FR"/>
        </w:rPr>
        <w:t xml:space="preserve"> une restitution sous forme d’une  présentation PowerPoint</w:t>
      </w:r>
    </w:p>
    <w:p w:rsidR="000800DC" w:rsidRPr="003861B6" w:rsidRDefault="000800DC" w:rsidP="000800DC">
      <w:pPr>
        <w:pStyle w:val="ListParagraph"/>
        <w:spacing w:before="100" w:beforeAutospacing="1" w:after="100" w:afterAutospacing="1" w:line="312" w:lineRule="auto"/>
        <w:rPr>
          <w:rFonts w:eastAsia="Times New Roman" w:cs="Times New Roman"/>
          <w:bCs/>
          <w:color w:val="333333"/>
          <w:lang w:val="fr-FR"/>
        </w:rPr>
      </w:pPr>
    </w:p>
    <w:p w:rsidR="00FC4DEA" w:rsidRPr="003861B6" w:rsidRDefault="00FC4DEA" w:rsidP="000800DC">
      <w:pPr>
        <w:pStyle w:val="ListParagraph"/>
        <w:numPr>
          <w:ilvl w:val="0"/>
          <w:numId w:val="18"/>
        </w:numPr>
        <w:spacing w:before="100" w:beforeAutospacing="1" w:after="100" w:afterAutospacing="1" w:line="312" w:lineRule="auto"/>
        <w:rPr>
          <w:rFonts w:eastAsia="Times New Roman" w:cs="Times New Roman"/>
          <w:bCs/>
          <w:i/>
          <w:color w:val="333333"/>
          <w:lang w:val="fr-FR"/>
        </w:rPr>
      </w:pPr>
      <w:r w:rsidRPr="003861B6">
        <w:rPr>
          <w:rFonts w:eastAsia="Times New Roman" w:cs="Times New Roman"/>
          <w:bCs/>
          <w:i/>
          <w:color w:val="333333"/>
          <w:lang w:val="fr-FR"/>
        </w:rPr>
        <w:t xml:space="preserve">Un consultant national </w:t>
      </w:r>
      <w:r w:rsidR="000800DC" w:rsidRPr="003861B6">
        <w:rPr>
          <w:rFonts w:eastAsia="Times New Roman" w:cs="Times New Roman"/>
          <w:bCs/>
          <w:i/>
          <w:color w:val="333333"/>
          <w:lang w:val="fr-FR"/>
        </w:rPr>
        <w:t xml:space="preserve">spécialiste en organisation et relèvement communautaire post conflit  </w:t>
      </w:r>
    </w:p>
    <w:p w:rsidR="00B77BE6" w:rsidRPr="003861B6" w:rsidRDefault="00B77BE6" w:rsidP="00B77BE6">
      <w:pPr>
        <w:pStyle w:val="ListParagraph"/>
        <w:numPr>
          <w:ilvl w:val="0"/>
          <w:numId w:val="21"/>
        </w:numPr>
        <w:jc w:val="both"/>
        <w:rPr>
          <w:lang w:val="fr-FR"/>
        </w:rPr>
      </w:pPr>
      <w:r w:rsidRPr="003861B6">
        <w:rPr>
          <w:lang w:val="fr-FR"/>
        </w:rPr>
        <w:t xml:space="preserve">Soumet la méthodologie d’évaluation des effets  et des capacités organisationnelles des communautés et un calendrier à l’équipe ; </w:t>
      </w:r>
    </w:p>
    <w:p w:rsidR="00B77BE6" w:rsidRPr="003861B6" w:rsidRDefault="00B77BE6" w:rsidP="00B77BE6">
      <w:pPr>
        <w:pStyle w:val="ListParagraph"/>
        <w:numPr>
          <w:ilvl w:val="0"/>
          <w:numId w:val="21"/>
        </w:numPr>
        <w:jc w:val="both"/>
        <w:rPr>
          <w:lang w:val="fr-FR"/>
        </w:rPr>
      </w:pPr>
      <w:r w:rsidRPr="003861B6">
        <w:rPr>
          <w:lang w:val="fr-FR"/>
        </w:rPr>
        <w:t>Conduit l’exercice de collecte (interview, questionnaires, collecte de documents</w:t>
      </w:r>
      <w:r w:rsidR="003E180B">
        <w:rPr>
          <w:lang w:val="fr-FR"/>
        </w:rPr>
        <w:t>,</w:t>
      </w:r>
      <w:r w:rsidRPr="003861B6">
        <w:rPr>
          <w:lang w:val="fr-FR"/>
        </w:rPr>
        <w:t xml:space="preserve"> etc)</w:t>
      </w:r>
      <w:r w:rsidR="003E180B">
        <w:rPr>
          <w:lang w:val="fr-FR"/>
        </w:rPr>
        <w:t>,</w:t>
      </w:r>
      <w:r w:rsidRPr="003861B6">
        <w:rPr>
          <w:lang w:val="fr-FR"/>
        </w:rPr>
        <w:t xml:space="preserve"> d’analyse des données et fournit les produits de l’évaluation </w:t>
      </w:r>
    </w:p>
    <w:p w:rsidR="00B77BE6" w:rsidRPr="003861B6" w:rsidRDefault="00B77BE6" w:rsidP="00B77BE6">
      <w:pPr>
        <w:pStyle w:val="ListParagraph"/>
        <w:numPr>
          <w:ilvl w:val="0"/>
          <w:numId w:val="21"/>
        </w:numPr>
        <w:jc w:val="both"/>
        <w:rPr>
          <w:lang w:val="fr-FR"/>
        </w:rPr>
      </w:pPr>
      <w:r w:rsidRPr="003861B6">
        <w:rPr>
          <w:lang w:val="fr-FR"/>
        </w:rPr>
        <w:t xml:space="preserve">Fournit des in put à la demande des autres membres </w:t>
      </w:r>
    </w:p>
    <w:p w:rsidR="00B77BE6" w:rsidRPr="003861B6" w:rsidRDefault="00B77BE6" w:rsidP="00B77BE6">
      <w:pPr>
        <w:pStyle w:val="ListParagraph"/>
        <w:numPr>
          <w:ilvl w:val="0"/>
          <w:numId w:val="21"/>
        </w:numPr>
        <w:jc w:val="both"/>
        <w:rPr>
          <w:lang w:val="fr-FR"/>
        </w:rPr>
      </w:pPr>
      <w:r w:rsidRPr="003861B6">
        <w:rPr>
          <w:lang w:val="fr-FR"/>
        </w:rPr>
        <w:t xml:space="preserve">Propose un draft en français aux membres </w:t>
      </w:r>
    </w:p>
    <w:p w:rsidR="00B77BE6" w:rsidRPr="003861B6" w:rsidRDefault="00B77BE6" w:rsidP="00B77BE6">
      <w:pPr>
        <w:pStyle w:val="ListParagraph"/>
        <w:numPr>
          <w:ilvl w:val="0"/>
          <w:numId w:val="21"/>
        </w:numPr>
        <w:jc w:val="both"/>
        <w:rPr>
          <w:lang w:val="fr-FR"/>
        </w:rPr>
      </w:pPr>
      <w:r w:rsidRPr="003861B6">
        <w:rPr>
          <w:lang w:val="fr-FR"/>
        </w:rPr>
        <w:t>Prépare et produi</w:t>
      </w:r>
      <w:r w:rsidR="003E180B">
        <w:rPr>
          <w:lang w:val="fr-FR"/>
        </w:rPr>
        <w:t>t</w:t>
      </w:r>
      <w:r w:rsidRPr="003861B6">
        <w:rPr>
          <w:lang w:val="fr-FR"/>
        </w:rPr>
        <w:t xml:space="preserve"> une restitution sous forme d’une  présentation PowerPoint</w:t>
      </w:r>
    </w:p>
    <w:p w:rsidR="00B77BE6" w:rsidRPr="003861B6" w:rsidRDefault="00B77BE6" w:rsidP="00B77BE6">
      <w:pPr>
        <w:pStyle w:val="ListParagraph"/>
        <w:spacing w:before="100" w:beforeAutospacing="1" w:after="100" w:afterAutospacing="1" w:line="312" w:lineRule="auto"/>
        <w:rPr>
          <w:rFonts w:eastAsia="Times New Roman" w:cs="Times New Roman"/>
          <w:bCs/>
          <w:color w:val="333333"/>
          <w:lang w:val="fr-FR"/>
        </w:rPr>
      </w:pPr>
    </w:p>
    <w:p w:rsidR="00FC4DEA" w:rsidRPr="003861B6" w:rsidRDefault="00FC4DEA" w:rsidP="000800DC">
      <w:pPr>
        <w:pStyle w:val="ListParagraph"/>
        <w:numPr>
          <w:ilvl w:val="0"/>
          <w:numId w:val="18"/>
        </w:numPr>
        <w:spacing w:before="100" w:beforeAutospacing="1" w:after="100" w:afterAutospacing="1" w:line="312" w:lineRule="auto"/>
        <w:rPr>
          <w:rFonts w:eastAsia="Times New Roman" w:cs="Times New Roman"/>
          <w:bCs/>
          <w:i/>
          <w:color w:val="333333"/>
          <w:lang w:val="fr-FR"/>
        </w:rPr>
      </w:pPr>
      <w:r w:rsidRPr="003861B6">
        <w:rPr>
          <w:rFonts w:eastAsia="Times New Roman" w:cs="Times New Roman"/>
          <w:bCs/>
          <w:i/>
          <w:color w:val="333333"/>
          <w:lang w:val="fr-FR"/>
        </w:rPr>
        <w:t>Un consultant national</w:t>
      </w:r>
      <w:r w:rsidR="000800DC" w:rsidRPr="003861B6">
        <w:rPr>
          <w:rFonts w:eastAsia="Times New Roman" w:cs="Times New Roman"/>
          <w:bCs/>
          <w:i/>
          <w:color w:val="333333"/>
          <w:lang w:val="fr-FR"/>
        </w:rPr>
        <w:t xml:space="preserve"> spécialiste de micro projet </w:t>
      </w:r>
    </w:p>
    <w:p w:rsidR="00B77BE6" w:rsidRPr="003861B6" w:rsidRDefault="00B77BE6" w:rsidP="00B77BE6">
      <w:pPr>
        <w:pStyle w:val="ListParagraph"/>
        <w:numPr>
          <w:ilvl w:val="0"/>
          <w:numId w:val="22"/>
        </w:numPr>
        <w:jc w:val="both"/>
        <w:rPr>
          <w:lang w:val="fr-FR"/>
        </w:rPr>
      </w:pPr>
      <w:r w:rsidRPr="003861B6">
        <w:rPr>
          <w:lang w:val="fr-FR"/>
        </w:rPr>
        <w:t xml:space="preserve">Soumet la méthodologie d’évaluation des effets  des activités liées à la promotion des micro projets et un calendrier à l’équipe ; </w:t>
      </w:r>
    </w:p>
    <w:p w:rsidR="00B77BE6" w:rsidRPr="003861B6" w:rsidRDefault="00B77BE6" w:rsidP="00B77BE6">
      <w:pPr>
        <w:pStyle w:val="ListParagraph"/>
        <w:numPr>
          <w:ilvl w:val="0"/>
          <w:numId w:val="22"/>
        </w:numPr>
        <w:jc w:val="both"/>
        <w:rPr>
          <w:lang w:val="fr-FR"/>
        </w:rPr>
      </w:pPr>
      <w:r w:rsidRPr="003861B6">
        <w:rPr>
          <w:lang w:val="fr-FR"/>
        </w:rPr>
        <w:t>Conduit l’exercice de collecte (interview, questionnaires, collecte de documents</w:t>
      </w:r>
      <w:r w:rsidR="001B0171">
        <w:rPr>
          <w:lang w:val="fr-FR"/>
        </w:rPr>
        <w:t>,</w:t>
      </w:r>
      <w:r w:rsidRPr="003861B6">
        <w:rPr>
          <w:lang w:val="fr-FR"/>
        </w:rPr>
        <w:t xml:space="preserve"> etc</w:t>
      </w:r>
      <w:r w:rsidR="008C3AB5">
        <w:rPr>
          <w:lang w:val="fr-FR"/>
        </w:rPr>
        <w:t>.</w:t>
      </w:r>
      <w:r w:rsidRPr="003861B6">
        <w:rPr>
          <w:lang w:val="fr-FR"/>
        </w:rPr>
        <w:t>)</w:t>
      </w:r>
      <w:r w:rsidR="001B0171">
        <w:rPr>
          <w:lang w:val="fr-FR"/>
        </w:rPr>
        <w:t>,</w:t>
      </w:r>
      <w:r w:rsidRPr="003861B6">
        <w:rPr>
          <w:lang w:val="fr-FR"/>
        </w:rPr>
        <w:t xml:space="preserve"> d’analyse des données et fournit les produits de l’évaluation </w:t>
      </w:r>
    </w:p>
    <w:p w:rsidR="00B77BE6" w:rsidRPr="003861B6" w:rsidRDefault="00B77BE6" w:rsidP="00B77BE6">
      <w:pPr>
        <w:pStyle w:val="ListParagraph"/>
        <w:numPr>
          <w:ilvl w:val="0"/>
          <w:numId w:val="22"/>
        </w:numPr>
        <w:jc w:val="both"/>
        <w:rPr>
          <w:lang w:val="fr-FR"/>
        </w:rPr>
      </w:pPr>
      <w:r w:rsidRPr="003861B6">
        <w:rPr>
          <w:lang w:val="fr-FR"/>
        </w:rPr>
        <w:t xml:space="preserve">Fournit des in put à la demande des autres membres </w:t>
      </w:r>
    </w:p>
    <w:p w:rsidR="00B77BE6" w:rsidRPr="003861B6" w:rsidRDefault="00B77BE6" w:rsidP="00B77BE6">
      <w:pPr>
        <w:pStyle w:val="ListParagraph"/>
        <w:numPr>
          <w:ilvl w:val="0"/>
          <w:numId w:val="22"/>
        </w:numPr>
        <w:jc w:val="both"/>
        <w:rPr>
          <w:lang w:val="fr-FR"/>
        </w:rPr>
      </w:pPr>
      <w:r w:rsidRPr="003861B6">
        <w:rPr>
          <w:lang w:val="fr-FR"/>
        </w:rPr>
        <w:t xml:space="preserve">Propose un draft en français aux membres </w:t>
      </w:r>
    </w:p>
    <w:p w:rsidR="00B77BE6" w:rsidRPr="003861B6" w:rsidRDefault="00B77BE6" w:rsidP="00B77BE6">
      <w:pPr>
        <w:pStyle w:val="ListParagraph"/>
        <w:numPr>
          <w:ilvl w:val="0"/>
          <w:numId w:val="22"/>
        </w:numPr>
        <w:jc w:val="both"/>
        <w:rPr>
          <w:lang w:val="fr-FR"/>
        </w:rPr>
      </w:pPr>
      <w:r w:rsidRPr="003861B6">
        <w:rPr>
          <w:lang w:val="fr-FR"/>
        </w:rPr>
        <w:t>Prépare et produi</w:t>
      </w:r>
      <w:r w:rsidR="001B0171">
        <w:rPr>
          <w:lang w:val="fr-FR"/>
        </w:rPr>
        <w:t>t</w:t>
      </w:r>
      <w:r w:rsidRPr="003861B6">
        <w:rPr>
          <w:lang w:val="fr-FR"/>
        </w:rPr>
        <w:t xml:space="preserve"> une restitution sous forme d’une  présentation PowerPoint</w:t>
      </w:r>
    </w:p>
    <w:p w:rsidR="000800DC" w:rsidRPr="000800DC" w:rsidRDefault="000800DC" w:rsidP="000800DC">
      <w:pPr>
        <w:pStyle w:val="ListParagraph"/>
        <w:rPr>
          <w:rFonts w:ascii="Verdana" w:eastAsia="Times New Roman" w:hAnsi="Verdana" w:cs="Times New Roman"/>
          <w:bCs/>
          <w:color w:val="333333"/>
          <w:sz w:val="20"/>
          <w:szCs w:val="20"/>
          <w:lang w:val="fr-FR"/>
        </w:rPr>
      </w:pPr>
    </w:p>
    <w:p w:rsidR="007828FC" w:rsidRDefault="000800DC" w:rsidP="000800DC">
      <w:pPr>
        <w:spacing w:before="100" w:beforeAutospacing="1" w:after="100" w:afterAutospacing="1" w:line="312" w:lineRule="auto"/>
        <w:rPr>
          <w:rFonts w:ascii="Verdana" w:eastAsia="Times New Roman" w:hAnsi="Verdana" w:cs="Times New Roman"/>
          <w:b/>
          <w:bCs/>
          <w:color w:val="333333"/>
          <w:sz w:val="20"/>
          <w:szCs w:val="20"/>
          <w:lang w:val="fr-FR"/>
        </w:rPr>
      </w:pPr>
      <w:r w:rsidRPr="000800DC">
        <w:rPr>
          <w:rFonts w:ascii="Verdana" w:eastAsia="Times New Roman" w:hAnsi="Verdana" w:cs="Times New Roman"/>
          <w:b/>
          <w:bCs/>
          <w:color w:val="333333"/>
          <w:sz w:val="20"/>
          <w:szCs w:val="20"/>
          <w:lang w:val="fr-FR"/>
        </w:rPr>
        <w:t>7.2. Qualification</w:t>
      </w:r>
      <w:r w:rsidR="007828FC">
        <w:rPr>
          <w:rFonts w:ascii="Verdana" w:eastAsia="Times New Roman" w:hAnsi="Verdana" w:cs="Times New Roman"/>
          <w:b/>
          <w:bCs/>
          <w:color w:val="333333"/>
          <w:sz w:val="20"/>
          <w:szCs w:val="20"/>
          <w:lang w:val="fr-FR"/>
        </w:rPr>
        <w:t>s</w:t>
      </w:r>
    </w:p>
    <w:p w:rsidR="000800DC" w:rsidRPr="00F142B7" w:rsidRDefault="007828FC" w:rsidP="000800DC">
      <w:pPr>
        <w:spacing w:before="100" w:beforeAutospacing="1" w:after="100" w:afterAutospacing="1" w:line="312" w:lineRule="auto"/>
        <w:rPr>
          <w:rFonts w:eastAsia="Times New Roman" w:cs="Times New Roman"/>
          <w:b/>
          <w:bCs/>
          <w:color w:val="333333"/>
          <w:lang w:val="fr-FR"/>
        </w:rPr>
      </w:pPr>
      <w:r w:rsidRPr="00F142B7">
        <w:rPr>
          <w:rFonts w:eastAsia="Times New Roman" w:cs="Times New Roman"/>
          <w:b/>
          <w:bCs/>
          <w:color w:val="333333"/>
          <w:lang w:val="fr-FR"/>
        </w:rPr>
        <w:t xml:space="preserve">Consultant </w:t>
      </w:r>
      <w:r w:rsidR="00422AF9" w:rsidRPr="00F142B7">
        <w:rPr>
          <w:rFonts w:eastAsia="Times New Roman" w:cs="Times New Roman"/>
          <w:b/>
          <w:bCs/>
          <w:color w:val="333333"/>
          <w:lang w:val="fr-FR"/>
        </w:rPr>
        <w:t>International</w:t>
      </w:r>
      <w:r w:rsidR="000800DC" w:rsidRPr="00F142B7">
        <w:rPr>
          <w:rFonts w:eastAsia="Times New Roman" w:cs="Times New Roman"/>
          <w:b/>
          <w:bCs/>
          <w:color w:val="333333"/>
          <w:lang w:val="fr-FR"/>
        </w:rPr>
        <w:t xml:space="preserve"> </w:t>
      </w:r>
    </w:p>
    <w:p w:rsidR="00422AF9" w:rsidRPr="00F142B7" w:rsidRDefault="00422AF9" w:rsidP="00422AF9">
      <w:pPr>
        <w:numPr>
          <w:ilvl w:val="0"/>
          <w:numId w:val="23"/>
        </w:numPr>
        <w:jc w:val="both"/>
        <w:rPr>
          <w:rFonts w:cs="Arial"/>
          <w:lang w:val="fr-FR"/>
        </w:rPr>
      </w:pPr>
      <w:r w:rsidRPr="00F142B7">
        <w:rPr>
          <w:rFonts w:cs="Arial"/>
          <w:lang w:val="fr-FR"/>
        </w:rPr>
        <w:t>Diplôme du troisième cycle en Sciences Politiques, Juridiques, Sociales ou Economie.</w:t>
      </w:r>
    </w:p>
    <w:p w:rsidR="008A6B66" w:rsidRPr="00F142B7" w:rsidRDefault="00AC140D" w:rsidP="008A6B66">
      <w:pPr>
        <w:numPr>
          <w:ilvl w:val="0"/>
          <w:numId w:val="23"/>
        </w:numPr>
        <w:jc w:val="both"/>
        <w:rPr>
          <w:lang w:val="fr-FR"/>
        </w:rPr>
      </w:pPr>
      <w:r w:rsidRPr="00F142B7">
        <w:rPr>
          <w:lang w:val="fr-FR"/>
        </w:rPr>
        <w:lastRenderedPageBreak/>
        <w:t xml:space="preserve">Avoir </w:t>
      </w:r>
      <w:r w:rsidR="008A6B66" w:rsidRPr="00F142B7">
        <w:rPr>
          <w:lang w:val="fr-FR"/>
        </w:rPr>
        <w:t>10 ans au moins d’expérience dans le domaine de</w:t>
      </w:r>
      <w:r w:rsidR="001B0171" w:rsidRPr="00F142B7">
        <w:rPr>
          <w:lang w:val="fr-FR"/>
        </w:rPr>
        <w:t xml:space="preserve"> la</w:t>
      </w:r>
      <w:r w:rsidR="008A6B66" w:rsidRPr="00F142B7">
        <w:rPr>
          <w:lang w:val="fr-FR"/>
        </w:rPr>
        <w:t xml:space="preserve"> gestion de programme</w:t>
      </w:r>
      <w:r w:rsidR="001B0171" w:rsidRPr="00F142B7">
        <w:rPr>
          <w:lang w:val="fr-FR"/>
        </w:rPr>
        <w:t>s</w:t>
      </w:r>
      <w:r w:rsidR="008A6B66" w:rsidRPr="00F142B7">
        <w:rPr>
          <w:lang w:val="fr-FR"/>
        </w:rPr>
        <w:t xml:space="preserve"> de relèvement post conflit, </w:t>
      </w:r>
    </w:p>
    <w:p w:rsidR="008A6B66" w:rsidRPr="00F142B7" w:rsidRDefault="00422AF9" w:rsidP="008A6B66">
      <w:pPr>
        <w:numPr>
          <w:ilvl w:val="0"/>
          <w:numId w:val="23"/>
        </w:numPr>
        <w:rPr>
          <w:lang w:val="fr-FR"/>
        </w:rPr>
      </w:pPr>
      <w:r w:rsidRPr="00F142B7">
        <w:rPr>
          <w:lang w:val="fr-FR"/>
        </w:rPr>
        <w:t>Avoir au moins 10 ans d’expérience</w:t>
      </w:r>
      <w:r w:rsidR="008A6B66" w:rsidRPr="00F142B7">
        <w:rPr>
          <w:lang w:val="fr-FR"/>
        </w:rPr>
        <w:t xml:space="preserve"> de gestion de programme</w:t>
      </w:r>
      <w:r w:rsidR="001B0171" w:rsidRPr="00F142B7">
        <w:rPr>
          <w:lang w:val="fr-FR"/>
        </w:rPr>
        <w:t>s</w:t>
      </w:r>
      <w:r w:rsidR="008A6B66" w:rsidRPr="00F142B7">
        <w:rPr>
          <w:lang w:val="fr-FR"/>
        </w:rPr>
        <w:t xml:space="preserve"> de DDR, de développement communautaire</w:t>
      </w:r>
      <w:r w:rsidR="001B0171" w:rsidRPr="00F142B7">
        <w:rPr>
          <w:lang w:val="fr-FR"/>
        </w:rPr>
        <w:t xml:space="preserve"> et</w:t>
      </w:r>
      <w:r w:rsidR="008A6B66" w:rsidRPr="00F142B7">
        <w:rPr>
          <w:lang w:val="fr-FR"/>
        </w:rPr>
        <w:t xml:space="preserve"> de   promotion de micro projet</w:t>
      </w:r>
      <w:r w:rsidR="001B0171" w:rsidRPr="00F142B7">
        <w:rPr>
          <w:lang w:val="fr-FR"/>
        </w:rPr>
        <w:t>s</w:t>
      </w:r>
      <w:r w:rsidR="008A6B66" w:rsidRPr="00F142B7">
        <w:rPr>
          <w:lang w:val="fr-FR"/>
        </w:rPr>
        <w:t xml:space="preserve"> </w:t>
      </w:r>
    </w:p>
    <w:p w:rsidR="001B0171" w:rsidRPr="00F142B7" w:rsidRDefault="00AC140D" w:rsidP="00422AF9">
      <w:pPr>
        <w:numPr>
          <w:ilvl w:val="0"/>
          <w:numId w:val="23"/>
        </w:numPr>
        <w:jc w:val="both"/>
        <w:rPr>
          <w:rFonts w:cs="Arial"/>
          <w:lang w:val="fr-FR"/>
        </w:rPr>
      </w:pPr>
      <w:r w:rsidRPr="00F142B7">
        <w:rPr>
          <w:lang w:val="fr-FR"/>
        </w:rPr>
        <w:t>Disposer d’e</w:t>
      </w:r>
      <w:r w:rsidR="008A6B66" w:rsidRPr="00F142B7">
        <w:rPr>
          <w:lang w:val="fr-FR"/>
        </w:rPr>
        <w:t>xcellente</w:t>
      </w:r>
      <w:r w:rsidRPr="00F142B7">
        <w:rPr>
          <w:lang w:val="fr-FR"/>
        </w:rPr>
        <w:t>s</w:t>
      </w:r>
      <w:r w:rsidR="008A6B66" w:rsidRPr="00F142B7">
        <w:rPr>
          <w:lang w:val="fr-FR"/>
        </w:rPr>
        <w:t xml:space="preserve"> capacité</w:t>
      </w:r>
      <w:r w:rsidRPr="00F142B7">
        <w:rPr>
          <w:lang w:val="fr-FR"/>
        </w:rPr>
        <w:t>s</w:t>
      </w:r>
      <w:r w:rsidR="008A6B66" w:rsidRPr="00F142B7">
        <w:rPr>
          <w:lang w:val="fr-FR"/>
        </w:rPr>
        <w:t xml:space="preserve"> d’analyse</w:t>
      </w:r>
      <w:r w:rsidR="00422AF9" w:rsidRPr="00F142B7">
        <w:rPr>
          <w:lang w:val="fr-FR"/>
        </w:rPr>
        <w:t xml:space="preserve"> et </w:t>
      </w:r>
      <w:r w:rsidR="008A6B66" w:rsidRPr="00F142B7">
        <w:rPr>
          <w:lang w:val="fr-FR"/>
        </w:rPr>
        <w:t xml:space="preserve"> de synthèse</w:t>
      </w:r>
      <w:r w:rsidR="00422AF9" w:rsidRPr="00F142B7">
        <w:rPr>
          <w:lang w:val="fr-FR"/>
        </w:rPr>
        <w:t>.</w:t>
      </w:r>
      <w:r w:rsidR="008A6B66" w:rsidRPr="00F142B7">
        <w:rPr>
          <w:lang w:val="fr-FR"/>
        </w:rPr>
        <w:t xml:space="preserve"> </w:t>
      </w:r>
    </w:p>
    <w:p w:rsidR="00422AF9" w:rsidRPr="00F142B7" w:rsidRDefault="00422AF9" w:rsidP="00422AF9">
      <w:pPr>
        <w:numPr>
          <w:ilvl w:val="0"/>
          <w:numId w:val="23"/>
        </w:numPr>
        <w:jc w:val="both"/>
        <w:rPr>
          <w:rFonts w:cs="Arial"/>
          <w:lang w:val="fr-FR"/>
        </w:rPr>
      </w:pPr>
      <w:r w:rsidRPr="00F142B7">
        <w:rPr>
          <w:rFonts w:cs="Arial"/>
          <w:lang w:val="fr-FR"/>
        </w:rPr>
        <w:t>Bonne connaissance des réalités africaines en général ou des particularités centrafricaines</w:t>
      </w:r>
    </w:p>
    <w:p w:rsidR="00DD0DAA" w:rsidRPr="00F142B7" w:rsidRDefault="00AC140D" w:rsidP="00AC140D">
      <w:pPr>
        <w:numPr>
          <w:ilvl w:val="0"/>
          <w:numId w:val="23"/>
        </w:numPr>
        <w:rPr>
          <w:rFonts w:eastAsia="Times New Roman" w:cs="Times New Roman"/>
          <w:bCs/>
          <w:color w:val="333333"/>
          <w:lang w:val="fr-FR"/>
        </w:rPr>
      </w:pPr>
      <w:r w:rsidRPr="00F142B7">
        <w:rPr>
          <w:lang w:val="fr-FR"/>
        </w:rPr>
        <w:t xml:space="preserve">Garder son indépendance vis-à-vis du PNUD et des institutions ou organisations impliquées dans </w:t>
      </w:r>
      <w:r w:rsidR="00DD0DAA" w:rsidRPr="00F142B7">
        <w:rPr>
          <w:rFonts w:eastAsia="Times New Roman" w:cs="Times New Roman"/>
          <w:bCs/>
          <w:color w:val="333333"/>
          <w:lang w:val="fr-FR"/>
        </w:rPr>
        <w:t xml:space="preserve">l’élaboration, l’exécution ou le conseil concernant un aspect de l’intervention </w:t>
      </w:r>
      <w:r w:rsidRPr="00F142B7">
        <w:rPr>
          <w:rFonts w:eastAsia="Times New Roman" w:cs="Times New Roman"/>
          <w:bCs/>
          <w:color w:val="333333"/>
          <w:lang w:val="fr-FR"/>
        </w:rPr>
        <w:t xml:space="preserve">du projet </w:t>
      </w:r>
      <w:r w:rsidR="00DD0DAA" w:rsidRPr="00F142B7">
        <w:rPr>
          <w:rFonts w:eastAsia="Times New Roman" w:cs="Times New Roman"/>
          <w:bCs/>
          <w:color w:val="333333"/>
          <w:lang w:val="fr-FR"/>
        </w:rPr>
        <w:t xml:space="preserve">qui fait l’objet de l’évaluation.   </w:t>
      </w:r>
    </w:p>
    <w:p w:rsidR="00422AF9" w:rsidRPr="00F142B7" w:rsidRDefault="00422AF9" w:rsidP="00422AF9">
      <w:pPr>
        <w:numPr>
          <w:ilvl w:val="0"/>
          <w:numId w:val="23"/>
        </w:numPr>
        <w:jc w:val="both"/>
        <w:rPr>
          <w:rFonts w:cs="Arial"/>
          <w:lang w:val="fr-FR"/>
        </w:rPr>
      </w:pPr>
      <w:r w:rsidRPr="00F142B7">
        <w:rPr>
          <w:rFonts w:cs="Arial"/>
          <w:lang w:val="fr-FR"/>
        </w:rPr>
        <w:t>Bonne maîtrise du  français, la connaissance de l’anglais étant un avantage.</w:t>
      </w:r>
    </w:p>
    <w:p w:rsidR="00422AF9" w:rsidRPr="000800DC" w:rsidRDefault="00422AF9" w:rsidP="00422AF9">
      <w:pPr>
        <w:spacing w:before="100" w:beforeAutospacing="1" w:after="100" w:afterAutospacing="1" w:line="312" w:lineRule="auto"/>
        <w:rPr>
          <w:rFonts w:ascii="Verdana" w:eastAsia="Times New Roman" w:hAnsi="Verdana" w:cs="Times New Roman"/>
          <w:b/>
          <w:bCs/>
          <w:color w:val="333333"/>
          <w:sz w:val="20"/>
          <w:szCs w:val="20"/>
          <w:lang w:val="fr-FR"/>
        </w:rPr>
      </w:pPr>
      <w:r>
        <w:rPr>
          <w:rFonts w:ascii="Verdana" w:eastAsia="Times New Roman" w:hAnsi="Verdana" w:cs="Times New Roman"/>
          <w:b/>
          <w:bCs/>
          <w:color w:val="333333"/>
          <w:sz w:val="20"/>
          <w:szCs w:val="20"/>
          <w:lang w:val="fr-FR"/>
        </w:rPr>
        <w:t>Consultants Nationaux</w:t>
      </w:r>
    </w:p>
    <w:p w:rsidR="00422AF9" w:rsidRPr="00F142B7" w:rsidRDefault="00422AF9" w:rsidP="00422AF9">
      <w:pPr>
        <w:numPr>
          <w:ilvl w:val="0"/>
          <w:numId w:val="34"/>
        </w:numPr>
        <w:jc w:val="both"/>
        <w:rPr>
          <w:rFonts w:cs="Arial"/>
          <w:lang w:val="fr-FR"/>
        </w:rPr>
      </w:pPr>
      <w:r w:rsidRPr="00F142B7">
        <w:rPr>
          <w:rFonts w:cs="Arial"/>
          <w:lang w:val="fr-FR"/>
        </w:rPr>
        <w:t>Maîtrise en Sciences Politiques, Juridiques, Sociales ou Economie.</w:t>
      </w:r>
    </w:p>
    <w:p w:rsidR="00422AF9" w:rsidRPr="00F142B7" w:rsidRDefault="00422AF9" w:rsidP="00422AF9">
      <w:pPr>
        <w:numPr>
          <w:ilvl w:val="0"/>
          <w:numId w:val="34"/>
        </w:numPr>
        <w:jc w:val="both"/>
        <w:rPr>
          <w:lang w:val="fr-FR"/>
        </w:rPr>
      </w:pPr>
      <w:r w:rsidRPr="00F142B7">
        <w:rPr>
          <w:lang w:val="fr-FR"/>
        </w:rPr>
        <w:t xml:space="preserve">Avoir au moins </w:t>
      </w:r>
      <w:r w:rsidR="007F521E" w:rsidRPr="00F142B7">
        <w:rPr>
          <w:lang w:val="fr-FR"/>
        </w:rPr>
        <w:t xml:space="preserve">de 5 ans </w:t>
      </w:r>
      <w:r w:rsidRPr="00F142B7">
        <w:rPr>
          <w:lang w:val="fr-FR"/>
        </w:rPr>
        <w:t xml:space="preserve">d’expérience dans le domaine de la gestion de programmes de relèvement post conflit, </w:t>
      </w:r>
    </w:p>
    <w:p w:rsidR="00422AF9" w:rsidRPr="00F142B7" w:rsidRDefault="00422AF9" w:rsidP="00422AF9">
      <w:pPr>
        <w:numPr>
          <w:ilvl w:val="0"/>
          <w:numId w:val="34"/>
        </w:numPr>
        <w:rPr>
          <w:lang w:val="fr-FR"/>
        </w:rPr>
      </w:pPr>
      <w:r w:rsidRPr="00F142B7">
        <w:rPr>
          <w:lang w:val="fr-FR"/>
        </w:rPr>
        <w:t xml:space="preserve">Avoir au moins </w:t>
      </w:r>
      <w:r w:rsidR="007F521E" w:rsidRPr="00F142B7">
        <w:rPr>
          <w:lang w:val="fr-FR"/>
        </w:rPr>
        <w:t>5</w:t>
      </w:r>
      <w:r w:rsidRPr="00F142B7">
        <w:rPr>
          <w:lang w:val="fr-FR"/>
        </w:rPr>
        <w:t xml:space="preserve"> ans d’expérience de gestion de programmes de DDR, de développement communautaire et de   promotion de micro projets </w:t>
      </w:r>
    </w:p>
    <w:p w:rsidR="00422AF9" w:rsidRPr="00F142B7" w:rsidRDefault="00422AF9" w:rsidP="00422AF9">
      <w:pPr>
        <w:numPr>
          <w:ilvl w:val="0"/>
          <w:numId w:val="34"/>
        </w:numPr>
        <w:jc w:val="both"/>
        <w:rPr>
          <w:rFonts w:cs="Arial"/>
          <w:lang w:val="fr-FR"/>
        </w:rPr>
      </w:pPr>
      <w:r w:rsidRPr="00F142B7">
        <w:rPr>
          <w:lang w:val="fr-FR"/>
        </w:rPr>
        <w:t xml:space="preserve">Disposer d’excellentes capacités d’analyse et  de synthèse. </w:t>
      </w:r>
    </w:p>
    <w:p w:rsidR="00422AF9" w:rsidRPr="00F142B7" w:rsidRDefault="00422AF9" w:rsidP="00422AF9">
      <w:pPr>
        <w:numPr>
          <w:ilvl w:val="0"/>
          <w:numId w:val="34"/>
        </w:numPr>
        <w:jc w:val="both"/>
        <w:rPr>
          <w:rFonts w:cs="Arial"/>
          <w:lang w:val="fr-FR"/>
        </w:rPr>
      </w:pPr>
      <w:r w:rsidRPr="00F142B7">
        <w:rPr>
          <w:rFonts w:cs="Arial"/>
          <w:lang w:val="fr-FR"/>
        </w:rPr>
        <w:t>Bonne connaissance des réalités centrafricaines</w:t>
      </w:r>
    </w:p>
    <w:p w:rsidR="00422AF9" w:rsidRPr="00F142B7" w:rsidRDefault="00422AF9" w:rsidP="00422AF9">
      <w:pPr>
        <w:numPr>
          <w:ilvl w:val="0"/>
          <w:numId w:val="34"/>
        </w:numPr>
        <w:rPr>
          <w:rFonts w:eastAsia="Times New Roman" w:cs="Times New Roman"/>
          <w:bCs/>
          <w:color w:val="333333"/>
          <w:lang w:val="fr-FR"/>
        </w:rPr>
      </w:pPr>
      <w:r w:rsidRPr="00F142B7">
        <w:rPr>
          <w:lang w:val="fr-FR"/>
        </w:rPr>
        <w:t xml:space="preserve">Garder son indépendance vis-à-vis du PNUD et des institutions ou organisations impliquées dans </w:t>
      </w:r>
      <w:r w:rsidRPr="00F142B7">
        <w:rPr>
          <w:rFonts w:eastAsia="Times New Roman" w:cs="Times New Roman"/>
          <w:bCs/>
          <w:color w:val="333333"/>
          <w:lang w:val="fr-FR"/>
        </w:rPr>
        <w:t xml:space="preserve">l’élaboration, l’exécution ou le conseil concernant un aspect de l’intervention du projet qui fait l’objet de l’évaluation.   </w:t>
      </w:r>
    </w:p>
    <w:p w:rsidR="00422AF9" w:rsidRPr="00F142B7" w:rsidRDefault="00422AF9" w:rsidP="00422AF9">
      <w:pPr>
        <w:numPr>
          <w:ilvl w:val="0"/>
          <w:numId w:val="34"/>
        </w:numPr>
        <w:jc w:val="both"/>
        <w:rPr>
          <w:rFonts w:cs="Arial"/>
          <w:lang w:val="fr-FR"/>
        </w:rPr>
      </w:pPr>
      <w:r w:rsidRPr="00F142B7">
        <w:rPr>
          <w:rFonts w:cs="Arial"/>
          <w:lang w:val="fr-FR"/>
        </w:rPr>
        <w:t>Bonne maîtrise du  français</w:t>
      </w:r>
      <w:r w:rsidR="007F521E" w:rsidRPr="00F142B7">
        <w:rPr>
          <w:rFonts w:cs="Arial"/>
          <w:lang w:val="fr-FR"/>
        </w:rPr>
        <w:t xml:space="preserve"> et du Sangho</w:t>
      </w:r>
      <w:r w:rsidRPr="00F142B7">
        <w:rPr>
          <w:rFonts w:cs="Arial"/>
          <w:lang w:val="fr-FR"/>
        </w:rPr>
        <w:t>.</w:t>
      </w:r>
    </w:p>
    <w:p w:rsidR="00AC140D" w:rsidRDefault="00AC140D" w:rsidP="00AC140D">
      <w:pPr>
        <w:spacing w:after="0" w:line="312" w:lineRule="auto"/>
        <w:outlineLvl w:val="5"/>
        <w:rPr>
          <w:rFonts w:ascii="Trebuchet MS" w:eastAsia="Times New Roman" w:hAnsi="Trebuchet MS" w:cs="Times New Roman"/>
          <w:color w:val="003399"/>
          <w:sz w:val="26"/>
          <w:szCs w:val="26"/>
          <w:lang w:val="fr-FR"/>
        </w:rPr>
      </w:pPr>
    </w:p>
    <w:p w:rsidR="00DD0DAA" w:rsidRPr="00AC140D" w:rsidRDefault="00DD0DAA" w:rsidP="00AC140D">
      <w:pPr>
        <w:spacing w:after="0" w:line="312" w:lineRule="auto"/>
        <w:outlineLvl w:val="5"/>
        <w:rPr>
          <w:rFonts w:ascii="Trebuchet MS" w:eastAsia="Times New Roman" w:hAnsi="Trebuchet MS" w:cs="Times New Roman"/>
          <w:color w:val="003399"/>
          <w:sz w:val="26"/>
          <w:szCs w:val="26"/>
          <w:lang w:val="fr-FR"/>
        </w:rPr>
      </w:pPr>
      <w:r w:rsidRPr="00AC140D">
        <w:rPr>
          <w:rFonts w:ascii="Trebuchet MS" w:eastAsia="Times New Roman" w:hAnsi="Trebuchet MS" w:cs="Times New Roman"/>
          <w:color w:val="003399"/>
          <w:sz w:val="26"/>
          <w:szCs w:val="26"/>
          <w:lang w:val="fr-FR"/>
        </w:rPr>
        <w:t>8. Ethique d’évaluation</w:t>
      </w:r>
    </w:p>
    <w:p w:rsidR="00DD0DAA" w:rsidRDefault="00AC140D" w:rsidP="00AC140D">
      <w:pPr>
        <w:spacing w:before="100" w:beforeAutospacing="1" w:after="100" w:afterAutospacing="1" w:line="312" w:lineRule="auto"/>
        <w:jc w:val="both"/>
        <w:rPr>
          <w:rFonts w:ascii="Verdana" w:eastAsia="Times New Roman" w:hAnsi="Verdana" w:cs="Times New Roman"/>
          <w:bCs/>
          <w:color w:val="333333"/>
          <w:sz w:val="20"/>
          <w:szCs w:val="20"/>
          <w:lang w:val="fr-FR"/>
        </w:rPr>
      </w:pPr>
      <w:r w:rsidRPr="003861B6">
        <w:rPr>
          <w:rFonts w:eastAsia="Times New Roman" w:cs="Times New Roman"/>
          <w:bCs/>
          <w:color w:val="333333"/>
          <w:lang w:val="fr-FR"/>
        </w:rPr>
        <w:t xml:space="preserve">La présente évaluation est conduite </w:t>
      </w:r>
      <w:r w:rsidR="00DD0DAA" w:rsidRPr="003861B6">
        <w:rPr>
          <w:rFonts w:eastAsia="Times New Roman" w:cs="Times New Roman"/>
          <w:bCs/>
          <w:color w:val="333333"/>
          <w:lang w:val="fr-FR"/>
        </w:rPr>
        <w:t xml:space="preserve">conformément aux principes mis en avant dans les </w:t>
      </w:r>
      <w:r w:rsidR="00DD0DAA" w:rsidRPr="003861B6">
        <w:rPr>
          <w:rFonts w:eastAsia="Times New Roman" w:cs="Times New Roman"/>
          <w:b/>
          <w:bCs/>
          <w:color w:val="333333"/>
          <w:u w:val="single"/>
          <w:lang w:val="fr-FR"/>
        </w:rPr>
        <w:t>« Directives éthiques pour l’évaluation »</w:t>
      </w:r>
      <w:r w:rsidR="00DD0DAA" w:rsidRPr="003861B6">
        <w:rPr>
          <w:rFonts w:eastAsia="Times New Roman" w:cs="Times New Roman"/>
          <w:bCs/>
          <w:color w:val="333333"/>
          <w:lang w:val="fr-FR"/>
        </w:rPr>
        <w:t xml:space="preserve"> de l’UNEG ’</w:t>
      </w:r>
      <w:hyperlink r:id="rId10" w:anchor="64" w:history="1">
        <w:r w:rsidR="00DD0DAA" w:rsidRPr="003861B6">
          <w:rPr>
            <w:rFonts w:eastAsia="Times New Roman" w:cs="Times New Roman"/>
            <w:bCs/>
            <w:color w:val="336699"/>
            <w:vertAlign w:val="superscript"/>
            <w:lang w:val="fr-FR"/>
          </w:rPr>
          <w:t>64</w:t>
        </w:r>
      </w:hyperlink>
      <w:r w:rsidR="00DD0DAA" w:rsidRPr="003861B6">
        <w:rPr>
          <w:rFonts w:eastAsia="Times New Roman" w:cs="Times New Roman"/>
          <w:bCs/>
          <w:color w:val="333333"/>
          <w:lang w:val="fr-FR"/>
        </w:rPr>
        <w:t xml:space="preserve"> </w:t>
      </w:r>
      <w:r w:rsidRPr="003861B6">
        <w:rPr>
          <w:rFonts w:eastAsia="Times New Roman" w:cs="Times New Roman"/>
          <w:bCs/>
          <w:color w:val="333333"/>
          <w:lang w:val="fr-FR"/>
        </w:rPr>
        <w:t xml:space="preserve">. Elle </w:t>
      </w:r>
      <w:r w:rsidR="00DD0DAA" w:rsidRPr="003861B6">
        <w:rPr>
          <w:rFonts w:eastAsia="Times New Roman" w:cs="Times New Roman"/>
          <w:bCs/>
          <w:color w:val="333333"/>
          <w:lang w:val="fr-FR"/>
        </w:rPr>
        <w:t>décri</w:t>
      </w:r>
      <w:r w:rsidRPr="003861B6">
        <w:rPr>
          <w:rFonts w:eastAsia="Times New Roman" w:cs="Times New Roman"/>
          <w:bCs/>
          <w:color w:val="333333"/>
          <w:lang w:val="fr-FR"/>
        </w:rPr>
        <w:t>t</w:t>
      </w:r>
      <w:r w:rsidR="00DD0DAA" w:rsidRPr="003861B6">
        <w:rPr>
          <w:rFonts w:eastAsia="Times New Roman" w:cs="Times New Roman"/>
          <w:bCs/>
          <w:color w:val="333333"/>
          <w:lang w:val="fr-FR"/>
        </w:rPr>
        <w:t xml:space="preserve"> les problèmes essentiels abord</w:t>
      </w:r>
      <w:r w:rsidRPr="003861B6">
        <w:rPr>
          <w:rFonts w:eastAsia="Times New Roman" w:cs="Times New Roman"/>
          <w:bCs/>
          <w:color w:val="333333"/>
          <w:lang w:val="fr-FR"/>
        </w:rPr>
        <w:t>és</w:t>
      </w:r>
      <w:r w:rsidR="00DD0DAA" w:rsidRPr="003861B6">
        <w:rPr>
          <w:rFonts w:eastAsia="Times New Roman" w:cs="Times New Roman"/>
          <w:bCs/>
          <w:color w:val="333333"/>
          <w:lang w:val="fr-FR"/>
        </w:rPr>
        <w:t xml:space="preserve"> dans l’élaboration et l’exécution de l’évaluation, y compris l’éthique d’évaluation et les procédures permettant de sauvegarder les droits et la confidentialité des personnes fournissant les informations, par exemple : mesures pour garantir la conformité avec les codes juridiques régissant les zones telles que les dispositions pour collecter et rapporter les données, particulièrement les autorisations </w:t>
      </w:r>
      <w:r w:rsidR="00DD0DAA" w:rsidRPr="003861B6">
        <w:rPr>
          <w:rFonts w:eastAsia="Times New Roman" w:cs="Times New Roman"/>
          <w:bCs/>
          <w:color w:val="333333"/>
          <w:lang w:val="fr-FR"/>
        </w:rPr>
        <w:lastRenderedPageBreak/>
        <w:t>nécessaires pour interviewer ou obtenir des informations au sujet des enfants et des adolescents ; dispositions permettant de stocker et de garder la sécurité des informations collectées et protocoles permettant de garantir l’anonymat et la confidentialité</w:t>
      </w:r>
      <w:r w:rsidR="00DD0DAA" w:rsidRPr="00DD0DAA">
        <w:rPr>
          <w:rFonts w:ascii="Verdana" w:eastAsia="Times New Roman" w:hAnsi="Verdana" w:cs="Times New Roman"/>
          <w:bCs/>
          <w:color w:val="333333"/>
          <w:sz w:val="20"/>
          <w:szCs w:val="20"/>
          <w:lang w:val="fr-FR"/>
        </w:rPr>
        <w:t>.</w:t>
      </w:r>
    </w:p>
    <w:p w:rsidR="00DD0DAA" w:rsidRPr="00AC140D" w:rsidRDefault="00DD0DAA" w:rsidP="00AC140D">
      <w:pPr>
        <w:spacing w:after="0" w:line="312" w:lineRule="auto"/>
        <w:outlineLvl w:val="5"/>
        <w:rPr>
          <w:rFonts w:ascii="Trebuchet MS" w:eastAsia="Times New Roman" w:hAnsi="Trebuchet MS" w:cs="Times New Roman"/>
          <w:color w:val="003399"/>
          <w:sz w:val="26"/>
          <w:szCs w:val="26"/>
          <w:lang w:val="fr-FR"/>
        </w:rPr>
      </w:pPr>
      <w:r w:rsidRPr="00AC140D">
        <w:rPr>
          <w:rFonts w:ascii="Trebuchet MS" w:eastAsia="Times New Roman" w:hAnsi="Trebuchet MS" w:cs="Times New Roman"/>
          <w:color w:val="003399"/>
          <w:sz w:val="26"/>
          <w:szCs w:val="26"/>
          <w:lang w:val="fr-FR"/>
        </w:rPr>
        <w:t xml:space="preserve">9. Modalités d’exécution </w:t>
      </w:r>
    </w:p>
    <w:p w:rsidR="00C3519B" w:rsidRPr="003861B6" w:rsidRDefault="00EC5E44" w:rsidP="00AC140D">
      <w:pPr>
        <w:spacing w:before="100" w:beforeAutospacing="1" w:after="100" w:afterAutospacing="1" w:line="312" w:lineRule="auto"/>
        <w:jc w:val="both"/>
        <w:rPr>
          <w:rFonts w:eastAsia="Times New Roman" w:cs="Times New Roman"/>
          <w:bCs/>
          <w:color w:val="333333"/>
          <w:lang w:val="fr-FR"/>
        </w:rPr>
      </w:pPr>
      <w:r w:rsidRPr="00EC5E44">
        <w:rPr>
          <w:rFonts w:eastAsia="Times New Roman"/>
          <w:bCs/>
          <w:color w:val="333333"/>
          <w:lang w:val="fr-FR"/>
        </w:rPr>
        <w:t xml:space="preserve">Le Comité de Pilotage du Projet de Réduction et de Contrôle des Armes Légères et de Petit Calibre (ALPC), projet qui est la suite logique du PSPD, </w:t>
      </w:r>
      <w:r w:rsidR="00C3519B" w:rsidRPr="003861B6">
        <w:rPr>
          <w:rFonts w:eastAsia="Times New Roman" w:cs="Times New Roman"/>
          <w:bCs/>
          <w:color w:val="333333"/>
          <w:lang w:val="fr-FR"/>
        </w:rPr>
        <w:t xml:space="preserve">assure la supervision générale de </w:t>
      </w:r>
      <w:r w:rsidR="00AC140D" w:rsidRPr="003861B6">
        <w:rPr>
          <w:rFonts w:eastAsia="Times New Roman" w:cs="Times New Roman"/>
          <w:bCs/>
          <w:color w:val="333333"/>
          <w:lang w:val="fr-FR"/>
        </w:rPr>
        <w:t>l’évaluation</w:t>
      </w:r>
      <w:r w:rsidR="00C3519B" w:rsidRPr="003861B6">
        <w:rPr>
          <w:rFonts w:eastAsia="Times New Roman" w:cs="Times New Roman"/>
          <w:bCs/>
          <w:color w:val="333333"/>
          <w:lang w:val="fr-FR"/>
        </w:rPr>
        <w:t>. Il valide les termes de référence de la mission, fournit des orientations stratégiques et valide les produits (rapport provisoire et rapport final)</w:t>
      </w:r>
      <w:r w:rsidR="001B0171">
        <w:rPr>
          <w:rFonts w:eastAsia="Times New Roman" w:cs="Times New Roman"/>
          <w:bCs/>
          <w:color w:val="333333"/>
          <w:lang w:val="fr-FR"/>
        </w:rPr>
        <w:t>.</w:t>
      </w:r>
    </w:p>
    <w:p w:rsidR="00C3519B" w:rsidRPr="003861B6" w:rsidRDefault="00C3519B" w:rsidP="00C3519B">
      <w:pPr>
        <w:spacing w:before="100" w:beforeAutospacing="1" w:after="100" w:afterAutospacing="1" w:line="312" w:lineRule="auto"/>
        <w:jc w:val="both"/>
        <w:rPr>
          <w:rFonts w:eastAsia="Times New Roman" w:cs="Times New Roman"/>
          <w:bCs/>
          <w:color w:val="333333"/>
          <w:lang w:val="fr-FR"/>
        </w:rPr>
      </w:pPr>
      <w:r w:rsidRPr="003861B6">
        <w:rPr>
          <w:rFonts w:eastAsia="Times New Roman" w:cs="Times New Roman"/>
          <w:bCs/>
          <w:color w:val="333333"/>
          <w:lang w:val="fr-FR"/>
        </w:rPr>
        <w:t xml:space="preserve">Le coordonnateur du projet met à la disposition de l’équipe de l’évaluation, les documents </w:t>
      </w:r>
      <w:r w:rsidR="00425FCB" w:rsidRPr="003861B6">
        <w:rPr>
          <w:rFonts w:eastAsia="Times New Roman" w:cs="Times New Roman"/>
          <w:bCs/>
          <w:color w:val="333333"/>
          <w:lang w:val="fr-FR"/>
        </w:rPr>
        <w:t xml:space="preserve">relatifs au  </w:t>
      </w:r>
      <w:r w:rsidRPr="003861B6">
        <w:rPr>
          <w:rFonts w:eastAsia="Times New Roman" w:cs="Times New Roman"/>
          <w:bCs/>
          <w:color w:val="333333"/>
          <w:lang w:val="fr-FR"/>
        </w:rPr>
        <w:t>projet</w:t>
      </w:r>
      <w:r w:rsidR="00425FCB" w:rsidRPr="003861B6">
        <w:rPr>
          <w:rFonts w:eastAsia="Times New Roman" w:cs="Times New Roman"/>
          <w:bCs/>
          <w:color w:val="333333"/>
          <w:lang w:val="fr-FR"/>
        </w:rPr>
        <w:t xml:space="preserve"> (documents du projet, rapports trimestriels, rapports annuels, plan de mise en œuvre, plan de suivi et de l’évaluation, cadres de résultats)</w:t>
      </w:r>
      <w:r w:rsidRPr="003861B6">
        <w:rPr>
          <w:rFonts w:eastAsia="Times New Roman" w:cs="Times New Roman"/>
          <w:bCs/>
          <w:color w:val="333333"/>
          <w:lang w:val="fr-FR"/>
        </w:rPr>
        <w:t xml:space="preserve">, la </w:t>
      </w:r>
      <w:r w:rsidR="00425FCB" w:rsidRPr="003861B6">
        <w:rPr>
          <w:rFonts w:eastAsia="Times New Roman" w:cs="Times New Roman"/>
          <w:bCs/>
          <w:color w:val="333333"/>
          <w:lang w:val="fr-FR"/>
        </w:rPr>
        <w:t>liste des parties prenantes</w:t>
      </w:r>
      <w:r w:rsidR="00AD3A1D">
        <w:rPr>
          <w:rFonts w:eastAsia="Times New Roman" w:cs="Times New Roman"/>
          <w:bCs/>
          <w:color w:val="333333"/>
          <w:lang w:val="fr-FR"/>
        </w:rPr>
        <w:t>, etc.</w:t>
      </w:r>
      <w:r w:rsidR="00425FCB" w:rsidRPr="003861B6">
        <w:rPr>
          <w:rFonts w:eastAsia="Times New Roman" w:cs="Times New Roman"/>
          <w:bCs/>
          <w:color w:val="333333"/>
          <w:lang w:val="fr-FR"/>
        </w:rPr>
        <w:t xml:space="preserve"> Il </w:t>
      </w:r>
      <w:r w:rsidRPr="003861B6">
        <w:rPr>
          <w:rFonts w:eastAsia="Times New Roman" w:cs="Times New Roman"/>
          <w:bCs/>
          <w:color w:val="333333"/>
          <w:lang w:val="fr-FR"/>
        </w:rPr>
        <w:t xml:space="preserve">convient du calendrier de travail </w:t>
      </w:r>
      <w:r w:rsidR="00425FCB" w:rsidRPr="003861B6">
        <w:rPr>
          <w:rFonts w:eastAsia="Times New Roman" w:cs="Times New Roman"/>
          <w:bCs/>
          <w:color w:val="333333"/>
          <w:lang w:val="fr-FR"/>
        </w:rPr>
        <w:t>avec l’équipe d’évaluation, fournit des moyens logistiques (l'espace bureau, les fournitures, l'équipement</w:t>
      </w:r>
      <w:r w:rsidR="00AD3A1D">
        <w:rPr>
          <w:rFonts w:eastAsia="Times New Roman" w:cs="Times New Roman"/>
          <w:bCs/>
          <w:color w:val="333333"/>
          <w:lang w:val="fr-FR"/>
        </w:rPr>
        <w:t>,</w:t>
      </w:r>
      <w:r w:rsidR="00425FCB" w:rsidRPr="003861B6">
        <w:rPr>
          <w:rFonts w:eastAsia="Times New Roman" w:cs="Times New Roman"/>
          <w:bCs/>
          <w:color w:val="333333"/>
          <w:lang w:val="fr-FR"/>
        </w:rPr>
        <w:t xml:space="preserve"> et</w:t>
      </w:r>
      <w:r w:rsidR="00AD3A1D">
        <w:rPr>
          <w:rFonts w:eastAsia="Times New Roman" w:cs="Times New Roman"/>
          <w:bCs/>
          <w:color w:val="333333"/>
          <w:lang w:val="fr-FR"/>
        </w:rPr>
        <w:t>c.</w:t>
      </w:r>
      <w:r w:rsidR="00425FCB" w:rsidRPr="003861B6">
        <w:rPr>
          <w:rFonts w:eastAsia="Times New Roman" w:cs="Times New Roman"/>
          <w:bCs/>
          <w:color w:val="333333"/>
          <w:lang w:val="fr-FR"/>
        </w:rPr>
        <w:t>)</w:t>
      </w:r>
      <w:r w:rsidR="00AD3A1D">
        <w:rPr>
          <w:rFonts w:eastAsia="Times New Roman" w:cs="Times New Roman"/>
          <w:bCs/>
          <w:color w:val="333333"/>
          <w:lang w:val="fr-FR"/>
        </w:rPr>
        <w:t xml:space="preserve"> et</w:t>
      </w:r>
      <w:r w:rsidR="00425FCB" w:rsidRPr="003861B6">
        <w:rPr>
          <w:rFonts w:eastAsia="Times New Roman" w:cs="Times New Roman"/>
          <w:bCs/>
          <w:color w:val="333333"/>
          <w:lang w:val="fr-FR"/>
        </w:rPr>
        <w:t xml:space="preserve"> facilite la tenue de </w:t>
      </w:r>
      <w:r w:rsidR="00AD3A1D">
        <w:rPr>
          <w:rFonts w:eastAsia="Times New Roman" w:cs="Times New Roman"/>
          <w:bCs/>
          <w:color w:val="333333"/>
          <w:lang w:val="fr-FR"/>
        </w:rPr>
        <w:t xml:space="preserve">la </w:t>
      </w:r>
      <w:r w:rsidR="00425FCB" w:rsidRPr="003861B6">
        <w:rPr>
          <w:rFonts w:eastAsia="Times New Roman" w:cs="Times New Roman"/>
          <w:bCs/>
          <w:color w:val="333333"/>
          <w:lang w:val="fr-FR"/>
        </w:rPr>
        <w:t>réunion de validation.</w:t>
      </w:r>
    </w:p>
    <w:p w:rsidR="00425FCB" w:rsidRPr="003861B6" w:rsidRDefault="00425FCB" w:rsidP="00C3519B">
      <w:pPr>
        <w:spacing w:before="100" w:beforeAutospacing="1" w:after="100" w:afterAutospacing="1" w:line="312" w:lineRule="auto"/>
        <w:jc w:val="both"/>
        <w:rPr>
          <w:rFonts w:eastAsia="Times New Roman" w:cs="Times New Roman"/>
          <w:bCs/>
          <w:color w:val="333333"/>
          <w:lang w:val="fr-FR"/>
        </w:rPr>
      </w:pPr>
      <w:r w:rsidRPr="003861B6">
        <w:rPr>
          <w:rFonts w:eastAsia="Times New Roman" w:cs="Times New Roman"/>
          <w:bCs/>
          <w:color w:val="333333"/>
          <w:lang w:val="fr-FR"/>
        </w:rPr>
        <w:t xml:space="preserve">L’équipe d’évaluation exécute les activités conformément au calendrier et fournit les produits dans les délais requis. Il se réfère aux normes contenues dans le </w:t>
      </w:r>
      <w:r w:rsidRPr="003861B6">
        <w:rPr>
          <w:rFonts w:eastAsia="Times New Roman" w:cs="Times New Roman"/>
          <w:b/>
          <w:bCs/>
          <w:color w:val="333333"/>
          <w:u w:val="single"/>
          <w:lang w:val="fr-FR"/>
        </w:rPr>
        <w:t>manuel de la planification, du suivi et d’évaluation axée sur les résultats de développement</w:t>
      </w:r>
      <w:r w:rsidRPr="003861B6">
        <w:rPr>
          <w:rFonts w:eastAsia="Times New Roman" w:cs="Times New Roman"/>
          <w:bCs/>
          <w:color w:val="333333"/>
          <w:lang w:val="fr-FR"/>
        </w:rPr>
        <w:t xml:space="preserve"> ainsi qu’aux   </w:t>
      </w:r>
      <w:r w:rsidRPr="003861B6">
        <w:rPr>
          <w:rFonts w:eastAsia="Times New Roman" w:cs="Times New Roman"/>
          <w:b/>
          <w:bCs/>
          <w:color w:val="333333"/>
          <w:u w:val="single"/>
          <w:lang w:val="fr-FR"/>
        </w:rPr>
        <w:t>« Directives éthiques pour l’évaluation »</w:t>
      </w:r>
    </w:p>
    <w:p w:rsidR="00150573" w:rsidRDefault="00C3519B" w:rsidP="00150573">
      <w:pPr>
        <w:spacing w:before="100" w:beforeAutospacing="1" w:after="100" w:afterAutospacing="1" w:line="312" w:lineRule="auto"/>
        <w:jc w:val="both"/>
        <w:rPr>
          <w:rFonts w:ascii="Verdana" w:eastAsia="Times New Roman" w:hAnsi="Verdana" w:cs="Times New Roman"/>
          <w:bCs/>
          <w:color w:val="333333"/>
          <w:sz w:val="20"/>
          <w:szCs w:val="20"/>
          <w:lang w:val="fr-FR"/>
        </w:rPr>
        <w:sectPr w:rsidR="00150573" w:rsidSect="00561115">
          <w:footerReference w:type="default" r:id="rId11"/>
          <w:pgSz w:w="12240" w:h="15840"/>
          <w:pgMar w:top="1440" w:right="1440" w:bottom="1440" w:left="1440" w:header="708" w:footer="708" w:gutter="0"/>
          <w:cols w:space="708"/>
          <w:docGrid w:linePitch="360"/>
        </w:sectPr>
      </w:pPr>
      <w:r>
        <w:rPr>
          <w:rFonts w:ascii="Verdana" w:eastAsia="Times New Roman" w:hAnsi="Verdana" w:cs="Times New Roman"/>
          <w:bCs/>
          <w:color w:val="333333"/>
          <w:sz w:val="20"/>
          <w:szCs w:val="20"/>
          <w:lang w:val="fr-FR"/>
        </w:rPr>
        <w:t xml:space="preserve">   </w:t>
      </w:r>
      <w:r w:rsidR="00AC140D">
        <w:rPr>
          <w:rFonts w:ascii="Verdana" w:eastAsia="Times New Roman" w:hAnsi="Verdana" w:cs="Times New Roman"/>
          <w:bCs/>
          <w:color w:val="333333"/>
          <w:sz w:val="20"/>
          <w:szCs w:val="20"/>
          <w:lang w:val="fr-FR"/>
        </w:rPr>
        <w:t xml:space="preserve"> </w:t>
      </w:r>
    </w:p>
    <w:p w:rsidR="006F3CC6" w:rsidRPr="001D5EBF" w:rsidRDefault="006F3CC6" w:rsidP="006F3CC6">
      <w:pPr>
        <w:spacing w:after="0" w:line="312" w:lineRule="auto"/>
        <w:outlineLvl w:val="5"/>
        <w:rPr>
          <w:rFonts w:ascii="Calibri" w:eastAsia="Times New Roman" w:hAnsi="Calibri" w:cs="Times New Roman"/>
          <w:color w:val="003399"/>
          <w:sz w:val="12"/>
          <w:szCs w:val="12"/>
          <w:lang w:val="fr-FR"/>
        </w:rPr>
      </w:pPr>
      <w:r>
        <w:rPr>
          <w:rFonts w:ascii="Trebuchet MS" w:eastAsia="Times New Roman" w:hAnsi="Trebuchet MS" w:cs="Times New Roman"/>
          <w:color w:val="003399"/>
          <w:sz w:val="26"/>
          <w:szCs w:val="26"/>
          <w:lang w:val="fr-FR"/>
        </w:rPr>
        <w:lastRenderedPageBreak/>
        <w:t xml:space="preserve">10. </w:t>
      </w:r>
      <w:r w:rsidRPr="006F3CC6">
        <w:rPr>
          <w:rFonts w:ascii="Trebuchet MS" w:eastAsia="Times New Roman" w:hAnsi="Trebuchet MS" w:cs="Times New Roman"/>
          <w:color w:val="003399"/>
          <w:sz w:val="26"/>
          <w:szCs w:val="26"/>
          <w:lang w:val="fr-FR"/>
        </w:rPr>
        <w:t>Ech</w:t>
      </w:r>
      <w:r>
        <w:rPr>
          <w:rFonts w:ascii="Trebuchet MS" w:eastAsia="Times New Roman" w:hAnsi="Trebuchet MS" w:cs="Times New Roman"/>
          <w:color w:val="003399"/>
          <w:sz w:val="26"/>
          <w:szCs w:val="26"/>
          <w:lang w:val="fr-FR"/>
        </w:rPr>
        <w:t>é</w:t>
      </w:r>
      <w:r w:rsidRPr="006F3CC6">
        <w:rPr>
          <w:rFonts w:ascii="Trebuchet MS" w:eastAsia="Times New Roman" w:hAnsi="Trebuchet MS" w:cs="Times New Roman"/>
          <w:color w:val="003399"/>
          <w:sz w:val="26"/>
          <w:szCs w:val="26"/>
          <w:lang w:val="fr-FR"/>
        </w:rPr>
        <w:t>ancier</w:t>
      </w:r>
    </w:p>
    <w:tbl>
      <w:tblPr>
        <w:tblStyle w:val="TableGrid"/>
        <w:tblW w:w="16166" w:type="dxa"/>
        <w:tblInd w:w="-459" w:type="dxa"/>
        <w:tblLayout w:type="fixed"/>
        <w:tblLook w:val="04A0"/>
      </w:tblPr>
      <w:tblGrid>
        <w:gridCol w:w="2491"/>
        <w:gridCol w:w="354"/>
        <w:gridCol w:w="354"/>
        <w:gridCol w:w="354"/>
        <w:gridCol w:w="354"/>
        <w:gridCol w:w="354"/>
        <w:gridCol w:w="354"/>
        <w:gridCol w:w="354"/>
        <w:gridCol w:w="354"/>
        <w:gridCol w:w="354"/>
        <w:gridCol w:w="354"/>
        <w:gridCol w:w="354"/>
        <w:gridCol w:w="354"/>
        <w:gridCol w:w="354"/>
        <w:gridCol w:w="354"/>
        <w:gridCol w:w="354"/>
        <w:gridCol w:w="355"/>
        <w:gridCol w:w="354"/>
        <w:gridCol w:w="354"/>
        <w:gridCol w:w="354"/>
        <w:gridCol w:w="354"/>
        <w:gridCol w:w="354"/>
        <w:gridCol w:w="354"/>
        <w:gridCol w:w="354"/>
        <w:gridCol w:w="354"/>
        <w:gridCol w:w="354"/>
        <w:gridCol w:w="354"/>
        <w:gridCol w:w="354"/>
        <w:gridCol w:w="354"/>
        <w:gridCol w:w="354"/>
        <w:gridCol w:w="354"/>
        <w:gridCol w:w="355"/>
        <w:gridCol w:w="2699"/>
      </w:tblGrid>
      <w:tr w:rsidR="000D59E0" w:rsidRPr="006F3CC6" w:rsidTr="000D59E0">
        <w:trPr>
          <w:trHeight w:val="57"/>
        </w:trPr>
        <w:tc>
          <w:tcPr>
            <w:tcW w:w="2491" w:type="dxa"/>
          </w:tcPr>
          <w:p w:rsidR="00DB1214" w:rsidRPr="006F3CC6" w:rsidRDefault="00DB1214" w:rsidP="00C221C3">
            <w:pPr>
              <w:spacing w:before="100" w:beforeAutospacing="1" w:after="100" w:afterAutospacing="1" w:line="312" w:lineRule="auto"/>
              <w:rPr>
                <w:rFonts w:ascii="Verdana" w:eastAsia="Times New Roman" w:hAnsi="Verdana" w:cs="Times New Roman"/>
                <w:b/>
                <w:bCs/>
                <w:color w:val="333333"/>
                <w:sz w:val="20"/>
                <w:szCs w:val="20"/>
                <w:lang w:val="fr-FR"/>
              </w:rPr>
            </w:pPr>
            <w:r w:rsidRPr="006F3CC6">
              <w:rPr>
                <w:rFonts w:ascii="Verdana" w:eastAsia="Times New Roman" w:hAnsi="Verdana" w:cs="Times New Roman"/>
                <w:b/>
                <w:bCs/>
                <w:color w:val="333333"/>
                <w:sz w:val="20"/>
                <w:szCs w:val="20"/>
                <w:lang w:val="fr-FR"/>
              </w:rPr>
              <w:t>Activités</w:t>
            </w:r>
          </w:p>
        </w:tc>
        <w:tc>
          <w:tcPr>
            <w:tcW w:w="354" w:type="dxa"/>
          </w:tcPr>
          <w:p w:rsidR="00DB1214" w:rsidRPr="006F3CC6" w:rsidRDefault="00DB1214" w:rsidP="00C221C3">
            <w:pPr>
              <w:spacing w:before="100" w:beforeAutospacing="1" w:after="100" w:afterAutospacing="1" w:line="312" w:lineRule="auto"/>
              <w:rPr>
                <w:rFonts w:eastAsia="Times New Roman" w:cs="Times New Roman"/>
                <w:b/>
                <w:bCs/>
                <w:color w:val="333333"/>
                <w:sz w:val="12"/>
                <w:szCs w:val="20"/>
                <w:lang w:val="fr-FR"/>
              </w:rPr>
            </w:pPr>
            <w:r w:rsidRPr="006F3CC6">
              <w:rPr>
                <w:rFonts w:eastAsia="Times New Roman" w:cs="Times New Roman"/>
                <w:b/>
                <w:bCs/>
                <w:color w:val="333333"/>
                <w:sz w:val="12"/>
                <w:szCs w:val="20"/>
                <w:lang w:val="fr-FR"/>
              </w:rPr>
              <w:t>1</w:t>
            </w:r>
          </w:p>
        </w:tc>
        <w:tc>
          <w:tcPr>
            <w:tcW w:w="354" w:type="dxa"/>
          </w:tcPr>
          <w:p w:rsidR="00DB1214" w:rsidRPr="006F3CC6" w:rsidRDefault="00DB1214" w:rsidP="00C221C3">
            <w:pPr>
              <w:spacing w:before="100" w:beforeAutospacing="1" w:after="100" w:afterAutospacing="1" w:line="312" w:lineRule="auto"/>
              <w:rPr>
                <w:rFonts w:eastAsia="Times New Roman" w:cs="Times New Roman"/>
                <w:b/>
                <w:bCs/>
                <w:color w:val="333333"/>
                <w:sz w:val="12"/>
                <w:szCs w:val="20"/>
                <w:lang w:val="fr-FR"/>
              </w:rPr>
            </w:pPr>
            <w:r w:rsidRPr="006F3CC6">
              <w:rPr>
                <w:rFonts w:eastAsia="Times New Roman" w:cs="Times New Roman"/>
                <w:b/>
                <w:bCs/>
                <w:color w:val="333333"/>
                <w:sz w:val="12"/>
                <w:szCs w:val="20"/>
                <w:lang w:val="fr-FR"/>
              </w:rPr>
              <w:t>2</w:t>
            </w:r>
          </w:p>
        </w:tc>
        <w:tc>
          <w:tcPr>
            <w:tcW w:w="354" w:type="dxa"/>
          </w:tcPr>
          <w:p w:rsidR="00DB1214" w:rsidRPr="006F3CC6" w:rsidRDefault="00DB1214" w:rsidP="00C221C3">
            <w:pPr>
              <w:spacing w:before="100" w:beforeAutospacing="1" w:after="100" w:afterAutospacing="1" w:line="312" w:lineRule="auto"/>
              <w:rPr>
                <w:rFonts w:eastAsia="Times New Roman" w:cs="Times New Roman"/>
                <w:b/>
                <w:bCs/>
                <w:color w:val="333333"/>
                <w:sz w:val="12"/>
                <w:szCs w:val="20"/>
                <w:lang w:val="fr-FR"/>
              </w:rPr>
            </w:pPr>
            <w:r w:rsidRPr="006F3CC6">
              <w:rPr>
                <w:rFonts w:eastAsia="Times New Roman" w:cs="Times New Roman"/>
                <w:b/>
                <w:bCs/>
                <w:color w:val="333333"/>
                <w:sz w:val="12"/>
                <w:szCs w:val="20"/>
                <w:lang w:val="fr-FR"/>
              </w:rPr>
              <w:t>3</w:t>
            </w:r>
          </w:p>
        </w:tc>
        <w:tc>
          <w:tcPr>
            <w:tcW w:w="354" w:type="dxa"/>
          </w:tcPr>
          <w:p w:rsidR="00DB1214" w:rsidRPr="006F3CC6" w:rsidRDefault="00DB1214" w:rsidP="00C221C3">
            <w:pPr>
              <w:spacing w:before="100" w:beforeAutospacing="1" w:after="100" w:afterAutospacing="1" w:line="312" w:lineRule="auto"/>
              <w:rPr>
                <w:rFonts w:eastAsia="Times New Roman" w:cs="Times New Roman"/>
                <w:b/>
                <w:bCs/>
                <w:color w:val="333333"/>
                <w:sz w:val="12"/>
                <w:szCs w:val="20"/>
                <w:lang w:val="fr-FR"/>
              </w:rPr>
            </w:pPr>
            <w:r w:rsidRPr="006F3CC6">
              <w:rPr>
                <w:rFonts w:eastAsia="Times New Roman" w:cs="Times New Roman"/>
                <w:b/>
                <w:bCs/>
                <w:color w:val="333333"/>
                <w:sz w:val="12"/>
                <w:szCs w:val="20"/>
                <w:lang w:val="fr-FR"/>
              </w:rPr>
              <w:t>4</w:t>
            </w:r>
          </w:p>
        </w:tc>
        <w:tc>
          <w:tcPr>
            <w:tcW w:w="354" w:type="dxa"/>
          </w:tcPr>
          <w:p w:rsidR="00DB1214" w:rsidRPr="006F3CC6" w:rsidRDefault="00DB1214" w:rsidP="00C221C3">
            <w:pPr>
              <w:spacing w:before="100" w:beforeAutospacing="1" w:after="100" w:afterAutospacing="1" w:line="312" w:lineRule="auto"/>
              <w:rPr>
                <w:rFonts w:eastAsia="Times New Roman" w:cs="Times New Roman"/>
                <w:b/>
                <w:bCs/>
                <w:color w:val="333333"/>
                <w:sz w:val="12"/>
                <w:szCs w:val="20"/>
                <w:lang w:val="fr-FR"/>
              </w:rPr>
            </w:pPr>
            <w:r w:rsidRPr="006F3CC6">
              <w:rPr>
                <w:rFonts w:eastAsia="Times New Roman" w:cs="Times New Roman"/>
                <w:b/>
                <w:bCs/>
                <w:color w:val="333333"/>
                <w:sz w:val="12"/>
                <w:szCs w:val="20"/>
                <w:lang w:val="fr-FR"/>
              </w:rPr>
              <w:t>5</w:t>
            </w:r>
          </w:p>
        </w:tc>
        <w:tc>
          <w:tcPr>
            <w:tcW w:w="354" w:type="dxa"/>
          </w:tcPr>
          <w:p w:rsidR="00DB1214" w:rsidRPr="006F3CC6" w:rsidRDefault="00DB1214" w:rsidP="00C221C3">
            <w:pPr>
              <w:spacing w:before="100" w:beforeAutospacing="1" w:after="100" w:afterAutospacing="1" w:line="312" w:lineRule="auto"/>
              <w:rPr>
                <w:rFonts w:eastAsia="Times New Roman" w:cs="Times New Roman"/>
                <w:b/>
                <w:bCs/>
                <w:color w:val="333333"/>
                <w:sz w:val="12"/>
                <w:szCs w:val="20"/>
                <w:lang w:val="fr-FR"/>
              </w:rPr>
            </w:pPr>
            <w:r w:rsidRPr="006F3CC6">
              <w:rPr>
                <w:rFonts w:eastAsia="Times New Roman" w:cs="Times New Roman"/>
                <w:b/>
                <w:bCs/>
                <w:color w:val="333333"/>
                <w:sz w:val="12"/>
                <w:szCs w:val="20"/>
                <w:lang w:val="fr-FR"/>
              </w:rPr>
              <w:t>6</w:t>
            </w:r>
          </w:p>
        </w:tc>
        <w:tc>
          <w:tcPr>
            <w:tcW w:w="354" w:type="dxa"/>
          </w:tcPr>
          <w:p w:rsidR="00DB1214" w:rsidRPr="006F3CC6" w:rsidRDefault="00DB1214" w:rsidP="00C221C3">
            <w:pPr>
              <w:spacing w:before="100" w:beforeAutospacing="1" w:after="100" w:afterAutospacing="1" w:line="312" w:lineRule="auto"/>
              <w:rPr>
                <w:rFonts w:eastAsia="Times New Roman" w:cs="Times New Roman"/>
                <w:b/>
                <w:bCs/>
                <w:color w:val="333333"/>
                <w:sz w:val="12"/>
                <w:szCs w:val="20"/>
                <w:lang w:val="fr-FR"/>
              </w:rPr>
            </w:pPr>
            <w:r w:rsidRPr="006F3CC6">
              <w:rPr>
                <w:rFonts w:eastAsia="Times New Roman" w:cs="Times New Roman"/>
                <w:b/>
                <w:bCs/>
                <w:color w:val="333333"/>
                <w:sz w:val="12"/>
                <w:szCs w:val="20"/>
                <w:lang w:val="fr-FR"/>
              </w:rPr>
              <w:t>7</w:t>
            </w:r>
          </w:p>
        </w:tc>
        <w:tc>
          <w:tcPr>
            <w:tcW w:w="354" w:type="dxa"/>
          </w:tcPr>
          <w:p w:rsidR="00DB1214" w:rsidRPr="006F3CC6" w:rsidRDefault="00DB1214" w:rsidP="00C221C3">
            <w:pPr>
              <w:spacing w:before="100" w:beforeAutospacing="1" w:after="100" w:afterAutospacing="1" w:line="312" w:lineRule="auto"/>
              <w:rPr>
                <w:rFonts w:eastAsia="Times New Roman" w:cs="Times New Roman"/>
                <w:b/>
                <w:bCs/>
                <w:color w:val="333333"/>
                <w:sz w:val="12"/>
                <w:szCs w:val="20"/>
                <w:lang w:val="fr-FR"/>
              </w:rPr>
            </w:pPr>
            <w:r w:rsidRPr="006F3CC6">
              <w:rPr>
                <w:rFonts w:eastAsia="Times New Roman" w:cs="Times New Roman"/>
                <w:b/>
                <w:bCs/>
                <w:color w:val="333333"/>
                <w:sz w:val="12"/>
                <w:szCs w:val="20"/>
                <w:lang w:val="fr-FR"/>
              </w:rPr>
              <w:t>8</w:t>
            </w:r>
          </w:p>
        </w:tc>
        <w:tc>
          <w:tcPr>
            <w:tcW w:w="354" w:type="dxa"/>
          </w:tcPr>
          <w:p w:rsidR="00DB1214" w:rsidRPr="006F3CC6" w:rsidRDefault="00DB1214" w:rsidP="00C221C3">
            <w:pPr>
              <w:spacing w:before="100" w:beforeAutospacing="1" w:after="100" w:afterAutospacing="1" w:line="312" w:lineRule="auto"/>
              <w:rPr>
                <w:rFonts w:eastAsia="Times New Roman" w:cs="Times New Roman"/>
                <w:b/>
                <w:bCs/>
                <w:color w:val="333333"/>
                <w:sz w:val="12"/>
                <w:szCs w:val="20"/>
                <w:lang w:val="fr-FR"/>
              </w:rPr>
            </w:pPr>
            <w:r w:rsidRPr="006F3CC6">
              <w:rPr>
                <w:rFonts w:eastAsia="Times New Roman" w:cs="Times New Roman"/>
                <w:b/>
                <w:bCs/>
                <w:color w:val="333333"/>
                <w:sz w:val="12"/>
                <w:szCs w:val="20"/>
                <w:lang w:val="fr-FR"/>
              </w:rPr>
              <w:t>9</w:t>
            </w:r>
          </w:p>
        </w:tc>
        <w:tc>
          <w:tcPr>
            <w:tcW w:w="354" w:type="dxa"/>
          </w:tcPr>
          <w:p w:rsidR="00DB1214" w:rsidRPr="006F3CC6" w:rsidRDefault="00DB1214" w:rsidP="00C221C3">
            <w:pPr>
              <w:spacing w:before="100" w:beforeAutospacing="1" w:after="100" w:afterAutospacing="1" w:line="312" w:lineRule="auto"/>
              <w:rPr>
                <w:rFonts w:eastAsia="Times New Roman" w:cs="Times New Roman"/>
                <w:b/>
                <w:bCs/>
                <w:color w:val="333333"/>
                <w:sz w:val="12"/>
                <w:szCs w:val="20"/>
                <w:lang w:val="fr-FR"/>
              </w:rPr>
            </w:pPr>
            <w:r w:rsidRPr="006F3CC6">
              <w:rPr>
                <w:rFonts w:eastAsia="Times New Roman" w:cs="Times New Roman"/>
                <w:b/>
                <w:bCs/>
                <w:color w:val="333333"/>
                <w:sz w:val="12"/>
                <w:szCs w:val="20"/>
                <w:lang w:val="fr-FR"/>
              </w:rPr>
              <w:t>10</w:t>
            </w:r>
          </w:p>
        </w:tc>
        <w:tc>
          <w:tcPr>
            <w:tcW w:w="354" w:type="dxa"/>
          </w:tcPr>
          <w:p w:rsidR="00DB1214" w:rsidRPr="006F3CC6" w:rsidRDefault="00DB1214" w:rsidP="00C221C3">
            <w:pPr>
              <w:spacing w:before="100" w:beforeAutospacing="1" w:after="100" w:afterAutospacing="1" w:line="312" w:lineRule="auto"/>
              <w:rPr>
                <w:rFonts w:eastAsia="Times New Roman" w:cs="Times New Roman"/>
                <w:b/>
                <w:bCs/>
                <w:color w:val="333333"/>
                <w:sz w:val="12"/>
                <w:szCs w:val="20"/>
                <w:lang w:val="fr-FR"/>
              </w:rPr>
            </w:pPr>
            <w:r w:rsidRPr="006F3CC6">
              <w:rPr>
                <w:rFonts w:eastAsia="Times New Roman" w:cs="Times New Roman"/>
                <w:b/>
                <w:bCs/>
                <w:color w:val="333333"/>
                <w:sz w:val="12"/>
                <w:szCs w:val="20"/>
                <w:lang w:val="fr-FR"/>
              </w:rPr>
              <w:t>11</w:t>
            </w:r>
          </w:p>
        </w:tc>
        <w:tc>
          <w:tcPr>
            <w:tcW w:w="354" w:type="dxa"/>
          </w:tcPr>
          <w:p w:rsidR="00DB1214" w:rsidRPr="006F3CC6" w:rsidRDefault="00DB1214" w:rsidP="00C221C3">
            <w:pPr>
              <w:spacing w:before="100" w:beforeAutospacing="1" w:after="100" w:afterAutospacing="1" w:line="312" w:lineRule="auto"/>
              <w:rPr>
                <w:rFonts w:eastAsia="Times New Roman" w:cs="Times New Roman"/>
                <w:b/>
                <w:bCs/>
                <w:color w:val="333333"/>
                <w:sz w:val="12"/>
                <w:szCs w:val="20"/>
                <w:lang w:val="fr-FR"/>
              </w:rPr>
            </w:pPr>
            <w:r w:rsidRPr="006F3CC6">
              <w:rPr>
                <w:rFonts w:eastAsia="Times New Roman" w:cs="Times New Roman"/>
                <w:b/>
                <w:bCs/>
                <w:color w:val="333333"/>
                <w:sz w:val="12"/>
                <w:szCs w:val="20"/>
                <w:lang w:val="fr-FR"/>
              </w:rPr>
              <w:t>12</w:t>
            </w:r>
          </w:p>
        </w:tc>
        <w:tc>
          <w:tcPr>
            <w:tcW w:w="354" w:type="dxa"/>
          </w:tcPr>
          <w:p w:rsidR="00DB1214" w:rsidRPr="006F3CC6" w:rsidRDefault="00DB1214" w:rsidP="00C221C3">
            <w:pPr>
              <w:spacing w:before="100" w:beforeAutospacing="1" w:after="100" w:afterAutospacing="1" w:line="312" w:lineRule="auto"/>
              <w:rPr>
                <w:rFonts w:eastAsia="Times New Roman" w:cs="Times New Roman"/>
                <w:b/>
                <w:bCs/>
                <w:color w:val="333333"/>
                <w:sz w:val="12"/>
                <w:szCs w:val="20"/>
                <w:lang w:val="fr-FR"/>
              </w:rPr>
            </w:pPr>
            <w:r w:rsidRPr="006F3CC6">
              <w:rPr>
                <w:rFonts w:eastAsia="Times New Roman" w:cs="Times New Roman"/>
                <w:b/>
                <w:bCs/>
                <w:color w:val="333333"/>
                <w:sz w:val="12"/>
                <w:szCs w:val="20"/>
                <w:lang w:val="fr-FR"/>
              </w:rPr>
              <w:t>13</w:t>
            </w:r>
          </w:p>
        </w:tc>
        <w:tc>
          <w:tcPr>
            <w:tcW w:w="354" w:type="dxa"/>
          </w:tcPr>
          <w:p w:rsidR="00DB1214" w:rsidRPr="006F3CC6" w:rsidRDefault="00DB1214" w:rsidP="00C221C3">
            <w:pPr>
              <w:spacing w:before="100" w:beforeAutospacing="1" w:after="100" w:afterAutospacing="1" w:line="312" w:lineRule="auto"/>
              <w:rPr>
                <w:rFonts w:eastAsia="Times New Roman" w:cs="Times New Roman"/>
                <w:b/>
                <w:bCs/>
                <w:color w:val="333333"/>
                <w:sz w:val="12"/>
                <w:szCs w:val="20"/>
                <w:lang w:val="fr-FR"/>
              </w:rPr>
            </w:pPr>
            <w:r w:rsidRPr="006F3CC6">
              <w:rPr>
                <w:rFonts w:eastAsia="Times New Roman" w:cs="Times New Roman"/>
                <w:b/>
                <w:bCs/>
                <w:color w:val="333333"/>
                <w:sz w:val="12"/>
                <w:szCs w:val="20"/>
                <w:lang w:val="fr-FR"/>
              </w:rPr>
              <w:t>14</w:t>
            </w:r>
          </w:p>
        </w:tc>
        <w:tc>
          <w:tcPr>
            <w:tcW w:w="354" w:type="dxa"/>
          </w:tcPr>
          <w:p w:rsidR="00DB1214" w:rsidRPr="006F3CC6" w:rsidRDefault="00DB1214" w:rsidP="00C221C3">
            <w:pPr>
              <w:spacing w:before="100" w:beforeAutospacing="1" w:after="100" w:afterAutospacing="1" w:line="312" w:lineRule="auto"/>
              <w:rPr>
                <w:rFonts w:eastAsia="Times New Roman" w:cs="Times New Roman"/>
                <w:b/>
                <w:bCs/>
                <w:color w:val="333333"/>
                <w:sz w:val="12"/>
                <w:szCs w:val="20"/>
                <w:lang w:val="fr-FR"/>
              </w:rPr>
            </w:pPr>
            <w:r w:rsidRPr="006F3CC6">
              <w:rPr>
                <w:rFonts w:eastAsia="Times New Roman" w:cs="Times New Roman"/>
                <w:b/>
                <w:bCs/>
                <w:color w:val="333333"/>
                <w:sz w:val="12"/>
                <w:szCs w:val="20"/>
                <w:lang w:val="fr-FR"/>
              </w:rPr>
              <w:t>15</w:t>
            </w:r>
          </w:p>
        </w:tc>
        <w:tc>
          <w:tcPr>
            <w:tcW w:w="355" w:type="dxa"/>
          </w:tcPr>
          <w:p w:rsidR="00DB1214" w:rsidRPr="006F3CC6" w:rsidRDefault="00DB1214" w:rsidP="00C221C3">
            <w:pPr>
              <w:spacing w:before="100" w:beforeAutospacing="1" w:after="100" w:afterAutospacing="1" w:line="312" w:lineRule="auto"/>
              <w:rPr>
                <w:rFonts w:eastAsia="Times New Roman" w:cs="Times New Roman"/>
                <w:b/>
                <w:bCs/>
                <w:color w:val="333333"/>
                <w:sz w:val="12"/>
                <w:szCs w:val="20"/>
                <w:lang w:val="fr-FR"/>
              </w:rPr>
            </w:pPr>
            <w:r w:rsidRPr="006F3CC6">
              <w:rPr>
                <w:rFonts w:eastAsia="Times New Roman" w:cs="Times New Roman"/>
                <w:b/>
                <w:bCs/>
                <w:color w:val="333333"/>
                <w:sz w:val="12"/>
                <w:szCs w:val="20"/>
                <w:lang w:val="fr-FR"/>
              </w:rPr>
              <w:t>16</w:t>
            </w:r>
          </w:p>
        </w:tc>
        <w:tc>
          <w:tcPr>
            <w:tcW w:w="354" w:type="dxa"/>
          </w:tcPr>
          <w:p w:rsidR="00DB1214" w:rsidRPr="006F3CC6" w:rsidRDefault="00DB1214" w:rsidP="00C221C3">
            <w:pPr>
              <w:spacing w:before="100" w:beforeAutospacing="1" w:after="100" w:afterAutospacing="1" w:line="312" w:lineRule="auto"/>
              <w:rPr>
                <w:rFonts w:eastAsia="Times New Roman" w:cs="Times New Roman"/>
                <w:b/>
                <w:bCs/>
                <w:color w:val="333333"/>
                <w:sz w:val="12"/>
                <w:szCs w:val="20"/>
                <w:lang w:val="fr-FR"/>
              </w:rPr>
            </w:pPr>
            <w:r w:rsidRPr="006F3CC6">
              <w:rPr>
                <w:rFonts w:eastAsia="Times New Roman" w:cs="Times New Roman"/>
                <w:b/>
                <w:bCs/>
                <w:color w:val="333333"/>
                <w:sz w:val="12"/>
                <w:szCs w:val="20"/>
                <w:lang w:val="fr-FR"/>
              </w:rPr>
              <w:t>17</w:t>
            </w:r>
          </w:p>
        </w:tc>
        <w:tc>
          <w:tcPr>
            <w:tcW w:w="354" w:type="dxa"/>
          </w:tcPr>
          <w:p w:rsidR="00DB1214" w:rsidRPr="006F3CC6" w:rsidRDefault="00DB1214" w:rsidP="00C221C3">
            <w:pPr>
              <w:spacing w:before="100" w:beforeAutospacing="1" w:after="100" w:afterAutospacing="1" w:line="312" w:lineRule="auto"/>
              <w:rPr>
                <w:rFonts w:eastAsia="Times New Roman" w:cs="Times New Roman"/>
                <w:b/>
                <w:bCs/>
                <w:color w:val="333333"/>
                <w:sz w:val="12"/>
                <w:szCs w:val="20"/>
                <w:lang w:val="fr-FR"/>
              </w:rPr>
            </w:pPr>
            <w:r w:rsidRPr="006F3CC6">
              <w:rPr>
                <w:rFonts w:eastAsia="Times New Roman" w:cs="Times New Roman"/>
                <w:b/>
                <w:bCs/>
                <w:color w:val="333333"/>
                <w:sz w:val="12"/>
                <w:szCs w:val="20"/>
                <w:lang w:val="fr-FR"/>
              </w:rPr>
              <w:t>18</w:t>
            </w:r>
          </w:p>
        </w:tc>
        <w:tc>
          <w:tcPr>
            <w:tcW w:w="354" w:type="dxa"/>
          </w:tcPr>
          <w:p w:rsidR="00DB1214" w:rsidRPr="006F3CC6" w:rsidRDefault="00DB1214" w:rsidP="00C221C3">
            <w:pPr>
              <w:spacing w:before="100" w:beforeAutospacing="1" w:after="100" w:afterAutospacing="1" w:line="312" w:lineRule="auto"/>
              <w:rPr>
                <w:rFonts w:eastAsia="Times New Roman" w:cs="Times New Roman"/>
                <w:b/>
                <w:bCs/>
                <w:color w:val="333333"/>
                <w:sz w:val="12"/>
                <w:szCs w:val="20"/>
                <w:lang w:val="fr-FR"/>
              </w:rPr>
            </w:pPr>
            <w:r w:rsidRPr="006F3CC6">
              <w:rPr>
                <w:rFonts w:eastAsia="Times New Roman" w:cs="Times New Roman"/>
                <w:b/>
                <w:bCs/>
                <w:color w:val="333333"/>
                <w:sz w:val="12"/>
                <w:szCs w:val="20"/>
                <w:lang w:val="fr-FR"/>
              </w:rPr>
              <w:t>19</w:t>
            </w:r>
          </w:p>
        </w:tc>
        <w:tc>
          <w:tcPr>
            <w:tcW w:w="354" w:type="dxa"/>
          </w:tcPr>
          <w:p w:rsidR="00DB1214" w:rsidRPr="006F3CC6" w:rsidRDefault="00DB1214" w:rsidP="00C221C3">
            <w:pPr>
              <w:spacing w:before="100" w:beforeAutospacing="1" w:after="100" w:afterAutospacing="1" w:line="312" w:lineRule="auto"/>
              <w:rPr>
                <w:rFonts w:eastAsia="Times New Roman" w:cs="Times New Roman"/>
                <w:b/>
                <w:bCs/>
                <w:color w:val="333333"/>
                <w:sz w:val="12"/>
                <w:szCs w:val="20"/>
                <w:lang w:val="fr-FR"/>
              </w:rPr>
            </w:pPr>
            <w:r w:rsidRPr="006F3CC6">
              <w:rPr>
                <w:rFonts w:eastAsia="Times New Roman" w:cs="Times New Roman"/>
                <w:b/>
                <w:bCs/>
                <w:color w:val="333333"/>
                <w:sz w:val="12"/>
                <w:szCs w:val="20"/>
                <w:lang w:val="fr-FR"/>
              </w:rPr>
              <w:t>20</w:t>
            </w:r>
          </w:p>
        </w:tc>
        <w:tc>
          <w:tcPr>
            <w:tcW w:w="354" w:type="dxa"/>
          </w:tcPr>
          <w:p w:rsidR="00DB1214" w:rsidRPr="006F3CC6" w:rsidRDefault="00DB1214" w:rsidP="00C221C3">
            <w:pPr>
              <w:spacing w:before="100" w:beforeAutospacing="1" w:after="100" w:afterAutospacing="1" w:line="312" w:lineRule="auto"/>
              <w:rPr>
                <w:rFonts w:eastAsia="Times New Roman" w:cs="Times New Roman"/>
                <w:b/>
                <w:bCs/>
                <w:color w:val="333333"/>
                <w:sz w:val="12"/>
                <w:szCs w:val="20"/>
                <w:lang w:val="fr-FR"/>
              </w:rPr>
            </w:pPr>
            <w:r w:rsidRPr="006F3CC6">
              <w:rPr>
                <w:rFonts w:eastAsia="Times New Roman" w:cs="Times New Roman"/>
                <w:b/>
                <w:bCs/>
                <w:color w:val="333333"/>
                <w:sz w:val="12"/>
                <w:szCs w:val="20"/>
                <w:lang w:val="fr-FR"/>
              </w:rPr>
              <w:t>21</w:t>
            </w:r>
          </w:p>
        </w:tc>
        <w:tc>
          <w:tcPr>
            <w:tcW w:w="354" w:type="dxa"/>
          </w:tcPr>
          <w:p w:rsidR="00DB1214" w:rsidRPr="006F3CC6" w:rsidRDefault="00DB1214" w:rsidP="00C221C3">
            <w:pPr>
              <w:spacing w:before="100" w:beforeAutospacing="1" w:after="100" w:afterAutospacing="1" w:line="312" w:lineRule="auto"/>
              <w:rPr>
                <w:rFonts w:eastAsia="Times New Roman" w:cs="Times New Roman"/>
                <w:b/>
                <w:bCs/>
                <w:color w:val="333333"/>
                <w:sz w:val="12"/>
                <w:szCs w:val="20"/>
                <w:lang w:val="fr-FR"/>
              </w:rPr>
            </w:pPr>
            <w:r w:rsidRPr="006F3CC6">
              <w:rPr>
                <w:rFonts w:eastAsia="Times New Roman" w:cs="Times New Roman"/>
                <w:b/>
                <w:bCs/>
                <w:color w:val="333333"/>
                <w:sz w:val="12"/>
                <w:szCs w:val="20"/>
                <w:lang w:val="fr-FR"/>
              </w:rPr>
              <w:t>22</w:t>
            </w:r>
          </w:p>
        </w:tc>
        <w:tc>
          <w:tcPr>
            <w:tcW w:w="354" w:type="dxa"/>
          </w:tcPr>
          <w:p w:rsidR="00DB1214" w:rsidRPr="006F3CC6" w:rsidRDefault="00DB1214" w:rsidP="00C221C3">
            <w:pPr>
              <w:spacing w:before="100" w:beforeAutospacing="1" w:after="100" w:afterAutospacing="1" w:line="312" w:lineRule="auto"/>
              <w:rPr>
                <w:rFonts w:eastAsia="Times New Roman" w:cs="Times New Roman"/>
                <w:b/>
                <w:bCs/>
                <w:color w:val="333333"/>
                <w:sz w:val="12"/>
                <w:szCs w:val="20"/>
                <w:lang w:val="fr-FR"/>
              </w:rPr>
            </w:pPr>
            <w:r w:rsidRPr="006F3CC6">
              <w:rPr>
                <w:rFonts w:eastAsia="Times New Roman" w:cs="Times New Roman"/>
                <w:b/>
                <w:bCs/>
                <w:color w:val="333333"/>
                <w:sz w:val="12"/>
                <w:szCs w:val="20"/>
                <w:lang w:val="fr-FR"/>
              </w:rPr>
              <w:t>23</w:t>
            </w:r>
          </w:p>
        </w:tc>
        <w:tc>
          <w:tcPr>
            <w:tcW w:w="354" w:type="dxa"/>
          </w:tcPr>
          <w:p w:rsidR="00DB1214" w:rsidRPr="006F3CC6" w:rsidRDefault="00DB1214" w:rsidP="00C221C3">
            <w:pPr>
              <w:spacing w:before="100" w:beforeAutospacing="1" w:after="100" w:afterAutospacing="1" w:line="312" w:lineRule="auto"/>
              <w:rPr>
                <w:rFonts w:eastAsia="Times New Roman" w:cs="Times New Roman"/>
                <w:b/>
                <w:bCs/>
                <w:color w:val="333333"/>
                <w:sz w:val="12"/>
                <w:szCs w:val="20"/>
                <w:lang w:val="fr-FR"/>
              </w:rPr>
            </w:pPr>
            <w:r w:rsidRPr="006F3CC6">
              <w:rPr>
                <w:rFonts w:eastAsia="Times New Roman" w:cs="Times New Roman"/>
                <w:b/>
                <w:bCs/>
                <w:color w:val="333333"/>
                <w:sz w:val="12"/>
                <w:szCs w:val="20"/>
                <w:lang w:val="fr-FR"/>
              </w:rPr>
              <w:t>24</w:t>
            </w:r>
          </w:p>
        </w:tc>
        <w:tc>
          <w:tcPr>
            <w:tcW w:w="354" w:type="dxa"/>
          </w:tcPr>
          <w:p w:rsidR="00DB1214" w:rsidRPr="006F3CC6" w:rsidRDefault="00DB1214" w:rsidP="00C221C3">
            <w:pPr>
              <w:spacing w:before="100" w:beforeAutospacing="1" w:after="100" w:afterAutospacing="1" w:line="312" w:lineRule="auto"/>
              <w:rPr>
                <w:rFonts w:eastAsia="Times New Roman" w:cs="Times New Roman"/>
                <w:b/>
                <w:bCs/>
                <w:color w:val="333333"/>
                <w:sz w:val="12"/>
                <w:szCs w:val="20"/>
                <w:lang w:val="fr-FR"/>
              </w:rPr>
            </w:pPr>
            <w:r w:rsidRPr="006F3CC6">
              <w:rPr>
                <w:rFonts w:eastAsia="Times New Roman" w:cs="Times New Roman"/>
                <w:b/>
                <w:bCs/>
                <w:color w:val="333333"/>
                <w:sz w:val="12"/>
                <w:szCs w:val="20"/>
                <w:lang w:val="fr-FR"/>
              </w:rPr>
              <w:t>25</w:t>
            </w:r>
          </w:p>
        </w:tc>
        <w:tc>
          <w:tcPr>
            <w:tcW w:w="354" w:type="dxa"/>
          </w:tcPr>
          <w:p w:rsidR="00DB1214" w:rsidRPr="006F3CC6" w:rsidRDefault="00DB1214" w:rsidP="00C221C3">
            <w:pPr>
              <w:spacing w:before="100" w:beforeAutospacing="1" w:after="100" w:afterAutospacing="1" w:line="312" w:lineRule="auto"/>
              <w:rPr>
                <w:rFonts w:eastAsia="Times New Roman" w:cs="Times New Roman"/>
                <w:b/>
                <w:bCs/>
                <w:color w:val="333333"/>
                <w:sz w:val="12"/>
                <w:szCs w:val="20"/>
                <w:lang w:val="fr-FR"/>
              </w:rPr>
            </w:pPr>
            <w:r w:rsidRPr="006F3CC6">
              <w:rPr>
                <w:rFonts w:eastAsia="Times New Roman" w:cs="Times New Roman"/>
                <w:b/>
                <w:bCs/>
                <w:color w:val="333333"/>
                <w:sz w:val="12"/>
                <w:szCs w:val="20"/>
                <w:lang w:val="fr-FR"/>
              </w:rPr>
              <w:t>26</w:t>
            </w:r>
          </w:p>
        </w:tc>
        <w:tc>
          <w:tcPr>
            <w:tcW w:w="354" w:type="dxa"/>
          </w:tcPr>
          <w:p w:rsidR="00DB1214" w:rsidRPr="006F3CC6" w:rsidRDefault="00DB1214" w:rsidP="00C221C3">
            <w:pPr>
              <w:spacing w:before="100" w:beforeAutospacing="1" w:after="100" w:afterAutospacing="1" w:line="312" w:lineRule="auto"/>
              <w:rPr>
                <w:rFonts w:eastAsia="Times New Roman" w:cs="Times New Roman"/>
                <w:b/>
                <w:bCs/>
                <w:color w:val="333333"/>
                <w:sz w:val="12"/>
                <w:szCs w:val="20"/>
                <w:lang w:val="fr-FR"/>
              </w:rPr>
            </w:pPr>
            <w:r w:rsidRPr="006F3CC6">
              <w:rPr>
                <w:rFonts w:eastAsia="Times New Roman" w:cs="Times New Roman"/>
                <w:b/>
                <w:bCs/>
                <w:color w:val="333333"/>
                <w:sz w:val="12"/>
                <w:szCs w:val="20"/>
                <w:lang w:val="fr-FR"/>
              </w:rPr>
              <w:t>27</w:t>
            </w:r>
          </w:p>
        </w:tc>
        <w:tc>
          <w:tcPr>
            <w:tcW w:w="354" w:type="dxa"/>
          </w:tcPr>
          <w:p w:rsidR="00DB1214" w:rsidRPr="006F3CC6" w:rsidRDefault="00DB1214" w:rsidP="00C221C3">
            <w:pPr>
              <w:spacing w:before="100" w:beforeAutospacing="1" w:after="100" w:afterAutospacing="1" w:line="312" w:lineRule="auto"/>
              <w:rPr>
                <w:rFonts w:eastAsia="Times New Roman" w:cs="Times New Roman"/>
                <w:b/>
                <w:bCs/>
                <w:color w:val="333333"/>
                <w:sz w:val="12"/>
                <w:szCs w:val="20"/>
                <w:lang w:val="fr-FR"/>
              </w:rPr>
            </w:pPr>
            <w:r w:rsidRPr="006F3CC6">
              <w:rPr>
                <w:rFonts w:eastAsia="Times New Roman" w:cs="Times New Roman"/>
                <w:b/>
                <w:bCs/>
                <w:color w:val="333333"/>
                <w:sz w:val="12"/>
                <w:szCs w:val="20"/>
                <w:lang w:val="fr-FR"/>
              </w:rPr>
              <w:t>28</w:t>
            </w:r>
          </w:p>
        </w:tc>
        <w:tc>
          <w:tcPr>
            <w:tcW w:w="354" w:type="dxa"/>
          </w:tcPr>
          <w:p w:rsidR="00DB1214" w:rsidRPr="006F3CC6" w:rsidRDefault="00DB1214" w:rsidP="00C221C3">
            <w:pPr>
              <w:spacing w:before="100" w:beforeAutospacing="1" w:after="100" w:afterAutospacing="1" w:line="312" w:lineRule="auto"/>
              <w:rPr>
                <w:rFonts w:eastAsia="Times New Roman" w:cs="Times New Roman"/>
                <w:b/>
                <w:bCs/>
                <w:color w:val="333333"/>
                <w:sz w:val="12"/>
                <w:szCs w:val="20"/>
                <w:lang w:val="fr-FR"/>
              </w:rPr>
            </w:pPr>
            <w:r w:rsidRPr="006F3CC6">
              <w:rPr>
                <w:rFonts w:eastAsia="Times New Roman" w:cs="Times New Roman"/>
                <w:b/>
                <w:bCs/>
                <w:color w:val="333333"/>
                <w:sz w:val="12"/>
                <w:szCs w:val="20"/>
                <w:lang w:val="fr-FR"/>
              </w:rPr>
              <w:t>29</w:t>
            </w:r>
          </w:p>
        </w:tc>
        <w:tc>
          <w:tcPr>
            <w:tcW w:w="354" w:type="dxa"/>
          </w:tcPr>
          <w:p w:rsidR="00DB1214" w:rsidRPr="006F3CC6" w:rsidRDefault="00DB1214" w:rsidP="00C221C3">
            <w:pPr>
              <w:spacing w:before="100" w:beforeAutospacing="1" w:after="100" w:afterAutospacing="1" w:line="312" w:lineRule="auto"/>
              <w:rPr>
                <w:rFonts w:eastAsia="Times New Roman" w:cs="Times New Roman"/>
                <w:b/>
                <w:bCs/>
                <w:color w:val="333333"/>
                <w:sz w:val="12"/>
                <w:szCs w:val="20"/>
                <w:lang w:val="fr-FR"/>
              </w:rPr>
            </w:pPr>
            <w:r w:rsidRPr="006F3CC6">
              <w:rPr>
                <w:rFonts w:eastAsia="Times New Roman" w:cs="Times New Roman"/>
                <w:b/>
                <w:bCs/>
                <w:color w:val="333333"/>
                <w:sz w:val="12"/>
                <w:szCs w:val="20"/>
                <w:lang w:val="fr-FR"/>
              </w:rPr>
              <w:t>30</w:t>
            </w:r>
          </w:p>
        </w:tc>
        <w:tc>
          <w:tcPr>
            <w:tcW w:w="355" w:type="dxa"/>
          </w:tcPr>
          <w:p w:rsidR="00DB1214" w:rsidRPr="00257F76" w:rsidRDefault="00257F76" w:rsidP="00150573">
            <w:pPr>
              <w:spacing w:before="100" w:beforeAutospacing="1" w:after="100" w:afterAutospacing="1" w:line="312" w:lineRule="auto"/>
              <w:jc w:val="center"/>
              <w:rPr>
                <w:rFonts w:eastAsia="Times New Roman" w:cs="Times New Roman"/>
                <w:bCs/>
                <w:color w:val="333333"/>
                <w:sz w:val="12"/>
                <w:szCs w:val="12"/>
                <w:lang w:val="fr-FR"/>
              </w:rPr>
            </w:pPr>
            <w:r>
              <w:rPr>
                <w:rFonts w:eastAsia="Times New Roman" w:cs="Times New Roman"/>
                <w:bCs/>
                <w:color w:val="333333"/>
                <w:sz w:val="12"/>
                <w:szCs w:val="12"/>
                <w:lang w:val="fr-FR"/>
              </w:rPr>
              <w:t>31</w:t>
            </w:r>
          </w:p>
        </w:tc>
        <w:tc>
          <w:tcPr>
            <w:tcW w:w="2699" w:type="dxa"/>
            <w:vAlign w:val="center"/>
          </w:tcPr>
          <w:p w:rsidR="00DB1214" w:rsidRPr="006F3CC6" w:rsidRDefault="00DB1214" w:rsidP="00DB1214">
            <w:pPr>
              <w:spacing w:before="100" w:beforeAutospacing="1" w:after="100" w:afterAutospacing="1" w:line="312" w:lineRule="auto"/>
              <w:rPr>
                <w:rFonts w:ascii="Verdana" w:eastAsia="Times New Roman" w:hAnsi="Verdana" w:cs="Times New Roman"/>
                <w:b/>
                <w:bCs/>
                <w:color w:val="333333"/>
                <w:sz w:val="18"/>
                <w:szCs w:val="20"/>
                <w:lang w:val="fr-FR"/>
              </w:rPr>
            </w:pPr>
            <w:r w:rsidRPr="006F3CC6">
              <w:rPr>
                <w:rFonts w:ascii="Verdana" w:eastAsia="Times New Roman" w:hAnsi="Verdana" w:cs="Times New Roman"/>
                <w:b/>
                <w:bCs/>
                <w:color w:val="333333"/>
                <w:sz w:val="18"/>
                <w:szCs w:val="20"/>
                <w:lang w:val="fr-FR"/>
              </w:rPr>
              <w:t>Responsables</w:t>
            </w:r>
          </w:p>
        </w:tc>
      </w:tr>
      <w:tr w:rsidR="000D59E0" w:rsidTr="000D59E0">
        <w:trPr>
          <w:trHeight w:val="57"/>
        </w:trPr>
        <w:tc>
          <w:tcPr>
            <w:tcW w:w="2491" w:type="dxa"/>
          </w:tcPr>
          <w:p w:rsidR="00DB1214" w:rsidRPr="00150573" w:rsidRDefault="00DB1214" w:rsidP="00C221C3">
            <w:pPr>
              <w:tabs>
                <w:tab w:val="left" w:pos="34"/>
                <w:tab w:val="left" w:pos="176"/>
              </w:tabs>
              <w:spacing w:before="100" w:beforeAutospacing="1" w:after="100" w:afterAutospacing="1" w:line="312" w:lineRule="auto"/>
              <w:rPr>
                <w:rFonts w:eastAsia="Times New Roman" w:cs="Times New Roman"/>
                <w:bCs/>
                <w:color w:val="333333"/>
                <w:sz w:val="18"/>
                <w:szCs w:val="20"/>
              </w:rPr>
            </w:pPr>
            <w:r w:rsidRPr="006F3CC6">
              <w:rPr>
                <w:rFonts w:eastAsia="Times New Roman" w:cs="Times New Roman"/>
                <w:bCs/>
                <w:color w:val="333333"/>
                <w:sz w:val="18"/>
                <w:szCs w:val="20"/>
                <w:lang w:val="fr-FR"/>
              </w:rPr>
              <w:t>1.Etudes sur dossie</w:t>
            </w:r>
            <w:r w:rsidRPr="00150573">
              <w:rPr>
                <w:rFonts w:eastAsia="Times New Roman" w:cs="Times New Roman"/>
                <w:bCs/>
                <w:color w:val="333333"/>
                <w:sz w:val="18"/>
                <w:szCs w:val="20"/>
              </w:rPr>
              <w:t>r</w:t>
            </w: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r>
              <w:rPr>
                <w:rFonts w:ascii="Verdana" w:eastAsia="Times New Roman" w:hAnsi="Verdana" w:cs="Times New Roman"/>
                <w:bCs/>
                <w:color w:val="333333"/>
                <w:sz w:val="20"/>
                <w:szCs w:val="20"/>
              </w:rPr>
              <w:t>X</w:t>
            </w: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r>
              <w:rPr>
                <w:rFonts w:ascii="Verdana" w:eastAsia="Times New Roman" w:hAnsi="Verdana" w:cs="Times New Roman"/>
                <w:bCs/>
                <w:color w:val="333333"/>
                <w:sz w:val="20"/>
                <w:szCs w:val="20"/>
              </w:rPr>
              <w:t>X</w:t>
            </w: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r>
              <w:rPr>
                <w:rFonts w:ascii="Verdana" w:eastAsia="Times New Roman" w:hAnsi="Verdana" w:cs="Times New Roman"/>
                <w:bCs/>
                <w:color w:val="333333"/>
                <w:sz w:val="20"/>
                <w:szCs w:val="20"/>
              </w:rPr>
              <w:t>X</w:t>
            </w: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5"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5"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2699" w:type="dxa"/>
          </w:tcPr>
          <w:p w:rsidR="00DB1214" w:rsidRDefault="00362493" w:rsidP="00C221C3">
            <w:pPr>
              <w:spacing w:before="100" w:beforeAutospacing="1" w:after="100" w:afterAutospacing="1" w:line="312" w:lineRule="auto"/>
              <w:rPr>
                <w:rFonts w:ascii="Verdana" w:eastAsia="Times New Roman" w:hAnsi="Verdana" w:cs="Times New Roman"/>
                <w:bCs/>
                <w:color w:val="333333"/>
                <w:sz w:val="20"/>
                <w:szCs w:val="20"/>
              </w:rPr>
            </w:pPr>
            <w:r>
              <w:rPr>
                <w:rFonts w:ascii="Verdana" w:eastAsia="Times New Roman" w:hAnsi="Verdana" w:cs="Times New Roman"/>
                <w:bCs/>
                <w:color w:val="333333"/>
                <w:sz w:val="20"/>
                <w:szCs w:val="20"/>
              </w:rPr>
              <w:t>Equipe eval.</w:t>
            </w:r>
          </w:p>
        </w:tc>
      </w:tr>
      <w:tr w:rsidR="000D59E0" w:rsidTr="000D59E0">
        <w:trPr>
          <w:trHeight w:val="57"/>
        </w:trPr>
        <w:tc>
          <w:tcPr>
            <w:tcW w:w="2491" w:type="dxa"/>
          </w:tcPr>
          <w:p w:rsidR="00DB1214" w:rsidRPr="00150573" w:rsidRDefault="00DB1214" w:rsidP="00C221C3">
            <w:pPr>
              <w:tabs>
                <w:tab w:val="left" w:pos="34"/>
                <w:tab w:val="left" w:pos="176"/>
              </w:tabs>
              <w:spacing w:before="100" w:beforeAutospacing="1" w:after="100" w:afterAutospacing="1" w:line="312" w:lineRule="auto"/>
              <w:rPr>
                <w:rFonts w:eastAsia="Times New Roman" w:cs="Times New Roman"/>
                <w:bCs/>
                <w:color w:val="333333"/>
                <w:sz w:val="18"/>
                <w:szCs w:val="20"/>
              </w:rPr>
            </w:pPr>
            <w:r w:rsidRPr="00150573">
              <w:rPr>
                <w:rFonts w:eastAsia="Times New Roman" w:cs="Times New Roman"/>
                <w:bCs/>
                <w:color w:val="333333"/>
                <w:sz w:val="18"/>
                <w:szCs w:val="20"/>
              </w:rPr>
              <w:t>2. Instructions aux évaluateurs</w:t>
            </w: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r>
              <w:rPr>
                <w:rFonts w:ascii="Verdana" w:eastAsia="Times New Roman" w:hAnsi="Verdana" w:cs="Times New Roman"/>
                <w:bCs/>
                <w:color w:val="333333"/>
                <w:sz w:val="20"/>
                <w:szCs w:val="20"/>
              </w:rPr>
              <w:t>X</w:t>
            </w: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5"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4"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355"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c>
          <w:tcPr>
            <w:tcW w:w="2699" w:type="dxa"/>
          </w:tcPr>
          <w:p w:rsidR="00DB1214" w:rsidRDefault="00DB1214" w:rsidP="00C221C3">
            <w:pPr>
              <w:spacing w:before="100" w:beforeAutospacing="1" w:after="100" w:afterAutospacing="1" w:line="312" w:lineRule="auto"/>
              <w:rPr>
                <w:rFonts w:ascii="Verdana" w:eastAsia="Times New Roman" w:hAnsi="Verdana" w:cs="Times New Roman"/>
                <w:bCs/>
                <w:color w:val="333333"/>
                <w:sz w:val="20"/>
                <w:szCs w:val="20"/>
              </w:rPr>
            </w:pPr>
          </w:p>
        </w:tc>
      </w:tr>
      <w:tr w:rsidR="000D59E0" w:rsidRPr="007279F4" w:rsidTr="000D59E0">
        <w:trPr>
          <w:trHeight w:val="57"/>
        </w:trPr>
        <w:tc>
          <w:tcPr>
            <w:tcW w:w="2491" w:type="dxa"/>
          </w:tcPr>
          <w:p w:rsidR="00DB1214" w:rsidRPr="00150573" w:rsidRDefault="00DB1214" w:rsidP="00C221C3">
            <w:pPr>
              <w:tabs>
                <w:tab w:val="left" w:pos="34"/>
                <w:tab w:val="left" w:pos="176"/>
              </w:tabs>
              <w:spacing w:before="100" w:beforeAutospacing="1" w:after="100" w:afterAutospacing="1" w:line="312" w:lineRule="auto"/>
              <w:rPr>
                <w:rFonts w:eastAsia="Times New Roman" w:cs="Times New Roman"/>
                <w:bCs/>
                <w:color w:val="333333"/>
                <w:sz w:val="18"/>
                <w:szCs w:val="20"/>
                <w:lang w:val="fr-FR"/>
              </w:rPr>
            </w:pPr>
            <w:r w:rsidRPr="00150573">
              <w:rPr>
                <w:rFonts w:eastAsia="Times New Roman" w:cs="Times New Roman"/>
                <w:bCs/>
                <w:color w:val="333333"/>
                <w:sz w:val="18"/>
                <w:szCs w:val="20"/>
                <w:lang w:val="fr-FR"/>
              </w:rPr>
              <w:t xml:space="preserve">3. Finalisation de l’élaboration des méthodes d’évaluation et préparation du rapport initial détaillé </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5"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5"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2699" w:type="dxa"/>
          </w:tcPr>
          <w:p w:rsidR="00DB1214" w:rsidRPr="00C221C3" w:rsidRDefault="00362493"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rPr>
              <w:t>Equipe eval</w:t>
            </w:r>
          </w:p>
        </w:tc>
      </w:tr>
      <w:tr w:rsidR="000D59E0" w:rsidRPr="00C221C3" w:rsidTr="000D59E0">
        <w:trPr>
          <w:trHeight w:val="57"/>
        </w:trPr>
        <w:tc>
          <w:tcPr>
            <w:tcW w:w="2491" w:type="dxa"/>
          </w:tcPr>
          <w:p w:rsidR="00DB1214" w:rsidRPr="00150573" w:rsidRDefault="00DB1214" w:rsidP="00C221C3">
            <w:pPr>
              <w:tabs>
                <w:tab w:val="left" w:pos="34"/>
                <w:tab w:val="left" w:pos="176"/>
              </w:tabs>
              <w:spacing w:before="100" w:beforeAutospacing="1" w:after="100" w:afterAutospacing="1" w:line="312" w:lineRule="auto"/>
              <w:rPr>
                <w:rFonts w:eastAsia="Times New Roman" w:cs="Times New Roman"/>
                <w:bCs/>
                <w:color w:val="333333"/>
                <w:sz w:val="18"/>
                <w:szCs w:val="20"/>
                <w:lang w:val="fr-FR"/>
              </w:rPr>
            </w:pPr>
            <w:r w:rsidRPr="00150573">
              <w:rPr>
                <w:rFonts w:eastAsia="Times New Roman" w:cs="Times New Roman"/>
                <w:bCs/>
                <w:color w:val="333333"/>
                <w:sz w:val="18"/>
                <w:szCs w:val="20"/>
                <w:lang w:val="fr-FR"/>
              </w:rPr>
              <w:t xml:space="preserve">4. Mission d’évaluation interne </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5"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5"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2699" w:type="dxa"/>
          </w:tcPr>
          <w:p w:rsidR="00DB1214" w:rsidRPr="00C221C3" w:rsidRDefault="00362493"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rPr>
              <w:t>E.E/PNUD</w:t>
            </w:r>
          </w:p>
        </w:tc>
      </w:tr>
      <w:tr w:rsidR="000D59E0" w:rsidRPr="00C221C3" w:rsidTr="000D59E0">
        <w:trPr>
          <w:trHeight w:val="57"/>
        </w:trPr>
        <w:tc>
          <w:tcPr>
            <w:tcW w:w="2491" w:type="dxa"/>
          </w:tcPr>
          <w:p w:rsidR="00DB1214" w:rsidRPr="00150573" w:rsidRDefault="00DB1214" w:rsidP="00C221C3">
            <w:pPr>
              <w:pStyle w:val="ListParagraph"/>
              <w:numPr>
                <w:ilvl w:val="0"/>
                <w:numId w:val="26"/>
              </w:numPr>
              <w:tabs>
                <w:tab w:val="left" w:pos="34"/>
                <w:tab w:val="left" w:pos="176"/>
              </w:tabs>
              <w:spacing w:before="100" w:beforeAutospacing="1" w:after="100" w:afterAutospacing="1" w:line="312" w:lineRule="auto"/>
              <w:ind w:left="459" w:hanging="142"/>
              <w:rPr>
                <w:rFonts w:eastAsia="Times New Roman" w:cs="Times New Roman"/>
                <w:bCs/>
                <w:color w:val="333333"/>
                <w:sz w:val="18"/>
                <w:szCs w:val="20"/>
                <w:lang w:val="fr-FR"/>
              </w:rPr>
            </w:pPr>
            <w:r w:rsidRPr="00150573">
              <w:rPr>
                <w:rFonts w:eastAsia="Times New Roman" w:cs="Times New Roman"/>
                <w:bCs/>
                <w:color w:val="333333"/>
                <w:sz w:val="18"/>
                <w:szCs w:val="20"/>
                <w:lang w:val="fr-FR"/>
              </w:rPr>
              <w:t xml:space="preserve">Visites sur le terrain </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5"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5"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2699"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r>
      <w:tr w:rsidR="000D59E0" w:rsidRPr="00C221C3" w:rsidTr="000D59E0">
        <w:trPr>
          <w:trHeight w:val="377"/>
        </w:trPr>
        <w:tc>
          <w:tcPr>
            <w:tcW w:w="2491" w:type="dxa"/>
          </w:tcPr>
          <w:p w:rsidR="00DB1214" w:rsidRPr="00150573" w:rsidRDefault="00DB1214" w:rsidP="00C221C3">
            <w:pPr>
              <w:pStyle w:val="ListParagraph"/>
              <w:numPr>
                <w:ilvl w:val="0"/>
                <w:numId w:val="26"/>
              </w:numPr>
              <w:tabs>
                <w:tab w:val="left" w:pos="34"/>
                <w:tab w:val="left" w:pos="176"/>
              </w:tabs>
              <w:spacing w:before="100" w:beforeAutospacing="1" w:after="100" w:afterAutospacing="1" w:line="312" w:lineRule="auto"/>
              <w:ind w:left="459" w:hanging="142"/>
              <w:rPr>
                <w:rFonts w:eastAsia="Times New Roman" w:cs="Times New Roman"/>
                <w:bCs/>
                <w:color w:val="333333"/>
                <w:sz w:val="18"/>
                <w:szCs w:val="20"/>
                <w:lang w:val="fr-FR"/>
              </w:rPr>
            </w:pPr>
            <w:r w:rsidRPr="00150573">
              <w:rPr>
                <w:rFonts w:eastAsia="Times New Roman" w:cs="Times New Roman"/>
                <w:bCs/>
                <w:color w:val="333333"/>
                <w:sz w:val="18"/>
                <w:szCs w:val="20"/>
                <w:lang w:val="fr-FR"/>
              </w:rPr>
              <w:t xml:space="preserve">Entretien </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5"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5"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2699"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r>
      <w:tr w:rsidR="000D59E0" w:rsidRPr="00C221C3" w:rsidTr="000D59E0">
        <w:trPr>
          <w:trHeight w:val="88"/>
        </w:trPr>
        <w:tc>
          <w:tcPr>
            <w:tcW w:w="2491" w:type="dxa"/>
          </w:tcPr>
          <w:p w:rsidR="00DB1214" w:rsidRPr="00150573" w:rsidRDefault="00DB1214" w:rsidP="00C221C3">
            <w:pPr>
              <w:pStyle w:val="ListParagraph"/>
              <w:numPr>
                <w:ilvl w:val="0"/>
                <w:numId w:val="26"/>
              </w:numPr>
              <w:tabs>
                <w:tab w:val="left" w:pos="34"/>
                <w:tab w:val="left" w:pos="176"/>
              </w:tabs>
              <w:spacing w:before="100" w:beforeAutospacing="1" w:after="100" w:afterAutospacing="1" w:line="312" w:lineRule="auto"/>
              <w:ind w:left="459" w:hanging="142"/>
              <w:rPr>
                <w:rFonts w:eastAsia="Times New Roman" w:cs="Times New Roman"/>
                <w:bCs/>
                <w:color w:val="333333"/>
                <w:sz w:val="18"/>
                <w:szCs w:val="20"/>
                <w:lang w:val="fr-FR"/>
              </w:rPr>
            </w:pPr>
            <w:r w:rsidRPr="00150573">
              <w:rPr>
                <w:rFonts w:eastAsia="Times New Roman" w:cs="Times New Roman"/>
                <w:bCs/>
                <w:color w:val="333333"/>
                <w:sz w:val="18"/>
                <w:szCs w:val="20"/>
                <w:lang w:val="fr-FR"/>
              </w:rPr>
              <w:t xml:space="preserve">Questionnaire </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5"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5"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2699"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r>
      <w:tr w:rsidR="000D59E0" w:rsidRPr="007279F4" w:rsidTr="000D59E0">
        <w:trPr>
          <w:trHeight w:val="57"/>
        </w:trPr>
        <w:tc>
          <w:tcPr>
            <w:tcW w:w="2491" w:type="dxa"/>
          </w:tcPr>
          <w:p w:rsidR="00DB1214" w:rsidRPr="00150573" w:rsidRDefault="00DB1214" w:rsidP="00150573">
            <w:pPr>
              <w:tabs>
                <w:tab w:val="left" w:pos="34"/>
                <w:tab w:val="left" w:pos="176"/>
              </w:tabs>
              <w:spacing w:before="100" w:beforeAutospacing="1" w:after="100" w:afterAutospacing="1" w:line="312" w:lineRule="auto"/>
              <w:rPr>
                <w:rFonts w:eastAsia="Times New Roman" w:cs="Times New Roman"/>
                <w:bCs/>
                <w:color w:val="333333"/>
                <w:sz w:val="18"/>
                <w:szCs w:val="20"/>
                <w:lang w:val="fr-FR"/>
              </w:rPr>
            </w:pPr>
            <w:r w:rsidRPr="00150573">
              <w:rPr>
                <w:rFonts w:eastAsia="Times New Roman" w:cs="Times New Roman"/>
                <w:bCs/>
                <w:color w:val="333333"/>
                <w:sz w:val="18"/>
                <w:szCs w:val="20"/>
                <w:lang w:val="fr-FR"/>
              </w:rPr>
              <w:t xml:space="preserve">5. Préparation du projet de rapport </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5"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5"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2699" w:type="dxa"/>
          </w:tcPr>
          <w:p w:rsidR="00DB1214" w:rsidRPr="00C221C3" w:rsidRDefault="00362493"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rPr>
              <w:t>Equipe eval</w:t>
            </w:r>
          </w:p>
        </w:tc>
      </w:tr>
      <w:tr w:rsidR="000D59E0" w:rsidRPr="00C221C3" w:rsidTr="000D59E0">
        <w:trPr>
          <w:trHeight w:val="57"/>
        </w:trPr>
        <w:tc>
          <w:tcPr>
            <w:tcW w:w="2491" w:type="dxa"/>
          </w:tcPr>
          <w:p w:rsidR="00DB1214" w:rsidRPr="00150573" w:rsidRDefault="00DB1214" w:rsidP="00150573">
            <w:pPr>
              <w:tabs>
                <w:tab w:val="left" w:pos="34"/>
                <w:tab w:val="left" w:pos="176"/>
              </w:tabs>
              <w:spacing w:before="100" w:beforeAutospacing="1" w:after="100" w:afterAutospacing="1" w:line="312" w:lineRule="auto"/>
              <w:rPr>
                <w:rFonts w:eastAsia="Times New Roman" w:cs="Times New Roman"/>
                <w:bCs/>
                <w:color w:val="333333"/>
                <w:sz w:val="18"/>
                <w:szCs w:val="20"/>
                <w:lang w:val="fr-FR"/>
              </w:rPr>
            </w:pPr>
            <w:r w:rsidRPr="00150573">
              <w:rPr>
                <w:rFonts w:eastAsia="Times New Roman" w:cs="Times New Roman"/>
                <w:bCs/>
                <w:color w:val="333333"/>
                <w:sz w:val="18"/>
                <w:szCs w:val="20"/>
                <w:lang w:val="fr-FR"/>
              </w:rPr>
              <w:t xml:space="preserve">6. Réunion des parties prenantes </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5"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5"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2699" w:type="dxa"/>
          </w:tcPr>
          <w:p w:rsidR="00DB1214" w:rsidRPr="00C221C3" w:rsidRDefault="00362493"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EE/PNUD/CNPDR</w:t>
            </w:r>
          </w:p>
        </w:tc>
      </w:tr>
      <w:tr w:rsidR="000D59E0" w:rsidRPr="007279F4" w:rsidTr="000D59E0">
        <w:trPr>
          <w:trHeight w:val="57"/>
        </w:trPr>
        <w:tc>
          <w:tcPr>
            <w:tcW w:w="2491" w:type="dxa"/>
          </w:tcPr>
          <w:p w:rsidR="00DB1214" w:rsidRPr="00150573" w:rsidRDefault="00DB1214" w:rsidP="00150573">
            <w:pPr>
              <w:tabs>
                <w:tab w:val="left" w:pos="34"/>
                <w:tab w:val="left" w:pos="176"/>
              </w:tabs>
              <w:spacing w:before="100" w:beforeAutospacing="1" w:after="100" w:afterAutospacing="1" w:line="312" w:lineRule="auto"/>
              <w:rPr>
                <w:rFonts w:eastAsia="Times New Roman" w:cs="Times New Roman"/>
                <w:bCs/>
                <w:color w:val="333333"/>
                <w:sz w:val="18"/>
                <w:szCs w:val="20"/>
                <w:lang w:val="fr-FR"/>
              </w:rPr>
            </w:pPr>
            <w:r w:rsidRPr="00150573">
              <w:rPr>
                <w:rFonts w:eastAsia="Times New Roman" w:cs="Times New Roman"/>
                <w:bCs/>
                <w:color w:val="333333"/>
                <w:sz w:val="18"/>
                <w:szCs w:val="20"/>
                <w:lang w:val="fr-FR"/>
              </w:rPr>
              <w:t>7. Révision du projet de rapport (pour l’assurance qualité)</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5"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5"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2699" w:type="dxa"/>
          </w:tcPr>
          <w:p w:rsidR="00DB1214" w:rsidRPr="00C221C3" w:rsidRDefault="00362493"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rPr>
              <w:t>Equipe eval</w:t>
            </w:r>
          </w:p>
        </w:tc>
      </w:tr>
      <w:tr w:rsidR="000D59E0" w:rsidRPr="007279F4" w:rsidTr="000D59E0">
        <w:trPr>
          <w:trHeight w:val="57"/>
        </w:trPr>
        <w:tc>
          <w:tcPr>
            <w:tcW w:w="2491" w:type="dxa"/>
          </w:tcPr>
          <w:p w:rsidR="00DB1214" w:rsidRPr="00150573" w:rsidRDefault="00DB1214" w:rsidP="00150573">
            <w:pPr>
              <w:tabs>
                <w:tab w:val="left" w:pos="34"/>
                <w:tab w:val="left" w:pos="176"/>
              </w:tabs>
              <w:spacing w:before="100" w:beforeAutospacing="1" w:after="100" w:afterAutospacing="1" w:line="312" w:lineRule="auto"/>
              <w:rPr>
                <w:rFonts w:eastAsia="Times New Roman" w:cs="Times New Roman"/>
                <w:bCs/>
                <w:color w:val="333333"/>
                <w:sz w:val="18"/>
                <w:szCs w:val="20"/>
                <w:lang w:val="fr-FR"/>
              </w:rPr>
            </w:pPr>
            <w:r w:rsidRPr="00150573">
              <w:rPr>
                <w:rFonts w:eastAsia="Times New Roman" w:cs="Times New Roman"/>
                <w:bCs/>
                <w:color w:val="333333"/>
                <w:sz w:val="18"/>
                <w:szCs w:val="20"/>
                <w:lang w:val="fr-FR"/>
              </w:rPr>
              <w:t xml:space="preserve">8. Incorporation des commentaires et finalisation du rapport d’évaluation </w:t>
            </w: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5"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p>
        </w:tc>
        <w:tc>
          <w:tcPr>
            <w:tcW w:w="354" w:type="dxa"/>
          </w:tcPr>
          <w:p w:rsidR="00DB1214" w:rsidRPr="00C221C3" w:rsidRDefault="00DB1214"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355" w:type="dxa"/>
          </w:tcPr>
          <w:p w:rsidR="00DB1214" w:rsidRPr="00C221C3" w:rsidRDefault="00C037A8"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lang w:val="fr-FR"/>
              </w:rPr>
              <w:t>X</w:t>
            </w:r>
          </w:p>
        </w:tc>
        <w:tc>
          <w:tcPr>
            <w:tcW w:w="2699" w:type="dxa"/>
          </w:tcPr>
          <w:p w:rsidR="00DB1214" w:rsidRPr="00C221C3" w:rsidRDefault="00362493" w:rsidP="00C221C3">
            <w:pPr>
              <w:spacing w:before="100" w:beforeAutospacing="1" w:after="100" w:afterAutospacing="1" w:line="312" w:lineRule="auto"/>
              <w:rPr>
                <w:rFonts w:ascii="Verdana" w:eastAsia="Times New Roman" w:hAnsi="Verdana" w:cs="Times New Roman"/>
                <w:bCs/>
                <w:color w:val="333333"/>
                <w:sz w:val="20"/>
                <w:szCs w:val="20"/>
                <w:lang w:val="fr-FR"/>
              </w:rPr>
            </w:pPr>
            <w:r>
              <w:rPr>
                <w:rFonts w:ascii="Verdana" w:eastAsia="Times New Roman" w:hAnsi="Verdana" w:cs="Times New Roman"/>
                <w:bCs/>
                <w:color w:val="333333"/>
                <w:sz w:val="20"/>
                <w:szCs w:val="20"/>
              </w:rPr>
              <w:t>Equipe eval</w:t>
            </w:r>
          </w:p>
        </w:tc>
      </w:tr>
    </w:tbl>
    <w:p w:rsidR="00C221C3" w:rsidRPr="00C221C3" w:rsidRDefault="00C221C3" w:rsidP="00C221C3">
      <w:pPr>
        <w:spacing w:before="100" w:beforeAutospacing="1" w:after="100" w:afterAutospacing="1" w:line="312" w:lineRule="auto"/>
        <w:ind w:left="720"/>
        <w:rPr>
          <w:rFonts w:ascii="Verdana" w:eastAsia="Times New Roman" w:hAnsi="Verdana" w:cs="Times New Roman"/>
          <w:bCs/>
          <w:color w:val="333333"/>
          <w:sz w:val="20"/>
          <w:szCs w:val="20"/>
          <w:lang w:val="fr-FR"/>
        </w:rPr>
      </w:pPr>
    </w:p>
    <w:p w:rsidR="00C221C3" w:rsidRDefault="00C221C3" w:rsidP="00C221C3">
      <w:pPr>
        <w:spacing w:before="100" w:beforeAutospacing="1" w:after="100" w:afterAutospacing="1" w:line="312" w:lineRule="auto"/>
        <w:ind w:left="720"/>
        <w:rPr>
          <w:rFonts w:ascii="Verdana" w:eastAsia="Times New Roman" w:hAnsi="Verdana" w:cs="Times New Roman"/>
          <w:bCs/>
          <w:color w:val="333333"/>
          <w:sz w:val="20"/>
          <w:szCs w:val="20"/>
          <w:lang w:val="fr-FR"/>
        </w:rPr>
      </w:pPr>
    </w:p>
    <w:p w:rsidR="006F3CC6" w:rsidRDefault="006F3CC6" w:rsidP="00C221C3">
      <w:pPr>
        <w:spacing w:before="100" w:beforeAutospacing="1" w:after="100" w:afterAutospacing="1" w:line="312" w:lineRule="auto"/>
        <w:ind w:left="720"/>
        <w:rPr>
          <w:rFonts w:ascii="Verdana" w:eastAsia="Times New Roman" w:hAnsi="Verdana" w:cs="Times New Roman"/>
          <w:bCs/>
          <w:color w:val="333333"/>
          <w:sz w:val="20"/>
          <w:szCs w:val="20"/>
          <w:lang w:val="fr-FR"/>
        </w:rPr>
      </w:pPr>
    </w:p>
    <w:p w:rsidR="001F7992" w:rsidRDefault="001F7992" w:rsidP="00C221C3">
      <w:pPr>
        <w:spacing w:before="100" w:beforeAutospacing="1" w:after="100" w:afterAutospacing="1" w:line="312" w:lineRule="auto"/>
        <w:ind w:left="720"/>
        <w:rPr>
          <w:rFonts w:ascii="Verdana" w:eastAsia="Times New Roman" w:hAnsi="Verdana" w:cs="Times New Roman"/>
          <w:bCs/>
          <w:color w:val="333333"/>
          <w:sz w:val="20"/>
          <w:szCs w:val="20"/>
          <w:lang w:val="fr-FR"/>
        </w:rPr>
        <w:sectPr w:rsidR="001F7992" w:rsidSect="00150573">
          <w:pgSz w:w="15840" w:h="12240" w:orient="landscape"/>
          <w:pgMar w:top="1440" w:right="1440" w:bottom="1440" w:left="1440" w:header="709" w:footer="709" w:gutter="0"/>
          <w:cols w:space="708"/>
          <w:docGrid w:linePitch="360"/>
        </w:sectPr>
      </w:pPr>
    </w:p>
    <w:p w:rsidR="00DD0DAA" w:rsidRPr="001F7992" w:rsidRDefault="00DD0DAA" w:rsidP="001F7992">
      <w:pPr>
        <w:spacing w:after="0" w:line="312" w:lineRule="auto"/>
        <w:outlineLvl w:val="5"/>
        <w:rPr>
          <w:rFonts w:ascii="Trebuchet MS" w:eastAsia="Times New Roman" w:hAnsi="Trebuchet MS" w:cs="Times New Roman"/>
          <w:color w:val="003399"/>
          <w:sz w:val="26"/>
          <w:szCs w:val="26"/>
          <w:lang w:val="fr-FR"/>
        </w:rPr>
      </w:pPr>
      <w:r w:rsidRPr="001F7992">
        <w:rPr>
          <w:rFonts w:ascii="Trebuchet MS" w:eastAsia="Times New Roman" w:hAnsi="Trebuchet MS" w:cs="Times New Roman"/>
          <w:color w:val="003399"/>
          <w:sz w:val="26"/>
          <w:szCs w:val="26"/>
          <w:lang w:val="fr-FR"/>
        </w:rPr>
        <w:lastRenderedPageBreak/>
        <w:t xml:space="preserve">11. </w:t>
      </w:r>
      <w:r w:rsidR="00AD3A1D">
        <w:rPr>
          <w:rFonts w:ascii="Trebuchet MS" w:eastAsia="Times New Roman" w:hAnsi="Trebuchet MS" w:cs="Times New Roman"/>
          <w:color w:val="003399"/>
          <w:sz w:val="26"/>
          <w:szCs w:val="26"/>
          <w:lang w:val="fr-FR"/>
        </w:rPr>
        <w:t>Durée de la consultation</w:t>
      </w:r>
      <w:r w:rsidR="00AD3A1D" w:rsidRPr="001F7992">
        <w:rPr>
          <w:rFonts w:ascii="Trebuchet MS" w:eastAsia="Times New Roman" w:hAnsi="Trebuchet MS" w:cs="Times New Roman"/>
          <w:color w:val="003399"/>
          <w:sz w:val="26"/>
          <w:szCs w:val="26"/>
          <w:lang w:val="fr-FR"/>
        </w:rPr>
        <w:t xml:space="preserve"> </w:t>
      </w:r>
    </w:p>
    <w:p w:rsidR="00AD3A1D" w:rsidRPr="00052EB9" w:rsidRDefault="00E82318" w:rsidP="00AD3A1D">
      <w:pPr>
        <w:rPr>
          <w:rFonts w:ascii="Arial" w:hAnsi="Arial" w:cs="Arial"/>
          <w:bCs/>
          <w:color w:val="333333"/>
          <w:lang w:val="fr-FR"/>
        </w:rPr>
      </w:pPr>
      <w:r w:rsidRPr="00E82318">
        <w:rPr>
          <w:rFonts w:ascii="Arial" w:hAnsi="Arial" w:cs="Arial"/>
          <w:bCs/>
          <w:color w:val="333333"/>
          <w:lang w:val="fr-FR"/>
        </w:rPr>
        <w:t xml:space="preserve">La consultation s’étalera sur une période d’un mois incluant la période de préparation du rapport. </w:t>
      </w:r>
      <w:r w:rsidR="00AD3A1D" w:rsidRPr="00052EB9">
        <w:rPr>
          <w:rFonts w:ascii="Arial" w:hAnsi="Arial" w:cs="Arial"/>
          <w:bCs/>
          <w:color w:val="333333"/>
          <w:lang w:val="fr-FR"/>
        </w:rPr>
        <w:t>Elle se déroulera à Bangui et à l’intérieur du pays</w:t>
      </w:r>
    </w:p>
    <w:p w:rsidR="00662006" w:rsidRPr="00BB7DAE" w:rsidRDefault="00662006" w:rsidP="001F7992">
      <w:pPr>
        <w:spacing w:after="0" w:line="312" w:lineRule="auto"/>
        <w:outlineLvl w:val="5"/>
        <w:rPr>
          <w:rFonts w:ascii="Trebuchet MS" w:eastAsia="Times New Roman" w:hAnsi="Trebuchet MS" w:cs="Times New Roman"/>
          <w:color w:val="003399"/>
          <w:sz w:val="26"/>
          <w:szCs w:val="26"/>
          <w:lang w:val="fr-FR"/>
        </w:rPr>
      </w:pPr>
    </w:p>
    <w:p w:rsidR="00F8164B" w:rsidRDefault="00DD0DAA" w:rsidP="001F7992">
      <w:pPr>
        <w:spacing w:after="0" w:line="312" w:lineRule="auto"/>
        <w:outlineLvl w:val="5"/>
        <w:rPr>
          <w:rFonts w:ascii="Trebuchet MS" w:eastAsia="Times New Roman" w:hAnsi="Trebuchet MS" w:cs="Times New Roman"/>
          <w:color w:val="003399"/>
          <w:sz w:val="26"/>
          <w:szCs w:val="26"/>
          <w:lang w:val="fr-FR"/>
        </w:rPr>
      </w:pPr>
      <w:r w:rsidRPr="001F7992">
        <w:rPr>
          <w:rFonts w:ascii="Trebuchet MS" w:eastAsia="Times New Roman" w:hAnsi="Trebuchet MS" w:cs="Times New Roman"/>
          <w:color w:val="003399"/>
          <w:sz w:val="26"/>
          <w:szCs w:val="26"/>
          <w:lang w:val="fr-FR"/>
        </w:rPr>
        <w:t>12. Annexes des termes de référence</w:t>
      </w:r>
    </w:p>
    <w:p w:rsidR="00F8164B" w:rsidRDefault="00F8164B" w:rsidP="001F7992">
      <w:pPr>
        <w:spacing w:after="0" w:line="312" w:lineRule="auto"/>
        <w:outlineLvl w:val="5"/>
        <w:rPr>
          <w:rFonts w:ascii="Trebuchet MS" w:eastAsia="Times New Roman" w:hAnsi="Trebuchet MS" w:cs="Times New Roman"/>
          <w:color w:val="003399"/>
          <w:sz w:val="26"/>
          <w:szCs w:val="26"/>
          <w:lang w:val="fr-FR"/>
        </w:rPr>
      </w:pPr>
    </w:p>
    <w:p w:rsidR="00F8164B" w:rsidRPr="00F8164B" w:rsidRDefault="00F8164B" w:rsidP="00F8164B">
      <w:pPr>
        <w:jc w:val="center"/>
        <w:rPr>
          <w:rFonts w:ascii="Verdana" w:hAnsi="Verdana"/>
          <w:b/>
          <w:sz w:val="20"/>
          <w:szCs w:val="20"/>
          <w:lang w:val="fr-FR"/>
        </w:rPr>
      </w:pPr>
      <w:r w:rsidRPr="00F8164B">
        <w:rPr>
          <w:rFonts w:ascii="Verdana" w:hAnsi="Verdana"/>
          <w:b/>
          <w:sz w:val="20"/>
          <w:szCs w:val="20"/>
          <w:lang w:val="fr-FR"/>
        </w:rPr>
        <w:t xml:space="preserve">LISTE DES </w:t>
      </w:r>
      <w:r>
        <w:rPr>
          <w:rFonts w:ascii="Verdana" w:hAnsi="Verdana"/>
          <w:b/>
          <w:sz w:val="20"/>
          <w:szCs w:val="20"/>
          <w:lang w:val="fr-FR"/>
        </w:rPr>
        <w:t>DOCUMENTS A CONSULTER</w:t>
      </w:r>
    </w:p>
    <w:p w:rsidR="00EC5E44" w:rsidRPr="00F142B7" w:rsidRDefault="00EC5E44" w:rsidP="00EC5E44">
      <w:pPr>
        <w:pStyle w:val="ListParagraph"/>
        <w:numPr>
          <w:ilvl w:val="0"/>
          <w:numId w:val="32"/>
        </w:numPr>
        <w:spacing w:before="100" w:beforeAutospacing="1" w:after="100" w:afterAutospacing="1" w:line="312" w:lineRule="auto"/>
        <w:rPr>
          <w:rFonts w:eastAsia="Times New Roman"/>
          <w:bCs/>
          <w:color w:val="333333"/>
          <w:lang w:val="fr-FR"/>
        </w:rPr>
      </w:pPr>
      <w:r w:rsidRPr="00F142B7">
        <w:rPr>
          <w:rFonts w:eastAsia="Times New Roman"/>
          <w:bCs/>
          <w:color w:val="333333"/>
          <w:lang w:val="fr-FR"/>
        </w:rPr>
        <w:t>DOCUMENT DE PROJET PSPD EN REPUBLIQUE CENTRAFRICAINE.</w:t>
      </w:r>
    </w:p>
    <w:p w:rsidR="00EC5E44" w:rsidRPr="00F142B7" w:rsidRDefault="00EC5E44" w:rsidP="00EC5E44">
      <w:pPr>
        <w:pStyle w:val="ListParagraph"/>
        <w:spacing w:before="100" w:beforeAutospacing="1" w:after="100" w:afterAutospacing="1" w:line="312" w:lineRule="auto"/>
        <w:rPr>
          <w:rFonts w:eastAsia="Times New Roman"/>
          <w:bCs/>
          <w:color w:val="333333"/>
          <w:lang w:val="fr-FR"/>
        </w:rPr>
      </w:pPr>
    </w:p>
    <w:p w:rsidR="00EC5E44" w:rsidRPr="00F142B7" w:rsidRDefault="00EC5E44" w:rsidP="00EC5E44">
      <w:pPr>
        <w:pStyle w:val="ListParagraph"/>
        <w:numPr>
          <w:ilvl w:val="0"/>
          <w:numId w:val="32"/>
        </w:numPr>
        <w:spacing w:before="100" w:beforeAutospacing="1" w:after="100" w:afterAutospacing="1" w:line="312" w:lineRule="auto"/>
        <w:rPr>
          <w:rFonts w:eastAsia="Times New Roman"/>
          <w:bCs/>
          <w:color w:val="333333"/>
          <w:lang w:val="fr-FR"/>
        </w:rPr>
      </w:pPr>
      <w:r w:rsidRPr="00F142B7">
        <w:rPr>
          <w:rFonts w:eastAsia="Times New Roman"/>
          <w:bCs/>
          <w:color w:val="333333"/>
          <w:lang w:val="fr-FR"/>
        </w:rPr>
        <w:t xml:space="preserve">RAPPORT ANNUEL  DU PROJET </w:t>
      </w:r>
    </w:p>
    <w:p w:rsidR="00EC5E44" w:rsidRPr="00F142B7" w:rsidRDefault="00EC5E44" w:rsidP="00EC5E44">
      <w:pPr>
        <w:pStyle w:val="ListParagraph"/>
        <w:rPr>
          <w:rFonts w:eastAsia="Times New Roman"/>
          <w:bCs/>
          <w:color w:val="333333"/>
          <w:lang w:val="fr-FR"/>
        </w:rPr>
      </w:pPr>
    </w:p>
    <w:p w:rsidR="00EC5E44" w:rsidRPr="00F142B7" w:rsidRDefault="00EC5E44" w:rsidP="00EC5E44">
      <w:pPr>
        <w:pStyle w:val="ListParagraph"/>
        <w:numPr>
          <w:ilvl w:val="0"/>
          <w:numId w:val="32"/>
        </w:numPr>
        <w:spacing w:before="100" w:beforeAutospacing="1" w:after="100" w:afterAutospacing="1" w:line="312" w:lineRule="auto"/>
        <w:rPr>
          <w:rFonts w:eastAsia="Times New Roman"/>
          <w:bCs/>
          <w:color w:val="333333"/>
          <w:lang w:val="fr-FR"/>
        </w:rPr>
      </w:pPr>
      <w:r w:rsidRPr="00F142B7">
        <w:rPr>
          <w:rFonts w:eastAsia="Times New Roman"/>
          <w:bCs/>
          <w:color w:val="333333"/>
          <w:lang w:val="fr-FR"/>
        </w:rPr>
        <w:t>DOCUMENT D’OUTIL DE SUIVI DU PLAN DE TRAVAIL ANNUEL</w:t>
      </w:r>
    </w:p>
    <w:p w:rsidR="00EC5E44" w:rsidRPr="00F142B7" w:rsidRDefault="00EC5E44" w:rsidP="00EC5E44">
      <w:pPr>
        <w:pStyle w:val="ListParagraph"/>
        <w:rPr>
          <w:rFonts w:eastAsia="Times New Roman"/>
          <w:bCs/>
          <w:color w:val="333333"/>
          <w:lang w:val="fr-FR"/>
        </w:rPr>
      </w:pPr>
    </w:p>
    <w:p w:rsidR="00EC5E44" w:rsidRPr="00F142B7" w:rsidRDefault="00EC5E44" w:rsidP="00EC5E44">
      <w:pPr>
        <w:pStyle w:val="ListParagraph"/>
        <w:numPr>
          <w:ilvl w:val="0"/>
          <w:numId w:val="32"/>
        </w:numPr>
        <w:spacing w:before="100" w:beforeAutospacing="1" w:after="100" w:afterAutospacing="1" w:line="312" w:lineRule="auto"/>
        <w:rPr>
          <w:rFonts w:eastAsia="Times New Roman"/>
          <w:bCs/>
          <w:color w:val="333333"/>
          <w:lang w:val="fr-FR"/>
        </w:rPr>
      </w:pPr>
      <w:r w:rsidRPr="00F142B7">
        <w:rPr>
          <w:rFonts w:eastAsia="Times New Roman"/>
          <w:bCs/>
          <w:color w:val="333333"/>
          <w:lang w:val="fr-FR"/>
        </w:rPr>
        <w:t xml:space="preserve">PLAN D’OPERATIONS </w:t>
      </w:r>
    </w:p>
    <w:p w:rsidR="00EC5E44" w:rsidRPr="00F142B7" w:rsidRDefault="00EC5E44" w:rsidP="00EC5E44">
      <w:pPr>
        <w:pStyle w:val="ListParagraph"/>
        <w:rPr>
          <w:rFonts w:eastAsia="Times New Roman"/>
          <w:bCs/>
          <w:color w:val="333333"/>
          <w:lang w:val="fr-FR"/>
        </w:rPr>
      </w:pPr>
    </w:p>
    <w:p w:rsidR="00EC5E44" w:rsidRPr="00F142B7" w:rsidRDefault="00EC5E44" w:rsidP="00EC5E44">
      <w:pPr>
        <w:pStyle w:val="ListParagraph"/>
        <w:numPr>
          <w:ilvl w:val="0"/>
          <w:numId w:val="32"/>
        </w:numPr>
        <w:spacing w:before="100" w:beforeAutospacing="1" w:after="100" w:afterAutospacing="1" w:line="312" w:lineRule="auto"/>
        <w:rPr>
          <w:rFonts w:eastAsia="Times New Roman"/>
          <w:bCs/>
          <w:color w:val="333333"/>
          <w:lang w:val="fr-FR"/>
        </w:rPr>
      </w:pPr>
      <w:r w:rsidRPr="00F142B7">
        <w:rPr>
          <w:rFonts w:eastAsia="Times New Roman"/>
          <w:bCs/>
          <w:color w:val="333333"/>
          <w:lang w:val="fr-FR"/>
        </w:rPr>
        <w:t>DOCUMENT SUR LES NORMES ET PROCEDURES DE COLLECTE, STOCKAGE, TRANSPORT, MANUTENTION ET DESTRUCTION DES ARMES ET MUNITIONS</w:t>
      </w:r>
    </w:p>
    <w:p w:rsidR="00EC5E44" w:rsidRPr="00F142B7" w:rsidRDefault="00EC5E44" w:rsidP="00EC5E44">
      <w:pPr>
        <w:pStyle w:val="ListParagraph"/>
        <w:rPr>
          <w:rFonts w:eastAsia="Times New Roman"/>
          <w:bCs/>
          <w:color w:val="333333"/>
          <w:lang w:val="fr-FR"/>
        </w:rPr>
      </w:pPr>
    </w:p>
    <w:p w:rsidR="00EC5E44" w:rsidRPr="00F142B7" w:rsidRDefault="00EC5E44" w:rsidP="00EC5E44">
      <w:pPr>
        <w:pStyle w:val="ListParagraph"/>
        <w:numPr>
          <w:ilvl w:val="0"/>
          <w:numId w:val="32"/>
        </w:numPr>
        <w:spacing w:before="100" w:beforeAutospacing="1" w:after="100" w:afterAutospacing="1" w:line="312" w:lineRule="auto"/>
        <w:rPr>
          <w:rFonts w:eastAsia="Times New Roman"/>
          <w:bCs/>
          <w:color w:val="333333"/>
          <w:lang w:val="fr-FR"/>
        </w:rPr>
      </w:pPr>
      <w:r w:rsidRPr="00F142B7">
        <w:rPr>
          <w:rFonts w:eastAsia="Times New Roman"/>
          <w:bCs/>
          <w:color w:val="333333"/>
          <w:lang w:val="fr-FR"/>
        </w:rPr>
        <w:t>PROJET DE LOI PORTANT REGIME DES ARMES LEGERES ET DE PETIT CALIBRE</w:t>
      </w:r>
    </w:p>
    <w:p w:rsidR="00EC5E44" w:rsidRPr="00F142B7" w:rsidRDefault="00EC5E44" w:rsidP="00EC5E44">
      <w:pPr>
        <w:pStyle w:val="ListParagraph"/>
        <w:rPr>
          <w:rFonts w:eastAsia="Times New Roman"/>
          <w:bCs/>
          <w:color w:val="333333"/>
          <w:lang w:val="fr-FR"/>
        </w:rPr>
      </w:pPr>
    </w:p>
    <w:p w:rsidR="00EC5E44" w:rsidRPr="00F142B7" w:rsidRDefault="00EC5E44" w:rsidP="00EC5E44">
      <w:pPr>
        <w:pStyle w:val="ListParagraph"/>
        <w:numPr>
          <w:ilvl w:val="0"/>
          <w:numId w:val="32"/>
        </w:numPr>
        <w:spacing w:before="100" w:beforeAutospacing="1" w:after="100" w:afterAutospacing="1" w:line="312" w:lineRule="auto"/>
        <w:rPr>
          <w:rFonts w:eastAsia="Times New Roman"/>
          <w:bCs/>
          <w:color w:val="333333"/>
          <w:lang w:val="fr-FR"/>
        </w:rPr>
      </w:pPr>
      <w:r w:rsidRPr="00F142B7">
        <w:rPr>
          <w:rFonts w:eastAsia="Times New Roman"/>
          <w:bCs/>
          <w:color w:val="333333"/>
          <w:lang w:val="fr-FR"/>
        </w:rPr>
        <w:t>DIRECTIVES POUR LA MISE EN ŒUVRE DE L’APPROCHE ARME CONTRE DEVELOPPEMENT</w:t>
      </w:r>
    </w:p>
    <w:p w:rsidR="00EC5E44" w:rsidRPr="00F8164B" w:rsidRDefault="00EC5E44" w:rsidP="00EC5E44">
      <w:pPr>
        <w:jc w:val="center"/>
        <w:rPr>
          <w:rFonts w:ascii="Verdana" w:hAnsi="Verdana"/>
          <w:b/>
          <w:sz w:val="20"/>
          <w:szCs w:val="20"/>
          <w:lang w:val="fr-FR"/>
        </w:rPr>
      </w:pPr>
      <w:r w:rsidRPr="00F8164B">
        <w:rPr>
          <w:rFonts w:ascii="Verdana" w:hAnsi="Verdana"/>
          <w:b/>
          <w:sz w:val="20"/>
          <w:szCs w:val="20"/>
          <w:lang w:val="fr-FR"/>
        </w:rPr>
        <w:t>LISTE DES PARTENAIRES</w:t>
      </w:r>
    </w:p>
    <w:p w:rsidR="00EC5E44" w:rsidRPr="00F142B7" w:rsidRDefault="00EC5E44" w:rsidP="00EC5E44">
      <w:pPr>
        <w:pStyle w:val="ListParagraph"/>
        <w:numPr>
          <w:ilvl w:val="0"/>
          <w:numId w:val="33"/>
        </w:numPr>
        <w:rPr>
          <w:lang w:val="fr-FR"/>
        </w:rPr>
      </w:pPr>
      <w:r w:rsidRPr="00F142B7">
        <w:rPr>
          <w:lang w:val="fr-FR"/>
        </w:rPr>
        <w:t xml:space="preserve">COMMISSION NATIONALE DE LUTTE CONTRE LA PROLIFERATION DES ARMES LEGERES ET DE PETIT CALIBRE POUR LE DESARMEMENT ET LA REINSERTION </w:t>
      </w:r>
    </w:p>
    <w:p w:rsidR="00EC5E44" w:rsidRPr="00F142B7" w:rsidRDefault="00EC5E44" w:rsidP="00EC5E44">
      <w:pPr>
        <w:pStyle w:val="ListParagraph"/>
        <w:numPr>
          <w:ilvl w:val="0"/>
          <w:numId w:val="33"/>
        </w:numPr>
        <w:rPr>
          <w:lang w:val="fr-FR"/>
        </w:rPr>
      </w:pPr>
      <w:r w:rsidRPr="00F142B7">
        <w:rPr>
          <w:lang w:val="fr-FR"/>
        </w:rPr>
        <w:t>MINISTERE DELEGUE A LA DEFENSE NATIONALE (DIRECTION GENERALE DU DESARMEMENT)</w:t>
      </w:r>
    </w:p>
    <w:p w:rsidR="00EC5E44" w:rsidRPr="00F142B7" w:rsidRDefault="00EC5E44" w:rsidP="00EC5E44">
      <w:pPr>
        <w:pStyle w:val="ListParagraph"/>
        <w:numPr>
          <w:ilvl w:val="0"/>
          <w:numId w:val="33"/>
        </w:numPr>
        <w:rPr>
          <w:lang w:val="fr-FR"/>
        </w:rPr>
      </w:pPr>
      <w:r w:rsidRPr="00F142B7">
        <w:rPr>
          <w:lang w:val="fr-FR"/>
        </w:rPr>
        <w:t>MINISTERE DU PLAN ET DE LA COOPERATION</w:t>
      </w:r>
    </w:p>
    <w:p w:rsidR="00EC5E44" w:rsidRPr="00F142B7" w:rsidRDefault="00EC5E44" w:rsidP="00EC5E44">
      <w:pPr>
        <w:pStyle w:val="ListParagraph"/>
        <w:numPr>
          <w:ilvl w:val="0"/>
          <w:numId w:val="33"/>
        </w:numPr>
        <w:rPr>
          <w:lang w:val="fr-FR"/>
        </w:rPr>
      </w:pPr>
      <w:r w:rsidRPr="00F142B7">
        <w:rPr>
          <w:lang w:val="fr-FR"/>
        </w:rPr>
        <w:t>MINISTERE DE L’INTERIEUR (DIRECTION DES AFFAIRES POLITIQUES ET ADMINISTRATIVES</w:t>
      </w:r>
    </w:p>
    <w:p w:rsidR="00EC5E44" w:rsidRPr="00F142B7" w:rsidRDefault="00EC5E44" w:rsidP="00EC5E44">
      <w:pPr>
        <w:pStyle w:val="ListParagraph"/>
        <w:numPr>
          <w:ilvl w:val="0"/>
          <w:numId w:val="33"/>
        </w:numPr>
        <w:rPr>
          <w:lang w:val="fr-FR"/>
        </w:rPr>
      </w:pPr>
      <w:r w:rsidRPr="00F142B7">
        <w:rPr>
          <w:lang w:val="fr-FR"/>
        </w:rPr>
        <w:t>MINISTERE DES AFFAIRES ETRANGERES</w:t>
      </w:r>
    </w:p>
    <w:p w:rsidR="00EC5E44" w:rsidRPr="00F142B7" w:rsidRDefault="00EC5E44" w:rsidP="00EC5E44">
      <w:pPr>
        <w:pStyle w:val="ListParagraph"/>
        <w:numPr>
          <w:ilvl w:val="0"/>
          <w:numId w:val="33"/>
        </w:numPr>
        <w:rPr>
          <w:lang w:val="fr-FR"/>
        </w:rPr>
      </w:pPr>
      <w:r w:rsidRPr="00F142B7">
        <w:rPr>
          <w:lang w:val="fr-FR"/>
        </w:rPr>
        <w:t>MINISTERE DES AFFAIRES SOCIALES</w:t>
      </w:r>
    </w:p>
    <w:p w:rsidR="00EC5E44" w:rsidRPr="00F142B7" w:rsidRDefault="00EC5E44" w:rsidP="00EC5E44">
      <w:pPr>
        <w:pStyle w:val="ListParagraph"/>
        <w:numPr>
          <w:ilvl w:val="0"/>
          <w:numId w:val="33"/>
        </w:numPr>
        <w:rPr>
          <w:lang w:val="fr-FR"/>
        </w:rPr>
      </w:pPr>
      <w:r w:rsidRPr="00F142B7">
        <w:rPr>
          <w:lang w:val="fr-FR"/>
        </w:rPr>
        <w:t>AMBASSADE DE France</w:t>
      </w:r>
    </w:p>
    <w:p w:rsidR="00EC5E44" w:rsidRPr="00F142B7" w:rsidRDefault="00EC5E44" w:rsidP="00EC5E44">
      <w:pPr>
        <w:pStyle w:val="ListParagraph"/>
        <w:numPr>
          <w:ilvl w:val="0"/>
          <w:numId w:val="33"/>
        </w:numPr>
        <w:rPr>
          <w:lang w:val="fr-FR"/>
        </w:rPr>
      </w:pPr>
      <w:r w:rsidRPr="00F142B7">
        <w:rPr>
          <w:lang w:val="fr-FR"/>
        </w:rPr>
        <w:t>UNION EUROPEENNE</w:t>
      </w:r>
    </w:p>
    <w:p w:rsidR="00EC5E44" w:rsidRPr="00F142B7" w:rsidRDefault="00EC5E44" w:rsidP="00EC5E44">
      <w:pPr>
        <w:pStyle w:val="ListParagraph"/>
        <w:numPr>
          <w:ilvl w:val="0"/>
          <w:numId w:val="33"/>
        </w:numPr>
        <w:rPr>
          <w:lang w:val="fr-FR"/>
        </w:rPr>
      </w:pPr>
      <w:r w:rsidRPr="00F142B7">
        <w:rPr>
          <w:lang w:val="fr-FR"/>
        </w:rPr>
        <w:t>OFCA</w:t>
      </w:r>
    </w:p>
    <w:p w:rsidR="00EC5E44" w:rsidRPr="00F142B7" w:rsidRDefault="00EC5E44" w:rsidP="00EC5E44">
      <w:pPr>
        <w:pStyle w:val="ListParagraph"/>
        <w:numPr>
          <w:ilvl w:val="0"/>
          <w:numId w:val="33"/>
        </w:numPr>
        <w:rPr>
          <w:lang w:val="fr-FR"/>
        </w:rPr>
      </w:pPr>
      <w:r w:rsidRPr="00F142B7">
        <w:rPr>
          <w:lang w:val="fr-FR"/>
        </w:rPr>
        <w:t>MAIRES DES 8 ARRONDISSEMENTS DE BANGUI ET ONGS LOCALES</w:t>
      </w:r>
    </w:p>
    <w:p w:rsidR="00EC5E44" w:rsidRPr="00EC5E44" w:rsidRDefault="00EC5E44" w:rsidP="00EC5E44">
      <w:pPr>
        <w:pStyle w:val="ListParagraph"/>
        <w:numPr>
          <w:ilvl w:val="0"/>
          <w:numId w:val="33"/>
        </w:numPr>
        <w:rPr>
          <w:rFonts w:ascii="Verdana" w:hAnsi="Verdana"/>
          <w:sz w:val="20"/>
          <w:szCs w:val="20"/>
          <w:lang w:val="fr-FR"/>
        </w:rPr>
      </w:pPr>
      <w:r w:rsidRPr="00F142B7">
        <w:rPr>
          <w:lang w:val="fr-FR"/>
        </w:rPr>
        <w:t>PNUD</w:t>
      </w:r>
    </w:p>
    <w:p w:rsidR="00DD0DAA" w:rsidRPr="003861B6" w:rsidRDefault="00DD0DAA" w:rsidP="003861B6">
      <w:pPr>
        <w:numPr>
          <w:ilvl w:val="0"/>
          <w:numId w:val="7"/>
        </w:numPr>
        <w:spacing w:before="100" w:beforeAutospacing="1" w:after="100" w:afterAutospacing="1" w:line="312" w:lineRule="auto"/>
        <w:jc w:val="both"/>
        <w:rPr>
          <w:rFonts w:eastAsia="Times New Roman" w:cs="Times New Roman"/>
          <w:bCs/>
          <w:color w:val="333333"/>
          <w:lang w:val="fr-FR"/>
        </w:rPr>
      </w:pPr>
      <w:r w:rsidRPr="003861B6">
        <w:rPr>
          <w:rFonts w:eastAsia="Times New Roman" w:cs="Times New Roman"/>
          <w:bCs/>
          <w:color w:val="333333"/>
          <w:lang w:val="fr-FR"/>
        </w:rPr>
        <w:lastRenderedPageBreak/>
        <w:t xml:space="preserve">La matrice d’évaluation (suggérée comme prestation à inclure dans le rapport initial) – La matrice d’évaluation Tableau A – Exemple de matrice d’évaluation </w:t>
      </w:r>
    </w:p>
    <w:tbl>
      <w:tblPr>
        <w:tblpPr w:leftFromText="45" w:rightFromText="45" w:vertAnchor="text"/>
        <w:tblW w:w="5000" w:type="pct"/>
        <w:tblCellSpacing w:w="0" w:type="dxa"/>
        <w:tblCellMar>
          <w:top w:w="60" w:type="dxa"/>
          <w:left w:w="60" w:type="dxa"/>
          <w:bottom w:w="60" w:type="dxa"/>
          <w:right w:w="60" w:type="dxa"/>
        </w:tblCellMar>
        <w:tblLook w:val="04A0"/>
      </w:tblPr>
      <w:tblGrid>
        <w:gridCol w:w="1372"/>
        <w:gridCol w:w="1266"/>
        <w:gridCol w:w="1266"/>
        <w:gridCol w:w="1266"/>
        <w:gridCol w:w="1341"/>
        <w:gridCol w:w="1447"/>
        <w:gridCol w:w="1552"/>
      </w:tblGrid>
      <w:tr w:rsidR="00DD0DAA" w:rsidRPr="00F142B7">
        <w:trPr>
          <w:tblCellSpacing w:w="0" w:type="dxa"/>
        </w:trPr>
        <w:tc>
          <w:tcPr>
            <w:tcW w:w="1365" w:type="dxa"/>
            <w:tcBorders>
              <w:top w:val="single" w:sz="6" w:space="0" w:color="CCCCCC"/>
              <w:left w:val="single" w:sz="6" w:space="0" w:color="CCCCCC"/>
              <w:bottom w:val="single" w:sz="6" w:space="0" w:color="CCCCCC"/>
              <w:right w:val="single" w:sz="6" w:space="0" w:color="CCCCCC"/>
            </w:tcBorders>
            <w:shd w:val="clear" w:color="auto" w:fill="CCCCCC"/>
            <w:hideMark/>
          </w:tcPr>
          <w:p w:rsidR="00DD0DAA" w:rsidRPr="00DD0DAA" w:rsidRDefault="00DD0DAA" w:rsidP="00DD0DAA">
            <w:pPr>
              <w:spacing w:before="100" w:beforeAutospacing="1" w:after="100" w:afterAutospacing="1" w:line="312" w:lineRule="auto"/>
              <w:rPr>
                <w:rFonts w:ascii="Verdana" w:eastAsia="Times New Roman" w:hAnsi="Verdana" w:cs="Times New Roman"/>
                <w:color w:val="333333"/>
                <w:sz w:val="17"/>
                <w:szCs w:val="17"/>
              </w:rPr>
            </w:pPr>
            <w:r w:rsidRPr="00DD0DAA">
              <w:rPr>
                <w:rFonts w:ascii="Verdana" w:eastAsia="Times New Roman" w:hAnsi="Verdana" w:cs="Times New Roman"/>
                <w:bCs/>
                <w:color w:val="333333"/>
                <w:sz w:val="17"/>
              </w:rPr>
              <w:t>Critères d’évaluation appropriés</w:t>
            </w:r>
          </w:p>
        </w:tc>
        <w:tc>
          <w:tcPr>
            <w:tcW w:w="1260" w:type="dxa"/>
            <w:tcBorders>
              <w:top w:val="single" w:sz="6" w:space="0" w:color="CCCCCC"/>
              <w:left w:val="single" w:sz="6" w:space="0" w:color="CCCCCC"/>
              <w:bottom w:val="single" w:sz="6" w:space="0" w:color="CCCCCC"/>
              <w:right w:val="single" w:sz="6" w:space="0" w:color="CCCCCC"/>
            </w:tcBorders>
            <w:shd w:val="clear" w:color="auto" w:fill="CCCCCC"/>
            <w:hideMark/>
          </w:tcPr>
          <w:p w:rsidR="00DD0DAA" w:rsidRPr="00DD0DAA" w:rsidRDefault="00DD0DAA" w:rsidP="00DD0DAA">
            <w:pPr>
              <w:spacing w:before="100" w:beforeAutospacing="1" w:after="100" w:afterAutospacing="1" w:line="312" w:lineRule="auto"/>
              <w:rPr>
                <w:rFonts w:ascii="Verdana" w:eastAsia="Times New Roman" w:hAnsi="Verdana" w:cs="Times New Roman"/>
                <w:color w:val="333333"/>
                <w:sz w:val="17"/>
                <w:szCs w:val="17"/>
              </w:rPr>
            </w:pPr>
            <w:r w:rsidRPr="00DD0DAA">
              <w:rPr>
                <w:rFonts w:ascii="Verdana" w:eastAsia="Times New Roman" w:hAnsi="Verdana" w:cs="Times New Roman"/>
                <w:bCs/>
                <w:color w:val="333333"/>
                <w:sz w:val="17"/>
              </w:rPr>
              <w:t>Questions clés</w:t>
            </w:r>
          </w:p>
        </w:tc>
        <w:tc>
          <w:tcPr>
            <w:tcW w:w="1260" w:type="dxa"/>
            <w:tcBorders>
              <w:top w:val="single" w:sz="6" w:space="0" w:color="CCCCCC"/>
              <w:left w:val="single" w:sz="6" w:space="0" w:color="CCCCCC"/>
              <w:bottom w:val="single" w:sz="6" w:space="0" w:color="CCCCCC"/>
              <w:right w:val="single" w:sz="6" w:space="0" w:color="CCCCCC"/>
            </w:tcBorders>
            <w:shd w:val="clear" w:color="auto" w:fill="CCCCCC"/>
            <w:hideMark/>
          </w:tcPr>
          <w:p w:rsidR="00DD0DAA" w:rsidRPr="00DD0DAA" w:rsidRDefault="00DD0DAA" w:rsidP="00DD0DAA">
            <w:pPr>
              <w:spacing w:before="100" w:beforeAutospacing="1" w:after="100" w:afterAutospacing="1" w:line="312" w:lineRule="auto"/>
              <w:rPr>
                <w:rFonts w:ascii="Verdana" w:eastAsia="Times New Roman" w:hAnsi="Verdana" w:cs="Times New Roman"/>
                <w:color w:val="333333"/>
                <w:sz w:val="17"/>
                <w:szCs w:val="17"/>
              </w:rPr>
            </w:pPr>
            <w:r w:rsidRPr="00DD0DAA">
              <w:rPr>
                <w:rFonts w:ascii="Verdana" w:eastAsia="Times New Roman" w:hAnsi="Verdana" w:cs="Times New Roman"/>
                <w:bCs/>
                <w:color w:val="333333"/>
                <w:sz w:val="17"/>
              </w:rPr>
              <w:t>Sous-questions spécifiques</w:t>
            </w:r>
          </w:p>
        </w:tc>
        <w:tc>
          <w:tcPr>
            <w:tcW w:w="1260" w:type="dxa"/>
            <w:tcBorders>
              <w:top w:val="single" w:sz="6" w:space="0" w:color="CCCCCC"/>
              <w:left w:val="single" w:sz="6" w:space="0" w:color="CCCCCC"/>
              <w:bottom w:val="single" w:sz="6" w:space="0" w:color="CCCCCC"/>
              <w:right w:val="single" w:sz="6" w:space="0" w:color="CCCCCC"/>
            </w:tcBorders>
            <w:shd w:val="clear" w:color="auto" w:fill="CCCCCC"/>
            <w:hideMark/>
          </w:tcPr>
          <w:p w:rsidR="00DD0DAA" w:rsidRPr="00DD0DAA" w:rsidRDefault="00DD0DAA" w:rsidP="00DD0DAA">
            <w:pPr>
              <w:spacing w:before="100" w:beforeAutospacing="1" w:after="100" w:afterAutospacing="1" w:line="312" w:lineRule="auto"/>
              <w:rPr>
                <w:rFonts w:ascii="Verdana" w:eastAsia="Times New Roman" w:hAnsi="Verdana" w:cs="Times New Roman"/>
                <w:color w:val="333333"/>
                <w:sz w:val="17"/>
                <w:szCs w:val="17"/>
              </w:rPr>
            </w:pPr>
            <w:r w:rsidRPr="00DD0DAA">
              <w:rPr>
                <w:rFonts w:ascii="Verdana" w:eastAsia="Times New Roman" w:hAnsi="Verdana" w:cs="Times New Roman"/>
                <w:bCs/>
                <w:color w:val="333333"/>
                <w:sz w:val="17"/>
              </w:rPr>
              <w:t>Sources de données</w:t>
            </w:r>
          </w:p>
        </w:tc>
        <w:tc>
          <w:tcPr>
            <w:tcW w:w="1335" w:type="dxa"/>
            <w:tcBorders>
              <w:top w:val="single" w:sz="6" w:space="0" w:color="CCCCCC"/>
              <w:left w:val="single" w:sz="6" w:space="0" w:color="CCCCCC"/>
              <w:bottom w:val="single" w:sz="6" w:space="0" w:color="CCCCCC"/>
              <w:right w:val="single" w:sz="6" w:space="0" w:color="CCCCCC"/>
            </w:tcBorders>
            <w:shd w:val="clear" w:color="auto" w:fill="CCCCCC"/>
            <w:hideMark/>
          </w:tcPr>
          <w:p w:rsidR="00DD0DAA" w:rsidRPr="00DD0DAA" w:rsidRDefault="00DD0DAA" w:rsidP="00DD0DAA">
            <w:pPr>
              <w:spacing w:before="100" w:beforeAutospacing="1" w:after="100" w:afterAutospacing="1" w:line="312" w:lineRule="auto"/>
              <w:rPr>
                <w:rFonts w:ascii="Verdana" w:eastAsia="Times New Roman" w:hAnsi="Verdana" w:cs="Times New Roman"/>
                <w:color w:val="333333"/>
                <w:sz w:val="17"/>
                <w:szCs w:val="17"/>
                <w:lang w:val="fr-FR"/>
              </w:rPr>
            </w:pPr>
            <w:r w:rsidRPr="00DD0DAA">
              <w:rPr>
                <w:rFonts w:ascii="Verdana" w:eastAsia="Times New Roman" w:hAnsi="Verdana" w:cs="Times New Roman"/>
                <w:bCs/>
                <w:color w:val="333333"/>
                <w:sz w:val="17"/>
                <w:lang w:val="fr-FR"/>
              </w:rPr>
              <w:t xml:space="preserve">Méthodes / Outils de collecte des données </w:t>
            </w:r>
          </w:p>
        </w:tc>
        <w:tc>
          <w:tcPr>
            <w:tcW w:w="1440" w:type="dxa"/>
            <w:tcBorders>
              <w:top w:val="single" w:sz="6" w:space="0" w:color="CCCCCC"/>
              <w:left w:val="single" w:sz="6" w:space="0" w:color="CCCCCC"/>
              <w:bottom w:val="single" w:sz="6" w:space="0" w:color="CCCCCC"/>
              <w:right w:val="single" w:sz="6" w:space="0" w:color="CCCCCC"/>
            </w:tcBorders>
            <w:shd w:val="clear" w:color="auto" w:fill="CCCCCC"/>
            <w:hideMark/>
          </w:tcPr>
          <w:p w:rsidR="00DD0DAA" w:rsidRPr="00DD0DAA" w:rsidRDefault="00DD0DAA" w:rsidP="00DD0DAA">
            <w:pPr>
              <w:spacing w:before="100" w:beforeAutospacing="1" w:after="100" w:afterAutospacing="1" w:line="312" w:lineRule="auto"/>
              <w:rPr>
                <w:rFonts w:ascii="Verdana" w:eastAsia="Times New Roman" w:hAnsi="Verdana" w:cs="Times New Roman"/>
                <w:color w:val="333333"/>
                <w:sz w:val="17"/>
                <w:szCs w:val="17"/>
              </w:rPr>
            </w:pPr>
            <w:r w:rsidRPr="00DD0DAA">
              <w:rPr>
                <w:rFonts w:ascii="Verdana" w:eastAsia="Times New Roman" w:hAnsi="Verdana" w:cs="Times New Roman"/>
                <w:bCs/>
                <w:color w:val="333333"/>
                <w:sz w:val="17"/>
              </w:rPr>
              <w:t>Indicateurs/ Norme de réussite</w:t>
            </w:r>
          </w:p>
        </w:tc>
        <w:tc>
          <w:tcPr>
            <w:tcW w:w="1545" w:type="dxa"/>
            <w:tcBorders>
              <w:top w:val="single" w:sz="6" w:space="0" w:color="CCCCCC"/>
              <w:left w:val="single" w:sz="6" w:space="0" w:color="CCCCCC"/>
              <w:bottom w:val="single" w:sz="6" w:space="0" w:color="CCCCCC"/>
              <w:right w:val="single" w:sz="6" w:space="0" w:color="CCCCCC"/>
            </w:tcBorders>
            <w:shd w:val="clear" w:color="auto" w:fill="CCCCCC"/>
            <w:hideMark/>
          </w:tcPr>
          <w:p w:rsidR="00DD0DAA" w:rsidRPr="00DD0DAA" w:rsidRDefault="00DD0DAA" w:rsidP="00DD0DAA">
            <w:pPr>
              <w:spacing w:before="100" w:beforeAutospacing="1" w:after="100" w:afterAutospacing="1" w:line="312" w:lineRule="auto"/>
              <w:rPr>
                <w:rFonts w:ascii="Verdana" w:eastAsia="Times New Roman" w:hAnsi="Verdana" w:cs="Times New Roman"/>
                <w:color w:val="333333"/>
                <w:sz w:val="17"/>
                <w:szCs w:val="17"/>
                <w:lang w:val="fr-FR"/>
              </w:rPr>
            </w:pPr>
            <w:r w:rsidRPr="00DD0DAA">
              <w:rPr>
                <w:rFonts w:ascii="Verdana" w:eastAsia="Times New Roman" w:hAnsi="Verdana" w:cs="Times New Roman"/>
                <w:bCs/>
                <w:color w:val="333333"/>
                <w:sz w:val="17"/>
                <w:lang w:val="fr-FR"/>
              </w:rPr>
              <w:t>Méthodes pour analyser les données</w:t>
            </w:r>
          </w:p>
        </w:tc>
      </w:tr>
      <w:tr w:rsidR="00DD0DAA" w:rsidRPr="00F142B7">
        <w:trPr>
          <w:tblCellSpacing w:w="0" w:type="dxa"/>
        </w:trPr>
        <w:tc>
          <w:tcPr>
            <w:tcW w:w="1365" w:type="dxa"/>
            <w:tcBorders>
              <w:top w:val="single" w:sz="6" w:space="0" w:color="CCCCCC"/>
              <w:left w:val="single" w:sz="6" w:space="0" w:color="CCCCCC"/>
              <w:bottom w:val="single" w:sz="6" w:space="0" w:color="CCCCCC"/>
              <w:right w:val="single" w:sz="6" w:space="0" w:color="CCCCCC"/>
            </w:tcBorders>
            <w:hideMark/>
          </w:tcPr>
          <w:p w:rsidR="00DD0DAA" w:rsidRPr="00DD0DAA" w:rsidRDefault="00DD0DAA" w:rsidP="00DD0DAA">
            <w:pPr>
              <w:spacing w:before="100" w:beforeAutospacing="1" w:after="100" w:afterAutospacing="1" w:line="312" w:lineRule="auto"/>
              <w:rPr>
                <w:rFonts w:ascii="Verdana" w:eastAsia="Times New Roman" w:hAnsi="Verdana" w:cs="Times New Roman"/>
                <w:color w:val="333333"/>
                <w:sz w:val="17"/>
                <w:szCs w:val="17"/>
                <w:lang w:val="fr-FR"/>
              </w:rPr>
            </w:pPr>
            <w:r w:rsidRPr="00DD0DAA">
              <w:rPr>
                <w:rFonts w:ascii="Verdana" w:eastAsia="Times New Roman" w:hAnsi="Verdana" w:cs="Times New Roman"/>
                <w:bCs/>
                <w:color w:val="333333"/>
                <w:sz w:val="17"/>
                <w:lang w:val="fr-FR"/>
              </w:rPr>
              <w:t> </w:t>
            </w:r>
          </w:p>
        </w:tc>
        <w:tc>
          <w:tcPr>
            <w:tcW w:w="1260" w:type="dxa"/>
            <w:tcBorders>
              <w:top w:val="single" w:sz="6" w:space="0" w:color="CCCCCC"/>
              <w:left w:val="single" w:sz="6" w:space="0" w:color="CCCCCC"/>
              <w:bottom w:val="single" w:sz="6" w:space="0" w:color="CCCCCC"/>
              <w:right w:val="single" w:sz="6" w:space="0" w:color="CCCCCC"/>
            </w:tcBorders>
            <w:hideMark/>
          </w:tcPr>
          <w:p w:rsidR="00DD0DAA" w:rsidRPr="00DD0DAA" w:rsidRDefault="00DD0DAA" w:rsidP="00DD0DAA">
            <w:pPr>
              <w:spacing w:before="100" w:beforeAutospacing="1" w:after="100" w:afterAutospacing="1" w:line="312" w:lineRule="auto"/>
              <w:rPr>
                <w:rFonts w:ascii="Verdana" w:eastAsia="Times New Roman" w:hAnsi="Verdana" w:cs="Times New Roman"/>
                <w:color w:val="333333"/>
                <w:sz w:val="17"/>
                <w:szCs w:val="17"/>
                <w:lang w:val="fr-FR"/>
              </w:rPr>
            </w:pPr>
            <w:r w:rsidRPr="00DD0DAA">
              <w:rPr>
                <w:rFonts w:ascii="Verdana" w:eastAsia="Times New Roman" w:hAnsi="Verdana" w:cs="Times New Roman"/>
                <w:bCs/>
                <w:color w:val="333333"/>
                <w:sz w:val="17"/>
                <w:lang w:val="fr-FR"/>
              </w:rPr>
              <w:t> </w:t>
            </w:r>
          </w:p>
        </w:tc>
        <w:tc>
          <w:tcPr>
            <w:tcW w:w="1260" w:type="dxa"/>
            <w:tcBorders>
              <w:top w:val="single" w:sz="6" w:space="0" w:color="CCCCCC"/>
              <w:left w:val="single" w:sz="6" w:space="0" w:color="CCCCCC"/>
              <w:bottom w:val="single" w:sz="6" w:space="0" w:color="CCCCCC"/>
              <w:right w:val="single" w:sz="6" w:space="0" w:color="CCCCCC"/>
            </w:tcBorders>
            <w:hideMark/>
          </w:tcPr>
          <w:p w:rsidR="00DD0DAA" w:rsidRPr="00DD0DAA" w:rsidRDefault="00DD0DAA" w:rsidP="00DD0DAA">
            <w:pPr>
              <w:spacing w:before="100" w:beforeAutospacing="1" w:after="100" w:afterAutospacing="1" w:line="312" w:lineRule="auto"/>
              <w:rPr>
                <w:rFonts w:ascii="Verdana" w:eastAsia="Times New Roman" w:hAnsi="Verdana" w:cs="Times New Roman"/>
                <w:color w:val="333333"/>
                <w:sz w:val="17"/>
                <w:szCs w:val="17"/>
                <w:lang w:val="fr-FR"/>
              </w:rPr>
            </w:pPr>
            <w:r w:rsidRPr="00DD0DAA">
              <w:rPr>
                <w:rFonts w:ascii="Verdana" w:eastAsia="Times New Roman" w:hAnsi="Verdana" w:cs="Times New Roman"/>
                <w:bCs/>
                <w:color w:val="333333"/>
                <w:sz w:val="17"/>
                <w:lang w:val="fr-FR"/>
              </w:rPr>
              <w:t> </w:t>
            </w:r>
          </w:p>
        </w:tc>
        <w:tc>
          <w:tcPr>
            <w:tcW w:w="1260" w:type="dxa"/>
            <w:tcBorders>
              <w:top w:val="single" w:sz="6" w:space="0" w:color="CCCCCC"/>
              <w:left w:val="single" w:sz="6" w:space="0" w:color="CCCCCC"/>
              <w:bottom w:val="single" w:sz="6" w:space="0" w:color="CCCCCC"/>
              <w:right w:val="single" w:sz="6" w:space="0" w:color="CCCCCC"/>
            </w:tcBorders>
            <w:hideMark/>
          </w:tcPr>
          <w:p w:rsidR="00DD0DAA" w:rsidRPr="00DD0DAA" w:rsidRDefault="00DD0DAA" w:rsidP="00DD0DAA">
            <w:pPr>
              <w:spacing w:before="100" w:beforeAutospacing="1" w:after="100" w:afterAutospacing="1" w:line="312" w:lineRule="auto"/>
              <w:rPr>
                <w:rFonts w:ascii="Verdana" w:eastAsia="Times New Roman" w:hAnsi="Verdana" w:cs="Times New Roman"/>
                <w:color w:val="333333"/>
                <w:sz w:val="17"/>
                <w:szCs w:val="17"/>
                <w:lang w:val="fr-FR"/>
              </w:rPr>
            </w:pPr>
            <w:r w:rsidRPr="00DD0DAA">
              <w:rPr>
                <w:rFonts w:ascii="Verdana" w:eastAsia="Times New Roman" w:hAnsi="Verdana" w:cs="Times New Roman"/>
                <w:bCs/>
                <w:color w:val="333333"/>
                <w:sz w:val="17"/>
                <w:lang w:val="fr-FR"/>
              </w:rPr>
              <w:t> </w:t>
            </w:r>
          </w:p>
        </w:tc>
        <w:tc>
          <w:tcPr>
            <w:tcW w:w="1335" w:type="dxa"/>
            <w:tcBorders>
              <w:top w:val="single" w:sz="6" w:space="0" w:color="CCCCCC"/>
              <w:left w:val="single" w:sz="6" w:space="0" w:color="CCCCCC"/>
              <w:bottom w:val="single" w:sz="6" w:space="0" w:color="CCCCCC"/>
              <w:right w:val="single" w:sz="6" w:space="0" w:color="CCCCCC"/>
            </w:tcBorders>
            <w:hideMark/>
          </w:tcPr>
          <w:p w:rsidR="00DD0DAA" w:rsidRPr="00DD0DAA" w:rsidRDefault="00DD0DAA" w:rsidP="00DD0DAA">
            <w:pPr>
              <w:spacing w:before="100" w:beforeAutospacing="1" w:after="100" w:afterAutospacing="1" w:line="312" w:lineRule="auto"/>
              <w:rPr>
                <w:rFonts w:ascii="Verdana" w:eastAsia="Times New Roman" w:hAnsi="Verdana" w:cs="Times New Roman"/>
                <w:color w:val="333333"/>
                <w:sz w:val="17"/>
                <w:szCs w:val="17"/>
                <w:lang w:val="fr-FR"/>
              </w:rPr>
            </w:pPr>
            <w:r w:rsidRPr="00DD0DAA">
              <w:rPr>
                <w:rFonts w:ascii="Verdana" w:eastAsia="Times New Roman" w:hAnsi="Verdana" w:cs="Times New Roman"/>
                <w:bCs/>
                <w:color w:val="333333"/>
                <w:sz w:val="17"/>
                <w:lang w:val="fr-FR"/>
              </w:rPr>
              <w:t> </w:t>
            </w:r>
          </w:p>
        </w:tc>
        <w:tc>
          <w:tcPr>
            <w:tcW w:w="1440" w:type="dxa"/>
            <w:tcBorders>
              <w:top w:val="single" w:sz="6" w:space="0" w:color="CCCCCC"/>
              <w:left w:val="single" w:sz="6" w:space="0" w:color="CCCCCC"/>
              <w:bottom w:val="single" w:sz="6" w:space="0" w:color="CCCCCC"/>
              <w:right w:val="single" w:sz="6" w:space="0" w:color="CCCCCC"/>
            </w:tcBorders>
            <w:hideMark/>
          </w:tcPr>
          <w:p w:rsidR="00DD0DAA" w:rsidRPr="00DD0DAA" w:rsidRDefault="00DD0DAA" w:rsidP="00DD0DAA">
            <w:pPr>
              <w:spacing w:before="100" w:beforeAutospacing="1" w:after="100" w:afterAutospacing="1" w:line="312" w:lineRule="auto"/>
              <w:rPr>
                <w:rFonts w:ascii="Verdana" w:eastAsia="Times New Roman" w:hAnsi="Verdana" w:cs="Times New Roman"/>
                <w:color w:val="333333"/>
                <w:sz w:val="17"/>
                <w:szCs w:val="17"/>
                <w:lang w:val="fr-FR"/>
              </w:rPr>
            </w:pPr>
            <w:r w:rsidRPr="00DD0DAA">
              <w:rPr>
                <w:rFonts w:ascii="Verdana" w:eastAsia="Times New Roman" w:hAnsi="Verdana" w:cs="Times New Roman"/>
                <w:bCs/>
                <w:color w:val="333333"/>
                <w:sz w:val="17"/>
                <w:lang w:val="fr-FR"/>
              </w:rPr>
              <w:t> </w:t>
            </w:r>
          </w:p>
        </w:tc>
        <w:tc>
          <w:tcPr>
            <w:tcW w:w="1545" w:type="dxa"/>
            <w:tcBorders>
              <w:top w:val="single" w:sz="6" w:space="0" w:color="CCCCCC"/>
              <w:left w:val="single" w:sz="6" w:space="0" w:color="CCCCCC"/>
              <w:bottom w:val="single" w:sz="6" w:space="0" w:color="CCCCCC"/>
              <w:right w:val="single" w:sz="6" w:space="0" w:color="CCCCCC"/>
            </w:tcBorders>
            <w:hideMark/>
          </w:tcPr>
          <w:p w:rsidR="00DD0DAA" w:rsidRPr="00DD0DAA" w:rsidRDefault="00DD0DAA" w:rsidP="00DD0DAA">
            <w:pPr>
              <w:spacing w:before="100" w:beforeAutospacing="1" w:after="100" w:afterAutospacing="1" w:line="312" w:lineRule="auto"/>
              <w:rPr>
                <w:rFonts w:ascii="Verdana" w:eastAsia="Times New Roman" w:hAnsi="Verdana" w:cs="Times New Roman"/>
                <w:color w:val="333333"/>
                <w:sz w:val="17"/>
                <w:szCs w:val="17"/>
                <w:lang w:val="fr-FR"/>
              </w:rPr>
            </w:pPr>
            <w:r w:rsidRPr="00DD0DAA">
              <w:rPr>
                <w:rFonts w:ascii="Verdana" w:eastAsia="Times New Roman" w:hAnsi="Verdana" w:cs="Times New Roman"/>
                <w:bCs/>
                <w:color w:val="333333"/>
                <w:sz w:val="17"/>
                <w:lang w:val="fr-FR"/>
              </w:rPr>
              <w:t> </w:t>
            </w:r>
          </w:p>
        </w:tc>
      </w:tr>
      <w:tr w:rsidR="00DD0DAA" w:rsidRPr="00F142B7">
        <w:trPr>
          <w:tblCellSpacing w:w="0" w:type="dxa"/>
        </w:trPr>
        <w:tc>
          <w:tcPr>
            <w:tcW w:w="1365" w:type="dxa"/>
            <w:tcBorders>
              <w:top w:val="single" w:sz="6" w:space="0" w:color="CCCCCC"/>
              <w:left w:val="single" w:sz="6" w:space="0" w:color="CCCCCC"/>
              <w:bottom w:val="single" w:sz="6" w:space="0" w:color="CCCCCC"/>
              <w:right w:val="single" w:sz="6" w:space="0" w:color="CCCCCC"/>
            </w:tcBorders>
            <w:hideMark/>
          </w:tcPr>
          <w:p w:rsidR="00DD0DAA" w:rsidRPr="00DD0DAA" w:rsidRDefault="00DD0DAA" w:rsidP="00DD0DAA">
            <w:pPr>
              <w:spacing w:before="100" w:beforeAutospacing="1" w:after="100" w:afterAutospacing="1" w:line="312" w:lineRule="auto"/>
              <w:rPr>
                <w:rFonts w:ascii="Verdana" w:eastAsia="Times New Roman" w:hAnsi="Verdana" w:cs="Times New Roman"/>
                <w:color w:val="333333"/>
                <w:sz w:val="17"/>
                <w:szCs w:val="17"/>
                <w:lang w:val="fr-FR"/>
              </w:rPr>
            </w:pPr>
            <w:r w:rsidRPr="00DD0DAA">
              <w:rPr>
                <w:rFonts w:ascii="Verdana" w:eastAsia="Times New Roman" w:hAnsi="Verdana" w:cs="Times New Roman"/>
                <w:bCs/>
                <w:color w:val="333333"/>
                <w:sz w:val="17"/>
                <w:lang w:val="fr-FR"/>
              </w:rPr>
              <w:t> </w:t>
            </w:r>
          </w:p>
        </w:tc>
        <w:tc>
          <w:tcPr>
            <w:tcW w:w="1260" w:type="dxa"/>
            <w:tcBorders>
              <w:top w:val="single" w:sz="6" w:space="0" w:color="CCCCCC"/>
              <w:left w:val="single" w:sz="6" w:space="0" w:color="CCCCCC"/>
              <w:bottom w:val="single" w:sz="6" w:space="0" w:color="CCCCCC"/>
              <w:right w:val="single" w:sz="6" w:space="0" w:color="CCCCCC"/>
            </w:tcBorders>
            <w:hideMark/>
          </w:tcPr>
          <w:p w:rsidR="00DD0DAA" w:rsidRPr="00DD0DAA" w:rsidRDefault="00DD0DAA" w:rsidP="00DD0DAA">
            <w:pPr>
              <w:spacing w:before="100" w:beforeAutospacing="1" w:after="100" w:afterAutospacing="1" w:line="312" w:lineRule="auto"/>
              <w:rPr>
                <w:rFonts w:ascii="Verdana" w:eastAsia="Times New Roman" w:hAnsi="Verdana" w:cs="Times New Roman"/>
                <w:color w:val="333333"/>
                <w:sz w:val="17"/>
                <w:szCs w:val="17"/>
                <w:lang w:val="fr-FR"/>
              </w:rPr>
            </w:pPr>
            <w:r w:rsidRPr="00DD0DAA">
              <w:rPr>
                <w:rFonts w:ascii="Verdana" w:eastAsia="Times New Roman" w:hAnsi="Verdana" w:cs="Times New Roman"/>
                <w:bCs/>
                <w:color w:val="333333"/>
                <w:sz w:val="17"/>
                <w:lang w:val="fr-FR"/>
              </w:rPr>
              <w:t> </w:t>
            </w:r>
          </w:p>
        </w:tc>
        <w:tc>
          <w:tcPr>
            <w:tcW w:w="1260" w:type="dxa"/>
            <w:tcBorders>
              <w:top w:val="single" w:sz="6" w:space="0" w:color="CCCCCC"/>
              <w:left w:val="single" w:sz="6" w:space="0" w:color="CCCCCC"/>
              <w:bottom w:val="single" w:sz="6" w:space="0" w:color="CCCCCC"/>
              <w:right w:val="single" w:sz="6" w:space="0" w:color="CCCCCC"/>
            </w:tcBorders>
            <w:hideMark/>
          </w:tcPr>
          <w:p w:rsidR="00DD0DAA" w:rsidRPr="00DD0DAA" w:rsidRDefault="00DD0DAA" w:rsidP="00DD0DAA">
            <w:pPr>
              <w:spacing w:before="100" w:beforeAutospacing="1" w:after="100" w:afterAutospacing="1" w:line="312" w:lineRule="auto"/>
              <w:rPr>
                <w:rFonts w:ascii="Verdana" w:eastAsia="Times New Roman" w:hAnsi="Verdana" w:cs="Times New Roman"/>
                <w:color w:val="333333"/>
                <w:sz w:val="17"/>
                <w:szCs w:val="17"/>
                <w:lang w:val="fr-FR"/>
              </w:rPr>
            </w:pPr>
            <w:r w:rsidRPr="00DD0DAA">
              <w:rPr>
                <w:rFonts w:ascii="Verdana" w:eastAsia="Times New Roman" w:hAnsi="Verdana" w:cs="Times New Roman"/>
                <w:bCs/>
                <w:color w:val="333333"/>
                <w:sz w:val="17"/>
                <w:lang w:val="fr-FR"/>
              </w:rPr>
              <w:t> </w:t>
            </w:r>
          </w:p>
        </w:tc>
        <w:tc>
          <w:tcPr>
            <w:tcW w:w="1260" w:type="dxa"/>
            <w:tcBorders>
              <w:top w:val="single" w:sz="6" w:space="0" w:color="CCCCCC"/>
              <w:left w:val="single" w:sz="6" w:space="0" w:color="CCCCCC"/>
              <w:bottom w:val="single" w:sz="6" w:space="0" w:color="CCCCCC"/>
              <w:right w:val="single" w:sz="6" w:space="0" w:color="CCCCCC"/>
            </w:tcBorders>
            <w:hideMark/>
          </w:tcPr>
          <w:p w:rsidR="00DD0DAA" w:rsidRPr="00DD0DAA" w:rsidRDefault="00DD0DAA" w:rsidP="00DD0DAA">
            <w:pPr>
              <w:spacing w:before="100" w:beforeAutospacing="1" w:after="100" w:afterAutospacing="1" w:line="312" w:lineRule="auto"/>
              <w:rPr>
                <w:rFonts w:ascii="Verdana" w:eastAsia="Times New Roman" w:hAnsi="Verdana" w:cs="Times New Roman"/>
                <w:color w:val="333333"/>
                <w:sz w:val="17"/>
                <w:szCs w:val="17"/>
                <w:lang w:val="fr-FR"/>
              </w:rPr>
            </w:pPr>
            <w:r w:rsidRPr="00DD0DAA">
              <w:rPr>
                <w:rFonts w:ascii="Verdana" w:eastAsia="Times New Roman" w:hAnsi="Verdana" w:cs="Times New Roman"/>
                <w:bCs/>
                <w:color w:val="333333"/>
                <w:sz w:val="17"/>
                <w:lang w:val="fr-FR"/>
              </w:rPr>
              <w:t> </w:t>
            </w:r>
          </w:p>
        </w:tc>
        <w:tc>
          <w:tcPr>
            <w:tcW w:w="1335" w:type="dxa"/>
            <w:tcBorders>
              <w:top w:val="single" w:sz="6" w:space="0" w:color="CCCCCC"/>
              <w:left w:val="single" w:sz="6" w:space="0" w:color="CCCCCC"/>
              <w:bottom w:val="single" w:sz="6" w:space="0" w:color="CCCCCC"/>
              <w:right w:val="single" w:sz="6" w:space="0" w:color="CCCCCC"/>
            </w:tcBorders>
            <w:hideMark/>
          </w:tcPr>
          <w:p w:rsidR="00DD0DAA" w:rsidRPr="00DD0DAA" w:rsidRDefault="00DD0DAA" w:rsidP="00DD0DAA">
            <w:pPr>
              <w:spacing w:before="100" w:beforeAutospacing="1" w:after="100" w:afterAutospacing="1" w:line="312" w:lineRule="auto"/>
              <w:rPr>
                <w:rFonts w:ascii="Verdana" w:eastAsia="Times New Roman" w:hAnsi="Verdana" w:cs="Times New Roman"/>
                <w:color w:val="333333"/>
                <w:sz w:val="17"/>
                <w:szCs w:val="17"/>
                <w:lang w:val="fr-FR"/>
              </w:rPr>
            </w:pPr>
            <w:r w:rsidRPr="00DD0DAA">
              <w:rPr>
                <w:rFonts w:ascii="Verdana" w:eastAsia="Times New Roman" w:hAnsi="Verdana" w:cs="Times New Roman"/>
                <w:bCs/>
                <w:color w:val="333333"/>
                <w:sz w:val="17"/>
                <w:lang w:val="fr-FR"/>
              </w:rPr>
              <w:t> </w:t>
            </w:r>
          </w:p>
        </w:tc>
        <w:tc>
          <w:tcPr>
            <w:tcW w:w="1440" w:type="dxa"/>
            <w:tcBorders>
              <w:top w:val="single" w:sz="6" w:space="0" w:color="CCCCCC"/>
              <w:left w:val="single" w:sz="6" w:space="0" w:color="CCCCCC"/>
              <w:bottom w:val="single" w:sz="6" w:space="0" w:color="CCCCCC"/>
              <w:right w:val="single" w:sz="6" w:space="0" w:color="CCCCCC"/>
            </w:tcBorders>
            <w:hideMark/>
          </w:tcPr>
          <w:p w:rsidR="00DD0DAA" w:rsidRPr="00DD0DAA" w:rsidRDefault="00DD0DAA" w:rsidP="00DD0DAA">
            <w:pPr>
              <w:spacing w:before="100" w:beforeAutospacing="1" w:after="100" w:afterAutospacing="1" w:line="312" w:lineRule="auto"/>
              <w:rPr>
                <w:rFonts w:ascii="Verdana" w:eastAsia="Times New Roman" w:hAnsi="Verdana" w:cs="Times New Roman"/>
                <w:color w:val="333333"/>
                <w:sz w:val="17"/>
                <w:szCs w:val="17"/>
                <w:lang w:val="fr-FR"/>
              </w:rPr>
            </w:pPr>
            <w:r w:rsidRPr="00DD0DAA">
              <w:rPr>
                <w:rFonts w:ascii="Verdana" w:eastAsia="Times New Roman" w:hAnsi="Verdana" w:cs="Times New Roman"/>
                <w:bCs/>
                <w:color w:val="333333"/>
                <w:sz w:val="17"/>
                <w:lang w:val="fr-FR"/>
              </w:rPr>
              <w:t> </w:t>
            </w:r>
          </w:p>
        </w:tc>
        <w:tc>
          <w:tcPr>
            <w:tcW w:w="1545" w:type="dxa"/>
            <w:tcBorders>
              <w:top w:val="single" w:sz="6" w:space="0" w:color="CCCCCC"/>
              <w:left w:val="single" w:sz="6" w:space="0" w:color="CCCCCC"/>
              <w:bottom w:val="single" w:sz="6" w:space="0" w:color="CCCCCC"/>
              <w:right w:val="single" w:sz="6" w:space="0" w:color="CCCCCC"/>
            </w:tcBorders>
            <w:hideMark/>
          </w:tcPr>
          <w:p w:rsidR="00DD0DAA" w:rsidRPr="00DD0DAA" w:rsidRDefault="00DD0DAA" w:rsidP="00DD0DAA">
            <w:pPr>
              <w:spacing w:before="100" w:beforeAutospacing="1" w:after="100" w:afterAutospacing="1" w:line="312" w:lineRule="auto"/>
              <w:rPr>
                <w:rFonts w:ascii="Verdana" w:eastAsia="Times New Roman" w:hAnsi="Verdana" w:cs="Times New Roman"/>
                <w:color w:val="333333"/>
                <w:sz w:val="17"/>
                <w:szCs w:val="17"/>
                <w:lang w:val="fr-FR"/>
              </w:rPr>
            </w:pPr>
            <w:r w:rsidRPr="00DD0DAA">
              <w:rPr>
                <w:rFonts w:ascii="Verdana" w:eastAsia="Times New Roman" w:hAnsi="Verdana" w:cs="Times New Roman"/>
                <w:bCs/>
                <w:color w:val="333333"/>
                <w:sz w:val="17"/>
                <w:lang w:val="fr-FR"/>
              </w:rPr>
              <w:t> </w:t>
            </w:r>
          </w:p>
        </w:tc>
      </w:tr>
    </w:tbl>
    <w:p w:rsidR="00DD0DAA" w:rsidRPr="003861B6" w:rsidRDefault="00DD0DAA" w:rsidP="003861B6">
      <w:pPr>
        <w:spacing w:before="100" w:beforeAutospacing="1" w:after="100" w:afterAutospacing="1" w:line="312" w:lineRule="auto"/>
        <w:jc w:val="both"/>
        <w:rPr>
          <w:rFonts w:eastAsia="Times New Roman" w:cs="Times New Roman"/>
          <w:bCs/>
          <w:color w:val="333333"/>
          <w:lang w:val="fr-FR"/>
        </w:rPr>
      </w:pPr>
      <w:r w:rsidRPr="00DD0DAA">
        <w:rPr>
          <w:rFonts w:ascii="Verdana" w:eastAsia="Times New Roman" w:hAnsi="Verdana" w:cs="Times New Roman"/>
          <w:bCs/>
          <w:color w:val="333333"/>
          <w:sz w:val="20"/>
          <w:szCs w:val="20"/>
          <w:lang w:val="fr-FR"/>
        </w:rPr>
        <w:t> </w:t>
      </w:r>
    </w:p>
    <w:p w:rsidR="00DD0DAA" w:rsidRPr="003861B6" w:rsidRDefault="00DD0DAA" w:rsidP="003861B6">
      <w:pPr>
        <w:numPr>
          <w:ilvl w:val="0"/>
          <w:numId w:val="8"/>
        </w:numPr>
        <w:spacing w:before="100" w:beforeAutospacing="1" w:after="100" w:afterAutospacing="1" w:line="312" w:lineRule="auto"/>
        <w:jc w:val="both"/>
        <w:rPr>
          <w:rFonts w:eastAsia="Times New Roman" w:cs="Times New Roman"/>
          <w:bCs/>
          <w:color w:val="333333"/>
          <w:lang w:val="fr-FR"/>
        </w:rPr>
      </w:pPr>
      <w:r w:rsidRPr="003861B6">
        <w:rPr>
          <w:rFonts w:eastAsia="Times New Roman" w:cs="Times New Roman"/>
          <w:bCs/>
          <w:color w:val="333333"/>
          <w:lang w:val="fr-FR"/>
        </w:rPr>
        <w:t xml:space="preserve">Le programme des activités, jalons et prestations – Basé sur calendrier présent dans les Termes de référence, les évaluateurs présentent un programme détaillé. </w:t>
      </w:r>
    </w:p>
    <w:p w:rsidR="00DD0DAA" w:rsidRPr="003861B6" w:rsidRDefault="00DD0DAA" w:rsidP="003861B6">
      <w:pPr>
        <w:numPr>
          <w:ilvl w:val="0"/>
          <w:numId w:val="8"/>
        </w:numPr>
        <w:spacing w:before="100" w:beforeAutospacing="1" w:after="100" w:afterAutospacing="1" w:line="312" w:lineRule="auto"/>
        <w:jc w:val="both"/>
        <w:rPr>
          <w:rFonts w:eastAsia="Times New Roman" w:cs="Times New Roman"/>
          <w:bCs/>
          <w:color w:val="333333"/>
          <w:lang w:val="fr-FR"/>
        </w:rPr>
      </w:pPr>
      <w:r w:rsidRPr="003861B6">
        <w:rPr>
          <w:rFonts w:eastAsia="Times New Roman" w:cs="Times New Roman"/>
          <w:bCs/>
          <w:color w:val="333333"/>
          <w:lang w:val="fr-FR"/>
        </w:rPr>
        <w:t xml:space="preserve">Le format requis pour le rapport d’évaluation – Le rapport final doit inclure, mais pas obligatoirement se limiter à, les éléments mis en avant dans les critères de qualité des rapports d’évaluation (voir l'Annexe 7). </w:t>
      </w:r>
    </w:p>
    <w:p w:rsidR="00DD0DAA" w:rsidRPr="003861B6" w:rsidRDefault="00DD0DAA" w:rsidP="003861B6">
      <w:pPr>
        <w:numPr>
          <w:ilvl w:val="0"/>
          <w:numId w:val="8"/>
        </w:numPr>
        <w:spacing w:before="100" w:beforeAutospacing="1" w:after="100" w:afterAutospacing="1" w:line="312" w:lineRule="auto"/>
        <w:jc w:val="both"/>
        <w:rPr>
          <w:rFonts w:eastAsia="Times New Roman" w:cs="Times New Roman"/>
          <w:bCs/>
          <w:color w:val="333333"/>
          <w:lang w:val="fr-FR"/>
        </w:rPr>
      </w:pPr>
      <w:r w:rsidRPr="003861B6">
        <w:rPr>
          <w:rFonts w:eastAsia="Times New Roman" w:cs="Times New Roman"/>
          <w:bCs/>
          <w:color w:val="333333"/>
          <w:lang w:val="fr-FR"/>
        </w:rPr>
        <w:t xml:space="preserve">Le code de conduite – Les unités de programmes du PNUD demandent que chaque membre de l’équipe d’évaluation lise attentivement, comprenne et signe le « Code pour les évaluateurs dans le système des NU », qui est disponible en pièce jointe dans le rapport d’évaluation. </w:t>
      </w:r>
    </w:p>
    <w:p w:rsidR="00DD0DAA" w:rsidRPr="00DD0DAA" w:rsidRDefault="00DD0DAA" w:rsidP="00DD0DAA">
      <w:pPr>
        <w:spacing w:before="100" w:beforeAutospacing="1" w:after="100" w:afterAutospacing="1" w:line="312" w:lineRule="auto"/>
        <w:rPr>
          <w:rFonts w:ascii="Verdana" w:eastAsia="Times New Roman" w:hAnsi="Verdana" w:cs="Times New Roman"/>
          <w:b/>
          <w:bCs/>
          <w:color w:val="333333"/>
          <w:sz w:val="20"/>
          <w:szCs w:val="20"/>
          <w:u w:val="single"/>
          <w:lang w:val="fr-FR"/>
        </w:rPr>
      </w:pPr>
      <w:r w:rsidRPr="00DD0DAA">
        <w:rPr>
          <w:rFonts w:ascii="Verdana" w:eastAsia="Times New Roman" w:hAnsi="Verdana" w:cs="Times New Roman"/>
          <w:b/>
          <w:bCs/>
          <w:color w:val="333333"/>
          <w:sz w:val="20"/>
          <w:szCs w:val="20"/>
          <w:u w:val="single"/>
          <w:lang w:val="fr-FR"/>
        </w:rPr>
        <w:t> </w:t>
      </w:r>
    </w:p>
    <w:p w:rsidR="00B33B97" w:rsidRPr="00DD0DAA" w:rsidRDefault="002675F8">
      <w:pPr>
        <w:rPr>
          <w:lang w:val="fr-FR"/>
        </w:rPr>
      </w:pPr>
    </w:p>
    <w:sectPr w:rsidR="00B33B97" w:rsidRPr="00DD0DAA" w:rsidSect="001F7992">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5F8" w:rsidRDefault="002675F8" w:rsidP="005F5C2C">
      <w:pPr>
        <w:spacing w:after="0" w:line="240" w:lineRule="auto"/>
      </w:pPr>
      <w:r>
        <w:separator/>
      </w:r>
    </w:p>
  </w:endnote>
  <w:endnote w:type="continuationSeparator" w:id="1">
    <w:p w:rsidR="002675F8" w:rsidRDefault="002675F8" w:rsidP="005F5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yriad Pr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31829"/>
      <w:docPartObj>
        <w:docPartGallery w:val="Page Numbers (Bottom of Page)"/>
        <w:docPartUnique/>
      </w:docPartObj>
    </w:sdtPr>
    <w:sdtContent>
      <w:p w:rsidR="008C3AB5" w:rsidRDefault="00D0652E">
        <w:pPr>
          <w:pStyle w:val="Footer"/>
          <w:jc w:val="center"/>
        </w:pPr>
        <w:r>
          <w:fldChar w:fldCharType="begin"/>
        </w:r>
        <w:r w:rsidR="008C3AB5">
          <w:instrText xml:space="preserve"> PAGE   \* MERGEFORMAT </w:instrText>
        </w:r>
        <w:r>
          <w:fldChar w:fldCharType="separate"/>
        </w:r>
        <w:r w:rsidR="00FA5F49">
          <w:rPr>
            <w:noProof/>
          </w:rPr>
          <w:t>1</w:t>
        </w:r>
        <w:r>
          <w:fldChar w:fldCharType="end"/>
        </w:r>
      </w:p>
    </w:sdtContent>
  </w:sdt>
  <w:p w:rsidR="008C3AB5" w:rsidRDefault="008C3A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5F8" w:rsidRDefault="002675F8" w:rsidP="005F5C2C">
      <w:pPr>
        <w:spacing w:after="0" w:line="240" w:lineRule="auto"/>
      </w:pPr>
      <w:r>
        <w:separator/>
      </w:r>
    </w:p>
  </w:footnote>
  <w:footnote w:type="continuationSeparator" w:id="1">
    <w:p w:rsidR="002675F8" w:rsidRDefault="002675F8" w:rsidP="005F5C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in;height:3in" o:bullet="t"/>
    </w:pict>
  </w:numPicBullet>
  <w:numPicBullet w:numPicBulletId="1">
    <w:pict>
      <v:shape id="_x0000_i1053" type="#_x0000_t75" style="width:3in;height:3in" o:bullet="t"/>
    </w:pict>
  </w:numPicBullet>
  <w:numPicBullet w:numPicBulletId="2">
    <w:pict>
      <v:shape id="_x0000_i1054" type="#_x0000_t75" style="width:3in;height:3in" o:bullet="t"/>
    </w:pict>
  </w:numPicBullet>
  <w:numPicBullet w:numPicBulletId="3">
    <w:pict>
      <v:shape id="_x0000_i1055" type="#_x0000_t75" style="width:3in;height:3in" o:bullet="t"/>
    </w:pict>
  </w:numPicBullet>
  <w:numPicBullet w:numPicBulletId="4">
    <w:pict>
      <v:shape id="_x0000_i1056" type="#_x0000_t75" style="width:3in;height:3in" o:bullet="t"/>
    </w:pict>
  </w:numPicBullet>
  <w:numPicBullet w:numPicBulletId="5">
    <w:pict>
      <v:shape id="_x0000_i1057" type="#_x0000_t75" style="width:3in;height:3in" o:bullet="t"/>
    </w:pict>
  </w:numPicBullet>
  <w:numPicBullet w:numPicBulletId="6">
    <w:pict>
      <v:shape id="_x0000_i1058" type="#_x0000_t75" style="width:3in;height:3in" o:bullet="t"/>
    </w:pict>
  </w:numPicBullet>
  <w:numPicBullet w:numPicBulletId="7">
    <w:pict>
      <v:shape id="_x0000_i1059" type="#_x0000_t75" style="width:3in;height:3in" o:bullet="t"/>
    </w:pict>
  </w:numPicBullet>
  <w:numPicBullet w:numPicBulletId="8">
    <w:pict>
      <v:shape id="_x0000_i1060" type="#_x0000_t75" style="width:3in;height:3in" o:bullet="t"/>
    </w:pict>
  </w:numPicBullet>
  <w:numPicBullet w:numPicBulletId="9">
    <w:pict>
      <v:shape id="_x0000_i1061" type="#_x0000_t75" style="width:3in;height:3in" o:bullet="t"/>
    </w:pict>
  </w:numPicBullet>
  <w:numPicBullet w:numPicBulletId="10">
    <w:pict>
      <v:shape id="_x0000_i1062" type="#_x0000_t75" style="width:3in;height:3in" o:bullet="t"/>
    </w:pict>
  </w:numPicBullet>
  <w:numPicBullet w:numPicBulletId="11">
    <w:pict>
      <v:shape id="_x0000_i1063" type="#_x0000_t75" style="width:3in;height:3in" o:bullet="t"/>
    </w:pict>
  </w:numPicBullet>
  <w:numPicBullet w:numPicBulletId="12">
    <w:pict>
      <v:shape id="_x0000_i1064" type="#_x0000_t75" style="width:3in;height:3in" o:bullet="t"/>
    </w:pict>
  </w:numPicBullet>
  <w:numPicBullet w:numPicBulletId="13">
    <w:pict>
      <v:shape id="_x0000_i1065" type="#_x0000_t75" style="width:3in;height:3in" o:bullet="t"/>
    </w:pict>
  </w:numPicBullet>
  <w:numPicBullet w:numPicBulletId="14">
    <w:pict>
      <v:shape id="_x0000_i1066" type="#_x0000_t75" style="width:3in;height:3in" o:bullet="t"/>
    </w:pict>
  </w:numPicBullet>
  <w:numPicBullet w:numPicBulletId="15">
    <w:pict>
      <v:shape id="_x0000_i1067" type="#_x0000_t75" style="width:3in;height:3in" o:bullet="t"/>
    </w:pict>
  </w:numPicBullet>
  <w:numPicBullet w:numPicBulletId="16">
    <w:pict>
      <v:shape id="_x0000_i1068" type="#_x0000_t75" style="width:3in;height:3in" o:bullet="t"/>
    </w:pict>
  </w:numPicBullet>
  <w:numPicBullet w:numPicBulletId="17">
    <w:pict>
      <v:shape id="_x0000_i1069" type="#_x0000_t75" style="width:3in;height:3in" o:bullet="t"/>
    </w:pict>
  </w:numPicBullet>
  <w:numPicBullet w:numPicBulletId="18">
    <w:pict>
      <v:shape id="_x0000_i1070" type="#_x0000_t75" style="width:3in;height:3in" o:bullet="t"/>
    </w:pict>
  </w:numPicBullet>
  <w:numPicBullet w:numPicBulletId="19">
    <w:pict>
      <v:shape id="_x0000_i1071" type="#_x0000_t75" style="width:3in;height:3in" o:bullet="t"/>
    </w:pict>
  </w:numPicBullet>
  <w:numPicBullet w:numPicBulletId="20">
    <w:pict>
      <v:shape id="_x0000_i1072" type="#_x0000_t75" style="width:3in;height:3in" o:bullet="t"/>
    </w:pict>
  </w:numPicBullet>
  <w:numPicBullet w:numPicBulletId="21">
    <w:pict>
      <v:shape id="_x0000_i1073" type="#_x0000_t75" style="width:3in;height:3in" o:bullet="t"/>
    </w:pict>
  </w:numPicBullet>
  <w:numPicBullet w:numPicBulletId="22">
    <w:pict>
      <v:shape id="_x0000_i1074" type="#_x0000_t75" style="width:3in;height:3in" o:bullet="t"/>
    </w:pict>
  </w:numPicBullet>
  <w:numPicBullet w:numPicBulletId="23">
    <w:pict>
      <v:shape id="_x0000_i1075" type="#_x0000_t75" style="width:3in;height:3in" o:bullet="t"/>
    </w:pict>
  </w:numPicBullet>
  <w:numPicBullet w:numPicBulletId="24">
    <w:pict>
      <v:shape id="_x0000_i1076" type="#_x0000_t75" style="width:3in;height:3in" o:bullet="t"/>
    </w:pict>
  </w:numPicBullet>
  <w:numPicBullet w:numPicBulletId="25">
    <w:pict>
      <v:shape id="_x0000_i1077" type="#_x0000_t75" style="width:3in;height:3in" o:bullet="t"/>
    </w:pict>
  </w:numPicBullet>
  <w:abstractNum w:abstractNumId="0">
    <w:nsid w:val="1176207C"/>
    <w:multiLevelType w:val="hybridMultilevel"/>
    <w:tmpl w:val="E1C86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B4C68"/>
    <w:multiLevelType w:val="multilevel"/>
    <w:tmpl w:val="D290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C2F29"/>
    <w:multiLevelType w:val="multilevel"/>
    <w:tmpl w:val="95CC43B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ascii="Verdana" w:hAnsi="Verdana" w:hint="default"/>
        <w:b/>
        <w:color w:val="333333"/>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EB7146"/>
    <w:multiLevelType w:val="hybridMultilevel"/>
    <w:tmpl w:val="1ECCFFD6"/>
    <w:lvl w:ilvl="0" w:tplc="76E802B0">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A5C74A1"/>
    <w:multiLevelType w:val="multilevel"/>
    <w:tmpl w:val="1C80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10487"/>
    <w:multiLevelType w:val="hybridMultilevel"/>
    <w:tmpl w:val="C00C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B609C"/>
    <w:multiLevelType w:val="multilevel"/>
    <w:tmpl w:val="15EC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7470D9"/>
    <w:multiLevelType w:val="multilevel"/>
    <w:tmpl w:val="F226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PicBulletId w:val="1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8C503A"/>
    <w:multiLevelType w:val="hybridMultilevel"/>
    <w:tmpl w:val="36F496D6"/>
    <w:lvl w:ilvl="0" w:tplc="75BACC82">
      <w:start w:val="1"/>
      <w:numFmt w:val="lowerRoman"/>
      <w:lvlText w:val="(%1)"/>
      <w:lvlJc w:val="left"/>
      <w:pPr>
        <w:ind w:left="1080" w:hanging="720"/>
      </w:pPr>
      <w:rPr>
        <w:rFonts w:ascii="Verdana" w:eastAsia="Times New Roman" w:hAnsi="Verdana" w:cs="Times New Roman"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161150"/>
    <w:multiLevelType w:val="multilevel"/>
    <w:tmpl w:val="D23C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60CC9"/>
    <w:multiLevelType w:val="hybridMultilevel"/>
    <w:tmpl w:val="616CC9FE"/>
    <w:lvl w:ilvl="0" w:tplc="6250193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F6B37"/>
    <w:multiLevelType w:val="hybridMultilevel"/>
    <w:tmpl w:val="F1480C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DE15B91"/>
    <w:multiLevelType w:val="hybridMultilevel"/>
    <w:tmpl w:val="889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0D537B"/>
    <w:multiLevelType w:val="multilevel"/>
    <w:tmpl w:val="995E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4"/>
      <w:lvlJc w:val="left"/>
      <w:pPr>
        <w:tabs>
          <w:tab w:val="num" w:pos="1440"/>
        </w:tabs>
        <w:ind w:left="1440" w:hanging="360"/>
      </w:pPr>
      <w:rPr>
        <w:rFonts w:ascii="Courier New" w:hAnsi="Courier New" w:hint="default"/>
        <w:sz w:val="20"/>
      </w:rPr>
    </w:lvl>
    <w:lvl w:ilvl="2" w:tentative="1">
      <w:start w:val="1"/>
      <w:numFmt w:val="bullet"/>
      <w:lvlText w:val=""/>
      <w:lvlPicBulletId w:val="2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2B6CC1"/>
    <w:multiLevelType w:val="hybridMultilevel"/>
    <w:tmpl w:val="05B2CC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A161C7A"/>
    <w:multiLevelType w:val="hybridMultilevel"/>
    <w:tmpl w:val="231C6E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66546EC"/>
    <w:multiLevelType w:val="hybridMultilevel"/>
    <w:tmpl w:val="748A46F6"/>
    <w:lvl w:ilvl="0" w:tplc="EB58113C">
      <w:start w:val="1"/>
      <w:numFmt w:val="decimal"/>
      <w:lvlText w:val="%1)"/>
      <w:lvlJc w:val="left"/>
      <w:pPr>
        <w:ind w:left="1773" w:hanging="360"/>
      </w:pPr>
      <w:rPr>
        <w:rFonts w:hint="default"/>
      </w:rPr>
    </w:lvl>
    <w:lvl w:ilvl="1" w:tplc="040C0019" w:tentative="1">
      <w:start w:val="1"/>
      <w:numFmt w:val="lowerLetter"/>
      <w:lvlText w:val="%2."/>
      <w:lvlJc w:val="left"/>
      <w:pPr>
        <w:ind w:left="2493" w:hanging="360"/>
      </w:pPr>
    </w:lvl>
    <w:lvl w:ilvl="2" w:tplc="040C001B" w:tentative="1">
      <w:start w:val="1"/>
      <w:numFmt w:val="lowerRoman"/>
      <w:lvlText w:val="%3."/>
      <w:lvlJc w:val="right"/>
      <w:pPr>
        <w:ind w:left="3213" w:hanging="180"/>
      </w:pPr>
    </w:lvl>
    <w:lvl w:ilvl="3" w:tplc="040C000F" w:tentative="1">
      <w:start w:val="1"/>
      <w:numFmt w:val="decimal"/>
      <w:lvlText w:val="%4."/>
      <w:lvlJc w:val="left"/>
      <w:pPr>
        <w:ind w:left="3933" w:hanging="360"/>
      </w:pPr>
    </w:lvl>
    <w:lvl w:ilvl="4" w:tplc="040C0019" w:tentative="1">
      <w:start w:val="1"/>
      <w:numFmt w:val="lowerLetter"/>
      <w:lvlText w:val="%5."/>
      <w:lvlJc w:val="left"/>
      <w:pPr>
        <w:ind w:left="4653" w:hanging="360"/>
      </w:pPr>
    </w:lvl>
    <w:lvl w:ilvl="5" w:tplc="040C001B" w:tentative="1">
      <w:start w:val="1"/>
      <w:numFmt w:val="lowerRoman"/>
      <w:lvlText w:val="%6."/>
      <w:lvlJc w:val="right"/>
      <w:pPr>
        <w:ind w:left="5373" w:hanging="180"/>
      </w:pPr>
    </w:lvl>
    <w:lvl w:ilvl="6" w:tplc="040C000F" w:tentative="1">
      <w:start w:val="1"/>
      <w:numFmt w:val="decimal"/>
      <w:lvlText w:val="%7."/>
      <w:lvlJc w:val="left"/>
      <w:pPr>
        <w:ind w:left="6093" w:hanging="360"/>
      </w:pPr>
    </w:lvl>
    <w:lvl w:ilvl="7" w:tplc="040C0019" w:tentative="1">
      <w:start w:val="1"/>
      <w:numFmt w:val="lowerLetter"/>
      <w:lvlText w:val="%8."/>
      <w:lvlJc w:val="left"/>
      <w:pPr>
        <w:ind w:left="6813" w:hanging="360"/>
      </w:pPr>
    </w:lvl>
    <w:lvl w:ilvl="8" w:tplc="040C001B" w:tentative="1">
      <w:start w:val="1"/>
      <w:numFmt w:val="lowerRoman"/>
      <w:lvlText w:val="%9."/>
      <w:lvlJc w:val="right"/>
      <w:pPr>
        <w:ind w:left="7533" w:hanging="180"/>
      </w:pPr>
    </w:lvl>
  </w:abstractNum>
  <w:abstractNum w:abstractNumId="17">
    <w:nsid w:val="482A2E1F"/>
    <w:multiLevelType w:val="multilevel"/>
    <w:tmpl w:val="188E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E62BA2"/>
    <w:multiLevelType w:val="hybridMultilevel"/>
    <w:tmpl w:val="8C0E7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886D74"/>
    <w:multiLevelType w:val="hybridMultilevel"/>
    <w:tmpl w:val="A47803AA"/>
    <w:lvl w:ilvl="0" w:tplc="6250193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9F1AD5"/>
    <w:multiLevelType w:val="hybridMultilevel"/>
    <w:tmpl w:val="548043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0CF6162"/>
    <w:multiLevelType w:val="multilevel"/>
    <w:tmpl w:val="8272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F244BB"/>
    <w:multiLevelType w:val="hybridMultilevel"/>
    <w:tmpl w:val="6F3CE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C7022F"/>
    <w:multiLevelType w:val="hybridMultilevel"/>
    <w:tmpl w:val="6674D52A"/>
    <w:lvl w:ilvl="0" w:tplc="5DAC17B2">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4">
    <w:nsid w:val="58AC01E9"/>
    <w:multiLevelType w:val="multilevel"/>
    <w:tmpl w:val="04D0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2C6F00"/>
    <w:multiLevelType w:val="hybridMultilevel"/>
    <w:tmpl w:val="6844596A"/>
    <w:lvl w:ilvl="0" w:tplc="6250193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532FEB"/>
    <w:multiLevelType w:val="multilevel"/>
    <w:tmpl w:val="ED4E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B26B02"/>
    <w:multiLevelType w:val="multilevel"/>
    <w:tmpl w:val="0076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0"/>
      <w:lvlJc w:val="left"/>
      <w:pPr>
        <w:tabs>
          <w:tab w:val="num" w:pos="1440"/>
        </w:tabs>
        <w:ind w:left="1440" w:hanging="360"/>
      </w:pPr>
      <w:rPr>
        <w:rFonts w:ascii="Courier New" w:hAnsi="Courier New" w:hint="default"/>
        <w:sz w:val="20"/>
      </w:rPr>
    </w:lvl>
    <w:lvl w:ilvl="2" w:tentative="1">
      <w:start w:val="1"/>
      <w:numFmt w:val="bullet"/>
      <w:lvlText w:val=""/>
      <w:lvlPicBulletId w:val="2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5A2967"/>
    <w:multiLevelType w:val="hybridMultilevel"/>
    <w:tmpl w:val="CC86EA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E1574DE"/>
    <w:multiLevelType w:val="hybridMultilevel"/>
    <w:tmpl w:val="BD1C8152"/>
    <w:lvl w:ilvl="0" w:tplc="42620F1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EB1ACF"/>
    <w:multiLevelType w:val="hybridMultilevel"/>
    <w:tmpl w:val="3ACE5438"/>
    <w:lvl w:ilvl="0" w:tplc="6250193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9B36AB"/>
    <w:multiLevelType w:val="multilevel"/>
    <w:tmpl w:val="E960B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D558F8"/>
    <w:multiLevelType w:val="hybridMultilevel"/>
    <w:tmpl w:val="CC86EA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F6647CC"/>
    <w:multiLevelType w:val="hybridMultilevel"/>
    <w:tmpl w:val="4056915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9"/>
  </w:num>
  <w:num w:numId="3">
    <w:abstractNumId w:val="24"/>
  </w:num>
  <w:num w:numId="4">
    <w:abstractNumId w:val="4"/>
  </w:num>
  <w:num w:numId="5">
    <w:abstractNumId w:val="2"/>
  </w:num>
  <w:num w:numId="6">
    <w:abstractNumId w:val="21"/>
  </w:num>
  <w:num w:numId="7">
    <w:abstractNumId w:val="31"/>
  </w:num>
  <w:num w:numId="8">
    <w:abstractNumId w:val="17"/>
  </w:num>
  <w:num w:numId="9">
    <w:abstractNumId w:val="3"/>
  </w:num>
  <w:num w:numId="10">
    <w:abstractNumId w:val="11"/>
  </w:num>
  <w:num w:numId="11">
    <w:abstractNumId w:val="33"/>
  </w:num>
  <w:num w:numId="12">
    <w:abstractNumId w:val="8"/>
  </w:num>
  <w:num w:numId="13">
    <w:abstractNumId w:val="6"/>
  </w:num>
  <w:num w:numId="14">
    <w:abstractNumId w:val="7"/>
  </w:num>
  <w:num w:numId="15">
    <w:abstractNumId w:val="27"/>
  </w:num>
  <w:num w:numId="16">
    <w:abstractNumId w:val="26"/>
  </w:num>
  <w:num w:numId="17">
    <w:abstractNumId w:val="13"/>
  </w:num>
  <w:num w:numId="18">
    <w:abstractNumId w:val="5"/>
  </w:num>
  <w:num w:numId="19">
    <w:abstractNumId w:val="14"/>
  </w:num>
  <w:num w:numId="20">
    <w:abstractNumId w:val="10"/>
  </w:num>
  <w:num w:numId="21">
    <w:abstractNumId w:val="19"/>
  </w:num>
  <w:num w:numId="22">
    <w:abstractNumId w:val="25"/>
  </w:num>
  <w:num w:numId="23">
    <w:abstractNumId w:val="32"/>
  </w:num>
  <w:num w:numId="24">
    <w:abstractNumId w:val="16"/>
  </w:num>
  <w:num w:numId="25">
    <w:abstractNumId w:val="0"/>
  </w:num>
  <w:num w:numId="26">
    <w:abstractNumId w:val="30"/>
  </w:num>
  <w:num w:numId="27">
    <w:abstractNumId w:val="23"/>
  </w:num>
  <w:num w:numId="28">
    <w:abstractNumId w:val="18"/>
  </w:num>
  <w:num w:numId="29">
    <w:abstractNumId w:val="22"/>
  </w:num>
  <w:num w:numId="30">
    <w:abstractNumId w:val="12"/>
  </w:num>
  <w:num w:numId="31">
    <w:abstractNumId w:val="29"/>
  </w:num>
  <w:num w:numId="32">
    <w:abstractNumId w:val="20"/>
  </w:num>
  <w:num w:numId="33">
    <w:abstractNumId w:val="15"/>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characterSpacingControl w:val="doNotCompress"/>
  <w:footnotePr>
    <w:footnote w:id="0"/>
    <w:footnote w:id="1"/>
  </w:footnotePr>
  <w:endnotePr>
    <w:endnote w:id="0"/>
    <w:endnote w:id="1"/>
  </w:endnotePr>
  <w:compat/>
  <w:rsids>
    <w:rsidRoot w:val="00DD0DAA"/>
    <w:rsid w:val="00010C5C"/>
    <w:rsid w:val="00020A3A"/>
    <w:rsid w:val="00052EB9"/>
    <w:rsid w:val="000556CF"/>
    <w:rsid w:val="000800DC"/>
    <w:rsid w:val="000D59E0"/>
    <w:rsid w:val="00112175"/>
    <w:rsid w:val="00150573"/>
    <w:rsid w:val="001B0171"/>
    <w:rsid w:val="001D5EBF"/>
    <w:rsid w:val="001F7992"/>
    <w:rsid w:val="00257F76"/>
    <w:rsid w:val="002675F8"/>
    <w:rsid w:val="002A2A7D"/>
    <w:rsid w:val="002C2941"/>
    <w:rsid w:val="002E2387"/>
    <w:rsid w:val="003324A2"/>
    <w:rsid w:val="00362493"/>
    <w:rsid w:val="003861B6"/>
    <w:rsid w:val="003E180B"/>
    <w:rsid w:val="00422AF9"/>
    <w:rsid w:val="00425FCB"/>
    <w:rsid w:val="00426481"/>
    <w:rsid w:val="00476327"/>
    <w:rsid w:val="004C5D48"/>
    <w:rsid w:val="005237E9"/>
    <w:rsid w:val="005605B9"/>
    <w:rsid w:val="00561115"/>
    <w:rsid w:val="00577095"/>
    <w:rsid w:val="005A26B2"/>
    <w:rsid w:val="005B1EFE"/>
    <w:rsid w:val="005C6F81"/>
    <w:rsid w:val="005F5C2C"/>
    <w:rsid w:val="00662006"/>
    <w:rsid w:val="006F3CC6"/>
    <w:rsid w:val="00702139"/>
    <w:rsid w:val="007279F4"/>
    <w:rsid w:val="00764D76"/>
    <w:rsid w:val="007828FC"/>
    <w:rsid w:val="007B3217"/>
    <w:rsid w:val="007F521E"/>
    <w:rsid w:val="007F5CA8"/>
    <w:rsid w:val="008206C7"/>
    <w:rsid w:val="00861A1C"/>
    <w:rsid w:val="00874B1A"/>
    <w:rsid w:val="008A6B66"/>
    <w:rsid w:val="008C3AB5"/>
    <w:rsid w:val="008C650A"/>
    <w:rsid w:val="008D1DDA"/>
    <w:rsid w:val="00972BD3"/>
    <w:rsid w:val="009F1253"/>
    <w:rsid w:val="00AB59E1"/>
    <w:rsid w:val="00AC140D"/>
    <w:rsid w:val="00AD3A1D"/>
    <w:rsid w:val="00B221E8"/>
    <w:rsid w:val="00B40F30"/>
    <w:rsid w:val="00B77BE6"/>
    <w:rsid w:val="00BB7DAE"/>
    <w:rsid w:val="00C00A64"/>
    <w:rsid w:val="00C037A8"/>
    <w:rsid w:val="00C221C3"/>
    <w:rsid w:val="00C3519B"/>
    <w:rsid w:val="00C96D89"/>
    <w:rsid w:val="00CB0FB2"/>
    <w:rsid w:val="00CC486C"/>
    <w:rsid w:val="00D01336"/>
    <w:rsid w:val="00D0652E"/>
    <w:rsid w:val="00DB1214"/>
    <w:rsid w:val="00DD0DAA"/>
    <w:rsid w:val="00E608C4"/>
    <w:rsid w:val="00E82318"/>
    <w:rsid w:val="00E83E0A"/>
    <w:rsid w:val="00EC5E44"/>
    <w:rsid w:val="00F142B7"/>
    <w:rsid w:val="00F8164B"/>
    <w:rsid w:val="00FA5F49"/>
    <w:rsid w:val="00FC4DEA"/>
    <w:rsid w:val="00FC75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15"/>
  </w:style>
  <w:style w:type="paragraph" w:styleId="Heading1">
    <w:name w:val="heading 1"/>
    <w:basedOn w:val="Normal"/>
    <w:link w:val="Heading1Char"/>
    <w:uiPriority w:val="9"/>
    <w:qFormat/>
    <w:rsid w:val="00DD0DAA"/>
    <w:pPr>
      <w:spacing w:before="75" w:after="0" w:line="240" w:lineRule="auto"/>
      <w:outlineLvl w:val="0"/>
    </w:pPr>
    <w:rPr>
      <w:rFonts w:ascii="Trebuchet MS" w:eastAsia="Times New Roman" w:hAnsi="Trebuchet MS" w:cs="Times New Roman"/>
      <w:color w:val="003399"/>
      <w:kern w:val="36"/>
      <w:sz w:val="38"/>
      <w:szCs w:val="38"/>
    </w:rPr>
  </w:style>
  <w:style w:type="paragraph" w:styleId="Heading4">
    <w:name w:val="heading 4"/>
    <w:basedOn w:val="Normal"/>
    <w:next w:val="Normal"/>
    <w:link w:val="Heading4Char"/>
    <w:uiPriority w:val="9"/>
    <w:semiHidden/>
    <w:unhideWhenUsed/>
    <w:qFormat/>
    <w:rsid w:val="00874B1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4B1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DD0DAA"/>
    <w:pPr>
      <w:spacing w:after="0" w:line="312" w:lineRule="auto"/>
      <w:outlineLvl w:val="5"/>
    </w:pPr>
    <w:rPr>
      <w:rFonts w:ascii="Trebuchet MS" w:eastAsia="Times New Roman" w:hAnsi="Trebuchet MS" w:cs="Times New Roman"/>
      <w:color w:val="0033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DAA"/>
    <w:rPr>
      <w:rFonts w:ascii="Trebuchet MS" w:eastAsia="Times New Roman" w:hAnsi="Trebuchet MS" w:cs="Times New Roman"/>
      <w:color w:val="003399"/>
      <w:kern w:val="36"/>
      <w:sz w:val="38"/>
      <w:szCs w:val="38"/>
    </w:rPr>
  </w:style>
  <w:style w:type="character" w:customStyle="1" w:styleId="Heading6Char">
    <w:name w:val="Heading 6 Char"/>
    <w:basedOn w:val="DefaultParagraphFont"/>
    <w:link w:val="Heading6"/>
    <w:uiPriority w:val="9"/>
    <w:rsid w:val="00DD0DAA"/>
    <w:rPr>
      <w:rFonts w:ascii="Trebuchet MS" w:eastAsia="Times New Roman" w:hAnsi="Trebuchet MS" w:cs="Times New Roman"/>
      <w:color w:val="003399"/>
      <w:sz w:val="26"/>
      <w:szCs w:val="26"/>
    </w:rPr>
  </w:style>
  <w:style w:type="character" w:styleId="Hyperlink">
    <w:name w:val="Hyperlink"/>
    <w:basedOn w:val="DefaultParagraphFont"/>
    <w:uiPriority w:val="99"/>
    <w:semiHidden/>
    <w:unhideWhenUsed/>
    <w:rsid w:val="00DD0DAA"/>
    <w:rPr>
      <w:strike w:val="0"/>
      <w:dstrike w:val="0"/>
      <w:color w:val="336699"/>
      <w:u w:val="none"/>
      <w:effect w:val="none"/>
    </w:rPr>
  </w:style>
  <w:style w:type="paragraph" w:styleId="NormalWeb">
    <w:name w:val="Normal (Web)"/>
    <w:basedOn w:val="Normal"/>
    <w:uiPriority w:val="99"/>
    <w:unhideWhenUsed/>
    <w:rsid w:val="00DD0DAA"/>
    <w:pPr>
      <w:spacing w:before="100" w:beforeAutospacing="1" w:after="100" w:afterAutospacing="1" w:line="312"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0DAA"/>
    <w:rPr>
      <w:b/>
      <w:bCs/>
    </w:rPr>
  </w:style>
  <w:style w:type="paragraph" w:styleId="ListParagraph">
    <w:name w:val="List Paragraph"/>
    <w:basedOn w:val="Normal"/>
    <w:uiPriority w:val="34"/>
    <w:qFormat/>
    <w:rsid w:val="00DD0DAA"/>
    <w:pPr>
      <w:ind w:left="720"/>
      <w:contextualSpacing/>
    </w:pPr>
  </w:style>
  <w:style w:type="paragraph" w:customStyle="1" w:styleId="p0">
    <w:name w:val="p0"/>
    <w:basedOn w:val="Normal"/>
    <w:rsid w:val="005F5C2C"/>
    <w:pPr>
      <w:widowControl w:val="0"/>
      <w:tabs>
        <w:tab w:val="left" w:pos="720"/>
      </w:tabs>
      <w:snapToGrid w:val="0"/>
      <w:spacing w:after="0" w:line="240" w:lineRule="atLeast"/>
      <w:jc w:val="both"/>
    </w:pPr>
    <w:rPr>
      <w:rFonts w:ascii="Times New Roman" w:eastAsia="Times New Roman" w:hAnsi="Times New Roman" w:cs="Times New Roman"/>
      <w:sz w:val="24"/>
      <w:szCs w:val="20"/>
      <w:lang w:val="fr-FR" w:eastAsia="fr-FR"/>
    </w:rPr>
  </w:style>
  <w:style w:type="paragraph" w:styleId="Footer">
    <w:name w:val="footer"/>
    <w:basedOn w:val="Normal"/>
    <w:link w:val="FooterChar"/>
    <w:uiPriority w:val="99"/>
    <w:rsid w:val="005F5C2C"/>
    <w:pPr>
      <w:tabs>
        <w:tab w:val="center" w:pos="4320"/>
        <w:tab w:val="right" w:pos="8640"/>
      </w:tabs>
      <w:spacing w:after="0" w:line="240" w:lineRule="auto"/>
    </w:pPr>
    <w:rPr>
      <w:rFonts w:ascii="Times New Roman" w:eastAsia="Times New Roman" w:hAnsi="Times New Roman" w:cs="Times New Roman"/>
      <w:sz w:val="24"/>
      <w:szCs w:val="24"/>
      <w:lang w:val="fr-FR"/>
    </w:rPr>
  </w:style>
  <w:style w:type="character" w:customStyle="1" w:styleId="FooterChar">
    <w:name w:val="Footer Char"/>
    <w:basedOn w:val="DefaultParagraphFont"/>
    <w:link w:val="Footer"/>
    <w:uiPriority w:val="99"/>
    <w:rsid w:val="005F5C2C"/>
    <w:rPr>
      <w:rFonts w:ascii="Times New Roman" w:eastAsia="Times New Roman" w:hAnsi="Times New Roman" w:cs="Times New Roman"/>
      <w:sz w:val="24"/>
      <w:szCs w:val="24"/>
      <w:lang w:val="fr-FR"/>
    </w:rPr>
  </w:style>
  <w:style w:type="character" w:styleId="FootnoteReference">
    <w:name w:val="footnote reference"/>
    <w:basedOn w:val="DefaultParagraphFont"/>
    <w:semiHidden/>
    <w:rsid w:val="005F5C2C"/>
    <w:rPr>
      <w:vertAlign w:val="superscript"/>
    </w:rPr>
  </w:style>
  <w:style w:type="character" w:customStyle="1" w:styleId="Heading4Char">
    <w:name w:val="Heading 4 Char"/>
    <w:basedOn w:val="DefaultParagraphFont"/>
    <w:link w:val="Heading4"/>
    <w:uiPriority w:val="9"/>
    <w:semiHidden/>
    <w:rsid w:val="00874B1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4B1A"/>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874B1A"/>
    <w:rPr>
      <w:i/>
      <w:iCs/>
    </w:rPr>
  </w:style>
  <w:style w:type="table" w:styleId="TableGrid">
    <w:name w:val="Table Grid"/>
    <w:basedOn w:val="TableNormal"/>
    <w:uiPriority w:val="59"/>
    <w:rsid w:val="00C221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7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DAE"/>
    <w:rPr>
      <w:rFonts w:ascii="Tahoma" w:hAnsi="Tahoma" w:cs="Tahoma"/>
      <w:sz w:val="16"/>
      <w:szCs w:val="16"/>
    </w:rPr>
  </w:style>
  <w:style w:type="character" w:styleId="CommentReference">
    <w:name w:val="annotation reference"/>
    <w:basedOn w:val="DefaultParagraphFont"/>
    <w:uiPriority w:val="99"/>
    <w:semiHidden/>
    <w:unhideWhenUsed/>
    <w:rsid w:val="00BB7DAE"/>
    <w:rPr>
      <w:sz w:val="16"/>
      <w:szCs w:val="16"/>
    </w:rPr>
  </w:style>
  <w:style w:type="paragraph" w:styleId="CommentText">
    <w:name w:val="annotation text"/>
    <w:basedOn w:val="Normal"/>
    <w:link w:val="CommentTextChar"/>
    <w:uiPriority w:val="99"/>
    <w:semiHidden/>
    <w:unhideWhenUsed/>
    <w:rsid w:val="00BB7DAE"/>
    <w:pPr>
      <w:spacing w:line="240" w:lineRule="auto"/>
    </w:pPr>
    <w:rPr>
      <w:sz w:val="20"/>
      <w:szCs w:val="20"/>
    </w:rPr>
  </w:style>
  <w:style w:type="character" w:customStyle="1" w:styleId="CommentTextChar">
    <w:name w:val="Comment Text Char"/>
    <w:basedOn w:val="DefaultParagraphFont"/>
    <w:link w:val="CommentText"/>
    <w:uiPriority w:val="99"/>
    <w:semiHidden/>
    <w:rsid w:val="00BB7DAE"/>
    <w:rPr>
      <w:sz w:val="20"/>
      <w:szCs w:val="20"/>
    </w:rPr>
  </w:style>
  <w:style w:type="paragraph" w:styleId="CommentSubject">
    <w:name w:val="annotation subject"/>
    <w:basedOn w:val="CommentText"/>
    <w:next w:val="CommentText"/>
    <w:link w:val="CommentSubjectChar"/>
    <w:uiPriority w:val="99"/>
    <w:semiHidden/>
    <w:unhideWhenUsed/>
    <w:rsid w:val="00BB7DAE"/>
    <w:rPr>
      <w:b/>
      <w:bCs/>
    </w:rPr>
  </w:style>
  <w:style w:type="character" w:customStyle="1" w:styleId="CommentSubjectChar">
    <w:name w:val="Comment Subject Char"/>
    <w:basedOn w:val="CommentTextChar"/>
    <w:link w:val="CommentSubject"/>
    <w:uiPriority w:val="99"/>
    <w:semiHidden/>
    <w:rsid w:val="00BB7DAE"/>
    <w:rPr>
      <w:b/>
      <w:bCs/>
    </w:rPr>
  </w:style>
  <w:style w:type="paragraph" w:styleId="Header">
    <w:name w:val="header"/>
    <w:basedOn w:val="Normal"/>
    <w:link w:val="HeaderChar"/>
    <w:uiPriority w:val="99"/>
    <w:semiHidden/>
    <w:unhideWhenUsed/>
    <w:rsid w:val="008C3AB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C3AB5"/>
  </w:style>
</w:styles>
</file>

<file path=word/webSettings.xml><?xml version="1.0" encoding="utf-8"?>
<w:webSettings xmlns:r="http://schemas.openxmlformats.org/officeDocument/2006/relationships" xmlns:w="http://schemas.openxmlformats.org/wordprocessingml/2006/main">
  <w:divs>
    <w:div w:id="1315646241">
      <w:bodyDiv w:val="1"/>
      <w:marLeft w:val="0"/>
      <w:marRight w:val="0"/>
      <w:marTop w:val="0"/>
      <w:marBottom w:val="0"/>
      <w:divBdr>
        <w:top w:val="none" w:sz="0" w:space="0" w:color="auto"/>
        <w:left w:val="none" w:sz="0" w:space="0" w:color="auto"/>
        <w:bottom w:val="none" w:sz="0" w:space="0" w:color="auto"/>
        <w:right w:val="none" w:sz="0" w:space="0" w:color="auto"/>
      </w:divBdr>
      <w:divsChild>
        <w:div w:id="792284910">
          <w:marLeft w:val="0"/>
          <w:marRight w:val="0"/>
          <w:marTop w:val="0"/>
          <w:marBottom w:val="0"/>
          <w:divBdr>
            <w:top w:val="single" w:sz="6" w:space="8" w:color="DDDDDD"/>
            <w:left w:val="single" w:sz="6" w:space="11" w:color="DDDDDD"/>
            <w:bottom w:val="single" w:sz="6" w:space="8" w:color="DDDDDD"/>
            <w:right w:val="single" w:sz="6" w:space="11" w:color="DDDDDD"/>
          </w:divBdr>
        </w:div>
        <w:div w:id="1326662962">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dp.org/evaluation/handbook/french/annex3.html" TargetMode="External"/><Relationship Id="rId4" Type="http://schemas.openxmlformats.org/officeDocument/2006/relationships/settings" Target="settings.xml"/><Relationship Id="rId9" Type="http://schemas.openxmlformats.org/officeDocument/2006/relationships/image" Target="http://www.undp.org/images/cms/home/pnud_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B1178-9CDB-43FF-8240-786F2C17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2710</Words>
  <Characters>15452</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Company>
  <LinksUpToDate>false</LinksUpToDate>
  <CharactersWithSpaces>18126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m.mbringa-takama</dc:creator>
  <cp:lastModifiedBy>m.mbringa-takama</cp:lastModifiedBy>
  <cp:revision>2</cp:revision>
  <cp:lastPrinted>2010-03-15T14:48:00Z</cp:lastPrinted>
  <dcterms:created xsi:type="dcterms:W3CDTF">2010-04-08T07:03:00Z</dcterms:created>
  <dcterms:modified xsi:type="dcterms:W3CDTF">2010-04-08T07:03:00Z</dcterms:modified>
</cp:coreProperties>
</file>