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BE" w:rsidRPr="00CB73BE" w:rsidRDefault="00CB73BE" w:rsidP="00490BE1">
      <w:pPr>
        <w:jc w:val="both"/>
        <w:rPr>
          <w:rFonts w:ascii="Arial" w:hAnsi="Arial" w:cs="Arial"/>
          <w:b/>
        </w:rPr>
      </w:pPr>
      <w:r w:rsidRPr="00CB73BE">
        <w:rPr>
          <w:rFonts w:ascii="Arial" w:hAnsi="Arial" w:cs="Arial"/>
          <w:b/>
        </w:rPr>
        <w:t>SNGRC :</w:t>
      </w:r>
    </w:p>
    <w:p w:rsidR="00CB73BE" w:rsidRDefault="00CB73BE" w:rsidP="00490BE1">
      <w:pPr>
        <w:jc w:val="both"/>
        <w:rPr>
          <w:rFonts w:ascii="Arial" w:hAnsi="Arial" w:cs="Arial"/>
        </w:rPr>
      </w:pPr>
    </w:p>
    <w:p w:rsidR="00CB73BE" w:rsidRDefault="00CB73BE" w:rsidP="00490BE1">
      <w:pPr>
        <w:jc w:val="both"/>
        <w:rPr>
          <w:rFonts w:ascii="Arial" w:hAnsi="Arial" w:cs="Arial"/>
        </w:rPr>
      </w:pPr>
      <w:r w:rsidRPr="00CB73BE">
        <w:rPr>
          <w:rFonts w:ascii="Arial" w:hAnsi="Arial" w:cs="Arial"/>
          <w:u w:val="single"/>
        </w:rPr>
        <w:t>Résumé</w:t>
      </w:r>
      <w:r>
        <w:rPr>
          <w:rFonts w:ascii="Arial" w:hAnsi="Arial" w:cs="Arial"/>
        </w:rPr>
        <w:t> :</w:t>
      </w:r>
    </w:p>
    <w:p w:rsidR="00CB73BE" w:rsidRDefault="00CB73BE" w:rsidP="00490BE1">
      <w:pPr>
        <w:jc w:val="both"/>
        <w:rPr>
          <w:rFonts w:ascii="Arial" w:hAnsi="Arial" w:cs="Arial"/>
        </w:rPr>
      </w:pPr>
    </w:p>
    <w:p w:rsidR="00490BE1" w:rsidRDefault="00490BE1" w:rsidP="00490BE1">
      <w:pPr>
        <w:jc w:val="both"/>
        <w:rPr>
          <w:rFonts w:ascii="Arial" w:hAnsi="Arial" w:cs="Arial"/>
        </w:rPr>
      </w:pPr>
      <w:r w:rsidRPr="008E26F4">
        <w:rPr>
          <w:rFonts w:ascii="Arial" w:hAnsi="Arial" w:cs="Arial"/>
        </w:rPr>
        <w:t xml:space="preserve">Dans l’ensemble, les résultats du projet ont </w:t>
      </w:r>
      <w:r w:rsidR="00DC7408">
        <w:rPr>
          <w:rFonts w:ascii="Arial" w:hAnsi="Arial" w:cs="Arial"/>
        </w:rPr>
        <w:t xml:space="preserve">obtenu </w:t>
      </w:r>
      <w:r w:rsidRPr="008E26F4">
        <w:rPr>
          <w:rFonts w:ascii="Arial" w:hAnsi="Arial" w:cs="Arial"/>
        </w:rPr>
        <w:t>une satisfaction des bénéficiaires sur les activités opérationnelles telles que le renforcement des compétences nationales, la planification régionale et l’amélioration des moyens de communication</w:t>
      </w:r>
      <w:r w:rsidR="00DC7408">
        <w:rPr>
          <w:rFonts w:ascii="Arial" w:hAnsi="Arial" w:cs="Arial"/>
        </w:rPr>
        <w:t xml:space="preserve"> d’une part et que d’autre part, </w:t>
      </w:r>
      <w:r w:rsidR="00DC7408" w:rsidRPr="008E26F4">
        <w:rPr>
          <w:rFonts w:ascii="Arial" w:hAnsi="Arial" w:cs="Arial"/>
        </w:rPr>
        <w:t>le pro</w:t>
      </w:r>
      <w:r w:rsidR="00DC7408">
        <w:rPr>
          <w:rFonts w:ascii="Arial" w:hAnsi="Arial" w:cs="Arial"/>
        </w:rPr>
        <w:t xml:space="preserve">jet </w:t>
      </w:r>
      <w:r w:rsidR="00DC7408" w:rsidRPr="008E26F4">
        <w:rPr>
          <w:rFonts w:ascii="Arial" w:hAnsi="Arial" w:cs="Arial"/>
        </w:rPr>
        <w:t xml:space="preserve">a apporté un appui très positif sur le renforcement de capacités de </w:t>
      </w:r>
      <w:smartTag w:uri="urn:schemas-microsoft-com:office:smarttags" w:element="PersonName">
        <w:smartTagPr>
          <w:attr w:name="ProductID" w:val="la BNGRC"/>
        </w:smartTagPr>
        <w:r w:rsidR="00DC7408" w:rsidRPr="008E26F4">
          <w:rPr>
            <w:rFonts w:ascii="Arial" w:hAnsi="Arial" w:cs="Arial"/>
          </w:rPr>
          <w:t>la BNGRC</w:t>
        </w:r>
      </w:smartTag>
      <w:r w:rsidR="00DC7408" w:rsidRPr="008E26F4">
        <w:rPr>
          <w:rFonts w:ascii="Arial" w:hAnsi="Arial" w:cs="Arial"/>
        </w:rPr>
        <w:t xml:space="preserve"> </w:t>
      </w:r>
      <w:r w:rsidR="00DC7408">
        <w:rPr>
          <w:rFonts w:ascii="Arial" w:hAnsi="Arial" w:cs="Arial"/>
        </w:rPr>
        <w:t xml:space="preserve">(Bureau National des Risques et Catastriphes) </w:t>
      </w:r>
      <w:r w:rsidR="00DC7408" w:rsidRPr="008E26F4">
        <w:rPr>
          <w:rFonts w:ascii="Arial" w:hAnsi="Arial" w:cs="Arial"/>
        </w:rPr>
        <w:t>et des structures décentralisées dans les régions,  districts et communes</w:t>
      </w:r>
      <w:r w:rsidRPr="008E26F4">
        <w:rPr>
          <w:rFonts w:ascii="Arial" w:hAnsi="Arial" w:cs="Arial"/>
        </w:rPr>
        <w:t>. Toutefois, certains résultats sont mitigés</w:t>
      </w:r>
      <w:r w:rsidR="00DC7408">
        <w:rPr>
          <w:rFonts w:ascii="Arial" w:hAnsi="Arial" w:cs="Arial"/>
        </w:rPr>
        <w:t>,</w:t>
      </w:r>
      <w:r w:rsidRPr="008E26F4">
        <w:rPr>
          <w:rFonts w:ascii="Arial" w:hAnsi="Arial" w:cs="Arial"/>
        </w:rPr>
        <w:t xml:space="preserve"> car il y a une attente ou un report pour certaines activités à caractère stratégique et qui assurent le renforcement des capacités à long terme du projet. (Actualisation de </w:t>
      </w:r>
      <w:smartTag w:uri="urn:schemas-microsoft-com:office:smarttags" w:element="PersonName">
        <w:smartTagPr>
          <w:attr w:name="ProductID" w:val="la SNGRC"/>
        </w:smartTagPr>
        <w:r w:rsidRPr="008E26F4">
          <w:rPr>
            <w:rFonts w:ascii="Arial" w:hAnsi="Arial" w:cs="Arial"/>
          </w:rPr>
          <w:t>la SNGRC</w:t>
        </w:r>
      </w:smartTag>
      <w:r w:rsidRPr="008E26F4">
        <w:rPr>
          <w:rFonts w:ascii="Arial" w:hAnsi="Arial" w:cs="Arial"/>
        </w:rPr>
        <w:t>, mise en place d’un mécanisme de financement, intégration du système d’information avec la sécurité alimentaire …)</w:t>
      </w:r>
      <w:r w:rsidR="00CB73BE">
        <w:rPr>
          <w:rFonts w:ascii="Arial" w:hAnsi="Arial" w:cs="Arial"/>
        </w:rPr>
        <w:t>.</w:t>
      </w:r>
    </w:p>
    <w:p w:rsidR="00CB73BE" w:rsidRDefault="00CB73BE" w:rsidP="00490BE1">
      <w:pPr>
        <w:jc w:val="both"/>
        <w:rPr>
          <w:rFonts w:ascii="Arial" w:hAnsi="Arial" w:cs="Arial"/>
        </w:rPr>
      </w:pPr>
    </w:p>
    <w:p w:rsidR="00CB73BE" w:rsidRPr="008E26F4" w:rsidRDefault="00CB73BE" w:rsidP="00490BE1">
      <w:pPr>
        <w:jc w:val="both"/>
        <w:rPr>
          <w:rFonts w:ascii="Arial" w:hAnsi="Arial" w:cs="Arial"/>
        </w:rPr>
      </w:pPr>
      <w:r>
        <w:rPr>
          <w:rFonts w:ascii="Arial" w:hAnsi="Arial" w:cs="Arial"/>
        </w:rPr>
        <w:t>Le rapport d’évaluation a dégagé les poi</w:t>
      </w:r>
      <w:r w:rsidR="00D8407E">
        <w:rPr>
          <w:rFonts w:ascii="Arial" w:hAnsi="Arial" w:cs="Arial"/>
        </w:rPr>
        <w:t>nts faibles et les points forts pour chaque objectif et résultat.</w:t>
      </w:r>
    </w:p>
    <w:p w:rsidR="00CB73BE" w:rsidRPr="008E26F4" w:rsidRDefault="00CB73BE" w:rsidP="00CB73BE">
      <w:pPr>
        <w:jc w:val="both"/>
        <w:rPr>
          <w:rFonts w:ascii="Arial" w:hAnsi="Arial" w:cs="Arial"/>
        </w:rPr>
      </w:pPr>
    </w:p>
    <w:p w:rsidR="00CB73BE" w:rsidRPr="008E26F4" w:rsidRDefault="00D8407E" w:rsidP="00CB73BE">
      <w:pPr>
        <w:jc w:val="both"/>
        <w:rPr>
          <w:rFonts w:ascii="Arial" w:hAnsi="Arial" w:cs="Arial"/>
        </w:rPr>
      </w:pPr>
      <w:r>
        <w:rPr>
          <w:rFonts w:ascii="Arial" w:hAnsi="Arial" w:cs="Arial"/>
        </w:rPr>
        <w:t xml:space="preserve">Grâce aux </w:t>
      </w:r>
      <w:r w:rsidR="00CB73BE" w:rsidRPr="008E26F4">
        <w:rPr>
          <w:rFonts w:ascii="Arial" w:hAnsi="Arial" w:cs="Arial"/>
        </w:rPr>
        <w:t>résultats de c</w:t>
      </w:r>
      <w:r w:rsidR="00DC7408">
        <w:rPr>
          <w:rFonts w:ascii="Arial" w:hAnsi="Arial" w:cs="Arial"/>
        </w:rPr>
        <w:t>es appuis, le</w:t>
      </w:r>
      <w:r w:rsidR="00CB73BE" w:rsidRPr="008E26F4">
        <w:rPr>
          <w:rFonts w:ascii="Arial" w:hAnsi="Arial" w:cs="Arial"/>
        </w:rPr>
        <w:t xml:space="preserve"> BNGRC continue son renforcement interne par la mise en œuvre du programme de formation proposé par </w:t>
      </w:r>
      <w:r w:rsidR="00DC7408">
        <w:rPr>
          <w:rFonts w:ascii="Arial" w:hAnsi="Arial" w:cs="Arial"/>
        </w:rPr>
        <w:t xml:space="preserve">des </w:t>
      </w:r>
      <w:r w:rsidR="00CB73BE" w:rsidRPr="008E26F4">
        <w:rPr>
          <w:rFonts w:ascii="Arial" w:hAnsi="Arial" w:cs="Arial"/>
        </w:rPr>
        <w:t xml:space="preserve">études </w:t>
      </w:r>
      <w:r w:rsidR="00DC7408">
        <w:rPr>
          <w:rFonts w:ascii="Arial" w:hAnsi="Arial" w:cs="Arial"/>
        </w:rPr>
        <w:t xml:space="preserve">dans le cadre de ce projet, ainsi que </w:t>
      </w:r>
      <w:r w:rsidR="00CB73BE" w:rsidRPr="008E26F4">
        <w:rPr>
          <w:rFonts w:ascii="Arial" w:hAnsi="Arial" w:cs="Arial"/>
        </w:rPr>
        <w:t>le renforcement de capacité sur le terrain</w:t>
      </w:r>
      <w:r>
        <w:rPr>
          <w:rFonts w:ascii="Arial" w:hAnsi="Arial" w:cs="Arial"/>
        </w:rPr>
        <w:t>.</w:t>
      </w:r>
    </w:p>
    <w:p w:rsidR="00DC7408" w:rsidRDefault="00DC7408" w:rsidP="00CB73BE">
      <w:pPr>
        <w:jc w:val="both"/>
        <w:rPr>
          <w:rFonts w:ascii="Arial" w:hAnsi="Arial" w:cs="Arial"/>
        </w:rPr>
      </w:pPr>
    </w:p>
    <w:p w:rsidR="00CB73BE" w:rsidRPr="008E26F4" w:rsidRDefault="00CB73BE" w:rsidP="00CB73BE">
      <w:pPr>
        <w:jc w:val="both"/>
        <w:rPr>
          <w:rFonts w:ascii="Arial" w:hAnsi="Arial" w:cs="Arial"/>
        </w:rPr>
      </w:pPr>
      <w:r w:rsidRPr="008E26F4">
        <w:rPr>
          <w:rFonts w:ascii="Arial" w:hAnsi="Arial" w:cs="Arial"/>
        </w:rPr>
        <w:t xml:space="preserve">Malheureusement,  l’ensemble du programme  n’est pas terminé et le renforcement de capacité à long terme en termes de GRC n’est pas encore assuré. </w:t>
      </w:r>
    </w:p>
    <w:p w:rsidR="00CB73BE" w:rsidRPr="008E26F4" w:rsidRDefault="00CB73BE" w:rsidP="00CB73BE">
      <w:pPr>
        <w:jc w:val="both"/>
        <w:rPr>
          <w:rFonts w:ascii="Arial" w:hAnsi="Arial" w:cs="Arial"/>
        </w:rPr>
      </w:pPr>
    </w:p>
    <w:p w:rsidR="00CB73BE" w:rsidRDefault="00CB73BE" w:rsidP="00CB73BE">
      <w:pPr>
        <w:jc w:val="both"/>
        <w:rPr>
          <w:rFonts w:ascii="Arial" w:hAnsi="Arial" w:cs="Arial"/>
        </w:rPr>
      </w:pPr>
    </w:p>
    <w:p w:rsidR="00CB73BE" w:rsidRPr="00CB73BE" w:rsidRDefault="00CB73BE" w:rsidP="00CB73BE">
      <w:pPr>
        <w:jc w:val="both"/>
        <w:rPr>
          <w:rFonts w:ascii="Arial" w:hAnsi="Arial" w:cs="Arial"/>
          <w:u w:val="single"/>
        </w:rPr>
      </w:pPr>
      <w:r w:rsidRPr="00CB73BE">
        <w:rPr>
          <w:rFonts w:ascii="Arial" w:hAnsi="Arial" w:cs="Arial"/>
          <w:u w:val="single"/>
        </w:rPr>
        <w:t>Leçons apprises :</w:t>
      </w:r>
    </w:p>
    <w:p w:rsidR="00CB73BE" w:rsidRDefault="00CB73BE" w:rsidP="00CB73BE">
      <w:pPr>
        <w:jc w:val="both"/>
        <w:rPr>
          <w:rFonts w:ascii="Arial" w:hAnsi="Arial" w:cs="Arial"/>
        </w:rPr>
      </w:pPr>
    </w:p>
    <w:p w:rsidR="00514502" w:rsidRPr="008E26F4" w:rsidRDefault="00514502" w:rsidP="00514502">
      <w:pPr>
        <w:jc w:val="both"/>
        <w:rPr>
          <w:rFonts w:ascii="Arial" w:hAnsi="Arial" w:cs="Arial"/>
        </w:rPr>
      </w:pPr>
      <w:r w:rsidRPr="008E26F4">
        <w:rPr>
          <w:rFonts w:ascii="Arial" w:hAnsi="Arial" w:cs="Arial"/>
        </w:rPr>
        <w:t xml:space="preserve">L’insuffisance en termes de diffusion d’informations sur l’ensemble des Fokontany, Communes visés et sur l’ensemble des régions concernées risque de réduire l’efficience du GRC au niveau national et régional. Ainsi, par exemple les régions de l’Analanjirofo et de l’Alaotra ont  reçu des appuis en formation, en système l’alerte et prévention mais le passage du cyclone « Yvan » a entraîné 93 morts, 332 380 sinistrés et 176 disparus dont certains sont dans les deux régions. </w:t>
      </w:r>
    </w:p>
    <w:p w:rsidR="00514502" w:rsidRPr="008E26F4" w:rsidRDefault="00514502" w:rsidP="00514502">
      <w:pPr>
        <w:ind w:left="360"/>
        <w:jc w:val="both"/>
        <w:rPr>
          <w:rFonts w:ascii="Arial" w:hAnsi="Arial" w:cs="Arial"/>
        </w:rPr>
      </w:pPr>
    </w:p>
    <w:p w:rsidR="00CB73BE" w:rsidRDefault="00514502" w:rsidP="00514502">
      <w:pPr>
        <w:jc w:val="both"/>
        <w:rPr>
          <w:rFonts w:ascii="Arial" w:hAnsi="Arial" w:cs="Arial"/>
        </w:rPr>
      </w:pPr>
      <w:r w:rsidRPr="008E26F4">
        <w:rPr>
          <w:rFonts w:ascii="Arial" w:hAnsi="Arial" w:cs="Arial"/>
        </w:rPr>
        <w:t>La formation des formateurs a pour objectif de diffuser cette formation aux autres. Malheureusement, cette diffusion n’a pas eu lieu dans sa totalité pour diverses raisons (Les formateurs ne sont pas motivés, d’autres ont été remplacés et il n’y a pas suffisamment d’ONG de développement dans les régions ou communes ciblés).</w:t>
      </w:r>
      <w:r w:rsidR="00DC7408">
        <w:rPr>
          <w:rFonts w:ascii="Arial" w:hAnsi="Arial" w:cs="Arial"/>
        </w:rPr>
        <w:t xml:space="preserve"> Dans le futur, des facteurs de ce genre doivent amener à des mesures proactives.</w:t>
      </w:r>
    </w:p>
    <w:p w:rsidR="00C773B9" w:rsidRDefault="00C773B9" w:rsidP="00514502">
      <w:pPr>
        <w:jc w:val="both"/>
        <w:rPr>
          <w:rFonts w:ascii="Arial" w:hAnsi="Arial" w:cs="Arial"/>
        </w:rPr>
      </w:pPr>
    </w:p>
    <w:p w:rsidR="00C773B9" w:rsidRDefault="00C773B9" w:rsidP="00C773B9">
      <w:pPr>
        <w:jc w:val="both"/>
        <w:rPr>
          <w:rFonts w:ascii="Arial" w:hAnsi="Arial" w:cs="Arial"/>
        </w:rPr>
      </w:pPr>
      <w:r w:rsidRPr="008E26F4">
        <w:rPr>
          <w:rFonts w:ascii="Arial" w:hAnsi="Arial" w:cs="Arial"/>
        </w:rPr>
        <w:t xml:space="preserve">Enfin, </w:t>
      </w:r>
      <w:r>
        <w:rPr>
          <w:rFonts w:ascii="Arial" w:hAnsi="Arial" w:cs="Arial"/>
        </w:rPr>
        <w:t xml:space="preserve">bien que l’appui soit destiné à la partie nationale, les démarches entreprises doivent mieux réfleter les appuis du PNUD. Ce dernier manque significativement </w:t>
      </w:r>
      <w:r w:rsidRPr="008E26F4">
        <w:rPr>
          <w:rFonts w:ascii="Arial" w:hAnsi="Arial" w:cs="Arial"/>
        </w:rPr>
        <w:t xml:space="preserve">de visibilité </w:t>
      </w:r>
      <w:r>
        <w:rPr>
          <w:rFonts w:ascii="Arial" w:hAnsi="Arial" w:cs="Arial"/>
        </w:rPr>
        <w:t>sur le terrain.</w:t>
      </w:r>
    </w:p>
    <w:p w:rsidR="00C773B9" w:rsidRDefault="00C773B9" w:rsidP="00C773B9">
      <w:pPr>
        <w:jc w:val="both"/>
        <w:rPr>
          <w:rFonts w:ascii="Arial" w:hAnsi="Arial" w:cs="Arial"/>
        </w:rPr>
      </w:pPr>
    </w:p>
    <w:p w:rsidR="00C773B9" w:rsidRDefault="00C773B9" w:rsidP="00C773B9">
      <w:pPr>
        <w:jc w:val="both"/>
        <w:rPr>
          <w:rFonts w:ascii="Arial" w:hAnsi="Arial" w:cs="Arial"/>
        </w:rPr>
      </w:pPr>
    </w:p>
    <w:p w:rsidR="00C773B9" w:rsidRPr="00C773B9" w:rsidRDefault="00C773B9" w:rsidP="00C773B9">
      <w:pPr>
        <w:jc w:val="both"/>
        <w:rPr>
          <w:rFonts w:ascii="Arial" w:hAnsi="Arial" w:cs="Arial"/>
          <w:u w:val="single"/>
        </w:rPr>
      </w:pPr>
      <w:r w:rsidRPr="00C773B9">
        <w:rPr>
          <w:rFonts w:ascii="Arial" w:hAnsi="Arial" w:cs="Arial"/>
          <w:u w:val="single"/>
        </w:rPr>
        <w:t>Les recommandations et leurs suivis :</w:t>
      </w:r>
    </w:p>
    <w:p w:rsidR="00C773B9" w:rsidRDefault="00C773B9" w:rsidP="00C773B9">
      <w:pPr>
        <w:jc w:val="both"/>
        <w:rPr>
          <w:rFonts w:ascii="Arial" w:hAnsi="Arial" w:cs="Arial"/>
        </w:rPr>
      </w:pPr>
    </w:p>
    <w:p w:rsidR="00C773B9" w:rsidRPr="008E26F4" w:rsidRDefault="00C773B9" w:rsidP="00C773B9">
      <w:pPr>
        <w:jc w:val="both"/>
        <w:rPr>
          <w:rFonts w:ascii="Arial" w:hAnsi="Arial" w:cs="Arial"/>
        </w:rPr>
      </w:pPr>
      <w:r w:rsidRPr="008E26F4">
        <w:rPr>
          <w:rFonts w:ascii="Arial" w:hAnsi="Arial" w:cs="Arial"/>
        </w:rPr>
        <w:t>Un programme futur d’appui du PNUD serait opportun pour compléter les programmes non réalisés tels que :</w:t>
      </w:r>
      <w:r>
        <w:rPr>
          <w:rFonts w:ascii="Arial" w:hAnsi="Arial" w:cs="Arial"/>
        </w:rPr>
        <w:t xml:space="preserve"> </w:t>
      </w:r>
      <w:r w:rsidRPr="008E26F4">
        <w:rPr>
          <w:rFonts w:ascii="Arial" w:hAnsi="Arial" w:cs="Arial"/>
        </w:rPr>
        <w:t>La remise en contexte d</w:t>
      </w:r>
      <w:r>
        <w:rPr>
          <w:rFonts w:ascii="Arial" w:hAnsi="Arial" w:cs="Arial"/>
        </w:rPr>
        <w:t xml:space="preserve">e la </w:t>
      </w:r>
      <w:r w:rsidRPr="008E26F4">
        <w:rPr>
          <w:rFonts w:ascii="Arial" w:hAnsi="Arial" w:cs="Arial"/>
        </w:rPr>
        <w:t>SNGRC</w:t>
      </w:r>
      <w:r>
        <w:rPr>
          <w:rFonts w:ascii="Arial" w:hAnsi="Arial" w:cs="Arial"/>
        </w:rPr>
        <w:t> ; l</w:t>
      </w:r>
      <w:r w:rsidRPr="008E26F4">
        <w:rPr>
          <w:rFonts w:ascii="Arial" w:hAnsi="Arial" w:cs="Arial"/>
        </w:rPr>
        <w:t>e renforcement des capacités des régions (Formation pour le personnel  remplacé dans les ré</w:t>
      </w:r>
      <w:r w:rsidR="00DC7408">
        <w:rPr>
          <w:rFonts w:ascii="Arial" w:hAnsi="Arial" w:cs="Arial"/>
        </w:rPr>
        <w:t>gions et dans d’autres régions)</w:t>
      </w:r>
      <w:r>
        <w:rPr>
          <w:rFonts w:ascii="Arial" w:hAnsi="Arial" w:cs="Arial"/>
        </w:rPr>
        <w:t> ; le r</w:t>
      </w:r>
      <w:r w:rsidRPr="008E26F4">
        <w:rPr>
          <w:rFonts w:ascii="Arial" w:hAnsi="Arial" w:cs="Arial"/>
        </w:rPr>
        <w:t>enforcement de capacités pour compléter les matériels de communication et le système d’information intégré avec la s</w:t>
      </w:r>
      <w:r>
        <w:rPr>
          <w:rFonts w:ascii="Arial" w:hAnsi="Arial" w:cs="Arial"/>
        </w:rPr>
        <w:t>écurité alimentaire ; la m</w:t>
      </w:r>
      <w:r w:rsidRPr="008E26F4">
        <w:rPr>
          <w:rFonts w:ascii="Arial" w:hAnsi="Arial" w:cs="Arial"/>
        </w:rPr>
        <w:t>ise en place d’un mécanisme fin</w:t>
      </w:r>
      <w:r>
        <w:rPr>
          <w:rFonts w:ascii="Arial" w:hAnsi="Arial" w:cs="Arial"/>
        </w:rPr>
        <w:t>ancier à long terme par les GRC, et l</w:t>
      </w:r>
      <w:r w:rsidRPr="008E26F4">
        <w:rPr>
          <w:rFonts w:ascii="Arial" w:hAnsi="Arial" w:cs="Arial"/>
        </w:rPr>
        <w:t>’appui à la recherche de réseaux ou d’institutio</w:t>
      </w:r>
      <w:r>
        <w:rPr>
          <w:rFonts w:ascii="Arial" w:hAnsi="Arial" w:cs="Arial"/>
        </w:rPr>
        <w:t>n de coopération internationale.</w:t>
      </w:r>
    </w:p>
    <w:p w:rsidR="00C773B9" w:rsidRDefault="00C773B9" w:rsidP="00C773B9">
      <w:pPr>
        <w:jc w:val="both"/>
        <w:rPr>
          <w:rFonts w:ascii="Arial" w:hAnsi="Arial" w:cs="Arial"/>
        </w:rPr>
      </w:pPr>
    </w:p>
    <w:p w:rsidR="00C773B9" w:rsidRDefault="00C773B9" w:rsidP="00C773B9">
      <w:pPr>
        <w:jc w:val="both"/>
        <w:rPr>
          <w:rFonts w:ascii="Arial" w:hAnsi="Arial" w:cs="Arial"/>
        </w:rPr>
      </w:pPr>
      <w:r>
        <w:rPr>
          <w:rFonts w:ascii="Arial" w:hAnsi="Arial" w:cs="Arial"/>
        </w:rPr>
        <w:t>Comme réponse à ces recommandations, un nouveau projet de « renforcement des capacités locales, régionales et nationale en GRC » a été formulé en 2008 et démarré en 2009, avec l’appui conjoint du PNUD et du BCPR.</w:t>
      </w:r>
    </w:p>
    <w:p w:rsidR="00C773B9" w:rsidRPr="008E26F4" w:rsidRDefault="00C773B9" w:rsidP="00C773B9">
      <w:pPr>
        <w:jc w:val="both"/>
        <w:rPr>
          <w:rFonts w:ascii="Arial" w:hAnsi="Arial" w:cs="Arial"/>
        </w:rPr>
      </w:pPr>
      <w:r w:rsidRPr="008E26F4">
        <w:rPr>
          <w:rFonts w:ascii="Arial" w:hAnsi="Arial" w:cs="Arial"/>
        </w:rPr>
        <w:t xml:space="preserve"> </w:t>
      </w:r>
    </w:p>
    <w:p w:rsidR="00C773B9" w:rsidRPr="008E26F4" w:rsidRDefault="00C773B9" w:rsidP="00514502">
      <w:pPr>
        <w:jc w:val="both"/>
        <w:rPr>
          <w:rFonts w:ascii="Arial" w:hAnsi="Arial" w:cs="Arial"/>
        </w:rPr>
      </w:pPr>
    </w:p>
    <w:sectPr w:rsidR="00C773B9" w:rsidRPr="008E26F4" w:rsidSect="00706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AAD"/>
    <w:multiLevelType w:val="hybridMultilevel"/>
    <w:tmpl w:val="8CDC35BC"/>
    <w:lvl w:ilvl="0" w:tplc="BF744F6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0841821"/>
    <w:multiLevelType w:val="hybridMultilevel"/>
    <w:tmpl w:val="A23C4C08"/>
    <w:lvl w:ilvl="0" w:tplc="255EE0D6">
      <w:start w:val="3"/>
      <w:numFmt w:val="upperRoman"/>
      <w:lvlText w:val="%1."/>
      <w:lvlJc w:val="left"/>
      <w:pPr>
        <w:tabs>
          <w:tab w:val="num" w:pos="1800"/>
        </w:tabs>
        <w:ind w:left="1800" w:hanging="720"/>
      </w:pPr>
      <w:rPr>
        <w:rFonts w:hint="default"/>
      </w:rPr>
    </w:lvl>
    <w:lvl w:ilvl="1" w:tplc="FD5AFE08">
      <w:start w:val="3"/>
      <w:numFmt w:val="none"/>
      <w:pStyle w:val="soustitre2ecr"/>
      <w:isLgl/>
      <w:lvlText w:val="4.2."/>
      <w:lvlJc w:val="left"/>
      <w:pPr>
        <w:tabs>
          <w:tab w:val="num" w:pos="720"/>
        </w:tabs>
        <w:ind w:left="720" w:hanging="720"/>
      </w:pPr>
      <w:rPr>
        <w:rFonts w:hint="default"/>
      </w:rPr>
    </w:lvl>
    <w:lvl w:ilvl="2" w:tplc="22D6BC1C">
      <w:numFmt w:val="none"/>
      <w:lvlText w:val=""/>
      <w:lvlJc w:val="left"/>
      <w:pPr>
        <w:tabs>
          <w:tab w:val="num" w:pos="360"/>
        </w:tabs>
      </w:pPr>
    </w:lvl>
    <w:lvl w:ilvl="3" w:tplc="FA842EE8">
      <w:numFmt w:val="none"/>
      <w:lvlText w:val=""/>
      <w:lvlJc w:val="left"/>
      <w:pPr>
        <w:tabs>
          <w:tab w:val="num" w:pos="360"/>
        </w:tabs>
      </w:pPr>
    </w:lvl>
    <w:lvl w:ilvl="4" w:tplc="E48EE1EE">
      <w:numFmt w:val="none"/>
      <w:lvlText w:val=""/>
      <w:lvlJc w:val="left"/>
      <w:pPr>
        <w:tabs>
          <w:tab w:val="num" w:pos="360"/>
        </w:tabs>
      </w:pPr>
    </w:lvl>
    <w:lvl w:ilvl="5" w:tplc="0A98EAC6">
      <w:numFmt w:val="none"/>
      <w:lvlText w:val=""/>
      <w:lvlJc w:val="left"/>
      <w:pPr>
        <w:tabs>
          <w:tab w:val="num" w:pos="360"/>
        </w:tabs>
      </w:pPr>
    </w:lvl>
    <w:lvl w:ilvl="6" w:tplc="2B001696">
      <w:numFmt w:val="none"/>
      <w:lvlText w:val=""/>
      <w:lvlJc w:val="left"/>
      <w:pPr>
        <w:tabs>
          <w:tab w:val="num" w:pos="360"/>
        </w:tabs>
      </w:pPr>
    </w:lvl>
    <w:lvl w:ilvl="7" w:tplc="C76E842E">
      <w:numFmt w:val="none"/>
      <w:lvlText w:val=""/>
      <w:lvlJc w:val="left"/>
      <w:pPr>
        <w:tabs>
          <w:tab w:val="num" w:pos="360"/>
        </w:tabs>
      </w:pPr>
    </w:lvl>
    <w:lvl w:ilvl="8" w:tplc="6F687356">
      <w:numFmt w:val="none"/>
      <w:lvlText w:val=""/>
      <w:lvlJc w:val="left"/>
      <w:pPr>
        <w:tabs>
          <w:tab w:val="num" w:pos="360"/>
        </w:tabs>
      </w:pPr>
    </w:lvl>
  </w:abstractNum>
  <w:abstractNum w:abstractNumId="2">
    <w:nsid w:val="27D3136C"/>
    <w:multiLevelType w:val="singleLevel"/>
    <w:tmpl w:val="422E4C5E"/>
    <w:lvl w:ilvl="0">
      <w:start w:val="1"/>
      <w:numFmt w:val="upperRoman"/>
      <w:pStyle w:val="Heading2"/>
      <w:lvlText w:val="%1."/>
      <w:lvlJc w:val="left"/>
      <w:pPr>
        <w:tabs>
          <w:tab w:val="num" w:pos="720"/>
        </w:tabs>
        <w:ind w:left="720" w:hanging="720"/>
      </w:pPr>
      <w:rPr>
        <w:rFonts w:hint="default"/>
      </w:rPr>
    </w:lvl>
  </w:abstractNum>
  <w:abstractNum w:abstractNumId="3">
    <w:nsid w:val="4DAA39A3"/>
    <w:multiLevelType w:val="hybridMultilevel"/>
    <w:tmpl w:val="D57C8E9A"/>
    <w:lvl w:ilvl="0" w:tplc="5A724920">
      <w:start w:val="4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490BE1"/>
    <w:rsid w:val="00490BE1"/>
    <w:rsid w:val="00514502"/>
    <w:rsid w:val="00706DBA"/>
    <w:rsid w:val="009642D5"/>
    <w:rsid w:val="00C773B9"/>
    <w:rsid w:val="00C818B2"/>
    <w:rsid w:val="00CB73BE"/>
    <w:rsid w:val="00D8407E"/>
    <w:rsid w:val="00DC74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E1"/>
    <w:pPr>
      <w:spacing w:after="0" w:line="240" w:lineRule="auto"/>
    </w:pPr>
    <w:rPr>
      <w:rFonts w:ascii="Times New Roman" w:eastAsia="Times New Roman" w:hAnsi="Times New Roman" w:cs="Times New Roman"/>
      <w:sz w:val="20"/>
      <w:szCs w:val="20"/>
      <w:lang w:eastAsia="fr-FR"/>
    </w:rPr>
  </w:style>
  <w:style w:type="paragraph" w:styleId="Heading2">
    <w:name w:val="heading 2"/>
    <w:basedOn w:val="Normal"/>
    <w:next w:val="Normal"/>
    <w:link w:val="Heading2Char"/>
    <w:qFormat/>
    <w:rsid w:val="00490BE1"/>
    <w:pPr>
      <w:keepNext/>
      <w:numPr>
        <w:numId w:val="1"/>
      </w:numPr>
      <w:jc w:val="both"/>
      <w:outlineLvl w:val="1"/>
    </w:pPr>
    <w:rPr>
      <w:b/>
      <w:sz w:val="24"/>
    </w:rPr>
  </w:style>
  <w:style w:type="paragraph" w:styleId="Heading3">
    <w:name w:val="heading 3"/>
    <w:basedOn w:val="Normal"/>
    <w:next w:val="Normal"/>
    <w:link w:val="Heading3Char"/>
    <w:uiPriority w:val="9"/>
    <w:semiHidden/>
    <w:unhideWhenUsed/>
    <w:qFormat/>
    <w:rsid w:val="00490B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BE1"/>
    <w:rPr>
      <w:rFonts w:ascii="Times New Roman" w:eastAsia="Times New Roman" w:hAnsi="Times New Roman" w:cs="Times New Roman"/>
      <w:b/>
      <w:sz w:val="24"/>
      <w:szCs w:val="20"/>
      <w:lang w:eastAsia="fr-FR"/>
    </w:rPr>
  </w:style>
  <w:style w:type="paragraph" w:customStyle="1" w:styleId="soustitre2ecr">
    <w:name w:val="soustitre2ecr"/>
    <w:basedOn w:val="Normal"/>
    <w:rsid w:val="00490BE1"/>
    <w:pPr>
      <w:numPr>
        <w:ilvl w:val="1"/>
        <w:numId w:val="2"/>
      </w:numPr>
      <w:spacing w:before="240" w:after="60"/>
      <w:jc w:val="center"/>
      <w:outlineLvl w:val="0"/>
    </w:pPr>
    <w:rPr>
      <w:rFonts w:ascii="Arial" w:hAnsi="Arial" w:cs="Arial"/>
      <w:b/>
      <w:bCs/>
      <w:kern w:val="28"/>
      <w:sz w:val="22"/>
      <w:szCs w:val="22"/>
    </w:rPr>
  </w:style>
  <w:style w:type="paragraph" w:customStyle="1" w:styleId="titrefinances">
    <w:name w:val="titre finances"/>
    <w:basedOn w:val="Normal"/>
    <w:rsid w:val="00490BE1"/>
    <w:rPr>
      <w:sz w:val="24"/>
      <w:szCs w:val="24"/>
    </w:rPr>
  </w:style>
  <w:style w:type="paragraph" w:styleId="Title">
    <w:name w:val="Title"/>
    <w:basedOn w:val="Normal"/>
    <w:next w:val="Normal"/>
    <w:link w:val="TitleChar"/>
    <w:uiPriority w:val="10"/>
    <w:qFormat/>
    <w:rsid w:val="00490B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0BE1"/>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Heading3Char">
    <w:name w:val="Heading 3 Char"/>
    <w:basedOn w:val="DefaultParagraphFont"/>
    <w:link w:val="Heading3"/>
    <w:uiPriority w:val="9"/>
    <w:semiHidden/>
    <w:rsid w:val="00490BE1"/>
    <w:rPr>
      <w:rFonts w:asciiTheme="majorHAnsi" w:eastAsiaTheme="majorEastAsia" w:hAnsiTheme="majorHAnsi" w:cstheme="majorBidi"/>
      <w:b/>
      <w:bCs/>
      <w:color w:val="4F81BD" w:themeColor="accent1"/>
      <w:sz w:val="20"/>
      <w:szCs w:val="20"/>
      <w:lang w:eastAsia="fr-FR"/>
    </w:rPr>
  </w:style>
  <w:style w:type="paragraph" w:customStyle="1" w:styleId="Styletitre3ecrGras">
    <w:name w:val="Style titre3 ecr + Gras"/>
    <w:basedOn w:val="Normal"/>
    <w:link w:val="Styletitre3ecrGrasCar"/>
    <w:autoRedefine/>
    <w:rsid w:val="00490BE1"/>
    <w:pPr>
      <w:keepNext/>
      <w:numPr>
        <w:ilvl w:val="2"/>
        <w:numId w:val="1"/>
      </w:numPr>
      <w:spacing w:before="240" w:after="60"/>
      <w:jc w:val="both"/>
      <w:outlineLvl w:val="1"/>
    </w:pPr>
    <w:rPr>
      <w:rFonts w:ascii="Arial" w:hAnsi="Arial" w:cs="Arial"/>
      <w:bCs/>
      <w:i/>
      <w:iCs/>
      <w:sz w:val="22"/>
      <w:szCs w:val="22"/>
      <w:u w:val="single"/>
    </w:rPr>
  </w:style>
  <w:style w:type="character" w:customStyle="1" w:styleId="Styletitre3ecrGrasCar">
    <w:name w:val="Style titre3 ecr + Gras Car"/>
    <w:basedOn w:val="DefaultParagraphFont"/>
    <w:link w:val="Styletitre3ecrGras"/>
    <w:rsid w:val="00490BE1"/>
    <w:rPr>
      <w:rFonts w:ascii="Arial" w:eastAsia="Times New Roman" w:hAnsi="Arial" w:cs="Arial"/>
      <w:bCs/>
      <w:i/>
      <w:iCs/>
      <w:u w:val="single"/>
      <w:lang w:eastAsia="fr-FR"/>
    </w:rPr>
  </w:style>
  <w:style w:type="paragraph" w:styleId="BodyTextIndent2">
    <w:name w:val="Body Text Indent 2"/>
    <w:basedOn w:val="Normal"/>
    <w:link w:val="BodyTextIndent2Char"/>
    <w:rsid w:val="00490BE1"/>
    <w:pPr>
      <w:ind w:left="708"/>
      <w:jc w:val="both"/>
    </w:pPr>
    <w:rPr>
      <w:rFonts w:ascii="Arial" w:hAnsi="Arial"/>
      <w:sz w:val="22"/>
    </w:rPr>
  </w:style>
  <w:style w:type="character" w:customStyle="1" w:styleId="BodyTextIndent2Char">
    <w:name w:val="Body Text Indent 2 Char"/>
    <w:basedOn w:val="DefaultParagraphFont"/>
    <w:link w:val="BodyTextIndent2"/>
    <w:rsid w:val="00490BE1"/>
    <w:rPr>
      <w:rFonts w:ascii="Arial" w:eastAsia="Times New Roman" w:hAnsi="Arial" w:cs="Times New Roman"/>
      <w:szCs w:val="20"/>
      <w:lang w:eastAsia="fr-FR"/>
    </w:rPr>
  </w:style>
  <w:style w:type="paragraph" w:styleId="ListParagraph">
    <w:name w:val="List Paragraph"/>
    <w:basedOn w:val="Normal"/>
    <w:uiPriority w:val="34"/>
    <w:qFormat/>
    <w:rsid w:val="00490B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501</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patricia.ramarojaona</dc:creator>
  <cp:keywords/>
  <dc:description/>
  <cp:lastModifiedBy>patricia.ramarojaona</cp:lastModifiedBy>
  <cp:revision>2</cp:revision>
  <dcterms:created xsi:type="dcterms:W3CDTF">2010-05-11T13:40:00Z</dcterms:created>
  <dcterms:modified xsi:type="dcterms:W3CDTF">2010-05-11T14:40:00Z</dcterms:modified>
</cp:coreProperties>
</file>