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A0" w:rsidRPr="001F1530" w:rsidRDefault="00456CA0" w:rsidP="009630D7">
      <w:pPr>
        <w:pStyle w:val="BodyText2"/>
        <w:jc w:val="center"/>
        <w:rPr>
          <w:szCs w:val="22"/>
        </w:rPr>
      </w:pPr>
    </w:p>
    <w:p w:rsidR="00BA7986" w:rsidRPr="003B6AA9" w:rsidRDefault="0057183E" w:rsidP="009630D7">
      <w:pPr>
        <w:pStyle w:val="BodyText2"/>
        <w:jc w:val="center"/>
        <w:rPr>
          <w:szCs w:val="22"/>
        </w:rPr>
      </w:pPr>
      <w:r w:rsidRPr="003B6AA9">
        <w:rPr>
          <w:rFonts w:ascii="Book Antiqua" w:hAnsi="Book Antiqua" w:cs="Tahoma"/>
          <w:b/>
          <w:noProof/>
          <w:szCs w:val="22"/>
        </w:rPr>
        <w:drawing>
          <wp:inline distT="0" distB="0" distL="0" distR="0">
            <wp:extent cx="666750" cy="1162050"/>
            <wp:effectExtent l="19050" t="0" r="0" b="0"/>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srcRect/>
                    <a:stretch>
                      <a:fillRect/>
                    </a:stretch>
                  </pic:blipFill>
                  <pic:spPr bwMode="auto">
                    <a:xfrm>
                      <a:off x="0" y="0"/>
                      <a:ext cx="666750" cy="1162050"/>
                    </a:xfrm>
                    <a:prstGeom prst="rect">
                      <a:avLst/>
                    </a:prstGeom>
                    <a:noFill/>
                    <a:ln w="9525">
                      <a:noFill/>
                      <a:miter lim="800000"/>
                      <a:headEnd/>
                      <a:tailEnd/>
                    </a:ln>
                  </pic:spPr>
                </pic:pic>
              </a:graphicData>
            </a:graphic>
          </wp:inline>
        </w:drawing>
      </w:r>
    </w:p>
    <w:p w:rsidR="00BA7986" w:rsidRPr="003B6AA9" w:rsidRDefault="0057183E" w:rsidP="009630D7">
      <w:pPr>
        <w:pStyle w:val="BodyText2"/>
        <w:jc w:val="center"/>
        <w:rPr>
          <w:color w:val="000000" w:themeColor="text1"/>
          <w:szCs w:val="22"/>
        </w:rPr>
      </w:pPr>
      <w:r w:rsidRPr="003B6AA9">
        <w:rPr>
          <w:color w:val="000000" w:themeColor="text1"/>
          <w:szCs w:val="22"/>
        </w:rPr>
        <w:t>South Africa</w:t>
      </w:r>
    </w:p>
    <w:p w:rsidR="00BA7986" w:rsidRPr="003B6AA9" w:rsidRDefault="00BA7986" w:rsidP="009630D7">
      <w:pPr>
        <w:pStyle w:val="BodyText2"/>
        <w:jc w:val="center"/>
        <w:rPr>
          <w:szCs w:val="22"/>
        </w:rPr>
      </w:pPr>
    </w:p>
    <w:p w:rsidR="00BA7986" w:rsidRPr="003B6AA9" w:rsidRDefault="00BA7986" w:rsidP="009630D7">
      <w:pPr>
        <w:pStyle w:val="BodyText2"/>
        <w:jc w:val="center"/>
        <w:rPr>
          <w:szCs w:val="22"/>
        </w:rPr>
      </w:pPr>
    </w:p>
    <w:p w:rsidR="00BA7986" w:rsidRPr="003B6AA9" w:rsidRDefault="00BA7986" w:rsidP="009630D7">
      <w:pPr>
        <w:pStyle w:val="BodyText2"/>
        <w:jc w:val="center"/>
        <w:rPr>
          <w:szCs w:val="22"/>
        </w:rPr>
      </w:pPr>
    </w:p>
    <w:p w:rsidR="00456CA0" w:rsidRPr="003B6AA9" w:rsidRDefault="00456CA0" w:rsidP="009630D7">
      <w:pPr>
        <w:pStyle w:val="BodyText2"/>
        <w:jc w:val="center"/>
        <w:rPr>
          <w:szCs w:val="22"/>
        </w:rPr>
      </w:pPr>
      <w:r w:rsidRPr="003B6AA9">
        <w:rPr>
          <w:szCs w:val="22"/>
        </w:rPr>
        <w:t>`</w:t>
      </w:r>
    </w:p>
    <w:p w:rsidR="00456CA0" w:rsidRPr="003B6AA9" w:rsidRDefault="00456CA0" w:rsidP="00963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val="0"/>
          <w:szCs w:val="22"/>
        </w:rPr>
      </w:pPr>
    </w:p>
    <w:p w:rsidR="00456CA0" w:rsidRPr="003B6AA9" w:rsidRDefault="00456CA0" w:rsidP="009630D7">
      <w:pPr>
        <w:autoSpaceDE w:val="0"/>
        <w:autoSpaceDN w:val="0"/>
        <w:adjustRightInd w:val="0"/>
        <w:jc w:val="center"/>
        <w:rPr>
          <w:szCs w:val="22"/>
        </w:rPr>
      </w:pPr>
    </w:p>
    <w:p w:rsidR="00456CA0" w:rsidRPr="003B6AA9" w:rsidRDefault="0049026D" w:rsidP="009630D7">
      <w:pPr>
        <w:pStyle w:val="BodyText2"/>
        <w:jc w:val="center"/>
        <w:rPr>
          <w:b/>
          <w:bCs/>
          <w:sz w:val="28"/>
          <w:szCs w:val="22"/>
        </w:rPr>
      </w:pPr>
      <w:r w:rsidRPr="003B6AA9">
        <w:rPr>
          <w:b/>
          <w:bCs/>
          <w:sz w:val="28"/>
          <w:szCs w:val="22"/>
        </w:rPr>
        <w:t>TERMS OF REFERENCE</w:t>
      </w:r>
    </w:p>
    <w:p w:rsidR="009630D7" w:rsidRPr="003B6AA9" w:rsidRDefault="009630D7" w:rsidP="009630D7">
      <w:pPr>
        <w:pStyle w:val="BodyText2"/>
        <w:jc w:val="center"/>
        <w:rPr>
          <w:b/>
          <w:bCs/>
          <w:szCs w:val="22"/>
        </w:rPr>
      </w:pPr>
    </w:p>
    <w:p w:rsidR="009C45AA" w:rsidRPr="003B6AA9" w:rsidRDefault="0057183E" w:rsidP="004A19D3">
      <w:pPr>
        <w:pStyle w:val="BodyText2"/>
        <w:jc w:val="center"/>
        <w:rPr>
          <w:b/>
          <w:bCs/>
          <w:szCs w:val="22"/>
        </w:rPr>
      </w:pPr>
      <w:r w:rsidRPr="003B6AA9">
        <w:rPr>
          <w:b/>
          <w:bCs/>
          <w:szCs w:val="22"/>
        </w:rPr>
        <w:t xml:space="preserve">Mid-Term Evaluation </w:t>
      </w:r>
      <w:r w:rsidR="00A77E63">
        <w:rPr>
          <w:b/>
          <w:bCs/>
          <w:szCs w:val="22"/>
        </w:rPr>
        <w:t xml:space="preserve">(MTE) </w:t>
      </w:r>
      <w:r w:rsidRPr="003B6AA9">
        <w:rPr>
          <w:b/>
          <w:bCs/>
          <w:szCs w:val="22"/>
        </w:rPr>
        <w:t xml:space="preserve">of the </w:t>
      </w:r>
      <w:r w:rsidR="004A19D3" w:rsidRPr="003B6AA9">
        <w:rPr>
          <w:b/>
          <w:bCs/>
          <w:szCs w:val="22"/>
        </w:rPr>
        <w:t xml:space="preserve">2010 </w:t>
      </w:r>
      <w:r w:rsidRPr="003B6AA9">
        <w:rPr>
          <w:b/>
          <w:bCs/>
          <w:szCs w:val="22"/>
        </w:rPr>
        <w:t>Sustainable Transport and Sport Project</w:t>
      </w:r>
    </w:p>
    <w:p w:rsidR="009630D7" w:rsidRPr="003B6AA9" w:rsidRDefault="009630D7">
      <w:pPr>
        <w:spacing w:after="200" w:line="276" w:lineRule="auto"/>
        <w:rPr>
          <w:color w:val="0000FF"/>
          <w:szCs w:val="22"/>
        </w:rPr>
      </w:pPr>
      <w:r w:rsidRPr="003B6AA9">
        <w:rPr>
          <w:color w:val="0000FF"/>
        </w:rPr>
        <w:br w:type="page"/>
      </w:r>
    </w:p>
    <w:p w:rsidR="006C45EA" w:rsidRPr="003B6AA9" w:rsidRDefault="00E73D8A" w:rsidP="006B599D">
      <w:pPr>
        <w:pStyle w:val="Heading1"/>
        <w:numPr>
          <w:ilvl w:val="0"/>
          <w:numId w:val="30"/>
        </w:numPr>
        <w:rPr>
          <w:sz w:val="20"/>
          <w:szCs w:val="20"/>
        </w:rPr>
      </w:pPr>
      <w:r w:rsidRPr="003B6AA9">
        <w:rPr>
          <w:sz w:val="20"/>
          <w:szCs w:val="20"/>
        </w:rPr>
        <w:lastRenderedPageBreak/>
        <w:t xml:space="preserve">Background information </w:t>
      </w:r>
    </w:p>
    <w:p w:rsidR="00C164F2" w:rsidRDefault="00C164F2" w:rsidP="006B599D">
      <w:pPr>
        <w:pStyle w:val="StyleBodyText10ptNotBoldJustified"/>
        <w:spacing w:line="240" w:lineRule="auto"/>
        <w:rPr>
          <w:rFonts w:cs="Arial"/>
        </w:rPr>
      </w:pPr>
    </w:p>
    <w:p w:rsidR="00C164F2" w:rsidRPr="00C164F2" w:rsidRDefault="00AA1C22" w:rsidP="00C164F2">
      <w:pPr>
        <w:jc w:val="both"/>
        <w:rPr>
          <w:sz w:val="20"/>
          <w:szCs w:val="20"/>
        </w:rPr>
      </w:pPr>
      <w:r>
        <w:rPr>
          <w:sz w:val="20"/>
          <w:szCs w:val="20"/>
        </w:rPr>
        <w:t xml:space="preserve">The </w:t>
      </w:r>
      <w:r w:rsidR="00C164F2">
        <w:rPr>
          <w:sz w:val="20"/>
          <w:szCs w:val="20"/>
        </w:rPr>
        <w:t xml:space="preserve">GEF-funded </w:t>
      </w:r>
      <w:r w:rsidRPr="00AA1C22">
        <w:rPr>
          <w:i/>
          <w:sz w:val="20"/>
          <w:szCs w:val="20"/>
        </w:rPr>
        <w:t>2010 Sustainable Transport and Sport Project</w:t>
      </w:r>
      <w:r w:rsidR="00C164F2">
        <w:rPr>
          <w:sz w:val="20"/>
          <w:szCs w:val="20"/>
        </w:rPr>
        <w:t xml:space="preserve"> </w:t>
      </w:r>
      <w:r w:rsidR="00F55B94">
        <w:rPr>
          <w:sz w:val="20"/>
          <w:szCs w:val="20"/>
        </w:rPr>
        <w:t>was designed</w:t>
      </w:r>
      <w:r w:rsidRPr="00AA1C22">
        <w:rPr>
          <w:sz w:val="20"/>
          <w:szCs w:val="20"/>
        </w:rPr>
        <w:t xml:space="preserve"> not only to serve the transport requirements of the World Cup events, but also to leave a lasting legacy of enhanced sustainable transport behind after the events, thus contributing to a long-term mitigation of greenhouse gas emissions from the </w:t>
      </w:r>
      <w:r w:rsidR="00F55B94">
        <w:rPr>
          <w:sz w:val="20"/>
          <w:szCs w:val="20"/>
        </w:rPr>
        <w:t xml:space="preserve">South African </w:t>
      </w:r>
      <w:r w:rsidRPr="00AA1C22">
        <w:rPr>
          <w:sz w:val="20"/>
          <w:szCs w:val="20"/>
        </w:rPr>
        <w:t>transport sector</w:t>
      </w:r>
      <w:r>
        <w:rPr>
          <w:sz w:val="20"/>
          <w:szCs w:val="20"/>
        </w:rPr>
        <w:t xml:space="preserve">. The central focus of the </w:t>
      </w:r>
      <w:r w:rsidRPr="00AA1C22">
        <w:rPr>
          <w:sz w:val="20"/>
          <w:szCs w:val="20"/>
        </w:rPr>
        <w:t>project is therefore to support the provision of improved public transport services and non-motorized transport infrastructure in selected 2010 host cities</w:t>
      </w:r>
      <w:r w:rsidR="00F55B94">
        <w:rPr>
          <w:sz w:val="20"/>
          <w:szCs w:val="20"/>
        </w:rPr>
        <w:t xml:space="preserve"> in South Africa</w:t>
      </w:r>
      <w:r w:rsidRPr="00AA1C22">
        <w:rPr>
          <w:sz w:val="20"/>
          <w:szCs w:val="20"/>
        </w:rPr>
        <w:t xml:space="preserve">. The project is working with </w:t>
      </w:r>
      <w:r w:rsidR="00C164F2">
        <w:rPr>
          <w:sz w:val="20"/>
          <w:szCs w:val="20"/>
        </w:rPr>
        <w:t xml:space="preserve">various </w:t>
      </w:r>
      <w:r w:rsidRPr="00AA1C22">
        <w:rPr>
          <w:sz w:val="20"/>
          <w:szCs w:val="20"/>
        </w:rPr>
        <w:t>2010 host cities and selected municipalities across the country to influence transportation policies, build institutional and individual capacities, and raise awareness.</w:t>
      </w:r>
    </w:p>
    <w:p w:rsidR="00C164F2" w:rsidRPr="00C164F2" w:rsidRDefault="00C164F2" w:rsidP="00C164F2">
      <w:pPr>
        <w:jc w:val="both"/>
        <w:rPr>
          <w:sz w:val="20"/>
          <w:szCs w:val="20"/>
        </w:rPr>
      </w:pPr>
    </w:p>
    <w:p w:rsidR="00C164F2" w:rsidRPr="00C164F2" w:rsidRDefault="00AA1C22" w:rsidP="00C164F2">
      <w:pPr>
        <w:jc w:val="both"/>
        <w:rPr>
          <w:sz w:val="20"/>
          <w:szCs w:val="20"/>
        </w:rPr>
      </w:pPr>
      <w:r w:rsidRPr="00AA1C22">
        <w:rPr>
          <w:sz w:val="20"/>
          <w:szCs w:val="20"/>
        </w:rPr>
        <w:t>The project objective is: “The promotion of a safe, reliable, efficient, coordinated and integrated urban passenger transport system in South Africa, managed in an accountable way to ensure that people experience improving levels of mobility and accessibility.” The project aims to produce measurable environmental benefits</w:t>
      </w:r>
      <w:r w:rsidR="00F55B94">
        <w:rPr>
          <w:sz w:val="20"/>
          <w:szCs w:val="20"/>
        </w:rPr>
        <w:t>,</w:t>
      </w:r>
      <w:r w:rsidRPr="00AA1C22">
        <w:rPr>
          <w:sz w:val="20"/>
          <w:szCs w:val="20"/>
        </w:rPr>
        <w:t xml:space="preserve"> including an estimated 423,000 tCO2 reduction in direct </w:t>
      </w:r>
      <w:r w:rsidR="00F55B94">
        <w:rPr>
          <w:sz w:val="20"/>
          <w:szCs w:val="20"/>
        </w:rPr>
        <w:t>green house gas (</w:t>
      </w:r>
      <w:r w:rsidRPr="00AA1C22">
        <w:rPr>
          <w:sz w:val="20"/>
          <w:szCs w:val="20"/>
        </w:rPr>
        <w:t>GHG</w:t>
      </w:r>
      <w:r w:rsidR="00F55B94">
        <w:rPr>
          <w:sz w:val="20"/>
          <w:szCs w:val="20"/>
        </w:rPr>
        <w:t>)</w:t>
      </w:r>
      <w:r w:rsidRPr="00AA1C22">
        <w:rPr>
          <w:sz w:val="20"/>
          <w:szCs w:val="20"/>
        </w:rPr>
        <w:t xml:space="preserve"> emissions over a ten-year lifespan, air quality impr</w:t>
      </w:r>
      <w:r>
        <w:rPr>
          <w:sz w:val="20"/>
          <w:szCs w:val="20"/>
        </w:rPr>
        <w:t xml:space="preserve">ovement </w:t>
      </w:r>
      <w:r w:rsidRPr="00AA1C22">
        <w:rPr>
          <w:sz w:val="20"/>
          <w:szCs w:val="20"/>
        </w:rPr>
        <w:t>and reductions in ambient noise levels. Indirect CO2</w:t>
      </w:r>
      <w:r>
        <w:rPr>
          <w:sz w:val="20"/>
          <w:szCs w:val="20"/>
        </w:rPr>
        <w:t xml:space="preserve"> emission reductions achieved </w:t>
      </w:r>
      <w:r w:rsidR="00F55B94">
        <w:rPr>
          <w:sz w:val="20"/>
          <w:szCs w:val="20"/>
        </w:rPr>
        <w:t>via</w:t>
      </w:r>
      <w:r w:rsidRPr="00AA1C22">
        <w:rPr>
          <w:sz w:val="20"/>
          <w:szCs w:val="20"/>
        </w:rPr>
        <w:t xml:space="preserve"> replication of the project could be as high as 2 million tCO2 over a ten-year period. </w:t>
      </w:r>
    </w:p>
    <w:p w:rsidR="00C164F2" w:rsidRPr="00C164F2" w:rsidRDefault="00C164F2" w:rsidP="00C164F2">
      <w:pPr>
        <w:ind w:firstLine="360"/>
        <w:jc w:val="both"/>
        <w:rPr>
          <w:sz w:val="20"/>
          <w:szCs w:val="20"/>
        </w:rPr>
      </w:pPr>
    </w:p>
    <w:p w:rsidR="00867444" w:rsidRDefault="00AA1C22">
      <w:pPr>
        <w:jc w:val="both"/>
      </w:pPr>
      <w:r w:rsidRPr="00AA1C22">
        <w:rPr>
          <w:sz w:val="20"/>
          <w:szCs w:val="20"/>
        </w:rPr>
        <w:t xml:space="preserve">Practical demonstrations of urban transport improvements will be linked to substantial changes in the transport services in selected venue cities for the </w:t>
      </w:r>
      <w:r w:rsidR="00C164F2">
        <w:rPr>
          <w:sz w:val="20"/>
          <w:szCs w:val="20"/>
        </w:rPr>
        <w:t xml:space="preserve">2010 FIFA World Cup. </w:t>
      </w:r>
      <w:r w:rsidR="00F55B94" w:rsidRPr="00F55B94">
        <w:rPr>
          <w:sz w:val="20"/>
          <w:szCs w:val="20"/>
        </w:rPr>
        <w:t xml:space="preserve">The project uses various innovative options </w:t>
      </w:r>
      <w:r w:rsidR="00F55B94">
        <w:rPr>
          <w:sz w:val="20"/>
          <w:szCs w:val="20"/>
        </w:rPr>
        <w:t xml:space="preserve">including </w:t>
      </w:r>
      <w:r w:rsidR="00F55B94" w:rsidRPr="00F55B94">
        <w:rPr>
          <w:sz w:val="20"/>
          <w:szCs w:val="20"/>
        </w:rPr>
        <w:t>High Occupancy Vehicle lane</w:t>
      </w:r>
      <w:r w:rsidR="00F55B94">
        <w:rPr>
          <w:sz w:val="20"/>
          <w:szCs w:val="20"/>
        </w:rPr>
        <w:t>s</w:t>
      </w:r>
      <w:r w:rsidR="00F55B94" w:rsidRPr="00F55B94">
        <w:rPr>
          <w:sz w:val="20"/>
          <w:szCs w:val="20"/>
        </w:rPr>
        <w:t>, non-motorized transport</w:t>
      </w:r>
      <w:r w:rsidR="00F55B94">
        <w:rPr>
          <w:sz w:val="20"/>
          <w:szCs w:val="20"/>
        </w:rPr>
        <w:t xml:space="preserve"> systems</w:t>
      </w:r>
      <w:r w:rsidR="00F55B94" w:rsidRPr="00F55B94">
        <w:rPr>
          <w:sz w:val="20"/>
          <w:szCs w:val="20"/>
        </w:rPr>
        <w:t>, Travel Demand Management</w:t>
      </w:r>
      <w:r w:rsidR="00F55B94">
        <w:rPr>
          <w:sz w:val="20"/>
          <w:szCs w:val="20"/>
        </w:rPr>
        <w:t xml:space="preserve"> (TDM) systems</w:t>
      </w:r>
      <w:r w:rsidR="00F55B94" w:rsidRPr="00F55B94">
        <w:rPr>
          <w:sz w:val="20"/>
          <w:szCs w:val="20"/>
        </w:rPr>
        <w:t>, dedicated bus lanes and rapid bus transit (BRT) system</w:t>
      </w:r>
      <w:r w:rsidR="00F55B94">
        <w:rPr>
          <w:sz w:val="20"/>
          <w:szCs w:val="20"/>
        </w:rPr>
        <w:t>s</w:t>
      </w:r>
      <w:r w:rsidR="00F55B94" w:rsidRPr="00F55B94">
        <w:rPr>
          <w:sz w:val="20"/>
          <w:szCs w:val="20"/>
        </w:rPr>
        <w:t xml:space="preserve"> to help reduce greenhouse gas emissions. </w:t>
      </w:r>
      <w:r w:rsidR="00C164F2">
        <w:rPr>
          <w:sz w:val="20"/>
          <w:szCs w:val="20"/>
        </w:rPr>
        <w:t>T</w:t>
      </w:r>
      <w:r w:rsidR="00F55B94">
        <w:rPr>
          <w:sz w:val="20"/>
          <w:szCs w:val="20"/>
        </w:rPr>
        <w:t xml:space="preserve">argeted investments </w:t>
      </w:r>
      <w:r w:rsidRPr="00AA1C22">
        <w:rPr>
          <w:sz w:val="20"/>
          <w:szCs w:val="20"/>
        </w:rPr>
        <w:t xml:space="preserve">include: construction of a 94 km Bus Rapid Transport </w:t>
      </w:r>
      <w:r w:rsidR="00F55B94">
        <w:rPr>
          <w:sz w:val="20"/>
          <w:szCs w:val="20"/>
        </w:rPr>
        <w:t xml:space="preserve">(BRT) network in Johannesburg; </w:t>
      </w:r>
      <w:r w:rsidRPr="00AA1C22">
        <w:rPr>
          <w:sz w:val="20"/>
          <w:szCs w:val="20"/>
        </w:rPr>
        <w:t>33.4</w:t>
      </w:r>
      <w:r w:rsidR="00F55B94">
        <w:rPr>
          <w:sz w:val="20"/>
          <w:szCs w:val="20"/>
        </w:rPr>
        <w:t>km of BRT in Nelson Mandela Bay;</w:t>
      </w:r>
      <w:r w:rsidRPr="00AA1C22">
        <w:rPr>
          <w:sz w:val="20"/>
          <w:szCs w:val="20"/>
        </w:rPr>
        <w:t xml:space="preserve"> 9 km of high-occupancy vehicle </w:t>
      </w:r>
      <w:r>
        <w:rPr>
          <w:sz w:val="20"/>
          <w:szCs w:val="20"/>
        </w:rPr>
        <w:t>(HOV) lanes in Mbombela</w:t>
      </w:r>
      <w:r w:rsidR="00F55B94">
        <w:rPr>
          <w:sz w:val="20"/>
          <w:szCs w:val="20"/>
        </w:rPr>
        <w:t>;</w:t>
      </w:r>
      <w:r>
        <w:rPr>
          <w:sz w:val="20"/>
          <w:szCs w:val="20"/>
        </w:rPr>
        <w:t xml:space="preserve"> and </w:t>
      </w:r>
      <w:r w:rsidRPr="00AA1C22">
        <w:rPr>
          <w:sz w:val="20"/>
          <w:szCs w:val="20"/>
        </w:rPr>
        <w:t>cycle paths and walkways in Polokwane (55.5 km), Mangaung (3.8 km) and Rustenburg (10 km).</w:t>
      </w:r>
    </w:p>
    <w:p w:rsidR="006C45EA" w:rsidRPr="003B6AA9" w:rsidRDefault="006C45EA" w:rsidP="006B599D">
      <w:pPr>
        <w:pStyle w:val="StyleBodyText10ptNotBoldJustified"/>
        <w:spacing w:line="240" w:lineRule="auto"/>
        <w:rPr>
          <w:rFonts w:cs="Arial"/>
        </w:rPr>
      </w:pPr>
    </w:p>
    <w:p w:rsidR="00867444" w:rsidRDefault="00AA1C22">
      <w:pPr>
        <w:pStyle w:val="Heading2"/>
        <w:numPr>
          <w:ilvl w:val="0"/>
          <w:numId w:val="30"/>
        </w:numPr>
        <w:spacing w:before="0" w:after="0" w:line="240" w:lineRule="auto"/>
        <w:jc w:val="both"/>
        <w:rPr>
          <w:i w:val="0"/>
          <w:sz w:val="20"/>
          <w:szCs w:val="20"/>
        </w:rPr>
      </w:pPr>
      <w:r w:rsidRPr="00AA1C22">
        <w:rPr>
          <w:i w:val="0"/>
          <w:sz w:val="20"/>
          <w:szCs w:val="20"/>
        </w:rPr>
        <w:t xml:space="preserve">Strategic objectives of the programme </w:t>
      </w:r>
    </w:p>
    <w:p w:rsidR="00867444" w:rsidRDefault="00867444"/>
    <w:p w:rsidR="006C45EA" w:rsidRPr="003B6AA9" w:rsidRDefault="00C91CB5" w:rsidP="006B599D">
      <w:pPr>
        <w:pStyle w:val="StyleBodyText10ptNotBoldJustified"/>
        <w:spacing w:line="240" w:lineRule="auto"/>
        <w:rPr>
          <w:rFonts w:cs="Arial"/>
        </w:rPr>
      </w:pPr>
      <w:r w:rsidRPr="003B6AA9">
        <w:rPr>
          <w:rFonts w:cs="Arial"/>
        </w:rPr>
        <w:t xml:space="preserve">The project aims to reduce greenhouse gases from urban </w:t>
      </w:r>
      <w:r w:rsidR="00FD4730" w:rsidRPr="003B6AA9">
        <w:rPr>
          <w:rFonts w:cs="Arial"/>
        </w:rPr>
        <w:t>transportation</w:t>
      </w:r>
      <w:r w:rsidRPr="003B6AA9">
        <w:rPr>
          <w:rFonts w:cs="Arial"/>
        </w:rPr>
        <w:t xml:space="preserve"> in South African cities through the promotion of a long-term modal shift to more efficient and less polluting forms of transport. The main objective is the promotion of </w:t>
      </w:r>
      <w:r w:rsidR="00F55B94">
        <w:rPr>
          <w:rFonts w:cs="Arial"/>
        </w:rPr>
        <w:t xml:space="preserve">a </w:t>
      </w:r>
      <w:r w:rsidRPr="003B6AA9">
        <w:rPr>
          <w:rFonts w:cs="Arial"/>
        </w:rPr>
        <w:t xml:space="preserve">safe, reliable, efficient, </w:t>
      </w:r>
      <w:r w:rsidR="00FD4730" w:rsidRPr="003B6AA9">
        <w:rPr>
          <w:rFonts w:cs="Arial"/>
        </w:rPr>
        <w:t>coordinated</w:t>
      </w:r>
      <w:r w:rsidRPr="003B6AA9">
        <w:rPr>
          <w:rFonts w:cs="Arial"/>
        </w:rPr>
        <w:t xml:space="preserve"> and integrated urban passenger system in South Africa, </w:t>
      </w:r>
      <w:r w:rsidR="00F55B94">
        <w:rPr>
          <w:rFonts w:cs="Arial"/>
        </w:rPr>
        <w:t>m</w:t>
      </w:r>
      <w:r w:rsidRPr="003B6AA9">
        <w:rPr>
          <w:rFonts w:cs="Arial"/>
        </w:rPr>
        <w:t xml:space="preserve">anaged in </w:t>
      </w:r>
      <w:r w:rsidR="00F55B94">
        <w:rPr>
          <w:rFonts w:cs="Arial"/>
        </w:rPr>
        <w:t xml:space="preserve">an </w:t>
      </w:r>
      <w:r w:rsidRPr="003B6AA9">
        <w:rPr>
          <w:rFonts w:cs="Arial"/>
        </w:rPr>
        <w:t xml:space="preserve">accountable </w:t>
      </w:r>
      <w:r w:rsidR="00F55B94">
        <w:rPr>
          <w:rFonts w:cs="Arial"/>
        </w:rPr>
        <w:t xml:space="preserve">and accessible </w:t>
      </w:r>
      <w:r w:rsidRPr="003B6AA9">
        <w:rPr>
          <w:rFonts w:cs="Arial"/>
        </w:rPr>
        <w:t>way</w:t>
      </w:r>
      <w:r w:rsidR="00F55B94">
        <w:rPr>
          <w:rFonts w:cs="Arial"/>
        </w:rPr>
        <w:t xml:space="preserve">. </w:t>
      </w:r>
      <w:r w:rsidRPr="003B6AA9">
        <w:rPr>
          <w:rFonts w:cs="Arial"/>
        </w:rPr>
        <w:t>The following outputs are targeted by the project:</w:t>
      </w:r>
    </w:p>
    <w:p w:rsidR="00C91CB5" w:rsidRPr="003B6AA9" w:rsidRDefault="00C91CB5" w:rsidP="006B599D">
      <w:pPr>
        <w:pStyle w:val="StyleBodyText10ptNotBoldJustified"/>
        <w:numPr>
          <w:ilvl w:val="0"/>
          <w:numId w:val="34"/>
        </w:numPr>
        <w:spacing w:line="240" w:lineRule="auto"/>
        <w:rPr>
          <w:rFonts w:cs="Arial"/>
        </w:rPr>
      </w:pPr>
      <w:r w:rsidRPr="003B6AA9">
        <w:rPr>
          <w:rFonts w:cs="Arial"/>
        </w:rPr>
        <w:t>Restructured public transport system (high-impact mode shift projects) have been supported and are implemented;</w:t>
      </w:r>
    </w:p>
    <w:p w:rsidR="00C91CB5" w:rsidRPr="003B6AA9" w:rsidRDefault="00C91CB5" w:rsidP="006B599D">
      <w:pPr>
        <w:pStyle w:val="StyleBodyText10ptNotBoldJustified"/>
        <w:numPr>
          <w:ilvl w:val="0"/>
          <w:numId w:val="34"/>
        </w:numPr>
        <w:spacing w:line="240" w:lineRule="auto"/>
        <w:rPr>
          <w:rFonts w:cs="Arial"/>
        </w:rPr>
      </w:pPr>
      <w:r w:rsidRPr="003B6AA9">
        <w:rPr>
          <w:rFonts w:cs="Arial"/>
        </w:rPr>
        <w:t>Road management an</w:t>
      </w:r>
      <w:r w:rsidR="000C0072" w:rsidRPr="003B6AA9">
        <w:rPr>
          <w:rFonts w:cs="Arial"/>
        </w:rPr>
        <w:t>d transport system efficiency im</w:t>
      </w:r>
      <w:r w:rsidRPr="003B6AA9">
        <w:rPr>
          <w:rFonts w:cs="Arial"/>
        </w:rPr>
        <w:t>provements have been supported and are implemented;</w:t>
      </w:r>
    </w:p>
    <w:p w:rsidR="00C91CB5" w:rsidRPr="003B6AA9" w:rsidRDefault="000C0072" w:rsidP="006B599D">
      <w:pPr>
        <w:pStyle w:val="StyleBodyText10ptNotBoldJustified"/>
        <w:numPr>
          <w:ilvl w:val="0"/>
          <w:numId w:val="34"/>
        </w:numPr>
        <w:spacing w:line="240" w:lineRule="auto"/>
        <w:rPr>
          <w:rFonts w:cs="Arial"/>
        </w:rPr>
      </w:pPr>
      <w:r w:rsidRPr="003B6AA9">
        <w:rPr>
          <w:rFonts w:cs="Arial"/>
        </w:rPr>
        <w:t xml:space="preserve">Non-motorized transport </w:t>
      </w:r>
      <w:r w:rsidR="00FD4730" w:rsidRPr="003B6AA9">
        <w:rPr>
          <w:rFonts w:cs="Arial"/>
        </w:rPr>
        <w:t>projects</w:t>
      </w:r>
      <w:r w:rsidRPr="003B6AA9">
        <w:rPr>
          <w:rFonts w:cs="Arial"/>
        </w:rPr>
        <w:t xml:space="preserve"> have been supported and are implemented in three venue cities;</w:t>
      </w:r>
    </w:p>
    <w:p w:rsidR="000C0072" w:rsidRPr="003B6AA9" w:rsidRDefault="000C0072" w:rsidP="006B599D">
      <w:pPr>
        <w:pStyle w:val="StyleBodyText10ptNotBoldJustified"/>
        <w:numPr>
          <w:ilvl w:val="0"/>
          <w:numId w:val="34"/>
        </w:numPr>
        <w:spacing w:line="240" w:lineRule="auto"/>
        <w:rPr>
          <w:rFonts w:cs="Arial"/>
        </w:rPr>
      </w:pPr>
      <w:r w:rsidRPr="003B6AA9">
        <w:rPr>
          <w:rFonts w:cs="Arial"/>
        </w:rPr>
        <w:t>Travel Demand Management projects have been supported in Cape Town and implemented;</w:t>
      </w:r>
    </w:p>
    <w:p w:rsidR="000C0072" w:rsidRPr="003B6AA9" w:rsidRDefault="00FD4730" w:rsidP="006B599D">
      <w:pPr>
        <w:pStyle w:val="StyleBodyText10ptNotBoldJustified"/>
        <w:numPr>
          <w:ilvl w:val="0"/>
          <w:numId w:val="34"/>
        </w:numPr>
        <w:spacing w:line="240" w:lineRule="auto"/>
        <w:rPr>
          <w:rFonts w:cs="Arial"/>
        </w:rPr>
      </w:pPr>
      <w:r w:rsidRPr="003B6AA9">
        <w:rPr>
          <w:rFonts w:cs="Arial"/>
        </w:rPr>
        <w:t>Technical capacity in sustainable transport has been strengthened;</w:t>
      </w:r>
    </w:p>
    <w:p w:rsidR="00FD4730" w:rsidRPr="003B6AA9" w:rsidRDefault="00FD4730" w:rsidP="006B599D">
      <w:pPr>
        <w:pStyle w:val="StyleBodyText10ptNotBoldJustified"/>
        <w:numPr>
          <w:ilvl w:val="0"/>
          <w:numId w:val="34"/>
        </w:numPr>
        <w:spacing w:line="240" w:lineRule="auto"/>
        <w:rPr>
          <w:rFonts w:cs="Arial"/>
        </w:rPr>
      </w:pPr>
      <w:r w:rsidRPr="003B6AA9">
        <w:rPr>
          <w:rFonts w:cs="Arial"/>
        </w:rPr>
        <w:t>Increased information and knowledge about sustainable transportation options amongst local and national decision-makers and transport and urban planners; and</w:t>
      </w:r>
    </w:p>
    <w:p w:rsidR="00FD4730" w:rsidRPr="003B6AA9" w:rsidRDefault="00FD4730" w:rsidP="006B599D">
      <w:pPr>
        <w:pStyle w:val="StyleBodyText10ptNotBoldJustified"/>
        <w:numPr>
          <w:ilvl w:val="0"/>
          <w:numId w:val="34"/>
        </w:numPr>
        <w:spacing w:line="240" w:lineRule="auto"/>
        <w:rPr>
          <w:rFonts w:cs="Arial"/>
        </w:rPr>
      </w:pPr>
      <w:r w:rsidRPr="003B6AA9">
        <w:rPr>
          <w:rFonts w:cs="Arial"/>
        </w:rPr>
        <w:t xml:space="preserve">Monitoring and </w:t>
      </w:r>
      <w:r w:rsidR="003B6AA9" w:rsidRPr="003B6AA9">
        <w:rPr>
          <w:rFonts w:cs="Arial"/>
        </w:rPr>
        <w:t xml:space="preserve">Evaluation </w:t>
      </w:r>
      <w:r w:rsidRPr="003B6AA9">
        <w:rPr>
          <w:rFonts w:cs="Arial"/>
        </w:rPr>
        <w:t xml:space="preserve">tools formulated and implemented. </w:t>
      </w:r>
    </w:p>
    <w:p w:rsidR="00456CA0" w:rsidRPr="003B6AA9" w:rsidRDefault="00456CA0" w:rsidP="006B599D">
      <w:pPr>
        <w:pStyle w:val="StyleBodyText10ptNotBoldJustified"/>
        <w:spacing w:line="240" w:lineRule="auto"/>
        <w:rPr>
          <w:rFonts w:cs="Arial"/>
        </w:rPr>
      </w:pPr>
    </w:p>
    <w:p w:rsidR="00867444" w:rsidRDefault="00AA1C22">
      <w:pPr>
        <w:pStyle w:val="ListParagraph"/>
        <w:numPr>
          <w:ilvl w:val="0"/>
          <w:numId w:val="30"/>
        </w:numPr>
        <w:rPr>
          <w:b/>
          <w:sz w:val="20"/>
          <w:szCs w:val="20"/>
        </w:rPr>
      </w:pPr>
      <w:r w:rsidRPr="00AA1C22">
        <w:rPr>
          <w:b/>
          <w:sz w:val="20"/>
          <w:szCs w:val="20"/>
        </w:rPr>
        <w:t>UNDP/GEF M&amp;E requirements</w:t>
      </w:r>
    </w:p>
    <w:p w:rsidR="00DA345B" w:rsidRPr="00DA345B" w:rsidRDefault="00DA345B" w:rsidP="00DA345B">
      <w:pPr>
        <w:jc w:val="both"/>
        <w:rPr>
          <w:sz w:val="20"/>
          <w:szCs w:val="20"/>
        </w:rPr>
      </w:pPr>
    </w:p>
    <w:p w:rsidR="008A17F2" w:rsidRDefault="008A17F2" w:rsidP="00DA345B">
      <w:pPr>
        <w:jc w:val="both"/>
        <w:rPr>
          <w:sz w:val="20"/>
          <w:szCs w:val="20"/>
        </w:rPr>
      </w:pPr>
      <w:r w:rsidRPr="008A17F2">
        <w:rPr>
          <w:sz w:val="20"/>
          <w:szCs w:val="20"/>
        </w:rPr>
        <w:t xml:space="preserve">Project </w:t>
      </w:r>
      <w:r w:rsidR="00A77E63">
        <w:rPr>
          <w:sz w:val="20"/>
          <w:szCs w:val="20"/>
        </w:rPr>
        <w:t>M</w:t>
      </w:r>
      <w:r w:rsidR="00A77E63" w:rsidRPr="008A17F2">
        <w:rPr>
          <w:sz w:val="20"/>
          <w:szCs w:val="20"/>
        </w:rPr>
        <w:t xml:space="preserve">onitoring </w:t>
      </w:r>
      <w:r w:rsidRPr="008A17F2">
        <w:rPr>
          <w:sz w:val="20"/>
          <w:szCs w:val="20"/>
        </w:rPr>
        <w:t xml:space="preserve">and </w:t>
      </w:r>
      <w:r w:rsidR="00A77E63">
        <w:rPr>
          <w:sz w:val="20"/>
          <w:szCs w:val="20"/>
        </w:rPr>
        <w:t>E</w:t>
      </w:r>
      <w:r w:rsidR="00A77E63" w:rsidRPr="008A17F2">
        <w:rPr>
          <w:sz w:val="20"/>
          <w:szCs w:val="20"/>
        </w:rPr>
        <w:t xml:space="preserve">valuation </w:t>
      </w:r>
      <w:r w:rsidRPr="008A17F2">
        <w:rPr>
          <w:sz w:val="20"/>
          <w:szCs w:val="20"/>
        </w:rPr>
        <w:t xml:space="preserve">(M&amp;E) will be conducted in accordance with established UNDP and GEF procedures and will be provided by the 2010 Transport Project management and the UNDP Country Office (UNDP-CO) Pretoria with support from </w:t>
      </w:r>
      <w:r w:rsidR="00554D77">
        <w:rPr>
          <w:sz w:val="20"/>
          <w:szCs w:val="20"/>
        </w:rPr>
        <w:t xml:space="preserve">the </w:t>
      </w:r>
      <w:r w:rsidRPr="008A17F2">
        <w:rPr>
          <w:sz w:val="20"/>
          <w:szCs w:val="20"/>
        </w:rPr>
        <w:t>UNDP/GEF Regional</w:t>
      </w:r>
      <w:r>
        <w:rPr>
          <w:sz w:val="20"/>
          <w:szCs w:val="20"/>
        </w:rPr>
        <w:t xml:space="preserve"> Service Center.</w:t>
      </w:r>
    </w:p>
    <w:p w:rsidR="008A17F2" w:rsidRDefault="008A17F2" w:rsidP="00DA345B">
      <w:pPr>
        <w:jc w:val="both"/>
        <w:rPr>
          <w:sz w:val="20"/>
          <w:szCs w:val="20"/>
        </w:rPr>
      </w:pPr>
    </w:p>
    <w:p w:rsidR="00DA345B" w:rsidRPr="00DA345B" w:rsidRDefault="00AA1C22" w:rsidP="00DA345B">
      <w:pPr>
        <w:jc w:val="both"/>
        <w:rPr>
          <w:sz w:val="20"/>
          <w:szCs w:val="20"/>
        </w:rPr>
      </w:pPr>
      <w:r w:rsidRPr="00AA1C22">
        <w:rPr>
          <w:sz w:val="20"/>
          <w:szCs w:val="20"/>
        </w:rPr>
        <w:t xml:space="preserve">The Monitoring and Evaluation (M&amp;E) policy at the project level in UNDP/GEF has four objectives: </w:t>
      </w:r>
    </w:p>
    <w:p w:rsidR="00DA345B" w:rsidRPr="00DA345B" w:rsidRDefault="00AA1C22" w:rsidP="00DA345B">
      <w:pPr>
        <w:numPr>
          <w:ilvl w:val="0"/>
          <w:numId w:val="35"/>
        </w:numPr>
        <w:jc w:val="both"/>
        <w:rPr>
          <w:sz w:val="20"/>
          <w:szCs w:val="20"/>
        </w:rPr>
      </w:pPr>
      <w:r w:rsidRPr="00AA1C22">
        <w:rPr>
          <w:sz w:val="20"/>
          <w:szCs w:val="20"/>
        </w:rPr>
        <w:t xml:space="preserve">to monitor and evaluate results and impacts; </w:t>
      </w:r>
    </w:p>
    <w:p w:rsidR="00DA345B" w:rsidRPr="00DA345B" w:rsidRDefault="00AA1C22" w:rsidP="00DA345B">
      <w:pPr>
        <w:numPr>
          <w:ilvl w:val="0"/>
          <w:numId w:val="35"/>
        </w:numPr>
        <w:jc w:val="both"/>
        <w:rPr>
          <w:sz w:val="20"/>
          <w:szCs w:val="20"/>
        </w:rPr>
      </w:pPr>
      <w:r w:rsidRPr="00AA1C22">
        <w:rPr>
          <w:sz w:val="20"/>
          <w:szCs w:val="20"/>
        </w:rPr>
        <w:lastRenderedPageBreak/>
        <w:t xml:space="preserve">to provide a basis for decision making on necessary amendments and improvements; </w:t>
      </w:r>
    </w:p>
    <w:p w:rsidR="00DA345B" w:rsidRPr="00DA345B" w:rsidRDefault="00AA1C22" w:rsidP="00DA345B">
      <w:pPr>
        <w:numPr>
          <w:ilvl w:val="0"/>
          <w:numId w:val="35"/>
        </w:numPr>
        <w:jc w:val="both"/>
        <w:rPr>
          <w:sz w:val="20"/>
          <w:szCs w:val="20"/>
        </w:rPr>
      </w:pPr>
      <w:r w:rsidRPr="00AA1C22">
        <w:rPr>
          <w:sz w:val="20"/>
          <w:szCs w:val="20"/>
        </w:rPr>
        <w:t xml:space="preserve">to promote accountability for resource use; and </w:t>
      </w:r>
    </w:p>
    <w:p w:rsidR="00DA345B" w:rsidRPr="00DA345B" w:rsidRDefault="00AA1C22" w:rsidP="00DA345B">
      <w:pPr>
        <w:numPr>
          <w:ilvl w:val="0"/>
          <w:numId w:val="35"/>
        </w:numPr>
        <w:jc w:val="both"/>
        <w:rPr>
          <w:sz w:val="20"/>
          <w:szCs w:val="20"/>
        </w:rPr>
      </w:pPr>
      <w:r w:rsidRPr="00AA1C22">
        <w:rPr>
          <w:sz w:val="20"/>
          <w:szCs w:val="20"/>
        </w:rPr>
        <w:t xml:space="preserve">to document, provide feedback on, and disseminate lessons learned. </w:t>
      </w:r>
    </w:p>
    <w:p w:rsidR="00DA345B" w:rsidRPr="00DA345B" w:rsidRDefault="00DA345B" w:rsidP="00DA345B">
      <w:pPr>
        <w:jc w:val="both"/>
        <w:rPr>
          <w:sz w:val="20"/>
          <w:szCs w:val="20"/>
        </w:rPr>
      </w:pPr>
    </w:p>
    <w:p w:rsidR="00DA345B" w:rsidRPr="00DA345B" w:rsidRDefault="00AA1C22" w:rsidP="00DA345B">
      <w:pPr>
        <w:jc w:val="both"/>
        <w:rPr>
          <w:sz w:val="20"/>
          <w:szCs w:val="20"/>
        </w:rPr>
      </w:pPr>
      <w:r w:rsidRPr="00AA1C22">
        <w:rPr>
          <w:sz w:val="20"/>
          <w:szCs w:val="20"/>
        </w:rPr>
        <w:t xml:space="preserve">A mix of tools is used to ensure effective project M&amp;E. The </w:t>
      </w:r>
      <w:r>
        <w:rPr>
          <w:sz w:val="20"/>
          <w:szCs w:val="20"/>
        </w:rPr>
        <w:t xml:space="preserve">project </w:t>
      </w:r>
      <w:r w:rsidRPr="00AA1C22">
        <w:rPr>
          <w:sz w:val="20"/>
          <w:szCs w:val="20"/>
        </w:rPr>
        <w:t>utilize</w:t>
      </w:r>
      <w:r w:rsidR="008A17F2">
        <w:rPr>
          <w:sz w:val="20"/>
          <w:szCs w:val="20"/>
        </w:rPr>
        <w:t>s</w:t>
      </w:r>
      <w:r w:rsidRPr="00AA1C22">
        <w:rPr>
          <w:sz w:val="20"/>
          <w:szCs w:val="20"/>
        </w:rPr>
        <w:t xml:space="preserve"> a mix of tools including periodic monitoring of indicators as well as specific time-bound exercises such as mid-term and final evaluations and audit reports.  In particular, the mid-term and final evaluations provide an independent in-depth </w:t>
      </w:r>
      <w:r w:rsidR="005D2685">
        <w:rPr>
          <w:sz w:val="20"/>
          <w:szCs w:val="20"/>
        </w:rPr>
        <w:t>evaluation</w:t>
      </w:r>
      <w:r w:rsidRPr="00AA1C22">
        <w:rPr>
          <w:sz w:val="20"/>
          <w:szCs w:val="20"/>
        </w:rPr>
        <w:t xml:space="preserve"> of implementation progress, this type of evaluation is also responsive to GEF Council decisions on transparency and better access of information during implementation.</w:t>
      </w:r>
      <w:r w:rsidR="008A17F2">
        <w:rPr>
          <w:sz w:val="20"/>
          <w:szCs w:val="20"/>
        </w:rPr>
        <w:t xml:space="preserve"> </w:t>
      </w:r>
      <w:r w:rsidRPr="00AA1C22">
        <w:rPr>
          <w:sz w:val="20"/>
          <w:szCs w:val="20"/>
        </w:rPr>
        <w:t xml:space="preserve">Mid-term evaluations are intended to identify potential project design problems, assess progress towards the achievement of objectives, identify and document lessons learned (including lessons that might improve design and implementation of other UNDP/GEF projects), and make recommendations regarding specific actions that might be taken to improve the project.  </w:t>
      </w:r>
    </w:p>
    <w:p w:rsidR="00DA345B" w:rsidRDefault="00DA345B" w:rsidP="006B599D">
      <w:pPr>
        <w:pStyle w:val="StyleBodyText10ptNotBoldJustified"/>
        <w:spacing w:line="240" w:lineRule="auto"/>
        <w:rPr>
          <w:rFonts w:cs="Arial"/>
        </w:rPr>
      </w:pPr>
    </w:p>
    <w:p w:rsidR="00F40991" w:rsidRPr="003B6AA9" w:rsidRDefault="00F40991" w:rsidP="006B599D">
      <w:pPr>
        <w:pStyle w:val="StyleBodyText10ptNotBoldJustified"/>
        <w:spacing w:line="240" w:lineRule="auto"/>
        <w:rPr>
          <w:rFonts w:cs="Arial"/>
        </w:rPr>
      </w:pPr>
      <w:r w:rsidRPr="003B6AA9">
        <w:rPr>
          <w:rFonts w:cs="Arial"/>
        </w:rPr>
        <w:t xml:space="preserve">The Logical Framework Matrix in Section </w:t>
      </w:r>
      <w:r w:rsidR="003B6AA9" w:rsidRPr="003B6AA9">
        <w:rPr>
          <w:rFonts w:cs="Arial"/>
        </w:rPr>
        <w:t xml:space="preserve">B </w:t>
      </w:r>
      <w:r w:rsidRPr="003B6AA9">
        <w:rPr>
          <w:rFonts w:cs="Arial"/>
        </w:rPr>
        <w:t xml:space="preserve">of the Project Document provides impact indicators for project implementation along with their corresponding means of verification. These will form the basis on which the project's M&amp;E system will be built. Detailed M&amp;E policy can be found in the Project Document. </w:t>
      </w:r>
    </w:p>
    <w:p w:rsidR="00F40991" w:rsidRPr="003B6AA9" w:rsidRDefault="00F40991" w:rsidP="006B599D">
      <w:pPr>
        <w:pStyle w:val="StyleBodyText10ptNotBoldJustified"/>
        <w:spacing w:line="240" w:lineRule="auto"/>
        <w:rPr>
          <w:rFonts w:cs="Arial"/>
        </w:rPr>
      </w:pPr>
    </w:p>
    <w:p w:rsidR="00102F5E" w:rsidRPr="003B6AA9" w:rsidRDefault="00102F5E" w:rsidP="006B599D">
      <w:pPr>
        <w:pStyle w:val="StyleBodyText10ptNotBoldJustified"/>
        <w:spacing w:line="240" w:lineRule="auto"/>
        <w:rPr>
          <w:rFonts w:cs="Arial"/>
        </w:rPr>
      </w:pPr>
      <w:r w:rsidRPr="003B6AA9">
        <w:rPr>
          <w:rFonts w:cs="Arial"/>
        </w:rPr>
        <w:t>The Programme Management Unit is responsible for day-to-day monitoring activities. The Programme Manager is responsible for the preparation of reports for the Steering Committee and UNDP on a regular basis, including the following: (i) Inception Report; (ii) Annual Project Report; (i</w:t>
      </w:r>
      <w:r w:rsidR="008F5501">
        <w:rPr>
          <w:rFonts w:cs="Arial"/>
        </w:rPr>
        <w:t>ii</w:t>
      </w:r>
      <w:r w:rsidRPr="003B6AA9">
        <w:rPr>
          <w:rFonts w:cs="Arial"/>
        </w:rPr>
        <w:t>) Quarterly Progress Reports; and (</w:t>
      </w:r>
      <w:r w:rsidR="008F5501">
        <w:rPr>
          <w:rFonts w:cs="Arial"/>
        </w:rPr>
        <w:t>i</w:t>
      </w:r>
      <w:r w:rsidRPr="003B6AA9">
        <w:rPr>
          <w:rFonts w:cs="Arial"/>
        </w:rPr>
        <w:t xml:space="preserve">v) Programme Terminal Report. The Annual Programme Report is undertaken annually, and entails a more detailed assessment of progress in implementation, using the set indicators. The report also evaluates the causes of successes and failures, and presents a clear action plan for addressing problem areas for immediate implementation. </w:t>
      </w:r>
    </w:p>
    <w:p w:rsidR="00102F5E" w:rsidRPr="003B6AA9" w:rsidRDefault="00102F5E" w:rsidP="006B599D">
      <w:pPr>
        <w:pStyle w:val="StyleBodyText10ptNotBoldJustified"/>
        <w:spacing w:line="240" w:lineRule="auto"/>
        <w:rPr>
          <w:rFonts w:cs="Arial"/>
        </w:rPr>
      </w:pPr>
    </w:p>
    <w:p w:rsidR="00102F5E" w:rsidRPr="003B6AA9" w:rsidRDefault="00102F5E" w:rsidP="006B599D">
      <w:pPr>
        <w:pStyle w:val="StyleBodyText10ptNotBoldJustified"/>
        <w:spacing w:line="240" w:lineRule="auto"/>
        <w:rPr>
          <w:rFonts w:cs="Arial"/>
        </w:rPr>
      </w:pPr>
      <w:r w:rsidRPr="003B6AA9">
        <w:rPr>
          <w:rFonts w:cs="Arial"/>
        </w:rPr>
        <w:t xml:space="preserve">The M&amp;E plan in the Project Document also stipulates that the Mid-term </w:t>
      </w:r>
      <w:r w:rsidR="000561AA" w:rsidRPr="003B6AA9">
        <w:rPr>
          <w:rFonts w:cs="Arial"/>
        </w:rPr>
        <w:t xml:space="preserve">Evaluation </w:t>
      </w:r>
      <w:r w:rsidRPr="003B6AA9">
        <w:rPr>
          <w:rFonts w:cs="Arial"/>
        </w:rPr>
        <w:t xml:space="preserve">will be undertaken </w:t>
      </w:r>
      <w:r w:rsidR="003B6AA9" w:rsidRPr="003B6AA9">
        <w:rPr>
          <w:rFonts w:cs="Arial"/>
        </w:rPr>
        <w:t>before the end of Phase I of the project</w:t>
      </w:r>
      <w:r w:rsidRPr="003B6AA9">
        <w:rPr>
          <w:rFonts w:cs="Arial"/>
        </w:rPr>
        <w:t xml:space="preserve">. The </w:t>
      </w:r>
      <w:r w:rsidR="000561AA" w:rsidRPr="003B6AA9">
        <w:rPr>
          <w:rFonts w:cs="Arial"/>
        </w:rPr>
        <w:t xml:space="preserve">evaluation </w:t>
      </w:r>
      <w:r w:rsidRPr="003B6AA9">
        <w:rPr>
          <w:rFonts w:cs="Arial"/>
        </w:rPr>
        <w:t xml:space="preserve">will determine progress being made towards the achievement of outcomes and will identify course correction if needed. In addition to providing an independent in-depth </w:t>
      </w:r>
      <w:r w:rsidR="005D2685">
        <w:rPr>
          <w:rFonts w:cs="Arial"/>
        </w:rPr>
        <w:t>evaluation</w:t>
      </w:r>
      <w:r w:rsidR="005D2685" w:rsidRPr="003B6AA9">
        <w:rPr>
          <w:rFonts w:cs="Arial"/>
        </w:rPr>
        <w:t xml:space="preserve"> </w:t>
      </w:r>
      <w:r w:rsidRPr="003B6AA9">
        <w:rPr>
          <w:rFonts w:cs="Arial"/>
        </w:rPr>
        <w:t>of implementation progress,</w:t>
      </w:r>
      <w:r w:rsidR="000561AA" w:rsidRPr="003B6AA9">
        <w:rPr>
          <w:rFonts w:cs="Arial"/>
        </w:rPr>
        <w:t xml:space="preserve"> the evaluation</w:t>
      </w:r>
      <w:r w:rsidRPr="003B6AA9">
        <w:rPr>
          <w:rFonts w:cs="Arial"/>
        </w:rPr>
        <w:t xml:space="preserve"> which is the subject of the present TORs, responds to both UNDP-GEF’s requirements for Mid-Term </w:t>
      </w:r>
      <w:r w:rsidR="005D2685">
        <w:rPr>
          <w:rFonts w:cs="Arial"/>
        </w:rPr>
        <w:t>Evaluation</w:t>
      </w:r>
      <w:r w:rsidRPr="003B6AA9">
        <w:rPr>
          <w:rFonts w:cs="Arial"/>
        </w:rPr>
        <w:t>, as well as GEF Council decisions on transparency and better access of information during implementation.</w:t>
      </w:r>
    </w:p>
    <w:p w:rsidR="00102F5E" w:rsidRPr="003B6AA9" w:rsidRDefault="00102F5E" w:rsidP="006B599D">
      <w:pPr>
        <w:pStyle w:val="StyleBodyText10ptNotBoldJustified"/>
        <w:spacing w:line="240" w:lineRule="auto"/>
        <w:rPr>
          <w:rFonts w:cs="Arial"/>
        </w:rPr>
      </w:pPr>
    </w:p>
    <w:p w:rsidR="005747BD" w:rsidRPr="003B6AA9" w:rsidRDefault="00102F5E" w:rsidP="006B599D">
      <w:pPr>
        <w:pStyle w:val="StyleBodyText10ptNotBoldJustified"/>
        <w:spacing w:line="240" w:lineRule="auto"/>
        <w:rPr>
          <w:rFonts w:cs="Arial"/>
        </w:rPr>
      </w:pPr>
      <w:r w:rsidRPr="003B6AA9">
        <w:rPr>
          <w:rFonts w:cs="Arial"/>
        </w:rPr>
        <w:t xml:space="preserve">A Mid-Term </w:t>
      </w:r>
      <w:r w:rsidR="005D2685">
        <w:rPr>
          <w:rFonts w:cs="Arial"/>
        </w:rPr>
        <w:t>Evaluation</w:t>
      </w:r>
      <w:r w:rsidR="005D2685" w:rsidRPr="003B6AA9">
        <w:rPr>
          <w:rFonts w:cs="Arial"/>
        </w:rPr>
        <w:t xml:space="preserve"> </w:t>
      </w:r>
      <w:r w:rsidRPr="003B6AA9">
        <w:rPr>
          <w:rFonts w:cs="Arial"/>
        </w:rPr>
        <w:t xml:space="preserve">of the </w:t>
      </w:r>
      <w:r w:rsidR="004A19D3" w:rsidRPr="003B6AA9">
        <w:rPr>
          <w:rFonts w:cs="Arial"/>
        </w:rPr>
        <w:t>2010 Transport Project</w:t>
      </w:r>
      <w:r w:rsidR="000561AA" w:rsidRPr="003B6AA9">
        <w:rPr>
          <w:rFonts w:cs="Arial"/>
        </w:rPr>
        <w:t xml:space="preserve"> </w:t>
      </w:r>
      <w:r w:rsidRPr="003B6AA9">
        <w:rPr>
          <w:rFonts w:cs="Arial"/>
        </w:rPr>
        <w:t xml:space="preserve">will be undertaken jointly by </w:t>
      </w:r>
      <w:r w:rsidR="000561AA" w:rsidRPr="003B6AA9">
        <w:rPr>
          <w:rFonts w:cs="Arial"/>
        </w:rPr>
        <w:t xml:space="preserve">the </w:t>
      </w:r>
      <w:r w:rsidRPr="003B6AA9">
        <w:rPr>
          <w:rFonts w:cs="Arial"/>
        </w:rPr>
        <w:t>UNDP</w:t>
      </w:r>
      <w:r w:rsidR="000561AA" w:rsidRPr="003B6AA9">
        <w:rPr>
          <w:rFonts w:cs="Arial"/>
        </w:rPr>
        <w:t>-GEF during dates October</w:t>
      </w:r>
      <w:r w:rsidR="00394A93" w:rsidRPr="003B6AA9">
        <w:rPr>
          <w:rFonts w:cs="Arial"/>
        </w:rPr>
        <w:t>-November</w:t>
      </w:r>
      <w:r w:rsidR="000561AA" w:rsidRPr="003B6AA9">
        <w:rPr>
          <w:rFonts w:cs="Arial"/>
        </w:rPr>
        <w:t xml:space="preserve"> 2010 </w:t>
      </w:r>
      <w:r w:rsidRPr="003B6AA9">
        <w:rPr>
          <w:rFonts w:cs="Arial"/>
        </w:rPr>
        <w:t>and will use the results of the independent Mid-Term Evaluation.</w:t>
      </w:r>
    </w:p>
    <w:p w:rsidR="005747BD" w:rsidRPr="003B6AA9" w:rsidRDefault="005747BD" w:rsidP="006B599D">
      <w:pPr>
        <w:pStyle w:val="StyleBodyText10ptNotBoldJustified"/>
        <w:spacing w:line="240" w:lineRule="auto"/>
        <w:rPr>
          <w:rFonts w:cs="Arial"/>
        </w:rPr>
      </w:pPr>
    </w:p>
    <w:p w:rsidR="00456CA0" w:rsidRDefault="007D30F0" w:rsidP="006B599D">
      <w:pPr>
        <w:pStyle w:val="Heading1"/>
        <w:numPr>
          <w:ilvl w:val="0"/>
          <w:numId w:val="30"/>
        </w:numPr>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518.4pt;margin-top:-18.95pt;width:122.4pt;height:64.8pt;z-index:251660288" o:allowincell="f" stroked="f">
            <v:textbox style="mso-next-textbox:#_x0000_s1026">
              <w:txbxContent>
                <w:p w:rsidR="00867444" w:rsidRDefault="00867444" w:rsidP="00102F5E">
                  <w:pPr>
                    <w:rPr>
                      <w:color w:val="008000"/>
                      <w:sz w:val="18"/>
                    </w:rPr>
                  </w:pPr>
                </w:p>
              </w:txbxContent>
            </v:textbox>
          </v:shape>
        </w:pict>
      </w:r>
      <w:r>
        <w:rPr>
          <w:sz w:val="20"/>
          <w:szCs w:val="20"/>
        </w:rPr>
        <w:pict>
          <v:shape id="_x0000_s1027" type="#_x0000_t202" style="position:absolute;left:0;text-align:left;margin-left:518.4pt;margin-top:-18.95pt;width:122.4pt;height:64.8pt;z-index:251662336" o:allowincell="f" stroked="f">
            <v:textbox style="mso-next-textbox:#_x0000_s1027">
              <w:txbxContent>
                <w:p w:rsidR="00867444" w:rsidRDefault="00867444" w:rsidP="00102F5E">
                  <w:pPr>
                    <w:rPr>
                      <w:color w:val="008000"/>
                      <w:sz w:val="18"/>
                    </w:rPr>
                  </w:pPr>
                </w:p>
              </w:txbxContent>
            </v:textbox>
          </v:shape>
        </w:pict>
      </w:r>
      <w:r w:rsidR="00456CA0" w:rsidRPr="003B6AA9">
        <w:rPr>
          <w:sz w:val="20"/>
          <w:szCs w:val="20"/>
        </w:rPr>
        <w:t>Objective</w:t>
      </w:r>
      <w:r w:rsidR="005747BD" w:rsidRPr="003B6AA9">
        <w:rPr>
          <w:sz w:val="20"/>
          <w:szCs w:val="20"/>
        </w:rPr>
        <w:t>s</w:t>
      </w:r>
      <w:r w:rsidR="00456CA0" w:rsidRPr="003B6AA9">
        <w:rPr>
          <w:sz w:val="20"/>
          <w:szCs w:val="20"/>
        </w:rPr>
        <w:t xml:space="preserve"> of the Mid-Term Evaluation (MTE)</w:t>
      </w:r>
    </w:p>
    <w:p w:rsidR="00867444" w:rsidRDefault="00867444"/>
    <w:p w:rsidR="00456CA0" w:rsidRPr="003B6AA9" w:rsidRDefault="00456CA0" w:rsidP="006B599D">
      <w:pPr>
        <w:pStyle w:val="BodyText"/>
        <w:jc w:val="both"/>
        <w:rPr>
          <w:sz w:val="20"/>
          <w:szCs w:val="20"/>
        </w:rPr>
      </w:pPr>
      <w:r w:rsidRPr="003B6AA9">
        <w:rPr>
          <w:sz w:val="20"/>
          <w:szCs w:val="20"/>
        </w:rPr>
        <w:t xml:space="preserve">The MTE is initiated by the executing </w:t>
      </w:r>
      <w:r w:rsidR="00394A93" w:rsidRPr="003B6AA9">
        <w:rPr>
          <w:sz w:val="20"/>
          <w:szCs w:val="20"/>
        </w:rPr>
        <w:t xml:space="preserve">agency </w:t>
      </w:r>
      <w:r w:rsidR="003B6AA9" w:rsidRPr="003B6AA9">
        <w:rPr>
          <w:sz w:val="20"/>
          <w:szCs w:val="20"/>
        </w:rPr>
        <w:t xml:space="preserve">(Department of Transport) </w:t>
      </w:r>
      <w:r w:rsidRPr="003B6AA9">
        <w:rPr>
          <w:sz w:val="20"/>
          <w:szCs w:val="20"/>
        </w:rPr>
        <w:t xml:space="preserve">of the </w:t>
      </w:r>
      <w:r w:rsidR="00E4429E" w:rsidRPr="003B6AA9">
        <w:rPr>
          <w:sz w:val="20"/>
          <w:szCs w:val="20"/>
        </w:rPr>
        <w:t>Sustainable Public Transport and Sport Project</w:t>
      </w:r>
      <w:r w:rsidR="004B737C">
        <w:rPr>
          <w:sz w:val="20"/>
          <w:szCs w:val="20"/>
        </w:rPr>
        <w:t xml:space="preserve"> and the</w:t>
      </w:r>
      <w:r w:rsidR="00394A93" w:rsidRPr="003B6AA9">
        <w:rPr>
          <w:sz w:val="20"/>
          <w:szCs w:val="20"/>
        </w:rPr>
        <w:t xml:space="preserve"> </w:t>
      </w:r>
      <w:r w:rsidR="00867444">
        <w:rPr>
          <w:sz w:val="20"/>
          <w:szCs w:val="20"/>
        </w:rPr>
        <w:t>UNDP Country Office (UNDP CO</w:t>
      </w:r>
      <w:r w:rsidR="004B737C">
        <w:rPr>
          <w:sz w:val="20"/>
          <w:szCs w:val="20"/>
        </w:rPr>
        <w:t>)</w:t>
      </w:r>
      <w:r w:rsidRPr="003B6AA9">
        <w:rPr>
          <w:sz w:val="20"/>
          <w:szCs w:val="20"/>
        </w:rPr>
        <w:t xml:space="preserve">. The MTE will need to be completed in time to inform the </w:t>
      </w:r>
      <w:r w:rsidR="00394A93" w:rsidRPr="003B6AA9">
        <w:rPr>
          <w:sz w:val="20"/>
          <w:szCs w:val="20"/>
        </w:rPr>
        <w:t xml:space="preserve">October-November </w:t>
      </w:r>
      <w:r w:rsidR="000561AA" w:rsidRPr="003B6AA9">
        <w:rPr>
          <w:sz w:val="20"/>
          <w:szCs w:val="20"/>
        </w:rPr>
        <w:t xml:space="preserve">2010 </w:t>
      </w:r>
      <w:r w:rsidRPr="003B6AA9">
        <w:rPr>
          <w:sz w:val="20"/>
          <w:szCs w:val="20"/>
        </w:rPr>
        <w:t xml:space="preserve">Mid-term </w:t>
      </w:r>
      <w:r w:rsidR="005D2685">
        <w:rPr>
          <w:sz w:val="20"/>
          <w:szCs w:val="20"/>
        </w:rPr>
        <w:t>Evaluation</w:t>
      </w:r>
      <w:r w:rsidR="00867444">
        <w:rPr>
          <w:sz w:val="20"/>
          <w:szCs w:val="20"/>
        </w:rPr>
        <w:t xml:space="preserve"> </w:t>
      </w:r>
      <w:r w:rsidRPr="003B6AA9">
        <w:rPr>
          <w:sz w:val="20"/>
          <w:szCs w:val="20"/>
        </w:rPr>
        <w:t xml:space="preserve">of the project.  </w:t>
      </w:r>
    </w:p>
    <w:p w:rsidR="005747BD" w:rsidRPr="003B6AA9" w:rsidRDefault="005747BD" w:rsidP="006B599D">
      <w:pPr>
        <w:pStyle w:val="BodyText"/>
        <w:jc w:val="both"/>
        <w:rPr>
          <w:color w:val="0000FF"/>
          <w:sz w:val="20"/>
          <w:szCs w:val="20"/>
        </w:rPr>
      </w:pPr>
    </w:p>
    <w:p w:rsidR="00456CA0" w:rsidRPr="003B6AA9" w:rsidRDefault="00456CA0" w:rsidP="006B599D">
      <w:pPr>
        <w:jc w:val="both"/>
        <w:rPr>
          <w:sz w:val="20"/>
          <w:szCs w:val="20"/>
        </w:rPr>
      </w:pPr>
      <w:r w:rsidRPr="003B6AA9">
        <w:rPr>
          <w:sz w:val="20"/>
          <w:szCs w:val="20"/>
          <w:lang w:val="en-GB"/>
        </w:rPr>
        <w:t xml:space="preserve">The overall objective of the evaluation is to </w:t>
      </w:r>
      <w:r w:rsidR="005D2685">
        <w:rPr>
          <w:sz w:val="20"/>
          <w:szCs w:val="20"/>
          <w:lang w:val="en-GB"/>
        </w:rPr>
        <w:t>evaluate</w:t>
      </w:r>
      <w:r w:rsidR="005D2685" w:rsidRPr="003B6AA9">
        <w:rPr>
          <w:sz w:val="20"/>
          <w:szCs w:val="20"/>
          <w:lang w:val="en-GB"/>
        </w:rPr>
        <w:t xml:space="preserve"> </w:t>
      </w:r>
      <w:r w:rsidRPr="003B6AA9">
        <w:rPr>
          <w:sz w:val="20"/>
          <w:szCs w:val="20"/>
          <w:lang w:val="en-GB"/>
        </w:rPr>
        <w:t xml:space="preserve">progress towards the projects objectives and outputs, identify strengths and weaknesses in implementation, validate initial project assumptions and look at critical changes since project design, assess the likelihood of the project achieving its objectives and delivering its intended outputs, and provide recommendations on modifications to be introduced </w:t>
      </w:r>
      <w:r w:rsidR="00554D77">
        <w:rPr>
          <w:sz w:val="20"/>
          <w:szCs w:val="20"/>
          <w:lang w:val="en-GB"/>
        </w:rPr>
        <w:t>after the</w:t>
      </w:r>
      <w:r w:rsidR="000561AA" w:rsidRPr="003B6AA9">
        <w:rPr>
          <w:sz w:val="20"/>
          <w:szCs w:val="20"/>
          <w:lang w:val="en-GB"/>
        </w:rPr>
        <w:t xml:space="preserve"> </w:t>
      </w:r>
      <w:r w:rsidRPr="003B6AA9">
        <w:rPr>
          <w:sz w:val="20"/>
          <w:szCs w:val="20"/>
          <w:lang w:val="en-GB"/>
        </w:rPr>
        <w:t xml:space="preserve">Mid-Term </w:t>
      </w:r>
      <w:r w:rsidR="005D2685">
        <w:rPr>
          <w:sz w:val="20"/>
          <w:szCs w:val="20"/>
          <w:lang w:val="en-GB"/>
        </w:rPr>
        <w:t>Evaluation</w:t>
      </w:r>
      <w:r w:rsidR="005D2685" w:rsidRPr="003B6AA9">
        <w:rPr>
          <w:sz w:val="20"/>
          <w:szCs w:val="20"/>
          <w:lang w:val="en-GB"/>
        </w:rPr>
        <w:t xml:space="preserve"> </w:t>
      </w:r>
      <w:r w:rsidRPr="003B6AA9">
        <w:rPr>
          <w:sz w:val="20"/>
          <w:szCs w:val="20"/>
          <w:lang w:val="en-GB"/>
        </w:rPr>
        <w:t xml:space="preserve">(including project restructuring and funding allocation, governance structure, coordination and management, </w:t>
      </w:r>
      <w:r w:rsidRPr="008F5501">
        <w:rPr>
          <w:i/>
          <w:sz w:val="20"/>
          <w:szCs w:val="20"/>
          <w:lang w:val="en-GB"/>
        </w:rPr>
        <w:t>etc</w:t>
      </w:r>
      <w:r w:rsidRPr="003B6AA9">
        <w:rPr>
          <w:sz w:val="20"/>
          <w:szCs w:val="20"/>
          <w:lang w:val="en-GB"/>
        </w:rPr>
        <w:t>.) to increase the likelihood of success.</w:t>
      </w:r>
    </w:p>
    <w:p w:rsidR="00456CA0" w:rsidRPr="003B6AA9" w:rsidRDefault="00456CA0" w:rsidP="006B599D">
      <w:pPr>
        <w:jc w:val="both"/>
        <w:rPr>
          <w:sz w:val="20"/>
          <w:szCs w:val="20"/>
        </w:rPr>
      </w:pPr>
    </w:p>
    <w:p w:rsidR="00456CA0" w:rsidRPr="003B6AA9" w:rsidRDefault="00456CA0" w:rsidP="006B599D">
      <w:pPr>
        <w:jc w:val="both"/>
        <w:rPr>
          <w:sz w:val="20"/>
          <w:szCs w:val="20"/>
        </w:rPr>
      </w:pPr>
      <w:r w:rsidRPr="003B6AA9">
        <w:rPr>
          <w:sz w:val="20"/>
          <w:szCs w:val="20"/>
        </w:rPr>
        <w:t xml:space="preserve">The primary stakeholders in the MTE are the program’s executing </w:t>
      </w:r>
      <w:r w:rsidR="00D1462F" w:rsidRPr="003B6AA9">
        <w:rPr>
          <w:sz w:val="20"/>
          <w:szCs w:val="20"/>
        </w:rPr>
        <w:t xml:space="preserve">agencies, the members of the </w:t>
      </w:r>
      <w:r w:rsidR="003B6AA9" w:rsidRPr="003B6AA9">
        <w:rPr>
          <w:sz w:val="20"/>
          <w:szCs w:val="20"/>
        </w:rPr>
        <w:t>Steering Committee</w:t>
      </w:r>
      <w:r w:rsidRPr="003B6AA9">
        <w:rPr>
          <w:sz w:val="20"/>
          <w:szCs w:val="20"/>
        </w:rPr>
        <w:t>, the various project teams and task teams who are managing project components and activities, their steering</w:t>
      </w:r>
      <w:r w:rsidR="005747BD" w:rsidRPr="003B6AA9">
        <w:rPr>
          <w:sz w:val="20"/>
          <w:szCs w:val="20"/>
        </w:rPr>
        <w:t xml:space="preserve"> committees and stakeholders, </w:t>
      </w:r>
      <w:r w:rsidRPr="003B6AA9">
        <w:rPr>
          <w:sz w:val="20"/>
          <w:szCs w:val="20"/>
        </w:rPr>
        <w:t>the UNDP and the GEF.  The process and its outcome will also be of interest to other national and international partners.</w:t>
      </w:r>
    </w:p>
    <w:p w:rsidR="00456CA0" w:rsidRDefault="00456CA0" w:rsidP="006B599D">
      <w:pPr>
        <w:jc w:val="both"/>
        <w:rPr>
          <w:sz w:val="20"/>
          <w:szCs w:val="20"/>
        </w:rPr>
      </w:pPr>
      <w:r w:rsidRPr="003B6AA9">
        <w:rPr>
          <w:sz w:val="20"/>
          <w:szCs w:val="20"/>
        </w:rPr>
        <w:t>.</w:t>
      </w:r>
    </w:p>
    <w:p w:rsidR="00A77E63" w:rsidRPr="003B6AA9" w:rsidRDefault="00A77E63" w:rsidP="006B599D">
      <w:pPr>
        <w:jc w:val="both"/>
        <w:rPr>
          <w:sz w:val="20"/>
          <w:szCs w:val="20"/>
        </w:rPr>
      </w:pPr>
    </w:p>
    <w:p w:rsidR="00456CA0" w:rsidRPr="003B6AA9" w:rsidRDefault="00456CA0" w:rsidP="006B599D">
      <w:pPr>
        <w:pStyle w:val="Heading1"/>
        <w:numPr>
          <w:ilvl w:val="0"/>
          <w:numId w:val="30"/>
        </w:numPr>
        <w:rPr>
          <w:sz w:val="20"/>
          <w:szCs w:val="20"/>
        </w:rPr>
      </w:pPr>
      <w:r w:rsidRPr="003B6AA9">
        <w:rPr>
          <w:sz w:val="20"/>
          <w:szCs w:val="20"/>
        </w:rPr>
        <w:lastRenderedPageBreak/>
        <w:t>Products Expected from the Evaluation</w:t>
      </w:r>
    </w:p>
    <w:p w:rsidR="008A17F2" w:rsidRDefault="008A17F2" w:rsidP="006B599D">
      <w:pPr>
        <w:jc w:val="both"/>
        <w:rPr>
          <w:sz w:val="20"/>
          <w:szCs w:val="20"/>
        </w:rPr>
      </w:pPr>
    </w:p>
    <w:p w:rsidR="00456CA0" w:rsidRPr="003B6AA9" w:rsidRDefault="00456CA0" w:rsidP="006B599D">
      <w:pPr>
        <w:jc w:val="both"/>
        <w:rPr>
          <w:sz w:val="20"/>
          <w:szCs w:val="20"/>
        </w:rPr>
      </w:pPr>
      <w:r w:rsidRPr="003B6AA9">
        <w:rPr>
          <w:sz w:val="20"/>
          <w:szCs w:val="20"/>
        </w:rPr>
        <w:t xml:space="preserve">The MTE evaluator will be expected to produce: </w:t>
      </w:r>
    </w:p>
    <w:p w:rsidR="00456CA0" w:rsidRPr="003B6AA9" w:rsidRDefault="00456CA0" w:rsidP="006B599D">
      <w:pPr>
        <w:pStyle w:val="BodyText3"/>
        <w:jc w:val="both"/>
        <w:rPr>
          <w:rFonts w:ascii="Arial" w:hAnsi="Arial" w:cs="Arial"/>
          <w:szCs w:val="20"/>
        </w:rPr>
      </w:pPr>
    </w:p>
    <w:p w:rsidR="00456CA0" w:rsidRPr="003B6AA9" w:rsidRDefault="00456CA0" w:rsidP="006B599D">
      <w:pPr>
        <w:pStyle w:val="BodyText3"/>
        <w:jc w:val="both"/>
        <w:rPr>
          <w:rFonts w:ascii="Arial" w:hAnsi="Arial" w:cs="Arial"/>
          <w:szCs w:val="20"/>
        </w:rPr>
      </w:pPr>
      <w:r w:rsidRPr="003B6AA9">
        <w:rPr>
          <w:rFonts w:ascii="Arial" w:hAnsi="Arial" w:cs="Arial"/>
          <w:b/>
          <w:szCs w:val="20"/>
        </w:rPr>
        <w:t xml:space="preserve">A) </w:t>
      </w:r>
      <w:r w:rsidRPr="003B6AA9">
        <w:rPr>
          <w:rFonts w:ascii="Arial" w:hAnsi="Arial" w:cs="Arial"/>
          <w:b/>
          <w:szCs w:val="20"/>
          <w:u w:val="single"/>
        </w:rPr>
        <w:t>An evaluation report</w:t>
      </w:r>
      <w:r w:rsidRPr="003B6AA9">
        <w:rPr>
          <w:rFonts w:ascii="Arial" w:hAnsi="Arial" w:cs="Arial"/>
          <w:szCs w:val="20"/>
        </w:rPr>
        <w:t xml:space="preserve">, of approximately 40-50 pages, </w:t>
      </w:r>
      <w:r w:rsidR="00757951" w:rsidRPr="003B6AA9">
        <w:rPr>
          <w:rFonts w:ascii="Arial" w:hAnsi="Arial" w:cs="Arial"/>
          <w:szCs w:val="20"/>
        </w:rPr>
        <w:t>as outlined in the section vii.</w:t>
      </w:r>
    </w:p>
    <w:p w:rsidR="00456CA0" w:rsidRPr="003B6AA9" w:rsidRDefault="00456CA0" w:rsidP="006B599D">
      <w:pPr>
        <w:pStyle w:val="BodyText2"/>
        <w:numPr>
          <w:ilvl w:val="0"/>
          <w:numId w:val="19"/>
        </w:numPr>
        <w:rPr>
          <w:sz w:val="20"/>
          <w:szCs w:val="20"/>
        </w:rPr>
      </w:pPr>
      <w:r w:rsidRPr="003B6AA9">
        <w:rPr>
          <w:sz w:val="20"/>
          <w:szCs w:val="20"/>
        </w:rPr>
        <w:t xml:space="preserve">A detailed record of consultations with stakeholders will need to be kept and provided (as part of the information gathered by the evaluators), as an annex to the main report. </w:t>
      </w:r>
    </w:p>
    <w:p w:rsidR="00456CA0" w:rsidRPr="003B6AA9" w:rsidRDefault="00456CA0" w:rsidP="006B599D">
      <w:pPr>
        <w:pStyle w:val="BodyText2"/>
        <w:rPr>
          <w:sz w:val="20"/>
          <w:szCs w:val="20"/>
        </w:rPr>
      </w:pPr>
    </w:p>
    <w:p w:rsidR="00456CA0" w:rsidRPr="003B6AA9" w:rsidRDefault="00456CA0" w:rsidP="006B599D">
      <w:pPr>
        <w:pStyle w:val="BodyText2"/>
        <w:numPr>
          <w:ilvl w:val="0"/>
          <w:numId w:val="19"/>
        </w:numPr>
        <w:rPr>
          <w:sz w:val="20"/>
          <w:szCs w:val="20"/>
        </w:rPr>
      </w:pPr>
      <w:r w:rsidRPr="003B6AA9">
        <w:rPr>
          <w:sz w:val="20"/>
          <w:szCs w:val="20"/>
        </w:rPr>
        <w:t>If there are any significant discrepancies between the impressions and findings of the evaluation team and stakeholders these should be explained in an Annex attached to the final report.</w:t>
      </w:r>
    </w:p>
    <w:p w:rsidR="00456CA0" w:rsidRPr="003B6AA9" w:rsidRDefault="00456CA0" w:rsidP="006B599D">
      <w:pPr>
        <w:pStyle w:val="BodyText2"/>
        <w:rPr>
          <w:sz w:val="20"/>
          <w:szCs w:val="20"/>
        </w:rPr>
      </w:pPr>
    </w:p>
    <w:p w:rsidR="00456CA0" w:rsidRPr="003B6AA9" w:rsidRDefault="009C583C" w:rsidP="006B599D">
      <w:pPr>
        <w:pStyle w:val="BodyText2"/>
        <w:rPr>
          <w:sz w:val="20"/>
          <w:szCs w:val="20"/>
        </w:rPr>
      </w:pPr>
      <w:r w:rsidRPr="003B6AA9">
        <w:rPr>
          <w:b/>
          <w:sz w:val="20"/>
          <w:szCs w:val="20"/>
        </w:rPr>
        <w:t>B</w:t>
      </w:r>
      <w:r w:rsidR="00456CA0" w:rsidRPr="003B6AA9">
        <w:rPr>
          <w:b/>
          <w:sz w:val="20"/>
          <w:szCs w:val="20"/>
        </w:rPr>
        <w:t xml:space="preserve">) </w:t>
      </w:r>
      <w:r w:rsidRPr="003B6AA9">
        <w:rPr>
          <w:b/>
          <w:sz w:val="20"/>
          <w:szCs w:val="20"/>
          <w:u w:val="single"/>
        </w:rPr>
        <w:t>A Power Point Presentation</w:t>
      </w:r>
      <w:r w:rsidRPr="003B6AA9">
        <w:rPr>
          <w:sz w:val="20"/>
          <w:szCs w:val="20"/>
        </w:rPr>
        <w:t xml:space="preserve"> (circa 20-25 slides) covering the key points of the MTE </w:t>
      </w:r>
      <w:r w:rsidR="00456CA0" w:rsidRPr="003B6AA9">
        <w:rPr>
          <w:sz w:val="20"/>
          <w:szCs w:val="20"/>
        </w:rPr>
        <w:t xml:space="preserve">to a joint meeting of the </w:t>
      </w:r>
      <w:r w:rsidR="00867444">
        <w:rPr>
          <w:sz w:val="20"/>
          <w:szCs w:val="20"/>
        </w:rPr>
        <w:t>Project</w:t>
      </w:r>
      <w:r w:rsidR="00867444" w:rsidRPr="003B6AA9">
        <w:rPr>
          <w:sz w:val="20"/>
          <w:szCs w:val="20"/>
        </w:rPr>
        <w:t xml:space="preserve"> </w:t>
      </w:r>
      <w:r w:rsidR="00456CA0" w:rsidRPr="003B6AA9">
        <w:rPr>
          <w:sz w:val="20"/>
          <w:szCs w:val="20"/>
        </w:rPr>
        <w:t>Steering Committee and the joint</w:t>
      </w:r>
      <w:r w:rsidR="00437532" w:rsidRPr="003B6AA9">
        <w:rPr>
          <w:sz w:val="20"/>
          <w:szCs w:val="20"/>
        </w:rPr>
        <w:t xml:space="preserve"> </w:t>
      </w:r>
      <w:r w:rsidR="00456CA0" w:rsidRPr="003B6AA9">
        <w:rPr>
          <w:sz w:val="20"/>
          <w:szCs w:val="20"/>
        </w:rPr>
        <w:t xml:space="preserve">UNDP </w:t>
      </w:r>
      <w:r w:rsidR="005D2685">
        <w:rPr>
          <w:sz w:val="20"/>
          <w:szCs w:val="20"/>
        </w:rPr>
        <w:t>evaluation</w:t>
      </w:r>
      <w:r w:rsidR="005D2685" w:rsidRPr="003B6AA9">
        <w:rPr>
          <w:sz w:val="20"/>
          <w:szCs w:val="20"/>
        </w:rPr>
        <w:t xml:space="preserve"> </w:t>
      </w:r>
      <w:r w:rsidR="00456CA0" w:rsidRPr="003B6AA9">
        <w:rPr>
          <w:sz w:val="20"/>
          <w:szCs w:val="20"/>
        </w:rPr>
        <w:t>and supervision mission (precise date to be agreed).</w:t>
      </w:r>
    </w:p>
    <w:p w:rsidR="00456CA0" w:rsidRPr="003B6AA9" w:rsidRDefault="00456CA0" w:rsidP="006B599D">
      <w:pPr>
        <w:pStyle w:val="BodyText2"/>
        <w:rPr>
          <w:sz w:val="20"/>
          <w:szCs w:val="20"/>
        </w:rPr>
      </w:pPr>
    </w:p>
    <w:p w:rsidR="00456CA0" w:rsidRPr="003B6AA9" w:rsidRDefault="00456CA0" w:rsidP="006B599D">
      <w:pPr>
        <w:pStyle w:val="BodyText2"/>
        <w:rPr>
          <w:sz w:val="20"/>
          <w:szCs w:val="20"/>
        </w:rPr>
      </w:pPr>
      <w:r w:rsidRPr="003B6AA9">
        <w:rPr>
          <w:sz w:val="20"/>
          <w:szCs w:val="20"/>
        </w:rPr>
        <w:t>A draft of both A) and B) above should be submitted within two weeks of the end of the in-country component of the evaluator</w:t>
      </w:r>
      <w:r w:rsidR="004A19D3" w:rsidRPr="003B6AA9">
        <w:rPr>
          <w:sz w:val="20"/>
          <w:szCs w:val="20"/>
        </w:rPr>
        <w:t>’</w:t>
      </w:r>
      <w:r w:rsidRPr="003B6AA9">
        <w:rPr>
          <w:sz w:val="20"/>
          <w:szCs w:val="20"/>
        </w:rPr>
        <w:t>s mission, and a final copy within a further week after receiving written comments on the drafts.</w:t>
      </w:r>
    </w:p>
    <w:p w:rsidR="00456CA0" w:rsidRPr="003B6AA9" w:rsidRDefault="00456CA0" w:rsidP="006B599D">
      <w:pPr>
        <w:pStyle w:val="BodyText2"/>
        <w:rPr>
          <w:sz w:val="20"/>
          <w:szCs w:val="20"/>
        </w:rPr>
      </w:pPr>
    </w:p>
    <w:p w:rsidR="00456CA0" w:rsidRPr="003B6AA9" w:rsidRDefault="00456CA0" w:rsidP="006B599D">
      <w:pPr>
        <w:pStyle w:val="BodyText2"/>
        <w:rPr>
          <w:sz w:val="20"/>
          <w:szCs w:val="20"/>
        </w:rPr>
      </w:pPr>
      <w:r w:rsidRPr="003B6AA9">
        <w:rPr>
          <w:sz w:val="20"/>
          <w:szCs w:val="20"/>
        </w:rPr>
        <w:t xml:space="preserve">The drafts and final versions of the products should be submitted to </w:t>
      </w:r>
      <w:r w:rsidR="00867444">
        <w:rPr>
          <w:sz w:val="20"/>
          <w:szCs w:val="20"/>
        </w:rPr>
        <w:t>Mpho Nenweli (</w:t>
      </w:r>
      <w:hyperlink r:id="rId9" w:history="1">
        <w:r w:rsidR="00867444" w:rsidRPr="00474367">
          <w:rPr>
            <w:rStyle w:val="Hyperlink"/>
            <w:sz w:val="20"/>
            <w:szCs w:val="20"/>
          </w:rPr>
          <w:t>mpho.nenweli@undp.org</w:t>
        </w:r>
      </w:hyperlink>
      <w:r w:rsidR="00867444">
        <w:rPr>
          <w:sz w:val="20"/>
          <w:szCs w:val="20"/>
        </w:rPr>
        <w:t xml:space="preserve">) and </w:t>
      </w:r>
      <w:r w:rsidR="00E4429E" w:rsidRPr="003B6AA9">
        <w:rPr>
          <w:sz w:val="20"/>
          <w:szCs w:val="20"/>
        </w:rPr>
        <w:t>David Ingham</w:t>
      </w:r>
      <w:r w:rsidR="00437532" w:rsidRPr="003B6AA9">
        <w:rPr>
          <w:sz w:val="20"/>
          <w:szCs w:val="20"/>
        </w:rPr>
        <w:t xml:space="preserve"> </w:t>
      </w:r>
      <w:r w:rsidRPr="003B6AA9">
        <w:rPr>
          <w:sz w:val="20"/>
          <w:szCs w:val="20"/>
        </w:rPr>
        <w:t>(</w:t>
      </w:r>
      <w:hyperlink r:id="rId10" w:history="1">
        <w:r w:rsidR="00E4429E" w:rsidRPr="003B6AA9">
          <w:rPr>
            <w:rStyle w:val="Hyperlink"/>
            <w:sz w:val="20"/>
            <w:szCs w:val="20"/>
          </w:rPr>
          <w:t>david.ingham@undp,org</w:t>
        </w:r>
      </w:hyperlink>
      <w:r w:rsidR="00437532" w:rsidRPr="003B6AA9">
        <w:rPr>
          <w:sz w:val="20"/>
          <w:szCs w:val="20"/>
        </w:rPr>
        <w:t>)</w:t>
      </w:r>
      <w:r w:rsidRPr="003B6AA9">
        <w:rPr>
          <w:sz w:val="20"/>
          <w:szCs w:val="20"/>
        </w:rPr>
        <w:t>, who will be responsible for circulating it to key stakeholders.</w:t>
      </w:r>
    </w:p>
    <w:p w:rsidR="00456CA0" w:rsidRPr="003B6AA9" w:rsidRDefault="00456CA0" w:rsidP="006B599D">
      <w:pPr>
        <w:pStyle w:val="BodyText2"/>
        <w:rPr>
          <w:sz w:val="20"/>
          <w:szCs w:val="20"/>
        </w:rPr>
      </w:pPr>
    </w:p>
    <w:p w:rsidR="00456CA0" w:rsidRPr="003B6AA9" w:rsidRDefault="00456CA0" w:rsidP="006B599D">
      <w:pPr>
        <w:pStyle w:val="Heading1"/>
        <w:numPr>
          <w:ilvl w:val="0"/>
          <w:numId w:val="30"/>
        </w:numPr>
        <w:rPr>
          <w:sz w:val="20"/>
          <w:szCs w:val="20"/>
        </w:rPr>
      </w:pPr>
      <w:r w:rsidRPr="003B6AA9">
        <w:rPr>
          <w:sz w:val="20"/>
          <w:szCs w:val="20"/>
        </w:rPr>
        <w:t>Methodology or Evaluation Approach</w:t>
      </w:r>
    </w:p>
    <w:p w:rsidR="00AF7B06" w:rsidRDefault="00AF7B06" w:rsidP="006B599D">
      <w:pPr>
        <w:jc w:val="both"/>
        <w:rPr>
          <w:sz w:val="20"/>
          <w:szCs w:val="20"/>
        </w:rPr>
      </w:pPr>
    </w:p>
    <w:p w:rsidR="00456CA0" w:rsidRPr="003B6AA9" w:rsidRDefault="00456CA0" w:rsidP="006B599D">
      <w:pPr>
        <w:jc w:val="both"/>
        <w:rPr>
          <w:sz w:val="20"/>
          <w:szCs w:val="20"/>
        </w:rPr>
      </w:pPr>
      <w:r w:rsidRPr="003B6AA9">
        <w:rPr>
          <w:sz w:val="20"/>
          <w:szCs w:val="20"/>
        </w:rPr>
        <w:t>It is anticipated that the methodology to be used for the MTE will include, but may not be limited to the following:</w:t>
      </w:r>
    </w:p>
    <w:p w:rsidR="00456CA0" w:rsidRPr="003B6AA9" w:rsidRDefault="00456CA0" w:rsidP="006B599D">
      <w:pPr>
        <w:jc w:val="both"/>
        <w:rPr>
          <w:sz w:val="20"/>
          <w:szCs w:val="20"/>
        </w:rPr>
      </w:pPr>
      <w:r w:rsidRPr="003B6AA9">
        <w:rPr>
          <w:sz w:val="20"/>
          <w:szCs w:val="20"/>
        </w:rPr>
        <w:t xml:space="preserve"> </w:t>
      </w:r>
    </w:p>
    <w:p w:rsidR="00456CA0" w:rsidRPr="003B6AA9" w:rsidRDefault="00456CA0" w:rsidP="006B599D">
      <w:pPr>
        <w:jc w:val="both"/>
        <w:rPr>
          <w:sz w:val="20"/>
          <w:szCs w:val="20"/>
        </w:rPr>
      </w:pPr>
      <w:r w:rsidRPr="003B6AA9">
        <w:rPr>
          <w:sz w:val="20"/>
          <w:szCs w:val="20"/>
        </w:rPr>
        <w:t>1) Documentation review including,</w:t>
      </w:r>
      <w:r w:rsidRPr="003B6AA9">
        <w:rPr>
          <w:i/>
          <w:sz w:val="20"/>
          <w:szCs w:val="20"/>
        </w:rPr>
        <w:t xml:space="preserve"> inter alia</w:t>
      </w:r>
      <w:r w:rsidRPr="003B6AA9">
        <w:rPr>
          <w:sz w:val="20"/>
          <w:szCs w:val="20"/>
        </w:rPr>
        <w:t>: -</w:t>
      </w:r>
    </w:p>
    <w:p w:rsidR="00456CA0" w:rsidRPr="003B6AA9" w:rsidRDefault="00456CA0" w:rsidP="006B599D">
      <w:pPr>
        <w:jc w:val="both"/>
        <w:rPr>
          <w:sz w:val="20"/>
          <w:szCs w:val="20"/>
          <w:lang w:val="en-GB"/>
        </w:rPr>
      </w:pPr>
    </w:p>
    <w:p w:rsidR="00456CA0" w:rsidRPr="003B6AA9" w:rsidRDefault="00456CA0" w:rsidP="006B599D">
      <w:pPr>
        <w:pStyle w:val="BodyText"/>
        <w:numPr>
          <w:ilvl w:val="1"/>
          <w:numId w:val="9"/>
        </w:numPr>
        <w:jc w:val="both"/>
        <w:rPr>
          <w:sz w:val="20"/>
          <w:szCs w:val="20"/>
        </w:rPr>
      </w:pPr>
      <w:r w:rsidRPr="003B6AA9">
        <w:rPr>
          <w:sz w:val="20"/>
          <w:szCs w:val="20"/>
        </w:rPr>
        <w:t>Project Document and Project Appraisal Document;</w:t>
      </w:r>
    </w:p>
    <w:p w:rsidR="00456CA0" w:rsidRPr="003B6AA9" w:rsidRDefault="00456CA0" w:rsidP="006B599D">
      <w:pPr>
        <w:pStyle w:val="BodyText"/>
        <w:numPr>
          <w:ilvl w:val="1"/>
          <w:numId w:val="9"/>
        </w:numPr>
        <w:jc w:val="both"/>
        <w:rPr>
          <w:sz w:val="20"/>
          <w:szCs w:val="20"/>
        </w:rPr>
      </w:pPr>
      <w:r w:rsidRPr="003B6AA9">
        <w:rPr>
          <w:sz w:val="20"/>
          <w:szCs w:val="20"/>
        </w:rPr>
        <w:t>Project implementation reports (</w:t>
      </w:r>
      <w:smartTag w:uri="urn:schemas-microsoft-com:office:smarttags" w:element="stockticker">
        <w:r w:rsidRPr="003B6AA9">
          <w:rPr>
            <w:sz w:val="20"/>
            <w:szCs w:val="20"/>
          </w:rPr>
          <w:t>PIR</w:t>
        </w:r>
      </w:smartTag>
      <w:r w:rsidRPr="003B6AA9">
        <w:rPr>
          <w:sz w:val="20"/>
          <w:szCs w:val="20"/>
        </w:rPr>
        <w:t>’s);</w:t>
      </w:r>
    </w:p>
    <w:p w:rsidR="00456CA0" w:rsidRPr="003B6AA9" w:rsidRDefault="00456CA0" w:rsidP="006B599D">
      <w:pPr>
        <w:pStyle w:val="BodyText"/>
        <w:numPr>
          <w:ilvl w:val="1"/>
          <w:numId w:val="9"/>
        </w:numPr>
        <w:jc w:val="both"/>
        <w:rPr>
          <w:sz w:val="20"/>
          <w:szCs w:val="20"/>
        </w:rPr>
      </w:pPr>
      <w:r w:rsidRPr="003B6AA9">
        <w:rPr>
          <w:sz w:val="20"/>
          <w:szCs w:val="20"/>
        </w:rPr>
        <w:t>Quarterly progress reports and work plans of the various implementation task teams;</w:t>
      </w:r>
    </w:p>
    <w:p w:rsidR="0049026D" w:rsidRPr="003B6AA9" w:rsidRDefault="00437532" w:rsidP="006B599D">
      <w:pPr>
        <w:pStyle w:val="BodyText"/>
        <w:numPr>
          <w:ilvl w:val="1"/>
          <w:numId w:val="9"/>
        </w:numPr>
        <w:jc w:val="both"/>
        <w:rPr>
          <w:sz w:val="20"/>
          <w:szCs w:val="20"/>
        </w:rPr>
      </w:pPr>
      <w:r w:rsidRPr="003B6AA9">
        <w:rPr>
          <w:sz w:val="20"/>
          <w:szCs w:val="20"/>
        </w:rPr>
        <w:t>Audits reports</w:t>
      </w:r>
      <w:r w:rsidR="00FF11D9" w:rsidRPr="003B6AA9">
        <w:rPr>
          <w:sz w:val="20"/>
          <w:szCs w:val="20"/>
        </w:rPr>
        <w:t>;</w:t>
      </w:r>
      <w:r w:rsidRPr="003B6AA9">
        <w:rPr>
          <w:sz w:val="20"/>
          <w:szCs w:val="20"/>
        </w:rPr>
        <w:t xml:space="preserve"> </w:t>
      </w:r>
    </w:p>
    <w:p w:rsidR="00575A0C" w:rsidRPr="003B6AA9" w:rsidRDefault="00575A0C" w:rsidP="006B599D">
      <w:pPr>
        <w:pStyle w:val="BodyText"/>
        <w:numPr>
          <w:ilvl w:val="1"/>
          <w:numId w:val="9"/>
        </w:numPr>
        <w:jc w:val="both"/>
        <w:rPr>
          <w:sz w:val="20"/>
          <w:szCs w:val="20"/>
        </w:rPr>
      </w:pPr>
      <w:r w:rsidRPr="003B6AA9">
        <w:rPr>
          <w:sz w:val="20"/>
          <w:szCs w:val="20"/>
        </w:rPr>
        <w:t>Annual Review Reports</w:t>
      </w:r>
      <w:r w:rsidR="003B6AA9" w:rsidRPr="003B6AA9">
        <w:rPr>
          <w:sz w:val="20"/>
          <w:szCs w:val="20"/>
        </w:rPr>
        <w:t>;</w:t>
      </w:r>
    </w:p>
    <w:p w:rsidR="00456CA0" w:rsidRPr="003B6AA9" w:rsidRDefault="00456CA0" w:rsidP="006B599D">
      <w:pPr>
        <w:pStyle w:val="BodyText"/>
        <w:numPr>
          <w:ilvl w:val="1"/>
          <w:numId w:val="9"/>
        </w:numPr>
        <w:jc w:val="both"/>
        <w:rPr>
          <w:sz w:val="20"/>
          <w:szCs w:val="20"/>
        </w:rPr>
      </w:pPr>
      <w:r w:rsidRPr="003B6AA9">
        <w:rPr>
          <w:sz w:val="20"/>
          <w:szCs w:val="20"/>
        </w:rPr>
        <w:t xml:space="preserve">M &amp; E Operational Guidelines, all monitoring reports prepared by the project; </w:t>
      </w:r>
      <w:r w:rsidR="00FF11D9" w:rsidRPr="003B6AA9">
        <w:rPr>
          <w:sz w:val="20"/>
          <w:szCs w:val="20"/>
        </w:rPr>
        <w:t>and</w:t>
      </w:r>
    </w:p>
    <w:p w:rsidR="00456CA0" w:rsidRPr="003B6AA9" w:rsidRDefault="00456CA0" w:rsidP="006B599D">
      <w:pPr>
        <w:pStyle w:val="BodyText"/>
        <w:numPr>
          <w:ilvl w:val="1"/>
          <w:numId w:val="9"/>
        </w:numPr>
        <w:jc w:val="both"/>
        <w:rPr>
          <w:sz w:val="20"/>
          <w:szCs w:val="20"/>
        </w:rPr>
      </w:pPr>
      <w:r w:rsidRPr="003B6AA9">
        <w:rPr>
          <w:sz w:val="20"/>
          <w:szCs w:val="20"/>
        </w:rPr>
        <w:t>Financial and Administration guidelines</w:t>
      </w:r>
      <w:r w:rsidR="00FF11D9" w:rsidRPr="003B6AA9">
        <w:rPr>
          <w:sz w:val="20"/>
          <w:szCs w:val="20"/>
        </w:rPr>
        <w:t xml:space="preserve">. </w:t>
      </w:r>
    </w:p>
    <w:p w:rsidR="00456CA0" w:rsidRPr="003B6AA9" w:rsidRDefault="00456CA0" w:rsidP="006B599D">
      <w:pPr>
        <w:pStyle w:val="BodyText"/>
        <w:ind w:left="720"/>
        <w:jc w:val="both"/>
        <w:rPr>
          <w:sz w:val="20"/>
          <w:szCs w:val="20"/>
        </w:rPr>
      </w:pPr>
    </w:p>
    <w:p w:rsidR="00456CA0" w:rsidRPr="003B6AA9" w:rsidRDefault="00456CA0" w:rsidP="006B599D">
      <w:pPr>
        <w:pStyle w:val="BodyText"/>
        <w:jc w:val="both"/>
        <w:rPr>
          <w:sz w:val="20"/>
          <w:szCs w:val="20"/>
        </w:rPr>
      </w:pPr>
      <w:r w:rsidRPr="003B6AA9">
        <w:rPr>
          <w:sz w:val="20"/>
          <w:szCs w:val="20"/>
        </w:rPr>
        <w:t>The following documents will also be available:</w:t>
      </w:r>
    </w:p>
    <w:p w:rsidR="00437532" w:rsidRPr="003B6AA9" w:rsidRDefault="00437532" w:rsidP="006B599D">
      <w:pPr>
        <w:pStyle w:val="BodyText"/>
        <w:numPr>
          <w:ilvl w:val="1"/>
          <w:numId w:val="9"/>
        </w:numPr>
        <w:jc w:val="both"/>
        <w:rPr>
          <w:sz w:val="20"/>
          <w:szCs w:val="20"/>
        </w:rPr>
      </w:pPr>
      <w:r w:rsidRPr="003B6AA9">
        <w:rPr>
          <w:sz w:val="20"/>
          <w:szCs w:val="20"/>
        </w:rPr>
        <w:t xml:space="preserve">The </w:t>
      </w:r>
      <w:r w:rsidR="00FF11D9" w:rsidRPr="003B6AA9">
        <w:rPr>
          <w:sz w:val="20"/>
          <w:szCs w:val="20"/>
        </w:rPr>
        <w:t xml:space="preserve">2010 Transport </w:t>
      </w:r>
      <w:r w:rsidRPr="003B6AA9">
        <w:rPr>
          <w:sz w:val="20"/>
          <w:szCs w:val="20"/>
        </w:rPr>
        <w:t>M&amp;E framework</w:t>
      </w:r>
      <w:r w:rsidR="00FF11D9" w:rsidRPr="003B6AA9">
        <w:rPr>
          <w:sz w:val="20"/>
          <w:szCs w:val="20"/>
        </w:rPr>
        <w:t>;</w:t>
      </w:r>
      <w:r w:rsidRPr="003B6AA9">
        <w:rPr>
          <w:sz w:val="20"/>
          <w:szCs w:val="20"/>
        </w:rPr>
        <w:t xml:space="preserve"> </w:t>
      </w:r>
    </w:p>
    <w:p w:rsidR="00437532" w:rsidRPr="003B6AA9" w:rsidRDefault="00437532" w:rsidP="006B599D">
      <w:pPr>
        <w:pStyle w:val="BodyText"/>
        <w:numPr>
          <w:ilvl w:val="1"/>
          <w:numId w:val="9"/>
        </w:numPr>
        <w:jc w:val="both"/>
        <w:rPr>
          <w:sz w:val="20"/>
          <w:szCs w:val="20"/>
        </w:rPr>
      </w:pPr>
      <w:r w:rsidRPr="003B6AA9">
        <w:rPr>
          <w:sz w:val="20"/>
          <w:szCs w:val="20"/>
        </w:rPr>
        <w:t>Knowledge products from service providers</w:t>
      </w:r>
      <w:r w:rsidR="00FF11D9" w:rsidRPr="003B6AA9">
        <w:rPr>
          <w:sz w:val="20"/>
          <w:szCs w:val="20"/>
        </w:rPr>
        <w:t>;</w:t>
      </w:r>
    </w:p>
    <w:p w:rsidR="00456CA0" w:rsidRPr="003B6AA9" w:rsidRDefault="00456CA0" w:rsidP="006B599D">
      <w:pPr>
        <w:pStyle w:val="BodyText"/>
        <w:numPr>
          <w:ilvl w:val="1"/>
          <w:numId w:val="9"/>
        </w:numPr>
        <w:jc w:val="both"/>
        <w:rPr>
          <w:sz w:val="20"/>
          <w:szCs w:val="20"/>
        </w:rPr>
      </w:pPr>
      <w:r w:rsidRPr="003B6AA9">
        <w:rPr>
          <w:sz w:val="20"/>
          <w:szCs w:val="20"/>
        </w:rPr>
        <w:t>Project operational guidelines and systems;</w:t>
      </w:r>
    </w:p>
    <w:p w:rsidR="00456CA0" w:rsidRPr="003B6AA9" w:rsidRDefault="00456CA0" w:rsidP="006B599D">
      <w:pPr>
        <w:pStyle w:val="BodyText"/>
        <w:numPr>
          <w:ilvl w:val="1"/>
          <w:numId w:val="9"/>
        </w:numPr>
        <w:jc w:val="both"/>
        <w:rPr>
          <w:sz w:val="20"/>
          <w:szCs w:val="20"/>
        </w:rPr>
      </w:pPr>
      <w:r w:rsidRPr="003B6AA9">
        <w:rPr>
          <w:sz w:val="20"/>
          <w:szCs w:val="20"/>
        </w:rPr>
        <w:t xml:space="preserve">Minutes of the </w:t>
      </w:r>
      <w:r w:rsidR="00E4429E" w:rsidRPr="003B6AA9">
        <w:rPr>
          <w:sz w:val="20"/>
          <w:szCs w:val="20"/>
        </w:rPr>
        <w:t>2010 Transport Project</w:t>
      </w:r>
      <w:r w:rsidRPr="003B6AA9">
        <w:rPr>
          <w:sz w:val="20"/>
          <w:szCs w:val="20"/>
        </w:rPr>
        <w:t xml:space="preserve"> and other project management meetings; </w:t>
      </w:r>
    </w:p>
    <w:p w:rsidR="00456CA0" w:rsidRPr="003B6AA9" w:rsidRDefault="0049026D" w:rsidP="006B599D">
      <w:pPr>
        <w:numPr>
          <w:ilvl w:val="1"/>
          <w:numId w:val="9"/>
        </w:numPr>
        <w:jc w:val="both"/>
        <w:rPr>
          <w:sz w:val="20"/>
          <w:szCs w:val="20"/>
        </w:rPr>
      </w:pPr>
      <w:r w:rsidRPr="003B6AA9">
        <w:rPr>
          <w:sz w:val="20"/>
          <w:szCs w:val="20"/>
        </w:rPr>
        <w:t>Maps</w:t>
      </w:r>
      <w:r w:rsidR="00FF11D9" w:rsidRPr="003B6AA9">
        <w:rPr>
          <w:sz w:val="20"/>
          <w:szCs w:val="20"/>
        </w:rPr>
        <w:t>;</w:t>
      </w:r>
    </w:p>
    <w:p w:rsidR="00456CA0" w:rsidRPr="003B6AA9" w:rsidRDefault="00456CA0" w:rsidP="006B599D">
      <w:pPr>
        <w:pStyle w:val="BodyText"/>
        <w:numPr>
          <w:ilvl w:val="1"/>
          <w:numId w:val="9"/>
        </w:numPr>
        <w:jc w:val="both"/>
        <w:rPr>
          <w:sz w:val="20"/>
          <w:szCs w:val="20"/>
        </w:rPr>
      </w:pPr>
      <w:r w:rsidRPr="003B6AA9">
        <w:rPr>
          <w:sz w:val="20"/>
          <w:szCs w:val="20"/>
        </w:rPr>
        <w:t xml:space="preserve">The GEF </w:t>
      </w:r>
      <w:r w:rsidR="009630D7" w:rsidRPr="003B6AA9">
        <w:rPr>
          <w:sz w:val="20"/>
          <w:szCs w:val="20"/>
        </w:rPr>
        <w:t>Implementation</w:t>
      </w:r>
      <w:r w:rsidRPr="003B6AA9">
        <w:rPr>
          <w:sz w:val="20"/>
          <w:szCs w:val="20"/>
        </w:rPr>
        <w:t xml:space="preserve"> Completion Report guidelines; and</w:t>
      </w:r>
    </w:p>
    <w:p w:rsidR="00AF7B06" w:rsidRDefault="00456CA0" w:rsidP="006B599D">
      <w:pPr>
        <w:pStyle w:val="BodyText"/>
        <w:numPr>
          <w:ilvl w:val="1"/>
          <w:numId w:val="9"/>
        </w:numPr>
        <w:jc w:val="both"/>
        <w:rPr>
          <w:sz w:val="20"/>
          <w:szCs w:val="20"/>
        </w:rPr>
      </w:pPr>
      <w:r w:rsidRPr="003B6AA9">
        <w:rPr>
          <w:sz w:val="20"/>
          <w:szCs w:val="20"/>
        </w:rPr>
        <w:t>The UNDP Monitoring and Evaluation Frameworks</w:t>
      </w:r>
    </w:p>
    <w:p w:rsidR="00456CA0" w:rsidRPr="003B6AA9" w:rsidRDefault="00AF7B06" w:rsidP="006B599D">
      <w:pPr>
        <w:pStyle w:val="BodyText"/>
        <w:numPr>
          <w:ilvl w:val="1"/>
          <w:numId w:val="9"/>
        </w:numPr>
        <w:jc w:val="both"/>
        <w:rPr>
          <w:sz w:val="20"/>
          <w:szCs w:val="20"/>
        </w:rPr>
      </w:pPr>
      <w:r>
        <w:rPr>
          <w:sz w:val="20"/>
          <w:szCs w:val="20"/>
        </w:rPr>
        <w:t xml:space="preserve">GEF </w:t>
      </w:r>
      <w:r w:rsidRPr="00AF7B06">
        <w:rPr>
          <w:sz w:val="20"/>
          <w:szCs w:val="20"/>
        </w:rPr>
        <w:t xml:space="preserve">Manual for Calculating Greenhouse Gas Benefits of </w:t>
      </w:r>
      <w:r>
        <w:rPr>
          <w:sz w:val="20"/>
          <w:szCs w:val="20"/>
        </w:rPr>
        <w:t xml:space="preserve">GEF </w:t>
      </w:r>
      <w:r w:rsidRPr="00AF7B06">
        <w:rPr>
          <w:sz w:val="20"/>
          <w:szCs w:val="20"/>
        </w:rPr>
        <w:t>Projects</w:t>
      </w:r>
      <w:r w:rsidR="00456CA0" w:rsidRPr="003B6AA9">
        <w:rPr>
          <w:sz w:val="20"/>
          <w:szCs w:val="20"/>
        </w:rPr>
        <w:t>.</w:t>
      </w:r>
    </w:p>
    <w:p w:rsidR="00456CA0" w:rsidRPr="003B6AA9" w:rsidRDefault="00456CA0" w:rsidP="006B599D">
      <w:pPr>
        <w:jc w:val="both"/>
        <w:rPr>
          <w:color w:val="0000FF"/>
          <w:sz w:val="20"/>
          <w:szCs w:val="20"/>
        </w:rPr>
      </w:pPr>
    </w:p>
    <w:p w:rsidR="00456CA0" w:rsidRPr="003B6AA9" w:rsidRDefault="00456CA0" w:rsidP="006B599D">
      <w:pPr>
        <w:jc w:val="both"/>
        <w:rPr>
          <w:sz w:val="20"/>
          <w:szCs w:val="20"/>
        </w:rPr>
      </w:pPr>
      <w:r w:rsidRPr="003B6AA9">
        <w:rPr>
          <w:sz w:val="20"/>
          <w:szCs w:val="20"/>
        </w:rPr>
        <w:t>2</w:t>
      </w:r>
      <w:r w:rsidR="00AF7B06">
        <w:rPr>
          <w:sz w:val="20"/>
          <w:szCs w:val="20"/>
        </w:rPr>
        <w:t>)</w:t>
      </w:r>
      <w:r w:rsidRPr="003B6AA9">
        <w:rPr>
          <w:sz w:val="20"/>
          <w:szCs w:val="20"/>
        </w:rPr>
        <w:t xml:space="preserve"> Interviews with: -  </w:t>
      </w:r>
    </w:p>
    <w:p w:rsidR="00456CA0" w:rsidRPr="003B6AA9" w:rsidRDefault="00456CA0" w:rsidP="006B599D">
      <w:pPr>
        <w:numPr>
          <w:ilvl w:val="0"/>
          <w:numId w:val="17"/>
        </w:numPr>
        <w:jc w:val="both"/>
        <w:rPr>
          <w:sz w:val="20"/>
          <w:szCs w:val="20"/>
        </w:rPr>
      </w:pPr>
      <w:r w:rsidRPr="003B6AA9">
        <w:rPr>
          <w:sz w:val="20"/>
          <w:szCs w:val="20"/>
        </w:rPr>
        <w:t>UNDP</w:t>
      </w:r>
      <w:r w:rsidR="00575A0C" w:rsidRPr="003B6AA9">
        <w:rPr>
          <w:sz w:val="20"/>
          <w:szCs w:val="20"/>
        </w:rPr>
        <w:t>-GEF</w:t>
      </w:r>
      <w:r w:rsidRPr="003B6AA9">
        <w:rPr>
          <w:sz w:val="20"/>
          <w:szCs w:val="20"/>
        </w:rPr>
        <w:t xml:space="preserve"> staff who have project responsibilities;</w:t>
      </w:r>
    </w:p>
    <w:p w:rsidR="00456CA0" w:rsidRPr="003B6AA9" w:rsidRDefault="00456CA0" w:rsidP="006B599D">
      <w:pPr>
        <w:numPr>
          <w:ilvl w:val="0"/>
          <w:numId w:val="17"/>
        </w:numPr>
        <w:jc w:val="both"/>
        <w:rPr>
          <w:sz w:val="20"/>
          <w:szCs w:val="20"/>
        </w:rPr>
      </w:pPr>
      <w:r w:rsidRPr="003B6AA9">
        <w:rPr>
          <w:sz w:val="20"/>
          <w:szCs w:val="20"/>
        </w:rPr>
        <w:t xml:space="preserve">Staff of the </w:t>
      </w:r>
      <w:r w:rsidR="00E4429E" w:rsidRPr="003B6AA9">
        <w:rPr>
          <w:sz w:val="20"/>
          <w:szCs w:val="20"/>
        </w:rPr>
        <w:t>2010 Transport Project</w:t>
      </w:r>
      <w:r w:rsidRPr="003B6AA9">
        <w:rPr>
          <w:sz w:val="20"/>
          <w:szCs w:val="20"/>
        </w:rPr>
        <w:t xml:space="preserve"> Unit;</w:t>
      </w:r>
    </w:p>
    <w:p w:rsidR="00456CA0" w:rsidRPr="003B6AA9" w:rsidRDefault="00456CA0" w:rsidP="006B599D">
      <w:pPr>
        <w:numPr>
          <w:ilvl w:val="0"/>
          <w:numId w:val="17"/>
        </w:numPr>
        <w:tabs>
          <w:tab w:val="center" w:pos="4680"/>
        </w:tabs>
        <w:jc w:val="both"/>
        <w:rPr>
          <w:sz w:val="20"/>
          <w:szCs w:val="20"/>
        </w:rPr>
      </w:pPr>
      <w:r w:rsidRPr="003B6AA9">
        <w:rPr>
          <w:sz w:val="20"/>
          <w:szCs w:val="20"/>
        </w:rPr>
        <w:t xml:space="preserve">Executing agencies: </w:t>
      </w:r>
      <w:r w:rsidR="00E4429E" w:rsidRPr="003B6AA9">
        <w:rPr>
          <w:sz w:val="20"/>
          <w:szCs w:val="20"/>
        </w:rPr>
        <w:t>DoT and municipalities</w:t>
      </w:r>
      <w:r w:rsidR="00FF11D9" w:rsidRPr="003B6AA9">
        <w:rPr>
          <w:sz w:val="20"/>
          <w:szCs w:val="20"/>
        </w:rPr>
        <w:t>;</w:t>
      </w:r>
    </w:p>
    <w:p w:rsidR="00456CA0" w:rsidRPr="003B6AA9" w:rsidRDefault="00575A0C" w:rsidP="006B599D">
      <w:pPr>
        <w:numPr>
          <w:ilvl w:val="0"/>
          <w:numId w:val="17"/>
        </w:numPr>
        <w:tabs>
          <w:tab w:val="center" w:pos="4680"/>
        </w:tabs>
        <w:jc w:val="both"/>
        <w:rPr>
          <w:sz w:val="20"/>
          <w:szCs w:val="20"/>
        </w:rPr>
      </w:pPr>
      <w:r w:rsidRPr="003B6AA9">
        <w:rPr>
          <w:sz w:val="20"/>
          <w:szCs w:val="20"/>
        </w:rPr>
        <w:t xml:space="preserve">Members of the </w:t>
      </w:r>
      <w:r w:rsidR="00E4429E" w:rsidRPr="003B6AA9">
        <w:rPr>
          <w:sz w:val="20"/>
          <w:szCs w:val="20"/>
        </w:rPr>
        <w:t>2010 Transport Project Steering</w:t>
      </w:r>
      <w:r w:rsidRPr="003B6AA9">
        <w:rPr>
          <w:sz w:val="20"/>
          <w:szCs w:val="20"/>
        </w:rPr>
        <w:t xml:space="preserve"> Committee</w:t>
      </w:r>
      <w:r w:rsidR="00FF11D9" w:rsidRPr="003B6AA9">
        <w:rPr>
          <w:sz w:val="20"/>
          <w:szCs w:val="20"/>
        </w:rPr>
        <w:t>;</w:t>
      </w:r>
    </w:p>
    <w:p w:rsidR="003B6AA9" w:rsidRPr="003B6AA9" w:rsidRDefault="003B6AA9" w:rsidP="006B599D">
      <w:pPr>
        <w:numPr>
          <w:ilvl w:val="0"/>
          <w:numId w:val="17"/>
        </w:numPr>
        <w:tabs>
          <w:tab w:val="center" w:pos="4680"/>
        </w:tabs>
        <w:jc w:val="both"/>
        <w:rPr>
          <w:sz w:val="20"/>
          <w:szCs w:val="20"/>
        </w:rPr>
      </w:pPr>
      <w:r w:rsidRPr="003B6AA9">
        <w:rPr>
          <w:sz w:val="20"/>
          <w:szCs w:val="20"/>
        </w:rPr>
        <w:t xml:space="preserve">UNDP Programme Manager for </w:t>
      </w:r>
      <w:r w:rsidR="005E20CD" w:rsidRPr="003B6AA9">
        <w:rPr>
          <w:sz w:val="20"/>
          <w:szCs w:val="20"/>
        </w:rPr>
        <w:t>Environment</w:t>
      </w:r>
      <w:r w:rsidRPr="003B6AA9">
        <w:rPr>
          <w:sz w:val="20"/>
          <w:szCs w:val="20"/>
        </w:rPr>
        <w:t xml:space="preserve"> and Energy;</w:t>
      </w:r>
    </w:p>
    <w:p w:rsidR="003B6AA9" w:rsidRPr="003B6AA9" w:rsidRDefault="003B6AA9" w:rsidP="006B599D">
      <w:pPr>
        <w:numPr>
          <w:ilvl w:val="0"/>
          <w:numId w:val="17"/>
        </w:numPr>
        <w:tabs>
          <w:tab w:val="center" w:pos="4680"/>
        </w:tabs>
        <w:jc w:val="both"/>
        <w:rPr>
          <w:sz w:val="20"/>
          <w:szCs w:val="20"/>
        </w:rPr>
      </w:pPr>
      <w:r w:rsidRPr="003B6AA9">
        <w:rPr>
          <w:sz w:val="20"/>
          <w:szCs w:val="20"/>
        </w:rPr>
        <w:t>UNDP RTA for Climate Change Mitigation;</w:t>
      </w:r>
    </w:p>
    <w:p w:rsidR="00456CA0" w:rsidRPr="003B6AA9" w:rsidRDefault="00456CA0" w:rsidP="006B599D">
      <w:pPr>
        <w:numPr>
          <w:ilvl w:val="0"/>
          <w:numId w:val="17"/>
        </w:numPr>
        <w:jc w:val="both"/>
        <w:rPr>
          <w:sz w:val="20"/>
          <w:szCs w:val="20"/>
        </w:rPr>
      </w:pPr>
      <w:r w:rsidRPr="003B6AA9">
        <w:rPr>
          <w:sz w:val="20"/>
          <w:szCs w:val="20"/>
        </w:rPr>
        <w:lastRenderedPageBreak/>
        <w:t>Project stakeholders and project beneficiaries;</w:t>
      </w:r>
      <w:r w:rsidR="00FF11D9" w:rsidRPr="003B6AA9">
        <w:rPr>
          <w:sz w:val="20"/>
          <w:szCs w:val="20"/>
        </w:rPr>
        <w:t xml:space="preserve"> and</w:t>
      </w:r>
    </w:p>
    <w:p w:rsidR="00D37B2F" w:rsidRPr="003B6AA9" w:rsidRDefault="00456CA0" w:rsidP="006B599D">
      <w:pPr>
        <w:pStyle w:val="ListParagraph"/>
        <w:numPr>
          <w:ilvl w:val="0"/>
          <w:numId w:val="17"/>
        </w:numPr>
        <w:tabs>
          <w:tab w:val="center" w:pos="4680"/>
        </w:tabs>
        <w:jc w:val="both"/>
        <w:rPr>
          <w:sz w:val="20"/>
          <w:szCs w:val="20"/>
        </w:rPr>
      </w:pPr>
      <w:r w:rsidRPr="003B6AA9">
        <w:rPr>
          <w:sz w:val="20"/>
          <w:szCs w:val="20"/>
        </w:rPr>
        <w:t xml:space="preserve">Relevant staff of DEA including </w:t>
      </w:r>
      <w:r w:rsidR="00FF11D9" w:rsidRPr="003B6AA9">
        <w:rPr>
          <w:sz w:val="20"/>
          <w:szCs w:val="20"/>
        </w:rPr>
        <w:t xml:space="preserve">the </w:t>
      </w:r>
      <w:r w:rsidR="00D37B2F" w:rsidRPr="003B6AA9">
        <w:rPr>
          <w:sz w:val="20"/>
          <w:szCs w:val="20"/>
        </w:rPr>
        <w:t xml:space="preserve">Chief Director, </w:t>
      </w:r>
      <w:r w:rsidR="00FF11D9" w:rsidRPr="003B6AA9">
        <w:rPr>
          <w:sz w:val="20"/>
          <w:szCs w:val="20"/>
        </w:rPr>
        <w:t xml:space="preserve">Zaheer Fakir. </w:t>
      </w:r>
      <w:r w:rsidR="00D37B2F" w:rsidRPr="003B6AA9">
        <w:rPr>
          <w:sz w:val="20"/>
          <w:szCs w:val="20"/>
        </w:rPr>
        <w:t xml:space="preserve"> </w:t>
      </w:r>
    </w:p>
    <w:p w:rsidR="00456CA0" w:rsidRPr="003B6AA9" w:rsidRDefault="00456CA0" w:rsidP="006B599D">
      <w:pPr>
        <w:tabs>
          <w:tab w:val="center" w:pos="4680"/>
        </w:tabs>
        <w:ind w:left="720"/>
        <w:jc w:val="both"/>
        <w:rPr>
          <w:sz w:val="20"/>
          <w:szCs w:val="20"/>
        </w:rPr>
      </w:pPr>
    </w:p>
    <w:p w:rsidR="00456CA0" w:rsidRPr="003B6AA9" w:rsidRDefault="00456CA0" w:rsidP="006B599D">
      <w:pPr>
        <w:jc w:val="both"/>
        <w:rPr>
          <w:sz w:val="20"/>
          <w:szCs w:val="20"/>
        </w:rPr>
      </w:pPr>
      <w:r w:rsidRPr="003B6AA9">
        <w:rPr>
          <w:sz w:val="20"/>
          <w:szCs w:val="20"/>
        </w:rPr>
        <w:t>3. Field Visits</w:t>
      </w:r>
    </w:p>
    <w:p w:rsidR="00AF7B06" w:rsidRDefault="00AF7B06" w:rsidP="006B599D">
      <w:pPr>
        <w:jc w:val="both"/>
        <w:rPr>
          <w:sz w:val="20"/>
          <w:szCs w:val="20"/>
        </w:rPr>
      </w:pPr>
    </w:p>
    <w:p w:rsidR="00D37B2F" w:rsidRPr="003B6AA9" w:rsidRDefault="00456CA0" w:rsidP="006B599D">
      <w:pPr>
        <w:jc w:val="both"/>
        <w:rPr>
          <w:sz w:val="20"/>
          <w:szCs w:val="20"/>
        </w:rPr>
      </w:pPr>
      <w:r w:rsidRPr="003B6AA9">
        <w:rPr>
          <w:sz w:val="20"/>
          <w:szCs w:val="20"/>
        </w:rPr>
        <w:t xml:space="preserve">The following </w:t>
      </w:r>
      <w:r w:rsidR="00FF11D9" w:rsidRPr="003B6AA9">
        <w:rPr>
          <w:sz w:val="20"/>
          <w:szCs w:val="20"/>
        </w:rPr>
        <w:t xml:space="preserve">municipalities </w:t>
      </w:r>
      <w:r w:rsidRPr="003B6AA9">
        <w:rPr>
          <w:sz w:val="20"/>
          <w:szCs w:val="20"/>
        </w:rPr>
        <w:t xml:space="preserve">should be visited: </w:t>
      </w:r>
    </w:p>
    <w:p w:rsidR="00867444" w:rsidRDefault="00FF11D9">
      <w:pPr>
        <w:jc w:val="both"/>
        <w:rPr>
          <w:sz w:val="20"/>
          <w:szCs w:val="20"/>
        </w:rPr>
      </w:pPr>
      <w:r w:rsidRPr="003B6AA9">
        <w:rPr>
          <w:sz w:val="20"/>
          <w:szCs w:val="20"/>
        </w:rPr>
        <w:t xml:space="preserve">City of Cape Town, Mbombela, Mangaung, Rustenburg, Nelson Mandela </w:t>
      </w:r>
      <w:r w:rsidR="00623858" w:rsidRPr="003B6AA9">
        <w:rPr>
          <w:sz w:val="20"/>
          <w:szCs w:val="20"/>
        </w:rPr>
        <w:t>Bay, City</w:t>
      </w:r>
      <w:r w:rsidRPr="003B6AA9">
        <w:rPr>
          <w:sz w:val="20"/>
          <w:szCs w:val="20"/>
        </w:rPr>
        <w:t xml:space="preserve"> of Johannesburg and Polokwane. </w:t>
      </w:r>
    </w:p>
    <w:p w:rsidR="00FF11D9" w:rsidRPr="003B6AA9" w:rsidRDefault="00FF11D9" w:rsidP="006B599D">
      <w:pPr>
        <w:jc w:val="both"/>
        <w:rPr>
          <w:sz w:val="20"/>
          <w:szCs w:val="20"/>
        </w:rPr>
      </w:pPr>
    </w:p>
    <w:p w:rsidR="00456CA0" w:rsidRPr="003B6AA9" w:rsidRDefault="00456CA0" w:rsidP="006B599D">
      <w:pPr>
        <w:jc w:val="both"/>
        <w:rPr>
          <w:sz w:val="20"/>
          <w:szCs w:val="20"/>
        </w:rPr>
      </w:pPr>
      <w:r w:rsidRPr="003B6AA9">
        <w:rPr>
          <w:sz w:val="20"/>
          <w:szCs w:val="20"/>
        </w:rPr>
        <w:t xml:space="preserve">In addition, </w:t>
      </w:r>
      <w:r w:rsidRPr="003B6AA9">
        <w:rPr>
          <w:b/>
          <w:sz w:val="20"/>
          <w:szCs w:val="20"/>
        </w:rPr>
        <w:t>but separate from project staff and their institutions</w:t>
      </w:r>
      <w:r w:rsidRPr="003B6AA9">
        <w:rPr>
          <w:sz w:val="20"/>
          <w:szCs w:val="20"/>
        </w:rPr>
        <w:t>, the evaluators will need to specifically meet with selected communities (intended beneficiaries of</w:t>
      </w:r>
      <w:r w:rsidR="00FF11D9" w:rsidRPr="003B6AA9">
        <w:rPr>
          <w:sz w:val="20"/>
          <w:szCs w:val="20"/>
        </w:rPr>
        <w:t xml:space="preserve"> the</w:t>
      </w:r>
      <w:r w:rsidRPr="003B6AA9">
        <w:rPr>
          <w:sz w:val="20"/>
          <w:szCs w:val="20"/>
        </w:rPr>
        <w:t xml:space="preserve"> </w:t>
      </w:r>
      <w:r w:rsidR="00E4429E" w:rsidRPr="003B6AA9">
        <w:rPr>
          <w:sz w:val="20"/>
          <w:szCs w:val="20"/>
        </w:rPr>
        <w:t>2010 Transport Project</w:t>
      </w:r>
      <w:r w:rsidR="00AF7B06">
        <w:rPr>
          <w:sz w:val="20"/>
          <w:szCs w:val="20"/>
        </w:rPr>
        <w:t xml:space="preserve">) </w:t>
      </w:r>
      <w:r w:rsidRPr="003B6AA9">
        <w:rPr>
          <w:sz w:val="20"/>
          <w:szCs w:val="20"/>
        </w:rPr>
        <w:t xml:space="preserve">during the field visits.  </w:t>
      </w:r>
    </w:p>
    <w:p w:rsidR="00456CA0" w:rsidRPr="003B6AA9" w:rsidRDefault="00456CA0" w:rsidP="006B599D">
      <w:pPr>
        <w:jc w:val="both"/>
        <w:rPr>
          <w:sz w:val="20"/>
          <w:szCs w:val="20"/>
        </w:rPr>
      </w:pPr>
    </w:p>
    <w:p w:rsidR="00456CA0" w:rsidRDefault="00456CA0" w:rsidP="006B599D">
      <w:pPr>
        <w:pStyle w:val="Heading1"/>
        <w:numPr>
          <w:ilvl w:val="0"/>
          <w:numId w:val="30"/>
        </w:numPr>
        <w:rPr>
          <w:sz w:val="20"/>
          <w:szCs w:val="20"/>
        </w:rPr>
      </w:pPr>
      <w:r w:rsidRPr="003B6AA9">
        <w:rPr>
          <w:sz w:val="20"/>
          <w:szCs w:val="20"/>
        </w:rPr>
        <w:t>Evaluation Team</w:t>
      </w:r>
      <w:r w:rsidR="00490525" w:rsidRPr="003B6AA9">
        <w:rPr>
          <w:sz w:val="20"/>
          <w:szCs w:val="20"/>
        </w:rPr>
        <w:t>—</w:t>
      </w:r>
      <w:r w:rsidR="002805E1" w:rsidRPr="003B6AA9">
        <w:rPr>
          <w:sz w:val="20"/>
          <w:szCs w:val="20"/>
        </w:rPr>
        <w:t xml:space="preserve">tasks, </w:t>
      </w:r>
      <w:r w:rsidR="00490525" w:rsidRPr="003B6AA9">
        <w:rPr>
          <w:sz w:val="20"/>
          <w:szCs w:val="20"/>
        </w:rPr>
        <w:t>qualities and requirements</w:t>
      </w:r>
    </w:p>
    <w:p w:rsidR="00867444" w:rsidRDefault="00867444"/>
    <w:p w:rsidR="00456CA0" w:rsidRPr="003B6AA9" w:rsidRDefault="00456CA0" w:rsidP="006B599D">
      <w:pPr>
        <w:pStyle w:val="BodyText"/>
        <w:jc w:val="both"/>
        <w:rPr>
          <w:sz w:val="20"/>
          <w:szCs w:val="20"/>
        </w:rPr>
      </w:pPr>
      <w:r w:rsidRPr="003B6AA9">
        <w:rPr>
          <w:sz w:val="20"/>
          <w:szCs w:val="20"/>
        </w:rPr>
        <w:t xml:space="preserve">The MTE </w:t>
      </w:r>
      <w:r w:rsidR="00554D77">
        <w:rPr>
          <w:sz w:val="20"/>
          <w:szCs w:val="20"/>
        </w:rPr>
        <w:t>Evaluator/</w:t>
      </w:r>
      <w:r w:rsidRPr="003B6AA9">
        <w:rPr>
          <w:sz w:val="20"/>
          <w:szCs w:val="20"/>
        </w:rPr>
        <w:t xml:space="preserve">Team will be responsible for the delivery, content, technical quality and accuracy of the evaluation, as well as the </w:t>
      </w:r>
      <w:r w:rsidR="00E00BD0">
        <w:rPr>
          <w:sz w:val="20"/>
          <w:szCs w:val="20"/>
        </w:rPr>
        <w:t xml:space="preserve">identification of strategic </w:t>
      </w:r>
      <w:r w:rsidRPr="003B6AA9">
        <w:rPr>
          <w:sz w:val="20"/>
          <w:szCs w:val="20"/>
        </w:rPr>
        <w:t>recommendations.</w:t>
      </w:r>
    </w:p>
    <w:p w:rsidR="002805E1" w:rsidRPr="003B6AA9" w:rsidRDefault="002805E1" w:rsidP="006B599D">
      <w:pPr>
        <w:pStyle w:val="BodyText"/>
        <w:jc w:val="both"/>
        <w:rPr>
          <w:sz w:val="20"/>
          <w:szCs w:val="20"/>
        </w:rPr>
      </w:pPr>
    </w:p>
    <w:p w:rsidR="002805E1" w:rsidRPr="003B6AA9" w:rsidRDefault="002805E1" w:rsidP="006B599D">
      <w:pPr>
        <w:jc w:val="both"/>
        <w:rPr>
          <w:b/>
          <w:sz w:val="20"/>
          <w:szCs w:val="20"/>
        </w:rPr>
      </w:pPr>
      <w:r w:rsidRPr="003B6AA9">
        <w:rPr>
          <w:b/>
          <w:sz w:val="20"/>
          <w:szCs w:val="20"/>
        </w:rPr>
        <w:t>Specific tasks</w:t>
      </w:r>
    </w:p>
    <w:p w:rsidR="002805E1" w:rsidRPr="003B6AA9" w:rsidRDefault="002805E1" w:rsidP="006B599D">
      <w:pPr>
        <w:jc w:val="both"/>
        <w:rPr>
          <w:sz w:val="20"/>
          <w:szCs w:val="20"/>
        </w:rPr>
      </w:pPr>
      <w:r w:rsidRPr="003B6AA9">
        <w:rPr>
          <w:sz w:val="20"/>
          <w:szCs w:val="20"/>
        </w:rPr>
        <w:t xml:space="preserve">Focusing on the </w:t>
      </w:r>
      <w:r w:rsidR="004A19D3" w:rsidRPr="003B6AA9">
        <w:rPr>
          <w:sz w:val="20"/>
          <w:szCs w:val="20"/>
        </w:rPr>
        <w:t>2010 Transport Project</w:t>
      </w:r>
      <w:r w:rsidRPr="003B6AA9">
        <w:rPr>
          <w:sz w:val="20"/>
          <w:szCs w:val="20"/>
        </w:rPr>
        <w:t xml:space="preserve">, the MTE will specifically: </w:t>
      </w:r>
    </w:p>
    <w:p w:rsidR="002805E1" w:rsidRPr="003B6AA9" w:rsidRDefault="002805E1" w:rsidP="006B599D">
      <w:pPr>
        <w:jc w:val="both"/>
        <w:rPr>
          <w:sz w:val="20"/>
          <w:szCs w:val="20"/>
        </w:rPr>
      </w:pPr>
    </w:p>
    <w:p w:rsidR="002805E1" w:rsidRPr="003B6AA9" w:rsidRDefault="002805E1" w:rsidP="006B599D">
      <w:pPr>
        <w:numPr>
          <w:ilvl w:val="0"/>
          <w:numId w:val="14"/>
        </w:numPr>
        <w:jc w:val="both"/>
        <w:rPr>
          <w:sz w:val="20"/>
          <w:szCs w:val="20"/>
        </w:rPr>
      </w:pPr>
      <w:r w:rsidRPr="003B6AA9">
        <w:rPr>
          <w:sz w:val="20"/>
          <w:szCs w:val="20"/>
        </w:rPr>
        <w:t>Consider current, and projected, progress towards targets</w:t>
      </w:r>
      <w:r w:rsidR="007439B7" w:rsidRPr="003B6AA9">
        <w:rPr>
          <w:sz w:val="20"/>
          <w:szCs w:val="20"/>
        </w:rPr>
        <w:t xml:space="preserve"> </w:t>
      </w:r>
      <w:r w:rsidR="00CC0B2A" w:rsidRPr="003B6AA9">
        <w:rPr>
          <w:sz w:val="20"/>
          <w:szCs w:val="20"/>
        </w:rPr>
        <w:t xml:space="preserve">and present a rating of this </w:t>
      </w:r>
      <w:r w:rsidR="00FD4730" w:rsidRPr="003B6AA9">
        <w:rPr>
          <w:sz w:val="20"/>
          <w:szCs w:val="20"/>
        </w:rPr>
        <w:t xml:space="preserve">using </w:t>
      </w:r>
      <w:r w:rsidR="00CC0B2A" w:rsidRPr="003B6AA9">
        <w:rPr>
          <w:sz w:val="20"/>
          <w:szCs w:val="20"/>
        </w:rPr>
        <w:t xml:space="preserve">the </w:t>
      </w:r>
      <w:r w:rsidR="00FD4730" w:rsidRPr="003B6AA9">
        <w:rPr>
          <w:sz w:val="20"/>
          <w:szCs w:val="20"/>
        </w:rPr>
        <w:t xml:space="preserve">six </w:t>
      </w:r>
      <w:r w:rsidR="00CC0B2A" w:rsidRPr="003B6AA9">
        <w:rPr>
          <w:sz w:val="20"/>
          <w:szCs w:val="20"/>
        </w:rPr>
        <w:t xml:space="preserve">point rating scale;  </w:t>
      </w:r>
    </w:p>
    <w:p w:rsidR="002805E1" w:rsidRPr="003B6AA9" w:rsidRDefault="002805E1" w:rsidP="006B599D">
      <w:pPr>
        <w:numPr>
          <w:ilvl w:val="0"/>
          <w:numId w:val="14"/>
        </w:numPr>
        <w:jc w:val="both"/>
        <w:rPr>
          <w:sz w:val="20"/>
          <w:szCs w:val="20"/>
        </w:rPr>
      </w:pPr>
      <w:r w:rsidRPr="003B6AA9">
        <w:rPr>
          <w:sz w:val="20"/>
          <w:szCs w:val="20"/>
        </w:rPr>
        <w:t>Examine effectiveness, efficiency and timeliness of implementation</w:t>
      </w:r>
      <w:r w:rsidR="007439B7" w:rsidRPr="003B6AA9">
        <w:rPr>
          <w:sz w:val="20"/>
          <w:szCs w:val="20"/>
        </w:rPr>
        <w:t xml:space="preserve"> </w:t>
      </w:r>
      <w:r w:rsidR="00CC0B2A" w:rsidRPr="003B6AA9">
        <w:rPr>
          <w:sz w:val="20"/>
          <w:szCs w:val="20"/>
        </w:rPr>
        <w:t xml:space="preserve">and provide a rating of project implementation employing the six point rating scale; </w:t>
      </w:r>
    </w:p>
    <w:p w:rsidR="002805E1" w:rsidRPr="003B6AA9" w:rsidRDefault="002805E1" w:rsidP="006B599D">
      <w:pPr>
        <w:numPr>
          <w:ilvl w:val="0"/>
          <w:numId w:val="14"/>
        </w:numPr>
        <w:jc w:val="both"/>
        <w:rPr>
          <w:sz w:val="20"/>
          <w:szCs w:val="20"/>
        </w:rPr>
      </w:pPr>
      <w:r w:rsidRPr="003B6AA9">
        <w:rPr>
          <w:sz w:val="20"/>
          <w:szCs w:val="20"/>
        </w:rPr>
        <w:t>Examine project impact to date, including positive and negative, and intended and unintended impacts;</w:t>
      </w:r>
    </w:p>
    <w:p w:rsidR="007439B7" w:rsidRPr="003B6AA9" w:rsidRDefault="002805E1" w:rsidP="006B599D">
      <w:pPr>
        <w:numPr>
          <w:ilvl w:val="0"/>
          <w:numId w:val="14"/>
        </w:numPr>
        <w:jc w:val="both"/>
        <w:rPr>
          <w:sz w:val="20"/>
          <w:szCs w:val="20"/>
        </w:rPr>
      </w:pPr>
      <w:r w:rsidRPr="003B6AA9">
        <w:rPr>
          <w:sz w:val="20"/>
          <w:szCs w:val="20"/>
        </w:rPr>
        <w:t>Meet with key project stakeholders, including institutional representatives, communities, the private sector, NGOs, and academia;</w:t>
      </w:r>
      <w:r w:rsidR="00E4429E" w:rsidRPr="003B6AA9">
        <w:rPr>
          <w:sz w:val="20"/>
          <w:szCs w:val="20"/>
        </w:rPr>
        <w:t xml:space="preserve"> </w:t>
      </w:r>
      <w:r w:rsidR="00CC0B2A" w:rsidRPr="003B6AA9">
        <w:rPr>
          <w:sz w:val="20"/>
          <w:szCs w:val="20"/>
        </w:rPr>
        <w:t xml:space="preserve">Comment on </w:t>
      </w:r>
      <w:r w:rsidR="00455AAE" w:rsidRPr="003B6AA9">
        <w:rPr>
          <w:sz w:val="20"/>
          <w:szCs w:val="20"/>
        </w:rPr>
        <w:t>(</w:t>
      </w:r>
      <w:r w:rsidR="00CC0B2A" w:rsidRPr="003B6AA9">
        <w:rPr>
          <w:sz w:val="20"/>
          <w:szCs w:val="20"/>
        </w:rPr>
        <w:t>tracking of</w:t>
      </w:r>
      <w:r w:rsidR="00455AAE" w:rsidRPr="003B6AA9">
        <w:rPr>
          <w:sz w:val="20"/>
          <w:szCs w:val="20"/>
        </w:rPr>
        <w:t>)</w:t>
      </w:r>
      <w:r w:rsidR="00CC0B2A" w:rsidRPr="003B6AA9">
        <w:rPr>
          <w:sz w:val="20"/>
          <w:szCs w:val="20"/>
        </w:rPr>
        <w:t xml:space="preserve"> </w:t>
      </w:r>
      <w:r w:rsidR="007439B7" w:rsidRPr="003B6AA9">
        <w:rPr>
          <w:sz w:val="20"/>
          <w:szCs w:val="20"/>
        </w:rPr>
        <w:t xml:space="preserve">the </w:t>
      </w:r>
      <w:r w:rsidR="00CC0B2A" w:rsidRPr="003B6AA9">
        <w:rPr>
          <w:sz w:val="20"/>
          <w:szCs w:val="20"/>
        </w:rPr>
        <w:t>co-financing for the project;</w:t>
      </w:r>
    </w:p>
    <w:p w:rsidR="002805E1" w:rsidRPr="003B6AA9" w:rsidRDefault="002805E1" w:rsidP="006B599D">
      <w:pPr>
        <w:numPr>
          <w:ilvl w:val="0"/>
          <w:numId w:val="14"/>
        </w:numPr>
        <w:jc w:val="both"/>
        <w:rPr>
          <w:sz w:val="20"/>
          <w:szCs w:val="20"/>
        </w:rPr>
      </w:pPr>
      <w:r w:rsidRPr="003B6AA9">
        <w:rPr>
          <w:sz w:val="20"/>
          <w:szCs w:val="20"/>
        </w:rPr>
        <w:t xml:space="preserve">Assess the potential development impacts of the project, focusing on (a) benefits delivered by the project, and (b) main beneficiaries of these benefits; </w:t>
      </w:r>
    </w:p>
    <w:p w:rsidR="002805E1" w:rsidRPr="003B6AA9" w:rsidRDefault="00CC0B2A" w:rsidP="006B599D">
      <w:pPr>
        <w:numPr>
          <w:ilvl w:val="0"/>
          <w:numId w:val="14"/>
        </w:numPr>
        <w:jc w:val="both"/>
        <w:rPr>
          <w:sz w:val="20"/>
          <w:szCs w:val="20"/>
        </w:rPr>
      </w:pPr>
      <w:r w:rsidRPr="003B6AA9">
        <w:rPr>
          <w:sz w:val="20"/>
          <w:szCs w:val="20"/>
        </w:rPr>
        <w:t>Assess project sustainability (with a focus on key issues);</w:t>
      </w:r>
    </w:p>
    <w:p w:rsidR="002805E1" w:rsidRPr="003B6AA9" w:rsidRDefault="00CC0B2A" w:rsidP="006B599D">
      <w:pPr>
        <w:numPr>
          <w:ilvl w:val="0"/>
          <w:numId w:val="14"/>
        </w:numPr>
        <w:jc w:val="both"/>
        <w:rPr>
          <w:sz w:val="20"/>
          <w:szCs w:val="20"/>
        </w:rPr>
      </w:pPr>
      <w:r w:rsidRPr="003B6AA9">
        <w:rPr>
          <w:sz w:val="20"/>
          <w:szCs w:val="20"/>
        </w:rPr>
        <w:t>Comment specifically on governance and stakeholder engagement process</w:t>
      </w:r>
      <w:r w:rsidR="002805E1" w:rsidRPr="003B6AA9">
        <w:rPr>
          <w:sz w:val="20"/>
          <w:szCs w:val="20"/>
        </w:rPr>
        <w:t>es;</w:t>
      </w:r>
    </w:p>
    <w:p w:rsidR="002805E1" w:rsidRPr="003B6AA9" w:rsidRDefault="002805E1" w:rsidP="006B599D">
      <w:pPr>
        <w:numPr>
          <w:ilvl w:val="0"/>
          <w:numId w:val="14"/>
        </w:numPr>
        <w:jc w:val="both"/>
        <w:rPr>
          <w:sz w:val="20"/>
          <w:szCs w:val="20"/>
        </w:rPr>
      </w:pPr>
      <w:r w:rsidRPr="003B6AA9">
        <w:rPr>
          <w:sz w:val="20"/>
          <w:szCs w:val="20"/>
        </w:rPr>
        <w:t>Identify deviations, reassess assumptions, consider changing conditions and risks;</w:t>
      </w:r>
    </w:p>
    <w:p w:rsidR="002805E1" w:rsidRPr="003B6AA9" w:rsidRDefault="002805E1" w:rsidP="006B599D">
      <w:pPr>
        <w:numPr>
          <w:ilvl w:val="0"/>
          <w:numId w:val="14"/>
        </w:numPr>
        <w:jc w:val="both"/>
        <w:rPr>
          <w:sz w:val="20"/>
          <w:szCs w:val="20"/>
        </w:rPr>
      </w:pPr>
      <w:r w:rsidRPr="003B6AA9">
        <w:rPr>
          <w:sz w:val="20"/>
          <w:szCs w:val="20"/>
        </w:rPr>
        <w:t xml:space="preserve">Highlight issues requiring decision or action at Mid-Term </w:t>
      </w:r>
      <w:r w:rsidR="005D2685">
        <w:rPr>
          <w:sz w:val="20"/>
          <w:szCs w:val="20"/>
        </w:rPr>
        <w:t>Evaluation</w:t>
      </w:r>
      <w:r w:rsidRPr="003B6AA9">
        <w:rPr>
          <w:sz w:val="20"/>
          <w:szCs w:val="20"/>
        </w:rPr>
        <w:t>, and make specific recommendations to ensure that project achieves its development objectives efficiently by closing date (</w:t>
      </w:r>
      <w:r w:rsidR="00E4429E" w:rsidRPr="003B6AA9">
        <w:rPr>
          <w:sz w:val="20"/>
          <w:szCs w:val="20"/>
        </w:rPr>
        <w:t>2012</w:t>
      </w:r>
      <w:r w:rsidRPr="003B6AA9">
        <w:rPr>
          <w:sz w:val="20"/>
          <w:szCs w:val="20"/>
        </w:rPr>
        <w:t xml:space="preserve">);   </w:t>
      </w:r>
    </w:p>
    <w:p w:rsidR="002805E1" w:rsidRPr="003B6AA9" w:rsidRDefault="002805E1" w:rsidP="006B599D">
      <w:pPr>
        <w:numPr>
          <w:ilvl w:val="0"/>
          <w:numId w:val="14"/>
        </w:numPr>
        <w:jc w:val="both"/>
        <w:rPr>
          <w:sz w:val="20"/>
          <w:szCs w:val="20"/>
        </w:rPr>
      </w:pPr>
      <w:r w:rsidRPr="003B6AA9">
        <w:rPr>
          <w:sz w:val="20"/>
          <w:szCs w:val="20"/>
        </w:rPr>
        <w:t>Present initial “lessons learned” about project design, implementation and management;</w:t>
      </w:r>
    </w:p>
    <w:p w:rsidR="002805E1" w:rsidRPr="003B6AA9" w:rsidRDefault="00FD4730" w:rsidP="006B599D">
      <w:pPr>
        <w:numPr>
          <w:ilvl w:val="0"/>
          <w:numId w:val="14"/>
        </w:numPr>
        <w:jc w:val="both"/>
        <w:rPr>
          <w:sz w:val="20"/>
          <w:szCs w:val="20"/>
        </w:rPr>
      </w:pPr>
      <w:r w:rsidRPr="003B6AA9">
        <w:rPr>
          <w:sz w:val="20"/>
          <w:szCs w:val="20"/>
        </w:rPr>
        <w:t>Finalize</w:t>
      </w:r>
      <w:r w:rsidR="002805E1" w:rsidRPr="003B6AA9">
        <w:rPr>
          <w:sz w:val="20"/>
          <w:szCs w:val="20"/>
        </w:rPr>
        <w:t xml:space="preserve"> the MTE Document; and, </w:t>
      </w:r>
    </w:p>
    <w:p w:rsidR="002805E1" w:rsidRPr="003B6AA9" w:rsidRDefault="002805E1" w:rsidP="006B599D">
      <w:pPr>
        <w:numPr>
          <w:ilvl w:val="0"/>
          <w:numId w:val="14"/>
        </w:numPr>
        <w:jc w:val="both"/>
        <w:rPr>
          <w:sz w:val="20"/>
          <w:szCs w:val="20"/>
        </w:rPr>
      </w:pPr>
      <w:r w:rsidRPr="003B6AA9">
        <w:rPr>
          <w:sz w:val="20"/>
          <w:szCs w:val="20"/>
        </w:rPr>
        <w:t xml:space="preserve">Present findings of MTE to </w:t>
      </w:r>
      <w:r w:rsidR="005D2685">
        <w:rPr>
          <w:sz w:val="20"/>
          <w:szCs w:val="20"/>
        </w:rPr>
        <w:t xml:space="preserve">a </w:t>
      </w:r>
      <w:r w:rsidRPr="003B6AA9">
        <w:rPr>
          <w:sz w:val="20"/>
          <w:szCs w:val="20"/>
        </w:rPr>
        <w:t xml:space="preserve">joint UNDP </w:t>
      </w:r>
      <w:r w:rsidR="005D2685">
        <w:rPr>
          <w:sz w:val="20"/>
          <w:szCs w:val="20"/>
        </w:rPr>
        <w:t>evaluation</w:t>
      </w:r>
      <w:r w:rsidR="005D2685" w:rsidRPr="003B6AA9">
        <w:rPr>
          <w:sz w:val="20"/>
          <w:szCs w:val="20"/>
        </w:rPr>
        <w:t xml:space="preserve"> </w:t>
      </w:r>
      <w:r w:rsidRPr="003B6AA9">
        <w:rPr>
          <w:sz w:val="20"/>
          <w:szCs w:val="20"/>
        </w:rPr>
        <w:t>and supervision mission (date).</w:t>
      </w:r>
    </w:p>
    <w:p w:rsidR="00490525" w:rsidRPr="003B6AA9" w:rsidRDefault="00490525" w:rsidP="006B599D">
      <w:pPr>
        <w:pStyle w:val="BodyText"/>
        <w:jc w:val="both"/>
        <w:rPr>
          <w:sz w:val="20"/>
          <w:szCs w:val="20"/>
        </w:rPr>
      </w:pPr>
    </w:p>
    <w:p w:rsidR="00490525" w:rsidRPr="003B6AA9" w:rsidRDefault="00D32C5F" w:rsidP="006B599D">
      <w:pPr>
        <w:pStyle w:val="BodyText"/>
        <w:jc w:val="both"/>
        <w:rPr>
          <w:sz w:val="20"/>
          <w:szCs w:val="20"/>
        </w:rPr>
      </w:pPr>
      <w:r w:rsidRPr="003B6AA9">
        <w:rPr>
          <w:b/>
          <w:sz w:val="20"/>
          <w:szCs w:val="20"/>
        </w:rPr>
        <w:t>Qualification</w:t>
      </w:r>
      <w:r w:rsidR="00490525" w:rsidRPr="003B6AA9">
        <w:rPr>
          <w:sz w:val="20"/>
          <w:szCs w:val="20"/>
        </w:rPr>
        <w:t xml:space="preserve"> </w:t>
      </w:r>
    </w:p>
    <w:p w:rsidR="00490525" w:rsidRPr="003B6AA9" w:rsidRDefault="002805E1" w:rsidP="006B599D">
      <w:pPr>
        <w:pStyle w:val="BodyText"/>
        <w:jc w:val="both"/>
        <w:rPr>
          <w:sz w:val="20"/>
          <w:szCs w:val="20"/>
        </w:rPr>
      </w:pPr>
      <w:r w:rsidRPr="003B6AA9">
        <w:rPr>
          <w:sz w:val="20"/>
          <w:szCs w:val="20"/>
        </w:rPr>
        <w:t>The team should ideally have the following competencies and attributes</w:t>
      </w:r>
      <w:r w:rsidR="00FF11D9" w:rsidRPr="003B6AA9">
        <w:rPr>
          <w:sz w:val="20"/>
          <w:szCs w:val="20"/>
        </w:rPr>
        <w:t>:</w:t>
      </w:r>
    </w:p>
    <w:p w:rsidR="00456CA0" w:rsidRPr="003B6AA9" w:rsidRDefault="00456CA0" w:rsidP="006B599D">
      <w:pPr>
        <w:pStyle w:val="BodyText"/>
        <w:jc w:val="both"/>
        <w:rPr>
          <w:sz w:val="20"/>
          <w:szCs w:val="20"/>
        </w:rPr>
      </w:pPr>
    </w:p>
    <w:p w:rsidR="00456CA0" w:rsidRPr="003B6AA9" w:rsidRDefault="00CC0B2A" w:rsidP="006B599D">
      <w:pPr>
        <w:pStyle w:val="BodyText"/>
        <w:jc w:val="both"/>
        <w:rPr>
          <w:sz w:val="20"/>
          <w:szCs w:val="20"/>
        </w:rPr>
      </w:pPr>
      <w:r w:rsidRPr="003B6AA9">
        <w:rPr>
          <w:b/>
          <w:sz w:val="20"/>
          <w:szCs w:val="20"/>
        </w:rPr>
        <w:t>Skills and experiences required</w:t>
      </w:r>
    </w:p>
    <w:p w:rsidR="00456CA0" w:rsidRPr="003B6AA9" w:rsidRDefault="003B6AA9" w:rsidP="006B599D">
      <w:pPr>
        <w:pStyle w:val="BodyText"/>
        <w:numPr>
          <w:ilvl w:val="0"/>
          <w:numId w:val="18"/>
        </w:numPr>
        <w:jc w:val="both"/>
        <w:rPr>
          <w:sz w:val="20"/>
          <w:szCs w:val="20"/>
        </w:rPr>
      </w:pPr>
      <w:r w:rsidRPr="003B6AA9">
        <w:rPr>
          <w:sz w:val="20"/>
          <w:szCs w:val="20"/>
        </w:rPr>
        <w:t>Knowledge of the p</w:t>
      </w:r>
      <w:r w:rsidR="00E4429E" w:rsidRPr="003B6AA9">
        <w:rPr>
          <w:sz w:val="20"/>
          <w:szCs w:val="20"/>
        </w:rPr>
        <w:t>ublic transport system in South Africa</w:t>
      </w:r>
      <w:r w:rsidR="0057183E" w:rsidRPr="003B6AA9">
        <w:rPr>
          <w:sz w:val="20"/>
          <w:szCs w:val="20"/>
        </w:rPr>
        <w:t>;</w:t>
      </w:r>
    </w:p>
    <w:p w:rsidR="0057183E" w:rsidRPr="003B6AA9" w:rsidRDefault="003B6AA9" w:rsidP="006B599D">
      <w:pPr>
        <w:pStyle w:val="BodyText"/>
        <w:numPr>
          <w:ilvl w:val="0"/>
          <w:numId w:val="18"/>
        </w:numPr>
        <w:jc w:val="both"/>
        <w:rPr>
          <w:sz w:val="20"/>
          <w:szCs w:val="20"/>
        </w:rPr>
      </w:pPr>
      <w:r w:rsidRPr="003B6AA9">
        <w:rPr>
          <w:sz w:val="20"/>
          <w:szCs w:val="20"/>
        </w:rPr>
        <w:t>Understanding of p</w:t>
      </w:r>
      <w:r w:rsidR="0057183E" w:rsidRPr="003B6AA9">
        <w:rPr>
          <w:sz w:val="20"/>
          <w:szCs w:val="20"/>
        </w:rPr>
        <w:t xml:space="preserve">olicies </w:t>
      </w:r>
      <w:r w:rsidR="00AF7B06">
        <w:rPr>
          <w:sz w:val="20"/>
          <w:szCs w:val="20"/>
        </w:rPr>
        <w:t>related to</w:t>
      </w:r>
      <w:r w:rsidR="0057183E" w:rsidRPr="003B6AA9">
        <w:rPr>
          <w:sz w:val="20"/>
          <w:szCs w:val="20"/>
        </w:rPr>
        <w:t xml:space="preserve"> public transport in South Africa;</w:t>
      </w:r>
    </w:p>
    <w:p w:rsidR="00456CA0" w:rsidRDefault="00AF7B06" w:rsidP="006B599D">
      <w:pPr>
        <w:pStyle w:val="BodyText"/>
        <w:numPr>
          <w:ilvl w:val="0"/>
          <w:numId w:val="18"/>
        </w:numPr>
        <w:jc w:val="both"/>
        <w:rPr>
          <w:sz w:val="20"/>
          <w:szCs w:val="20"/>
        </w:rPr>
      </w:pPr>
      <w:r>
        <w:rPr>
          <w:sz w:val="20"/>
          <w:szCs w:val="20"/>
        </w:rPr>
        <w:t>Familiarity with the linkages between the transportation sector and climate change;</w:t>
      </w:r>
    </w:p>
    <w:p w:rsidR="00AF7B06" w:rsidRPr="00AF7B06" w:rsidRDefault="00AF7B06" w:rsidP="00AF7B06">
      <w:pPr>
        <w:pStyle w:val="BodyText"/>
        <w:numPr>
          <w:ilvl w:val="0"/>
          <w:numId w:val="18"/>
        </w:numPr>
        <w:jc w:val="both"/>
        <w:rPr>
          <w:sz w:val="20"/>
          <w:szCs w:val="20"/>
        </w:rPr>
      </w:pPr>
      <w:r w:rsidRPr="00AF7B06">
        <w:rPr>
          <w:sz w:val="20"/>
          <w:szCs w:val="20"/>
        </w:rPr>
        <w:t>Proven expertise in evaluating multifaceted programmes/projects and results-oriented monitoring and evaluation;</w:t>
      </w:r>
    </w:p>
    <w:p w:rsidR="00AF7B06" w:rsidRPr="00D317C7" w:rsidRDefault="00AF7B06" w:rsidP="00AF7B06">
      <w:pPr>
        <w:pStyle w:val="BodyText"/>
        <w:numPr>
          <w:ilvl w:val="0"/>
          <w:numId w:val="18"/>
        </w:numPr>
        <w:jc w:val="both"/>
        <w:rPr>
          <w:sz w:val="20"/>
          <w:szCs w:val="20"/>
        </w:rPr>
      </w:pPr>
      <w:r w:rsidRPr="00AF7B06">
        <w:rPr>
          <w:sz w:val="20"/>
          <w:szCs w:val="20"/>
        </w:rPr>
        <w:t xml:space="preserve">Previous experience in evaluating programmes/project for UNDP or other UN/multilateral </w:t>
      </w:r>
      <w:r w:rsidR="00AA1C22" w:rsidRPr="00AA1C22">
        <w:rPr>
          <w:sz w:val="20"/>
          <w:szCs w:val="20"/>
        </w:rPr>
        <w:t xml:space="preserve">agencies is essential; previous </w:t>
      </w:r>
    </w:p>
    <w:p w:rsidR="00D317C7" w:rsidRPr="00D317C7" w:rsidRDefault="00291C80" w:rsidP="00D317C7">
      <w:pPr>
        <w:numPr>
          <w:ilvl w:val="0"/>
          <w:numId w:val="36"/>
        </w:numPr>
        <w:jc w:val="both"/>
        <w:rPr>
          <w:sz w:val="20"/>
          <w:szCs w:val="20"/>
        </w:rPr>
      </w:pPr>
      <w:r>
        <w:rPr>
          <w:sz w:val="20"/>
          <w:szCs w:val="20"/>
        </w:rPr>
        <w:t xml:space="preserve">At </w:t>
      </w:r>
      <w:r w:rsidR="00AA1C22" w:rsidRPr="00AA1C22">
        <w:rPr>
          <w:sz w:val="20"/>
          <w:szCs w:val="20"/>
        </w:rPr>
        <w:t>least a Master’s degree in</w:t>
      </w:r>
      <w:r w:rsidR="00D317C7">
        <w:rPr>
          <w:sz w:val="20"/>
          <w:szCs w:val="20"/>
        </w:rPr>
        <w:t xml:space="preserve"> </w:t>
      </w:r>
      <w:r w:rsidR="00AA1C22" w:rsidRPr="00AA1C22">
        <w:rPr>
          <w:sz w:val="20"/>
          <w:szCs w:val="20"/>
        </w:rPr>
        <w:t>Environment, International Development,</w:t>
      </w:r>
      <w:r w:rsidR="00D317C7">
        <w:rPr>
          <w:sz w:val="20"/>
          <w:szCs w:val="20"/>
        </w:rPr>
        <w:t xml:space="preserve"> Economics, </w:t>
      </w:r>
      <w:r w:rsidR="00AA1C22" w:rsidRPr="00AA1C22">
        <w:rPr>
          <w:sz w:val="20"/>
          <w:szCs w:val="20"/>
        </w:rPr>
        <w:t xml:space="preserve">Engineering or other relevant field; </w:t>
      </w:r>
      <w:r w:rsidR="00554D77">
        <w:rPr>
          <w:sz w:val="20"/>
          <w:szCs w:val="20"/>
        </w:rPr>
        <w:t>and</w:t>
      </w:r>
    </w:p>
    <w:p w:rsidR="00A12372" w:rsidRPr="003B6AA9" w:rsidRDefault="00A12372" w:rsidP="006B599D">
      <w:pPr>
        <w:pStyle w:val="BodyText"/>
        <w:numPr>
          <w:ilvl w:val="0"/>
          <w:numId w:val="18"/>
        </w:numPr>
        <w:jc w:val="both"/>
        <w:rPr>
          <w:sz w:val="20"/>
          <w:szCs w:val="20"/>
        </w:rPr>
      </w:pPr>
      <w:r w:rsidRPr="003B6AA9">
        <w:rPr>
          <w:sz w:val="20"/>
          <w:szCs w:val="20"/>
        </w:rPr>
        <w:t xml:space="preserve">Excellent writing </w:t>
      </w:r>
      <w:r w:rsidR="009C583C" w:rsidRPr="003B6AA9">
        <w:rPr>
          <w:sz w:val="20"/>
          <w:szCs w:val="20"/>
        </w:rPr>
        <w:t>and communication skills in English</w:t>
      </w:r>
      <w:r w:rsidR="0057183E" w:rsidRPr="003B6AA9">
        <w:rPr>
          <w:sz w:val="20"/>
          <w:szCs w:val="20"/>
        </w:rPr>
        <w:t>.</w:t>
      </w:r>
      <w:r w:rsidR="009C583C" w:rsidRPr="003B6AA9">
        <w:rPr>
          <w:sz w:val="20"/>
          <w:szCs w:val="20"/>
        </w:rPr>
        <w:t xml:space="preserve"> </w:t>
      </w:r>
    </w:p>
    <w:p w:rsidR="00FF11D9" w:rsidRPr="003B6AA9" w:rsidRDefault="00FF11D9" w:rsidP="006B599D">
      <w:pPr>
        <w:pStyle w:val="BodyText"/>
        <w:ind w:left="720"/>
        <w:jc w:val="both"/>
        <w:rPr>
          <w:sz w:val="20"/>
          <w:szCs w:val="20"/>
        </w:rPr>
      </w:pPr>
    </w:p>
    <w:p w:rsidR="00456CA0" w:rsidRDefault="00456CA0" w:rsidP="006B599D">
      <w:pPr>
        <w:pStyle w:val="Heading1"/>
        <w:numPr>
          <w:ilvl w:val="0"/>
          <w:numId w:val="30"/>
        </w:numPr>
        <w:rPr>
          <w:sz w:val="20"/>
          <w:szCs w:val="20"/>
        </w:rPr>
      </w:pPr>
      <w:r w:rsidRPr="003B6AA9">
        <w:rPr>
          <w:sz w:val="20"/>
          <w:szCs w:val="20"/>
        </w:rPr>
        <w:t xml:space="preserve">Implementation Arrangements </w:t>
      </w:r>
    </w:p>
    <w:p w:rsidR="00867444" w:rsidRDefault="00867444"/>
    <w:p w:rsidR="00456CA0" w:rsidRPr="003B6AA9" w:rsidRDefault="00456CA0" w:rsidP="006B599D">
      <w:pPr>
        <w:jc w:val="both"/>
        <w:rPr>
          <w:sz w:val="20"/>
          <w:szCs w:val="20"/>
        </w:rPr>
      </w:pPr>
      <w:r w:rsidRPr="003B6AA9">
        <w:rPr>
          <w:sz w:val="20"/>
          <w:szCs w:val="20"/>
          <w:u w:val="single"/>
        </w:rPr>
        <w:t>a) Management arrangements</w:t>
      </w:r>
      <w:r w:rsidRPr="003B6AA9">
        <w:rPr>
          <w:sz w:val="20"/>
          <w:szCs w:val="20"/>
        </w:rPr>
        <w:t xml:space="preserve"> – The </w:t>
      </w:r>
      <w:r w:rsidR="004A19D3" w:rsidRPr="003B6AA9">
        <w:rPr>
          <w:sz w:val="20"/>
          <w:szCs w:val="20"/>
        </w:rPr>
        <w:t>2010 Transport Programme</w:t>
      </w:r>
      <w:r w:rsidR="001F1530" w:rsidRPr="003B6AA9">
        <w:rPr>
          <w:sz w:val="20"/>
          <w:szCs w:val="20"/>
        </w:rPr>
        <w:t xml:space="preserve"> </w:t>
      </w:r>
      <w:r w:rsidRPr="003B6AA9">
        <w:rPr>
          <w:sz w:val="20"/>
          <w:szCs w:val="20"/>
        </w:rPr>
        <w:t xml:space="preserve">Coordination Unit </w:t>
      </w:r>
      <w:r w:rsidR="00867444">
        <w:rPr>
          <w:sz w:val="20"/>
          <w:szCs w:val="20"/>
        </w:rPr>
        <w:t xml:space="preserve">with the support of the UNPD CO </w:t>
      </w:r>
      <w:r w:rsidRPr="003B6AA9">
        <w:rPr>
          <w:sz w:val="20"/>
          <w:szCs w:val="20"/>
        </w:rPr>
        <w:t xml:space="preserve">will be responsible for </w:t>
      </w:r>
      <w:r w:rsidRPr="003B6AA9">
        <w:rPr>
          <w:bCs w:val="0"/>
          <w:sz w:val="20"/>
          <w:szCs w:val="20"/>
        </w:rPr>
        <w:t>liaising</w:t>
      </w:r>
      <w:r w:rsidRPr="003B6AA9">
        <w:rPr>
          <w:sz w:val="20"/>
          <w:szCs w:val="20"/>
        </w:rPr>
        <w:t xml:space="preserve"> with the project team to set up the stakeholder interviews, arrange the field</w:t>
      </w:r>
      <w:r w:rsidRPr="003B6AA9">
        <w:rPr>
          <w:color w:val="0000FF"/>
          <w:sz w:val="20"/>
          <w:szCs w:val="20"/>
        </w:rPr>
        <w:t xml:space="preserve"> </w:t>
      </w:r>
      <w:r w:rsidRPr="003B6AA9">
        <w:rPr>
          <w:color w:val="000000"/>
          <w:sz w:val="20"/>
          <w:szCs w:val="20"/>
        </w:rPr>
        <w:t xml:space="preserve">visits, and coordinate travel arrangements within the country for the </w:t>
      </w:r>
      <w:r w:rsidRPr="003B6AA9">
        <w:rPr>
          <w:sz w:val="20"/>
          <w:szCs w:val="20"/>
        </w:rPr>
        <w:t>evaluation team.</w:t>
      </w:r>
    </w:p>
    <w:p w:rsidR="00456CA0" w:rsidRPr="003B6AA9" w:rsidRDefault="00456CA0" w:rsidP="006B599D">
      <w:pPr>
        <w:jc w:val="both"/>
        <w:rPr>
          <w:sz w:val="20"/>
          <w:szCs w:val="20"/>
        </w:rPr>
      </w:pPr>
    </w:p>
    <w:p w:rsidR="00456CA0" w:rsidRPr="003B6AA9" w:rsidRDefault="00456CA0" w:rsidP="006B599D">
      <w:pPr>
        <w:jc w:val="both"/>
        <w:rPr>
          <w:sz w:val="20"/>
          <w:szCs w:val="20"/>
        </w:rPr>
      </w:pPr>
      <w:r w:rsidRPr="003B6AA9">
        <w:rPr>
          <w:sz w:val="20"/>
          <w:szCs w:val="20"/>
        </w:rPr>
        <w:t xml:space="preserve">The </w:t>
      </w:r>
      <w:r w:rsidR="00867444">
        <w:rPr>
          <w:sz w:val="20"/>
          <w:szCs w:val="20"/>
        </w:rPr>
        <w:t>UNDP CO</w:t>
      </w:r>
      <w:r w:rsidRPr="003B6AA9">
        <w:rPr>
          <w:sz w:val="20"/>
          <w:szCs w:val="20"/>
        </w:rPr>
        <w:t xml:space="preserve"> is fully responsible for the quality assurance of the MTE and the final product.</w:t>
      </w:r>
      <w:r w:rsidRPr="003B6AA9" w:rsidDel="00AC768A">
        <w:rPr>
          <w:sz w:val="20"/>
          <w:szCs w:val="20"/>
        </w:rPr>
        <w:t xml:space="preserve"> </w:t>
      </w:r>
    </w:p>
    <w:p w:rsidR="00456CA0" w:rsidRPr="003B6AA9" w:rsidRDefault="00456CA0" w:rsidP="006B599D">
      <w:pPr>
        <w:jc w:val="both"/>
        <w:rPr>
          <w:sz w:val="20"/>
          <w:szCs w:val="20"/>
        </w:rPr>
      </w:pPr>
    </w:p>
    <w:p w:rsidR="00456CA0" w:rsidRPr="003B6AA9" w:rsidRDefault="00456CA0" w:rsidP="006B599D">
      <w:pPr>
        <w:jc w:val="both"/>
        <w:rPr>
          <w:sz w:val="20"/>
          <w:szCs w:val="20"/>
        </w:rPr>
      </w:pPr>
      <w:r w:rsidRPr="003B6AA9">
        <w:rPr>
          <w:sz w:val="20"/>
          <w:szCs w:val="20"/>
          <w:u w:val="single"/>
        </w:rPr>
        <w:t>b) The anticipated time frame</w:t>
      </w:r>
      <w:r w:rsidRPr="003B6AA9">
        <w:rPr>
          <w:sz w:val="20"/>
          <w:szCs w:val="20"/>
        </w:rPr>
        <w:t xml:space="preserve"> for the evaluation: - </w:t>
      </w:r>
    </w:p>
    <w:p w:rsidR="00456CA0" w:rsidRPr="003B6AA9" w:rsidRDefault="00456CA0" w:rsidP="006B599D">
      <w:pPr>
        <w:ind w:left="720"/>
        <w:jc w:val="both"/>
        <w:rPr>
          <w:sz w:val="20"/>
          <w:szCs w:val="20"/>
        </w:rPr>
      </w:pPr>
      <w:r w:rsidRPr="003B6AA9">
        <w:rPr>
          <w:sz w:val="20"/>
          <w:szCs w:val="20"/>
        </w:rPr>
        <w:t>Preparation:</w:t>
      </w:r>
    </w:p>
    <w:p w:rsidR="00456CA0" w:rsidRPr="003B6AA9" w:rsidRDefault="00456CA0" w:rsidP="006B599D">
      <w:pPr>
        <w:numPr>
          <w:ilvl w:val="2"/>
          <w:numId w:val="10"/>
        </w:numPr>
        <w:jc w:val="both"/>
        <w:rPr>
          <w:sz w:val="20"/>
          <w:szCs w:val="20"/>
        </w:rPr>
      </w:pPr>
      <w:r w:rsidRPr="003B6AA9">
        <w:rPr>
          <w:sz w:val="20"/>
          <w:szCs w:val="20"/>
        </w:rPr>
        <w:t>Desk review  - 5 days</w:t>
      </w:r>
    </w:p>
    <w:p w:rsidR="00456CA0" w:rsidRPr="003B6AA9" w:rsidRDefault="00456CA0" w:rsidP="006B599D">
      <w:pPr>
        <w:numPr>
          <w:ilvl w:val="2"/>
          <w:numId w:val="10"/>
        </w:numPr>
        <w:jc w:val="both"/>
        <w:rPr>
          <w:sz w:val="20"/>
          <w:szCs w:val="20"/>
        </w:rPr>
      </w:pPr>
      <w:r w:rsidRPr="003B6AA9">
        <w:rPr>
          <w:bCs w:val="0"/>
          <w:sz w:val="20"/>
          <w:szCs w:val="20"/>
          <w:u w:val="single"/>
        </w:rPr>
        <w:t>Evaluation:</w:t>
      </w:r>
      <w:r w:rsidRPr="00776234">
        <w:rPr>
          <w:bCs w:val="0"/>
          <w:sz w:val="20"/>
          <w:szCs w:val="20"/>
        </w:rPr>
        <w:t xml:space="preserve"> </w:t>
      </w:r>
      <w:r w:rsidR="0049026D" w:rsidRPr="003B6AA9">
        <w:rPr>
          <w:sz w:val="20"/>
          <w:szCs w:val="20"/>
        </w:rPr>
        <w:t xml:space="preserve">Briefings with </w:t>
      </w:r>
      <w:r w:rsidR="00776234">
        <w:rPr>
          <w:sz w:val="20"/>
          <w:szCs w:val="20"/>
        </w:rPr>
        <w:t>UNDP CO and UNDP GEF/Regional Service Centre</w:t>
      </w:r>
      <w:r w:rsidR="0049026D" w:rsidRPr="003B6AA9">
        <w:rPr>
          <w:sz w:val="20"/>
          <w:szCs w:val="20"/>
        </w:rPr>
        <w:t xml:space="preserve"> –</w:t>
      </w:r>
      <w:r w:rsidRPr="003B6AA9">
        <w:rPr>
          <w:sz w:val="20"/>
          <w:szCs w:val="20"/>
        </w:rPr>
        <w:t xml:space="preserve"> 1</w:t>
      </w:r>
      <w:r w:rsidR="0049026D" w:rsidRPr="003B6AA9">
        <w:rPr>
          <w:sz w:val="20"/>
          <w:szCs w:val="20"/>
        </w:rPr>
        <w:t xml:space="preserve"> </w:t>
      </w:r>
      <w:r w:rsidRPr="003B6AA9">
        <w:rPr>
          <w:sz w:val="20"/>
          <w:szCs w:val="20"/>
        </w:rPr>
        <w:t>day</w:t>
      </w:r>
    </w:p>
    <w:p w:rsidR="00456CA0" w:rsidRPr="003B6AA9" w:rsidRDefault="00456CA0" w:rsidP="006B599D">
      <w:pPr>
        <w:numPr>
          <w:ilvl w:val="2"/>
          <w:numId w:val="10"/>
        </w:numPr>
        <w:jc w:val="both"/>
        <w:rPr>
          <w:sz w:val="20"/>
          <w:szCs w:val="20"/>
        </w:rPr>
      </w:pPr>
      <w:r w:rsidRPr="003B6AA9">
        <w:rPr>
          <w:sz w:val="20"/>
          <w:szCs w:val="20"/>
        </w:rPr>
        <w:t>Interviews  - 5 days</w:t>
      </w:r>
    </w:p>
    <w:p w:rsidR="00456CA0" w:rsidRPr="003B6AA9" w:rsidRDefault="00456CA0" w:rsidP="006B599D">
      <w:pPr>
        <w:numPr>
          <w:ilvl w:val="2"/>
          <w:numId w:val="10"/>
        </w:numPr>
        <w:jc w:val="both"/>
        <w:rPr>
          <w:sz w:val="20"/>
          <w:szCs w:val="20"/>
        </w:rPr>
      </w:pPr>
      <w:r w:rsidRPr="003B6AA9">
        <w:rPr>
          <w:sz w:val="20"/>
          <w:szCs w:val="20"/>
        </w:rPr>
        <w:t xml:space="preserve">Visits to the field – </w:t>
      </w:r>
      <w:r w:rsidR="0057183E" w:rsidRPr="003B6AA9">
        <w:rPr>
          <w:sz w:val="20"/>
          <w:szCs w:val="20"/>
        </w:rPr>
        <w:t xml:space="preserve">10 </w:t>
      </w:r>
      <w:r w:rsidRPr="003B6AA9">
        <w:rPr>
          <w:sz w:val="20"/>
          <w:szCs w:val="20"/>
        </w:rPr>
        <w:t xml:space="preserve">days </w:t>
      </w:r>
    </w:p>
    <w:p w:rsidR="00456CA0" w:rsidRPr="003B6AA9" w:rsidRDefault="00456CA0" w:rsidP="006B599D">
      <w:pPr>
        <w:numPr>
          <w:ilvl w:val="2"/>
          <w:numId w:val="10"/>
        </w:numPr>
        <w:jc w:val="both"/>
        <w:rPr>
          <w:sz w:val="20"/>
          <w:szCs w:val="20"/>
        </w:rPr>
      </w:pPr>
      <w:r w:rsidRPr="003B6AA9">
        <w:rPr>
          <w:sz w:val="20"/>
          <w:szCs w:val="20"/>
        </w:rPr>
        <w:t xml:space="preserve">Analysis against UNDP Project Document – 5 days </w:t>
      </w:r>
    </w:p>
    <w:p w:rsidR="00456CA0" w:rsidRPr="003B6AA9" w:rsidRDefault="00456CA0" w:rsidP="006B599D">
      <w:pPr>
        <w:numPr>
          <w:ilvl w:val="2"/>
          <w:numId w:val="10"/>
        </w:numPr>
        <w:jc w:val="both"/>
        <w:rPr>
          <w:sz w:val="20"/>
          <w:szCs w:val="20"/>
        </w:rPr>
      </w:pPr>
      <w:r w:rsidRPr="003B6AA9">
        <w:rPr>
          <w:sz w:val="20"/>
          <w:szCs w:val="20"/>
        </w:rPr>
        <w:t xml:space="preserve">Presentation of draft to Project Steering Committee and the UNDP review and supervision mission – 1 day </w:t>
      </w:r>
    </w:p>
    <w:p w:rsidR="00456CA0" w:rsidRPr="003B6AA9" w:rsidRDefault="00456CA0" w:rsidP="006B599D">
      <w:pPr>
        <w:numPr>
          <w:ilvl w:val="2"/>
          <w:numId w:val="10"/>
        </w:numPr>
        <w:jc w:val="both"/>
        <w:rPr>
          <w:sz w:val="20"/>
          <w:szCs w:val="20"/>
        </w:rPr>
      </w:pPr>
      <w:r w:rsidRPr="003B6AA9">
        <w:rPr>
          <w:sz w:val="20"/>
          <w:szCs w:val="20"/>
        </w:rPr>
        <w:t xml:space="preserve">Integrate comments and produce final report – </w:t>
      </w:r>
      <w:r w:rsidR="004B36D2">
        <w:rPr>
          <w:sz w:val="20"/>
          <w:szCs w:val="20"/>
        </w:rPr>
        <w:t>6</w:t>
      </w:r>
      <w:r w:rsidR="004B36D2" w:rsidRPr="003B6AA9">
        <w:rPr>
          <w:sz w:val="20"/>
          <w:szCs w:val="20"/>
        </w:rPr>
        <w:t xml:space="preserve"> </w:t>
      </w:r>
      <w:r w:rsidRPr="003B6AA9">
        <w:rPr>
          <w:sz w:val="20"/>
          <w:szCs w:val="20"/>
        </w:rPr>
        <w:t>day</w:t>
      </w:r>
    </w:p>
    <w:p w:rsidR="00456CA0" w:rsidRPr="003B6AA9" w:rsidRDefault="00456CA0" w:rsidP="006B599D">
      <w:pPr>
        <w:numPr>
          <w:ilvl w:val="2"/>
          <w:numId w:val="10"/>
        </w:numPr>
        <w:jc w:val="both"/>
        <w:rPr>
          <w:sz w:val="20"/>
          <w:szCs w:val="20"/>
        </w:rPr>
      </w:pPr>
      <w:r w:rsidRPr="003B6AA9">
        <w:rPr>
          <w:sz w:val="20"/>
          <w:szCs w:val="20"/>
        </w:rPr>
        <w:t>Present</w:t>
      </w:r>
      <w:r w:rsidR="00EA1D9F" w:rsidRPr="003B6AA9">
        <w:rPr>
          <w:sz w:val="20"/>
          <w:szCs w:val="20"/>
        </w:rPr>
        <w:t>ation</w:t>
      </w:r>
      <w:r w:rsidRPr="003B6AA9">
        <w:rPr>
          <w:sz w:val="20"/>
          <w:szCs w:val="20"/>
        </w:rPr>
        <w:t xml:space="preserve"> of final to </w:t>
      </w:r>
      <w:r w:rsidR="00E4429E" w:rsidRPr="003B6AA9">
        <w:rPr>
          <w:sz w:val="20"/>
          <w:szCs w:val="20"/>
        </w:rPr>
        <w:t>the 2010 Transport Project</w:t>
      </w:r>
      <w:r w:rsidR="0049026D" w:rsidRPr="003B6AA9">
        <w:rPr>
          <w:sz w:val="20"/>
          <w:szCs w:val="20"/>
        </w:rPr>
        <w:t xml:space="preserve"> Steer</w:t>
      </w:r>
      <w:r w:rsidR="002B3841" w:rsidRPr="003B6AA9">
        <w:rPr>
          <w:sz w:val="20"/>
          <w:szCs w:val="20"/>
        </w:rPr>
        <w:t>ing</w:t>
      </w:r>
      <w:r w:rsidR="0049026D" w:rsidRPr="003B6AA9">
        <w:rPr>
          <w:sz w:val="20"/>
          <w:szCs w:val="20"/>
        </w:rPr>
        <w:t xml:space="preserve"> Committee</w:t>
      </w:r>
      <w:r w:rsidR="0057183E" w:rsidRPr="003B6AA9">
        <w:rPr>
          <w:sz w:val="20"/>
          <w:szCs w:val="20"/>
        </w:rPr>
        <w:t xml:space="preserve"> </w:t>
      </w:r>
      <w:r w:rsidRPr="003B6AA9">
        <w:rPr>
          <w:sz w:val="20"/>
          <w:szCs w:val="20"/>
        </w:rPr>
        <w:t>– 1 day</w:t>
      </w:r>
    </w:p>
    <w:p w:rsidR="00456CA0" w:rsidRPr="003B6AA9" w:rsidRDefault="00456CA0" w:rsidP="006B599D">
      <w:pPr>
        <w:ind w:left="360"/>
        <w:jc w:val="both"/>
        <w:rPr>
          <w:sz w:val="20"/>
          <w:szCs w:val="20"/>
        </w:rPr>
      </w:pPr>
    </w:p>
    <w:p w:rsidR="00456CA0" w:rsidRPr="003B6AA9" w:rsidRDefault="00456CA0" w:rsidP="006B599D">
      <w:pPr>
        <w:ind w:left="360" w:firstLine="360"/>
        <w:jc w:val="both"/>
        <w:rPr>
          <w:sz w:val="20"/>
          <w:szCs w:val="20"/>
        </w:rPr>
      </w:pPr>
      <w:r w:rsidRPr="003B6AA9">
        <w:rPr>
          <w:bCs w:val="0"/>
          <w:sz w:val="20"/>
          <w:szCs w:val="20"/>
          <w:u w:val="single"/>
        </w:rPr>
        <w:t xml:space="preserve">Within two weeks of the in-country component </w:t>
      </w:r>
    </w:p>
    <w:p w:rsidR="00456CA0" w:rsidRPr="003B6AA9" w:rsidRDefault="00456CA0" w:rsidP="006B599D">
      <w:pPr>
        <w:numPr>
          <w:ilvl w:val="2"/>
          <w:numId w:val="10"/>
        </w:numPr>
        <w:jc w:val="both"/>
        <w:rPr>
          <w:sz w:val="20"/>
          <w:szCs w:val="20"/>
        </w:rPr>
      </w:pPr>
      <w:r w:rsidRPr="003B6AA9">
        <w:rPr>
          <w:sz w:val="20"/>
          <w:szCs w:val="20"/>
        </w:rPr>
        <w:t>Preparation of draft final evaluation report - 5 days</w:t>
      </w:r>
    </w:p>
    <w:p w:rsidR="00456CA0" w:rsidRPr="003B6AA9" w:rsidRDefault="00456CA0" w:rsidP="006B599D">
      <w:pPr>
        <w:ind w:left="360" w:firstLine="360"/>
        <w:jc w:val="both"/>
        <w:rPr>
          <w:sz w:val="20"/>
          <w:szCs w:val="20"/>
        </w:rPr>
      </w:pPr>
      <w:r w:rsidRPr="003B6AA9">
        <w:rPr>
          <w:bCs w:val="0"/>
          <w:sz w:val="20"/>
          <w:szCs w:val="20"/>
          <w:u w:val="single"/>
        </w:rPr>
        <w:t xml:space="preserve">Within one week of comments on the draft </w:t>
      </w:r>
    </w:p>
    <w:p w:rsidR="00456CA0" w:rsidRPr="003B6AA9" w:rsidRDefault="00456CA0" w:rsidP="006B599D">
      <w:pPr>
        <w:numPr>
          <w:ilvl w:val="2"/>
          <w:numId w:val="10"/>
        </w:numPr>
        <w:jc w:val="both"/>
        <w:rPr>
          <w:sz w:val="20"/>
          <w:szCs w:val="20"/>
        </w:rPr>
      </w:pPr>
      <w:r w:rsidRPr="003B6AA9">
        <w:rPr>
          <w:sz w:val="20"/>
          <w:szCs w:val="20"/>
        </w:rPr>
        <w:t>Revision and finalization of evaluation report – 1 day</w:t>
      </w:r>
    </w:p>
    <w:p w:rsidR="00456CA0" w:rsidRPr="003B6AA9" w:rsidRDefault="00456CA0" w:rsidP="006B599D">
      <w:pPr>
        <w:pStyle w:val="Heading5"/>
        <w:jc w:val="both"/>
        <w:rPr>
          <w:rFonts w:ascii="Arial" w:hAnsi="Arial" w:cs="Arial"/>
          <w:i/>
          <w:iCs/>
          <w:szCs w:val="20"/>
        </w:rPr>
      </w:pPr>
    </w:p>
    <w:p w:rsidR="00456CA0" w:rsidRPr="003B6AA9" w:rsidRDefault="00456CA0" w:rsidP="006B599D">
      <w:pPr>
        <w:jc w:val="both"/>
        <w:rPr>
          <w:sz w:val="20"/>
          <w:szCs w:val="20"/>
        </w:rPr>
      </w:pPr>
      <w:r w:rsidRPr="003B6AA9">
        <w:rPr>
          <w:sz w:val="20"/>
          <w:szCs w:val="20"/>
        </w:rPr>
        <w:t>The above is subject to amendment based on the detailed proposal that will be presented to the Project Steering Committee.</w:t>
      </w:r>
    </w:p>
    <w:p w:rsidR="00394A93" w:rsidRPr="003B6AA9" w:rsidRDefault="00394A93" w:rsidP="006B599D">
      <w:pPr>
        <w:jc w:val="both"/>
        <w:rPr>
          <w:color w:val="0000FF"/>
          <w:sz w:val="20"/>
          <w:szCs w:val="20"/>
        </w:rPr>
      </w:pPr>
    </w:p>
    <w:p w:rsidR="00456CA0" w:rsidRPr="003B6AA9" w:rsidRDefault="00456CA0" w:rsidP="006B599D">
      <w:pPr>
        <w:pStyle w:val="Heading1"/>
        <w:numPr>
          <w:ilvl w:val="0"/>
          <w:numId w:val="30"/>
        </w:numPr>
        <w:rPr>
          <w:sz w:val="20"/>
          <w:szCs w:val="20"/>
        </w:rPr>
      </w:pPr>
      <w:r w:rsidRPr="003B6AA9">
        <w:rPr>
          <w:sz w:val="20"/>
          <w:szCs w:val="20"/>
        </w:rPr>
        <w:t>Scope of the Evaluation-Specific Issues to be addressed</w:t>
      </w:r>
    </w:p>
    <w:p w:rsidR="00456CA0" w:rsidRPr="003B6AA9" w:rsidRDefault="00456CA0" w:rsidP="006B599D">
      <w:pPr>
        <w:jc w:val="both"/>
        <w:rPr>
          <w:sz w:val="20"/>
          <w:szCs w:val="20"/>
        </w:rPr>
      </w:pPr>
      <w:r w:rsidRPr="003B6AA9">
        <w:rPr>
          <w:sz w:val="20"/>
          <w:szCs w:val="20"/>
        </w:rPr>
        <w:t xml:space="preserve">The components of the evaluations </w:t>
      </w:r>
      <w:r w:rsidR="007541D5" w:rsidRPr="003B6AA9">
        <w:rPr>
          <w:sz w:val="20"/>
          <w:szCs w:val="20"/>
        </w:rPr>
        <w:t>include:</w:t>
      </w:r>
      <w:r w:rsidRPr="003B6AA9">
        <w:rPr>
          <w:sz w:val="20"/>
          <w:szCs w:val="20"/>
        </w:rPr>
        <w:t xml:space="preserve"> </w:t>
      </w:r>
    </w:p>
    <w:p w:rsidR="007541D5" w:rsidRPr="003B6AA9" w:rsidRDefault="007541D5" w:rsidP="006B599D">
      <w:pPr>
        <w:jc w:val="both"/>
        <w:rPr>
          <w:bCs w:val="0"/>
          <w:sz w:val="20"/>
          <w:szCs w:val="20"/>
          <w:u w:val="single"/>
        </w:rPr>
      </w:pPr>
      <w:r w:rsidRPr="003B6AA9">
        <w:rPr>
          <w:bCs w:val="0"/>
          <w:sz w:val="20"/>
          <w:szCs w:val="20"/>
          <w:u w:val="single"/>
        </w:rPr>
        <w:t>Table of contents</w:t>
      </w:r>
    </w:p>
    <w:p w:rsidR="00E73D8A" w:rsidRPr="003B6AA9" w:rsidRDefault="00E73D8A" w:rsidP="006B599D">
      <w:pPr>
        <w:jc w:val="both"/>
        <w:rPr>
          <w:bCs w:val="0"/>
          <w:sz w:val="20"/>
          <w:szCs w:val="20"/>
          <w:u w:val="single"/>
        </w:rPr>
      </w:pPr>
      <w:r w:rsidRPr="003B6AA9">
        <w:rPr>
          <w:bCs w:val="0"/>
          <w:sz w:val="20"/>
          <w:szCs w:val="20"/>
          <w:u w:val="single"/>
        </w:rPr>
        <w:t>Acronyms</w:t>
      </w:r>
    </w:p>
    <w:p w:rsidR="00456CA0" w:rsidRPr="003B6AA9" w:rsidRDefault="00456CA0" w:rsidP="006B599D">
      <w:pPr>
        <w:jc w:val="both"/>
        <w:rPr>
          <w:bCs w:val="0"/>
          <w:sz w:val="20"/>
          <w:szCs w:val="20"/>
          <w:u w:val="single"/>
        </w:rPr>
      </w:pPr>
      <w:r w:rsidRPr="003B6AA9">
        <w:rPr>
          <w:bCs w:val="0"/>
          <w:sz w:val="20"/>
          <w:szCs w:val="20"/>
          <w:u w:val="single"/>
        </w:rPr>
        <w:t>1.  Executive summary</w:t>
      </w:r>
    </w:p>
    <w:p w:rsidR="00456CA0" w:rsidRPr="003B6AA9" w:rsidRDefault="00456CA0" w:rsidP="006B599D">
      <w:pPr>
        <w:numPr>
          <w:ilvl w:val="0"/>
          <w:numId w:val="11"/>
        </w:numPr>
        <w:jc w:val="both"/>
        <w:rPr>
          <w:sz w:val="20"/>
          <w:szCs w:val="20"/>
        </w:rPr>
      </w:pPr>
      <w:r w:rsidRPr="003B6AA9">
        <w:rPr>
          <w:sz w:val="20"/>
          <w:szCs w:val="20"/>
        </w:rPr>
        <w:t>Brief description of project;</w:t>
      </w:r>
    </w:p>
    <w:p w:rsidR="00456CA0" w:rsidRPr="003B6AA9" w:rsidRDefault="00456CA0" w:rsidP="006B599D">
      <w:pPr>
        <w:numPr>
          <w:ilvl w:val="0"/>
          <w:numId w:val="11"/>
        </w:numPr>
        <w:jc w:val="both"/>
        <w:rPr>
          <w:sz w:val="20"/>
          <w:szCs w:val="20"/>
        </w:rPr>
      </w:pPr>
      <w:r w:rsidRPr="003B6AA9">
        <w:rPr>
          <w:sz w:val="20"/>
          <w:szCs w:val="20"/>
        </w:rPr>
        <w:t>Context and purpose of the evaluation;</w:t>
      </w:r>
      <w:r w:rsidR="00776234">
        <w:rPr>
          <w:sz w:val="20"/>
          <w:szCs w:val="20"/>
        </w:rPr>
        <w:t xml:space="preserve"> and</w:t>
      </w:r>
    </w:p>
    <w:p w:rsidR="00456CA0" w:rsidRPr="003B6AA9" w:rsidRDefault="00456CA0" w:rsidP="006B599D">
      <w:pPr>
        <w:numPr>
          <w:ilvl w:val="0"/>
          <w:numId w:val="11"/>
        </w:numPr>
        <w:jc w:val="both"/>
        <w:rPr>
          <w:sz w:val="20"/>
          <w:szCs w:val="20"/>
        </w:rPr>
      </w:pPr>
      <w:r w:rsidRPr="003B6AA9">
        <w:rPr>
          <w:sz w:val="20"/>
          <w:szCs w:val="20"/>
        </w:rPr>
        <w:t xml:space="preserve">Main conclusions, </w:t>
      </w:r>
      <w:r w:rsidR="00CC0B2A" w:rsidRPr="003B6AA9">
        <w:rPr>
          <w:sz w:val="20"/>
          <w:szCs w:val="20"/>
        </w:rPr>
        <w:t>rating of progress towards objectives as well as rating of progress on implementation</w:t>
      </w:r>
      <w:r w:rsidR="007E41DB" w:rsidRPr="003B6AA9">
        <w:rPr>
          <w:sz w:val="20"/>
          <w:szCs w:val="20"/>
        </w:rPr>
        <w:t xml:space="preserve">, </w:t>
      </w:r>
      <w:r w:rsidRPr="003B6AA9">
        <w:rPr>
          <w:sz w:val="20"/>
          <w:szCs w:val="20"/>
        </w:rPr>
        <w:t>recommendations and lessons learned</w:t>
      </w:r>
      <w:r w:rsidR="00776234">
        <w:rPr>
          <w:sz w:val="20"/>
          <w:szCs w:val="20"/>
        </w:rPr>
        <w:t>.</w:t>
      </w:r>
    </w:p>
    <w:p w:rsidR="00456CA0" w:rsidRPr="003B6AA9" w:rsidRDefault="00456CA0" w:rsidP="006B599D">
      <w:pPr>
        <w:jc w:val="both"/>
        <w:rPr>
          <w:sz w:val="20"/>
          <w:szCs w:val="20"/>
        </w:rPr>
      </w:pPr>
    </w:p>
    <w:p w:rsidR="00456CA0" w:rsidRPr="003B6AA9" w:rsidRDefault="00456CA0" w:rsidP="006B599D">
      <w:pPr>
        <w:jc w:val="both"/>
        <w:rPr>
          <w:bCs w:val="0"/>
          <w:sz w:val="20"/>
          <w:szCs w:val="20"/>
          <w:u w:val="single"/>
        </w:rPr>
      </w:pPr>
      <w:r w:rsidRPr="003B6AA9">
        <w:rPr>
          <w:bCs w:val="0"/>
          <w:sz w:val="20"/>
          <w:szCs w:val="20"/>
          <w:u w:val="single"/>
        </w:rPr>
        <w:t>2.  Introduction</w:t>
      </w:r>
    </w:p>
    <w:p w:rsidR="00456CA0" w:rsidRPr="003B6AA9" w:rsidRDefault="00456CA0" w:rsidP="006B599D">
      <w:pPr>
        <w:numPr>
          <w:ilvl w:val="0"/>
          <w:numId w:val="12"/>
        </w:numPr>
        <w:jc w:val="both"/>
        <w:rPr>
          <w:sz w:val="20"/>
          <w:szCs w:val="20"/>
        </w:rPr>
      </w:pPr>
      <w:r w:rsidRPr="003B6AA9">
        <w:rPr>
          <w:sz w:val="20"/>
          <w:szCs w:val="20"/>
        </w:rPr>
        <w:t>Purpose of the evaluation;</w:t>
      </w:r>
    </w:p>
    <w:p w:rsidR="00456CA0" w:rsidRPr="003B6AA9" w:rsidRDefault="00456CA0" w:rsidP="006B599D">
      <w:pPr>
        <w:numPr>
          <w:ilvl w:val="0"/>
          <w:numId w:val="12"/>
        </w:numPr>
        <w:jc w:val="both"/>
        <w:rPr>
          <w:sz w:val="20"/>
          <w:szCs w:val="20"/>
        </w:rPr>
      </w:pPr>
      <w:r w:rsidRPr="003B6AA9">
        <w:rPr>
          <w:sz w:val="20"/>
          <w:szCs w:val="20"/>
        </w:rPr>
        <w:t>Key issues addressed;</w:t>
      </w:r>
    </w:p>
    <w:p w:rsidR="00456CA0" w:rsidRPr="003B6AA9" w:rsidRDefault="00456CA0" w:rsidP="006B599D">
      <w:pPr>
        <w:numPr>
          <w:ilvl w:val="0"/>
          <w:numId w:val="12"/>
        </w:numPr>
        <w:jc w:val="both"/>
        <w:rPr>
          <w:sz w:val="20"/>
          <w:szCs w:val="20"/>
        </w:rPr>
      </w:pPr>
      <w:r w:rsidRPr="003B6AA9">
        <w:rPr>
          <w:sz w:val="20"/>
          <w:szCs w:val="20"/>
        </w:rPr>
        <w:t>Methodology of the evaluation;</w:t>
      </w:r>
      <w:r w:rsidR="00776234">
        <w:rPr>
          <w:sz w:val="20"/>
          <w:szCs w:val="20"/>
        </w:rPr>
        <w:t xml:space="preserve"> and</w:t>
      </w:r>
    </w:p>
    <w:p w:rsidR="00456CA0" w:rsidRPr="003B6AA9" w:rsidRDefault="00456CA0" w:rsidP="006B599D">
      <w:pPr>
        <w:numPr>
          <w:ilvl w:val="0"/>
          <w:numId w:val="12"/>
        </w:numPr>
        <w:jc w:val="both"/>
        <w:rPr>
          <w:sz w:val="20"/>
          <w:szCs w:val="20"/>
        </w:rPr>
      </w:pPr>
      <w:r w:rsidRPr="003B6AA9">
        <w:rPr>
          <w:sz w:val="20"/>
          <w:szCs w:val="20"/>
        </w:rPr>
        <w:t>Structure of the evaluation.</w:t>
      </w:r>
    </w:p>
    <w:p w:rsidR="00456CA0" w:rsidRPr="003B6AA9" w:rsidRDefault="00456CA0" w:rsidP="006B599D">
      <w:pPr>
        <w:jc w:val="both"/>
        <w:rPr>
          <w:sz w:val="20"/>
          <w:szCs w:val="20"/>
        </w:rPr>
      </w:pPr>
    </w:p>
    <w:p w:rsidR="00456CA0" w:rsidRPr="003B6AA9" w:rsidRDefault="00456CA0" w:rsidP="006B599D">
      <w:pPr>
        <w:jc w:val="both"/>
        <w:rPr>
          <w:bCs w:val="0"/>
          <w:sz w:val="20"/>
          <w:szCs w:val="20"/>
          <w:u w:val="single"/>
        </w:rPr>
      </w:pPr>
      <w:r w:rsidRPr="003B6AA9">
        <w:rPr>
          <w:bCs w:val="0"/>
          <w:sz w:val="20"/>
          <w:szCs w:val="20"/>
          <w:u w:val="single"/>
        </w:rPr>
        <w:t>3.  The project(s) and its development context</w:t>
      </w:r>
    </w:p>
    <w:p w:rsidR="00456CA0" w:rsidRPr="003B6AA9" w:rsidRDefault="00456CA0" w:rsidP="006B599D">
      <w:pPr>
        <w:numPr>
          <w:ilvl w:val="0"/>
          <w:numId w:val="13"/>
        </w:numPr>
        <w:jc w:val="both"/>
        <w:rPr>
          <w:sz w:val="20"/>
          <w:szCs w:val="20"/>
        </w:rPr>
      </w:pPr>
      <w:r w:rsidRPr="003B6AA9">
        <w:rPr>
          <w:sz w:val="20"/>
          <w:szCs w:val="20"/>
        </w:rPr>
        <w:t>Project start and its duration;</w:t>
      </w:r>
    </w:p>
    <w:p w:rsidR="00456CA0" w:rsidRPr="003B6AA9" w:rsidRDefault="00456CA0" w:rsidP="006B599D">
      <w:pPr>
        <w:numPr>
          <w:ilvl w:val="0"/>
          <w:numId w:val="13"/>
        </w:numPr>
        <w:jc w:val="both"/>
        <w:rPr>
          <w:sz w:val="20"/>
          <w:szCs w:val="20"/>
        </w:rPr>
      </w:pPr>
      <w:r w:rsidRPr="003B6AA9">
        <w:rPr>
          <w:sz w:val="20"/>
          <w:szCs w:val="20"/>
        </w:rPr>
        <w:t>Problems that the project seek to address;</w:t>
      </w:r>
    </w:p>
    <w:p w:rsidR="00456CA0" w:rsidRPr="003B6AA9" w:rsidRDefault="00456CA0" w:rsidP="006B599D">
      <w:pPr>
        <w:numPr>
          <w:ilvl w:val="0"/>
          <w:numId w:val="13"/>
        </w:numPr>
        <w:jc w:val="both"/>
        <w:rPr>
          <w:sz w:val="20"/>
          <w:szCs w:val="20"/>
        </w:rPr>
      </w:pPr>
      <w:r w:rsidRPr="003B6AA9">
        <w:rPr>
          <w:sz w:val="20"/>
          <w:szCs w:val="20"/>
        </w:rPr>
        <w:t>Immediate and development objectives of the project;</w:t>
      </w:r>
    </w:p>
    <w:p w:rsidR="00456CA0" w:rsidRPr="003B6AA9" w:rsidRDefault="00456CA0" w:rsidP="006B599D">
      <w:pPr>
        <w:numPr>
          <w:ilvl w:val="0"/>
          <w:numId w:val="13"/>
        </w:numPr>
        <w:jc w:val="both"/>
        <w:rPr>
          <w:sz w:val="20"/>
          <w:szCs w:val="20"/>
        </w:rPr>
      </w:pPr>
      <w:r w:rsidRPr="003B6AA9">
        <w:rPr>
          <w:sz w:val="20"/>
          <w:szCs w:val="20"/>
        </w:rPr>
        <w:t>Main stakeholders;</w:t>
      </w:r>
      <w:r w:rsidR="00776234">
        <w:rPr>
          <w:sz w:val="20"/>
          <w:szCs w:val="20"/>
        </w:rPr>
        <w:t xml:space="preserve"> and</w:t>
      </w:r>
    </w:p>
    <w:p w:rsidR="00456CA0" w:rsidRPr="003B6AA9" w:rsidRDefault="00456CA0" w:rsidP="006B599D">
      <w:pPr>
        <w:numPr>
          <w:ilvl w:val="0"/>
          <w:numId w:val="13"/>
        </w:numPr>
        <w:jc w:val="both"/>
        <w:rPr>
          <w:sz w:val="20"/>
          <w:szCs w:val="20"/>
        </w:rPr>
      </w:pPr>
      <w:r w:rsidRPr="003B6AA9">
        <w:rPr>
          <w:sz w:val="20"/>
          <w:szCs w:val="20"/>
        </w:rPr>
        <w:t xml:space="preserve">Results expected. </w:t>
      </w:r>
    </w:p>
    <w:p w:rsidR="001F1530" w:rsidRDefault="001F1530" w:rsidP="006B599D">
      <w:pPr>
        <w:ind w:left="1440"/>
        <w:jc w:val="both"/>
        <w:rPr>
          <w:sz w:val="20"/>
          <w:szCs w:val="20"/>
        </w:rPr>
      </w:pPr>
    </w:p>
    <w:p w:rsidR="008F5501" w:rsidRDefault="008F5501" w:rsidP="006B599D">
      <w:pPr>
        <w:ind w:left="1440"/>
        <w:jc w:val="both"/>
        <w:rPr>
          <w:sz w:val="20"/>
          <w:szCs w:val="20"/>
        </w:rPr>
      </w:pPr>
    </w:p>
    <w:p w:rsidR="006B753D" w:rsidRDefault="006B753D" w:rsidP="006B599D">
      <w:pPr>
        <w:ind w:left="1440"/>
        <w:jc w:val="both"/>
        <w:rPr>
          <w:sz w:val="20"/>
          <w:szCs w:val="20"/>
        </w:rPr>
      </w:pPr>
    </w:p>
    <w:p w:rsidR="006B753D" w:rsidRDefault="006B753D" w:rsidP="006B599D">
      <w:pPr>
        <w:ind w:left="1440"/>
        <w:jc w:val="both"/>
        <w:rPr>
          <w:sz w:val="20"/>
          <w:szCs w:val="20"/>
        </w:rPr>
      </w:pPr>
    </w:p>
    <w:p w:rsidR="006B753D" w:rsidRPr="003B6AA9" w:rsidRDefault="006B753D" w:rsidP="006B599D">
      <w:pPr>
        <w:ind w:left="1440"/>
        <w:jc w:val="both"/>
        <w:rPr>
          <w:sz w:val="20"/>
          <w:szCs w:val="20"/>
        </w:rPr>
      </w:pPr>
    </w:p>
    <w:p w:rsidR="00456CA0" w:rsidRPr="003B6AA9" w:rsidRDefault="00456CA0" w:rsidP="006B599D">
      <w:pPr>
        <w:jc w:val="both"/>
        <w:rPr>
          <w:bCs w:val="0"/>
          <w:sz w:val="20"/>
          <w:szCs w:val="20"/>
          <w:u w:val="single"/>
        </w:rPr>
      </w:pPr>
      <w:r w:rsidRPr="003B6AA9">
        <w:rPr>
          <w:bCs w:val="0"/>
          <w:sz w:val="20"/>
          <w:szCs w:val="20"/>
          <w:u w:val="single"/>
        </w:rPr>
        <w:t>4.  Findings and Conclusions</w:t>
      </w:r>
    </w:p>
    <w:p w:rsidR="00456CA0" w:rsidRPr="003B6AA9" w:rsidRDefault="00456CA0" w:rsidP="006B599D">
      <w:pPr>
        <w:pStyle w:val="Subtitle"/>
        <w:jc w:val="both"/>
        <w:rPr>
          <w:rFonts w:ascii="Arial" w:hAnsi="Arial" w:cs="Arial"/>
          <w:b w:val="0"/>
          <w:bCs/>
          <w:sz w:val="20"/>
          <w:u w:val="none"/>
        </w:rPr>
      </w:pPr>
      <w:r w:rsidRPr="003B6AA9">
        <w:rPr>
          <w:rFonts w:ascii="Arial" w:hAnsi="Arial" w:cs="Arial"/>
          <w:b w:val="0"/>
          <w:bCs/>
          <w:sz w:val="20"/>
          <w:u w:val="none"/>
        </w:rPr>
        <w:t xml:space="preserve">In addition to a descriptive assessment, all </w:t>
      </w:r>
      <w:r w:rsidRPr="003B6AA9">
        <w:rPr>
          <w:rFonts w:ascii="Arial" w:hAnsi="Arial" w:cs="Arial"/>
          <w:sz w:val="20"/>
          <w:u w:val="none"/>
        </w:rPr>
        <w:t>criteria marked with (R) should be rated</w:t>
      </w:r>
      <w:r w:rsidRPr="003B6AA9">
        <w:rPr>
          <w:rFonts w:ascii="Arial" w:hAnsi="Arial" w:cs="Arial"/>
          <w:b w:val="0"/>
          <w:bCs/>
          <w:sz w:val="20"/>
          <w:u w:val="none"/>
        </w:rPr>
        <w:t xml:space="preserve"> in conformity with the GEF guidelines for final evaluations using the following divisions: Highly Satisfactory, Satisfactory, </w:t>
      </w:r>
      <w:r w:rsidR="00CC0B2A" w:rsidRPr="003B6AA9">
        <w:rPr>
          <w:rFonts w:ascii="Arial" w:hAnsi="Arial" w:cs="Arial"/>
          <w:b w:val="0"/>
          <w:bCs/>
          <w:sz w:val="20"/>
          <w:u w:val="none"/>
        </w:rPr>
        <w:t>Moderately</w:t>
      </w:r>
      <w:r w:rsidR="005E20CD">
        <w:rPr>
          <w:rFonts w:ascii="Arial" w:hAnsi="Arial" w:cs="Arial"/>
          <w:b w:val="0"/>
          <w:bCs/>
          <w:sz w:val="20"/>
          <w:u w:val="none"/>
        </w:rPr>
        <w:t>,</w:t>
      </w:r>
      <w:r w:rsidR="005E20CD" w:rsidRPr="003B6AA9">
        <w:rPr>
          <w:rFonts w:ascii="Arial" w:hAnsi="Arial" w:cs="Arial"/>
          <w:b w:val="0"/>
          <w:bCs/>
          <w:sz w:val="20"/>
          <w:u w:val="none"/>
        </w:rPr>
        <w:t xml:space="preserve"> Satisfactory</w:t>
      </w:r>
      <w:r w:rsidRPr="003B6AA9">
        <w:rPr>
          <w:rFonts w:ascii="Arial" w:hAnsi="Arial" w:cs="Arial"/>
          <w:b w:val="0"/>
          <w:bCs/>
          <w:sz w:val="20"/>
          <w:u w:val="none"/>
        </w:rPr>
        <w:t xml:space="preserve">, </w:t>
      </w:r>
      <w:r w:rsidR="00CC0B2A" w:rsidRPr="003B6AA9">
        <w:rPr>
          <w:rFonts w:ascii="Arial" w:hAnsi="Arial" w:cs="Arial"/>
          <w:b w:val="0"/>
          <w:bCs/>
          <w:sz w:val="20"/>
          <w:u w:val="none"/>
        </w:rPr>
        <w:t>Moderately Unsatisfactory,</w:t>
      </w:r>
      <w:r w:rsidR="00F80700" w:rsidRPr="003B6AA9">
        <w:rPr>
          <w:rFonts w:ascii="Arial" w:hAnsi="Arial" w:cs="Arial"/>
          <w:b w:val="0"/>
          <w:bCs/>
          <w:sz w:val="20"/>
          <w:u w:val="none"/>
        </w:rPr>
        <w:t xml:space="preserve"> </w:t>
      </w:r>
      <w:r w:rsidRPr="003B6AA9">
        <w:rPr>
          <w:rFonts w:ascii="Arial" w:hAnsi="Arial" w:cs="Arial"/>
          <w:b w:val="0"/>
          <w:bCs/>
          <w:sz w:val="20"/>
          <w:u w:val="none"/>
        </w:rPr>
        <w:t>Unsatisfactory</w:t>
      </w:r>
      <w:r w:rsidR="00F80700" w:rsidRPr="003B6AA9">
        <w:rPr>
          <w:rFonts w:ascii="Arial" w:hAnsi="Arial" w:cs="Arial"/>
          <w:b w:val="0"/>
          <w:bCs/>
          <w:sz w:val="20"/>
          <w:u w:val="none"/>
        </w:rPr>
        <w:t xml:space="preserve">, </w:t>
      </w:r>
      <w:r w:rsidR="00CC0B2A" w:rsidRPr="003B6AA9">
        <w:rPr>
          <w:rFonts w:ascii="Arial" w:hAnsi="Arial" w:cs="Arial"/>
          <w:b w:val="0"/>
          <w:bCs/>
          <w:sz w:val="20"/>
          <w:u w:val="none"/>
        </w:rPr>
        <w:t>Highly Unsatisfactory</w:t>
      </w:r>
      <w:r w:rsidRPr="003B6AA9">
        <w:rPr>
          <w:rFonts w:ascii="Arial" w:hAnsi="Arial" w:cs="Arial"/>
          <w:b w:val="0"/>
          <w:bCs/>
          <w:sz w:val="20"/>
          <w:u w:val="none"/>
        </w:rPr>
        <w:t xml:space="preserve">. </w:t>
      </w:r>
    </w:p>
    <w:p w:rsidR="00456CA0" w:rsidRPr="003B6AA9" w:rsidRDefault="00456CA0" w:rsidP="006B599D">
      <w:pPr>
        <w:jc w:val="both"/>
        <w:rPr>
          <w:color w:val="0000FF"/>
          <w:sz w:val="20"/>
          <w:szCs w:val="20"/>
          <w:lang w:val="en-GB"/>
        </w:rPr>
      </w:pPr>
    </w:p>
    <w:p w:rsidR="00456CA0" w:rsidRPr="003B6AA9" w:rsidRDefault="00456CA0" w:rsidP="006B599D">
      <w:pPr>
        <w:jc w:val="both"/>
        <w:rPr>
          <w:bCs w:val="0"/>
          <w:sz w:val="20"/>
          <w:szCs w:val="20"/>
          <w:u w:val="single"/>
        </w:rPr>
      </w:pPr>
      <w:r w:rsidRPr="003B6AA9">
        <w:rPr>
          <w:bCs w:val="0"/>
          <w:sz w:val="20"/>
          <w:szCs w:val="20"/>
          <w:u w:val="single"/>
        </w:rPr>
        <w:t xml:space="preserve">4.1 Project Formulation </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Conceptualization/Design(R).</w:t>
      </w:r>
      <w:r w:rsidRPr="003B6AA9">
        <w:rPr>
          <w:rFonts w:ascii="Arial" w:hAnsi="Arial" w:cs="Arial"/>
          <w:sz w:val="20"/>
          <w:szCs w:val="20"/>
        </w:rPr>
        <w:t xml:space="preserve"> This should assess whether the approach used in design and selection of project interventions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Country-ownership.</w:t>
      </w:r>
      <w:r w:rsidRPr="003B6AA9">
        <w:rPr>
          <w:rFonts w:ascii="Arial" w:hAnsi="Arial" w:cs="Arial"/>
          <w:sz w:val="20"/>
          <w:szCs w:val="20"/>
        </w:rPr>
        <w:t xml:space="preserve"> Assess the extent to which the project idea/conceptualization had its origin within national, sectoral and development plans and focuses on national environment and development interests.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Stakeholder participation (R</w:t>
      </w:r>
      <w:r w:rsidRPr="003B6AA9">
        <w:rPr>
          <w:rFonts w:ascii="Arial" w:hAnsi="Arial" w:cs="Arial"/>
          <w:sz w:val="20"/>
          <w:szCs w:val="20"/>
        </w:rPr>
        <w:t>) Assess information dissemination, consultation, and “stakeholder” participation in design stages.</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Replication approach.</w:t>
      </w:r>
      <w:r w:rsidRPr="003B6AA9">
        <w:rPr>
          <w:rFonts w:ascii="Arial" w:hAnsi="Arial" w:cs="Arial"/>
          <w:sz w:val="20"/>
          <w:szCs w:val="20"/>
        </w:rPr>
        <w:t xml:space="preserve"> Determine the ways in which lessons and experiences coming out of the project were/are to be replicated or scaled up in the design and implementation of other projects (this also related to actual practices undertaken during implementation).</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Linkages</w:t>
      </w:r>
      <w:r w:rsidRPr="003B6AA9">
        <w:rPr>
          <w:rFonts w:ascii="Arial" w:hAnsi="Arial" w:cs="Arial"/>
          <w:sz w:val="20"/>
          <w:szCs w:val="20"/>
        </w:rPr>
        <w:t xml:space="preserve"> between the project and other interventions within the sector and the definition of clear and appropriate management arrangements at the design stage.</w:t>
      </w:r>
    </w:p>
    <w:p w:rsidR="00456CA0" w:rsidRPr="003B6AA9" w:rsidRDefault="00456CA0" w:rsidP="006B599D">
      <w:pPr>
        <w:jc w:val="both"/>
        <w:rPr>
          <w:b/>
          <w:iCs/>
          <w:color w:val="0000FF"/>
          <w:sz w:val="20"/>
          <w:szCs w:val="20"/>
        </w:rPr>
      </w:pPr>
    </w:p>
    <w:p w:rsidR="00456CA0" w:rsidRPr="003B6AA9" w:rsidRDefault="00456CA0" w:rsidP="006B599D">
      <w:pPr>
        <w:jc w:val="both"/>
        <w:rPr>
          <w:bCs w:val="0"/>
          <w:iCs/>
          <w:sz w:val="20"/>
          <w:szCs w:val="20"/>
          <w:u w:val="single"/>
        </w:rPr>
      </w:pPr>
      <w:r w:rsidRPr="003B6AA9">
        <w:rPr>
          <w:bCs w:val="0"/>
          <w:iCs/>
          <w:sz w:val="20"/>
          <w:szCs w:val="20"/>
          <w:u w:val="single"/>
        </w:rPr>
        <w:t>4.2. Project Implementation</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Implementation Approach (R).</w:t>
      </w:r>
      <w:r w:rsidRPr="003B6AA9">
        <w:rPr>
          <w:rFonts w:ascii="Arial" w:hAnsi="Arial" w:cs="Arial"/>
          <w:sz w:val="20"/>
          <w:szCs w:val="20"/>
        </w:rPr>
        <w:t xml:space="preserve"> This should include assessments of the following aspects: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BodyTextIndent2"/>
        <w:spacing w:line="240" w:lineRule="auto"/>
        <w:ind w:left="720"/>
        <w:jc w:val="both"/>
        <w:rPr>
          <w:rFonts w:cs="Arial"/>
        </w:rPr>
      </w:pPr>
      <w:r w:rsidRPr="003B6AA9">
        <w:rPr>
          <w:rFonts w:cs="Arial"/>
        </w:rPr>
        <w:t xml:space="preserve">(i) The use of the logical framework as a management tool during implementation and any changes made to this as a response to changing conditions and/or feedback from M &amp; E activities if required. </w:t>
      </w:r>
    </w:p>
    <w:p w:rsidR="00456CA0" w:rsidRPr="003B6AA9" w:rsidRDefault="00456CA0" w:rsidP="006B599D">
      <w:pPr>
        <w:ind w:left="720"/>
        <w:jc w:val="both"/>
        <w:rPr>
          <w:sz w:val="20"/>
          <w:szCs w:val="20"/>
        </w:rPr>
      </w:pPr>
    </w:p>
    <w:p w:rsidR="00456CA0" w:rsidRPr="003B6AA9" w:rsidRDefault="00456CA0" w:rsidP="006B599D">
      <w:pPr>
        <w:pStyle w:val="Heading1"/>
        <w:tabs>
          <w:tab w:val="num" w:pos="720"/>
        </w:tabs>
        <w:ind w:left="720" w:hanging="360"/>
        <w:jc w:val="both"/>
        <w:rPr>
          <w:b w:val="0"/>
          <w:sz w:val="20"/>
          <w:szCs w:val="20"/>
        </w:rPr>
      </w:pPr>
      <w:r w:rsidRPr="003B6AA9">
        <w:rPr>
          <w:b w:val="0"/>
          <w:sz w:val="20"/>
          <w:szCs w:val="20"/>
        </w:rPr>
        <w:tab/>
        <w:t xml:space="preserve">(ii) Other elements that indicate adaptive management such as comprehensive and realistic work plans routinely developed that reflect adaptive management and/or; changes in management arrangements to enhance implementation. This should include consideration of the </w:t>
      </w:r>
      <w:r w:rsidR="00BA7986" w:rsidRPr="003B6AA9">
        <w:rPr>
          <w:b w:val="0"/>
          <w:sz w:val="20"/>
          <w:szCs w:val="20"/>
        </w:rPr>
        <w:t xml:space="preserve">2010 Transport Project </w:t>
      </w:r>
      <w:r w:rsidR="001F1530" w:rsidRPr="003B6AA9">
        <w:rPr>
          <w:b w:val="0"/>
          <w:sz w:val="20"/>
          <w:szCs w:val="20"/>
        </w:rPr>
        <w:t xml:space="preserve">Steering </w:t>
      </w:r>
      <w:r w:rsidR="00394A93" w:rsidRPr="003B6AA9">
        <w:rPr>
          <w:b w:val="0"/>
          <w:sz w:val="20"/>
          <w:szCs w:val="20"/>
        </w:rPr>
        <w:t xml:space="preserve">Committee </w:t>
      </w:r>
      <w:r w:rsidRPr="003B6AA9">
        <w:rPr>
          <w:b w:val="0"/>
          <w:sz w:val="20"/>
          <w:szCs w:val="20"/>
        </w:rPr>
        <w:t>proposed changes. These will be provided at the outset of the evaluation.</w:t>
      </w:r>
    </w:p>
    <w:p w:rsidR="00456CA0" w:rsidRPr="003B6AA9" w:rsidRDefault="00456CA0" w:rsidP="006B599D">
      <w:pPr>
        <w:ind w:left="720"/>
        <w:jc w:val="both"/>
        <w:rPr>
          <w:sz w:val="20"/>
          <w:szCs w:val="20"/>
        </w:rPr>
      </w:pPr>
    </w:p>
    <w:p w:rsidR="00456CA0" w:rsidRPr="003B6AA9" w:rsidRDefault="00456CA0" w:rsidP="006B599D">
      <w:pPr>
        <w:ind w:left="720"/>
        <w:jc w:val="both"/>
        <w:rPr>
          <w:sz w:val="20"/>
          <w:szCs w:val="20"/>
        </w:rPr>
      </w:pPr>
      <w:r w:rsidRPr="003B6AA9">
        <w:rPr>
          <w:sz w:val="20"/>
          <w:szCs w:val="20"/>
        </w:rPr>
        <w:t>(iii) The project's use/establishment of electronic information technologies to support implementation, participation and monitoring, as well as other project activities.</w:t>
      </w:r>
    </w:p>
    <w:p w:rsidR="00456CA0" w:rsidRPr="003B6AA9" w:rsidRDefault="00456CA0" w:rsidP="006B599D">
      <w:pPr>
        <w:ind w:left="720"/>
        <w:jc w:val="both"/>
        <w:rPr>
          <w:sz w:val="20"/>
          <w:szCs w:val="20"/>
        </w:rPr>
      </w:pPr>
    </w:p>
    <w:p w:rsidR="00456CA0" w:rsidRPr="003B6AA9" w:rsidRDefault="00456CA0" w:rsidP="006B599D">
      <w:pPr>
        <w:ind w:left="720"/>
        <w:jc w:val="both"/>
        <w:rPr>
          <w:spacing w:val="-2"/>
          <w:sz w:val="20"/>
          <w:szCs w:val="20"/>
        </w:rPr>
      </w:pPr>
      <w:r w:rsidRPr="003B6AA9">
        <w:rPr>
          <w:spacing w:val="-2"/>
          <w:sz w:val="20"/>
          <w:szCs w:val="20"/>
        </w:rPr>
        <w:t>(iv) The general operational relationships between the institutions involved and others and how these relationships have contributed to effective implementation and achievement of project objectives.</w:t>
      </w:r>
    </w:p>
    <w:p w:rsidR="00456CA0" w:rsidRPr="003B6AA9" w:rsidRDefault="00456CA0" w:rsidP="006B599D">
      <w:pPr>
        <w:ind w:left="720"/>
        <w:jc w:val="both"/>
        <w:rPr>
          <w:sz w:val="20"/>
          <w:szCs w:val="20"/>
        </w:rPr>
      </w:pPr>
      <w:r w:rsidRPr="003B6AA9">
        <w:rPr>
          <w:sz w:val="20"/>
          <w:szCs w:val="20"/>
        </w:rPr>
        <w:t>(v) Technical capacities associated with the project and their role in project development, management and achievements.</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Monitoring and evaluation (R).</w:t>
      </w:r>
      <w:r w:rsidRPr="003B6AA9">
        <w:rPr>
          <w:rFonts w:ascii="Arial" w:hAnsi="Arial" w:cs="Arial"/>
          <w:sz w:val="20"/>
          <w:szCs w:val="20"/>
        </w:rPr>
        <w:t xml:space="preserve"> Including an assessment as to whether there has been adequate periodic oversight of activities during implementation to establish the extent to which inputs, work schedules, other required actions and outputs are proceeding according to plan; whether formal </w:t>
      </w:r>
      <w:r w:rsidRPr="003B6AA9">
        <w:rPr>
          <w:rFonts w:ascii="Arial" w:hAnsi="Arial" w:cs="Arial"/>
          <w:sz w:val="20"/>
          <w:szCs w:val="20"/>
        </w:rPr>
        <w:lastRenderedPageBreak/>
        <w:t xml:space="preserve">evaluations have been held and whether action has been taken on the results of this monitoring oversight and evaluation reports.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Stakeholder participation (R).</w:t>
      </w:r>
      <w:r w:rsidRPr="003B6AA9">
        <w:rPr>
          <w:rFonts w:ascii="Arial" w:hAnsi="Arial" w:cs="Arial"/>
          <w:sz w:val="20"/>
          <w:szCs w:val="20"/>
        </w:rPr>
        <w:t xml:space="preserve"> This should include assessments of the mechanisms for information dissemination in project implementation and the extent of stakeholder participation in management, emphasizing the following:</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ind w:left="1440"/>
        <w:jc w:val="both"/>
        <w:rPr>
          <w:sz w:val="20"/>
          <w:szCs w:val="20"/>
        </w:rPr>
      </w:pPr>
      <w:r w:rsidRPr="003B6AA9">
        <w:rPr>
          <w:sz w:val="20"/>
          <w:szCs w:val="20"/>
        </w:rPr>
        <w:t>(i) The production and dissemination of information and lessons generated by the project.</w:t>
      </w:r>
    </w:p>
    <w:p w:rsidR="00456CA0" w:rsidRPr="003B6AA9" w:rsidRDefault="00456CA0" w:rsidP="006B599D">
      <w:pPr>
        <w:ind w:left="1440"/>
        <w:jc w:val="both"/>
        <w:rPr>
          <w:sz w:val="20"/>
          <w:szCs w:val="20"/>
        </w:rPr>
      </w:pPr>
    </w:p>
    <w:p w:rsidR="001F153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 xml:space="preserve">(ii)Local resource users and NGOs participation in project implementation and decision making and an analysis of the strengths and weaknesses of the approach adopted by the project in this arena. </w:t>
      </w:r>
    </w:p>
    <w:p w:rsidR="00456CA0" w:rsidRPr="003B6AA9" w:rsidRDefault="00456CA0" w:rsidP="006B599D">
      <w:pPr>
        <w:pStyle w:val="BodyText"/>
        <w:ind w:left="3240"/>
        <w:jc w:val="both"/>
        <w:rPr>
          <w:sz w:val="20"/>
          <w:szCs w:val="20"/>
        </w:rPr>
      </w:pPr>
    </w:p>
    <w:p w:rsidR="00456CA0" w:rsidRPr="003B6AA9" w:rsidRDefault="00456CA0" w:rsidP="006B599D">
      <w:pPr>
        <w:pStyle w:val="BodyText"/>
        <w:ind w:left="1440"/>
        <w:jc w:val="both"/>
        <w:rPr>
          <w:sz w:val="20"/>
          <w:szCs w:val="20"/>
        </w:rPr>
      </w:pPr>
      <w:r w:rsidRPr="003B6AA9">
        <w:rPr>
          <w:sz w:val="20"/>
          <w:szCs w:val="20"/>
        </w:rPr>
        <w:t>(iii) The establishment of partnerships and collaborative relationships developed by the project with local, national and international entities and the effects they have had on project implementation.</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(iv) Involvement of governmental institutions in project implementation, the extent of governmental support of the project.</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Financial Planning:</w:t>
      </w:r>
      <w:r w:rsidRPr="003B6AA9">
        <w:rPr>
          <w:rFonts w:ascii="Arial" w:hAnsi="Arial" w:cs="Arial"/>
          <w:sz w:val="20"/>
          <w:szCs w:val="20"/>
        </w:rPr>
        <w:t xml:space="preserve"> Including an assessment of:</w:t>
      </w: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 The actual project cost by objectives, outputs, activities</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 xml:space="preserve">(ii) The cost-effectiveness of achievements </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(iii) Financial management (including disbursement issues)</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(iv) Co-financing (see Annex 4 of these TORs for reporting of co-financing</w:t>
      </w:r>
      <w:r w:rsidRPr="003B6AA9">
        <w:rPr>
          <w:rStyle w:val="FootnoteReference"/>
          <w:rFonts w:ascii="Arial" w:hAnsi="Arial" w:cs="Arial"/>
          <w:sz w:val="20"/>
          <w:szCs w:val="20"/>
        </w:rPr>
        <w:t xml:space="preserve"> </w:t>
      </w:r>
      <w:r w:rsidRPr="003B6AA9">
        <w:rPr>
          <w:rFonts w:ascii="Arial" w:hAnsi="Arial" w:cs="Arial"/>
          <w:sz w:val="20"/>
          <w:szCs w:val="20"/>
        </w:rPr>
        <w:t>)</w:t>
      </w:r>
    </w:p>
    <w:p w:rsidR="001F1530" w:rsidRPr="003B6AA9" w:rsidRDefault="001F1530" w:rsidP="006B599D">
      <w:pPr>
        <w:pStyle w:val="ListBullet2"/>
        <w:ind w:left="1440"/>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Procurement Management</w:t>
      </w:r>
      <w:r w:rsidRPr="003B6AA9">
        <w:rPr>
          <w:rFonts w:ascii="Arial" w:hAnsi="Arial" w:cs="Arial"/>
          <w:sz w:val="20"/>
          <w:szCs w:val="20"/>
        </w:rPr>
        <w:t>:  Including an assessment of:</w:t>
      </w: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  Technical and human resource capacity for procurement management</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(ii) Linkage between work programming, procurement planning, budgeting, and disbursement planning</w:t>
      </w:r>
    </w:p>
    <w:p w:rsidR="00456CA0" w:rsidRPr="003B6AA9" w:rsidRDefault="00456CA0" w:rsidP="006B599D">
      <w:pPr>
        <w:pStyle w:val="ListBullet2"/>
        <w:ind w:left="1440"/>
        <w:jc w:val="both"/>
        <w:rPr>
          <w:rFonts w:ascii="Arial" w:hAnsi="Arial" w:cs="Arial"/>
          <w:sz w:val="20"/>
          <w:szCs w:val="20"/>
        </w:rPr>
      </w:pPr>
    </w:p>
    <w:p w:rsidR="00456CA0" w:rsidRPr="003B6AA9" w:rsidRDefault="00456CA0" w:rsidP="006B599D">
      <w:pPr>
        <w:pStyle w:val="ListBullet2"/>
        <w:ind w:left="1440"/>
        <w:jc w:val="both"/>
        <w:rPr>
          <w:rFonts w:ascii="Arial" w:hAnsi="Arial" w:cs="Arial"/>
          <w:sz w:val="20"/>
          <w:szCs w:val="20"/>
        </w:rPr>
      </w:pPr>
      <w:r w:rsidRPr="003B6AA9">
        <w:rPr>
          <w:rFonts w:ascii="Arial" w:hAnsi="Arial" w:cs="Arial"/>
          <w:sz w:val="20"/>
          <w:szCs w:val="20"/>
        </w:rPr>
        <w:t xml:space="preserve">(iii) Effectiveness of procurement management, as indicated by results of audits (internal and/or external), and reports of </w:t>
      </w:r>
      <w:r w:rsidR="005D2685">
        <w:rPr>
          <w:rFonts w:ascii="Arial" w:hAnsi="Arial" w:cs="Arial"/>
          <w:sz w:val="20"/>
          <w:szCs w:val="20"/>
        </w:rPr>
        <w:t>the evaluation</w:t>
      </w:r>
      <w:r w:rsidR="005D2685" w:rsidRPr="003B6AA9">
        <w:rPr>
          <w:rFonts w:ascii="Arial" w:hAnsi="Arial" w:cs="Arial"/>
          <w:sz w:val="20"/>
          <w:szCs w:val="20"/>
        </w:rPr>
        <w:t xml:space="preserve"> </w:t>
      </w:r>
      <w:r w:rsidRPr="003B6AA9">
        <w:rPr>
          <w:rFonts w:ascii="Arial" w:hAnsi="Arial" w:cs="Arial"/>
          <w:sz w:val="20"/>
          <w:szCs w:val="20"/>
        </w:rPr>
        <w:t>and supervision missions by IAs.</w:t>
      </w:r>
    </w:p>
    <w:p w:rsidR="00456CA0" w:rsidRPr="003B6AA9" w:rsidRDefault="00456CA0" w:rsidP="006B599D">
      <w:pPr>
        <w:pStyle w:val="ListBullet2"/>
        <w:ind w:left="0"/>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iCs/>
          <w:sz w:val="20"/>
          <w:szCs w:val="20"/>
          <w:u w:val="single"/>
        </w:rPr>
        <w:t>Sustainability.</w:t>
      </w:r>
      <w:r w:rsidRPr="003B6AA9">
        <w:rPr>
          <w:rFonts w:ascii="Arial" w:hAnsi="Arial" w:cs="Arial"/>
          <w:iCs/>
          <w:sz w:val="20"/>
          <w:szCs w:val="20"/>
        </w:rPr>
        <w:t xml:space="preserve"> E</w:t>
      </w:r>
      <w:r w:rsidRPr="003B6AA9">
        <w:rPr>
          <w:rFonts w:ascii="Arial" w:hAnsi="Arial" w:cs="Arial"/>
          <w:sz w:val="20"/>
          <w:szCs w:val="20"/>
        </w:rPr>
        <w:t xml:space="preserv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or community production activities. </w:t>
      </w:r>
    </w:p>
    <w:p w:rsidR="00456CA0" w:rsidRPr="003B6AA9" w:rsidRDefault="00456CA0" w:rsidP="006B599D">
      <w:pPr>
        <w:pStyle w:val="ListBullet2"/>
        <w:ind w:left="0"/>
        <w:jc w:val="both"/>
        <w:rPr>
          <w:rFonts w:ascii="Arial" w:hAnsi="Arial" w:cs="Arial"/>
          <w:sz w:val="20"/>
          <w:szCs w:val="20"/>
        </w:rPr>
      </w:pPr>
    </w:p>
    <w:p w:rsidR="00456CA0" w:rsidRPr="003B6AA9" w:rsidRDefault="00456CA0" w:rsidP="006B599D">
      <w:pPr>
        <w:jc w:val="both"/>
        <w:rPr>
          <w:bCs w:val="0"/>
          <w:sz w:val="20"/>
          <w:szCs w:val="20"/>
          <w:u w:val="single"/>
        </w:rPr>
      </w:pPr>
      <w:r w:rsidRPr="003B6AA9">
        <w:rPr>
          <w:bCs w:val="0"/>
          <w:sz w:val="20"/>
          <w:szCs w:val="20"/>
          <w:u w:val="single"/>
        </w:rPr>
        <w:t>4.3. Results</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t>Attainment of Outcomes/ Achievement of objectives (R</w:t>
      </w:r>
      <w:r w:rsidRPr="003B6AA9">
        <w:rPr>
          <w:rFonts w:ascii="Arial" w:hAnsi="Arial" w:cs="Arial"/>
          <w:i/>
          <w:sz w:val="20"/>
          <w:szCs w:val="20"/>
        </w:rPr>
        <w:t xml:space="preserve">): </w:t>
      </w:r>
      <w:r w:rsidRPr="003B6AA9">
        <w:rPr>
          <w:rFonts w:ascii="Arial" w:hAnsi="Arial" w:cs="Arial"/>
          <w:iCs/>
          <w:sz w:val="20"/>
          <w:szCs w:val="20"/>
        </w:rPr>
        <w:t>Including a description</w:t>
      </w:r>
      <w:r w:rsidRPr="003B6AA9">
        <w:rPr>
          <w:rFonts w:ascii="Arial" w:hAnsi="Arial" w:cs="Arial"/>
          <w:sz w:val="20"/>
          <w:szCs w:val="20"/>
        </w:rPr>
        <w:t xml:space="preserve"> </w:t>
      </w:r>
      <w:r w:rsidRPr="003B6AA9">
        <w:rPr>
          <w:rFonts w:ascii="Arial" w:hAnsi="Arial" w:cs="Arial"/>
          <w:i/>
          <w:iCs/>
          <w:sz w:val="20"/>
          <w:szCs w:val="20"/>
        </w:rPr>
        <w:t>and rating</w:t>
      </w:r>
      <w:r w:rsidRPr="003B6AA9">
        <w:rPr>
          <w:rFonts w:ascii="Arial" w:hAnsi="Arial" w:cs="Arial"/>
          <w:sz w:val="20"/>
          <w:szCs w:val="20"/>
        </w:rPr>
        <w:t xml:space="preserve"> of the extent to which the project's objectives (environmental and developmental) were achieved using Highly Satisfactory</w:t>
      </w:r>
      <w:r w:rsidR="00F80700" w:rsidRPr="003B6AA9">
        <w:rPr>
          <w:rFonts w:ascii="Arial" w:hAnsi="Arial" w:cs="Arial"/>
          <w:sz w:val="20"/>
          <w:szCs w:val="20"/>
        </w:rPr>
        <w:t xml:space="preserve"> </w:t>
      </w:r>
      <w:r w:rsidR="00CC0B2A" w:rsidRPr="003B6AA9">
        <w:rPr>
          <w:rFonts w:ascii="Arial" w:hAnsi="Arial" w:cs="Arial"/>
          <w:sz w:val="20"/>
          <w:szCs w:val="20"/>
        </w:rPr>
        <w:t>(HS),</w:t>
      </w:r>
      <w:r w:rsidRPr="003B6AA9">
        <w:rPr>
          <w:rFonts w:ascii="Arial" w:hAnsi="Arial" w:cs="Arial"/>
          <w:sz w:val="20"/>
          <w:szCs w:val="20"/>
        </w:rPr>
        <w:t xml:space="preserve"> Satisfactory</w:t>
      </w:r>
      <w:r w:rsidR="00F80700" w:rsidRPr="003B6AA9">
        <w:rPr>
          <w:rFonts w:ascii="Arial" w:hAnsi="Arial" w:cs="Arial"/>
          <w:sz w:val="20"/>
          <w:szCs w:val="20"/>
        </w:rPr>
        <w:t xml:space="preserve"> </w:t>
      </w:r>
      <w:r w:rsidR="00CC0B2A" w:rsidRPr="003B6AA9">
        <w:rPr>
          <w:rFonts w:ascii="Arial" w:hAnsi="Arial" w:cs="Arial"/>
          <w:sz w:val="20"/>
          <w:szCs w:val="20"/>
        </w:rPr>
        <w:t>(S),</w:t>
      </w:r>
      <w:r w:rsidRPr="003B6AA9">
        <w:rPr>
          <w:rFonts w:ascii="Arial" w:hAnsi="Arial" w:cs="Arial"/>
          <w:sz w:val="20"/>
          <w:szCs w:val="20"/>
        </w:rPr>
        <w:t xml:space="preserve"> M</w:t>
      </w:r>
      <w:r w:rsidR="00CC0B2A" w:rsidRPr="003B6AA9">
        <w:rPr>
          <w:rFonts w:ascii="Arial" w:hAnsi="Arial" w:cs="Arial"/>
          <w:sz w:val="20"/>
          <w:szCs w:val="20"/>
        </w:rPr>
        <w:t>oderately</w:t>
      </w:r>
      <w:r w:rsidRPr="003B6AA9">
        <w:rPr>
          <w:rFonts w:ascii="Arial" w:hAnsi="Arial" w:cs="Arial"/>
          <w:sz w:val="20"/>
          <w:szCs w:val="20"/>
        </w:rPr>
        <w:t xml:space="preserve"> Satisfactory</w:t>
      </w:r>
      <w:r w:rsidR="00F80700" w:rsidRPr="003B6AA9">
        <w:rPr>
          <w:rFonts w:ascii="Arial" w:hAnsi="Arial" w:cs="Arial"/>
          <w:sz w:val="20"/>
          <w:szCs w:val="20"/>
        </w:rPr>
        <w:t xml:space="preserve"> </w:t>
      </w:r>
      <w:r w:rsidR="00CC0B2A" w:rsidRPr="003B6AA9">
        <w:rPr>
          <w:rFonts w:ascii="Arial" w:hAnsi="Arial" w:cs="Arial"/>
          <w:sz w:val="20"/>
          <w:szCs w:val="20"/>
        </w:rPr>
        <w:t>(MS), Moderately Unsatisfactory (MU),</w:t>
      </w:r>
      <w:r w:rsidRPr="003B6AA9">
        <w:rPr>
          <w:rFonts w:ascii="Arial" w:hAnsi="Arial" w:cs="Arial"/>
          <w:sz w:val="20"/>
          <w:szCs w:val="20"/>
        </w:rPr>
        <w:t xml:space="preserve"> Unsatisfactory </w:t>
      </w:r>
      <w:r w:rsidR="00CC0B2A" w:rsidRPr="003B6AA9">
        <w:rPr>
          <w:rFonts w:ascii="Arial" w:hAnsi="Arial" w:cs="Arial"/>
          <w:sz w:val="20"/>
          <w:szCs w:val="20"/>
        </w:rPr>
        <w:t>(U) and Highly Unsatisfactory (HU)</w:t>
      </w:r>
      <w:r w:rsidR="00F80700" w:rsidRPr="003B6AA9">
        <w:rPr>
          <w:rFonts w:ascii="Arial" w:hAnsi="Arial" w:cs="Arial"/>
          <w:sz w:val="20"/>
          <w:szCs w:val="20"/>
        </w:rPr>
        <w:t xml:space="preserve"> </w:t>
      </w:r>
      <w:r w:rsidRPr="003B6AA9">
        <w:rPr>
          <w:rFonts w:ascii="Arial" w:hAnsi="Arial" w:cs="Arial"/>
          <w:sz w:val="20"/>
          <w:szCs w:val="20"/>
        </w:rPr>
        <w:t xml:space="preserve">ratings. If the project did not establish a baseline (initial conditions), the evaluators should seek to determine it through the use of special methodologies so that achievements, results and impacts can be properly established.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 xml:space="preserve">This section should also include reviews of the following: </w:t>
      </w:r>
    </w:p>
    <w:p w:rsidR="00456CA0" w:rsidRPr="003B6AA9" w:rsidRDefault="00456CA0" w:rsidP="006B599D">
      <w:pPr>
        <w:jc w:val="both"/>
        <w:rPr>
          <w:b/>
          <w:iCs/>
          <w:color w:val="0000FF"/>
          <w:sz w:val="20"/>
          <w:szCs w:val="20"/>
        </w:rPr>
      </w:pP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u w:val="single"/>
        </w:rPr>
        <w:lastRenderedPageBreak/>
        <w:t>Sustainability</w:t>
      </w:r>
      <w:r w:rsidRPr="003B6AA9">
        <w:rPr>
          <w:rFonts w:ascii="Arial" w:hAnsi="Arial" w:cs="Arial"/>
          <w:i/>
          <w:sz w:val="20"/>
          <w:szCs w:val="20"/>
          <w:u w:val="single"/>
        </w:rPr>
        <w:t>:</w:t>
      </w:r>
      <w:r w:rsidRPr="003B6AA9">
        <w:rPr>
          <w:rFonts w:ascii="Arial" w:hAnsi="Arial" w:cs="Arial"/>
          <w:i/>
          <w:sz w:val="20"/>
          <w:szCs w:val="20"/>
        </w:rPr>
        <w:t xml:space="preserve"> </w:t>
      </w:r>
      <w:r w:rsidRPr="003B6AA9">
        <w:rPr>
          <w:rFonts w:ascii="Arial" w:hAnsi="Arial" w:cs="Arial"/>
          <w:sz w:val="20"/>
          <w:szCs w:val="20"/>
        </w:rPr>
        <w:t xml:space="preserve">Including an appreciation of the extent to which benefits continue, within or outside the project domain after GEF assistance/external assistance in this phase has come to an end.  </w:t>
      </w:r>
    </w:p>
    <w:p w:rsidR="00456CA0" w:rsidRPr="003B6AA9" w:rsidRDefault="00456CA0" w:rsidP="006B599D">
      <w:pPr>
        <w:pStyle w:val="ListBullet2"/>
        <w:jc w:val="both"/>
        <w:rPr>
          <w:rFonts w:ascii="Arial" w:hAnsi="Arial" w:cs="Arial"/>
          <w:sz w:val="20"/>
          <w:szCs w:val="20"/>
        </w:rPr>
      </w:pPr>
    </w:p>
    <w:p w:rsidR="00456CA0" w:rsidRPr="003B6AA9" w:rsidRDefault="00456CA0" w:rsidP="006B599D">
      <w:pPr>
        <w:ind w:left="720"/>
        <w:jc w:val="both"/>
        <w:rPr>
          <w:sz w:val="20"/>
          <w:szCs w:val="20"/>
          <w:u w:val="single"/>
        </w:rPr>
      </w:pPr>
      <w:r w:rsidRPr="003B6AA9">
        <w:rPr>
          <w:sz w:val="20"/>
          <w:szCs w:val="20"/>
          <w:u w:val="single"/>
        </w:rPr>
        <w:t>Contribution to upgrading skills of the national staff</w:t>
      </w:r>
    </w:p>
    <w:p w:rsidR="00456CA0" w:rsidRPr="003B6AA9" w:rsidRDefault="00456CA0" w:rsidP="006B599D">
      <w:pPr>
        <w:pStyle w:val="Subtitle"/>
        <w:jc w:val="both"/>
        <w:rPr>
          <w:rFonts w:ascii="Arial" w:hAnsi="Arial" w:cs="Arial"/>
          <w:b w:val="0"/>
          <w:bCs/>
          <w:color w:val="0000FF"/>
          <w:sz w:val="20"/>
          <w:u w:val="none"/>
        </w:rPr>
      </w:pPr>
    </w:p>
    <w:p w:rsidR="00456CA0" w:rsidRPr="003B6AA9" w:rsidRDefault="00456CA0" w:rsidP="006B599D">
      <w:pPr>
        <w:jc w:val="both"/>
        <w:rPr>
          <w:sz w:val="20"/>
          <w:szCs w:val="20"/>
          <w:u w:val="single"/>
        </w:rPr>
      </w:pPr>
      <w:r w:rsidRPr="003B6AA9">
        <w:rPr>
          <w:sz w:val="20"/>
          <w:szCs w:val="20"/>
          <w:u w:val="single"/>
          <w:lang w:val="en-GB"/>
        </w:rPr>
        <w:t xml:space="preserve">5. </w:t>
      </w:r>
      <w:r w:rsidRPr="003B6AA9">
        <w:rPr>
          <w:sz w:val="20"/>
          <w:szCs w:val="20"/>
          <w:u w:val="single"/>
        </w:rPr>
        <w:t>Recommendations</w:t>
      </w:r>
    </w:p>
    <w:p w:rsidR="00456CA0" w:rsidRPr="003B6AA9" w:rsidRDefault="00456CA0" w:rsidP="006B599D">
      <w:pPr>
        <w:pStyle w:val="Subtitle"/>
        <w:numPr>
          <w:ilvl w:val="0"/>
          <w:numId w:val="20"/>
        </w:numPr>
        <w:jc w:val="both"/>
        <w:rPr>
          <w:rFonts w:ascii="Arial" w:hAnsi="Arial" w:cs="Arial"/>
          <w:b w:val="0"/>
          <w:sz w:val="20"/>
          <w:u w:val="none"/>
        </w:rPr>
      </w:pPr>
      <w:r w:rsidRPr="003B6AA9">
        <w:rPr>
          <w:rFonts w:ascii="Arial" w:hAnsi="Arial" w:cs="Arial"/>
          <w:b w:val="0"/>
          <w:sz w:val="20"/>
          <w:u w:val="none"/>
        </w:rPr>
        <w:t xml:space="preserve">Corrective actions for the design, implementation, monitoring and evaluation of the project.  Recommendations should be specific and clearly justified in relation to the achievement of the project objectives.  </w:t>
      </w:r>
    </w:p>
    <w:p w:rsidR="00456CA0" w:rsidRPr="003B6AA9" w:rsidRDefault="00456CA0" w:rsidP="006B599D">
      <w:pPr>
        <w:pStyle w:val="Subtitle"/>
        <w:numPr>
          <w:ilvl w:val="0"/>
          <w:numId w:val="20"/>
        </w:numPr>
        <w:jc w:val="both"/>
        <w:rPr>
          <w:rFonts w:ascii="Arial" w:hAnsi="Arial" w:cs="Arial"/>
          <w:b w:val="0"/>
          <w:sz w:val="20"/>
          <w:u w:val="none"/>
        </w:rPr>
      </w:pPr>
      <w:r w:rsidRPr="003B6AA9">
        <w:rPr>
          <w:rFonts w:ascii="Arial" w:hAnsi="Arial" w:cs="Arial"/>
          <w:b w:val="0"/>
          <w:sz w:val="20"/>
          <w:u w:val="none"/>
        </w:rPr>
        <w:t>Actions to follow up or reinforce initial benefits from the project</w:t>
      </w:r>
    </w:p>
    <w:p w:rsidR="00456CA0" w:rsidRPr="003B6AA9" w:rsidRDefault="00456CA0" w:rsidP="006B599D">
      <w:pPr>
        <w:pStyle w:val="Subtitle"/>
        <w:numPr>
          <w:ilvl w:val="0"/>
          <w:numId w:val="20"/>
        </w:numPr>
        <w:jc w:val="both"/>
        <w:rPr>
          <w:rFonts w:ascii="Arial" w:hAnsi="Arial" w:cs="Arial"/>
          <w:b w:val="0"/>
          <w:sz w:val="20"/>
          <w:u w:val="none"/>
        </w:rPr>
      </w:pPr>
      <w:r w:rsidRPr="003B6AA9">
        <w:rPr>
          <w:rFonts w:ascii="Arial" w:hAnsi="Arial" w:cs="Arial"/>
          <w:b w:val="0"/>
          <w:sz w:val="20"/>
          <w:u w:val="none"/>
        </w:rPr>
        <w:t>Proposals for future directions underlining main objectives</w:t>
      </w:r>
    </w:p>
    <w:p w:rsidR="00456CA0" w:rsidRPr="003B6AA9" w:rsidRDefault="00456CA0" w:rsidP="006B599D">
      <w:pPr>
        <w:pStyle w:val="BodyText"/>
        <w:jc w:val="both"/>
        <w:rPr>
          <w:sz w:val="20"/>
          <w:szCs w:val="20"/>
          <w:lang w:val="en-GB"/>
        </w:rPr>
      </w:pPr>
    </w:p>
    <w:p w:rsidR="00456CA0" w:rsidRPr="003B6AA9" w:rsidRDefault="00456CA0" w:rsidP="006B599D">
      <w:pPr>
        <w:jc w:val="both"/>
        <w:rPr>
          <w:bCs w:val="0"/>
          <w:sz w:val="20"/>
          <w:szCs w:val="20"/>
          <w:u w:val="single"/>
        </w:rPr>
      </w:pPr>
      <w:r w:rsidRPr="003B6AA9">
        <w:rPr>
          <w:bCs w:val="0"/>
          <w:sz w:val="20"/>
          <w:szCs w:val="20"/>
          <w:u w:val="single"/>
        </w:rPr>
        <w:t>6.  Lessons learned</w:t>
      </w:r>
    </w:p>
    <w:p w:rsidR="00456CA0" w:rsidRPr="003B6AA9" w:rsidRDefault="00456CA0" w:rsidP="006B599D">
      <w:pPr>
        <w:ind w:left="240"/>
        <w:jc w:val="both"/>
        <w:rPr>
          <w:sz w:val="20"/>
          <w:szCs w:val="20"/>
        </w:rPr>
      </w:pPr>
      <w:r w:rsidRPr="003B6AA9">
        <w:rPr>
          <w:sz w:val="20"/>
          <w:szCs w:val="20"/>
        </w:rPr>
        <w:t xml:space="preserve">This should highlight the best and worst practices in addressing issues relating to relevance, performance and success.  </w:t>
      </w:r>
    </w:p>
    <w:p w:rsidR="00456CA0" w:rsidRPr="003B6AA9" w:rsidRDefault="00456CA0" w:rsidP="006B599D">
      <w:pPr>
        <w:jc w:val="both"/>
        <w:rPr>
          <w:sz w:val="20"/>
          <w:szCs w:val="20"/>
        </w:rPr>
      </w:pPr>
    </w:p>
    <w:p w:rsidR="00456CA0" w:rsidRPr="003B6AA9" w:rsidRDefault="00456CA0" w:rsidP="006B599D">
      <w:pPr>
        <w:jc w:val="both"/>
        <w:rPr>
          <w:bCs w:val="0"/>
          <w:sz w:val="20"/>
          <w:szCs w:val="20"/>
          <w:u w:val="single"/>
        </w:rPr>
      </w:pPr>
      <w:r w:rsidRPr="003B6AA9">
        <w:rPr>
          <w:bCs w:val="0"/>
          <w:sz w:val="20"/>
          <w:szCs w:val="20"/>
          <w:u w:val="single"/>
        </w:rPr>
        <w:t>7.  Evaluation report Annexes</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 xml:space="preserve">Evaluation TORs </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Itinerary</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List of persons interviewed</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 xml:space="preserve">Summary of field visits, issues raised and recommendations by different stakeholders </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List of documents reviewed</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Questionnaire used and summary of results</w:t>
      </w:r>
    </w:p>
    <w:p w:rsidR="00456CA0" w:rsidRPr="003B6AA9" w:rsidRDefault="00456CA0" w:rsidP="006B599D">
      <w:pPr>
        <w:pStyle w:val="ListBullet2"/>
        <w:jc w:val="both"/>
        <w:rPr>
          <w:rFonts w:ascii="Arial" w:hAnsi="Arial" w:cs="Arial"/>
          <w:sz w:val="20"/>
          <w:szCs w:val="20"/>
        </w:rPr>
      </w:pPr>
      <w:r w:rsidRPr="003B6AA9">
        <w:rPr>
          <w:rFonts w:ascii="Arial" w:hAnsi="Arial" w:cs="Arial"/>
          <w:sz w:val="20"/>
          <w:szCs w:val="20"/>
        </w:rPr>
        <w:t>Comments by stakeholders (only in case of discrepancies with evaluation findings and conclusions)</w:t>
      </w:r>
    </w:p>
    <w:p w:rsidR="00867444" w:rsidRDefault="00867444">
      <w:pPr>
        <w:jc w:val="both"/>
        <w:rPr>
          <w:sz w:val="20"/>
          <w:szCs w:val="20"/>
        </w:rPr>
      </w:pPr>
    </w:p>
    <w:p w:rsidR="00867444" w:rsidRDefault="00AA1C22">
      <w:pPr>
        <w:pStyle w:val="ListParagraph"/>
        <w:numPr>
          <w:ilvl w:val="0"/>
          <w:numId w:val="30"/>
        </w:numPr>
        <w:jc w:val="both"/>
        <w:rPr>
          <w:b/>
          <w:sz w:val="20"/>
          <w:szCs w:val="20"/>
        </w:rPr>
      </w:pPr>
      <w:r w:rsidRPr="00AA1C22">
        <w:rPr>
          <w:b/>
          <w:sz w:val="20"/>
          <w:szCs w:val="20"/>
        </w:rPr>
        <w:t>Proposal and selection process</w:t>
      </w:r>
    </w:p>
    <w:p w:rsidR="007325C3" w:rsidRPr="003B6AA9" w:rsidRDefault="007325C3" w:rsidP="006B599D">
      <w:pPr>
        <w:pStyle w:val="ListParagraph"/>
        <w:numPr>
          <w:ilvl w:val="0"/>
          <w:numId w:val="31"/>
        </w:numPr>
        <w:jc w:val="both"/>
        <w:rPr>
          <w:sz w:val="20"/>
          <w:szCs w:val="20"/>
        </w:rPr>
      </w:pPr>
      <w:r w:rsidRPr="003B6AA9">
        <w:rPr>
          <w:sz w:val="20"/>
          <w:szCs w:val="20"/>
        </w:rPr>
        <w:t xml:space="preserve">The successful consultants will be required to submit a detailed proposal and </w:t>
      </w:r>
      <w:r w:rsidR="00867444">
        <w:rPr>
          <w:sz w:val="20"/>
          <w:szCs w:val="20"/>
        </w:rPr>
        <w:t>W</w:t>
      </w:r>
      <w:r w:rsidR="00867444" w:rsidRPr="003B6AA9">
        <w:rPr>
          <w:sz w:val="20"/>
          <w:szCs w:val="20"/>
        </w:rPr>
        <w:t xml:space="preserve">orkplan </w:t>
      </w:r>
      <w:r w:rsidRPr="003B6AA9">
        <w:rPr>
          <w:sz w:val="20"/>
          <w:szCs w:val="20"/>
        </w:rPr>
        <w:t xml:space="preserve">to </w:t>
      </w:r>
      <w:r w:rsidR="00867444">
        <w:rPr>
          <w:sz w:val="20"/>
          <w:szCs w:val="20"/>
        </w:rPr>
        <w:t>UNDP CO</w:t>
      </w:r>
      <w:r w:rsidRPr="003B6AA9">
        <w:rPr>
          <w:sz w:val="20"/>
          <w:szCs w:val="20"/>
        </w:rPr>
        <w:t xml:space="preserve"> for approval. This </w:t>
      </w:r>
      <w:r w:rsidR="00867444">
        <w:rPr>
          <w:sz w:val="20"/>
          <w:szCs w:val="20"/>
        </w:rPr>
        <w:t>W</w:t>
      </w:r>
      <w:r w:rsidR="00867444" w:rsidRPr="003B6AA9">
        <w:rPr>
          <w:sz w:val="20"/>
          <w:szCs w:val="20"/>
        </w:rPr>
        <w:t xml:space="preserve">orkplan </w:t>
      </w:r>
      <w:r w:rsidRPr="003B6AA9">
        <w:rPr>
          <w:sz w:val="20"/>
          <w:szCs w:val="20"/>
        </w:rPr>
        <w:t>will clearly set out the time frames, programme of work and deliverables.</w:t>
      </w:r>
    </w:p>
    <w:p w:rsidR="006B599D" w:rsidRPr="003B6AA9" w:rsidRDefault="006B599D" w:rsidP="006B599D">
      <w:pPr>
        <w:ind w:left="360"/>
        <w:jc w:val="both"/>
        <w:rPr>
          <w:i/>
          <w:sz w:val="20"/>
          <w:szCs w:val="20"/>
        </w:rPr>
      </w:pPr>
    </w:p>
    <w:p w:rsidR="00727125" w:rsidRPr="003B6AA9" w:rsidRDefault="00CC0B2A" w:rsidP="006B599D">
      <w:pPr>
        <w:numPr>
          <w:ilvl w:val="0"/>
          <w:numId w:val="31"/>
        </w:numPr>
        <w:jc w:val="both"/>
        <w:rPr>
          <w:i/>
          <w:sz w:val="20"/>
          <w:szCs w:val="20"/>
        </w:rPr>
      </w:pPr>
      <w:r w:rsidRPr="003B6AA9">
        <w:rPr>
          <w:i/>
          <w:sz w:val="20"/>
          <w:szCs w:val="20"/>
        </w:rPr>
        <w:t xml:space="preserve">criteria: </w:t>
      </w:r>
    </w:p>
    <w:p w:rsidR="00727125" w:rsidRPr="003B6AA9" w:rsidRDefault="00727125" w:rsidP="006B599D">
      <w:pPr>
        <w:jc w:val="both"/>
        <w:rPr>
          <w:sz w:val="20"/>
          <w:szCs w:val="20"/>
        </w:rPr>
      </w:pPr>
    </w:p>
    <w:tbl>
      <w:tblPr>
        <w:tblW w:w="0" w:type="auto"/>
        <w:tblInd w:w="828" w:type="dxa"/>
        <w:tblLayout w:type="fixed"/>
        <w:tblLook w:val="01E0"/>
      </w:tblPr>
      <w:tblGrid>
        <w:gridCol w:w="6480"/>
        <w:gridCol w:w="1260"/>
      </w:tblGrid>
      <w:tr w:rsidR="00727125" w:rsidRPr="003B6AA9" w:rsidTr="009C583C">
        <w:tc>
          <w:tcPr>
            <w:tcW w:w="6480" w:type="dxa"/>
          </w:tcPr>
          <w:p w:rsidR="00727125" w:rsidRPr="003B6AA9" w:rsidRDefault="00CC0B2A" w:rsidP="006B599D">
            <w:pPr>
              <w:widowControl w:val="0"/>
              <w:spacing w:after="120"/>
              <w:jc w:val="both"/>
              <w:rPr>
                <w:b/>
                <w:snapToGrid w:val="0"/>
                <w:sz w:val="20"/>
                <w:szCs w:val="20"/>
                <w:u w:val="single"/>
              </w:rPr>
            </w:pPr>
            <w:r w:rsidRPr="003B6AA9">
              <w:rPr>
                <w:b/>
                <w:snapToGrid w:val="0"/>
                <w:sz w:val="20"/>
                <w:szCs w:val="20"/>
                <w:u w:val="single"/>
              </w:rPr>
              <w:t>Assessment Criteria</w:t>
            </w:r>
          </w:p>
        </w:tc>
        <w:tc>
          <w:tcPr>
            <w:tcW w:w="1260" w:type="dxa"/>
          </w:tcPr>
          <w:p w:rsidR="00727125" w:rsidRPr="003B6AA9" w:rsidRDefault="00CC0B2A" w:rsidP="006B599D">
            <w:pPr>
              <w:keepNext/>
              <w:keepLines/>
              <w:widowControl w:val="0"/>
              <w:spacing w:before="200" w:after="120"/>
              <w:jc w:val="both"/>
              <w:outlineLvl w:val="2"/>
              <w:rPr>
                <w:b/>
                <w:snapToGrid w:val="0"/>
                <w:sz w:val="20"/>
                <w:szCs w:val="20"/>
                <w:u w:val="single"/>
              </w:rPr>
            </w:pPr>
            <w:r w:rsidRPr="003B6AA9">
              <w:rPr>
                <w:b/>
                <w:snapToGrid w:val="0"/>
                <w:sz w:val="20"/>
                <w:szCs w:val="20"/>
                <w:u w:val="single"/>
              </w:rPr>
              <w:t>Points</w:t>
            </w:r>
          </w:p>
        </w:tc>
      </w:tr>
      <w:tr w:rsidR="00727125" w:rsidRPr="003B6AA9" w:rsidTr="009C583C">
        <w:tc>
          <w:tcPr>
            <w:tcW w:w="648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Technical merit of proposal (approach, time and deliverables)</w:t>
            </w:r>
          </w:p>
        </w:tc>
        <w:tc>
          <w:tcPr>
            <w:tcW w:w="126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30</w:t>
            </w:r>
          </w:p>
        </w:tc>
      </w:tr>
      <w:tr w:rsidR="00727125" w:rsidRPr="003B6AA9" w:rsidTr="009C583C">
        <w:tc>
          <w:tcPr>
            <w:tcW w:w="648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Qualification, expertise and competencies of service provider</w:t>
            </w:r>
          </w:p>
        </w:tc>
        <w:tc>
          <w:tcPr>
            <w:tcW w:w="126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30</w:t>
            </w:r>
          </w:p>
        </w:tc>
      </w:tr>
      <w:tr w:rsidR="00727125" w:rsidRPr="003B6AA9" w:rsidTr="009C583C">
        <w:tc>
          <w:tcPr>
            <w:tcW w:w="648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 xml:space="preserve">Employment Equity </w:t>
            </w:r>
          </w:p>
        </w:tc>
        <w:tc>
          <w:tcPr>
            <w:tcW w:w="126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20</w:t>
            </w:r>
          </w:p>
        </w:tc>
      </w:tr>
      <w:tr w:rsidR="00727125" w:rsidRPr="003B6AA9" w:rsidTr="009C583C">
        <w:tc>
          <w:tcPr>
            <w:tcW w:w="648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Price</w:t>
            </w:r>
          </w:p>
        </w:tc>
        <w:tc>
          <w:tcPr>
            <w:tcW w:w="126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20</w:t>
            </w:r>
          </w:p>
        </w:tc>
      </w:tr>
      <w:tr w:rsidR="00727125" w:rsidRPr="003B6AA9" w:rsidTr="009C583C">
        <w:tc>
          <w:tcPr>
            <w:tcW w:w="6480" w:type="dxa"/>
          </w:tcPr>
          <w:p w:rsidR="00727125" w:rsidRPr="003B6AA9" w:rsidRDefault="00CC0B2A" w:rsidP="006B599D">
            <w:pPr>
              <w:keepNext/>
              <w:keepLines/>
              <w:widowControl w:val="0"/>
              <w:spacing w:before="200" w:after="120"/>
              <w:ind w:left="283"/>
              <w:jc w:val="both"/>
              <w:outlineLvl w:val="2"/>
              <w:rPr>
                <w:snapToGrid w:val="0"/>
                <w:sz w:val="20"/>
                <w:szCs w:val="20"/>
                <w:u w:val="single"/>
              </w:rPr>
            </w:pPr>
            <w:r w:rsidRPr="003B6AA9">
              <w:rPr>
                <w:snapToGrid w:val="0"/>
                <w:sz w:val="20"/>
                <w:szCs w:val="20"/>
                <w:u w:val="single"/>
              </w:rPr>
              <w:t>TOTAL</w:t>
            </w:r>
          </w:p>
        </w:tc>
        <w:tc>
          <w:tcPr>
            <w:tcW w:w="1260" w:type="dxa"/>
          </w:tcPr>
          <w:p w:rsidR="00727125" w:rsidRPr="003B6AA9" w:rsidRDefault="00CC0B2A" w:rsidP="006B599D">
            <w:pPr>
              <w:keepNext/>
              <w:keepLines/>
              <w:widowControl w:val="0"/>
              <w:spacing w:before="200" w:after="120"/>
              <w:ind w:left="283"/>
              <w:jc w:val="both"/>
              <w:outlineLvl w:val="2"/>
              <w:rPr>
                <w:snapToGrid w:val="0"/>
                <w:sz w:val="20"/>
                <w:szCs w:val="20"/>
              </w:rPr>
            </w:pPr>
            <w:r w:rsidRPr="003B6AA9">
              <w:rPr>
                <w:snapToGrid w:val="0"/>
                <w:sz w:val="20"/>
                <w:szCs w:val="20"/>
              </w:rPr>
              <w:t>100</w:t>
            </w:r>
          </w:p>
        </w:tc>
      </w:tr>
    </w:tbl>
    <w:p w:rsidR="00727125" w:rsidRPr="003B6AA9" w:rsidRDefault="00727125" w:rsidP="006B599D">
      <w:pPr>
        <w:ind w:left="360"/>
        <w:jc w:val="both"/>
        <w:rPr>
          <w:i/>
          <w:sz w:val="20"/>
          <w:szCs w:val="20"/>
        </w:rPr>
      </w:pPr>
    </w:p>
    <w:p w:rsidR="00727125" w:rsidRPr="003B6AA9" w:rsidRDefault="00CC0B2A" w:rsidP="006B599D">
      <w:pPr>
        <w:numPr>
          <w:ilvl w:val="0"/>
          <w:numId w:val="31"/>
        </w:numPr>
        <w:jc w:val="both"/>
        <w:rPr>
          <w:i/>
          <w:sz w:val="20"/>
          <w:szCs w:val="20"/>
        </w:rPr>
      </w:pPr>
      <w:r w:rsidRPr="003B6AA9">
        <w:rPr>
          <w:i/>
          <w:sz w:val="20"/>
          <w:szCs w:val="20"/>
        </w:rPr>
        <w:t xml:space="preserve">Service providers who fail to score a minimum of 30 points out of a possible 60 points on technical merit and qualification criteria will not be eligible for further consideration. </w:t>
      </w:r>
    </w:p>
    <w:p w:rsidR="00A12372" w:rsidRPr="003B6AA9" w:rsidRDefault="00A12372" w:rsidP="006B599D">
      <w:pPr>
        <w:pStyle w:val="ListParagraph"/>
        <w:numPr>
          <w:ilvl w:val="0"/>
          <w:numId w:val="31"/>
        </w:numPr>
        <w:jc w:val="both"/>
        <w:rPr>
          <w:i/>
          <w:sz w:val="20"/>
          <w:szCs w:val="20"/>
        </w:rPr>
      </w:pPr>
      <w:r w:rsidRPr="003B6AA9">
        <w:rPr>
          <w:i/>
          <w:sz w:val="20"/>
          <w:szCs w:val="20"/>
        </w:rPr>
        <w:t>Note that service providers are required to comply with the processes outlined here. Failure to comply will result in disqualification of proposals:</w:t>
      </w:r>
    </w:p>
    <w:p w:rsidR="00CF31EA" w:rsidRPr="003B6AA9" w:rsidRDefault="00CF31EA" w:rsidP="006B599D">
      <w:pPr>
        <w:jc w:val="both"/>
        <w:rPr>
          <w:b/>
          <w:sz w:val="20"/>
          <w:szCs w:val="20"/>
        </w:rPr>
      </w:pPr>
    </w:p>
    <w:p w:rsidR="00CF31EA" w:rsidRPr="003B6AA9" w:rsidRDefault="00CC0B2A" w:rsidP="006B599D">
      <w:pPr>
        <w:jc w:val="both"/>
        <w:rPr>
          <w:b/>
          <w:sz w:val="20"/>
          <w:szCs w:val="20"/>
        </w:rPr>
      </w:pPr>
      <w:r w:rsidRPr="003B6AA9">
        <w:rPr>
          <w:b/>
          <w:sz w:val="20"/>
          <w:szCs w:val="20"/>
        </w:rPr>
        <w:t>X</w:t>
      </w:r>
      <w:r w:rsidR="00252DEA">
        <w:rPr>
          <w:b/>
          <w:sz w:val="20"/>
          <w:szCs w:val="20"/>
        </w:rPr>
        <w:t>I</w:t>
      </w:r>
      <w:r w:rsidRPr="003B6AA9">
        <w:rPr>
          <w:b/>
          <w:sz w:val="20"/>
          <w:szCs w:val="20"/>
        </w:rPr>
        <w:t>.  Contractual arrangements</w:t>
      </w:r>
    </w:p>
    <w:p w:rsidR="00CF31EA" w:rsidRPr="003B6AA9" w:rsidRDefault="00CC0B2A" w:rsidP="006B599D">
      <w:pPr>
        <w:numPr>
          <w:ilvl w:val="0"/>
          <w:numId w:val="32"/>
        </w:numPr>
        <w:jc w:val="both"/>
        <w:rPr>
          <w:sz w:val="20"/>
          <w:szCs w:val="20"/>
        </w:rPr>
      </w:pPr>
      <w:r w:rsidRPr="003B6AA9">
        <w:rPr>
          <w:sz w:val="20"/>
          <w:szCs w:val="20"/>
        </w:rPr>
        <w:t xml:space="preserve">The contract will be drawn up between </w:t>
      </w:r>
      <w:r w:rsidR="00FD4730" w:rsidRPr="003B6AA9">
        <w:rPr>
          <w:sz w:val="20"/>
          <w:szCs w:val="20"/>
        </w:rPr>
        <w:t>UNDP</w:t>
      </w:r>
      <w:r w:rsidR="0057183E" w:rsidRPr="003B6AA9">
        <w:rPr>
          <w:sz w:val="20"/>
          <w:szCs w:val="20"/>
        </w:rPr>
        <w:t xml:space="preserve"> </w:t>
      </w:r>
      <w:r w:rsidRPr="003B6AA9">
        <w:rPr>
          <w:sz w:val="20"/>
          <w:szCs w:val="20"/>
        </w:rPr>
        <w:t>and the service provider</w:t>
      </w:r>
      <w:r w:rsidR="00776234">
        <w:rPr>
          <w:sz w:val="20"/>
          <w:szCs w:val="20"/>
        </w:rPr>
        <w:t>;</w:t>
      </w:r>
    </w:p>
    <w:p w:rsidR="00CF31EA" w:rsidRPr="003B6AA9" w:rsidRDefault="00CC0B2A" w:rsidP="006B599D">
      <w:pPr>
        <w:numPr>
          <w:ilvl w:val="0"/>
          <w:numId w:val="32"/>
        </w:numPr>
        <w:jc w:val="both"/>
        <w:rPr>
          <w:sz w:val="20"/>
          <w:szCs w:val="20"/>
        </w:rPr>
      </w:pPr>
      <w:r w:rsidRPr="003B6AA9">
        <w:rPr>
          <w:sz w:val="20"/>
          <w:szCs w:val="20"/>
        </w:rPr>
        <w:t>Invoices will be paid for deliverables received as agreed in the contract</w:t>
      </w:r>
      <w:r w:rsidR="00776234">
        <w:rPr>
          <w:sz w:val="20"/>
          <w:szCs w:val="20"/>
        </w:rPr>
        <w:t>; and</w:t>
      </w:r>
    </w:p>
    <w:p w:rsidR="00CF31EA" w:rsidRPr="003B6AA9" w:rsidRDefault="00CC0B2A" w:rsidP="006B599D">
      <w:pPr>
        <w:numPr>
          <w:ilvl w:val="0"/>
          <w:numId w:val="32"/>
        </w:numPr>
        <w:jc w:val="both"/>
        <w:rPr>
          <w:sz w:val="20"/>
          <w:szCs w:val="20"/>
        </w:rPr>
      </w:pPr>
      <w:r w:rsidRPr="003B6AA9">
        <w:rPr>
          <w:sz w:val="20"/>
          <w:szCs w:val="20"/>
        </w:rPr>
        <w:lastRenderedPageBreak/>
        <w:t>Invoices must indicate the deliver</w:t>
      </w:r>
      <w:r w:rsidR="00A12372" w:rsidRPr="003B6AA9">
        <w:rPr>
          <w:sz w:val="20"/>
          <w:szCs w:val="20"/>
        </w:rPr>
        <w:t>ed outputs</w:t>
      </w:r>
      <w:r w:rsidR="00776234">
        <w:rPr>
          <w:sz w:val="20"/>
          <w:szCs w:val="20"/>
        </w:rPr>
        <w:t>.</w:t>
      </w:r>
      <w:r w:rsidR="00A12372" w:rsidRPr="003B6AA9">
        <w:rPr>
          <w:sz w:val="20"/>
          <w:szCs w:val="20"/>
        </w:rPr>
        <w:t xml:space="preserve"> </w:t>
      </w:r>
    </w:p>
    <w:p w:rsidR="008F5501" w:rsidRPr="003B6AA9" w:rsidRDefault="008F5501" w:rsidP="006B599D">
      <w:pPr>
        <w:pStyle w:val="BodyText"/>
        <w:jc w:val="both"/>
        <w:rPr>
          <w:color w:val="0000FF"/>
          <w:sz w:val="20"/>
          <w:szCs w:val="20"/>
        </w:rPr>
      </w:pPr>
    </w:p>
    <w:p w:rsidR="00F516B5" w:rsidRPr="003B6AA9" w:rsidRDefault="00F516B5" w:rsidP="006B599D">
      <w:pPr>
        <w:pStyle w:val="Default"/>
        <w:spacing w:before="120" w:after="120"/>
        <w:rPr>
          <w:rFonts w:ascii="Arial" w:hAnsi="Arial" w:cs="Arial"/>
          <w:sz w:val="20"/>
          <w:szCs w:val="20"/>
        </w:rPr>
      </w:pPr>
      <w:r w:rsidRPr="003B6AA9">
        <w:rPr>
          <w:rFonts w:ascii="Arial" w:hAnsi="Arial" w:cs="Arial"/>
          <w:b/>
          <w:bCs/>
          <w:sz w:val="20"/>
          <w:szCs w:val="20"/>
        </w:rPr>
        <w:t xml:space="preserve">How to Apply </w:t>
      </w:r>
    </w:p>
    <w:p w:rsidR="00FD4730" w:rsidRPr="003B6AA9" w:rsidRDefault="00FD4730" w:rsidP="006B599D">
      <w:pPr>
        <w:pStyle w:val="ListBullet2"/>
        <w:ind w:left="0"/>
        <w:jc w:val="both"/>
        <w:rPr>
          <w:rFonts w:ascii="Arial" w:hAnsi="Arial" w:cs="Arial"/>
          <w:sz w:val="20"/>
          <w:szCs w:val="20"/>
        </w:rPr>
      </w:pPr>
      <w:r w:rsidRPr="003B6AA9">
        <w:rPr>
          <w:rFonts w:ascii="Arial" w:hAnsi="Arial" w:cs="Arial"/>
          <w:sz w:val="20"/>
          <w:szCs w:val="20"/>
        </w:rPr>
        <w:t>Potential candidates are requested to</w:t>
      </w:r>
      <w:r w:rsidR="00867444">
        <w:rPr>
          <w:rFonts w:ascii="Arial" w:hAnsi="Arial" w:cs="Arial"/>
          <w:sz w:val="20"/>
          <w:szCs w:val="20"/>
        </w:rPr>
        <w:t xml:space="preserve"> inquire and</w:t>
      </w:r>
      <w:r w:rsidR="00A77E63">
        <w:rPr>
          <w:rFonts w:ascii="Arial" w:hAnsi="Arial" w:cs="Arial"/>
          <w:sz w:val="20"/>
          <w:szCs w:val="20"/>
        </w:rPr>
        <w:t>,</w:t>
      </w:r>
      <w:r w:rsidR="00867444">
        <w:rPr>
          <w:rFonts w:ascii="Arial" w:hAnsi="Arial" w:cs="Arial"/>
          <w:sz w:val="20"/>
          <w:szCs w:val="20"/>
        </w:rPr>
        <w:t xml:space="preserve"> </w:t>
      </w:r>
      <w:r w:rsidRPr="003B6AA9">
        <w:rPr>
          <w:rFonts w:ascii="Arial" w:hAnsi="Arial" w:cs="Arial"/>
          <w:sz w:val="20"/>
          <w:szCs w:val="20"/>
        </w:rPr>
        <w:t xml:space="preserve">send their </w:t>
      </w:r>
      <w:r w:rsidR="00A77E63">
        <w:rPr>
          <w:rFonts w:ascii="Arial" w:hAnsi="Arial" w:cs="Arial"/>
          <w:sz w:val="20"/>
          <w:szCs w:val="20"/>
        </w:rPr>
        <w:t xml:space="preserve">brief </w:t>
      </w:r>
      <w:r w:rsidRPr="003B6AA9">
        <w:rPr>
          <w:rFonts w:ascii="Arial" w:hAnsi="Arial" w:cs="Arial"/>
          <w:sz w:val="20"/>
          <w:szCs w:val="20"/>
        </w:rPr>
        <w:t>proposals</w:t>
      </w:r>
      <w:r w:rsidR="00A77E63">
        <w:rPr>
          <w:rFonts w:ascii="Arial" w:hAnsi="Arial" w:cs="Arial"/>
          <w:sz w:val="20"/>
          <w:szCs w:val="20"/>
        </w:rPr>
        <w:t xml:space="preserve"> and CVs</w:t>
      </w:r>
      <w:r w:rsidRPr="003B6AA9">
        <w:rPr>
          <w:rFonts w:ascii="Arial" w:hAnsi="Arial" w:cs="Arial"/>
          <w:sz w:val="20"/>
          <w:szCs w:val="20"/>
        </w:rPr>
        <w:t xml:space="preserve"> to Nokufa Matitoane</w:t>
      </w:r>
    </w:p>
    <w:p w:rsidR="00FD4730" w:rsidRPr="003B6AA9" w:rsidRDefault="00FD4730" w:rsidP="006B599D">
      <w:pPr>
        <w:pStyle w:val="ListBullet2"/>
        <w:ind w:left="0"/>
        <w:jc w:val="both"/>
        <w:rPr>
          <w:rFonts w:ascii="Arial" w:hAnsi="Arial" w:cs="Arial"/>
          <w:sz w:val="20"/>
          <w:szCs w:val="20"/>
        </w:rPr>
      </w:pPr>
      <w:r w:rsidRPr="003B6AA9">
        <w:rPr>
          <w:rFonts w:ascii="Arial" w:hAnsi="Arial" w:cs="Arial"/>
          <w:sz w:val="20"/>
          <w:szCs w:val="20"/>
        </w:rPr>
        <w:t xml:space="preserve">e-mail: </w:t>
      </w:r>
      <w:hyperlink r:id="rId11" w:history="1">
        <w:r w:rsidRPr="003B6AA9">
          <w:rPr>
            <w:rStyle w:val="Hyperlink"/>
            <w:rFonts w:ascii="Arial" w:hAnsi="Arial" w:cs="Arial"/>
            <w:sz w:val="20"/>
            <w:szCs w:val="20"/>
          </w:rPr>
          <w:t>Nokufa.matitoane@undp.org</w:t>
        </w:r>
      </w:hyperlink>
    </w:p>
    <w:p w:rsidR="00FD4730" w:rsidRPr="006B599D" w:rsidRDefault="00FD4730" w:rsidP="006B599D">
      <w:pPr>
        <w:pStyle w:val="ListBullet2"/>
        <w:ind w:left="0"/>
        <w:jc w:val="both"/>
        <w:rPr>
          <w:rFonts w:ascii="Arial" w:hAnsi="Arial" w:cs="Arial"/>
          <w:sz w:val="20"/>
          <w:szCs w:val="20"/>
        </w:rPr>
      </w:pPr>
      <w:r w:rsidRPr="003B6AA9">
        <w:rPr>
          <w:rFonts w:ascii="Arial" w:hAnsi="Arial" w:cs="Arial"/>
          <w:sz w:val="20"/>
          <w:szCs w:val="20"/>
        </w:rPr>
        <w:t>Tel: 012 354 8003</w:t>
      </w:r>
    </w:p>
    <w:p w:rsidR="002A4EEC" w:rsidRPr="006B599D" w:rsidRDefault="002A4EEC" w:rsidP="006B599D">
      <w:pPr>
        <w:pStyle w:val="TOC1"/>
        <w:spacing w:before="0" w:beforeAutospacing="0" w:after="0" w:afterAutospacing="0"/>
        <w:ind w:left="502"/>
        <w:jc w:val="both"/>
        <w:rPr>
          <w:rFonts w:ascii="Arial" w:hAnsi="Arial" w:cs="Arial"/>
          <w:color w:val="0000FF"/>
          <w:sz w:val="20"/>
          <w:szCs w:val="20"/>
        </w:rPr>
      </w:pPr>
    </w:p>
    <w:p w:rsidR="00593EDC" w:rsidRPr="006B599D" w:rsidRDefault="00593EDC" w:rsidP="006B599D">
      <w:pPr>
        <w:pStyle w:val="BodyText"/>
        <w:jc w:val="both"/>
        <w:rPr>
          <w:sz w:val="20"/>
          <w:szCs w:val="20"/>
        </w:rPr>
      </w:pPr>
    </w:p>
    <w:sectPr w:rsidR="00593EDC" w:rsidRPr="006B599D" w:rsidSect="00EA2140">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92" w:rsidRDefault="00453092" w:rsidP="00456CA0">
      <w:r>
        <w:separator/>
      </w:r>
    </w:p>
  </w:endnote>
  <w:endnote w:type="continuationSeparator" w:id="1">
    <w:p w:rsidR="00453092" w:rsidRDefault="00453092" w:rsidP="00456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0626"/>
      <w:docPartObj>
        <w:docPartGallery w:val="Page Numbers (Bottom of Page)"/>
        <w:docPartUnique/>
      </w:docPartObj>
    </w:sdtPr>
    <w:sdtContent>
      <w:p w:rsidR="00867444" w:rsidRDefault="007D30F0">
        <w:pPr>
          <w:pStyle w:val="Footer"/>
          <w:jc w:val="center"/>
        </w:pPr>
        <w:fldSimple w:instr=" PAGE   \* MERGEFORMAT ">
          <w:r w:rsidR="00CE67B1">
            <w:rPr>
              <w:noProof/>
            </w:rPr>
            <w:t>2</w:t>
          </w:r>
        </w:fldSimple>
      </w:p>
    </w:sdtContent>
  </w:sdt>
  <w:p w:rsidR="00867444" w:rsidRDefault="00867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92" w:rsidRDefault="00453092" w:rsidP="00456CA0">
      <w:r>
        <w:separator/>
      </w:r>
    </w:p>
  </w:footnote>
  <w:footnote w:type="continuationSeparator" w:id="1">
    <w:p w:rsidR="00453092" w:rsidRDefault="00453092" w:rsidP="00456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408"/>
    <w:multiLevelType w:val="hybridMultilevel"/>
    <w:tmpl w:val="514E82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AC6A99"/>
    <w:multiLevelType w:val="multilevel"/>
    <w:tmpl w:val="516CECF8"/>
    <w:lvl w:ilvl="0">
      <w:start w:val="1"/>
      <w:numFmt w:val="decimal"/>
      <w:lvlText w:val="%1."/>
      <w:lvlJc w:val="left"/>
      <w:pPr>
        <w:ind w:left="360" w:hanging="360"/>
      </w:pPr>
      <w:rPr>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A9941AE"/>
    <w:multiLevelType w:val="hybridMultilevel"/>
    <w:tmpl w:val="98208616"/>
    <w:lvl w:ilvl="0" w:tplc="47840E5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A40E4A"/>
    <w:multiLevelType w:val="hybridMultilevel"/>
    <w:tmpl w:val="BAF83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B09E6"/>
    <w:multiLevelType w:val="hybridMultilevel"/>
    <w:tmpl w:val="E59AE1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9D62E0"/>
    <w:multiLevelType w:val="hybridMultilevel"/>
    <w:tmpl w:val="FE2C82AC"/>
    <w:lvl w:ilvl="0" w:tplc="04090011">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74E06"/>
    <w:multiLevelType w:val="hybridMultilevel"/>
    <w:tmpl w:val="E228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DF3B1E"/>
    <w:multiLevelType w:val="hybridMultilevel"/>
    <w:tmpl w:val="85F8F7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A232AA"/>
    <w:multiLevelType w:val="hybridMultilevel"/>
    <w:tmpl w:val="BCCEB6D4"/>
    <w:lvl w:ilvl="0" w:tplc="87F8809C">
      <w:start w:val="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8B0D98"/>
    <w:multiLevelType w:val="hybridMultilevel"/>
    <w:tmpl w:val="66F8D788"/>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038B5"/>
    <w:multiLevelType w:val="hybridMultilevel"/>
    <w:tmpl w:val="686453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AD75F6"/>
    <w:multiLevelType w:val="hybridMultilevel"/>
    <w:tmpl w:val="6DDAE566"/>
    <w:lvl w:ilvl="0" w:tplc="A6A450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2D3110"/>
    <w:multiLevelType w:val="hybridMultilevel"/>
    <w:tmpl w:val="C950B518"/>
    <w:lvl w:ilvl="0" w:tplc="5CC213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C81556"/>
    <w:multiLevelType w:val="hybridMultilevel"/>
    <w:tmpl w:val="608EC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CF288F"/>
    <w:multiLevelType w:val="hybridMultilevel"/>
    <w:tmpl w:val="0E44842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8625B"/>
    <w:multiLevelType w:val="hybridMultilevel"/>
    <w:tmpl w:val="A36AAD0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CD476C"/>
    <w:multiLevelType w:val="hybridMultilevel"/>
    <w:tmpl w:val="07CA0E68"/>
    <w:lvl w:ilvl="0" w:tplc="04090005">
      <w:start w:val="1"/>
      <w:numFmt w:val="decimal"/>
      <w:pStyle w:val="ParnumberedChar"/>
      <w:lvlText w:val="%1."/>
      <w:lvlJc w:val="left"/>
      <w:pPr>
        <w:tabs>
          <w:tab w:val="num" w:pos="360"/>
        </w:tabs>
        <w:ind w:left="360" w:hanging="360"/>
      </w:pPr>
      <w:rPr>
        <w:rFonts w:hint="default"/>
        <w:b w:val="0"/>
        <w:i w:val="0"/>
        <w:lang w:val="en-US"/>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9AA5508"/>
    <w:multiLevelType w:val="hybridMultilevel"/>
    <w:tmpl w:val="A3E64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A8F1190"/>
    <w:multiLevelType w:val="hybridMultilevel"/>
    <w:tmpl w:val="2D96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0189D"/>
    <w:multiLevelType w:val="multilevel"/>
    <w:tmpl w:val="D4844E24"/>
    <w:lvl w:ilvl="0">
      <w:start w:val="1"/>
      <w:numFmt w:val="bullet"/>
      <w:lvlText w:val=""/>
      <w:lvlJc w:val="left"/>
      <w:pPr>
        <w:tabs>
          <w:tab w:val="num" w:pos="360"/>
        </w:tabs>
        <w:ind w:left="360" w:hanging="360"/>
      </w:pPr>
      <w:rPr>
        <w:rFonts w:ascii="Wingdings" w:hAnsi="Wingdings" w:hint="default"/>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216BFA"/>
    <w:multiLevelType w:val="hybridMultilevel"/>
    <w:tmpl w:val="566A7E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117095B"/>
    <w:multiLevelType w:val="hybridMultilevel"/>
    <w:tmpl w:val="454CD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3F7F1E"/>
    <w:multiLevelType w:val="hybridMultilevel"/>
    <w:tmpl w:val="23AE0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A615B0"/>
    <w:multiLevelType w:val="hybridMultilevel"/>
    <w:tmpl w:val="872E77F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7643A5"/>
    <w:multiLevelType w:val="hybridMultilevel"/>
    <w:tmpl w:val="8B469098"/>
    <w:lvl w:ilvl="0" w:tplc="4AE0EB1A">
      <w:start w:val="1"/>
      <w:numFmt w:val="decimal"/>
      <w:lvlText w:val="%1."/>
      <w:lvlJc w:val="left"/>
      <w:pPr>
        <w:tabs>
          <w:tab w:val="num" w:pos="720"/>
        </w:tabs>
        <w:ind w:left="0" w:firstLine="0"/>
      </w:pPr>
      <w:rPr>
        <w:rFonts w:hint="default"/>
      </w:rPr>
    </w:lvl>
    <w:lvl w:ilvl="1" w:tplc="A5B8FD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AB05F2"/>
    <w:multiLevelType w:val="hybridMultilevel"/>
    <w:tmpl w:val="AD6EFF02"/>
    <w:lvl w:ilvl="0" w:tplc="033EB79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A9388A"/>
    <w:multiLevelType w:val="multilevel"/>
    <w:tmpl w:val="C0368DB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6CC3D98"/>
    <w:multiLevelType w:val="hybridMultilevel"/>
    <w:tmpl w:val="4F9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21"/>
  </w:num>
  <w:num w:numId="5">
    <w:abstractNumId w:val="5"/>
  </w:num>
  <w:num w:numId="6">
    <w:abstractNumId w:val="30"/>
  </w:num>
  <w:num w:numId="7">
    <w:abstractNumId w:val="8"/>
  </w:num>
  <w:num w:numId="8">
    <w:abstractNumId w:val="27"/>
  </w:num>
  <w:num w:numId="9">
    <w:abstractNumId w:val="0"/>
  </w:num>
  <w:num w:numId="10">
    <w:abstractNumId w:val="14"/>
  </w:num>
  <w:num w:numId="11">
    <w:abstractNumId w:val="23"/>
  </w:num>
  <w:num w:numId="12">
    <w:abstractNumId w:val="4"/>
  </w:num>
  <w:num w:numId="13">
    <w:abstractNumId w:val="18"/>
  </w:num>
  <w:num w:numId="14">
    <w:abstractNumId w:val="25"/>
  </w:num>
  <w:num w:numId="15">
    <w:abstractNumId w:val="13"/>
  </w:num>
  <w:num w:numId="16">
    <w:abstractNumId w:val="3"/>
  </w:num>
  <w:num w:numId="17">
    <w:abstractNumId w:val="24"/>
  </w:num>
  <w:num w:numId="18">
    <w:abstractNumId w:val="7"/>
  </w:num>
  <w:num w:numId="19">
    <w:abstractNumId w:val="29"/>
  </w:num>
  <w:num w:numId="20">
    <w:abstractNumId w:val="26"/>
  </w:num>
  <w:num w:numId="21">
    <w:abstractNumId w:val="15"/>
  </w:num>
  <w:num w:numId="22">
    <w:abstractNumId w:val="34"/>
  </w:num>
  <w:num w:numId="23">
    <w:abstractNumId w:val="6"/>
  </w:num>
  <w:num w:numId="24">
    <w:abstractNumId w:val="33"/>
  </w:num>
  <w:num w:numId="25">
    <w:abstractNumId w:val="20"/>
  </w:num>
  <w:num w:numId="26">
    <w:abstractNumId w:val="9"/>
  </w:num>
  <w:num w:numId="27">
    <w:abstractNumId w:val="1"/>
  </w:num>
  <w:num w:numId="28">
    <w:abstractNumId w:val="32"/>
  </w:num>
  <w:num w:numId="29">
    <w:abstractNumId w:val="22"/>
  </w:num>
  <w:num w:numId="30">
    <w:abstractNumId w:val="2"/>
  </w:num>
  <w:num w:numId="31">
    <w:abstractNumId w:val="31"/>
  </w:num>
  <w:num w:numId="32">
    <w:abstractNumId w:val="11"/>
  </w:num>
  <w:num w:numId="33">
    <w:abstractNumId w:val="19"/>
  </w:num>
  <w:num w:numId="34">
    <w:abstractNumId w:val="35"/>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456CA0"/>
    <w:rsid w:val="000561AA"/>
    <w:rsid w:val="000657BD"/>
    <w:rsid w:val="00073E7C"/>
    <w:rsid w:val="00082E51"/>
    <w:rsid w:val="00086CDA"/>
    <w:rsid w:val="000C0072"/>
    <w:rsid w:val="000E0A63"/>
    <w:rsid w:val="00102F5E"/>
    <w:rsid w:val="00132E0F"/>
    <w:rsid w:val="00153F2F"/>
    <w:rsid w:val="00186302"/>
    <w:rsid w:val="001B1138"/>
    <w:rsid w:val="001F1530"/>
    <w:rsid w:val="00211D00"/>
    <w:rsid w:val="00221464"/>
    <w:rsid w:val="00226C41"/>
    <w:rsid w:val="00247822"/>
    <w:rsid w:val="00252DEA"/>
    <w:rsid w:val="00273C2F"/>
    <w:rsid w:val="002805E1"/>
    <w:rsid w:val="00291C80"/>
    <w:rsid w:val="002A4EEC"/>
    <w:rsid w:val="002B3841"/>
    <w:rsid w:val="00322ACB"/>
    <w:rsid w:val="00374423"/>
    <w:rsid w:val="00394A93"/>
    <w:rsid w:val="003B6AA9"/>
    <w:rsid w:val="0040779B"/>
    <w:rsid w:val="0043665E"/>
    <w:rsid w:val="00437045"/>
    <w:rsid w:val="00437532"/>
    <w:rsid w:val="00437D35"/>
    <w:rsid w:val="00453092"/>
    <w:rsid w:val="00455AAE"/>
    <w:rsid w:val="00456CA0"/>
    <w:rsid w:val="0049026D"/>
    <w:rsid w:val="00490525"/>
    <w:rsid w:val="004A19D3"/>
    <w:rsid w:val="004B36D2"/>
    <w:rsid w:val="004B737C"/>
    <w:rsid w:val="004D7D25"/>
    <w:rsid w:val="00554D77"/>
    <w:rsid w:val="0057183E"/>
    <w:rsid w:val="005747BD"/>
    <w:rsid w:val="00575A0C"/>
    <w:rsid w:val="00593EDC"/>
    <w:rsid w:val="005B0280"/>
    <w:rsid w:val="005D1FC8"/>
    <w:rsid w:val="005D2685"/>
    <w:rsid w:val="005E20CD"/>
    <w:rsid w:val="00604FD3"/>
    <w:rsid w:val="00620A57"/>
    <w:rsid w:val="00623858"/>
    <w:rsid w:val="00647A42"/>
    <w:rsid w:val="00656DE2"/>
    <w:rsid w:val="006835BE"/>
    <w:rsid w:val="006B31D1"/>
    <w:rsid w:val="006B599D"/>
    <w:rsid w:val="006B753D"/>
    <w:rsid w:val="006C45EA"/>
    <w:rsid w:val="006F051A"/>
    <w:rsid w:val="006F31B7"/>
    <w:rsid w:val="00727125"/>
    <w:rsid w:val="007325C3"/>
    <w:rsid w:val="007439B7"/>
    <w:rsid w:val="007541D5"/>
    <w:rsid w:val="00757951"/>
    <w:rsid w:val="00776234"/>
    <w:rsid w:val="007D30F0"/>
    <w:rsid w:val="007E41DB"/>
    <w:rsid w:val="00845A24"/>
    <w:rsid w:val="00867444"/>
    <w:rsid w:val="00894EE1"/>
    <w:rsid w:val="00896287"/>
    <w:rsid w:val="008A17F2"/>
    <w:rsid w:val="008A488C"/>
    <w:rsid w:val="008C23A6"/>
    <w:rsid w:val="008C557C"/>
    <w:rsid w:val="008F5501"/>
    <w:rsid w:val="009630D7"/>
    <w:rsid w:val="00974137"/>
    <w:rsid w:val="009C45AA"/>
    <w:rsid w:val="009C583C"/>
    <w:rsid w:val="00A12372"/>
    <w:rsid w:val="00A21040"/>
    <w:rsid w:val="00A4042B"/>
    <w:rsid w:val="00A77E63"/>
    <w:rsid w:val="00AA1C22"/>
    <w:rsid w:val="00AA23A6"/>
    <w:rsid w:val="00AA7E6C"/>
    <w:rsid w:val="00AB42F3"/>
    <w:rsid w:val="00AC081E"/>
    <w:rsid w:val="00AC53FB"/>
    <w:rsid w:val="00AD2B40"/>
    <w:rsid w:val="00AF5E40"/>
    <w:rsid w:val="00AF7B06"/>
    <w:rsid w:val="00B41101"/>
    <w:rsid w:val="00B70EBB"/>
    <w:rsid w:val="00B73EB2"/>
    <w:rsid w:val="00BA7986"/>
    <w:rsid w:val="00BB1CCD"/>
    <w:rsid w:val="00BC7DF2"/>
    <w:rsid w:val="00BD0BBF"/>
    <w:rsid w:val="00BE3643"/>
    <w:rsid w:val="00BF27E1"/>
    <w:rsid w:val="00C164F2"/>
    <w:rsid w:val="00C47BE6"/>
    <w:rsid w:val="00C91CB5"/>
    <w:rsid w:val="00CC0B2A"/>
    <w:rsid w:val="00CD2CF6"/>
    <w:rsid w:val="00CE3D9C"/>
    <w:rsid w:val="00CE67B1"/>
    <w:rsid w:val="00CF31EA"/>
    <w:rsid w:val="00D1462F"/>
    <w:rsid w:val="00D25624"/>
    <w:rsid w:val="00D27932"/>
    <w:rsid w:val="00D317C7"/>
    <w:rsid w:val="00D32C5F"/>
    <w:rsid w:val="00D37B2F"/>
    <w:rsid w:val="00D750E5"/>
    <w:rsid w:val="00D859EA"/>
    <w:rsid w:val="00DA345B"/>
    <w:rsid w:val="00DB3EEE"/>
    <w:rsid w:val="00DB412B"/>
    <w:rsid w:val="00DB4C80"/>
    <w:rsid w:val="00DC6F01"/>
    <w:rsid w:val="00DE0DA1"/>
    <w:rsid w:val="00E00BD0"/>
    <w:rsid w:val="00E05321"/>
    <w:rsid w:val="00E21A75"/>
    <w:rsid w:val="00E42161"/>
    <w:rsid w:val="00E4429E"/>
    <w:rsid w:val="00E64F4B"/>
    <w:rsid w:val="00E656F1"/>
    <w:rsid w:val="00E66407"/>
    <w:rsid w:val="00E73D8A"/>
    <w:rsid w:val="00E8381F"/>
    <w:rsid w:val="00E91B68"/>
    <w:rsid w:val="00EA1D9F"/>
    <w:rsid w:val="00EA2140"/>
    <w:rsid w:val="00EA448D"/>
    <w:rsid w:val="00EE36A5"/>
    <w:rsid w:val="00EF3AC2"/>
    <w:rsid w:val="00F015DB"/>
    <w:rsid w:val="00F0360A"/>
    <w:rsid w:val="00F04C77"/>
    <w:rsid w:val="00F248D0"/>
    <w:rsid w:val="00F40991"/>
    <w:rsid w:val="00F43C66"/>
    <w:rsid w:val="00F516B5"/>
    <w:rsid w:val="00F530AA"/>
    <w:rsid w:val="00F55B94"/>
    <w:rsid w:val="00F657FF"/>
    <w:rsid w:val="00F80700"/>
    <w:rsid w:val="00FA7600"/>
    <w:rsid w:val="00FD4730"/>
    <w:rsid w:val="00FF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A0"/>
    <w:pPr>
      <w:spacing w:after="0" w:line="240" w:lineRule="auto"/>
    </w:pPr>
    <w:rPr>
      <w:rFonts w:ascii="Arial" w:eastAsia="Times New Roman" w:hAnsi="Arial" w:cs="Arial"/>
      <w:bCs/>
      <w:szCs w:val="24"/>
    </w:rPr>
  </w:style>
  <w:style w:type="paragraph" w:styleId="Heading1">
    <w:name w:val="heading 1"/>
    <w:basedOn w:val="Normal"/>
    <w:next w:val="Normal"/>
    <w:link w:val="Heading1Char"/>
    <w:qFormat/>
    <w:rsid w:val="00456CA0"/>
    <w:pPr>
      <w:keepNext/>
      <w:outlineLvl w:val="0"/>
    </w:pPr>
    <w:rPr>
      <w:b/>
      <w:bCs w:val="0"/>
    </w:rPr>
  </w:style>
  <w:style w:type="paragraph" w:styleId="Heading2">
    <w:name w:val="heading 2"/>
    <w:basedOn w:val="Normal"/>
    <w:next w:val="Normal"/>
    <w:link w:val="Heading2Char"/>
    <w:qFormat/>
    <w:rsid w:val="006C45EA"/>
    <w:pPr>
      <w:keepNext/>
      <w:spacing w:before="240" w:after="60" w:line="288" w:lineRule="auto"/>
      <w:outlineLvl w:val="1"/>
    </w:pPr>
    <w:rPr>
      <w:b/>
      <w:i/>
      <w:iCs/>
      <w:sz w:val="28"/>
      <w:szCs w:val="28"/>
      <w:lang w:val="en-GB"/>
    </w:rPr>
  </w:style>
  <w:style w:type="paragraph" w:styleId="Heading5">
    <w:name w:val="heading 5"/>
    <w:basedOn w:val="Normal"/>
    <w:next w:val="Normal"/>
    <w:link w:val="Heading5Char"/>
    <w:qFormat/>
    <w:rsid w:val="00456CA0"/>
    <w:pPr>
      <w:keepNext/>
      <w:outlineLvl w:val="4"/>
    </w:pPr>
    <w:rPr>
      <w:rFonts w:ascii="Tahoma" w:hAnsi="Tahoma" w:cs="Tahoma"/>
      <w:b/>
      <w:sz w:val="20"/>
    </w:rPr>
  </w:style>
  <w:style w:type="paragraph" w:styleId="Heading6">
    <w:name w:val="heading 6"/>
    <w:basedOn w:val="Normal"/>
    <w:next w:val="Normal"/>
    <w:link w:val="Heading6Char"/>
    <w:qFormat/>
    <w:rsid w:val="00456CA0"/>
    <w:pPr>
      <w:spacing w:before="240" w:after="60"/>
      <w:outlineLvl w:val="5"/>
    </w:pPr>
    <w:rPr>
      <w:rFonts w:ascii="Times New Roman" w:hAnsi="Times New Roman" w:cs="Times New Roman"/>
      <w:b/>
      <w:bCs w:val="0"/>
      <w:szCs w:val="22"/>
    </w:rPr>
  </w:style>
  <w:style w:type="paragraph" w:styleId="Heading7">
    <w:name w:val="heading 7"/>
    <w:basedOn w:val="Normal"/>
    <w:next w:val="Normal"/>
    <w:link w:val="Heading7Char"/>
    <w:qFormat/>
    <w:rsid w:val="00456CA0"/>
    <w:pPr>
      <w:spacing w:before="240" w:after="60"/>
      <w:outlineLvl w:val="6"/>
    </w:pPr>
    <w:rPr>
      <w:rFonts w:ascii="Times New Roman" w:hAnsi="Times New Roman" w:cs="Times New Roman"/>
      <w:sz w:val="24"/>
    </w:rPr>
  </w:style>
  <w:style w:type="paragraph" w:styleId="Heading9">
    <w:name w:val="heading 9"/>
    <w:basedOn w:val="Normal"/>
    <w:next w:val="Normal"/>
    <w:link w:val="Heading9Char"/>
    <w:qFormat/>
    <w:rsid w:val="00456CA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CA0"/>
    <w:rPr>
      <w:rFonts w:ascii="Arial" w:eastAsia="Times New Roman" w:hAnsi="Arial" w:cs="Arial"/>
      <w:b/>
      <w:szCs w:val="24"/>
    </w:rPr>
  </w:style>
  <w:style w:type="character" w:customStyle="1" w:styleId="Heading5Char">
    <w:name w:val="Heading 5 Char"/>
    <w:basedOn w:val="DefaultParagraphFont"/>
    <w:link w:val="Heading5"/>
    <w:rsid w:val="00456CA0"/>
    <w:rPr>
      <w:rFonts w:ascii="Tahoma" w:eastAsia="Times New Roman" w:hAnsi="Tahoma" w:cs="Tahoma"/>
      <w:b/>
      <w:bCs/>
      <w:sz w:val="20"/>
      <w:szCs w:val="24"/>
    </w:rPr>
  </w:style>
  <w:style w:type="character" w:customStyle="1" w:styleId="Heading6Char">
    <w:name w:val="Heading 6 Char"/>
    <w:basedOn w:val="DefaultParagraphFont"/>
    <w:link w:val="Heading6"/>
    <w:rsid w:val="00456CA0"/>
    <w:rPr>
      <w:rFonts w:ascii="Times New Roman" w:eastAsia="Times New Roman" w:hAnsi="Times New Roman" w:cs="Times New Roman"/>
      <w:b/>
    </w:rPr>
  </w:style>
  <w:style w:type="character" w:customStyle="1" w:styleId="Heading7Char">
    <w:name w:val="Heading 7 Char"/>
    <w:basedOn w:val="DefaultParagraphFont"/>
    <w:link w:val="Heading7"/>
    <w:rsid w:val="00456CA0"/>
    <w:rPr>
      <w:rFonts w:ascii="Times New Roman" w:eastAsia="Times New Roman" w:hAnsi="Times New Roman" w:cs="Times New Roman"/>
      <w:bCs/>
      <w:sz w:val="24"/>
      <w:szCs w:val="24"/>
    </w:rPr>
  </w:style>
  <w:style w:type="character" w:customStyle="1" w:styleId="Heading9Char">
    <w:name w:val="Heading 9 Char"/>
    <w:basedOn w:val="DefaultParagraphFont"/>
    <w:link w:val="Heading9"/>
    <w:rsid w:val="00456CA0"/>
    <w:rPr>
      <w:rFonts w:ascii="Arial" w:eastAsia="Times New Roman" w:hAnsi="Arial" w:cs="Arial"/>
      <w:bCs/>
    </w:rPr>
  </w:style>
  <w:style w:type="paragraph" w:styleId="BodyTextIndent2">
    <w:name w:val="Body Text Indent 2"/>
    <w:basedOn w:val="Normal"/>
    <w:link w:val="BodyTextIndent2Char"/>
    <w:rsid w:val="00456CA0"/>
    <w:pPr>
      <w:tabs>
        <w:tab w:val="left" w:pos="737"/>
      </w:tabs>
      <w:spacing w:line="288" w:lineRule="exact"/>
      <w:ind w:left="737"/>
    </w:pPr>
    <w:rPr>
      <w:rFonts w:cs="Times New Roman"/>
      <w:bCs w:val="0"/>
      <w:sz w:val="20"/>
      <w:szCs w:val="20"/>
      <w:lang w:val="en-GB"/>
    </w:rPr>
  </w:style>
  <w:style w:type="character" w:customStyle="1" w:styleId="BodyTextIndent2Char">
    <w:name w:val="Body Text Indent 2 Char"/>
    <w:basedOn w:val="DefaultParagraphFont"/>
    <w:link w:val="BodyTextIndent2"/>
    <w:rsid w:val="00456CA0"/>
    <w:rPr>
      <w:rFonts w:ascii="Arial" w:eastAsia="Times New Roman" w:hAnsi="Arial" w:cs="Times New Roman"/>
      <w:sz w:val="20"/>
      <w:szCs w:val="20"/>
      <w:lang w:val="en-GB"/>
    </w:rPr>
  </w:style>
  <w:style w:type="paragraph" w:styleId="BodyText">
    <w:name w:val="Body Text"/>
    <w:basedOn w:val="Normal"/>
    <w:link w:val="BodyTextChar"/>
    <w:rsid w:val="00456CA0"/>
    <w:rPr>
      <w:bCs w:val="0"/>
    </w:rPr>
  </w:style>
  <w:style w:type="character" w:customStyle="1" w:styleId="BodyTextChar">
    <w:name w:val="Body Text Char"/>
    <w:basedOn w:val="DefaultParagraphFont"/>
    <w:link w:val="BodyText"/>
    <w:rsid w:val="00456CA0"/>
    <w:rPr>
      <w:rFonts w:ascii="Arial" w:eastAsia="Times New Roman" w:hAnsi="Arial" w:cs="Arial"/>
      <w:szCs w:val="24"/>
    </w:rPr>
  </w:style>
  <w:style w:type="paragraph" w:styleId="BodyText2">
    <w:name w:val="Body Text 2"/>
    <w:basedOn w:val="Normal"/>
    <w:link w:val="BodyText2Char"/>
    <w:rsid w:val="00456CA0"/>
    <w:pPr>
      <w:jc w:val="both"/>
    </w:pPr>
    <w:rPr>
      <w:bCs w:val="0"/>
    </w:rPr>
  </w:style>
  <w:style w:type="character" w:customStyle="1" w:styleId="BodyText2Char">
    <w:name w:val="Body Text 2 Char"/>
    <w:basedOn w:val="DefaultParagraphFont"/>
    <w:link w:val="BodyText2"/>
    <w:rsid w:val="00456CA0"/>
    <w:rPr>
      <w:rFonts w:ascii="Arial" w:eastAsia="Times New Roman" w:hAnsi="Arial" w:cs="Arial"/>
      <w:szCs w:val="24"/>
    </w:rPr>
  </w:style>
  <w:style w:type="character" w:styleId="Hyperlink">
    <w:name w:val="Hyperlink"/>
    <w:basedOn w:val="DefaultParagraphFont"/>
    <w:rsid w:val="00456CA0"/>
    <w:rPr>
      <w:color w:val="0000FF"/>
      <w:u w:val="single"/>
    </w:rPr>
  </w:style>
  <w:style w:type="paragraph" w:styleId="BodyText3">
    <w:name w:val="Body Text 3"/>
    <w:basedOn w:val="Normal"/>
    <w:link w:val="BodyText3Char"/>
    <w:rsid w:val="00456CA0"/>
    <w:pPr>
      <w:autoSpaceDE w:val="0"/>
      <w:autoSpaceDN w:val="0"/>
      <w:adjustRightInd w:val="0"/>
    </w:pPr>
    <w:rPr>
      <w:rFonts w:ascii="Tahoma" w:hAnsi="Tahoma" w:cs="Tahoma"/>
      <w:bCs w:val="0"/>
      <w:sz w:val="20"/>
    </w:rPr>
  </w:style>
  <w:style w:type="character" w:customStyle="1" w:styleId="BodyText3Char">
    <w:name w:val="Body Text 3 Char"/>
    <w:basedOn w:val="DefaultParagraphFont"/>
    <w:link w:val="BodyText3"/>
    <w:rsid w:val="00456CA0"/>
    <w:rPr>
      <w:rFonts w:ascii="Tahoma" w:eastAsia="Times New Roman" w:hAnsi="Tahoma" w:cs="Tahoma"/>
      <w:sz w:val="20"/>
      <w:szCs w:val="24"/>
    </w:rPr>
  </w:style>
  <w:style w:type="paragraph" w:styleId="FootnoteText">
    <w:name w:val="footnote text"/>
    <w:basedOn w:val="Normal"/>
    <w:link w:val="FootnoteTextChar"/>
    <w:semiHidden/>
    <w:rsid w:val="00456CA0"/>
    <w:rPr>
      <w:rFonts w:ascii="Arial Narrow" w:hAnsi="Arial Narrow" w:cs="Times New Roman"/>
      <w:bCs w:val="0"/>
      <w:sz w:val="20"/>
      <w:szCs w:val="20"/>
      <w:lang w:val="en-GB"/>
    </w:rPr>
  </w:style>
  <w:style w:type="character" w:customStyle="1" w:styleId="FootnoteTextChar">
    <w:name w:val="Footnote Text Char"/>
    <w:basedOn w:val="DefaultParagraphFont"/>
    <w:link w:val="FootnoteText"/>
    <w:semiHidden/>
    <w:rsid w:val="00456CA0"/>
    <w:rPr>
      <w:rFonts w:ascii="Arial Narrow" w:eastAsia="Times New Roman" w:hAnsi="Arial Narrow" w:cs="Times New Roman"/>
      <w:sz w:val="20"/>
      <w:szCs w:val="20"/>
      <w:lang w:val="en-GB"/>
    </w:rPr>
  </w:style>
  <w:style w:type="character" w:styleId="FootnoteReference">
    <w:name w:val="footnote reference"/>
    <w:basedOn w:val="DefaultParagraphFont"/>
    <w:semiHidden/>
    <w:rsid w:val="00456CA0"/>
    <w:rPr>
      <w:vertAlign w:val="superscript"/>
    </w:rPr>
  </w:style>
  <w:style w:type="paragraph" w:styleId="Subtitle">
    <w:name w:val="Subtitle"/>
    <w:basedOn w:val="Normal"/>
    <w:link w:val="SubtitleChar"/>
    <w:qFormat/>
    <w:rsid w:val="00456CA0"/>
    <w:pPr>
      <w:jc w:val="center"/>
    </w:pPr>
    <w:rPr>
      <w:rFonts w:ascii="Times New Roman" w:hAnsi="Times New Roman" w:cs="Times New Roman"/>
      <w:b/>
      <w:bCs w:val="0"/>
      <w:sz w:val="28"/>
      <w:szCs w:val="20"/>
      <w:u w:val="single"/>
      <w:lang w:val="en-GB" w:eastAsia="en-GB"/>
    </w:rPr>
  </w:style>
  <w:style w:type="character" w:customStyle="1" w:styleId="SubtitleChar">
    <w:name w:val="Subtitle Char"/>
    <w:basedOn w:val="DefaultParagraphFont"/>
    <w:link w:val="Subtitle"/>
    <w:rsid w:val="00456CA0"/>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456CA0"/>
    <w:pPr>
      <w:ind w:left="720"/>
    </w:pPr>
    <w:rPr>
      <w:rFonts w:ascii="Garamond" w:hAnsi="Garamond" w:cs="Times New Roman"/>
      <w:sz w:val="24"/>
    </w:rPr>
  </w:style>
  <w:style w:type="paragraph" w:styleId="TOC1">
    <w:name w:val="toc 1"/>
    <w:basedOn w:val="Normal"/>
    <w:semiHidden/>
    <w:rsid w:val="00456CA0"/>
    <w:pPr>
      <w:spacing w:before="100" w:beforeAutospacing="1" w:after="100" w:afterAutospacing="1"/>
    </w:pPr>
    <w:rPr>
      <w:rFonts w:ascii="Arial Unicode MS" w:eastAsia="Arial Unicode MS" w:hAnsi="Arial Unicode MS" w:cs="Arial Unicode MS"/>
      <w:bCs w:val="0"/>
      <w:sz w:val="24"/>
      <w:lang w:val="en-GB"/>
    </w:rPr>
  </w:style>
  <w:style w:type="paragraph" w:styleId="BalloonText">
    <w:name w:val="Balloon Text"/>
    <w:basedOn w:val="Normal"/>
    <w:link w:val="BalloonTextChar"/>
    <w:uiPriority w:val="99"/>
    <w:semiHidden/>
    <w:unhideWhenUsed/>
    <w:rsid w:val="00456CA0"/>
    <w:rPr>
      <w:rFonts w:ascii="Tahoma" w:hAnsi="Tahoma" w:cs="Tahoma"/>
      <w:sz w:val="16"/>
      <w:szCs w:val="16"/>
    </w:rPr>
  </w:style>
  <w:style w:type="character" w:customStyle="1" w:styleId="BalloonTextChar">
    <w:name w:val="Balloon Text Char"/>
    <w:basedOn w:val="DefaultParagraphFont"/>
    <w:link w:val="BalloonText"/>
    <w:uiPriority w:val="99"/>
    <w:semiHidden/>
    <w:rsid w:val="00456CA0"/>
    <w:rPr>
      <w:rFonts w:ascii="Tahoma" w:eastAsia="Times New Roman" w:hAnsi="Tahoma" w:cs="Tahoma"/>
      <w:bCs/>
      <w:sz w:val="16"/>
      <w:szCs w:val="16"/>
    </w:rPr>
  </w:style>
  <w:style w:type="character" w:customStyle="1" w:styleId="Heading2Char">
    <w:name w:val="Heading 2 Char"/>
    <w:basedOn w:val="DefaultParagraphFont"/>
    <w:link w:val="Heading2"/>
    <w:rsid w:val="006C45EA"/>
    <w:rPr>
      <w:rFonts w:ascii="Arial" w:eastAsia="Times New Roman" w:hAnsi="Arial" w:cs="Arial"/>
      <w:b/>
      <w:bCs/>
      <w:i/>
      <w:iCs/>
      <w:sz w:val="28"/>
      <w:szCs w:val="28"/>
      <w:lang w:val="en-GB"/>
    </w:rPr>
  </w:style>
  <w:style w:type="paragraph" w:customStyle="1" w:styleId="StyleBodyText10ptNotBoldJustified">
    <w:name w:val="Style Body Text + 10 pt Not Bold Justified"/>
    <w:basedOn w:val="BodyText"/>
    <w:rsid w:val="006C45EA"/>
    <w:pPr>
      <w:spacing w:line="288" w:lineRule="auto"/>
      <w:jc w:val="both"/>
    </w:pPr>
    <w:rPr>
      <w:rFonts w:cs="Times New Roman"/>
      <w:sz w:val="20"/>
      <w:szCs w:val="20"/>
    </w:rPr>
  </w:style>
  <w:style w:type="paragraph" w:customStyle="1" w:styleId="ParnumberedChar">
    <w:name w:val="Par numbered Char"/>
    <w:basedOn w:val="Normal"/>
    <w:rsid w:val="00102F5E"/>
    <w:pPr>
      <w:numPr>
        <w:numId w:val="29"/>
      </w:numPr>
      <w:tabs>
        <w:tab w:val="left" w:pos="567"/>
      </w:tabs>
      <w:spacing w:before="160" w:after="60"/>
      <w:ind w:left="0" w:firstLine="0"/>
    </w:pPr>
    <w:rPr>
      <w:rFonts w:ascii="Times New Roman" w:hAnsi="Times New Roman" w:cs="Times New Roman"/>
      <w:bCs w:val="0"/>
      <w:sz w:val="24"/>
    </w:rPr>
  </w:style>
  <w:style w:type="paragraph" w:customStyle="1" w:styleId="StyleParnumberedCharJustified">
    <w:name w:val="Style Par numbered Char + Justified"/>
    <w:basedOn w:val="ParnumberedChar"/>
    <w:rsid w:val="00102F5E"/>
    <w:pPr>
      <w:ind w:left="360" w:hanging="360"/>
      <w:jc w:val="both"/>
    </w:pPr>
    <w:rPr>
      <w:sz w:val="23"/>
      <w:szCs w:val="23"/>
    </w:rPr>
  </w:style>
  <w:style w:type="character" w:styleId="CommentReference">
    <w:name w:val="annotation reference"/>
    <w:basedOn w:val="DefaultParagraphFont"/>
    <w:uiPriority w:val="99"/>
    <w:semiHidden/>
    <w:unhideWhenUsed/>
    <w:rsid w:val="00B73EB2"/>
    <w:rPr>
      <w:sz w:val="16"/>
      <w:szCs w:val="16"/>
    </w:rPr>
  </w:style>
  <w:style w:type="paragraph" w:styleId="CommentText">
    <w:name w:val="annotation text"/>
    <w:basedOn w:val="Normal"/>
    <w:link w:val="CommentTextChar"/>
    <w:uiPriority w:val="99"/>
    <w:semiHidden/>
    <w:unhideWhenUsed/>
    <w:rsid w:val="00B73EB2"/>
    <w:rPr>
      <w:sz w:val="20"/>
      <w:szCs w:val="20"/>
    </w:rPr>
  </w:style>
  <w:style w:type="character" w:customStyle="1" w:styleId="CommentTextChar">
    <w:name w:val="Comment Text Char"/>
    <w:basedOn w:val="DefaultParagraphFont"/>
    <w:link w:val="CommentText"/>
    <w:uiPriority w:val="99"/>
    <w:semiHidden/>
    <w:rsid w:val="00B73EB2"/>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B73EB2"/>
    <w:rPr>
      <w:b/>
    </w:rPr>
  </w:style>
  <w:style w:type="character" w:customStyle="1" w:styleId="CommentSubjectChar">
    <w:name w:val="Comment Subject Char"/>
    <w:basedOn w:val="CommentTextChar"/>
    <w:link w:val="CommentSubject"/>
    <w:uiPriority w:val="99"/>
    <w:semiHidden/>
    <w:rsid w:val="00B73EB2"/>
    <w:rPr>
      <w:b/>
    </w:rPr>
  </w:style>
  <w:style w:type="paragraph" w:styleId="ListParagraph">
    <w:name w:val="List Paragraph"/>
    <w:basedOn w:val="Normal"/>
    <w:uiPriority w:val="34"/>
    <w:qFormat/>
    <w:rsid w:val="007325C3"/>
    <w:pPr>
      <w:ind w:left="720"/>
      <w:contextualSpacing/>
    </w:pPr>
  </w:style>
  <w:style w:type="paragraph" w:customStyle="1" w:styleId="Default">
    <w:name w:val="Default"/>
    <w:rsid w:val="00A12372"/>
    <w:pPr>
      <w:autoSpaceDE w:val="0"/>
      <w:autoSpaceDN w:val="0"/>
      <w:adjustRightInd w:val="0"/>
      <w:spacing w:after="0" w:line="240" w:lineRule="auto"/>
    </w:pPr>
    <w:rPr>
      <w:rFonts w:ascii="Book Antiqua" w:hAnsi="Book Antiqua" w:cs="Book Antiqua"/>
      <w:color w:val="000000"/>
      <w:sz w:val="24"/>
      <w:szCs w:val="24"/>
      <w:lang w:val="en-GB"/>
    </w:rPr>
  </w:style>
  <w:style w:type="paragraph" w:styleId="Header">
    <w:name w:val="header"/>
    <w:basedOn w:val="Normal"/>
    <w:link w:val="HeaderChar"/>
    <w:uiPriority w:val="99"/>
    <w:semiHidden/>
    <w:unhideWhenUsed/>
    <w:rsid w:val="004A19D3"/>
    <w:pPr>
      <w:tabs>
        <w:tab w:val="center" w:pos="4680"/>
        <w:tab w:val="right" w:pos="9360"/>
      </w:tabs>
    </w:pPr>
  </w:style>
  <w:style w:type="character" w:customStyle="1" w:styleId="HeaderChar">
    <w:name w:val="Header Char"/>
    <w:basedOn w:val="DefaultParagraphFont"/>
    <w:link w:val="Header"/>
    <w:uiPriority w:val="99"/>
    <w:semiHidden/>
    <w:rsid w:val="004A19D3"/>
    <w:rPr>
      <w:rFonts w:ascii="Arial" w:eastAsia="Times New Roman" w:hAnsi="Arial" w:cs="Arial"/>
      <w:bCs/>
      <w:szCs w:val="24"/>
    </w:rPr>
  </w:style>
  <w:style w:type="paragraph" w:styleId="Footer">
    <w:name w:val="footer"/>
    <w:basedOn w:val="Normal"/>
    <w:link w:val="FooterChar"/>
    <w:uiPriority w:val="99"/>
    <w:unhideWhenUsed/>
    <w:rsid w:val="004A19D3"/>
    <w:pPr>
      <w:tabs>
        <w:tab w:val="center" w:pos="4680"/>
        <w:tab w:val="right" w:pos="9360"/>
      </w:tabs>
    </w:pPr>
  </w:style>
  <w:style w:type="character" w:customStyle="1" w:styleId="FooterChar">
    <w:name w:val="Footer Char"/>
    <w:basedOn w:val="DefaultParagraphFont"/>
    <w:link w:val="Footer"/>
    <w:uiPriority w:val="99"/>
    <w:rsid w:val="004A19D3"/>
    <w:rPr>
      <w:rFonts w:ascii="Arial" w:eastAsia="Times New Roman" w:hAnsi="Arial" w:cs="Arial"/>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kufa.matitoane@undp.org" TargetMode="External"/><Relationship Id="rId5" Type="http://schemas.openxmlformats.org/officeDocument/2006/relationships/webSettings" Target="webSettings.xml"/><Relationship Id="rId10" Type="http://schemas.openxmlformats.org/officeDocument/2006/relationships/hyperlink" Target="mailto:a.stephens@sanbi.org.za" TargetMode="External"/><Relationship Id="rId4" Type="http://schemas.openxmlformats.org/officeDocument/2006/relationships/settings" Target="settings.xml"/><Relationship Id="rId9" Type="http://schemas.openxmlformats.org/officeDocument/2006/relationships/hyperlink" Target="mailto:mpho.nenweli@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B672-10EE-47C0-9D54-A1E7B369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SANBI</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fshikweni</cp:lastModifiedBy>
  <cp:revision>2</cp:revision>
  <dcterms:created xsi:type="dcterms:W3CDTF">2010-07-21T14:11:00Z</dcterms:created>
  <dcterms:modified xsi:type="dcterms:W3CDTF">2010-07-21T14:11:00Z</dcterms:modified>
</cp:coreProperties>
</file>