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FD" w:rsidRPr="00125C4C" w:rsidRDefault="00243F8B" w:rsidP="00D272FD">
      <w:pPr>
        <w:jc w:val="center"/>
        <w:rPr>
          <w:b/>
          <w:sz w:val="28"/>
          <w:szCs w:val="28"/>
        </w:rPr>
      </w:pPr>
      <w:r w:rsidRPr="00125C4C">
        <w:rPr>
          <w:b/>
          <w:sz w:val="28"/>
          <w:szCs w:val="28"/>
        </w:rPr>
        <w:t xml:space="preserve">The </w:t>
      </w:r>
      <w:r w:rsidR="00C46FA6" w:rsidRPr="00125C4C">
        <w:rPr>
          <w:b/>
          <w:sz w:val="28"/>
          <w:szCs w:val="28"/>
        </w:rPr>
        <w:t>P</w:t>
      </w:r>
      <w:r w:rsidR="00D272FD" w:rsidRPr="00125C4C">
        <w:rPr>
          <w:b/>
          <w:sz w:val="28"/>
          <w:szCs w:val="28"/>
        </w:rPr>
        <w:t xml:space="preserve">roject </w:t>
      </w:r>
      <w:r w:rsidR="00C46FA6" w:rsidRPr="00125C4C">
        <w:rPr>
          <w:b/>
          <w:sz w:val="28"/>
          <w:szCs w:val="28"/>
        </w:rPr>
        <w:t>M</w:t>
      </w:r>
      <w:r w:rsidR="00D272FD" w:rsidRPr="00125C4C">
        <w:rPr>
          <w:b/>
          <w:sz w:val="28"/>
          <w:szCs w:val="28"/>
        </w:rPr>
        <w:t xml:space="preserve">anagement </w:t>
      </w:r>
      <w:r w:rsidR="00C46FA6" w:rsidRPr="00125C4C">
        <w:rPr>
          <w:b/>
          <w:sz w:val="28"/>
          <w:szCs w:val="28"/>
        </w:rPr>
        <w:t>R</w:t>
      </w:r>
      <w:r w:rsidR="008604F3" w:rsidRPr="00125C4C">
        <w:rPr>
          <w:b/>
          <w:sz w:val="28"/>
          <w:szCs w:val="28"/>
        </w:rPr>
        <w:t>esponses</w:t>
      </w:r>
      <w:r w:rsidR="00D272FD" w:rsidRPr="00125C4C">
        <w:rPr>
          <w:b/>
          <w:sz w:val="28"/>
          <w:szCs w:val="28"/>
        </w:rPr>
        <w:t xml:space="preserve"> </w:t>
      </w:r>
    </w:p>
    <w:p w:rsidR="008604F3" w:rsidRPr="00125C4C" w:rsidRDefault="00D272FD" w:rsidP="00D272FD">
      <w:pPr>
        <w:jc w:val="center"/>
        <w:rPr>
          <w:b/>
          <w:sz w:val="28"/>
          <w:szCs w:val="28"/>
        </w:rPr>
      </w:pPr>
      <w:r w:rsidRPr="00125C4C">
        <w:rPr>
          <w:b/>
          <w:sz w:val="28"/>
          <w:szCs w:val="28"/>
        </w:rPr>
        <w:t xml:space="preserve">to </w:t>
      </w:r>
      <w:r w:rsidR="003E1F0B" w:rsidRPr="00125C4C">
        <w:rPr>
          <w:b/>
          <w:sz w:val="28"/>
          <w:szCs w:val="28"/>
        </w:rPr>
        <w:t xml:space="preserve">key  issues and </w:t>
      </w:r>
      <w:r w:rsidRPr="00125C4C">
        <w:rPr>
          <w:b/>
          <w:sz w:val="28"/>
          <w:szCs w:val="28"/>
        </w:rPr>
        <w:t xml:space="preserve">recommendations of the </w:t>
      </w:r>
      <w:r w:rsidR="00C46FA6" w:rsidRPr="00125C4C">
        <w:rPr>
          <w:b/>
          <w:sz w:val="28"/>
          <w:szCs w:val="28"/>
        </w:rPr>
        <w:t>M</w:t>
      </w:r>
      <w:r w:rsidRPr="00125C4C">
        <w:rPr>
          <w:b/>
          <w:sz w:val="28"/>
          <w:szCs w:val="28"/>
        </w:rPr>
        <w:t xml:space="preserve">idterm </w:t>
      </w:r>
      <w:r w:rsidR="00C46FA6" w:rsidRPr="00125C4C">
        <w:rPr>
          <w:b/>
          <w:sz w:val="28"/>
          <w:szCs w:val="28"/>
        </w:rPr>
        <w:t>E</w:t>
      </w:r>
      <w:r w:rsidRPr="00125C4C">
        <w:rPr>
          <w:b/>
          <w:sz w:val="28"/>
          <w:szCs w:val="28"/>
        </w:rPr>
        <w:t xml:space="preserve">valuation  </w:t>
      </w:r>
      <w:r w:rsidR="00B27C2D" w:rsidRPr="00125C4C">
        <w:rPr>
          <w:b/>
          <w:sz w:val="28"/>
          <w:szCs w:val="28"/>
        </w:rPr>
        <w:t xml:space="preserve">team </w:t>
      </w:r>
      <w:r w:rsidR="003E1F0B" w:rsidRPr="00125C4C">
        <w:rPr>
          <w:b/>
          <w:sz w:val="28"/>
          <w:szCs w:val="28"/>
        </w:rPr>
        <w:t>f</w:t>
      </w:r>
      <w:r w:rsidR="00B27C2D" w:rsidRPr="00125C4C">
        <w:rPr>
          <w:b/>
          <w:sz w:val="28"/>
          <w:szCs w:val="28"/>
        </w:rPr>
        <w:t xml:space="preserve">or </w:t>
      </w:r>
      <w:r w:rsidRPr="00125C4C">
        <w:rPr>
          <w:b/>
          <w:sz w:val="28"/>
          <w:szCs w:val="28"/>
        </w:rPr>
        <w:t xml:space="preserve"> the UNDP/GEF project “Kazakhstan-Wind Power Market Development Initiative”</w:t>
      </w:r>
      <w:r w:rsidR="008604F3" w:rsidRPr="00125C4C">
        <w:rPr>
          <w:b/>
          <w:sz w:val="28"/>
          <w:szCs w:val="28"/>
        </w:rPr>
        <w:t>.</w:t>
      </w:r>
    </w:p>
    <w:p w:rsidR="008604F3" w:rsidRPr="00B27C2D" w:rsidRDefault="008604F3" w:rsidP="00D272FD">
      <w:pPr>
        <w:jc w:val="center"/>
      </w:pPr>
    </w:p>
    <w:p w:rsidR="001E16B5" w:rsidRPr="00C46FA6" w:rsidRDefault="00B8354E" w:rsidP="008604F3">
      <w:r w:rsidRPr="00C46FA6">
        <w:t>The following key issues are</w:t>
      </w:r>
      <w:r w:rsidR="00006C5D" w:rsidRPr="00C46FA6">
        <w:t xml:space="preserve"> highlighted </w:t>
      </w:r>
      <w:r w:rsidR="00243F8B" w:rsidRPr="00C46FA6">
        <w:t xml:space="preserve"> </w:t>
      </w:r>
      <w:r w:rsidRPr="00C46FA6">
        <w:t xml:space="preserve">in the </w:t>
      </w:r>
      <w:r w:rsidR="008604F3" w:rsidRPr="00C46FA6">
        <w:t>midterm evaluation repor</w:t>
      </w:r>
      <w:r w:rsidR="00006C5D" w:rsidRPr="00C46FA6">
        <w:t>t</w:t>
      </w:r>
      <w:r w:rsidR="00243F8B" w:rsidRPr="00C46FA6">
        <w:t xml:space="preserve"> of the UNDP/GEF project “Kazakhstan-Wind Power Market Development Initiative”</w:t>
      </w:r>
      <w:r w:rsidR="001E16B5" w:rsidRPr="00C46FA6">
        <w:t xml:space="preserve">:  </w:t>
      </w:r>
    </w:p>
    <w:p w:rsidR="001E16B5" w:rsidRPr="00C46FA6" w:rsidRDefault="001E16B5" w:rsidP="00A632B5">
      <w:pPr>
        <w:pStyle w:val="a4"/>
        <w:numPr>
          <w:ilvl w:val="0"/>
          <w:numId w:val="7"/>
        </w:numPr>
        <w:tabs>
          <w:tab w:val="clear" w:pos="720"/>
          <w:tab w:val="num" w:pos="360"/>
        </w:tabs>
        <w:spacing w:after="120" w:line="22" w:lineRule="atLeast"/>
        <w:ind w:left="360"/>
      </w:pPr>
      <w:r w:rsidRPr="00C46FA6">
        <w:rPr>
          <w:lang w:val="en-GB"/>
        </w:rPr>
        <w:t xml:space="preserve">By drafting this draft Law on RES and together with the resource assessment and capacity building activities and bringing together a critical mass of representatives in government and business community interested in renewable energy, the project is laying the groundwork for future commercial renewable energy development in </w:t>
      </w:r>
      <w:smartTag w:uri="urn:schemas-microsoft-com:office:smarttags" w:element="country-region">
        <w:smartTag w:uri="urn:schemas-microsoft-com:office:smarttags" w:element="place">
          <w:r w:rsidRPr="00C46FA6">
            <w:rPr>
              <w:lang w:val="en-GB"/>
            </w:rPr>
            <w:t>Kazakhstan</w:t>
          </w:r>
        </w:smartTag>
      </w:smartTag>
      <w:r w:rsidRPr="00C46FA6">
        <w:rPr>
          <w:lang w:val="en-GB"/>
        </w:rPr>
        <w:t xml:space="preserve">. </w:t>
      </w:r>
      <w:r w:rsidRPr="00C46FA6">
        <w:rPr>
          <w:b/>
        </w:rPr>
        <w:t xml:space="preserve">However, </w:t>
      </w:r>
      <w:r w:rsidR="00B8354E" w:rsidRPr="00C46FA6">
        <w:rPr>
          <w:b/>
        </w:rPr>
        <w:t>the project’s sustainability and replicability</w:t>
      </w:r>
      <w:r w:rsidR="00B8354E" w:rsidRPr="00C46FA6">
        <w:t xml:space="preserve"> </w:t>
      </w:r>
      <w:r w:rsidRPr="00C46FA6">
        <w:rPr>
          <w:b/>
        </w:rPr>
        <w:t>will critically depend on the Government and Parliament accepting the Law on RES</w:t>
      </w:r>
      <w:r w:rsidRPr="00C46FA6">
        <w:t xml:space="preserve"> and, based on the Law, to have adequate regulations for the proposed quota obligations and renewable energy certificate (REC) system to make renewable energy investments commercially attractive for project developers.</w:t>
      </w:r>
    </w:p>
    <w:p w:rsidR="001E16B5" w:rsidRPr="00C46FA6" w:rsidRDefault="00DE008A" w:rsidP="00A632B5">
      <w:pPr>
        <w:numPr>
          <w:ilvl w:val="0"/>
          <w:numId w:val="7"/>
        </w:numPr>
        <w:tabs>
          <w:tab w:val="clear" w:pos="720"/>
          <w:tab w:val="num" w:pos="360"/>
        </w:tabs>
        <w:autoSpaceDE w:val="0"/>
        <w:autoSpaceDN w:val="0"/>
        <w:adjustRightInd w:val="0"/>
        <w:ind w:left="360"/>
        <w:jc w:val="both"/>
      </w:pPr>
      <w:r w:rsidRPr="00C46FA6">
        <w:rPr>
          <w:b/>
        </w:rPr>
        <w:t>The project component “Djugar Gate pilot wind farm”</w:t>
      </w:r>
      <w:r w:rsidR="001E16B5" w:rsidRPr="00C46FA6">
        <w:rPr>
          <w:b/>
        </w:rPr>
        <w:t xml:space="preserve"> is delivered partially due to the delay in signing contracts and power purchase agreements with the investors.</w:t>
      </w:r>
      <w:r w:rsidR="001E16B5" w:rsidRPr="00C46FA6">
        <w:t xml:space="preserve"> The main reason for the delay in the planned Djungar Gate wind farm pilot project is simply that the Government has not been able to deliver the promised purchase power agreement (PPA).</w:t>
      </w:r>
    </w:p>
    <w:p w:rsidR="001E16B5" w:rsidRPr="00C46FA6" w:rsidRDefault="001E16B5" w:rsidP="008604F3"/>
    <w:p w:rsidR="00B8354E" w:rsidRPr="00C46FA6" w:rsidRDefault="00B8354E" w:rsidP="00243F8B">
      <w:pPr>
        <w:spacing w:line="22" w:lineRule="atLeast"/>
        <w:jc w:val="both"/>
      </w:pPr>
      <w:r w:rsidRPr="00C46FA6">
        <w:t xml:space="preserve">The project management has the </w:t>
      </w:r>
      <w:r w:rsidR="00243F8B" w:rsidRPr="00C46FA6">
        <w:t xml:space="preserve">following </w:t>
      </w:r>
      <w:r w:rsidR="005561C8" w:rsidRPr="00C46FA6">
        <w:t xml:space="preserve">response </w:t>
      </w:r>
      <w:r w:rsidRPr="00C46FA6">
        <w:t xml:space="preserve"> to the  recommendations</w:t>
      </w:r>
      <w:r w:rsidR="003903B6" w:rsidRPr="00C46FA6">
        <w:t xml:space="preserve"> made by the evaluation team: </w:t>
      </w:r>
    </w:p>
    <w:p w:rsidR="00B8354E" w:rsidRPr="00C46FA6" w:rsidRDefault="00B8354E" w:rsidP="008604F3"/>
    <w:p w:rsidR="00762223" w:rsidRPr="00C46FA6" w:rsidRDefault="00B8354E" w:rsidP="00243F8B">
      <w:pPr>
        <w:numPr>
          <w:ilvl w:val="0"/>
          <w:numId w:val="10"/>
        </w:numPr>
        <w:tabs>
          <w:tab w:val="clear" w:pos="840"/>
          <w:tab w:val="num" w:pos="360"/>
        </w:tabs>
        <w:ind w:left="360"/>
        <w:rPr>
          <w:b/>
        </w:rPr>
      </w:pPr>
      <w:r w:rsidRPr="00C46FA6">
        <w:rPr>
          <w:i/>
        </w:rPr>
        <w:t>Law for RES.</w:t>
      </w:r>
      <w:r w:rsidRPr="00C46FA6">
        <w:t xml:space="preserve">  </w:t>
      </w:r>
      <w:r w:rsidR="00F906DA" w:rsidRPr="00C46FA6">
        <w:t xml:space="preserve">The project should put all possible resources into ensuring that the Law is passed with no significant changes from the draft, including organizing political coordination between governmental entities as well as diplomatic missions to ensure political pressure in favor of RES at the highest level.  </w:t>
      </w:r>
    </w:p>
    <w:p w:rsidR="00C0063B" w:rsidRPr="00C46FA6" w:rsidRDefault="00762223" w:rsidP="00243F8B">
      <w:pPr>
        <w:tabs>
          <w:tab w:val="num" w:pos="360"/>
        </w:tabs>
        <w:ind w:left="360" w:hanging="360"/>
      </w:pPr>
      <w:r w:rsidRPr="00C46FA6">
        <w:t xml:space="preserve">      The recommendation </w:t>
      </w:r>
      <w:r w:rsidR="00F906DA" w:rsidRPr="00C46FA6">
        <w:t xml:space="preserve">is accepted.   </w:t>
      </w:r>
    </w:p>
    <w:p w:rsidR="003C2D8B" w:rsidRDefault="003C2D8B" w:rsidP="00762223">
      <w:pPr>
        <w:ind w:left="120"/>
      </w:pPr>
    </w:p>
    <w:p w:rsidR="003C2D8B" w:rsidRDefault="00E723C2" w:rsidP="00762223">
      <w:pPr>
        <w:ind w:left="120"/>
      </w:pPr>
      <w:r>
        <w:t>The</w:t>
      </w:r>
      <w:r w:rsidRPr="00E5272F">
        <w:t xml:space="preserve"> </w:t>
      </w:r>
      <w:r w:rsidR="00C0063B">
        <w:t>following</w:t>
      </w:r>
      <w:r w:rsidRPr="00E5272F">
        <w:t xml:space="preserve"> </w:t>
      </w:r>
      <w:r>
        <w:t>actions</w:t>
      </w:r>
      <w:r w:rsidRPr="00E5272F">
        <w:t xml:space="preserve"> </w:t>
      </w:r>
      <w:r w:rsidR="00C0063B">
        <w:t>are</w:t>
      </w:r>
      <w:r w:rsidRPr="00E5272F">
        <w:t xml:space="preserve"> </w:t>
      </w:r>
      <w:r w:rsidR="00006C5D">
        <w:t xml:space="preserve">proposed </w:t>
      </w:r>
      <w:r>
        <w:t>into</w:t>
      </w:r>
      <w:r w:rsidRPr="00E5272F">
        <w:t xml:space="preserve"> </w:t>
      </w:r>
      <w:r>
        <w:t>the</w:t>
      </w:r>
      <w:r w:rsidRPr="00E5272F">
        <w:t xml:space="preserve"> </w:t>
      </w:r>
      <w:r w:rsidR="00E5272F">
        <w:t xml:space="preserve">project </w:t>
      </w:r>
      <w:r>
        <w:t>WP</w:t>
      </w:r>
      <w:r w:rsidR="00C0063B">
        <w:t xml:space="preserve"> to s</w:t>
      </w:r>
      <w:r w:rsidR="00E5272F">
        <w:t>upport the draft RES Law</w:t>
      </w:r>
      <w:r w:rsidR="00243F8B">
        <w:t xml:space="preserve"> adoption</w:t>
      </w:r>
      <w:r w:rsidR="00C0063B">
        <w:t xml:space="preserve">: </w:t>
      </w:r>
      <w:r w:rsidR="00E5272F">
        <w:t xml:space="preserve"> </w:t>
      </w:r>
    </w:p>
    <w:p w:rsidR="003C2D8B" w:rsidRDefault="003C2D8B" w:rsidP="003C2D8B">
      <w:pPr>
        <w:ind w:left="360"/>
      </w:pPr>
      <w:r>
        <w:t xml:space="preserve">- </w:t>
      </w:r>
      <w:r w:rsidR="00C0063B">
        <w:t xml:space="preserve">study tour of </w:t>
      </w:r>
      <w:smartTag w:uri="urn:schemas-microsoft-com:office:smarttags" w:element="country-region">
        <w:r w:rsidR="00C0063B">
          <w:t>Kazakhstan</w:t>
        </w:r>
      </w:smartTag>
      <w:r w:rsidR="00C0063B">
        <w:t xml:space="preserve"> officials  to </w:t>
      </w:r>
      <w:smartTag w:uri="urn:schemas-microsoft-com:office:smarttags" w:element="country-region">
        <w:r w:rsidR="00C0063B">
          <w:t>UK</w:t>
        </w:r>
      </w:smartTag>
      <w:r w:rsidR="00C0063B">
        <w:t xml:space="preserve"> to get information </w:t>
      </w:r>
      <w:r w:rsidR="00243F8B">
        <w:t xml:space="preserve">and knowledge </w:t>
      </w:r>
      <w:r w:rsidR="00C0063B">
        <w:t xml:space="preserve">about </w:t>
      </w:r>
      <w:r w:rsidR="00243F8B">
        <w:t xml:space="preserve">the </w:t>
      </w:r>
      <w:r w:rsidR="00C0063B">
        <w:t xml:space="preserve">RES regulation and RES application in </w:t>
      </w:r>
      <w:smartTag w:uri="urn:schemas-microsoft-com:office:smarttags" w:element="place">
        <w:smartTag w:uri="urn:schemas-microsoft-com:office:smarttags" w:element="country-region">
          <w:r w:rsidR="00C0063B">
            <w:t>UK</w:t>
          </w:r>
        </w:smartTag>
      </w:smartTag>
      <w:r w:rsidR="00A425D9">
        <w:t xml:space="preserve"> (PIU, UNDP)</w:t>
      </w:r>
      <w:r w:rsidR="00C0063B">
        <w:t xml:space="preserve">; </w:t>
      </w:r>
    </w:p>
    <w:p w:rsidR="003C2D8B" w:rsidRDefault="003C2D8B" w:rsidP="003C2D8B">
      <w:pPr>
        <w:ind w:left="360"/>
      </w:pPr>
      <w:r>
        <w:t xml:space="preserve">- </w:t>
      </w:r>
      <w:r w:rsidR="00B52311">
        <w:t xml:space="preserve">a </w:t>
      </w:r>
      <w:r w:rsidR="00C0063B">
        <w:t xml:space="preserve">seminar with Government </w:t>
      </w:r>
      <w:r w:rsidR="00B52311">
        <w:t>to</w:t>
      </w:r>
      <w:r w:rsidR="00C0063B">
        <w:t xml:space="preserve"> present of the </w:t>
      </w:r>
      <w:r w:rsidR="00B52311">
        <w:t xml:space="preserve">draft </w:t>
      </w:r>
      <w:r w:rsidR="00C0063B">
        <w:t xml:space="preserve">RES Law and </w:t>
      </w:r>
      <w:r>
        <w:t xml:space="preserve">experience of </w:t>
      </w:r>
      <w:smartTag w:uri="urn:schemas-microsoft-com:office:smarttags" w:element="place">
        <w:smartTag w:uri="urn:schemas-microsoft-com:office:smarttags" w:element="country-region">
          <w:r>
            <w:t>UK</w:t>
          </w:r>
        </w:smartTag>
      </w:smartTag>
      <w:r>
        <w:t xml:space="preserve"> on R</w:t>
      </w:r>
      <w:r w:rsidR="00C0063B">
        <w:t xml:space="preserve">enewable </w:t>
      </w:r>
      <w:r>
        <w:t>C</w:t>
      </w:r>
      <w:r w:rsidR="00C0063B">
        <w:t xml:space="preserve">ertificate </w:t>
      </w:r>
      <w:r>
        <w:t>S</w:t>
      </w:r>
      <w:r w:rsidR="00C0063B">
        <w:t>ystem</w:t>
      </w:r>
      <w:r w:rsidR="00A425D9">
        <w:t xml:space="preserve"> ( PIU, UNDP, MEMR, MEP)</w:t>
      </w:r>
      <w:r w:rsidR="00C0063B">
        <w:t xml:space="preserve">; </w:t>
      </w:r>
    </w:p>
    <w:p w:rsidR="003C2D8B" w:rsidRDefault="003C2D8B" w:rsidP="003C2D8B">
      <w:pPr>
        <w:ind w:left="360"/>
      </w:pPr>
      <w:r>
        <w:t xml:space="preserve">- </w:t>
      </w:r>
      <w:r w:rsidR="00B52311">
        <w:t>support of Parliament hearing of the draft RES Law</w:t>
      </w:r>
      <w:r w:rsidR="00A425D9">
        <w:t xml:space="preserve"> (PIU, UNDP, MEP)</w:t>
      </w:r>
      <w:r w:rsidR="00B52311">
        <w:t xml:space="preserve">.  </w:t>
      </w:r>
    </w:p>
    <w:p w:rsidR="00D17AFB" w:rsidRPr="00E5272F" w:rsidRDefault="00C0063B" w:rsidP="003C2D8B">
      <w:pPr>
        <w:ind w:left="360"/>
      </w:pPr>
      <w:r>
        <w:t xml:space="preserve">Additional funding of GOF in a sum of USD 204,000 is </w:t>
      </w:r>
      <w:r w:rsidR="003C2D8B">
        <w:t xml:space="preserve">mobilized </w:t>
      </w:r>
      <w:r>
        <w:t>for implementation of the actions</w:t>
      </w:r>
      <w:r w:rsidR="00D71948">
        <w:t xml:space="preserve">; Proposal to support start up </w:t>
      </w:r>
      <w:r w:rsidR="003C2D8B">
        <w:t xml:space="preserve">of </w:t>
      </w:r>
      <w:r w:rsidR="00D71948">
        <w:t xml:space="preserve">the </w:t>
      </w:r>
      <w:r w:rsidR="003C2D8B">
        <w:t>C</w:t>
      </w:r>
      <w:r w:rsidR="00D71948">
        <w:t xml:space="preserve">erticicate </w:t>
      </w:r>
      <w:r w:rsidR="003C2D8B">
        <w:t>P</w:t>
      </w:r>
      <w:r w:rsidR="00D71948">
        <w:t xml:space="preserve">rogram after adoption of the </w:t>
      </w:r>
      <w:r w:rsidR="00B02E3B">
        <w:t>RES Law is planned to develop and submit for GEF funding</w:t>
      </w:r>
      <w:r w:rsidR="00A425D9">
        <w:t xml:space="preserve"> (UNDP,</w:t>
      </w:r>
      <w:r w:rsidR="00A425D9" w:rsidRPr="00A425D9">
        <w:t xml:space="preserve"> </w:t>
      </w:r>
      <w:r w:rsidR="00A425D9">
        <w:t>PIU)</w:t>
      </w:r>
      <w:r w:rsidR="00B02E3B">
        <w:t xml:space="preserve"> </w:t>
      </w:r>
    </w:p>
    <w:p w:rsidR="00E723C2" w:rsidRPr="00E5272F" w:rsidRDefault="00E723C2" w:rsidP="00762223">
      <w:pPr>
        <w:ind w:left="120"/>
        <w:rPr>
          <w:b/>
        </w:rPr>
      </w:pPr>
    </w:p>
    <w:p w:rsidR="00F906DA" w:rsidRDefault="00F906DA" w:rsidP="003C2D8B">
      <w:pPr>
        <w:numPr>
          <w:ilvl w:val="0"/>
          <w:numId w:val="10"/>
        </w:numPr>
        <w:tabs>
          <w:tab w:val="clear" w:pos="840"/>
          <w:tab w:val="num" w:pos="360"/>
        </w:tabs>
        <w:ind w:hanging="840"/>
        <w:rPr>
          <w:b/>
        </w:rPr>
      </w:pPr>
      <w:r>
        <w:rPr>
          <w:i/>
        </w:rPr>
        <w:t>Djungar Gate pilot wind farm.</w:t>
      </w:r>
    </w:p>
    <w:p w:rsidR="00762223" w:rsidRDefault="00762223" w:rsidP="003C2D8B">
      <w:pPr>
        <w:tabs>
          <w:tab w:val="num" w:pos="720"/>
        </w:tabs>
        <w:spacing w:line="22" w:lineRule="atLeast"/>
        <w:ind w:left="360"/>
        <w:jc w:val="both"/>
      </w:pPr>
      <w:r w:rsidRPr="00C46FA6">
        <w:t xml:space="preserve">Implementation of the Djungar Gate project could be advanced if somehow the Government (MEMR) would provide some additional financial support, for example, in the </w:t>
      </w:r>
      <w:r w:rsidRPr="00C46FA6">
        <w:lastRenderedPageBreak/>
        <w:t>investment itself or in guaranteeing a certain level of wind power sales at a tariff that would make Djungar Gate financially feasible; The case could be made, since showing results is important by having the first demonstration of a wind farm in Kazakhstan.</w:t>
      </w:r>
    </w:p>
    <w:p w:rsidR="009E47D5" w:rsidRPr="00356137" w:rsidRDefault="009E47D5" w:rsidP="009E47D5">
      <w:pPr>
        <w:tabs>
          <w:tab w:val="num" w:pos="720"/>
        </w:tabs>
        <w:spacing w:line="22" w:lineRule="atLeast"/>
        <w:ind w:left="900"/>
        <w:jc w:val="both"/>
      </w:pPr>
    </w:p>
    <w:p w:rsidR="00B52311" w:rsidRDefault="009E47D5" w:rsidP="00DC1195">
      <w:pPr>
        <w:tabs>
          <w:tab w:val="num" w:pos="720"/>
        </w:tabs>
        <w:spacing w:line="22" w:lineRule="atLeast"/>
        <w:ind w:left="360"/>
        <w:jc w:val="both"/>
      </w:pPr>
      <w:r>
        <w:t xml:space="preserve">The recommendation is accepted. </w:t>
      </w:r>
      <w:r w:rsidR="00B52311">
        <w:t>At present the political support of MEMR to the pilot wind farm is provided and the Protocol of Intend for purchase of power of the pilot wind farm is signed by the investor and the regional power supply company. The investor starts development of the pilot wind farm.</w:t>
      </w:r>
    </w:p>
    <w:p w:rsidR="00712300" w:rsidRDefault="00712300" w:rsidP="00DC1195">
      <w:pPr>
        <w:ind w:left="360"/>
        <w:jc w:val="both"/>
      </w:pPr>
      <w:r>
        <w:t xml:space="preserve">The project management agrees that it will take some years to get the project started after PPA conclusion. In this regards a delay of </w:t>
      </w:r>
      <w:r w:rsidRPr="007007F1">
        <w:t xml:space="preserve">the expenditure of the </w:t>
      </w:r>
      <w:r>
        <w:t xml:space="preserve">US </w:t>
      </w:r>
      <w:r w:rsidRPr="007007F1">
        <w:t>$1</w:t>
      </w:r>
      <w:r>
        <w:t xml:space="preserve"> </w:t>
      </w:r>
      <w:r w:rsidRPr="007007F1">
        <w:t>m</w:t>
      </w:r>
      <w:r>
        <w:t xml:space="preserve">illion (destined as support for </w:t>
      </w:r>
      <w:r w:rsidRPr="007007F1">
        <w:t>Djungar Gate</w:t>
      </w:r>
      <w:r>
        <w:t xml:space="preserve">) </w:t>
      </w:r>
      <w:r w:rsidR="00DC1195">
        <w:t>should be</w:t>
      </w:r>
      <w:r>
        <w:t xml:space="preserve"> considered until the pilot wind farm will be commissioned somewhere to the end  2009.</w:t>
      </w:r>
    </w:p>
    <w:p w:rsidR="00006C5D" w:rsidRDefault="00006C5D" w:rsidP="00DC1195">
      <w:pPr>
        <w:tabs>
          <w:tab w:val="num" w:pos="720"/>
        </w:tabs>
        <w:spacing w:line="22" w:lineRule="atLeast"/>
        <w:ind w:left="360"/>
        <w:jc w:val="both"/>
      </w:pPr>
    </w:p>
    <w:p w:rsidR="00DC1195" w:rsidRDefault="00B52311" w:rsidP="00DC1195">
      <w:pPr>
        <w:tabs>
          <w:tab w:val="num" w:pos="720"/>
        </w:tabs>
        <w:spacing w:line="22" w:lineRule="atLeast"/>
        <w:ind w:left="360"/>
        <w:jc w:val="both"/>
      </w:pPr>
      <w:r>
        <w:t>The following actions are p</w:t>
      </w:r>
      <w:r w:rsidR="008946FE">
        <w:t>roposed</w:t>
      </w:r>
      <w:r>
        <w:t xml:space="preserve"> to support the pilot wind farm: </w:t>
      </w:r>
    </w:p>
    <w:p w:rsidR="008946FE" w:rsidRDefault="008946FE" w:rsidP="00DC1195">
      <w:pPr>
        <w:numPr>
          <w:ilvl w:val="0"/>
          <w:numId w:val="11"/>
        </w:numPr>
        <w:spacing w:line="22" w:lineRule="atLeast"/>
        <w:jc w:val="both"/>
      </w:pPr>
      <w:r>
        <w:t xml:space="preserve">support of negotiation of  the PPA between the investor and TATEK </w:t>
      </w:r>
      <w:r w:rsidR="00356137">
        <w:t xml:space="preserve">and connection of the wind farm to grid </w:t>
      </w:r>
      <w:r>
        <w:t xml:space="preserve">(MEMR); </w:t>
      </w:r>
    </w:p>
    <w:p w:rsidR="008946FE" w:rsidRDefault="008946FE" w:rsidP="00DC1195">
      <w:pPr>
        <w:numPr>
          <w:ilvl w:val="0"/>
          <w:numId w:val="11"/>
        </w:numPr>
        <w:spacing w:line="22" w:lineRule="atLeast"/>
        <w:jc w:val="both"/>
      </w:pPr>
      <w:r>
        <w:t>to consider increasing of capacity of the pilot wind farm up to 50 MW in order to make the project economically viable ( MEMR);</w:t>
      </w:r>
    </w:p>
    <w:p w:rsidR="00DC1195" w:rsidRDefault="00DC1195" w:rsidP="00DC1195">
      <w:pPr>
        <w:numPr>
          <w:ilvl w:val="0"/>
          <w:numId w:val="11"/>
        </w:numPr>
        <w:spacing w:line="22" w:lineRule="atLeast"/>
        <w:jc w:val="both"/>
      </w:pPr>
      <w:r>
        <w:t>negotiation of contract between UNDP and the investor for the USD 1 mln financing grant</w:t>
      </w:r>
      <w:r w:rsidR="00A425D9">
        <w:t xml:space="preserve"> (UNDP, PIU)</w:t>
      </w:r>
      <w:r>
        <w:t>;</w:t>
      </w:r>
      <w:r w:rsidDel="00DC1195">
        <w:t xml:space="preserve"> </w:t>
      </w:r>
    </w:p>
    <w:p w:rsidR="00DC1195" w:rsidRDefault="00DC1195" w:rsidP="00DC1195">
      <w:pPr>
        <w:numPr>
          <w:ilvl w:val="0"/>
          <w:numId w:val="11"/>
        </w:numPr>
        <w:spacing w:line="22" w:lineRule="atLeast"/>
        <w:jc w:val="both"/>
      </w:pPr>
      <w:r>
        <w:t xml:space="preserve">regular </w:t>
      </w:r>
      <w:r w:rsidR="00712300">
        <w:t xml:space="preserve">monitoring of status of the pilot wind farm at SC meetings </w:t>
      </w:r>
      <w:r>
        <w:t>and provide necessary support up to the commission of the pilot wind farm</w:t>
      </w:r>
      <w:r w:rsidR="00A425D9">
        <w:t xml:space="preserve"> ( MEMR, UNDP,</w:t>
      </w:r>
      <w:r w:rsidR="00A425D9" w:rsidRPr="00A425D9">
        <w:t xml:space="preserve"> </w:t>
      </w:r>
      <w:r w:rsidR="00A425D9">
        <w:t>PIU,)</w:t>
      </w:r>
      <w:r w:rsidR="00712300">
        <w:t>;</w:t>
      </w:r>
    </w:p>
    <w:p w:rsidR="00356137" w:rsidRDefault="00356137" w:rsidP="00DC1195">
      <w:pPr>
        <w:numPr>
          <w:ilvl w:val="0"/>
          <w:numId w:val="11"/>
        </w:numPr>
        <w:spacing w:line="22" w:lineRule="atLeast"/>
        <w:jc w:val="both"/>
      </w:pPr>
      <w:r>
        <w:t xml:space="preserve">prepare plan for monitoring of the pilot wind farm in 2009 and relocate of part the project budget to 2009 to monitor and </w:t>
      </w:r>
      <w:r w:rsidRPr="004B7A03">
        <w:t>v</w:t>
      </w:r>
      <w:r w:rsidRPr="004B7A03">
        <w:rPr>
          <w:rStyle w:val="a7"/>
          <w:sz w:val="24"/>
        </w:rPr>
        <w:t>erification of commission of the wind farm</w:t>
      </w:r>
      <w:r>
        <w:rPr>
          <w:rStyle w:val="a7"/>
          <w:sz w:val="24"/>
        </w:rPr>
        <w:t xml:space="preserve"> </w:t>
      </w:r>
      <w:r>
        <w:t xml:space="preserve">  </w:t>
      </w:r>
      <w:r>
        <w:rPr>
          <w:rStyle w:val="a7"/>
          <w:sz w:val="24"/>
        </w:rPr>
        <w:t>(PIU, UNDP, MEMR)</w:t>
      </w:r>
    </w:p>
    <w:p w:rsidR="00DE20A9" w:rsidRPr="004B7A03" w:rsidRDefault="00DE20A9" w:rsidP="00356137">
      <w:pPr>
        <w:ind w:left="720"/>
        <w:jc w:val="both"/>
        <w:rPr>
          <w:i/>
        </w:rPr>
      </w:pPr>
    </w:p>
    <w:p w:rsidR="004B7A03" w:rsidRPr="004B7A03" w:rsidRDefault="004B7A03" w:rsidP="004B7A03">
      <w:pPr>
        <w:spacing w:line="22" w:lineRule="atLeast"/>
        <w:jc w:val="both"/>
      </w:pPr>
    </w:p>
    <w:p w:rsidR="00780124" w:rsidRDefault="00780124" w:rsidP="00780124">
      <w:pPr>
        <w:numPr>
          <w:ilvl w:val="0"/>
          <w:numId w:val="6"/>
        </w:numPr>
        <w:tabs>
          <w:tab w:val="clear" w:pos="720"/>
          <w:tab w:val="num" w:pos="360"/>
        </w:tabs>
        <w:spacing w:line="22" w:lineRule="atLeast"/>
        <w:ind w:left="360"/>
        <w:jc w:val="both"/>
      </w:pPr>
      <w:r w:rsidRPr="00C46FA6">
        <w:rPr>
          <w:i/>
        </w:rPr>
        <w:t>Budget and prioritization of activities.</w:t>
      </w:r>
      <w:r w:rsidRPr="00C46FA6">
        <w:t xml:space="preserve"> If the above-mentioned interim support options for Djungar Gate (to cover the period up to when certificates can support its commercial performance) cannot be negotiated, the question becomes urgent what to do with the US$ 1 million originally destined in the UNDP/GEF budget for supporting the Djungar Gate pilot.  An alternative option for the money could be to support feasibility studies on wind power farms in other areas of the country, so these can be presented to project developers and investors (once a functioning REC system is in place). Also, if the Law on RES would approved soon, some funds could be spent on defining</w:t>
      </w:r>
      <w:r w:rsidRPr="004F44B1">
        <w:t xml:space="preserve"> the regulations for the certificate system and to elaborate generic PPAs. </w:t>
      </w:r>
    </w:p>
    <w:p w:rsidR="00780124" w:rsidRDefault="00780124" w:rsidP="00DE20A9">
      <w:pPr>
        <w:ind w:left="900"/>
        <w:jc w:val="both"/>
      </w:pPr>
    </w:p>
    <w:p w:rsidR="00222D2A" w:rsidRDefault="004B7A03" w:rsidP="004B7A03">
      <w:pPr>
        <w:jc w:val="both"/>
      </w:pPr>
      <w:r>
        <w:t>The project management r</w:t>
      </w:r>
      <w:r w:rsidR="00780124">
        <w:t xml:space="preserve">esponse is that the recommendation is not actual because progress with the PPA signing. </w:t>
      </w:r>
      <w:r w:rsidR="00DE20A9">
        <w:t xml:space="preserve"> </w:t>
      </w:r>
    </w:p>
    <w:p w:rsidR="004977DE" w:rsidRDefault="004977DE" w:rsidP="004977DE">
      <w:pPr>
        <w:ind w:left="360"/>
        <w:jc w:val="both"/>
        <w:rPr>
          <w:u w:val="single"/>
        </w:rPr>
      </w:pPr>
    </w:p>
    <w:p w:rsidR="00D92916" w:rsidRDefault="00D92916" w:rsidP="00D92916">
      <w:pPr>
        <w:numPr>
          <w:ilvl w:val="0"/>
          <w:numId w:val="6"/>
        </w:numPr>
        <w:tabs>
          <w:tab w:val="clear" w:pos="720"/>
          <w:tab w:val="num" w:pos="360"/>
        </w:tabs>
        <w:spacing w:line="22" w:lineRule="atLeast"/>
        <w:ind w:left="360"/>
        <w:jc w:val="both"/>
      </w:pPr>
      <w:r>
        <w:t xml:space="preserve">The </w:t>
      </w:r>
      <w:r w:rsidRPr="005644BB">
        <w:rPr>
          <w:i/>
        </w:rPr>
        <w:t>Project Steering Committee</w:t>
      </w:r>
      <w:r>
        <w:t xml:space="preserve"> (and especially MEP and MEMR) should play a stronger role in providing political support (e.g., an urgent agreement of the additional GOF funding for support of the legislation is needed) as well as providing stronger guidance to the PIU on the Djungar Gate project. An urgent</w:t>
      </w:r>
      <w:r w:rsidRPr="004F44B1">
        <w:t xml:space="preserve"> </w:t>
      </w:r>
      <w:r>
        <w:t>Project Steering Committee (</w:t>
      </w:r>
      <w:r w:rsidRPr="004F44B1">
        <w:t>PSC</w:t>
      </w:r>
      <w:r>
        <w:t>)</w:t>
      </w:r>
      <w:r w:rsidRPr="004F44B1">
        <w:t xml:space="preserve"> meeting will have to be called </w:t>
      </w:r>
      <w:r>
        <w:t xml:space="preserve">for </w:t>
      </w:r>
      <w:r w:rsidRPr="004F44B1">
        <w:t xml:space="preserve">to agree on </w:t>
      </w:r>
      <w:r>
        <w:t xml:space="preserve">what to do in the remaining period of 2007-2008, based on </w:t>
      </w:r>
      <w:r>
        <w:lastRenderedPageBreak/>
        <w:t>the above-mentioned options. Maybe higher level staff of the Ministries should participate in the PSC to enable such important decisions on budget and priorities.</w:t>
      </w:r>
    </w:p>
    <w:p w:rsidR="004B7A03" w:rsidRDefault="004B7A03" w:rsidP="004B7A03">
      <w:pPr>
        <w:jc w:val="both"/>
      </w:pPr>
    </w:p>
    <w:p w:rsidR="004B7A03" w:rsidRDefault="00E723C2" w:rsidP="004B7A03">
      <w:pPr>
        <w:jc w:val="both"/>
      </w:pPr>
      <w:r>
        <w:t xml:space="preserve">The recommendation is accepted.  </w:t>
      </w:r>
      <w:r w:rsidR="00333959">
        <w:t xml:space="preserve">The PSC meeting </w:t>
      </w:r>
      <w:r w:rsidR="004B7A03">
        <w:t>with participation of high level of MEMR</w:t>
      </w:r>
      <w:r w:rsidR="00A425D9">
        <w:t xml:space="preserve">, </w:t>
      </w:r>
      <w:r w:rsidR="004B7A03">
        <w:t>MEP</w:t>
      </w:r>
      <w:r w:rsidR="00A425D9">
        <w:t xml:space="preserve"> and UNDP</w:t>
      </w:r>
      <w:r w:rsidR="004B7A03">
        <w:t xml:space="preserve"> management </w:t>
      </w:r>
      <w:r w:rsidR="00333959">
        <w:t>is p</w:t>
      </w:r>
      <w:r w:rsidR="008946FE">
        <w:t>roposed</w:t>
      </w:r>
      <w:r w:rsidR="00333959">
        <w:t xml:space="preserve"> to </w:t>
      </w:r>
      <w:r w:rsidR="008946FE">
        <w:t xml:space="preserve">adopt </w:t>
      </w:r>
      <w:r w:rsidR="00333959">
        <w:t>the actions to be taken in 2008 in a line with the recommendations of the midterm evaluation.</w:t>
      </w:r>
      <w:r w:rsidR="00A425D9">
        <w:t xml:space="preserve"> (MEMR, UNDP, PIU)</w:t>
      </w:r>
      <w:r w:rsidR="00333959">
        <w:t xml:space="preserve"> </w:t>
      </w:r>
    </w:p>
    <w:p w:rsidR="00E723C2" w:rsidRDefault="00333959" w:rsidP="004B7A03">
      <w:pPr>
        <w:jc w:val="both"/>
      </w:pPr>
      <w:r>
        <w:t xml:space="preserve"> </w:t>
      </w:r>
    </w:p>
    <w:p w:rsidR="00E723C2" w:rsidRDefault="00E723C2" w:rsidP="00E723C2">
      <w:pPr>
        <w:numPr>
          <w:ilvl w:val="0"/>
          <w:numId w:val="6"/>
        </w:numPr>
        <w:tabs>
          <w:tab w:val="clear" w:pos="720"/>
          <w:tab w:val="num" w:pos="360"/>
        </w:tabs>
        <w:spacing w:line="22" w:lineRule="atLeast"/>
        <w:ind w:left="360"/>
        <w:jc w:val="both"/>
      </w:pPr>
      <w:r>
        <w:t>Based on the PSC’s decision</w:t>
      </w:r>
      <w:r w:rsidRPr="004D707B">
        <w:t xml:space="preserve"> </w:t>
      </w:r>
      <w:r>
        <w:t>regarding budget and activity priorities, the PIU needs to draft a sound work plan for the remaining period of 2007-2008.  The should include a good</w:t>
      </w:r>
      <w:r w:rsidRPr="004F44B1">
        <w:t xml:space="preserve"> </w:t>
      </w:r>
      <w:r w:rsidRPr="007007F1">
        <w:rPr>
          <w:i/>
        </w:rPr>
        <w:t>exit strategy is defined regarding the transfer and dissemination of the project information</w:t>
      </w:r>
      <w:r w:rsidRPr="004F44B1">
        <w:t xml:space="preserve">, wind data and reports and the ownership of the wind measuring equipment. Some projects funds should be dedicated top set up a good website at an existing institute in </w:t>
      </w:r>
      <w:smartTag w:uri="urn:schemas-microsoft-com:office:smarttags" w:element="place">
        <w:smartTag w:uri="urn:schemas-microsoft-com:office:smarttags" w:element="country-region">
          <w:r w:rsidRPr="004F44B1">
            <w:t>Kazakhstan</w:t>
          </w:r>
        </w:smartTag>
      </w:smartTag>
      <w:r w:rsidRPr="004F44B1">
        <w:t xml:space="preserve"> were the project information can be downloaded</w:t>
      </w:r>
      <w:r>
        <w:t>.</w:t>
      </w:r>
    </w:p>
    <w:p w:rsidR="004B7A03" w:rsidRDefault="004B7A03" w:rsidP="00E723C2">
      <w:pPr>
        <w:ind w:left="360"/>
        <w:jc w:val="both"/>
      </w:pPr>
    </w:p>
    <w:p w:rsidR="00E723C2" w:rsidRDefault="00E723C2" w:rsidP="00E723C2">
      <w:pPr>
        <w:ind w:left="360"/>
        <w:jc w:val="both"/>
      </w:pPr>
      <w:r>
        <w:t xml:space="preserve">The recommendation is accepted.  </w:t>
      </w:r>
    </w:p>
    <w:p w:rsidR="00333959" w:rsidRDefault="00333959" w:rsidP="004977DE">
      <w:pPr>
        <w:ind w:left="360"/>
        <w:jc w:val="both"/>
      </w:pPr>
      <w:r>
        <w:t xml:space="preserve">The following actions </w:t>
      </w:r>
      <w:r w:rsidRPr="007007F1">
        <w:rPr>
          <w:i/>
        </w:rPr>
        <w:t>regarding the transfer and dissemination of the project information</w:t>
      </w:r>
      <w:r>
        <w:rPr>
          <w:i/>
        </w:rPr>
        <w:t xml:space="preserve"> and equipment</w:t>
      </w:r>
      <w:r w:rsidRPr="004F44B1">
        <w:t xml:space="preserve"> </w:t>
      </w:r>
      <w:r>
        <w:t>are p</w:t>
      </w:r>
      <w:r w:rsidR="008946FE">
        <w:t xml:space="preserve">roposed </w:t>
      </w:r>
      <w:r>
        <w:t>to be implemented in 2008:</w:t>
      </w:r>
    </w:p>
    <w:p w:rsidR="0001489B" w:rsidRDefault="005561C8" w:rsidP="005F0605">
      <w:pPr>
        <w:numPr>
          <w:ilvl w:val="0"/>
          <w:numId w:val="11"/>
        </w:numPr>
        <w:jc w:val="both"/>
      </w:pPr>
      <w:r>
        <w:t xml:space="preserve">appointment of </w:t>
      </w:r>
      <w:r w:rsidR="00D71948">
        <w:t xml:space="preserve">local </w:t>
      </w:r>
      <w:r w:rsidR="005F0605">
        <w:t xml:space="preserve"> </w:t>
      </w:r>
      <w:r w:rsidR="00D71948">
        <w:t xml:space="preserve">organization to transfer the measurement equipment and </w:t>
      </w:r>
      <w:r w:rsidR="005F0605">
        <w:t xml:space="preserve">the project data and to </w:t>
      </w:r>
      <w:r w:rsidR="00D71948">
        <w:t xml:space="preserve">continue wind monitoring program and </w:t>
      </w:r>
      <w:r w:rsidR="005F0605">
        <w:t xml:space="preserve">support of </w:t>
      </w:r>
      <w:r w:rsidR="00D71948">
        <w:t xml:space="preserve"> development of </w:t>
      </w:r>
      <w:r w:rsidR="005F0605">
        <w:t xml:space="preserve">new </w:t>
      </w:r>
      <w:r w:rsidR="00D71948">
        <w:t xml:space="preserve">wind </w:t>
      </w:r>
      <w:r>
        <w:t>projects on permanent base after the end of the project</w:t>
      </w:r>
      <w:r w:rsidR="00A425D9">
        <w:t xml:space="preserve"> (MEMR, PIU, UNDP)</w:t>
      </w:r>
      <w:r w:rsidR="00D71948">
        <w:t xml:space="preserve">; </w:t>
      </w:r>
    </w:p>
    <w:p w:rsidR="005561C8" w:rsidRDefault="0001489B" w:rsidP="005F0605">
      <w:pPr>
        <w:numPr>
          <w:ilvl w:val="0"/>
          <w:numId w:val="11"/>
        </w:numPr>
        <w:jc w:val="both"/>
      </w:pPr>
      <w:r>
        <w:t xml:space="preserve">transfer </w:t>
      </w:r>
      <w:r w:rsidR="00D71948">
        <w:t xml:space="preserve"> </w:t>
      </w:r>
      <w:r>
        <w:t>the measurement equipment and the project data to the appointed local organization and support the next round wind monitoring program (PIU, UNDP, MEMR);</w:t>
      </w:r>
    </w:p>
    <w:p w:rsidR="00E723C2" w:rsidRDefault="005561C8" w:rsidP="005F0605">
      <w:pPr>
        <w:numPr>
          <w:ilvl w:val="0"/>
          <w:numId w:val="11"/>
        </w:numPr>
        <w:jc w:val="both"/>
      </w:pPr>
      <w:r w:rsidRPr="005561C8">
        <w:rPr>
          <w:rStyle w:val="a7"/>
          <w:sz w:val="24"/>
        </w:rPr>
        <w:t>summarizing the project results and disseminating</w:t>
      </w:r>
      <w:r>
        <w:rPr>
          <w:rStyle w:val="a7"/>
        </w:rPr>
        <w:t xml:space="preserve"> </w:t>
      </w:r>
      <w:r w:rsidR="00D71948">
        <w:t>of the project information through seminars, publications and other outreach activities</w:t>
      </w:r>
      <w:r w:rsidR="00A425D9">
        <w:t xml:space="preserve"> (PIU)</w:t>
      </w:r>
      <w:r w:rsidR="00D71948">
        <w:t>.</w:t>
      </w:r>
    </w:p>
    <w:p w:rsidR="005561C8" w:rsidRDefault="005561C8" w:rsidP="005561C8">
      <w:pPr>
        <w:numPr>
          <w:ilvl w:val="0"/>
          <w:numId w:val="11"/>
        </w:numPr>
        <w:jc w:val="both"/>
      </w:pPr>
      <w:r>
        <w:t xml:space="preserve">set up  a website  to present </w:t>
      </w:r>
      <w:r w:rsidR="008946FE">
        <w:t xml:space="preserve">and disseminate </w:t>
      </w:r>
      <w:r>
        <w:t>the project information and wind data</w:t>
      </w:r>
      <w:r w:rsidR="00A425D9">
        <w:t xml:space="preserve"> (PIU)</w:t>
      </w:r>
      <w:r>
        <w:t xml:space="preserve">; </w:t>
      </w:r>
    </w:p>
    <w:p w:rsidR="00E723C2" w:rsidRDefault="00E723C2" w:rsidP="004977DE">
      <w:pPr>
        <w:ind w:left="360"/>
        <w:jc w:val="both"/>
        <w:rPr>
          <w:u w:val="single"/>
        </w:rPr>
      </w:pPr>
    </w:p>
    <w:p w:rsidR="004A238A" w:rsidRDefault="004A238A" w:rsidP="00222D2A">
      <w:pPr>
        <w:jc w:val="both"/>
        <w:rPr>
          <w:b/>
        </w:rPr>
      </w:pPr>
    </w:p>
    <w:p w:rsidR="004A238A" w:rsidRDefault="004A238A" w:rsidP="00222D2A">
      <w:pPr>
        <w:jc w:val="both"/>
        <w:rPr>
          <w:b/>
        </w:rPr>
      </w:pPr>
    </w:p>
    <w:p w:rsidR="004A238A" w:rsidRDefault="004A238A" w:rsidP="00222D2A">
      <w:pPr>
        <w:jc w:val="both"/>
      </w:pPr>
    </w:p>
    <w:p w:rsidR="00FB476E" w:rsidRDefault="00FB476E" w:rsidP="00682684">
      <w:pPr>
        <w:rPr>
          <w:u w:val="single"/>
        </w:rPr>
      </w:pPr>
    </w:p>
    <w:p w:rsidR="00B27C2D" w:rsidRDefault="00B27C2D" w:rsidP="00682684"/>
    <w:p w:rsidR="00C46FA6" w:rsidRDefault="00B27C2D" w:rsidP="00FB476E">
      <w:pPr>
        <w:jc w:val="center"/>
        <w:sectPr w:rsidR="00C46FA6" w:rsidSect="00125C4C">
          <w:pgSz w:w="12240" w:h="15840"/>
          <w:pgMar w:top="1440" w:right="1260" w:bottom="1440" w:left="1800" w:header="720" w:footer="720" w:gutter="0"/>
          <w:cols w:space="720"/>
          <w:docGrid w:linePitch="360"/>
        </w:sectPr>
      </w:pPr>
      <w:r>
        <w:br w:type="page"/>
      </w:r>
      <w:bookmarkStart w:id="0" w:name="OLE_LINK1"/>
      <w:bookmarkStart w:id="1" w:name="OLE_LINK2"/>
    </w:p>
    <w:p w:rsidR="00F97AAC" w:rsidRPr="00C46FA6" w:rsidRDefault="00F97AAC" w:rsidP="00FB476E">
      <w:pPr>
        <w:jc w:val="center"/>
        <w:rPr>
          <w:b/>
          <w:sz w:val="28"/>
          <w:szCs w:val="28"/>
        </w:rPr>
      </w:pPr>
      <w:r w:rsidRPr="00C46FA6">
        <w:rPr>
          <w:b/>
          <w:sz w:val="28"/>
          <w:szCs w:val="28"/>
        </w:rPr>
        <w:lastRenderedPageBreak/>
        <w:t xml:space="preserve">A list of actions to be taken to respond to the recommendation of the </w:t>
      </w:r>
      <w:r w:rsidR="00C46FA6" w:rsidRPr="00C46FA6">
        <w:rPr>
          <w:b/>
          <w:sz w:val="28"/>
          <w:szCs w:val="28"/>
        </w:rPr>
        <w:t>Midterm E</w:t>
      </w:r>
      <w:r w:rsidRPr="00C46FA6">
        <w:rPr>
          <w:b/>
          <w:sz w:val="28"/>
          <w:szCs w:val="28"/>
        </w:rPr>
        <w:t xml:space="preserve">valuation </w:t>
      </w:r>
      <w:r w:rsidR="00C46FA6" w:rsidRPr="00C46FA6">
        <w:rPr>
          <w:b/>
          <w:sz w:val="28"/>
          <w:szCs w:val="28"/>
        </w:rPr>
        <w:t>t</w:t>
      </w:r>
      <w:r w:rsidRPr="00C46FA6">
        <w:rPr>
          <w:b/>
          <w:sz w:val="28"/>
          <w:szCs w:val="28"/>
        </w:rPr>
        <w:t>eam</w:t>
      </w:r>
    </w:p>
    <w:p w:rsidR="00F97AAC" w:rsidRDefault="00F97AAC" w:rsidP="00FB476E">
      <w:pPr>
        <w:jc w:val="cente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2425"/>
        <w:gridCol w:w="6487"/>
        <w:gridCol w:w="2277"/>
        <w:gridCol w:w="1800"/>
      </w:tblGrid>
      <w:tr w:rsidR="00F97AAC" w:rsidRPr="008A6B2A" w:rsidTr="008A6B2A">
        <w:tc>
          <w:tcPr>
            <w:tcW w:w="799" w:type="dxa"/>
          </w:tcPr>
          <w:p w:rsidR="00F97AAC" w:rsidRPr="008A6B2A" w:rsidRDefault="00125C4C" w:rsidP="008A6B2A">
            <w:pPr>
              <w:jc w:val="center"/>
              <w:rPr>
                <w:b/>
              </w:rPr>
            </w:pPr>
            <w:r w:rsidRPr="008A6B2A">
              <w:rPr>
                <w:b/>
              </w:rPr>
              <w:t>#</w:t>
            </w:r>
          </w:p>
        </w:tc>
        <w:tc>
          <w:tcPr>
            <w:tcW w:w="2425" w:type="dxa"/>
          </w:tcPr>
          <w:p w:rsidR="00F97AAC" w:rsidRPr="008A6B2A" w:rsidRDefault="00F97AAC" w:rsidP="008A6B2A">
            <w:pPr>
              <w:jc w:val="center"/>
              <w:rPr>
                <w:b/>
              </w:rPr>
            </w:pPr>
            <w:r w:rsidRPr="008A6B2A">
              <w:rPr>
                <w:b/>
              </w:rPr>
              <w:t xml:space="preserve">Recommendations </w:t>
            </w:r>
          </w:p>
        </w:tc>
        <w:tc>
          <w:tcPr>
            <w:tcW w:w="6487" w:type="dxa"/>
          </w:tcPr>
          <w:p w:rsidR="00F97AAC" w:rsidRPr="008A6B2A" w:rsidRDefault="00F97AAC" w:rsidP="008A6B2A">
            <w:pPr>
              <w:jc w:val="center"/>
              <w:rPr>
                <w:b/>
              </w:rPr>
            </w:pPr>
            <w:r w:rsidRPr="008A6B2A">
              <w:rPr>
                <w:b/>
              </w:rPr>
              <w:t>Actions</w:t>
            </w:r>
          </w:p>
        </w:tc>
        <w:tc>
          <w:tcPr>
            <w:tcW w:w="2277" w:type="dxa"/>
          </w:tcPr>
          <w:p w:rsidR="00F97AAC" w:rsidRPr="008A6B2A" w:rsidRDefault="00F97AAC" w:rsidP="008A6B2A">
            <w:pPr>
              <w:jc w:val="center"/>
              <w:rPr>
                <w:b/>
              </w:rPr>
            </w:pPr>
            <w:r w:rsidRPr="008A6B2A">
              <w:rPr>
                <w:b/>
              </w:rPr>
              <w:t xml:space="preserve">Responsible party  </w:t>
            </w:r>
          </w:p>
        </w:tc>
        <w:tc>
          <w:tcPr>
            <w:tcW w:w="1800" w:type="dxa"/>
          </w:tcPr>
          <w:p w:rsidR="00F97AAC" w:rsidRPr="008A6B2A" w:rsidRDefault="00F97AAC" w:rsidP="008A6B2A">
            <w:pPr>
              <w:jc w:val="center"/>
              <w:rPr>
                <w:b/>
              </w:rPr>
            </w:pPr>
            <w:r w:rsidRPr="008A6B2A">
              <w:rPr>
                <w:b/>
              </w:rPr>
              <w:t xml:space="preserve">Timeframe </w:t>
            </w:r>
          </w:p>
        </w:tc>
      </w:tr>
      <w:tr w:rsidR="00356137" w:rsidTr="008A6B2A">
        <w:tc>
          <w:tcPr>
            <w:tcW w:w="799" w:type="dxa"/>
            <w:vMerge w:val="restart"/>
          </w:tcPr>
          <w:p w:rsidR="00356137" w:rsidRDefault="00356137" w:rsidP="008A6B2A">
            <w:pPr>
              <w:jc w:val="center"/>
            </w:pPr>
            <w:r>
              <w:t>1.</w:t>
            </w:r>
          </w:p>
        </w:tc>
        <w:tc>
          <w:tcPr>
            <w:tcW w:w="2425" w:type="dxa"/>
            <w:vMerge w:val="restart"/>
          </w:tcPr>
          <w:p w:rsidR="00356137" w:rsidRDefault="00356137" w:rsidP="008A6B2A">
            <w:pPr>
              <w:jc w:val="center"/>
            </w:pPr>
            <w:r w:rsidRPr="008A6B2A">
              <w:rPr>
                <w:i/>
              </w:rPr>
              <w:t>Law for RES</w:t>
            </w:r>
            <w:r>
              <w:t xml:space="preserve">  </w:t>
            </w:r>
          </w:p>
        </w:tc>
        <w:tc>
          <w:tcPr>
            <w:tcW w:w="6487" w:type="dxa"/>
          </w:tcPr>
          <w:p w:rsidR="00356137" w:rsidRDefault="00356137" w:rsidP="00F97AAC">
            <w:r>
              <w:t xml:space="preserve">1.1.  Study tour of </w:t>
            </w:r>
            <w:smartTag w:uri="urn:schemas-microsoft-com:office:smarttags" w:element="country-region">
              <w:r>
                <w:t>Kazakhstan</w:t>
              </w:r>
            </w:smartTag>
            <w:r>
              <w:t xml:space="preserve"> officials  to </w:t>
            </w:r>
            <w:smartTag w:uri="urn:schemas-microsoft-com:office:smarttags" w:element="country-region">
              <w:r>
                <w:t>UK</w:t>
              </w:r>
            </w:smartTag>
            <w:r>
              <w:t xml:space="preserve"> to get information and knowledge about the RES regulation and RES application in </w:t>
            </w:r>
            <w:smartTag w:uri="urn:schemas-microsoft-com:office:smarttags" w:element="place">
              <w:smartTag w:uri="urn:schemas-microsoft-com:office:smarttags" w:element="country-region">
                <w:r>
                  <w:t>UK</w:t>
                </w:r>
              </w:smartTag>
            </w:smartTag>
          </w:p>
        </w:tc>
        <w:tc>
          <w:tcPr>
            <w:tcW w:w="2277" w:type="dxa"/>
          </w:tcPr>
          <w:p w:rsidR="00356137" w:rsidRDefault="00356137" w:rsidP="008A6B2A">
            <w:pPr>
              <w:jc w:val="center"/>
            </w:pPr>
            <w:r>
              <w:t xml:space="preserve">PIU, UNDP </w:t>
            </w:r>
          </w:p>
        </w:tc>
        <w:tc>
          <w:tcPr>
            <w:tcW w:w="1800" w:type="dxa"/>
          </w:tcPr>
          <w:p w:rsidR="00356137" w:rsidRDefault="00356137" w:rsidP="008A6B2A">
            <w:pPr>
              <w:jc w:val="center"/>
            </w:pPr>
            <w:r>
              <w:t>Oct. 2007</w:t>
            </w:r>
          </w:p>
        </w:tc>
      </w:tr>
      <w:tr w:rsidR="00356137" w:rsidTr="008A6B2A">
        <w:tc>
          <w:tcPr>
            <w:tcW w:w="799" w:type="dxa"/>
            <w:vMerge/>
          </w:tcPr>
          <w:p w:rsidR="00356137" w:rsidRDefault="00356137" w:rsidP="008A6B2A">
            <w:pPr>
              <w:jc w:val="center"/>
            </w:pPr>
          </w:p>
        </w:tc>
        <w:tc>
          <w:tcPr>
            <w:tcW w:w="2425" w:type="dxa"/>
            <w:vMerge/>
          </w:tcPr>
          <w:p w:rsidR="00356137" w:rsidRDefault="00356137" w:rsidP="008A6B2A">
            <w:pPr>
              <w:jc w:val="center"/>
            </w:pPr>
          </w:p>
        </w:tc>
        <w:tc>
          <w:tcPr>
            <w:tcW w:w="6487" w:type="dxa"/>
          </w:tcPr>
          <w:p w:rsidR="00356137" w:rsidRDefault="00356137" w:rsidP="00F97AAC">
            <w:r>
              <w:t xml:space="preserve">1.2. A seminar with Government to present of the draft RES Law and experience of </w:t>
            </w:r>
            <w:smartTag w:uri="urn:schemas-microsoft-com:office:smarttags" w:element="place">
              <w:smartTag w:uri="urn:schemas-microsoft-com:office:smarttags" w:element="country-region">
                <w:r>
                  <w:t>UK</w:t>
                </w:r>
              </w:smartTag>
            </w:smartTag>
            <w:r>
              <w:t xml:space="preserve"> on Renewable Certificate System</w:t>
            </w:r>
          </w:p>
        </w:tc>
        <w:tc>
          <w:tcPr>
            <w:tcW w:w="2277" w:type="dxa"/>
          </w:tcPr>
          <w:p w:rsidR="00356137" w:rsidRDefault="00356137" w:rsidP="008A6B2A">
            <w:pPr>
              <w:jc w:val="center"/>
            </w:pPr>
            <w:r>
              <w:t>PIU, UNDP, MEMR, MEP</w:t>
            </w:r>
          </w:p>
        </w:tc>
        <w:tc>
          <w:tcPr>
            <w:tcW w:w="1800" w:type="dxa"/>
          </w:tcPr>
          <w:p w:rsidR="00356137" w:rsidRDefault="00356137" w:rsidP="008A6B2A">
            <w:pPr>
              <w:jc w:val="center"/>
            </w:pPr>
            <w:r>
              <w:t>January 2008</w:t>
            </w:r>
          </w:p>
        </w:tc>
      </w:tr>
      <w:tr w:rsidR="00356137" w:rsidTr="008A6B2A">
        <w:tc>
          <w:tcPr>
            <w:tcW w:w="799" w:type="dxa"/>
            <w:vMerge/>
          </w:tcPr>
          <w:p w:rsidR="00356137" w:rsidRDefault="00356137" w:rsidP="008A6B2A">
            <w:pPr>
              <w:jc w:val="center"/>
            </w:pPr>
          </w:p>
        </w:tc>
        <w:tc>
          <w:tcPr>
            <w:tcW w:w="2425" w:type="dxa"/>
            <w:vMerge/>
          </w:tcPr>
          <w:p w:rsidR="00356137" w:rsidRDefault="00356137" w:rsidP="008A6B2A">
            <w:pPr>
              <w:jc w:val="center"/>
            </w:pPr>
          </w:p>
        </w:tc>
        <w:tc>
          <w:tcPr>
            <w:tcW w:w="6487" w:type="dxa"/>
          </w:tcPr>
          <w:p w:rsidR="00356137" w:rsidRDefault="00356137" w:rsidP="00F97AAC">
            <w:r>
              <w:t>1.3. Support of Parliament hearing of the draft RES Law</w:t>
            </w:r>
          </w:p>
        </w:tc>
        <w:tc>
          <w:tcPr>
            <w:tcW w:w="2277" w:type="dxa"/>
          </w:tcPr>
          <w:p w:rsidR="00356137" w:rsidRDefault="00356137" w:rsidP="008A6B2A">
            <w:pPr>
              <w:jc w:val="center"/>
            </w:pPr>
            <w:r>
              <w:t>PIU, UNDP, MEP</w:t>
            </w:r>
          </w:p>
        </w:tc>
        <w:tc>
          <w:tcPr>
            <w:tcW w:w="1800" w:type="dxa"/>
          </w:tcPr>
          <w:p w:rsidR="00356137" w:rsidRDefault="00356137" w:rsidP="008A6B2A">
            <w:pPr>
              <w:jc w:val="center"/>
            </w:pPr>
            <w:r>
              <w:t xml:space="preserve">Feb-Mart 2008 </w:t>
            </w:r>
          </w:p>
        </w:tc>
      </w:tr>
      <w:tr w:rsidR="00356137" w:rsidTr="008A6B2A">
        <w:tc>
          <w:tcPr>
            <w:tcW w:w="799" w:type="dxa"/>
            <w:vMerge/>
          </w:tcPr>
          <w:p w:rsidR="00356137" w:rsidRDefault="00356137" w:rsidP="008A6B2A">
            <w:pPr>
              <w:jc w:val="center"/>
            </w:pPr>
          </w:p>
        </w:tc>
        <w:tc>
          <w:tcPr>
            <w:tcW w:w="2425" w:type="dxa"/>
            <w:vMerge/>
          </w:tcPr>
          <w:p w:rsidR="00356137" w:rsidRDefault="00356137" w:rsidP="008A6B2A">
            <w:pPr>
              <w:jc w:val="center"/>
            </w:pPr>
          </w:p>
        </w:tc>
        <w:tc>
          <w:tcPr>
            <w:tcW w:w="6487" w:type="dxa"/>
          </w:tcPr>
          <w:p w:rsidR="00356137" w:rsidRDefault="00356137" w:rsidP="00F97AAC">
            <w:r>
              <w:t>1.4. Mobilization of GOF fund to support the Draft RES ad</w:t>
            </w:r>
            <w:r w:rsidR="00EA47BC">
              <w:t>o</w:t>
            </w:r>
            <w:r>
              <w:t>ption</w:t>
            </w:r>
          </w:p>
        </w:tc>
        <w:tc>
          <w:tcPr>
            <w:tcW w:w="2277" w:type="dxa"/>
          </w:tcPr>
          <w:p w:rsidR="00356137" w:rsidRDefault="00356137" w:rsidP="008A6B2A">
            <w:pPr>
              <w:jc w:val="center"/>
            </w:pPr>
            <w:r>
              <w:t>UNDP, PIU</w:t>
            </w:r>
          </w:p>
        </w:tc>
        <w:tc>
          <w:tcPr>
            <w:tcW w:w="1800" w:type="dxa"/>
          </w:tcPr>
          <w:p w:rsidR="00356137" w:rsidRDefault="00356137" w:rsidP="008A6B2A">
            <w:pPr>
              <w:jc w:val="center"/>
            </w:pPr>
            <w:r>
              <w:t>Sept- Nov. 2007</w:t>
            </w:r>
          </w:p>
        </w:tc>
      </w:tr>
      <w:tr w:rsidR="00356137" w:rsidTr="008A6B2A">
        <w:tc>
          <w:tcPr>
            <w:tcW w:w="799" w:type="dxa"/>
            <w:vMerge/>
          </w:tcPr>
          <w:p w:rsidR="00356137" w:rsidRDefault="00356137" w:rsidP="008A6B2A">
            <w:pPr>
              <w:jc w:val="center"/>
            </w:pPr>
          </w:p>
        </w:tc>
        <w:tc>
          <w:tcPr>
            <w:tcW w:w="2425" w:type="dxa"/>
            <w:vMerge/>
          </w:tcPr>
          <w:p w:rsidR="00356137" w:rsidRDefault="00356137" w:rsidP="008A6B2A">
            <w:pPr>
              <w:jc w:val="center"/>
            </w:pPr>
          </w:p>
        </w:tc>
        <w:tc>
          <w:tcPr>
            <w:tcW w:w="6487" w:type="dxa"/>
          </w:tcPr>
          <w:p w:rsidR="00356137" w:rsidRDefault="00356137" w:rsidP="002A5188">
            <w:r>
              <w:t>1.5 Proposal for GEF to support start up the Certificate progranne after adoption of the RES Law</w:t>
            </w:r>
          </w:p>
        </w:tc>
        <w:tc>
          <w:tcPr>
            <w:tcW w:w="2277" w:type="dxa"/>
          </w:tcPr>
          <w:p w:rsidR="00356137" w:rsidRDefault="00356137" w:rsidP="008A6B2A">
            <w:pPr>
              <w:jc w:val="center"/>
            </w:pPr>
            <w:r>
              <w:t>UNDP</w:t>
            </w:r>
          </w:p>
        </w:tc>
        <w:tc>
          <w:tcPr>
            <w:tcW w:w="1800" w:type="dxa"/>
          </w:tcPr>
          <w:p w:rsidR="00356137" w:rsidRDefault="00356137" w:rsidP="008A6B2A">
            <w:pPr>
              <w:jc w:val="center"/>
            </w:pPr>
            <w:r>
              <w:t>Dec. 2007- 2008</w:t>
            </w:r>
          </w:p>
        </w:tc>
      </w:tr>
      <w:tr w:rsidR="00356137" w:rsidTr="008A6B2A">
        <w:tc>
          <w:tcPr>
            <w:tcW w:w="799" w:type="dxa"/>
            <w:vMerge w:val="restart"/>
          </w:tcPr>
          <w:p w:rsidR="00356137" w:rsidRDefault="00356137" w:rsidP="008A6B2A">
            <w:pPr>
              <w:jc w:val="center"/>
            </w:pPr>
            <w:r>
              <w:t>2</w:t>
            </w:r>
          </w:p>
        </w:tc>
        <w:tc>
          <w:tcPr>
            <w:tcW w:w="2425" w:type="dxa"/>
            <w:vMerge w:val="restart"/>
          </w:tcPr>
          <w:p w:rsidR="00356137" w:rsidRPr="008A6B2A" w:rsidRDefault="00356137" w:rsidP="008946FE">
            <w:pPr>
              <w:rPr>
                <w:b/>
              </w:rPr>
            </w:pPr>
            <w:r w:rsidRPr="008A6B2A">
              <w:rPr>
                <w:i/>
              </w:rPr>
              <w:t>Djungar Gate pilot wind farm</w:t>
            </w:r>
          </w:p>
          <w:p w:rsidR="00356137" w:rsidRDefault="00356137" w:rsidP="008A6B2A">
            <w:pPr>
              <w:jc w:val="center"/>
            </w:pPr>
          </w:p>
        </w:tc>
        <w:tc>
          <w:tcPr>
            <w:tcW w:w="6487" w:type="dxa"/>
          </w:tcPr>
          <w:p w:rsidR="00356137" w:rsidRDefault="00356137" w:rsidP="008A6B2A">
            <w:pPr>
              <w:spacing w:line="22" w:lineRule="atLeast"/>
              <w:ind w:left="49" w:hanging="49"/>
            </w:pPr>
            <w:r>
              <w:t xml:space="preserve">2.1. Support of negotiation of  the PPA between the investor and TATEK and connection of the wind farm to grid </w:t>
            </w:r>
          </w:p>
          <w:p w:rsidR="00356137" w:rsidRDefault="00356137" w:rsidP="002A5188"/>
        </w:tc>
        <w:tc>
          <w:tcPr>
            <w:tcW w:w="2277" w:type="dxa"/>
          </w:tcPr>
          <w:p w:rsidR="00356137" w:rsidRDefault="00356137" w:rsidP="008A6B2A">
            <w:pPr>
              <w:jc w:val="center"/>
            </w:pPr>
            <w:r>
              <w:t>MEMR</w:t>
            </w:r>
          </w:p>
        </w:tc>
        <w:tc>
          <w:tcPr>
            <w:tcW w:w="1800" w:type="dxa"/>
          </w:tcPr>
          <w:p w:rsidR="00356137" w:rsidRDefault="00356137" w:rsidP="008A6B2A">
            <w:pPr>
              <w:jc w:val="center"/>
            </w:pPr>
            <w:r>
              <w:t>2008</w:t>
            </w:r>
          </w:p>
        </w:tc>
      </w:tr>
      <w:tr w:rsidR="00356137" w:rsidTr="008A6B2A">
        <w:tc>
          <w:tcPr>
            <w:tcW w:w="799" w:type="dxa"/>
            <w:vMerge/>
          </w:tcPr>
          <w:p w:rsidR="00356137" w:rsidRDefault="00356137" w:rsidP="008A6B2A">
            <w:pPr>
              <w:jc w:val="center"/>
            </w:pPr>
          </w:p>
        </w:tc>
        <w:tc>
          <w:tcPr>
            <w:tcW w:w="2425" w:type="dxa"/>
            <w:vMerge/>
          </w:tcPr>
          <w:p w:rsidR="00356137" w:rsidRPr="008A6B2A" w:rsidRDefault="00356137" w:rsidP="008946FE">
            <w:pPr>
              <w:rPr>
                <w:i/>
              </w:rPr>
            </w:pPr>
          </w:p>
        </w:tc>
        <w:tc>
          <w:tcPr>
            <w:tcW w:w="6487" w:type="dxa"/>
          </w:tcPr>
          <w:p w:rsidR="00356137" w:rsidRDefault="00356137" w:rsidP="008A6B2A">
            <w:pPr>
              <w:spacing w:line="22" w:lineRule="atLeast"/>
              <w:ind w:left="49" w:hanging="49"/>
              <w:jc w:val="both"/>
            </w:pPr>
            <w:r>
              <w:t>2.2. Consideration of increasing of capacity of the pilot wind farm up to 50 MW in order to make the project economically viable</w:t>
            </w:r>
          </w:p>
        </w:tc>
        <w:tc>
          <w:tcPr>
            <w:tcW w:w="2277" w:type="dxa"/>
          </w:tcPr>
          <w:p w:rsidR="00356137" w:rsidRDefault="00356137" w:rsidP="008A6B2A">
            <w:pPr>
              <w:jc w:val="center"/>
            </w:pPr>
            <w:r>
              <w:t>MEMR</w:t>
            </w:r>
          </w:p>
        </w:tc>
        <w:tc>
          <w:tcPr>
            <w:tcW w:w="1800" w:type="dxa"/>
          </w:tcPr>
          <w:p w:rsidR="00356137" w:rsidRDefault="00356137" w:rsidP="008A6B2A">
            <w:pPr>
              <w:jc w:val="center"/>
            </w:pPr>
            <w:r>
              <w:t>2008</w:t>
            </w:r>
          </w:p>
        </w:tc>
      </w:tr>
      <w:tr w:rsidR="00356137" w:rsidTr="008A6B2A">
        <w:tc>
          <w:tcPr>
            <w:tcW w:w="799" w:type="dxa"/>
            <w:vMerge/>
          </w:tcPr>
          <w:p w:rsidR="00356137" w:rsidRDefault="00356137" w:rsidP="008A6B2A">
            <w:pPr>
              <w:jc w:val="center"/>
            </w:pPr>
          </w:p>
        </w:tc>
        <w:tc>
          <w:tcPr>
            <w:tcW w:w="2425" w:type="dxa"/>
            <w:vMerge/>
          </w:tcPr>
          <w:p w:rsidR="00356137" w:rsidRDefault="00356137" w:rsidP="008946FE"/>
        </w:tc>
        <w:tc>
          <w:tcPr>
            <w:tcW w:w="6487" w:type="dxa"/>
          </w:tcPr>
          <w:p w:rsidR="00356137" w:rsidRDefault="00356137" w:rsidP="002A5188">
            <w:r>
              <w:t>2.3 Negotiation of contract between UNDP and the investor for the USD 1 mln financing grant</w:t>
            </w:r>
          </w:p>
        </w:tc>
        <w:tc>
          <w:tcPr>
            <w:tcW w:w="2277" w:type="dxa"/>
          </w:tcPr>
          <w:p w:rsidR="00356137" w:rsidRDefault="00356137" w:rsidP="008A6B2A">
            <w:pPr>
              <w:jc w:val="center"/>
            </w:pPr>
            <w:r>
              <w:t xml:space="preserve">UNDP </w:t>
            </w:r>
          </w:p>
        </w:tc>
        <w:tc>
          <w:tcPr>
            <w:tcW w:w="1800" w:type="dxa"/>
          </w:tcPr>
          <w:p w:rsidR="00356137" w:rsidRDefault="00356137" w:rsidP="008A6B2A">
            <w:pPr>
              <w:jc w:val="center"/>
            </w:pPr>
            <w:r>
              <w:t>Dec.2007- 2008</w:t>
            </w:r>
          </w:p>
        </w:tc>
      </w:tr>
      <w:tr w:rsidR="0001489B" w:rsidTr="008A6B2A">
        <w:tc>
          <w:tcPr>
            <w:tcW w:w="799" w:type="dxa"/>
            <w:vMerge w:val="restart"/>
          </w:tcPr>
          <w:p w:rsidR="0001489B" w:rsidRDefault="0001489B" w:rsidP="008A6B2A">
            <w:pPr>
              <w:jc w:val="center"/>
            </w:pPr>
          </w:p>
        </w:tc>
        <w:tc>
          <w:tcPr>
            <w:tcW w:w="2425" w:type="dxa"/>
            <w:vMerge w:val="restart"/>
          </w:tcPr>
          <w:p w:rsidR="0001489B" w:rsidRPr="008A6B2A" w:rsidRDefault="0001489B" w:rsidP="002A5188">
            <w:pPr>
              <w:rPr>
                <w:i/>
              </w:rPr>
            </w:pPr>
          </w:p>
        </w:tc>
        <w:tc>
          <w:tcPr>
            <w:tcW w:w="6487" w:type="dxa"/>
          </w:tcPr>
          <w:p w:rsidR="0001489B" w:rsidRDefault="0001489B" w:rsidP="002A5188">
            <w:r>
              <w:t>2.4. Monitoring of status of the pilot wind farm at SC meetings and provide necessary support up to the commission of the pilot wind farm</w:t>
            </w:r>
          </w:p>
        </w:tc>
        <w:tc>
          <w:tcPr>
            <w:tcW w:w="2277" w:type="dxa"/>
          </w:tcPr>
          <w:p w:rsidR="0001489B" w:rsidRDefault="0001489B" w:rsidP="008A6B2A">
            <w:pPr>
              <w:jc w:val="center"/>
            </w:pPr>
            <w:r>
              <w:t>MEMR, UNDP,</w:t>
            </w:r>
            <w:r w:rsidRPr="00A425D9">
              <w:t xml:space="preserve"> </w:t>
            </w:r>
            <w:r>
              <w:t>PIU</w:t>
            </w:r>
          </w:p>
        </w:tc>
        <w:tc>
          <w:tcPr>
            <w:tcW w:w="1800" w:type="dxa"/>
          </w:tcPr>
          <w:p w:rsidR="0001489B" w:rsidRDefault="0001489B" w:rsidP="008A6B2A">
            <w:pPr>
              <w:jc w:val="center"/>
            </w:pPr>
            <w:r>
              <w:t>Regular at SC meetings</w:t>
            </w:r>
          </w:p>
        </w:tc>
      </w:tr>
      <w:tr w:rsidR="0001489B" w:rsidTr="008A6B2A">
        <w:tc>
          <w:tcPr>
            <w:tcW w:w="799" w:type="dxa"/>
            <w:vMerge/>
          </w:tcPr>
          <w:p w:rsidR="0001489B" w:rsidRDefault="0001489B" w:rsidP="008A6B2A">
            <w:pPr>
              <w:jc w:val="center"/>
            </w:pPr>
          </w:p>
        </w:tc>
        <w:tc>
          <w:tcPr>
            <w:tcW w:w="2425" w:type="dxa"/>
            <w:vMerge/>
          </w:tcPr>
          <w:p w:rsidR="0001489B" w:rsidRPr="008A6B2A" w:rsidRDefault="0001489B" w:rsidP="002A5188">
            <w:pPr>
              <w:rPr>
                <w:i/>
              </w:rPr>
            </w:pPr>
          </w:p>
        </w:tc>
        <w:tc>
          <w:tcPr>
            <w:tcW w:w="6487" w:type="dxa"/>
          </w:tcPr>
          <w:p w:rsidR="0001489B" w:rsidRDefault="0001489B" w:rsidP="002A5188">
            <w:r>
              <w:t xml:space="preserve">2.5. Prepare plan for monitoring of the pilot wind farm in 2009 and relocate of part the project budget to 2009 to monitor and </w:t>
            </w:r>
            <w:r w:rsidRPr="004B7A03">
              <w:t>v</w:t>
            </w:r>
            <w:r w:rsidRPr="008A6B2A">
              <w:rPr>
                <w:rStyle w:val="a7"/>
                <w:sz w:val="24"/>
              </w:rPr>
              <w:t>erification of commission of the wind farm</w:t>
            </w:r>
          </w:p>
        </w:tc>
        <w:tc>
          <w:tcPr>
            <w:tcW w:w="2277" w:type="dxa"/>
          </w:tcPr>
          <w:p w:rsidR="0001489B" w:rsidRDefault="0001489B" w:rsidP="008A6B2A">
            <w:pPr>
              <w:jc w:val="center"/>
            </w:pPr>
          </w:p>
        </w:tc>
        <w:tc>
          <w:tcPr>
            <w:tcW w:w="1800" w:type="dxa"/>
          </w:tcPr>
          <w:p w:rsidR="0001489B" w:rsidRDefault="0001489B" w:rsidP="008A6B2A">
            <w:pPr>
              <w:jc w:val="center"/>
            </w:pPr>
          </w:p>
        </w:tc>
      </w:tr>
      <w:tr w:rsidR="002A5188" w:rsidTr="008A6B2A">
        <w:tc>
          <w:tcPr>
            <w:tcW w:w="799" w:type="dxa"/>
          </w:tcPr>
          <w:p w:rsidR="002A5188" w:rsidRDefault="002A5188" w:rsidP="008A6B2A">
            <w:pPr>
              <w:jc w:val="center"/>
            </w:pPr>
            <w:r>
              <w:t>3.</w:t>
            </w:r>
          </w:p>
        </w:tc>
        <w:tc>
          <w:tcPr>
            <w:tcW w:w="2425" w:type="dxa"/>
          </w:tcPr>
          <w:p w:rsidR="002A5188" w:rsidRPr="008A6B2A" w:rsidRDefault="002A5188" w:rsidP="002A5188">
            <w:pPr>
              <w:rPr>
                <w:i/>
              </w:rPr>
            </w:pPr>
            <w:r>
              <w:t xml:space="preserve">The </w:t>
            </w:r>
            <w:r w:rsidRPr="008A6B2A">
              <w:rPr>
                <w:i/>
              </w:rPr>
              <w:t>Project Steering Committee</w:t>
            </w:r>
          </w:p>
        </w:tc>
        <w:tc>
          <w:tcPr>
            <w:tcW w:w="6487" w:type="dxa"/>
          </w:tcPr>
          <w:p w:rsidR="002A5188" w:rsidRDefault="00006C5D" w:rsidP="002A5188">
            <w:r>
              <w:t xml:space="preserve">3.1. PSC meeting to  </w:t>
            </w:r>
            <w:r w:rsidR="00356137">
              <w:t>adopt</w:t>
            </w:r>
            <w:r>
              <w:t xml:space="preserve"> the actions to be taken in 2008 in a line with the recommendations of the midterm evaluation</w:t>
            </w:r>
          </w:p>
        </w:tc>
        <w:tc>
          <w:tcPr>
            <w:tcW w:w="2277" w:type="dxa"/>
          </w:tcPr>
          <w:p w:rsidR="002A5188" w:rsidRDefault="00006C5D" w:rsidP="008A6B2A">
            <w:pPr>
              <w:jc w:val="center"/>
            </w:pPr>
            <w:r>
              <w:t>MEMR, UNDP, PIU</w:t>
            </w:r>
          </w:p>
        </w:tc>
        <w:tc>
          <w:tcPr>
            <w:tcW w:w="1800" w:type="dxa"/>
          </w:tcPr>
          <w:p w:rsidR="002A5188" w:rsidRDefault="00006C5D" w:rsidP="008A6B2A">
            <w:pPr>
              <w:jc w:val="center"/>
            </w:pPr>
            <w:r>
              <w:t>Dec 2007</w:t>
            </w:r>
          </w:p>
        </w:tc>
      </w:tr>
      <w:tr w:rsidR="0001489B" w:rsidTr="008A6B2A">
        <w:tc>
          <w:tcPr>
            <w:tcW w:w="799" w:type="dxa"/>
            <w:vMerge w:val="restart"/>
          </w:tcPr>
          <w:p w:rsidR="0001489B" w:rsidRDefault="0001489B" w:rsidP="008A6B2A">
            <w:pPr>
              <w:jc w:val="center"/>
            </w:pPr>
            <w:r>
              <w:t>4.</w:t>
            </w:r>
          </w:p>
        </w:tc>
        <w:tc>
          <w:tcPr>
            <w:tcW w:w="2425" w:type="dxa"/>
            <w:vMerge w:val="restart"/>
          </w:tcPr>
          <w:p w:rsidR="0001489B" w:rsidRPr="008A6B2A" w:rsidRDefault="0001489B" w:rsidP="002A5188">
            <w:pPr>
              <w:rPr>
                <w:i/>
              </w:rPr>
            </w:pPr>
            <w:r w:rsidRPr="008A6B2A">
              <w:rPr>
                <w:i/>
              </w:rPr>
              <w:t>Transfer and dissemination of the project information and equipment</w:t>
            </w:r>
          </w:p>
        </w:tc>
        <w:tc>
          <w:tcPr>
            <w:tcW w:w="6487" w:type="dxa"/>
          </w:tcPr>
          <w:p w:rsidR="0001489B" w:rsidRDefault="0001489B" w:rsidP="002A5188">
            <w:r>
              <w:t>4.1. Appointment of local  organization to transfer equipment and the project data</w:t>
            </w:r>
          </w:p>
        </w:tc>
        <w:tc>
          <w:tcPr>
            <w:tcW w:w="2277" w:type="dxa"/>
          </w:tcPr>
          <w:p w:rsidR="0001489B" w:rsidRDefault="0001489B" w:rsidP="008A6B2A">
            <w:pPr>
              <w:jc w:val="center"/>
            </w:pPr>
            <w:r>
              <w:t xml:space="preserve">MEMR </w:t>
            </w:r>
          </w:p>
        </w:tc>
        <w:tc>
          <w:tcPr>
            <w:tcW w:w="1800" w:type="dxa"/>
          </w:tcPr>
          <w:p w:rsidR="0001489B" w:rsidRDefault="0001489B" w:rsidP="008A6B2A">
            <w:pPr>
              <w:jc w:val="center"/>
            </w:pPr>
            <w:r>
              <w:t>Dec. 2007</w:t>
            </w:r>
          </w:p>
        </w:tc>
      </w:tr>
      <w:tr w:rsidR="0001489B" w:rsidTr="008A6B2A">
        <w:tc>
          <w:tcPr>
            <w:tcW w:w="799" w:type="dxa"/>
            <w:vMerge/>
          </w:tcPr>
          <w:p w:rsidR="0001489B" w:rsidRDefault="0001489B" w:rsidP="008A6B2A">
            <w:pPr>
              <w:jc w:val="center"/>
            </w:pPr>
          </w:p>
        </w:tc>
        <w:tc>
          <w:tcPr>
            <w:tcW w:w="2425" w:type="dxa"/>
            <w:vMerge/>
          </w:tcPr>
          <w:p w:rsidR="0001489B" w:rsidRPr="008A6B2A" w:rsidRDefault="0001489B" w:rsidP="002A5188">
            <w:pPr>
              <w:rPr>
                <w:i/>
              </w:rPr>
            </w:pPr>
          </w:p>
        </w:tc>
        <w:tc>
          <w:tcPr>
            <w:tcW w:w="6487" w:type="dxa"/>
          </w:tcPr>
          <w:p w:rsidR="0001489B" w:rsidRDefault="0001489B" w:rsidP="002A5188">
            <w:r>
              <w:t>4.2. Transfer  the measurement equipment and the project data to the appointed local organization and support the next round wind monitoring program</w:t>
            </w:r>
          </w:p>
        </w:tc>
        <w:tc>
          <w:tcPr>
            <w:tcW w:w="2277" w:type="dxa"/>
          </w:tcPr>
          <w:p w:rsidR="0001489B" w:rsidRDefault="0001489B" w:rsidP="008A6B2A">
            <w:pPr>
              <w:jc w:val="center"/>
            </w:pPr>
            <w:r>
              <w:t>PIU, UNDP, MEMR</w:t>
            </w:r>
          </w:p>
        </w:tc>
        <w:tc>
          <w:tcPr>
            <w:tcW w:w="1800" w:type="dxa"/>
          </w:tcPr>
          <w:p w:rsidR="0001489B" w:rsidRDefault="0001489B" w:rsidP="008A6B2A">
            <w:pPr>
              <w:jc w:val="center"/>
            </w:pPr>
            <w:r>
              <w:t>2008</w:t>
            </w:r>
          </w:p>
        </w:tc>
      </w:tr>
      <w:tr w:rsidR="0001489B" w:rsidTr="008A6B2A">
        <w:tc>
          <w:tcPr>
            <w:tcW w:w="799" w:type="dxa"/>
            <w:vMerge/>
          </w:tcPr>
          <w:p w:rsidR="0001489B" w:rsidRDefault="0001489B" w:rsidP="008A6B2A">
            <w:pPr>
              <w:jc w:val="center"/>
            </w:pPr>
          </w:p>
        </w:tc>
        <w:tc>
          <w:tcPr>
            <w:tcW w:w="2425" w:type="dxa"/>
            <w:vMerge/>
          </w:tcPr>
          <w:p w:rsidR="0001489B" w:rsidRPr="008A6B2A" w:rsidRDefault="0001489B" w:rsidP="002A5188">
            <w:pPr>
              <w:rPr>
                <w:i/>
              </w:rPr>
            </w:pPr>
          </w:p>
        </w:tc>
        <w:tc>
          <w:tcPr>
            <w:tcW w:w="6487" w:type="dxa"/>
          </w:tcPr>
          <w:p w:rsidR="0001489B" w:rsidRDefault="0001489B" w:rsidP="002A5188">
            <w:r w:rsidRPr="008A6B2A">
              <w:rPr>
                <w:rStyle w:val="a7"/>
                <w:sz w:val="24"/>
              </w:rPr>
              <w:t>4.3. Summarizing the project results and disseminating</w:t>
            </w:r>
            <w:r>
              <w:rPr>
                <w:rStyle w:val="a7"/>
              </w:rPr>
              <w:t xml:space="preserve"> </w:t>
            </w:r>
            <w:r>
              <w:t xml:space="preserve">of the project information through seminars, publications and other </w:t>
            </w:r>
            <w:r>
              <w:lastRenderedPageBreak/>
              <w:t>outreach activities</w:t>
            </w:r>
          </w:p>
        </w:tc>
        <w:tc>
          <w:tcPr>
            <w:tcW w:w="2277" w:type="dxa"/>
          </w:tcPr>
          <w:p w:rsidR="0001489B" w:rsidRDefault="0001489B" w:rsidP="008A6B2A">
            <w:pPr>
              <w:jc w:val="center"/>
            </w:pPr>
            <w:r>
              <w:lastRenderedPageBreak/>
              <w:t>PIU</w:t>
            </w:r>
          </w:p>
        </w:tc>
        <w:tc>
          <w:tcPr>
            <w:tcW w:w="1800" w:type="dxa"/>
          </w:tcPr>
          <w:p w:rsidR="0001489B" w:rsidRDefault="0001489B" w:rsidP="008A6B2A">
            <w:pPr>
              <w:jc w:val="center"/>
            </w:pPr>
            <w:r>
              <w:t>2008</w:t>
            </w:r>
          </w:p>
        </w:tc>
      </w:tr>
      <w:tr w:rsidR="0001489B" w:rsidTr="008A6B2A">
        <w:tc>
          <w:tcPr>
            <w:tcW w:w="799" w:type="dxa"/>
            <w:vMerge/>
          </w:tcPr>
          <w:p w:rsidR="0001489B" w:rsidRDefault="0001489B" w:rsidP="008A6B2A">
            <w:pPr>
              <w:jc w:val="center"/>
            </w:pPr>
          </w:p>
        </w:tc>
        <w:tc>
          <w:tcPr>
            <w:tcW w:w="2425" w:type="dxa"/>
            <w:vMerge/>
          </w:tcPr>
          <w:p w:rsidR="0001489B" w:rsidRPr="008A6B2A" w:rsidRDefault="0001489B" w:rsidP="002A5188">
            <w:pPr>
              <w:rPr>
                <w:i/>
              </w:rPr>
            </w:pPr>
          </w:p>
        </w:tc>
        <w:tc>
          <w:tcPr>
            <w:tcW w:w="6487" w:type="dxa"/>
          </w:tcPr>
          <w:p w:rsidR="0001489B" w:rsidRDefault="0001489B" w:rsidP="002A5188">
            <w:r>
              <w:t>4.4. Set up  a website  to present and disseminate the project information and wind data</w:t>
            </w:r>
          </w:p>
        </w:tc>
        <w:tc>
          <w:tcPr>
            <w:tcW w:w="2277" w:type="dxa"/>
          </w:tcPr>
          <w:p w:rsidR="0001489B" w:rsidRDefault="0001489B" w:rsidP="008A6B2A">
            <w:pPr>
              <w:jc w:val="center"/>
            </w:pPr>
            <w:r>
              <w:t>PIU</w:t>
            </w:r>
          </w:p>
        </w:tc>
        <w:tc>
          <w:tcPr>
            <w:tcW w:w="1800" w:type="dxa"/>
          </w:tcPr>
          <w:p w:rsidR="0001489B" w:rsidRDefault="0001489B" w:rsidP="008A6B2A">
            <w:pPr>
              <w:jc w:val="center"/>
            </w:pPr>
            <w:r>
              <w:t xml:space="preserve">1 </w:t>
            </w:r>
            <w:r w:rsidR="00125C4C">
              <w:t>q</w:t>
            </w:r>
            <w:r>
              <w:t>-r 2008</w:t>
            </w:r>
          </w:p>
        </w:tc>
      </w:tr>
      <w:bookmarkEnd w:id="0"/>
      <w:bookmarkEnd w:id="1"/>
    </w:tbl>
    <w:p w:rsidR="00682684" w:rsidRDefault="00682684" w:rsidP="0001489B">
      <w:pPr>
        <w:jc w:val="center"/>
      </w:pPr>
    </w:p>
    <w:sectPr w:rsidR="00682684" w:rsidSect="00C46FA6">
      <w:pgSz w:w="15840" w:h="12240" w:orient="landscape"/>
      <w:pgMar w:top="1800" w:right="1440" w:bottom="27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7F2" w:rsidRDefault="00EA37F2">
      <w:r>
        <w:separator/>
      </w:r>
    </w:p>
  </w:endnote>
  <w:endnote w:type="continuationSeparator" w:id="1">
    <w:p w:rsidR="00EA37F2" w:rsidRDefault="00EA3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7F2" w:rsidRDefault="00EA37F2">
      <w:r>
        <w:separator/>
      </w:r>
    </w:p>
  </w:footnote>
  <w:footnote w:type="continuationSeparator" w:id="1">
    <w:p w:rsidR="00EA37F2" w:rsidRDefault="00EA3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D18"/>
    <w:multiLevelType w:val="hybridMultilevel"/>
    <w:tmpl w:val="223A9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3A42B8"/>
    <w:multiLevelType w:val="hybridMultilevel"/>
    <w:tmpl w:val="B5A4F5A6"/>
    <w:lvl w:ilvl="0" w:tplc="08090007">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A172CD"/>
    <w:multiLevelType w:val="hybridMultilevel"/>
    <w:tmpl w:val="F3CEB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A61D1"/>
    <w:multiLevelType w:val="hybridMultilevel"/>
    <w:tmpl w:val="AD50790C"/>
    <w:lvl w:ilvl="0" w:tplc="D95ADB0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510739"/>
    <w:multiLevelType w:val="hybridMultilevel"/>
    <w:tmpl w:val="D8EEC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FB4D48"/>
    <w:multiLevelType w:val="hybridMultilevel"/>
    <w:tmpl w:val="B1601C26"/>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EE96805"/>
    <w:multiLevelType w:val="hybridMultilevel"/>
    <w:tmpl w:val="BD7A8B2C"/>
    <w:lvl w:ilvl="0" w:tplc="08090003">
      <w:start w:val="1"/>
      <w:numFmt w:val="bullet"/>
      <w:lvlText w:val="o"/>
      <w:lvlJc w:val="left"/>
      <w:pPr>
        <w:tabs>
          <w:tab w:val="num" w:pos="2160"/>
        </w:tabs>
        <w:ind w:left="2160" w:hanging="360"/>
      </w:pPr>
      <w:rPr>
        <w:rFonts w:ascii="Courier New" w:hAnsi="Courier New" w:cs="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nsid w:val="3BF14E51"/>
    <w:multiLevelType w:val="hybridMultilevel"/>
    <w:tmpl w:val="102CBC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3EE46D20"/>
    <w:multiLevelType w:val="hybridMultilevel"/>
    <w:tmpl w:val="214A9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8D22AE"/>
    <w:multiLevelType w:val="hybridMultilevel"/>
    <w:tmpl w:val="53BA74D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50B44A0D"/>
    <w:multiLevelType w:val="multilevel"/>
    <w:tmpl w:val="39F277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0"/>
  </w:num>
  <w:num w:numId="4">
    <w:abstractNumId w:val="7"/>
  </w:num>
  <w:num w:numId="5">
    <w:abstractNumId w:val="6"/>
  </w:num>
  <w:num w:numId="6">
    <w:abstractNumId w:val="0"/>
  </w:num>
  <w:num w:numId="7">
    <w:abstractNumId w:val="2"/>
  </w:num>
  <w:num w:numId="8">
    <w:abstractNumId w:val="4"/>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trackRevisions/>
  <w:defaultTabStop w:val="720"/>
  <w:characterSpacingControl w:val="doNotCompress"/>
  <w:footnotePr>
    <w:footnote w:id="0"/>
    <w:footnote w:id="1"/>
  </w:footnotePr>
  <w:endnotePr>
    <w:endnote w:id="0"/>
    <w:endnote w:id="1"/>
  </w:endnotePr>
  <w:compat/>
  <w:rsids>
    <w:rsidRoot w:val="00D272FD"/>
    <w:rsid w:val="00006C5D"/>
    <w:rsid w:val="0001489B"/>
    <w:rsid w:val="00041D53"/>
    <w:rsid w:val="000510F6"/>
    <w:rsid w:val="00057949"/>
    <w:rsid w:val="00072BC8"/>
    <w:rsid w:val="00085ABD"/>
    <w:rsid w:val="00094943"/>
    <w:rsid w:val="00094B2E"/>
    <w:rsid w:val="000A17E2"/>
    <w:rsid w:val="000A394A"/>
    <w:rsid w:val="000A790F"/>
    <w:rsid w:val="000A799C"/>
    <w:rsid w:val="000C2D6F"/>
    <w:rsid w:val="000D4953"/>
    <w:rsid w:val="000E2183"/>
    <w:rsid w:val="000F7F0A"/>
    <w:rsid w:val="00110BD5"/>
    <w:rsid w:val="00110EB1"/>
    <w:rsid w:val="00114F4A"/>
    <w:rsid w:val="00125C4C"/>
    <w:rsid w:val="00134184"/>
    <w:rsid w:val="00136619"/>
    <w:rsid w:val="001409F8"/>
    <w:rsid w:val="00152C3D"/>
    <w:rsid w:val="001660C0"/>
    <w:rsid w:val="00166A85"/>
    <w:rsid w:val="001737E6"/>
    <w:rsid w:val="00176B42"/>
    <w:rsid w:val="00183CFD"/>
    <w:rsid w:val="00185DB3"/>
    <w:rsid w:val="00185F81"/>
    <w:rsid w:val="00197DC7"/>
    <w:rsid w:val="001B0411"/>
    <w:rsid w:val="001B06A8"/>
    <w:rsid w:val="001C057F"/>
    <w:rsid w:val="001D523B"/>
    <w:rsid w:val="001E16B5"/>
    <w:rsid w:val="001F73C3"/>
    <w:rsid w:val="00201314"/>
    <w:rsid w:val="002047B9"/>
    <w:rsid w:val="00204D99"/>
    <w:rsid w:val="002108EA"/>
    <w:rsid w:val="0021096E"/>
    <w:rsid w:val="002126E6"/>
    <w:rsid w:val="002134A6"/>
    <w:rsid w:val="002158E9"/>
    <w:rsid w:val="00222D2A"/>
    <w:rsid w:val="00227CE9"/>
    <w:rsid w:val="00240CDC"/>
    <w:rsid w:val="00241AD1"/>
    <w:rsid w:val="00243F8B"/>
    <w:rsid w:val="002452BC"/>
    <w:rsid w:val="00262A9D"/>
    <w:rsid w:val="00270B3C"/>
    <w:rsid w:val="00281B30"/>
    <w:rsid w:val="00294711"/>
    <w:rsid w:val="002A5188"/>
    <w:rsid w:val="002A5939"/>
    <w:rsid w:val="002A66BD"/>
    <w:rsid w:val="002A6D22"/>
    <w:rsid w:val="002B1785"/>
    <w:rsid w:val="002B5477"/>
    <w:rsid w:val="002D06EC"/>
    <w:rsid w:val="002D1DBE"/>
    <w:rsid w:val="002D2028"/>
    <w:rsid w:val="002D5657"/>
    <w:rsid w:val="002D6BA9"/>
    <w:rsid w:val="002D7BCD"/>
    <w:rsid w:val="002E1455"/>
    <w:rsid w:val="002E63D6"/>
    <w:rsid w:val="002E6AA9"/>
    <w:rsid w:val="002F4D4A"/>
    <w:rsid w:val="00311E68"/>
    <w:rsid w:val="00315647"/>
    <w:rsid w:val="00315B80"/>
    <w:rsid w:val="00324367"/>
    <w:rsid w:val="00332FEF"/>
    <w:rsid w:val="00333959"/>
    <w:rsid w:val="0034513C"/>
    <w:rsid w:val="00351948"/>
    <w:rsid w:val="00354375"/>
    <w:rsid w:val="00356137"/>
    <w:rsid w:val="003578FC"/>
    <w:rsid w:val="00361B29"/>
    <w:rsid w:val="003759CD"/>
    <w:rsid w:val="003903B6"/>
    <w:rsid w:val="003A5FF1"/>
    <w:rsid w:val="003B0127"/>
    <w:rsid w:val="003B4586"/>
    <w:rsid w:val="003B5AD8"/>
    <w:rsid w:val="003C2D8B"/>
    <w:rsid w:val="003C427D"/>
    <w:rsid w:val="003D55F4"/>
    <w:rsid w:val="003E1F0B"/>
    <w:rsid w:val="003E2D42"/>
    <w:rsid w:val="003F2BD0"/>
    <w:rsid w:val="00403ABD"/>
    <w:rsid w:val="004042F5"/>
    <w:rsid w:val="00405140"/>
    <w:rsid w:val="00411AED"/>
    <w:rsid w:val="004140F8"/>
    <w:rsid w:val="004220AF"/>
    <w:rsid w:val="004351B8"/>
    <w:rsid w:val="0044219B"/>
    <w:rsid w:val="00475735"/>
    <w:rsid w:val="00493A01"/>
    <w:rsid w:val="0049454D"/>
    <w:rsid w:val="00494B05"/>
    <w:rsid w:val="00496E11"/>
    <w:rsid w:val="004977DE"/>
    <w:rsid w:val="004A238A"/>
    <w:rsid w:val="004B1C3F"/>
    <w:rsid w:val="004B542A"/>
    <w:rsid w:val="004B7222"/>
    <w:rsid w:val="004B7A03"/>
    <w:rsid w:val="004C1DEF"/>
    <w:rsid w:val="004C22A3"/>
    <w:rsid w:val="004D1490"/>
    <w:rsid w:val="004E343F"/>
    <w:rsid w:val="004F7176"/>
    <w:rsid w:val="00500521"/>
    <w:rsid w:val="00517D46"/>
    <w:rsid w:val="00520FD2"/>
    <w:rsid w:val="005335F1"/>
    <w:rsid w:val="00551999"/>
    <w:rsid w:val="00554C2F"/>
    <w:rsid w:val="005561C8"/>
    <w:rsid w:val="00556CEE"/>
    <w:rsid w:val="00557471"/>
    <w:rsid w:val="00561E11"/>
    <w:rsid w:val="00566C37"/>
    <w:rsid w:val="00584718"/>
    <w:rsid w:val="005A1AB4"/>
    <w:rsid w:val="005A7B14"/>
    <w:rsid w:val="005B0EE6"/>
    <w:rsid w:val="005C0098"/>
    <w:rsid w:val="005D651D"/>
    <w:rsid w:val="005E7623"/>
    <w:rsid w:val="005F0605"/>
    <w:rsid w:val="005F3383"/>
    <w:rsid w:val="005F7523"/>
    <w:rsid w:val="006059DB"/>
    <w:rsid w:val="00607372"/>
    <w:rsid w:val="00626C80"/>
    <w:rsid w:val="00645D50"/>
    <w:rsid w:val="00645E35"/>
    <w:rsid w:val="0065506E"/>
    <w:rsid w:val="00666B17"/>
    <w:rsid w:val="006674B7"/>
    <w:rsid w:val="00676ED3"/>
    <w:rsid w:val="00682684"/>
    <w:rsid w:val="00682F7C"/>
    <w:rsid w:val="006833C7"/>
    <w:rsid w:val="00684E80"/>
    <w:rsid w:val="00685ED5"/>
    <w:rsid w:val="00691308"/>
    <w:rsid w:val="00691B90"/>
    <w:rsid w:val="006B2E1C"/>
    <w:rsid w:val="006B3F59"/>
    <w:rsid w:val="006B6EF6"/>
    <w:rsid w:val="006C3F53"/>
    <w:rsid w:val="006D2A57"/>
    <w:rsid w:val="006E147A"/>
    <w:rsid w:val="006E1A43"/>
    <w:rsid w:val="006E7839"/>
    <w:rsid w:val="006F1ADC"/>
    <w:rsid w:val="006F36C9"/>
    <w:rsid w:val="00712300"/>
    <w:rsid w:val="00714C77"/>
    <w:rsid w:val="00724B15"/>
    <w:rsid w:val="00736303"/>
    <w:rsid w:val="00742FAB"/>
    <w:rsid w:val="00744C87"/>
    <w:rsid w:val="007454AC"/>
    <w:rsid w:val="00760A2F"/>
    <w:rsid w:val="00762223"/>
    <w:rsid w:val="00767F52"/>
    <w:rsid w:val="00777ACA"/>
    <w:rsid w:val="00780124"/>
    <w:rsid w:val="0078653E"/>
    <w:rsid w:val="00790000"/>
    <w:rsid w:val="00792A93"/>
    <w:rsid w:val="007A1943"/>
    <w:rsid w:val="007A1BF2"/>
    <w:rsid w:val="007A42EA"/>
    <w:rsid w:val="007A7777"/>
    <w:rsid w:val="007B691E"/>
    <w:rsid w:val="007D1EF9"/>
    <w:rsid w:val="007E3287"/>
    <w:rsid w:val="007E5F9F"/>
    <w:rsid w:val="007F638D"/>
    <w:rsid w:val="0081506B"/>
    <w:rsid w:val="00824F33"/>
    <w:rsid w:val="0082692A"/>
    <w:rsid w:val="008437A8"/>
    <w:rsid w:val="00843861"/>
    <w:rsid w:val="008446EC"/>
    <w:rsid w:val="008549AB"/>
    <w:rsid w:val="008578AB"/>
    <w:rsid w:val="008604F3"/>
    <w:rsid w:val="00870363"/>
    <w:rsid w:val="00874E6A"/>
    <w:rsid w:val="008769D1"/>
    <w:rsid w:val="00881E96"/>
    <w:rsid w:val="0088421D"/>
    <w:rsid w:val="00885583"/>
    <w:rsid w:val="00887DB5"/>
    <w:rsid w:val="00892FBD"/>
    <w:rsid w:val="008946FE"/>
    <w:rsid w:val="00897203"/>
    <w:rsid w:val="008A20C1"/>
    <w:rsid w:val="008A6B2A"/>
    <w:rsid w:val="008B1E8A"/>
    <w:rsid w:val="008B7BD4"/>
    <w:rsid w:val="008B7C4E"/>
    <w:rsid w:val="008E65D2"/>
    <w:rsid w:val="008F2E8F"/>
    <w:rsid w:val="00900851"/>
    <w:rsid w:val="00903105"/>
    <w:rsid w:val="00905EC9"/>
    <w:rsid w:val="00915532"/>
    <w:rsid w:val="00927B56"/>
    <w:rsid w:val="00946C00"/>
    <w:rsid w:val="0095676C"/>
    <w:rsid w:val="00963769"/>
    <w:rsid w:val="00964848"/>
    <w:rsid w:val="0096637D"/>
    <w:rsid w:val="00967853"/>
    <w:rsid w:val="00973268"/>
    <w:rsid w:val="009743AD"/>
    <w:rsid w:val="00976E90"/>
    <w:rsid w:val="00984F4A"/>
    <w:rsid w:val="00985C85"/>
    <w:rsid w:val="0098793E"/>
    <w:rsid w:val="00994EB6"/>
    <w:rsid w:val="009A334C"/>
    <w:rsid w:val="009B1E1E"/>
    <w:rsid w:val="009C09B6"/>
    <w:rsid w:val="009E47D5"/>
    <w:rsid w:val="009F1A79"/>
    <w:rsid w:val="009F27D3"/>
    <w:rsid w:val="009F5E7F"/>
    <w:rsid w:val="00A0403B"/>
    <w:rsid w:val="00A043D0"/>
    <w:rsid w:val="00A16889"/>
    <w:rsid w:val="00A21694"/>
    <w:rsid w:val="00A23B97"/>
    <w:rsid w:val="00A23C46"/>
    <w:rsid w:val="00A23E6B"/>
    <w:rsid w:val="00A252B4"/>
    <w:rsid w:val="00A259FA"/>
    <w:rsid w:val="00A30F4F"/>
    <w:rsid w:val="00A35B67"/>
    <w:rsid w:val="00A425D9"/>
    <w:rsid w:val="00A43CDB"/>
    <w:rsid w:val="00A4402A"/>
    <w:rsid w:val="00A45939"/>
    <w:rsid w:val="00A570D4"/>
    <w:rsid w:val="00A632B5"/>
    <w:rsid w:val="00A664FA"/>
    <w:rsid w:val="00A84DBE"/>
    <w:rsid w:val="00A97136"/>
    <w:rsid w:val="00AB080C"/>
    <w:rsid w:val="00AB5198"/>
    <w:rsid w:val="00AC511D"/>
    <w:rsid w:val="00AD6000"/>
    <w:rsid w:val="00AD6290"/>
    <w:rsid w:val="00AE0B19"/>
    <w:rsid w:val="00AF5F19"/>
    <w:rsid w:val="00B02E3B"/>
    <w:rsid w:val="00B03C0D"/>
    <w:rsid w:val="00B04F22"/>
    <w:rsid w:val="00B1209E"/>
    <w:rsid w:val="00B21338"/>
    <w:rsid w:val="00B27C2D"/>
    <w:rsid w:val="00B3144C"/>
    <w:rsid w:val="00B33341"/>
    <w:rsid w:val="00B34BA2"/>
    <w:rsid w:val="00B40E8A"/>
    <w:rsid w:val="00B43598"/>
    <w:rsid w:val="00B47A03"/>
    <w:rsid w:val="00B52311"/>
    <w:rsid w:val="00B53371"/>
    <w:rsid w:val="00B55B88"/>
    <w:rsid w:val="00B8354E"/>
    <w:rsid w:val="00B97D4B"/>
    <w:rsid w:val="00BB75D3"/>
    <w:rsid w:val="00BD2621"/>
    <w:rsid w:val="00BD5E19"/>
    <w:rsid w:val="00BE7CDB"/>
    <w:rsid w:val="00C0063B"/>
    <w:rsid w:val="00C23243"/>
    <w:rsid w:val="00C248BA"/>
    <w:rsid w:val="00C25A2B"/>
    <w:rsid w:val="00C37E1D"/>
    <w:rsid w:val="00C43D49"/>
    <w:rsid w:val="00C46FA6"/>
    <w:rsid w:val="00C54977"/>
    <w:rsid w:val="00C55525"/>
    <w:rsid w:val="00C64EA7"/>
    <w:rsid w:val="00C65E5F"/>
    <w:rsid w:val="00C76F5F"/>
    <w:rsid w:val="00C8199C"/>
    <w:rsid w:val="00C95248"/>
    <w:rsid w:val="00C96913"/>
    <w:rsid w:val="00CA180C"/>
    <w:rsid w:val="00CA1CD9"/>
    <w:rsid w:val="00CA3F53"/>
    <w:rsid w:val="00CB19BE"/>
    <w:rsid w:val="00CB5E87"/>
    <w:rsid w:val="00CC3AC0"/>
    <w:rsid w:val="00CC40ED"/>
    <w:rsid w:val="00CD257C"/>
    <w:rsid w:val="00CD7110"/>
    <w:rsid w:val="00CE7638"/>
    <w:rsid w:val="00CF3A5A"/>
    <w:rsid w:val="00D012AD"/>
    <w:rsid w:val="00D01955"/>
    <w:rsid w:val="00D0314C"/>
    <w:rsid w:val="00D10A82"/>
    <w:rsid w:val="00D17AFB"/>
    <w:rsid w:val="00D254DB"/>
    <w:rsid w:val="00D272FD"/>
    <w:rsid w:val="00D36D56"/>
    <w:rsid w:val="00D40A05"/>
    <w:rsid w:val="00D42ECF"/>
    <w:rsid w:val="00D52360"/>
    <w:rsid w:val="00D56C5C"/>
    <w:rsid w:val="00D613B2"/>
    <w:rsid w:val="00D66C07"/>
    <w:rsid w:val="00D71948"/>
    <w:rsid w:val="00D90160"/>
    <w:rsid w:val="00D92916"/>
    <w:rsid w:val="00DA098C"/>
    <w:rsid w:val="00DC1195"/>
    <w:rsid w:val="00DE008A"/>
    <w:rsid w:val="00DE20A9"/>
    <w:rsid w:val="00DF233F"/>
    <w:rsid w:val="00DF2DD5"/>
    <w:rsid w:val="00DF5AAD"/>
    <w:rsid w:val="00E01320"/>
    <w:rsid w:val="00E12A68"/>
    <w:rsid w:val="00E21FD9"/>
    <w:rsid w:val="00E23079"/>
    <w:rsid w:val="00E241DB"/>
    <w:rsid w:val="00E40035"/>
    <w:rsid w:val="00E42A99"/>
    <w:rsid w:val="00E44CBF"/>
    <w:rsid w:val="00E5272F"/>
    <w:rsid w:val="00E53602"/>
    <w:rsid w:val="00E62A66"/>
    <w:rsid w:val="00E65C4B"/>
    <w:rsid w:val="00E706F1"/>
    <w:rsid w:val="00E723C2"/>
    <w:rsid w:val="00E73A0A"/>
    <w:rsid w:val="00E81396"/>
    <w:rsid w:val="00E82756"/>
    <w:rsid w:val="00E96CB6"/>
    <w:rsid w:val="00EA37F2"/>
    <w:rsid w:val="00EA47BC"/>
    <w:rsid w:val="00EA5309"/>
    <w:rsid w:val="00EB4F70"/>
    <w:rsid w:val="00EB67F9"/>
    <w:rsid w:val="00EC26DB"/>
    <w:rsid w:val="00EE07F8"/>
    <w:rsid w:val="00EE0C35"/>
    <w:rsid w:val="00EE2B5E"/>
    <w:rsid w:val="00EF185B"/>
    <w:rsid w:val="00F00287"/>
    <w:rsid w:val="00F1348A"/>
    <w:rsid w:val="00F13577"/>
    <w:rsid w:val="00F15227"/>
    <w:rsid w:val="00F1748B"/>
    <w:rsid w:val="00F35A94"/>
    <w:rsid w:val="00F430F8"/>
    <w:rsid w:val="00F43154"/>
    <w:rsid w:val="00F43A02"/>
    <w:rsid w:val="00F73FB0"/>
    <w:rsid w:val="00F772DB"/>
    <w:rsid w:val="00F8015C"/>
    <w:rsid w:val="00F850F1"/>
    <w:rsid w:val="00F85A2D"/>
    <w:rsid w:val="00F906DA"/>
    <w:rsid w:val="00F92432"/>
    <w:rsid w:val="00F94CF7"/>
    <w:rsid w:val="00F95132"/>
    <w:rsid w:val="00F97AAC"/>
    <w:rsid w:val="00FB1383"/>
    <w:rsid w:val="00FB2219"/>
    <w:rsid w:val="00FB439E"/>
    <w:rsid w:val="00FB476E"/>
    <w:rsid w:val="00FC017A"/>
    <w:rsid w:val="00FC7ED9"/>
    <w:rsid w:val="00FD0979"/>
    <w:rsid w:val="00FD2EA1"/>
    <w:rsid w:val="00FD33E7"/>
    <w:rsid w:val="00FE6CEA"/>
    <w:rsid w:val="00FF1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B4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1E16B5"/>
    <w:pPr>
      <w:ind w:left="360"/>
      <w:jc w:val="both"/>
    </w:pPr>
    <w:rPr>
      <w:szCs w:val="20"/>
    </w:rPr>
  </w:style>
  <w:style w:type="character" w:styleId="a5">
    <w:name w:val="footnote reference"/>
    <w:aliases w:val="16 Point,Superscript 6 Point"/>
    <w:basedOn w:val="a0"/>
    <w:semiHidden/>
    <w:rsid w:val="00A632B5"/>
    <w:rPr>
      <w:vertAlign w:val="superscript"/>
    </w:rPr>
  </w:style>
  <w:style w:type="paragraph" w:styleId="a6">
    <w:name w:val="footnote text"/>
    <w:basedOn w:val="a"/>
    <w:semiHidden/>
    <w:rsid w:val="00A632B5"/>
    <w:pPr>
      <w:spacing w:after="40" w:line="22" w:lineRule="atLeast"/>
      <w:jc w:val="both"/>
    </w:pPr>
    <w:rPr>
      <w:rFonts w:ascii="Arial" w:hAnsi="Arial"/>
      <w:sz w:val="16"/>
      <w:szCs w:val="16"/>
      <w:lang w:val="en-GB" w:eastAsia="en-GB"/>
    </w:rPr>
  </w:style>
  <w:style w:type="character" w:customStyle="1" w:styleId="a7">
    <w:name w:val="_a"/>
    <w:basedOn w:val="a0"/>
    <w:rsid w:val="00E5272F"/>
    <w:rPr>
      <w:sz w:val="20"/>
    </w:rPr>
  </w:style>
  <w:style w:type="paragraph" w:styleId="a8">
    <w:name w:val="Balloon Text"/>
    <w:basedOn w:val="a"/>
    <w:semiHidden/>
    <w:rsid w:val="003903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Project management responses </vt:lpstr>
    </vt:vector>
  </TitlesOfParts>
  <Company>UNDP</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responses</dc:title>
  <dc:subject/>
  <dc:creator>Doroshin</dc:creator>
  <cp:keywords/>
  <cp:lastModifiedBy>TEMISHKE</cp:lastModifiedBy>
  <cp:revision>2</cp:revision>
  <dcterms:created xsi:type="dcterms:W3CDTF">2010-08-07T08:06:00Z</dcterms:created>
  <dcterms:modified xsi:type="dcterms:W3CDTF">2010-08-07T08:06:00Z</dcterms:modified>
</cp:coreProperties>
</file>