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98" w:rsidRPr="00F715FD" w:rsidRDefault="0077382D" w:rsidP="006649E8">
      <w:r w:rsidRPr="00F715FD">
        <w:rPr>
          <w:noProof/>
          <w:lang w:val="en-US"/>
        </w:rPr>
        <w:drawing>
          <wp:anchor distT="0" distB="0" distL="114300" distR="114300" simplePos="0" relativeHeight="251658240" behindDoc="0" locked="0" layoutInCell="1" allowOverlap="1">
            <wp:simplePos x="0" y="0"/>
            <wp:positionH relativeFrom="column">
              <wp:posOffset>5516880</wp:posOffset>
            </wp:positionH>
            <wp:positionV relativeFrom="paragraph">
              <wp:posOffset>86167</wp:posOffset>
            </wp:positionV>
            <wp:extent cx="784032" cy="842838"/>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7826" r="25000"/>
                    <a:stretch>
                      <a:fillRect/>
                    </a:stretch>
                  </pic:blipFill>
                  <pic:spPr bwMode="auto">
                    <a:xfrm>
                      <a:off x="0" y="0"/>
                      <a:ext cx="784032" cy="842838"/>
                    </a:xfrm>
                    <a:prstGeom prst="rect">
                      <a:avLst/>
                    </a:prstGeom>
                    <a:noFill/>
                    <a:ln>
                      <a:noFill/>
                    </a:ln>
                  </pic:spPr>
                </pic:pic>
              </a:graphicData>
            </a:graphic>
          </wp:anchor>
        </w:drawing>
      </w:r>
      <w:r w:rsidRPr="00F715FD">
        <w:rPr>
          <w:noProof/>
          <w:lang w:val="en-US"/>
        </w:rPr>
        <w:drawing>
          <wp:anchor distT="0" distB="0" distL="114300" distR="114300" simplePos="0" relativeHeight="251660288" behindDoc="1" locked="0" layoutInCell="1" allowOverlap="1">
            <wp:simplePos x="0" y="0"/>
            <wp:positionH relativeFrom="column">
              <wp:posOffset>-720091</wp:posOffset>
            </wp:positionH>
            <wp:positionV relativeFrom="paragraph">
              <wp:posOffset>14605</wp:posOffset>
            </wp:positionV>
            <wp:extent cx="7572375" cy="914400"/>
            <wp:effectExtent l="19050" t="0" r="952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72375" cy="914400"/>
                    </a:xfrm>
                    <a:prstGeom prst="rect">
                      <a:avLst/>
                    </a:prstGeom>
                    <a:noFill/>
                    <a:ln w="9525">
                      <a:noFill/>
                      <a:miter lim="800000"/>
                      <a:headEnd/>
                      <a:tailEnd/>
                    </a:ln>
                  </pic:spPr>
                </pic:pic>
              </a:graphicData>
            </a:graphic>
          </wp:anchor>
        </w:drawing>
      </w:r>
    </w:p>
    <w:p w:rsidR="00660898" w:rsidRPr="00F715FD" w:rsidRDefault="00A059DC" w:rsidP="006649E8">
      <w:r w:rsidRPr="00A059DC">
        <w:pict>
          <v:shapetype id="_x0000_t202" coordsize="21600,21600" o:spt="202" path="m,l,21600r21600,l21600,xe">
            <v:stroke joinstyle="miter"/>
            <v:path gradientshapeok="t" o:connecttype="rect"/>
          </v:shapetype>
          <v:shape id="_x0000_s1027" type="#_x0000_t202" style="position:absolute;left:0;text-align:left;margin-left:271.55pt;margin-top:13pt;width:192.75pt;height:22.15pt;z-index:251662336;mso-width-percent:400;mso-height-percent:200;mso-width-percent:400;mso-height-percent:200;mso-width-relative:margin;mso-height-relative:margin" filled="f" stroked="f">
            <v:textbox style="mso-next-textbox:#_x0000_s1027;mso-fit-shape-to-text:t">
              <w:txbxContent>
                <w:p w:rsidR="00763DEA" w:rsidRPr="00612D23" w:rsidRDefault="00763DEA" w:rsidP="006649E8">
                  <w:pPr>
                    <w:rPr>
                      <w:color w:val="FFFFFF" w:themeColor="background1"/>
                      <w:sz w:val="26"/>
                      <w:szCs w:val="26"/>
                    </w:rPr>
                  </w:pPr>
                  <w:r w:rsidRPr="00612D23">
                    <w:rPr>
                      <w:color w:val="FFFFFF" w:themeColor="background1"/>
                      <w:sz w:val="26"/>
                      <w:szCs w:val="26"/>
                    </w:rPr>
                    <w:t>Kingdom of  Saudi Arabia</w:t>
                  </w:r>
                </w:p>
              </w:txbxContent>
            </v:textbox>
          </v:shape>
        </w:pict>
      </w:r>
    </w:p>
    <w:p w:rsidR="00660898" w:rsidRPr="00F715FD" w:rsidRDefault="00660898" w:rsidP="006649E8"/>
    <w:p w:rsidR="00660898" w:rsidRPr="00F715FD" w:rsidRDefault="00660898" w:rsidP="006649E8"/>
    <w:p w:rsidR="00660898" w:rsidRPr="00F715FD" w:rsidRDefault="00660898" w:rsidP="006649E8"/>
    <w:p w:rsidR="00660898" w:rsidRPr="00F715FD" w:rsidRDefault="00660898" w:rsidP="006649E8"/>
    <w:p w:rsidR="00264C37" w:rsidRPr="00F715FD" w:rsidRDefault="00264C37" w:rsidP="006649E8"/>
    <w:p w:rsidR="001858FE" w:rsidRDefault="00626B96" w:rsidP="001858FE">
      <w:pPr>
        <w:pStyle w:val="Heading1"/>
      </w:pPr>
      <w:bookmarkStart w:id="0" w:name="_Toc276483128"/>
      <w:r w:rsidRPr="00F715FD">
        <w:t>RECOMMENDATIONS</w:t>
      </w:r>
      <w:r w:rsidR="00B15D5A">
        <w:t xml:space="preserve"> &amp; LESSONS LEARNED</w:t>
      </w:r>
      <w:bookmarkEnd w:id="0"/>
    </w:p>
    <w:p w:rsidR="001225E2" w:rsidRDefault="006360AA" w:rsidP="00CF4E22">
      <w:pPr>
        <w:pStyle w:val="ListParagraph"/>
        <w:numPr>
          <w:ilvl w:val="0"/>
          <w:numId w:val="6"/>
        </w:numPr>
        <w:spacing w:after="120"/>
        <w:ind w:left="0" w:firstLine="0"/>
      </w:pPr>
      <w:r w:rsidRPr="007A696E">
        <w:rPr>
          <w:u w:val="single"/>
        </w:rPr>
        <w:t>Promote a more p</w:t>
      </w:r>
      <w:r w:rsidR="005B2554" w:rsidRPr="007A696E">
        <w:rPr>
          <w:u w:val="single"/>
        </w:rPr>
        <w:t>roactive approach</w:t>
      </w:r>
      <w:r w:rsidR="005B2554" w:rsidRPr="005B2554">
        <w:t>. The overarching recommendation</w:t>
      </w:r>
      <w:r w:rsidR="005B2554">
        <w:t xml:space="preserve"> is that in order </w:t>
      </w:r>
      <w:r>
        <w:t xml:space="preserve">to </w:t>
      </w:r>
      <w:r w:rsidR="005B2554">
        <w:t xml:space="preserve">maintain and enhance the credibility of UNDP’s role in the energy and environment field in Saudi Arabia, a more proactive approach </w:t>
      </w:r>
      <w:r w:rsidR="007B7F20">
        <w:t>will be</w:t>
      </w:r>
      <w:r w:rsidR="005B2554">
        <w:t xml:space="preserve"> required in the future. </w:t>
      </w:r>
      <w:r w:rsidR="003B5060">
        <w:t xml:space="preserve">A coordinated effort engaging UNDP headquarters and the UNDP </w:t>
      </w:r>
      <w:r w:rsidR="007A696E">
        <w:t xml:space="preserve">regional </w:t>
      </w:r>
      <w:r w:rsidR="00F2180B">
        <w:t>bureau</w:t>
      </w:r>
      <w:r w:rsidR="003B5060">
        <w:t xml:space="preserve"> for the Arab states should be made to </w:t>
      </w:r>
      <w:r w:rsidR="001225E2">
        <w:t>strengthen the mobilisation of</w:t>
      </w:r>
      <w:r w:rsidR="003B5060">
        <w:t xml:space="preserve"> </w:t>
      </w:r>
      <w:r w:rsidR="001225E2">
        <w:t xml:space="preserve">available </w:t>
      </w:r>
      <w:r w:rsidR="007A696E">
        <w:t xml:space="preserve">technical resources, expert systems and knowledge networks. These are perceived as key </w:t>
      </w:r>
      <w:r w:rsidR="003B5060">
        <w:t xml:space="preserve">assets </w:t>
      </w:r>
      <w:r w:rsidR="007A696E">
        <w:t xml:space="preserve">which underlie the competitive advantage of UNDP over private sector services and should be deployed more effectively </w:t>
      </w:r>
      <w:r w:rsidR="001225E2">
        <w:t>in Saudi Arabia if</w:t>
      </w:r>
      <w:r w:rsidR="007A696E">
        <w:t xml:space="preserve"> UNDP</w:t>
      </w:r>
      <w:r w:rsidR="001225E2">
        <w:t xml:space="preserve"> is</w:t>
      </w:r>
      <w:r w:rsidR="007A696E">
        <w:t xml:space="preserve"> to continue playing a significant advisory and policy support role</w:t>
      </w:r>
      <w:r w:rsidR="001225E2">
        <w:t xml:space="preserve"> in the energy and environment sector. </w:t>
      </w:r>
    </w:p>
    <w:p w:rsidR="001225E2" w:rsidRPr="001225E2" w:rsidRDefault="001225E2" w:rsidP="001225E2">
      <w:pPr>
        <w:pStyle w:val="ListParagraph"/>
        <w:spacing w:after="120"/>
        <w:ind w:left="0"/>
      </w:pPr>
    </w:p>
    <w:p w:rsidR="00BC5347" w:rsidRDefault="006360AA" w:rsidP="00CF4E22">
      <w:pPr>
        <w:pStyle w:val="ListParagraph"/>
        <w:numPr>
          <w:ilvl w:val="0"/>
          <w:numId w:val="6"/>
        </w:numPr>
        <w:spacing w:after="120"/>
        <w:ind w:left="0" w:firstLine="0"/>
      </w:pPr>
      <w:r w:rsidRPr="000454A3">
        <w:rPr>
          <w:u w:val="single"/>
        </w:rPr>
        <w:t xml:space="preserve">Increase </w:t>
      </w:r>
      <w:r w:rsidR="00BE5A5F" w:rsidRPr="000454A3">
        <w:rPr>
          <w:u w:val="single"/>
        </w:rPr>
        <w:t>UNDP investment</w:t>
      </w:r>
      <w:r w:rsidRPr="000454A3">
        <w:rPr>
          <w:u w:val="single"/>
        </w:rPr>
        <w:t xml:space="preserve"> in Saudi Arabia</w:t>
      </w:r>
      <w:r w:rsidR="00BE5A5F">
        <w:t xml:space="preserve">. </w:t>
      </w:r>
      <w:r w:rsidR="005D4584">
        <w:t xml:space="preserve">In order to </w:t>
      </w:r>
      <w:r w:rsidR="00CD1733">
        <w:t xml:space="preserve">effectively </w:t>
      </w:r>
      <w:r w:rsidR="005D4584">
        <w:t xml:space="preserve">promote UNDP’s role in </w:t>
      </w:r>
      <w:r w:rsidR="00E76BE9">
        <w:t>Saudi Arabia</w:t>
      </w:r>
      <w:r w:rsidR="005D4584">
        <w:t xml:space="preserve">, there is a need to </w:t>
      </w:r>
      <w:r w:rsidR="00A23408">
        <w:t xml:space="preserve">invest in the development of new initiatives </w:t>
      </w:r>
      <w:r w:rsidR="00E76BE9">
        <w:t>in the energy and environment sector</w:t>
      </w:r>
      <w:r w:rsidR="004D000E">
        <w:t>,</w:t>
      </w:r>
      <w:r w:rsidR="00E76BE9">
        <w:t xml:space="preserve"> without relying on cost-sharing mechanisms as the </w:t>
      </w:r>
      <w:r w:rsidR="00CD1733">
        <w:t xml:space="preserve">exclusive source of funding and </w:t>
      </w:r>
      <w:r w:rsidR="00E76BE9">
        <w:t xml:space="preserve">mode of operation. </w:t>
      </w:r>
      <w:r w:rsidR="00A23408">
        <w:t xml:space="preserve">Seed </w:t>
      </w:r>
      <w:r w:rsidR="005C75C8">
        <w:t>funding</w:t>
      </w:r>
      <w:r w:rsidR="00A23408">
        <w:t xml:space="preserve"> would be critical in generating interest and furthering dialogue </w:t>
      </w:r>
      <w:r w:rsidR="005729DD">
        <w:t>while</w:t>
      </w:r>
      <w:r w:rsidR="00A23408">
        <w:t xml:space="preserve"> promoting upstream advocacy activities in innovative </w:t>
      </w:r>
      <w:r w:rsidR="00B114D0">
        <w:t xml:space="preserve">areas. </w:t>
      </w:r>
      <w:r w:rsidR="00A23408">
        <w:t xml:space="preserve">These important, low-cost activities </w:t>
      </w:r>
      <w:r w:rsidR="005729DD">
        <w:t>would be</w:t>
      </w:r>
      <w:r w:rsidR="00A23408">
        <w:t xml:space="preserve"> used to respond to emerging </w:t>
      </w:r>
      <w:r w:rsidR="005729DD">
        <w:t>issues in the energy and environment sector</w:t>
      </w:r>
      <w:r w:rsidR="007B7F20">
        <w:t xml:space="preserve"> and </w:t>
      </w:r>
      <w:r w:rsidR="005729DD">
        <w:t xml:space="preserve">UNDP would be perceived as making a </w:t>
      </w:r>
      <w:r w:rsidR="00B114D0">
        <w:t xml:space="preserve">more </w:t>
      </w:r>
      <w:r w:rsidR="005729DD">
        <w:t>substantive contribution</w:t>
      </w:r>
      <w:r w:rsidR="00B114D0" w:rsidRPr="00B114D0">
        <w:t xml:space="preserve"> </w:t>
      </w:r>
      <w:r w:rsidR="00B114D0">
        <w:t>in furthering the national energy and environment agenda</w:t>
      </w:r>
      <w:r w:rsidR="005729DD">
        <w:t>.</w:t>
      </w:r>
      <w:r w:rsidR="004D000E" w:rsidRPr="004D000E">
        <w:t xml:space="preserve"> </w:t>
      </w:r>
      <w:r w:rsidR="007B7F20">
        <w:t>Moreover, b</w:t>
      </w:r>
      <w:r w:rsidR="00CD1733">
        <w:t>y</w:t>
      </w:r>
      <w:r w:rsidR="004D000E">
        <w:t xml:space="preserve"> investing relatively modest financial resources as seed funding, it is likely that </w:t>
      </w:r>
      <w:r w:rsidR="00B114D0">
        <w:t xml:space="preserve">considerable additional financial resources </w:t>
      </w:r>
      <w:r w:rsidR="004D000E">
        <w:t>would be leverage</w:t>
      </w:r>
      <w:r w:rsidR="00B114D0">
        <w:t>d</w:t>
      </w:r>
      <w:r w:rsidR="004D000E">
        <w:t xml:space="preserve"> through cost sharing mechanisms</w:t>
      </w:r>
      <w:r w:rsidR="000454A3">
        <w:t xml:space="preserve">. </w:t>
      </w:r>
      <w:r w:rsidR="00CD55FF">
        <w:t xml:space="preserve">Saudi Arabia </w:t>
      </w:r>
      <w:r w:rsidR="007B7F20">
        <w:t>is in t</w:t>
      </w:r>
      <w:r w:rsidR="00CD55FF">
        <w:t xml:space="preserve">he process of committing </w:t>
      </w:r>
      <w:r w:rsidR="007B7F20">
        <w:t>a large amount of new funding</w:t>
      </w:r>
      <w:r w:rsidR="00CD55FF">
        <w:t xml:space="preserve"> </w:t>
      </w:r>
      <w:r w:rsidR="000454A3">
        <w:t xml:space="preserve"> </w:t>
      </w:r>
      <w:r w:rsidR="00CD55FF">
        <w:t xml:space="preserve">to </w:t>
      </w:r>
      <w:r w:rsidR="000454A3">
        <w:t xml:space="preserve"> the energy and environment </w:t>
      </w:r>
      <w:r w:rsidR="007B7F20">
        <w:t xml:space="preserve">sector, </w:t>
      </w:r>
      <w:r w:rsidR="00CD55FF">
        <w:t>in</w:t>
      </w:r>
      <w:r w:rsidR="007B7F20">
        <w:t>cluding</w:t>
      </w:r>
      <w:r w:rsidR="00CD55FF">
        <w:t xml:space="preserve"> </w:t>
      </w:r>
      <w:r w:rsidR="007B7F20">
        <w:t>the</w:t>
      </w:r>
      <w:r w:rsidR="000454A3">
        <w:t xml:space="preserve"> recently announced $ 3 billion for research into climate change mitigation and clean energy technologies and a further $ 750 million for adaptation studies</w:t>
      </w:r>
      <w:r w:rsidR="007B7F20">
        <w:t xml:space="preserve"> and solutions</w:t>
      </w:r>
      <w:r w:rsidR="000454A3">
        <w:t xml:space="preserve">. If UNDP </w:t>
      </w:r>
      <w:r w:rsidR="007B7F20">
        <w:t>were</w:t>
      </w:r>
      <w:r w:rsidR="000454A3">
        <w:t xml:space="preserve"> to </w:t>
      </w:r>
      <w:r w:rsidR="007B7F20">
        <w:t xml:space="preserve">make full use of its competitive advantages </w:t>
      </w:r>
      <w:r w:rsidR="00CD55FF">
        <w:t>it</w:t>
      </w:r>
      <w:r w:rsidR="000454A3">
        <w:t xml:space="preserve"> </w:t>
      </w:r>
      <w:r w:rsidR="007B7F20">
        <w:t>may be able</w:t>
      </w:r>
      <w:r w:rsidR="004D000E">
        <w:t xml:space="preserve"> to successful</w:t>
      </w:r>
      <w:r w:rsidR="007B7F20">
        <w:t>ly</w:t>
      </w:r>
      <w:r w:rsidR="004D000E">
        <w:t xml:space="preserve"> </w:t>
      </w:r>
      <w:r w:rsidR="007B7F20">
        <w:t>up-scale</w:t>
      </w:r>
      <w:r w:rsidR="004D000E">
        <w:t xml:space="preserve"> </w:t>
      </w:r>
      <w:r w:rsidR="000454A3">
        <w:t>its</w:t>
      </w:r>
      <w:r w:rsidR="004D000E">
        <w:t xml:space="preserve"> operations </w:t>
      </w:r>
      <w:r w:rsidR="00B114D0">
        <w:t xml:space="preserve">in Saudi Arabia </w:t>
      </w:r>
      <w:r w:rsidR="007B7F20">
        <w:t>while</w:t>
      </w:r>
      <w:r w:rsidR="00B114D0">
        <w:t xml:space="preserve"> </w:t>
      </w:r>
      <w:r w:rsidR="007B7F20">
        <w:t>strengthening</w:t>
      </w:r>
      <w:r w:rsidR="00B114D0">
        <w:t xml:space="preserve"> </w:t>
      </w:r>
      <w:r w:rsidR="007B7F20">
        <w:t xml:space="preserve">the </w:t>
      </w:r>
      <w:r w:rsidR="00B114D0">
        <w:t xml:space="preserve">role </w:t>
      </w:r>
      <w:r w:rsidR="007B7F20">
        <w:t>of</w:t>
      </w:r>
      <w:r w:rsidR="00B114D0">
        <w:t xml:space="preserve"> the agency </w:t>
      </w:r>
      <w:r w:rsidR="004D000E">
        <w:t xml:space="preserve">in the energy and environment sector. </w:t>
      </w:r>
    </w:p>
    <w:p w:rsidR="00BC5347" w:rsidRPr="00BC5347" w:rsidRDefault="00BC5347" w:rsidP="00BC5347">
      <w:pPr>
        <w:pStyle w:val="ListParagraph"/>
        <w:spacing w:after="120"/>
        <w:ind w:left="0"/>
      </w:pPr>
    </w:p>
    <w:p w:rsidR="002B4900" w:rsidRDefault="00CD1733" w:rsidP="00CF4E22">
      <w:pPr>
        <w:pStyle w:val="ListParagraph"/>
        <w:numPr>
          <w:ilvl w:val="0"/>
          <w:numId w:val="6"/>
        </w:numPr>
        <w:spacing w:after="120"/>
        <w:ind w:left="0" w:firstLine="0"/>
      </w:pPr>
      <w:r w:rsidRPr="00BC5347">
        <w:rPr>
          <w:u w:val="single"/>
        </w:rPr>
        <w:t xml:space="preserve">A more </w:t>
      </w:r>
      <w:r w:rsidR="002B4900">
        <w:rPr>
          <w:u w:val="single"/>
        </w:rPr>
        <w:t>cohesive</w:t>
      </w:r>
      <w:r w:rsidRPr="00BC5347">
        <w:rPr>
          <w:u w:val="single"/>
        </w:rPr>
        <w:t xml:space="preserve"> vision of the </w:t>
      </w:r>
      <w:r w:rsidR="00ED4B44" w:rsidRPr="00BC5347">
        <w:rPr>
          <w:u w:val="single"/>
        </w:rPr>
        <w:t>outcome</w:t>
      </w:r>
      <w:r w:rsidR="00AA68D7">
        <w:t xml:space="preserve">. </w:t>
      </w:r>
      <w:r w:rsidR="000C3F3A">
        <w:t xml:space="preserve">The elaboration of the energy and environment outcome for Saudi Arabia appears to be </w:t>
      </w:r>
      <w:r w:rsidR="00A8456C">
        <w:t xml:space="preserve">largely </w:t>
      </w:r>
      <w:r w:rsidR="000C3F3A">
        <w:t xml:space="preserve">a </w:t>
      </w:r>
      <w:r w:rsidR="00A8456C">
        <w:t xml:space="preserve">demand driven </w:t>
      </w:r>
      <w:r w:rsidR="00EF4D9C">
        <w:t>process</w:t>
      </w:r>
      <w:r w:rsidR="00355A6F">
        <w:t>,</w:t>
      </w:r>
      <w:r w:rsidR="000C3F3A">
        <w:t xml:space="preserve"> with </w:t>
      </w:r>
      <w:r w:rsidR="00A8456C">
        <w:t xml:space="preserve">a tendency </w:t>
      </w:r>
      <w:r w:rsidR="00EF4D9C">
        <w:t>to tailor</w:t>
      </w:r>
      <w:r w:rsidR="009076B7">
        <w:t xml:space="preserve"> </w:t>
      </w:r>
      <w:r w:rsidR="00A8456C">
        <w:t xml:space="preserve">outputs to the specific requirements of </w:t>
      </w:r>
      <w:r w:rsidR="00CF78F6">
        <w:t xml:space="preserve">the </w:t>
      </w:r>
      <w:r w:rsidR="009076B7">
        <w:t>different</w:t>
      </w:r>
      <w:r w:rsidR="00A8456C">
        <w:t xml:space="preserve"> government departments</w:t>
      </w:r>
      <w:r w:rsidR="00CF78F6">
        <w:t xml:space="preserve"> involved.</w:t>
      </w:r>
      <w:r w:rsidR="00663214">
        <w:t xml:space="preserve"> This has produced a rather segmented portfolio of discrete projects</w:t>
      </w:r>
      <w:r w:rsidR="00E949B6">
        <w:t>,</w:t>
      </w:r>
      <w:r w:rsidR="00663214">
        <w:t xml:space="preserve"> </w:t>
      </w:r>
      <w:r w:rsidR="00355A6F">
        <w:t>often tenuously</w:t>
      </w:r>
      <w:r w:rsidR="00663214">
        <w:t xml:space="preserve"> </w:t>
      </w:r>
      <w:r w:rsidR="000C3F3A">
        <w:t>linked</w:t>
      </w:r>
      <w:r w:rsidR="00663214">
        <w:t xml:space="preserve"> </w:t>
      </w:r>
      <w:r w:rsidR="000C3F3A">
        <w:t>with each other</w:t>
      </w:r>
      <w:r w:rsidR="00355A6F">
        <w:t xml:space="preserve">. </w:t>
      </w:r>
      <w:r w:rsidR="000C3F3A">
        <w:t xml:space="preserve">In order to address energy and environmental concerns in a more holistic manner and  </w:t>
      </w:r>
      <w:r w:rsidR="000C3F3A" w:rsidRPr="00E949B6">
        <w:t>bring together UNDP’s partners</w:t>
      </w:r>
      <w:r w:rsidR="00355A6F" w:rsidRPr="00355A6F">
        <w:t xml:space="preserve"> </w:t>
      </w:r>
      <w:r w:rsidR="00355A6F" w:rsidRPr="00E949B6">
        <w:t>across sectoral lines</w:t>
      </w:r>
      <w:r w:rsidR="00355A6F">
        <w:t xml:space="preserve">, the development </w:t>
      </w:r>
      <w:r w:rsidR="00E949B6">
        <w:t xml:space="preserve">of </w:t>
      </w:r>
      <w:r w:rsidR="00355A6F">
        <w:t xml:space="preserve">a more </w:t>
      </w:r>
      <w:r w:rsidR="002B4900">
        <w:t>cohesive</w:t>
      </w:r>
      <w:r w:rsidR="00355A6F">
        <w:t xml:space="preserve"> vision of </w:t>
      </w:r>
      <w:r w:rsidR="00242B2A">
        <w:t xml:space="preserve">the </w:t>
      </w:r>
      <w:r w:rsidR="00355A6F">
        <w:t xml:space="preserve">energy and </w:t>
      </w:r>
      <w:r w:rsidR="00242B2A">
        <w:t>environment</w:t>
      </w:r>
      <w:r w:rsidR="00355A6F">
        <w:t xml:space="preserve"> </w:t>
      </w:r>
      <w:r w:rsidR="00242B2A" w:rsidRPr="00E949B6">
        <w:t xml:space="preserve">agenda </w:t>
      </w:r>
      <w:r w:rsidR="00242B2A">
        <w:t xml:space="preserve">for </w:t>
      </w:r>
      <w:r w:rsidR="00355A6F">
        <w:t xml:space="preserve">Saudi Arabia is recommended. </w:t>
      </w:r>
      <w:r w:rsidR="00E949B6">
        <w:t>This would enhance the capacity</w:t>
      </w:r>
      <w:r w:rsidR="00081699" w:rsidRPr="00E949B6">
        <w:t xml:space="preserve"> to coordinate cross-sector initiatives, </w:t>
      </w:r>
      <w:r w:rsidR="00674288">
        <w:t xml:space="preserve">and benefit from the collective </w:t>
      </w:r>
      <w:r w:rsidR="00081699" w:rsidRPr="00E949B6">
        <w:t>endorse</w:t>
      </w:r>
      <w:r w:rsidR="00674288">
        <w:t>ment</w:t>
      </w:r>
      <w:r w:rsidR="00E949B6">
        <w:t xml:space="preserve"> </w:t>
      </w:r>
      <w:r w:rsidR="00242B2A">
        <w:t xml:space="preserve">by all </w:t>
      </w:r>
      <w:r w:rsidR="00081699" w:rsidRPr="00E949B6">
        <w:t xml:space="preserve">stakeholders </w:t>
      </w:r>
      <w:r w:rsidR="00E949B6">
        <w:t xml:space="preserve">sharing </w:t>
      </w:r>
      <w:r w:rsidR="00F077A5">
        <w:t xml:space="preserve">such </w:t>
      </w:r>
      <w:r w:rsidR="00E949B6">
        <w:t>a</w:t>
      </w:r>
      <w:r w:rsidR="00081699" w:rsidRPr="00E949B6">
        <w:t xml:space="preserve"> common vision.</w:t>
      </w:r>
      <w:r w:rsidR="00E949B6">
        <w:t xml:space="preserve"> </w:t>
      </w:r>
      <w:r w:rsidR="00674288">
        <w:t xml:space="preserve">The </w:t>
      </w:r>
      <w:r w:rsidR="008E0B37">
        <w:t>present</w:t>
      </w:r>
      <w:r w:rsidR="00674288">
        <w:t xml:space="preserve"> evaluation has found it useful to aggregate the </w:t>
      </w:r>
      <w:r w:rsidR="00242B2A">
        <w:t xml:space="preserve">various outputs </w:t>
      </w:r>
      <w:r w:rsidR="008E0B37">
        <w:t>foreseen in the current programming cycle under</w:t>
      </w:r>
      <w:r w:rsidR="00242B2A">
        <w:t xml:space="preserve"> a few main </w:t>
      </w:r>
      <w:r w:rsidR="00674288">
        <w:t>themes,</w:t>
      </w:r>
      <w:r w:rsidR="00242B2A">
        <w:t xml:space="preserve"> namely</w:t>
      </w:r>
      <w:r w:rsidR="00674288">
        <w:t xml:space="preserve"> water resources, sustainable energy, climate change, biodiversity conservation and urban planning. </w:t>
      </w:r>
      <w:r w:rsidR="008E0B37">
        <w:t>D</w:t>
      </w:r>
      <w:r w:rsidR="00F077A5">
        <w:t xml:space="preserve">uring the period leading up to the elaboration of the new country programme, </w:t>
      </w:r>
      <w:r w:rsidR="008E0B37">
        <w:t xml:space="preserve">a new set of outputs </w:t>
      </w:r>
      <w:r w:rsidR="00E949B6">
        <w:t xml:space="preserve">could be </w:t>
      </w:r>
      <w:r w:rsidR="00F077A5">
        <w:t>develop</w:t>
      </w:r>
      <w:r w:rsidR="008E0B37">
        <w:t>ed</w:t>
      </w:r>
      <w:r w:rsidR="00F077A5">
        <w:t xml:space="preserve"> according to this or a revised set of such key</w:t>
      </w:r>
      <w:r w:rsidR="00E949B6">
        <w:t xml:space="preserve"> theme</w:t>
      </w:r>
      <w:r w:rsidR="00F077A5">
        <w:t>s</w:t>
      </w:r>
      <w:r w:rsidR="00E949B6">
        <w:t xml:space="preserve">, </w:t>
      </w:r>
      <w:r w:rsidR="00674288">
        <w:t xml:space="preserve">while exploring </w:t>
      </w:r>
      <w:r w:rsidR="008E0B37">
        <w:t>strategic</w:t>
      </w:r>
      <w:r w:rsidR="00674288">
        <w:t xml:space="preserve"> </w:t>
      </w:r>
      <w:r w:rsidR="00674288" w:rsidRPr="00ED4B44">
        <w:t xml:space="preserve">cross-sector </w:t>
      </w:r>
      <w:r w:rsidR="00674288">
        <w:t>linkages between</w:t>
      </w:r>
      <w:r w:rsidR="00F077A5">
        <w:t xml:space="preserve"> them</w:t>
      </w:r>
      <w:r w:rsidR="00674288">
        <w:t xml:space="preserve">. </w:t>
      </w:r>
      <w:r w:rsidR="00A21085" w:rsidRPr="002B4900">
        <w:t xml:space="preserve">In this respect, </w:t>
      </w:r>
      <w:r w:rsidR="002B4900">
        <w:t xml:space="preserve">it </w:t>
      </w:r>
      <w:r w:rsidR="002B4900">
        <w:lastRenderedPageBreak/>
        <w:t xml:space="preserve">would be appropriate to try and maintain a balanced portfolio of projects, with investments in all key sectors, </w:t>
      </w:r>
      <w:r w:rsidR="00367AE6">
        <w:t xml:space="preserve">and </w:t>
      </w:r>
      <w:r w:rsidR="002B4900">
        <w:t>avoid</w:t>
      </w:r>
      <w:r w:rsidR="00367AE6">
        <w:t>ing</w:t>
      </w:r>
      <w:r w:rsidR="002B4900">
        <w:t xml:space="preserve"> that any single theme </w:t>
      </w:r>
      <w:r w:rsidR="00367AE6">
        <w:t xml:space="preserve">is </w:t>
      </w:r>
      <w:r w:rsidR="002B4900">
        <w:t>overshadow</w:t>
      </w:r>
      <w:r w:rsidR="00367AE6">
        <w:t>ed by</w:t>
      </w:r>
      <w:r w:rsidR="002B4900">
        <w:t xml:space="preserve"> the rest. In the current programming cycle for example</w:t>
      </w:r>
      <w:r w:rsidR="00154665">
        <w:t>,</w:t>
      </w:r>
      <w:r w:rsidR="002B4900">
        <w:t xml:space="preserve"> 50% of funds were allocated to urban planning and only 2% to biodiversity conservation.</w:t>
      </w:r>
    </w:p>
    <w:p w:rsidR="00BC5347" w:rsidRDefault="00BC5347" w:rsidP="00BC5347">
      <w:pPr>
        <w:pStyle w:val="ListParagraph"/>
        <w:spacing w:after="120"/>
        <w:ind w:left="0"/>
      </w:pPr>
    </w:p>
    <w:p w:rsidR="00367AE6" w:rsidRDefault="008E0B37" w:rsidP="00CF4E22">
      <w:pPr>
        <w:pStyle w:val="ListParagraph"/>
        <w:numPr>
          <w:ilvl w:val="0"/>
          <w:numId w:val="6"/>
        </w:numPr>
        <w:spacing w:after="120"/>
        <w:ind w:left="0" w:firstLine="0"/>
      </w:pPr>
      <w:r w:rsidRPr="00541C8E">
        <w:rPr>
          <w:u w:val="single"/>
        </w:rPr>
        <w:t>Strengthened e</w:t>
      </w:r>
      <w:r w:rsidR="00242B2A" w:rsidRPr="00541C8E">
        <w:rPr>
          <w:u w:val="single"/>
        </w:rPr>
        <w:t>conomic analysis</w:t>
      </w:r>
      <w:r w:rsidR="00242B2A">
        <w:t xml:space="preserve">. </w:t>
      </w:r>
      <w:r w:rsidR="00541C8E">
        <w:t xml:space="preserve">An important tool that could assist in building a more </w:t>
      </w:r>
      <w:r w:rsidR="00154665">
        <w:t>cohesive</w:t>
      </w:r>
      <w:r w:rsidR="00541C8E">
        <w:t xml:space="preserve"> vision and understanding </w:t>
      </w:r>
      <w:r w:rsidR="008D275F">
        <w:t xml:space="preserve">of energy and environment issues in Saudi Arabia </w:t>
      </w:r>
      <w:r w:rsidR="00541C8E">
        <w:t xml:space="preserve">is </w:t>
      </w:r>
      <w:r w:rsidR="00E43C2F">
        <w:t>the application of</w:t>
      </w:r>
      <w:r w:rsidR="00541C8E">
        <w:t xml:space="preserve"> more rigorous economic analysis</w:t>
      </w:r>
      <w:r w:rsidR="008D275F">
        <w:t xml:space="preserve">. </w:t>
      </w:r>
      <w:r w:rsidR="00356106">
        <w:t>Recent</w:t>
      </w:r>
      <w:r w:rsidR="000D141B">
        <w:t xml:space="preserve"> work has demonstrated that analysing the value of ecosystem services not only enhances the case for strong action to curb greenhouse gas emissions, but also highlights the inherent value of  investing in natural capital to help both climate change mitigation and adaptation. </w:t>
      </w:r>
      <w:r w:rsidR="000D141B">
        <w:rPr>
          <w:rStyle w:val="FootnoteReference"/>
        </w:rPr>
        <w:footnoteReference w:id="1"/>
      </w:r>
      <w:r w:rsidR="000D141B">
        <w:t xml:space="preserve"> The failure of markets to adequately consider the value of ecosystem services </w:t>
      </w:r>
      <w:r w:rsidR="00A21085">
        <w:t>means</w:t>
      </w:r>
      <w:r w:rsidR="000D141B">
        <w:t xml:space="preserve"> that the benefits derived from these goods are usually neglected or undervalued in decision-making.</w:t>
      </w:r>
      <w:r w:rsidR="000D141B" w:rsidRPr="000D141B">
        <w:t xml:space="preserve"> </w:t>
      </w:r>
      <w:r w:rsidR="00D052D2">
        <w:t xml:space="preserve">A possible focus for the next </w:t>
      </w:r>
      <w:r w:rsidR="00C276D1">
        <w:t xml:space="preserve">UNDP </w:t>
      </w:r>
      <w:r w:rsidR="00D052D2">
        <w:t xml:space="preserve">programming cycle could be to launch a cross sector initiative </w:t>
      </w:r>
      <w:r w:rsidR="00C276D1">
        <w:t xml:space="preserve">with </w:t>
      </w:r>
      <w:r w:rsidR="00D052D2">
        <w:t xml:space="preserve">the aim of understanding and capturing the value of ecosystems and their services </w:t>
      </w:r>
      <w:r w:rsidR="00154665">
        <w:t xml:space="preserve">in Saudi Arabia </w:t>
      </w:r>
      <w:r w:rsidR="009C1EEC">
        <w:t>as a means to improving decision making and management</w:t>
      </w:r>
      <w:r w:rsidR="00154665" w:rsidRPr="00154665">
        <w:t xml:space="preserve"> </w:t>
      </w:r>
      <w:r w:rsidR="00154665">
        <w:t>in the energy and environment sector</w:t>
      </w:r>
      <w:r w:rsidR="009C1EEC">
        <w:t xml:space="preserve">. </w:t>
      </w:r>
      <w:r w:rsidR="00154665">
        <w:t>In collaboration with key partners and stakeholders, t</w:t>
      </w:r>
      <w:r w:rsidR="00C276D1">
        <w:t xml:space="preserve">his may lead to the development of an environmental business plan for the country as a tool for mainstreaming </w:t>
      </w:r>
      <w:r w:rsidR="00367AE6">
        <w:t xml:space="preserve">and operationalising </w:t>
      </w:r>
      <w:r w:rsidR="00C276D1">
        <w:t>policy.</w:t>
      </w:r>
      <w:r w:rsidR="00C276D1" w:rsidRPr="00C276D1">
        <w:t xml:space="preserve"> </w:t>
      </w:r>
      <w:r w:rsidR="009C1EEC">
        <w:t xml:space="preserve">A similar approach has been recently prioritized by the World Bank at the 10th CBD COP held in Nagoya in October 2010. A new global partnership has been launched to pilot an </w:t>
      </w:r>
      <w:r w:rsidR="00154665">
        <w:t>initiative</w:t>
      </w:r>
      <w:r w:rsidR="009C1EEC">
        <w:t xml:space="preserve"> known as green accounting which aims at valuing the flows of services from natural ecosystems, and making this information usable for finance and planning ministries in developing countries.</w:t>
      </w:r>
    </w:p>
    <w:p w:rsidR="00367AE6" w:rsidRDefault="00367AE6" w:rsidP="00367AE6">
      <w:pPr>
        <w:pStyle w:val="ListParagraph"/>
        <w:spacing w:after="120"/>
        <w:ind w:left="0"/>
      </w:pPr>
    </w:p>
    <w:p w:rsidR="0098677A" w:rsidRDefault="008577D4" w:rsidP="00CF4E22">
      <w:pPr>
        <w:pStyle w:val="ListParagraph"/>
        <w:numPr>
          <w:ilvl w:val="0"/>
          <w:numId w:val="6"/>
        </w:numPr>
        <w:spacing w:after="120"/>
        <w:ind w:left="0" w:firstLine="0"/>
      </w:pPr>
      <w:r w:rsidRPr="006303EF">
        <w:rPr>
          <w:u w:val="single"/>
        </w:rPr>
        <w:t>Strategic partnerships</w:t>
      </w:r>
      <w:r>
        <w:t xml:space="preserve">. </w:t>
      </w:r>
      <w:r w:rsidR="00B66011">
        <w:t xml:space="preserve">Despite the narrow guidelines set out by government for UNDP </w:t>
      </w:r>
      <w:r w:rsidR="00F1750E">
        <w:t>interventions</w:t>
      </w:r>
      <w:r w:rsidR="00B66011">
        <w:t xml:space="preserve"> in the country, which greatly favour public over private partnerships, there is considerable scope </w:t>
      </w:r>
      <w:r w:rsidR="00396C01">
        <w:t>in</w:t>
      </w:r>
      <w:r w:rsidR="00B66011">
        <w:t xml:space="preserve"> </w:t>
      </w:r>
      <w:r w:rsidR="007515D6">
        <w:t>try</w:t>
      </w:r>
      <w:r w:rsidR="00396C01">
        <w:t>ing</w:t>
      </w:r>
      <w:r w:rsidR="007515D6">
        <w:t xml:space="preserve"> </w:t>
      </w:r>
      <w:r w:rsidR="00396C01">
        <w:t xml:space="preserve">to </w:t>
      </w:r>
      <w:r w:rsidR="00757EF2">
        <w:t>improve</w:t>
      </w:r>
      <w:r w:rsidR="00B66011">
        <w:t xml:space="preserve"> UNDP’s partnerships</w:t>
      </w:r>
      <w:r w:rsidR="007515D6">
        <w:t xml:space="preserve"> strategy</w:t>
      </w:r>
      <w:r w:rsidR="00B66011">
        <w:t xml:space="preserve"> </w:t>
      </w:r>
      <w:r w:rsidR="00F1750E">
        <w:t>with</w:t>
      </w:r>
      <w:r w:rsidR="00B66011">
        <w:t>in the public sector.</w:t>
      </w:r>
      <w:r w:rsidR="007515D6">
        <w:t xml:space="preserve"> The agency could </w:t>
      </w:r>
      <w:r w:rsidR="00396C01">
        <w:t>strengthen</w:t>
      </w:r>
      <w:r w:rsidR="007515D6">
        <w:t xml:space="preserve"> </w:t>
      </w:r>
      <w:r w:rsidR="0062342E">
        <w:t>its</w:t>
      </w:r>
      <w:r w:rsidR="00396C01">
        <w:t xml:space="preserve"> facilitation</w:t>
      </w:r>
      <w:r w:rsidR="007515D6">
        <w:t xml:space="preserve"> role between different government sectors</w:t>
      </w:r>
      <w:r w:rsidR="00396C01">
        <w:t xml:space="preserve">. </w:t>
      </w:r>
      <w:r w:rsidR="007515D6">
        <w:t xml:space="preserve">For example, a key partnership which needs to be </w:t>
      </w:r>
      <w:r w:rsidR="00396C01">
        <w:t>optimised</w:t>
      </w:r>
      <w:r w:rsidR="007515D6">
        <w:t xml:space="preserve"> is </w:t>
      </w:r>
      <w:r w:rsidR="0098677A">
        <w:t xml:space="preserve">the one </w:t>
      </w:r>
      <w:r w:rsidR="007515D6">
        <w:t xml:space="preserve">between the Ministry of Water and Electricity </w:t>
      </w:r>
      <w:r w:rsidR="00F1750E">
        <w:t>responsible for</w:t>
      </w:r>
      <w:r w:rsidR="007515D6">
        <w:t xml:space="preserve"> the national </w:t>
      </w:r>
      <w:r w:rsidR="00396C01">
        <w:t>w</w:t>
      </w:r>
      <w:r w:rsidR="007515D6">
        <w:t>ater strategy and the Ministry of Agriculture</w:t>
      </w:r>
      <w:r w:rsidR="00396C01">
        <w:t>,</w:t>
      </w:r>
      <w:r w:rsidR="007515D6">
        <w:t xml:space="preserve"> </w:t>
      </w:r>
      <w:r w:rsidR="00396C01">
        <w:t>overse</w:t>
      </w:r>
      <w:r w:rsidR="0062342E">
        <w:t>eing</w:t>
      </w:r>
      <w:r w:rsidR="00396C01">
        <w:t xml:space="preserve"> irrigated agriculture, by</w:t>
      </w:r>
      <w:r w:rsidR="00396C01" w:rsidRPr="00F74298">
        <w:t xml:space="preserve"> far the </w:t>
      </w:r>
      <w:r w:rsidR="00396C01">
        <w:t xml:space="preserve">most important consumer of the national water supply </w:t>
      </w:r>
      <w:r w:rsidR="00396C01" w:rsidRPr="00F74298">
        <w:t>(85%</w:t>
      </w:r>
      <w:r w:rsidR="00396C01">
        <w:t>)</w:t>
      </w:r>
      <w:r w:rsidR="00396C01" w:rsidRPr="00F74298">
        <w:t>.</w:t>
      </w:r>
      <w:r w:rsidR="00396C01">
        <w:t xml:space="preserve"> </w:t>
      </w:r>
      <w:r w:rsidR="0062342E">
        <w:t xml:space="preserve">By catalysing a sector-wide initiative, and  </w:t>
      </w:r>
      <w:r w:rsidR="00B15D5A">
        <w:t xml:space="preserve">with the </w:t>
      </w:r>
      <w:r w:rsidR="0062342E">
        <w:t>invol</w:t>
      </w:r>
      <w:r w:rsidR="00B15D5A">
        <w:t>vement of</w:t>
      </w:r>
      <w:r w:rsidR="0062342E">
        <w:t xml:space="preserve"> other UN agencies such as FAO </w:t>
      </w:r>
      <w:r w:rsidR="00B15D5A">
        <w:t>working</w:t>
      </w:r>
      <w:r w:rsidR="0062342E">
        <w:t xml:space="preserve"> closely with the Ministry of Agriculture, </w:t>
      </w:r>
      <w:r w:rsidR="00F1750E">
        <w:t xml:space="preserve">UNDP could help in </w:t>
      </w:r>
      <w:r w:rsidR="00F1750E" w:rsidRPr="00450F32">
        <w:t>bring</w:t>
      </w:r>
      <w:r w:rsidR="00F1750E">
        <w:t>ing</w:t>
      </w:r>
      <w:r w:rsidR="00F1750E" w:rsidRPr="00450F32">
        <w:t xml:space="preserve"> together </w:t>
      </w:r>
      <w:r w:rsidR="00F1750E">
        <w:t xml:space="preserve">the two </w:t>
      </w:r>
      <w:r w:rsidR="00F1750E" w:rsidRPr="00450F32">
        <w:t xml:space="preserve">partners </w:t>
      </w:r>
      <w:r w:rsidR="0062342E">
        <w:t>to collaboratively</w:t>
      </w:r>
      <w:r w:rsidR="00F1750E">
        <w:t xml:space="preserve"> </w:t>
      </w:r>
      <w:r w:rsidR="0062342E">
        <w:t xml:space="preserve">address </w:t>
      </w:r>
      <w:r w:rsidR="00F1750E">
        <w:t xml:space="preserve">the </w:t>
      </w:r>
      <w:r w:rsidR="0062342E">
        <w:t>potentially</w:t>
      </w:r>
      <w:r w:rsidR="00F1750E">
        <w:t xml:space="preserve"> conflicting demands of rationalising water </w:t>
      </w:r>
      <w:r w:rsidR="0062342E">
        <w:t>use</w:t>
      </w:r>
      <w:r w:rsidR="00F1750E">
        <w:t xml:space="preserve"> and </w:t>
      </w:r>
      <w:r w:rsidR="0062342E">
        <w:t xml:space="preserve">the expanding needs of </w:t>
      </w:r>
      <w:r w:rsidR="00F1750E">
        <w:t xml:space="preserve">irrigated agriculture. </w:t>
      </w:r>
      <w:r w:rsidR="00F1750E" w:rsidRPr="00450F32">
        <w:t xml:space="preserve"> </w:t>
      </w:r>
      <w:r w:rsidR="00757EF2" w:rsidRPr="00B66011">
        <w:t>This challenge becomes even more complex in view of the fragmentation of the water sector and the</w:t>
      </w:r>
      <w:r w:rsidR="0062342E">
        <w:t xml:space="preserve"> </w:t>
      </w:r>
      <w:r w:rsidR="00A07BFC">
        <w:t>ongoing process of developing a shared</w:t>
      </w:r>
      <w:r w:rsidR="0062342E" w:rsidRPr="00B66011">
        <w:t xml:space="preserve"> water vision</w:t>
      </w:r>
      <w:r w:rsidR="0062342E">
        <w:t>.</w:t>
      </w:r>
      <w:r w:rsidR="0062342E" w:rsidRPr="00B66011">
        <w:t xml:space="preserve"> </w:t>
      </w:r>
      <w:r w:rsidR="00757EF2">
        <w:t xml:space="preserve">Similarly, there </w:t>
      </w:r>
      <w:r w:rsidR="00A07BFC">
        <w:t>would seem</w:t>
      </w:r>
      <w:r w:rsidR="00757EF2">
        <w:t xml:space="preserve"> to be room for a </w:t>
      </w:r>
      <w:r w:rsidR="00A07BFC">
        <w:t xml:space="preserve">stronger </w:t>
      </w:r>
      <w:r w:rsidR="00757EF2">
        <w:t xml:space="preserve">facilitation role by UNDP in </w:t>
      </w:r>
      <w:r w:rsidR="00A07BFC">
        <w:t>catalysing a collaborative approach</w:t>
      </w:r>
      <w:r w:rsidR="00757EF2">
        <w:t xml:space="preserve"> </w:t>
      </w:r>
      <w:r w:rsidR="00A07BFC">
        <w:t>by key stakeholders in the area of biodiversity</w:t>
      </w:r>
      <w:r w:rsidR="00757EF2">
        <w:t xml:space="preserve"> </w:t>
      </w:r>
      <w:r w:rsidR="00A07BFC">
        <w:t>conservation. The Saudi Wildlife Commission (SWC) and the Presidency of Meteorology and Environment (PME)</w:t>
      </w:r>
      <w:r w:rsidR="00A07BFC" w:rsidRPr="003F45AD">
        <w:t xml:space="preserve"> </w:t>
      </w:r>
      <w:r w:rsidR="00A07BFC">
        <w:t>are both mandated, albeit with different roles, to oversee biodiversity conservation</w:t>
      </w:r>
      <w:r w:rsidR="006303EF">
        <w:t xml:space="preserve"> in Saudi Arabia</w:t>
      </w:r>
      <w:r w:rsidR="00A07BFC">
        <w:t xml:space="preserve">. </w:t>
      </w:r>
      <w:r w:rsidR="006303EF">
        <w:t xml:space="preserve">More </w:t>
      </w:r>
      <w:r w:rsidR="00A07BFC">
        <w:t>substantive cooperation between the</w:t>
      </w:r>
      <w:r w:rsidR="006303EF">
        <w:t>se two institutions</w:t>
      </w:r>
      <w:r w:rsidR="00A07BFC">
        <w:t xml:space="preserve"> is </w:t>
      </w:r>
      <w:r w:rsidR="006303EF">
        <w:t>urgent</w:t>
      </w:r>
      <w:r w:rsidR="00B15D5A">
        <w:t>, particularly</w:t>
      </w:r>
      <w:r w:rsidR="006303EF">
        <w:t xml:space="preserve"> </w:t>
      </w:r>
      <w:r w:rsidR="00A07BFC">
        <w:t xml:space="preserve">in the light of the </w:t>
      </w:r>
      <w:r w:rsidR="006303EF">
        <w:t xml:space="preserve">intensifying national </w:t>
      </w:r>
      <w:r w:rsidR="00A07BFC">
        <w:t xml:space="preserve">policy dialogue </w:t>
      </w:r>
      <w:r w:rsidR="006303EF">
        <w:t xml:space="preserve">over </w:t>
      </w:r>
      <w:r w:rsidR="00E96FC5">
        <w:t xml:space="preserve">the impact of </w:t>
      </w:r>
      <w:r w:rsidR="00A07BFC">
        <w:t>climate change a</w:t>
      </w:r>
      <w:r w:rsidR="00B15D5A">
        <w:t xml:space="preserve">nd </w:t>
      </w:r>
      <w:r w:rsidR="00E96FC5">
        <w:t xml:space="preserve">the needs in terms of </w:t>
      </w:r>
      <w:r w:rsidR="00B15D5A">
        <w:t>adaptation</w:t>
      </w:r>
      <w:r w:rsidR="006303EF">
        <w:t xml:space="preserve">. Finally, </w:t>
      </w:r>
      <w:r w:rsidR="0015517B">
        <w:t>in</w:t>
      </w:r>
      <w:r w:rsidR="00F1750E">
        <w:t xml:space="preserve"> the </w:t>
      </w:r>
      <w:r w:rsidR="0015517B">
        <w:t xml:space="preserve">area of </w:t>
      </w:r>
      <w:r w:rsidR="00F1750E">
        <w:t>sustainable energy</w:t>
      </w:r>
      <w:r w:rsidR="0015517B">
        <w:t xml:space="preserve">, </w:t>
      </w:r>
      <w:r w:rsidR="006303EF">
        <w:t xml:space="preserve">UNDP could </w:t>
      </w:r>
      <w:r w:rsidR="0015517B">
        <w:t xml:space="preserve">intensify its soft assistance </w:t>
      </w:r>
      <w:r w:rsidR="00B15D5A">
        <w:t>in facilitating</w:t>
      </w:r>
      <w:r w:rsidR="006303EF">
        <w:t xml:space="preserve"> the</w:t>
      </w:r>
      <w:r w:rsidR="00757EF2">
        <w:t xml:space="preserve"> innovative partnership </w:t>
      </w:r>
      <w:r w:rsidR="006303EF">
        <w:t xml:space="preserve">involving </w:t>
      </w:r>
      <w:r w:rsidR="0015517B">
        <w:t xml:space="preserve">large government corporations and the recently established Saudi Energy Efficiency Centre in order </w:t>
      </w:r>
      <w:r w:rsidR="006303EF">
        <w:t xml:space="preserve">to scale up </w:t>
      </w:r>
      <w:r w:rsidR="00B15D5A">
        <w:t xml:space="preserve">the implementation of </w:t>
      </w:r>
      <w:r w:rsidR="0015517B">
        <w:t xml:space="preserve">energy conservation </w:t>
      </w:r>
      <w:r w:rsidR="00B15D5A">
        <w:t xml:space="preserve">policy </w:t>
      </w:r>
      <w:r w:rsidR="0015517B">
        <w:t>across different</w:t>
      </w:r>
      <w:r w:rsidR="006303EF">
        <w:t xml:space="preserve"> sectors.</w:t>
      </w:r>
    </w:p>
    <w:p w:rsidR="00B15D5A" w:rsidRDefault="0015517B" w:rsidP="0098677A">
      <w:pPr>
        <w:pStyle w:val="ListParagraph"/>
        <w:spacing w:after="120"/>
        <w:ind w:left="0"/>
      </w:pPr>
      <w:r>
        <w:t xml:space="preserve"> </w:t>
      </w:r>
    </w:p>
    <w:p w:rsidR="00A71A73" w:rsidRDefault="00C17B0C" w:rsidP="00CF4E22">
      <w:pPr>
        <w:pStyle w:val="ListParagraph"/>
        <w:numPr>
          <w:ilvl w:val="0"/>
          <w:numId w:val="6"/>
        </w:numPr>
        <w:spacing w:after="120"/>
        <w:ind w:left="0" w:firstLine="0"/>
      </w:pPr>
      <w:r w:rsidRPr="00FF4B8C">
        <w:rPr>
          <w:u w:val="single"/>
        </w:rPr>
        <w:lastRenderedPageBreak/>
        <w:t>Regional and international cooperation</w:t>
      </w:r>
      <w:r w:rsidR="005266A7">
        <w:t xml:space="preserve">. </w:t>
      </w:r>
      <w:r w:rsidR="000400B6">
        <w:t xml:space="preserve">There is potential </w:t>
      </w:r>
      <w:r w:rsidR="00853FCD">
        <w:t xml:space="preserve">still to be tapped </w:t>
      </w:r>
      <w:r w:rsidR="000400B6">
        <w:t xml:space="preserve">for regional </w:t>
      </w:r>
      <w:r w:rsidR="004F6156">
        <w:t xml:space="preserve">and </w:t>
      </w:r>
      <w:r w:rsidR="00271B42">
        <w:t>international</w:t>
      </w:r>
      <w:r w:rsidR="004F6156">
        <w:t xml:space="preserve"> </w:t>
      </w:r>
      <w:r w:rsidR="000400B6">
        <w:t xml:space="preserve">cooperation in addressing interconnected </w:t>
      </w:r>
      <w:r w:rsidR="004F6156">
        <w:t>issues and common problems in the field of energy and environment.</w:t>
      </w:r>
      <w:r w:rsidRPr="00C17B0C">
        <w:t xml:space="preserve"> </w:t>
      </w:r>
      <w:r>
        <w:t xml:space="preserve">Saudi Arabia is increasingly active in policy dialogue on </w:t>
      </w:r>
      <w:r w:rsidR="00A71A73">
        <w:t>such</w:t>
      </w:r>
      <w:r>
        <w:t xml:space="preserve"> issues </w:t>
      </w:r>
      <w:r w:rsidR="00541543">
        <w:t>on the regional and international stage and is investing considerable funds in various forms of assistance</w:t>
      </w:r>
      <w:r w:rsidR="00853FCD">
        <w:t>. For example, through the ‘</w:t>
      </w:r>
      <w:r w:rsidR="00B8087B">
        <w:t>Energy for the poor</w:t>
      </w:r>
      <w:r w:rsidR="00853FCD">
        <w:t xml:space="preserve">’ initiative, Saudi Arabia has committed $ 1 billion </w:t>
      </w:r>
      <w:r w:rsidR="00B8087B">
        <w:t>to achieve Millennium D</w:t>
      </w:r>
      <w:r w:rsidR="00853FCD">
        <w:t xml:space="preserve">evelopment Goals </w:t>
      </w:r>
      <w:r w:rsidR="00B8087B">
        <w:t>by expanding access to cl</w:t>
      </w:r>
      <w:r w:rsidR="00763DEA">
        <w:t>e</w:t>
      </w:r>
      <w:r w:rsidR="00B8087B">
        <w:t>an energy in Least Developed Countries</w:t>
      </w:r>
      <w:r w:rsidR="00853FCD">
        <w:t>.</w:t>
      </w:r>
      <w:r w:rsidR="00B8087B">
        <w:t xml:space="preserve"> T</w:t>
      </w:r>
      <w:r w:rsidR="00BE4940">
        <w:t xml:space="preserve">ogether with partner institutions such as MOWE, PME, SEEC and SWC, </w:t>
      </w:r>
      <w:r w:rsidR="00B8087B">
        <w:t>UNDP should explore on a case-by-case basis</w:t>
      </w:r>
      <w:r w:rsidR="00853FCD">
        <w:t>,</w:t>
      </w:r>
      <w:r w:rsidR="00B8087B">
        <w:t xml:space="preserve"> </w:t>
      </w:r>
      <w:r w:rsidR="00BE4940">
        <w:t xml:space="preserve">the possibility of capitalising and replicating at regional and international levels key results </w:t>
      </w:r>
      <w:r w:rsidR="00B8087B">
        <w:t xml:space="preserve">so far </w:t>
      </w:r>
      <w:r w:rsidR="00BE4940">
        <w:t xml:space="preserve">achieved </w:t>
      </w:r>
      <w:r w:rsidR="00B8087B">
        <w:t>by Saudi Arabia in</w:t>
      </w:r>
      <w:r w:rsidR="00BE4940">
        <w:t xml:space="preserve"> the </w:t>
      </w:r>
      <w:r w:rsidR="00B8087B">
        <w:t xml:space="preserve">area of energy and </w:t>
      </w:r>
      <w:r w:rsidR="00BE4940">
        <w:t>environment</w:t>
      </w:r>
      <w:r w:rsidR="00B8087B">
        <w:t xml:space="preserve">. Potential areas </w:t>
      </w:r>
      <w:r w:rsidR="00853FCD">
        <w:t xml:space="preserve">of interest where </w:t>
      </w:r>
      <w:r w:rsidR="00B8087B">
        <w:t xml:space="preserve">UNDP </w:t>
      </w:r>
      <w:r w:rsidR="00853FCD">
        <w:t xml:space="preserve">could </w:t>
      </w:r>
      <w:r w:rsidR="00D2000F">
        <w:t>play</w:t>
      </w:r>
      <w:r w:rsidR="00853FCD">
        <w:t xml:space="preserve"> </w:t>
      </w:r>
      <w:r w:rsidR="00D2000F">
        <w:t>a facilitating role</w:t>
      </w:r>
      <w:r w:rsidR="00B8087B">
        <w:t xml:space="preserve"> </w:t>
      </w:r>
      <w:r w:rsidR="00853FCD">
        <w:t>may</w:t>
      </w:r>
      <w:r w:rsidR="00B8087B">
        <w:t xml:space="preserve"> include transferring the Saudi experience in energy efficiency, </w:t>
      </w:r>
      <w:r w:rsidR="00853FCD">
        <w:t xml:space="preserve">the emerging results in </w:t>
      </w:r>
      <w:r w:rsidR="00B8087B">
        <w:t xml:space="preserve">clean energy technology, the production and use of desalinated water, captive breeding and reintroduction of species, </w:t>
      </w:r>
      <w:r w:rsidR="00853FCD">
        <w:t>and</w:t>
      </w:r>
      <w:r w:rsidR="00B8087B">
        <w:t xml:space="preserve"> the research </w:t>
      </w:r>
      <w:r w:rsidR="00D2000F">
        <w:t xml:space="preserve">being initiated </w:t>
      </w:r>
      <w:r w:rsidR="00B8087B">
        <w:t>in</w:t>
      </w:r>
      <w:r w:rsidR="00AB6069">
        <w:t>to</w:t>
      </w:r>
      <w:r w:rsidR="00B8087B">
        <w:t xml:space="preserve"> climate change </w:t>
      </w:r>
      <w:r w:rsidR="00853FCD">
        <w:t xml:space="preserve">adaptation </w:t>
      </w:r>
      <w:r w:rsidR="00AB6069">
        <w:t xml:space="preserve">and </w:t>
      </w:r>
      <w:r w:rsidR="00B8087B">
        <w:t>mitigation solutions</w:t>
      </w:r>
      <w:r w:rsidR="00AB6069">
        <w:t>.</w:t>
      </w:r>
      <w:r w:rsidR="00B8087B">
        <w:t xml:space="preserve"> Many of </w:t>
      </w:r>
      <w:r w:rsidR="00853FCD">
        <w:t xml:space="preserve">UNDP’s </w:t>
      </w:r>
      <w:r w:rsidR="00B8087B">
        <w:t xml:space="preserve">partners </w:t>
      </w:r>
      <w:r w:rsidR="00853FCD">
        <w:t>in the energy and environment programme</w:t>
      </w:r>
      <w:r w:rsidR="00B8087B">
        <w:t xml:space="preserve"> appear receptive to the idea of </w:t>
      </w:r>
      <w:r w:rsidR="00853FCD">
        <w:t>disseminating</w:t>
      </w:r>
      <w:r w:rsidR="00B8087B">
        <w:t xml:space="preserve"> best practices and lessons learned </w:t>
      </w:r>
      <w:r w:rsidR="00D2000F">
        <w:t xml:space="preserve">at the </w:t>
      </w:r>
      <w:r w:rsidR="00B8087B">
        <w:t xml:space="preserve">regional </w:t>
      </w:r>
      <w:r w:rsidR="00D2000F">
        <w:t xml:space="preserve">and international </w:t>
      </w:r>
      <w:r w:rsidR="00B8087B">
        <w:t>level</w:t>
      </w:r>
      <w:r w:rsidR="00D2000F">
        <w:t>s</w:t>
      </w:r>
      <w:r w:rsidR="00B215AA">
        <w:t>,</w:t>
      </w:r>
      <w:r w:rsidR="00B8087B">
        <w:t xml:space="preserve"> while </w:t>
      </w:r>
      <w:r w:rsidR="00B215AA">
        <w:t>having a chance to benefit</w:t>
      </w:r>
      <w:r w:rsidR="00D2000F">
        <w:t xml:space="preserve"> from technical exchanges, </w:t>
      </w:r>
      <w:r w:rsidR="00B8087B">
        <w:t>capacity buildi</w:t>
      </w:r>
      <w:r w:rsidR="00B215AA">
        <w:t xml:space="preserve">ng, </w:t>
      </w:r>
      <w:r w:rsidR="00B8087B">
        <w:t>training opportunities</w:t>
      </w:r>
      <w:r w:rsidR="00D2000F">
        <w:t xml:space="preserve"> </w:t>
      </w:r>
      <w:r w:rsidR="00B215AA">
        <w:t xml:space="preserve">and international exposure </w:t>
      </w:r>
      <w:r w:rsidR="00D2000F">
        <w:t xml:space="preserve">for their own staff. A variety of factors make UNDP an attractive </w:t>
      </w:r>
      <w:r w:rsidR="00B215AA">
        <w:t xml:space="preserve">and suitable </w:t>
      </w:r>
      <w:r w:rsidR="00D2000F">
        <w:t>partner for this type of endeavour</w:t>
      </w:r>
      <w:r w:rsidR="00A71A73">
        <w:t xml:space="preserve"> due to its perceived neutrality, transparency and professionalism. This</w:t>
      </w:r>
      <w:r w:rsidR="00D2000F">
        <w:t xml:space="preserve"> could be further enhanced if UNDP were to independently invest </w:t>
      </w:r>
      <w:r w:rsidR="00A71A73">
        <w:t>techn</w:t>
      </w:r>
      <w:r w:rsidR="00D2000F">
        <w:t xml:space="preserve">ical and financial resources </w:t>
      </w:r>
      <w:r w:rsidR="00FF4B8C">
        <w:t>as a means of</w:t>
      </w:r>
      <w:r w:rsidR="00A71A73">
        <w:t xml:space="preserve"> leverag</w:t>
      </w:r>
      <w:r w:rsidR="00FF4B8C">
        <w:t>ing</w:t>
      </w:r>
      <w:r w:rsidR="00D2000F">
        <w:t xml:space="preserve"> further funds from cost sharing mechanism</w:t>
      </w:r>
      <w:r w:rsidR="00FF4B8C">
        <w:t xml:space="preserve"> and adding value to such regional and international cooperation initiatives for all partners and stakeholders involved.</w:t>
      </w:r>
    </w:p>
    <w:p w:rsidR="00A71A73" w:rsidRDefault="00A71A73" w:rsidP="00A71A73">
      <w:pPr>
        <w:pStyle w:val="ListParagraph"/>
        <w:spacing w:after="120"/>
        <w:ind w:left="0"/>
      </w:pPr>
    </w:p>
    <w:p w:rsidR="00B878BC" w:rsidRDefault="00B878BC" w:rsidP="00B878BC">
      <w:pPr>
        <w:pStyle w:val="ListParagraph"/>
        <w:spacing w:after="120"/>
        <w:ind w:left="0"/>
      </w:pPr>
    </w:p>
    <w:p w:rsidR="00B878BC" w:rsidRPr="0067191C" w:rsidRDefault="00B878BC" w:rsidP="00B878BC"/>
    <w:p w:rsidR="00B878BC" w:rsidRDefault="00B878BC" w:rsidP="00A23408">
      <w:pPr>
        <w:pStyle w:val="ListParagraph"/>
        <w:spacing w:after="120"/>
        <w:ind w:left="0"/>
      </w:pPr>
    </w:p>
    <w:p w:rsidR="00626B96" w:rsidRPr="00F715FD" w:rsidRDefault="00626B96" w:rsidP="006649E8"/>
    <w:sectPr w:rsidR="00626B96" w:rsidRPr="00F715FD" w:rsidSect="00F555A0">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71" w:rsidRDefault="00701371" w:rsidP="006649E8">
      <w:r>
        <w:separator/>
      </w:r>
    </w:p>
  </w:endnote>
  <w:endnote w:type="continuationSeparator" w:id="0">
    <w:p w:rsidR="00701371" w:rsidRDefault="00701371" w:rsidP="006649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71" w:rsidRDefault="00701371" w:rsidP="006649E8">
      <w:r>
        <w:separator/>
      </w:r>
    </w:p>
  </w:footnote>
  <w:footnote w:type="continuationSeparator" w:id="0">
    <w:p w:rsidR="00701371" w:rsidRDefault="00701371" w:rsidP="006649E8">
      <w:r>
        <w:continuationSeparator/>
      </w:r>
    </w:p>
  </w:footnote>
  <w:footnote w:id="1">
    <w:p w:rsidR="00763DEA" w:rsidRPr="00B21DAD" w:rsidRDefault="00763DEA" w:rsidP="000D141B">
      <w:pPr>
        <w:pStyle w:val="FootnoteText"/>
      </w:pPr>
      <w:r>
        <w:rPr>
          <w:rStyle w:val="FootnoteReference"/>
        </w:rPr>
        <w:footnoteRef/>
      </w:r>
      <w:r>
        <w:t xml:space="preserve"> TEEB – The Economics of Ecosystems and Biodiversity for National and International Policy Makers – Summary: Responding to the Value of Nature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4A7"/>
    <w:multiLevelType w:val="hybridMultilevel"/>
    <w:tmpl w:val="BA060342"/>
    <w:lvl w:ilvl="0" w:tplc="227676FA">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506726"/>
    <w:multiLevelType w:val="hybridMultilevel"/>
    <w:tmpl w:val="E99203DA"/>
    <w:lvl w:ilvl="0" w:tplc="FB36DC14">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0B133E"/>
    <w:multiLevelType w:val="hybridMultilevel"/>
    <w:tmpl w:val="E54AF2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B70092"/>
    <w:multiLevelType w:val="hybridMultilevel"/>
    <w:tmpl w:val="1786E99E"/>
    <w:lvl w:ilvl="0" w:tplc="F05202B2">
      <w:start w:val="1"/>
      <w:numFmt w:val="decimal"/>
      <w:lvlText w:val="%1."/>
      <w:lvlJc w:val="left"/>
      <w:pPr>
        <w:ind w:left="829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543E45"/>
    <w:multiLevelType w:val="hybridMultilevel"/>
    <w:tmpl w:val="2B302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8E7043"/>
    <w:multiLevelType w:val="hybridMultilevel"/>
    <w:tmpl w:val="144609E6"/>
    <w:lvl w:ilvl="0" w:tplc="0410000F">
      <w:start w:val="1"/>
      <w:numFmt w:val="decimal"/>
      <w:lvlText w:val="%1."/>
      <w:lvlJc w:val="left"/>
      <w:pPr>
        <w:ind w:left="829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hyphenationZone w:val="283"/>
  <w:drawingGridHorizontalSpacing w:val="120"/>
  <w:displayHorizontalDrawingGridEvery w:val="2"/>
  <w:characterSpacingControl w:val="doNotCompress"/>
  <w:hdrShapeDefaults>
    <o:shapedefaults v:ext="edit" spidmax="32770" style="mso-position-horizontal-relative:page;mso-position-vertical:center;mso-position-vertical-relative:bottom-margin-area" o:allowincell="f">
      <o:colormru v:ext="edit" colors="#2818f4,#03c,#009,#039"/>
      <o:colormenu v:ext="edit" fillcolor="#039" strokecolor="#0070c0"/>
    </o:shapedefaults>
  </w:hdrShapeDefaults>
  <w:footnotePr>
    <w:footnote w:id="-1"/>
    <w:footnote w:id="0"/>
  </w:footnotePr>
  <w:endnotePr>
    <w:endnote w:id="-1"/>
    <w:endnote w:id="0"/>
  </w:endnotePr>
  <w:compat/>
  <w:rsids>
    <w:rsidRoot w:val="00626B96"/>
    <w:rsid w:val="00001A3B"/>
    <w:rsid w:val="00004753"/>
    <w:rsid w:val="0002038F"/>
    <w:rsid w:val="00020F55"/>
    <w:rsid w:val="0002154F"/>
    <w:rsid w:val="000240DA"/>
    <w:rsid w:val="000324C6"/>
    <w:rsid w:val="00033C87"/>
    <w:rsid w:val="00035EC3"/>
    <w:rsid w:val="000400B6"/>
    <w:rsid w:val="00041E30"/>
    <w:rsid w:val="00042216"/>
    <w:rsid w:val="000454A3"/>
    <w:rsid w:val="00046070"/>
    <w:rsid w:val="00052598"/>
    <w:rsid w:val="0005362A"/>
    <w:rsid w:val="0005679D"/>
    <w:rsid w:val="000605DA"/>
    <w:rsid w:val="0006762A"/>
    <w:rsid w:val="0007221D"/>
    <w:rsid w:val="00081699"/>
    <w:rsid w:val="00082AC4"/>
    <w:rsid w:val="000830E9"/>
    <w:rsid w:val="00090258"/>
    <w:rsid w:val="00091E02"/>
    <w:rsid w:val="00093ECE"/>
    <w:rsid w:val="00094CDB"/>
    <w:rsid w:val="000A3CE4"/>
    <w:rsid w:val="000A42EC"/>
    <w:rsid w:val="000A4A9F"/>
    <w:rsid w:val="000A7CDD"/>
    <w:rsid w:val="000B427F"/>
    <w:rsid w:val="000B4503"/>
    <w:rsid w:val="000C2407"/>
    <w:rsid w:val="000C3F3A"/>
    <w:rsid w:val="000C79C0"/>
    <w:rsid w:val="000D141B"/>
    <w:rsid w:val="000D55A8"/>
    <w:rsid w:val="000E7251"/>
    <w:rsid w:val="000F08B6"/>
    <w:rsid w:val="000F2FD8"/>
    <w:rsid w:val="00105BE2"/>
    <w:rsid w:val="00106581"/>
    <w:rsid w:val="00107246"/>
    <w:rsid w:val="00107334"/>
    <w:rsid w:val="00110122"/>
    <w:rsid w:val="001165BF"/>
    <w:rsid w:val="0011679F"/>
    <w:rsid w:val="00116DE8"/>
    <w:rsid w:val="00120B3C"/>
    <w:rsid w:val="001225E2"/>
    <w:rsid w:val="001260CC"/>
    <w:rsid w:val="00127687"/>
    <w:rsid w:val="001333AB"/>
    <w:rsid w:val="00142C33"/>
    <w:rsid w:val="00152AC6"/>
    <w:rsid w:val="00154665"/>
    <w:rsid w:val="00154C7D"/>
    <w:rsid w:val="0015517B"/>
    <w:rsid w:val="00162550"/>
    <w:rsid w:val="00162E70"/>
    <w:rsid w:val="00165323"/>
    <w:rsid w:val="0017444E"/>
    <w:rsid w:val="00174D5B"/>
    <w:rsid w:val="00180849"/>
    <w:rsid w:val="001824EB"/>
    <w:rsid w:val="001858FE"/>
    <w:rsid w:val="0019030B"/>
    <w:rsid w:val="00190CB0"/>
    <w:rsid w:val="001934C9"/>
    <w:rsid w:val="0019470D"/>
    <w:rsid w:val="00195601"/>
    <w:rsid w:val="001A174A"/>
    <w:rsid w:val="001A1D24"/>
    <w:rsid w:val="001B061C"/>
    <w:rsid w:val="001B3408"/>
    <w:rsid w:val="001B3CCA"/>
    <w:rsid w:val="001B3DE8"/>
    <w:rsid w:val="001B401D"/>
    <w:rsid w:val="001B6AD7"/>
    <w:rsid w:val="001C6726"/>
    <w:rsid w:val="001C7676"/>
    <w:rsid w:val="001C7E84"/>
    <w:rsid w:val="001D018B"/>
    <w:rsid w:val="001D11C9"/>
    <w:rsid w:val="001D2585"/>
    <w:rsid w:val="001D4C0E"/>
    <w:rsid w:val="001D6F12"/>
    <w:rsid w:val="001E35E9"/>
    <w:rsid w:val="001E3A4B"/>
    <w:rsid w:val="001F51B0"/>
    <w:rsid w:val="001F64FC"/>
    <w:rsid w:val="00203202"/>
    <w:rsid w:val="002038C7"/>
    <w:rsid w:val="0020403F"/>
    <w:rsid w:val="00204ED0"/>
    <w:rsid w:val="00205016"/>
    <w:rsid w:val="002055C5"/>
    <w:rsid w:val="00205D70"/>
    <w:rsid w:val="00211F93"/>
    <w:rsid w:val="00213561"/>
    <w:rsid w:val="00214D87"/>
    <w:rsid w:val="002238C1"/>
    <w:rsid w:val="00225BFE"/>
    <w:rsid w:val="0023046A"/>
    <w:rsid w:val="002304EC"/>
    <w:rsid w:val="00231C58"/>
    <w:rsid w:val="00233C77"/>
    <w:rsid w:val="00240474"/>
    <w:rsid w:val="00242483"/>
    <w:rsid w:val="00242B2A"/>
    <w:rsid w:val="00251090"/>
    <w:rsid w:val="00251DF3"/>
    <w:rsid w:val="002602AE"/>
    <w:rsid w:val="002628D0"/>
    <w:rsid w:val="00264C37"/>
    <w:rsid w:val="0026576A"/>
    <w:rsid w:val="00271B42"/>
    <w:rsid w:val="00271E20"/>
    <w:rsid w:val="00276591"/>
    <w:rsid w:val="00286A93"/>
    <w:rsid w:val="00290811"/>
    <w:rsid w:val="00292D7E"/>
    <w:rsid w:val="0029557B"/>
    <w:rsid w:val="002A38E9"/>
    <w:rsid w:val="002A3904"/>
    <w:rsid w:val="002A7CE2"/>
    <w:rsid w:val="002B03B1"/>
    <w:rsid w:val="002B28AD"/>
    <w:rsid w:val="002B4900"/>
    <w:rsid w:val="002B641E"/>
    <w:rsid w:val="002D054A"/>
    <w:rsid w:val="002D1162"/>
    <w:rsid w:val="002D1369"/>
    <w:rsid w:val="002D4D37"/>
    <w:rsid w:val="002D7DF0"/>
    <w:rsid w:val="002E3D11"/>
    <w:rsid w:val="002E481C"/>
    <w:rsid w:val="002E5E37"/>
    <w:rsid w:val="002F1160"/>
    <w:rsid w:val="002F2122"/>
    <w:rsid w:val="00304CE7"/>
    <w:rsid w:val="00310052"/>
    <w:rsid w:val="00313116"/>
    <w:rsid w:val="00314CBD"/>
    <w:rsid w:val="003232AA"/>
    <w:rsid w:val="00323BD7"/>
    <w:rsid w:val="003251E6"/>
    <w:rsid w:val="00331B5D"/>
    <w:rsid w:val="003334B0"/>
    <w:rsid w:val="00336D32"/>
    <w:rsid w:val="00346ED7"/>
    <w:rsid w:val="00347492"/>
    <w:rsid w:val="0035431C"/>
    <w:rsid w:val="00355A6F"/>
    <w:rsid w:val="00356106"/>
    <w:rsid w:val="0036223E"/>
    <w:rsid w:val="00363162"/>
    <w:rsid w:val="003644BC"/>
    <w:rsid w:val="00367AE6"/>
    <w:rsid w:val="0038287C"/>
    <w:rsid w:val="00384AD0"/>
    <w:rsid w:val="00386BCA"/>
    <w:rsid w:val="0039132B"/>
    <w:rsid w:val="003923B3"/>
    <w:rsid w:val="003959CA"/>
    <w:rsid w:val="003960A4"/>
    <w:rsid w:val="003960CC"/>
    <w:rsid w:val="00396C01"/>
    <w:rsid w:val="003B2252"/>
    <w:rsid w:val="003B5060"/>
    <w:rsid w:val="003C0956"/>
    <w:rsid w:val="003C1353"/>
    <w:rsid w:val="003C441F"/>
    <w:rsid w:val="003D0DEB"/>
    <w:rsid w:val="003D2CE3"/>
    <w:rsid w:val="003E5D6E"/>
    <w:rsid w:val="003E679D"/>
    <w:rsid w:val="003F01B4"/>
    <w:rsid w:val="003F0AEA"/>
    <w:rsid w:val="003F28B8"/>
    <w:rsid w:val="003F3355"/>
    <w:rsid w:val="003F45AD"/>
    <w:rsid w:val="003F57B3"/>
    <w:rsid w:val="004005ED"/>
    <w:rsid w:val="00403988"/>
    <w:rsid w:val="00404E50"/>
    <w:rsid w:val="0040617D"/>
    <w:rsid w:val="0041122B"/>
    <w:rsid w:val="00411364"/>
    <w:rsid w:val="00411D9F"/>
    <w:rsid w:val="00412DE0"/>
    <w:rsid w:val="0041317D"/>
    <w:rsid w:val="004137C5"/>
    <w:rsid w:val="00417E3F"/>
    <w:rsid w:val="004217A3"/>
    <w:rsid w:val="004218C0"/>
    <w:rsid w:val="00422F49"/>
    <w:rsid w:val="00424646"/>
    <w:rsid w:val="00442678"/>
    <w:rsid w:val="004448EE"/>
    <w:rsid w:val="00445B39"/>
    <w:rsid w:val="004468F6"/>
    <w:rsid w:val="00450F32"/>
    <w:rsid w:val="004510C9"/>
    <w:rsid w:val="0045208C"/>
    <w:rsid w:val="00452104"/>
    <w:rsid w:val="00463824"/>
    <w:rsid w:val="00467AC7"/>
    <w:rsid w:val="00470918"/>
    <w:rsid w:val="00473AF6"/>
    <w:rsid w:val="004800A1"/>
    <w:rsid w:val="0048457F"/>
    <w:rsid w:val="0049079B"/>
    <w:rsid w:val="00491504"/>
    <w:rsid w:val="00493DCD"/>
    <w:rsid w:val="004A1F4B"/>
    <w:rsid w:val="004B022A"/>
    <w:rsid w:val="004B216F"/>
    <w:rsid w:val="004B3B25"/>
    <w:rsid w:val="004B622E"/>
    <w:rsid w:val="004C1E00"/>
    <w:rsid w:val="004C2EC1"/>
    <w:rsid w:val="004C3700"/>
    <w:rsid w:val="004D000E"/>
    <w:rsid w:val="004D002F"/>
    <w:rsid w:val="004D38EB"/>
    <w:rsid w:val="004D56C5"/>
    <w:rsid w:val="004E4512"/>
    <w:rsid w:val="004F4F72"/>
    <w:rsid w:val="004F6156"/>
    <w:rsid w:val="00500A8D"/>
    <w:rsid w:val="00503356"/>
    <w:rsid w:val="00504560"/>
    <w:rsid w:val="00512393"/>
    <w:rsid w:val="00512F3E"/>
    <w:rsid w:val="005149B3"/>
    <w:rsid w:val="00521338"/>
    <w:rsid w:val="00521EE3"/>
    <w:rsid w:val="00524018"/>
    <w:rsid w:val="0052507E"/>
    <w:rsid w:val="00525D52"/>
    <w:rsid w:val="005266A7"/>
    <w:rsid w:val="00526782"/>
    <w:rsid w:val="0053029C"/>
    <w:rsid w:val="0053659D"/>
    <w:rsid w:val="005412EB"/>
    <w:rsid w:val="00541543"/>
    <w:rsid w:val="00541C8E"/>
    <w:rsid w:val="00544CDD"/>
    <w:rsid w:val="00547E9A"/>
    <w:rsid w:val="00553FC6"/>
    <w:rsid w:val="00554C3D"/>
    <w:rsid w:val="005553C3"/>
    <w:rsid w:val="0055691E"/>
    <w:rsid w:val="005645FF"/>
    <w:rsid w:val="005657F9"/>
    <w:rsid w:val="00572661"/>
    <w:rsid w:val="005729DD"/>
    <w:rsid w:val="00574ECD"/>
    <w:rsid w:val="005761A9"/>
    <w:rsid w:val="00577EC5"/>
    <w:rsid w:val="0058174F"/>
    <w:rsid w:val="00582AA0"/>
    <w:rsid w:val="00587706"/>
    <w:rsid w:val="00591676"/>
    <w:rsid w:val="00591A74"/>
    <w:rsid w:val="005939B4"/>
    <w:rsid w:val="00597A0F"/>
    <w:rsid w:val="005A46C4"/>
    <w:rsid w:val="005A5A6F"/>
    <w:rsid w:val="005A691E"/>
    <w:rsid w:val="005A7E28"/>
    <w:rsid w:val="005B2554"/>
    <w:rsid w:val="005B713E"/>
    <w:rsid w:val="005C19C4"/>
    <w:rsid w:val="005C3C1E"/>
    <w:rsid w:val="005C4229"/>
    <w:rsid w:val="005C75C8"/>
    <w:rsid w:val="005D4584"/>
    <w:rsid w:val="005D754B"/>
    <w:rsid w:val="005E02E2"/>
    <w:rsid w:val="005E09B1"/>
    <w:rsid w:val="005E3212"/>
    <w:rsid w:val="005E650B"/>
    <w:rsid w:val="005E6EA8"/>
    <w:rsid w:val="005E6EB1"/>
    <w:rsid w:val="005F2EF5"/>
    <w:rsid w:val="005F4B1F"/>
    <w:rsid w:val="005F4E9A"/>
    <w:rsid w:val="005F5491"/>
    <w:rsid w:val="005F5742"/>
    <w:rsid w:val="0060310B"/>
    <w:rsid w:val="00611F56"/>
    <w:rsid w:val="00612D23"/>
    <w:rsid w:val="00614200"/>
    <w:rsid w:val="00614500"/>
    <w:rsid w:val="00614B51"/>
    <w:rsid w:val="0062038A"/>
    <w:rsid w:val="006220C6"/>
    <w:rsid w:val="0062294F"/>
    <w:rsid w:val="00622DF5"/>
    <w:rsid w:val="0062342E"/>
    <w:rsid w:val="00625F4E"/>
    <w:rsid w:val="00626B96"/>
    <w:rsid w:val="006303EF"/>
    <w:rsid w:val="006320B2"/>
    <w:rsid w:val="006336AE"/>
    <w:rsid w:val="00635759"/>
    <w:rsid w:val="006360AA"/>
    <w:rsid w:val="00637BB9"/>
    <w:rsid w:val="00640683"/>
    <w:rsid w:val="00643376"/>
    <w:rsid w:val="0064453A"/>
    <w:rsid w:val="00660898"/>
    <w:rsid w:val="00660D0E"/>
    <w:rsid w:val="00663214"/>
    <w:rsid w:val="006649E8"/>
    <w:rsid w:val="006663F7"/>
    <w:rsid w:val="0067191C"/>
    <w:rsid w:val="00674288"/>
    <w:rsid w:val="006773AD"/>
    <w:rsid w:val="006861D3"/>
    <w:rsid w:val="006A18C0"/>
    <w:rsid w:val="006A1F83"/>
    <w:rsid w:val="006A286F"/>
    <w:rsid w:val="006A3BCB"/>
    <w:rsid w:val="006B2AA7"/>
    <w:rsid w:val="006B3DBC"/>
    <w:rsid w:val="006D04EB"/>
    <w:rsid w:val="006D1717"/>
    <w:rsid w:val="006E02C7"/>
    <w:rsid w:val="006E2281"/>
    <w:rsid w:val="006E3B2C"/>
    <w:rsid w:val="006E4C00"/>
    <w:rsid w:val="006F3356"/>
    <w:rsid w:val="006F515D"/>
    <w:rsid w:val="006F580E"/>
    <w:rsid w:val="006F74B7"/>
    <w:rsid w:val="006F7D5D"/>
    <w:rsid w:val="00701097"/>
    <w:rsid w:val="00701371"/>
    <w:rsid w:val="00704FFA"/>
    <w:rsid w:val="0070609B"/>
    <w:rsid w:val="00710F98"/>
    <w:rsid w:val="00712B34"/>
    <w:rsid w:val="007172A6"/>
    <w:rsid w:val="00721893"/>
    <w:rsid w:val="00722295"/>
    <w:rsid w:val="007326FC"/>
    <w:rsid w:val="00734CD5"/>
    <w:rsid w:val="00741DA6"/>
    <w:rsid w:val="00743534"/>
    <w:rsid w:val="00746AA8"/>
    <w:rsid w:val="00747737"/>
    <w:rsid w:val="007515D6"/>
    <w:rsid w:val="0075208C"/>
    <w:rsid w:val="00755819"/>
    <w:rsid w:val="00756C00"/>
    <w:rsid w:val="00757482"/>
    <w:rsid w:val="00757EF2"/>
    <w:rsid w:val="00760381"/>
    <w:rsid w:val="00763DEA"/>
    <w:rsid w:val="0076526D"/>
    <w:rsid w:val="0076600A"/>
    <w:rsid w:val="00771688"/>
    <w:rsid w:val="0077382D"/>
    <w:rsid w:val="0077543C"/>
    <w:rsid w:val="007765A0"/>
    <w:rsid w:val="00776604"/>
    <w:rsid w:val="00776CFF"/>
    <w:rsid w:val="00783EC8"/>
    <w:rsid w:val="007A1389"/>
    <w:rsid w:val="007A3938"/>
    <w:rsid w:val="007A583B"/>
    <w:rsid w:val="007A606D"/>
    <w:rsid w:val="007A696E"/>
    <w:rsid w:val="007B03A9"/>
    <w:rsid w:val="007B055E"/>
    <w:rsid w:val="007B2F66"/>
    <w:rsid w:val="007B794E"/>
    <w:rsid w:val="007B7F20"/>
    <w:rsid w:val="007C442D"/>
    <w:rsid w:val="007C4740"/>
    <w:rsid w:val="007C5055"/>
    <w:rsid w:val="007D30C7"/>
    <w:rsid w:val="007D46F3"/>
    <w:rsid w:val="007D69E2"/>
    <w:rsid w:val="007D6BC9"/>
    <w:rsid w:val="007E1F3B"/>
    <w:rsid w:val="007E7253"/>
    <w:rsid w:val="007E7561"/>
    <w:rsid w:val="007F258B"/>
    <w:rsid w:val="007F535B"/>
    <w:rsid w:val="007F75B4"/>
    <w:rsid w:val="00800351"/>
    <w:rsid w:val="00811E4D"/>
    <w:rsid w:val="00813D0D"/>
    <w:rsid w:val="00813D54"/>
    <w:rsid w:val="008172E6"/>
    <w:rsid w:val="00817567"/>
    <w:rsid w:val="00817B30"/>
    <w:rsid w:val="00826093"/>
    <w:rsid w:val="00827046"/>
    <w:rsid w:val="00833185"/>
    <w:rsid w:val="008332BE"/>
    <w:rsid w:val="008367DA"/>
    <w:rsid w:val="00841616"/>
    <w:rsid w:val="00853FCD"/>
    <w:rsid w:val="00854A5C"/>
    <w:rsid w:val="00855112"/>
    <w:rsid w:val="00855274"/>
    <w:rsid w:val="00855DE6"/>
    <w:rsid w:val="00856993"/>
    <w:rsid w:val="008577D4"/>
    <w:rsid w:val="008707DE"/>
    <w:rsid w:val="00875DA9"/>
    <w:rsid w:val="008829CB"/>
    <w:rsid w:val="00883507"/>
    <w:rsid w:val="00886234"/>
    <w:rsid w:val="00890394"/>
    <w:rsid w:val="0089136F"/>
    <w:rsid w:val="00897E9C"/>
    <w:rsid w:val="008A152A"/>
    <w:rsid w:val="008B2A2E"/>
    <w:rsid w:val="008B412C"/>
    <w:rsid w:val="008B5C6C"/>
    <w:rsid w:val="008C4381"/>
    <w:rsid w:val="008C52D2"/>
    <w:rsid w:val="008D162C"/>
    <w:rsid w:val="008D26EC"/>
    <w:rsid w:val="008D275F"/>
    <w:rsid w:val="008D50A3"/>
    <w:rsid w:val="008D5203"/>
    <w:rsid w:val="008E0B37"/>
    <w:rsid w:val="008E52FA"/>
    <w:rsid w:val="008E6226"/>
    <w:rsid w:val="008E686A"/>
    <w:rsid w:val="008F1BF8"/>
    <w:rsid w:val="008F30A5"/>
    <w:rsid w:val="00901F58"/>
    <w:rsid w:val="00905E97"/>
    <w:rsid w:val="00906008"/>
    <w:rsid w:val="009076B7"/>
    <w:rsid w:val="00911B08"/>
    <w:rsid w:val="00915E7A"/>
    <w:rsid w:val="009208FD"/>
    <w:rsid w:val="00920988"/>
    <w:rsid w:val="009212C8"/>
    <w:rsid w:val="00922420"/>
    <w:rsid w:val="009230E4"/>
    <w:rsid w:val="00924365"/>
    <w:rsid w:val="009245B3"/>
    <w:rsid w:val="009261F1"/>
    <w:rsid w:val="00926D51"/>
    <w:rsid w:val="0092755F"/>
    <w:rsid w:val="00927EAC"/>
    <w:rsid w:val="00930F87"/>
    <w:rsid w:val="009349DA"/>
    <w:rsid w:val="00937024"/>
    <w:rsid w:val="0094145C"/>
    <w:rsid w:val="009426F8"/>
    <w:rsid w:val="009465F7"/>
    <w:rsid w:val="00951379"/>
    <w:rsid w:val="00954D6F"/>
    <w:rsid w:val="0095598A"/>
    <w:rsid w:val="00956145"/>
    <w:rsid w:val="00965E25"/>
    <w:rsid w:val="0097616F"/>
    <w:rsid w:val="009779AD"/>
    <w:rsid w:val="009845EA"/>
    <w:rsid w:val="0098677A"/>
    <w:rsid w:val="00987F13"/>
    <w:rsid w:val="009944F7"/>
    <w:rsid w:val="009946A3"/>
    <w:rsid w:val="0099787B"/>
    <w:rsid w:val="009B270A"/>
    <w:rsid w:val="009B3FB0"/>
    <w:rsid w:val="009B5AE5"/>
    <w:rsid w:val="009C1EEC"/>
    <w:rsid w:val="009C2FE5"/>
    <w:rsid w:val="009D23A1"/>
    <w:rsid w:val="009D2C3F"/>
    <w:rsid w:val="009D31BF"/>
    <w:rsid w:val="009D4645"/>
    <w:rsid w:val="009D5C3E"/>
    <w:rsid w:val="009D6F50"/>
    <w:rsid w:val="009E06BA"/>
    <w:rsid w:val="009E4AEB"/>
    <w:rsid w:val="009E7BBD"/>
    <w:rsid w:val="009F3C21"/>
    <w:rsid w:val="009F6A28"/>
    <w:rsid w:val="009F706B"/>
    <w:rsid w:val="00A000A2"/>
    <w:rsid w:val="00A0129F"/>
    <w:rsid w:val="00A02378"/>
    <w:rsid w:val="00A059DC"/>
    <w:rsid w:val="00A05DC0"/>
    <w:rsid w:val="00A07BFC"/>
    <w:rsid w:val="00A12ADA"/>
    <w:rsid w:val="00A12E65"/>
    <w:rsid w:val="00A1359F"/>
    <w:rsid w:val="00A150AC"/>
    <w:rsid w:val="00A15318"/>
    <w:rsid w:val="00A15995"/>
    <w:rsid w:val="00A21085"/>
    <w:rsid w:val="00A23408"/>
    <w:rsid w:val="00A25894"/>
    <w:rsid w:val="00A32804"/>
    <w:rsid w:val="00A35A8E"/>
    <w:rsid w:val="00A36149"/>
    <w:rsid w:val="00A36B99"/>
    <w:rsid w:val="00A3748A"/>
    <w:rsid w:val="00A4132A"/>
    <w:rsid w:val="00A44ECF"/>
    <w:rsid w:val="00A4644B"/>
    <w:rsid w:val="00A509D9"/>
    <w:rsid w:val="00A52A81"/>
    <w:rsid w:val="00A5707E"/>
    <w:rsid w:val="00A612E1"/>
    <w:rsid w:val="00A61A56"/>
    <w:rsid w:val="00A71A73"/>
    <w:rsid w:val="00A776F9"/>
    <w:rsid w:val="00A8456C"/>
    <w:rsid w:val="00A84B94"/>
    <w:rsid w:val="00A85FB0"/>
    <w:rsid w:val="00A87BB9"/>
    <w:rsid w:val="00A912FE"/>
    <w:rsid w:val="00A929DC"/>
    <w:rsid w:val="00A94C45"/>
    <w:rsid w:val="00A961D6"/>
    <w:rsid w:val="00AA68D7"/>
    <w:rsid w:val="00AA6E61"/>
    <w:rsid w:val="00AA728E"/>
    <w:rsid w:val="00AA7E69"/>
    <w:rsid w:val="00AB21CA"/>
    <w:rsid w:val="00AB4D57"/>
    <w:rsid w:val="00AB5EF6"/>
    <w:rsid w:val="00AB6069"/>
    <w:rsid w:val="00AC08A6"/>
    <w:rsid w:val="00AC600C"/>
    <w:rsid w:val="00AC7802"/>
    <w:rsid w:val="00AD57BD"/>
    <w:rsid w:val="00AD6289"/>
    <w:rsid w:val="00AE2961"/>
    <w:rsid w:val="00AF2680"/>
    <w:rsid w:val="00AF3520"/>
    <w:rsid w:val="00AF4A77"/>
    <w:rsid w:val="00AF7910"/>
    <w:rsid w:val="00B061F5"/>
    <w:rsid w:val="00B114D0"/>
    <w:rsid w:val="00B14BEA"/>
    <w:rsid w:val="00B15289"/>
    <w:rsid w:val="00B15D5A"/>
    <w:rsid w:val="00B215AA"/>
    <w:rsid w:val="00B21DAD"/>
    <w:rsid w:val="00B35024"/>
    <w:rsid w:val="00B35F12"/>
    <w:rsid w:val="00B435D0"/>
    <w:rsid w:val="00B43A27"/>
    <w:rsid w:val="00B4585B"/>
    <w:rsid w:val="00B4603A"/>
    <w:rsid w:val="00B5030E"/>
    <w:rsid w:val="00B57F8F"/>
    <w:rsid w:val="00B6008C"/>
    <w:rsid w:val="00B607E9"/>
    <w:rsid w:val="00B608AA"/>
    <w:rsid w:val="00B642A6"/>
    <w:rsid w:val="00B66011"/>
    <w:rsid w:val="00B661CB"/>
    <w:rsid w:val="00B714DD"/>
    <w:rsid w:val="00B7390F"/>
    <w:rsid w:val="00B74409"/>
    <w:rsid w:val="00B8087B"/>
    <w:rsid w:val="00B80A32"/>
    <w:rsid w:val="00B83791"/>
    <w:rsid w:val="00B8635D"/>
    <w:rsid w:val="00B86577"/>
    <w:rsid w:val="00B878BC"/>
    <w:rsid w:val="00B90A2C"/>
    <w:rsid w:val="00B91420"/>
    <w:rsid w:val="00B97652"/>
    <w:rsid w:val="00BA0552"/>
    <w:rsid w:val="00BA2BCC"/>
    <w:rsid w:val="00BA31B8"/>
    <w:rsid w:val="00BA5BF6"/>
    <w:rsid w:val="00BA5D31"/>
    <w:rsid w:val="00BA6DC7"/>
    <w:rsid w:val="00BB6650"/>
    <w:rsid w:val="00BC1FAB"/>
    <w:rsid w:val="00BC209E"/>
    <w:rsid w:val="00BC5347"/>
    <w:rsid w:val="00BC6D2F"/>
    <w:rsid w:val="00BD1534"/>
    <w:rsid w:val="00BD270A"/>
    <w:rsid w:val="00BE1767"/>
    <w:rsid w:val="00BE48F0"/>
    <w:rsid w:val="00BE4940"/>
    <w:rsid w:val="00BE5A5F"/>
    <w:rsid w:val="00BF3A49"/>
    <w:rsid w:val="00BF46AB"/>
    <w:rsid w:val="00BF6533"/>
    <w:rsid w:val="00C013BC"/>
    <w:rsid w:val="00C01C9B"/>
    <w:rsid w:val="00C049C4"/>
    <w:rsid w:val="00C05217"/>
    <w:rsid w:val="00C06735"/>
    <w:rsid w:val="00C139B5"/>
    <w:rsid w:val="00C13EF0"/>
    <w:rsid w:val="00C1625F"/>
    <w:rsid w:val="00C17825"/>
    <w:rsid w:val="00C17B0C"/>
    <w:rsid w:val="00C276D1"/>
    <w:rsid w:val="00C30EC4"/>
    <w:rsid w:val="00C34031"/>
    <w:rsid w:val="00C36B03"/>
    <w:rsid w:val="00C36B33"/>
    <w:rsid w:val="00C4167D"/>
    <w:rsid w:val="00C42734"/>
    <w:rsid w:val="00C43FF6"/>
    <w:rsid w:val="00C5107B"/>
    <w:rsid w:val="00C61B11"/>
    <w:rsid w:val="00C636EA"/>
    <w:rsid w:val="00C70365"/>
    <w:rsid w:val="00C81205"/>
    <w:rsid w:val="00C83435"/>
    <w:rsid w:val="00C85656"/>
    <w:rsid w:val="00C85DFE"/>
    <w:rsid w:val="00C9272C"/>
    <w:rsid w:val="00C93C24"/>
    <w:rsid w:val="00C93DEF"/>
    <w:rsid w:val="00C96148"/>
    <w:rsid w:val="00C973A9"/>
    <w:rsid w:val="00CA3667"/>
    <w:rsid w:val="00CB324D"/>
    <w:rsid w:val="00CB4E59"/>
    <w:rsid w:val="00CB59B4"/>
    <w:rsid w:val="00CB6F8F"/>
    <w:rsid w:val="00CB7CCE"/>
    <w:rsid w:val="00CC4B2D"/>
    <w:rsid w:val="00CD1733"/>
    <w:rsid w:val="00CD32F7"/>
    <w:rsid w:val="00CD55FF"/>
    <w:rsid w:val="00CE0D0C"/>
    <w:rsid w:val="00CE2A29"/>
    <w:rsid w:val="00CE512F"/>
    <w:rsid w:val="00CF175D"/>
    <w:rsid w:val="00CF25AC"/>
    <w:rsid w:val="00CF25D5"/>
    <w:rsid w:val="00CF4E22"/>
    <w:rsid w:val="00CF589A"/>
    <w:rsid w:val="00CF78F6"/>
    <w:rsid w:val="00D02E3F"/>
    <w:rsid w:val="00D03881"/>
    <w:rsid w:val="00D03E3F"/>
    <w:rsid w:val="00D052D2"/>
    <w:rsid w:val="00D10DC7"/>
    <w:rsid w:val="00D1390B"/>
    <w:rsid w:val="00D14A20"/>
    <w:rsid w:val="00D2000F"/>
    <w:rsid w:val="00D21100"/>
    <w:rsid w:val="00D260CC"/>
    <w:rsid w:val="00D267CB"/>
    <w:rsid w:val="00D27B90"/>
    <w:rsid w:val="00D34C5C"/>
    <w:rsid w:val="00D37379"/>
    <w:rsid w:val="00D405D9"/>
    <w:rsid w:val="00D405EC"/>
    <w:rsid w:val="00D418DD"/>
    <w:rsid w:val="00D42709"/>
    <w:rsid w:val="00D46117"/>
    <w:rsid w:val="00D504FE"/>
    <w:rsid w:val="00D534A0"/>
    <w:rsid w:val="00D63F81"/>
    <w:rsid w:val="00D647AD"/>
    <w:rsid w:val="00D76D99"/>
    <w:rsid w:val="00D84622"/>
    <w:rsid w:val="00D85654"/>
    <w:rsid w:val="00D87F4E"/>
    <w:rsid w:val="00D91275"/>
    <w:rsid w:val="00D93D54"/>
    <w:rsid w:val="00D97C6E"/>
    <w:rsid w:val="00DA141F"/>
    <w:rsid w:val="00DA4A7D"/>
    <w:rsid w:val="00DA5FDA"/>
    <w:rsid w:val="00DA6185"/>
    <w:rsid w:val="00DA66A9"/>
    <w:rsid w:val="00DA7377"/>
    <w:rsid w:val="00DB33C9"/>
    <w:rsid w:val="00DB79E1"/>
    <w:rsid w:val="00DC5A71"/>
    <w:rsid w:val="00DD30C8"/>
    <w:rsid w:val="00DD7ED0"/>
    <w:rsid w:val="00DE33A6"/>
    <w:rsid w:val="00DF2B72"/>
    <w:rsid w:val="00E0039C"/>
    <w:rsid w:val="00E1166E"/>
    <w:rsid w:val="00E11A8A"/>
    <w:rsid w:val="00E1250B"/>
    <w:rsid w:val="00E1503E"/>
    <w:rsid w:val="00E20894"/>
    <w:rsid w:val="00E34402"/>
    <w:rsid w:val="00E37ED2"/>
    <w:rsid w:val="00E431D7"/>
    <w:rsid w:val="00E43C2F"/>
    <w:rsid w:val="00E4722A"/>
    <w:rsid w:val="00E5308E"/>
    <w:rsid w:val="00E53C66"/>
    <w:rsid w:val="00E553B9"/>
    <w:rsid w:val="00E65DC0"/>
    <w:rsid w:val="00E711D2"/>
    <w:rsid w:val="00E737CF"/>
    <w:rsid w:val="00E74248"/>
    <w:rsid w:val="00E76BE9"/>
    <w:rsid w:val="00E776F0"/>
    <w:rsid w:val="00E81CE0"/>
    <w:rsid w:val="00E85F80"/>
    <w:rsid w:val="00E949B6"/>
    <w:rsid w:val="00E95778"/>
    <w:rsid w:val="00E95923"/>
    <w:rsid w:val="00E959A7"/>
    <w:rsid w:val="00E96FC5"/>
    <w:rsid w:val="00EA02E9"/>
    <w:rsid w:val="00EA14E8"/>
    <w:rsid w:val="00EA2423"/>
    <w:rsid w:val="00EA4398"/>
    <w:rsid w:val="00EA4530"/>
    <w:rsid w:val="00EB2D15"/>
    <w:rsid w:val="00EB36F6"/>
    <w:rsid w:val="00EB5D42"/>
    <w:rsid w:val="00EC193F"/>
    <w:rsid w:val="00EC2465"/>
    <w:rsid w:val="00EC747E"/>
    <w:rsid w:val="00ED3A61"/>
    <w:rsid w:val="00ED4B44"/>
    <w:rsid w:val="00ED69E7"/>
    <w:rsid w:val="00ED7185"/>
    <w:rsid w:val="00EE13C7"/>
    <w:rsid w:val="00EE1DF5"/>
    <w:rsid w:val="00EE798E"/>
    <w:rsid w:val="00EF1AAA"/>
    <w:rsid w:val="00EF4D9C"/>
    <w:rsid w:val="00EF760B"/>
    <w:rsid w:val="00F00105"/>
    <w:rsid w:val="00F04F2E"/>
    <w:rsid w:val="00F05B95"/>
    <w:rsid w:val="00F0609E"/>
    <w:rsid w:val="00F077A5"/>
    <w:rsid w:val="00F07DD3"/>
    <w:rsid w:val="00F1072C"/>
    <w:rsid w:val="00F1750E"/>
    <w:rsid w:val="00F17728"/>
    <w:rsid w:val="00F206FF"/>
    <w:rsid w:val="00F2180B"/>
    <w:rsid w:val="00F24B16"/>
    <w:rsid w:val="00F25780"/>
    <w:rsid w:val="00F32E3E"/>
    <w:rsid w:val="00F35F55"/>
    <w:rsid w:val="00F40196"/>
    <w:rsid w:val="00F42C9C"/>
    <w:rsid w:val="00F42DB5"/>
    <w:rsid w:val="00F4310D"/>
    <w:rsid w:val="00F46C9C"/>
    <w:rsid w:val="00F46E44"/>
    <w:rsid w:val="00F51539"/>
    <w:rsid w:val="00F55145"/>
    <w:rsid w:val="00F555A0"/>
    <w:rsid w:val="00F577F5"/>
    <w:rsid w:val="00F6203B"/>
    <w:rsid w:val="00F626DA"/>
    <w:rsid w:val="00F6290A"/>
    <w:rsid w:val="00F671FB"/>
    <w:rsid w:val="00F67A7D"/>
    <w:rsid w:val="00F67DB4"/>
    <w:rsid w:val="00F7153A"/>
    <w:rsid w:val="00F715FD"/>
    <w:rsid w:val="00F74298"/>
    <w:rsid w:val="00F7659A"/>
    <w:rsid w:val="00F81909"/>
    <w:rsid w:val="00F83761"/>
    <w:rsid w:val="00F860FE"/>
    <w:rsid w:val="00F87653"/>
    <w:rsid w:val="00F9003A"/>
    <w:rsid w:val="00F90457"/>
    <w:rsid w:val="00F9182F"/>
    <w:rsid w:val="00F97156"/>
    <w:rsid w:val="00FA69D0"/>
    <w:rsid w:val="00FA77FD"/>
    <w:rsid w:val="00FB116E"/>
    <w:rsid w:val="00FB5838"/>
    <w:rsid w:val="00FC0195"/>
    <w:rsid w:val="00FC65E6"/>
    <w:rsid w:val="00FC7482"/>
    <w:rsid w:val="00FE06FA"/>
    <w:rsid w:val="00FE0E34"/>
    <w:rsid w:val="00FF0832"/>
    <w:rsid w:val="00FF0D83"/>
    <w:rsid w:val="00FF3ABD"/>
    <w:rsid w:val="00FF4B8C"/>
    <w:rsid w:val="00FF66C4"/>
    <w:rsid w:val="00FF699E"/>
    <w:rsid w:val="00FF79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style="mso-position-horizontal-relative:page;mso-position-vertical:center;mso-position-vertical-relative:bottom-margin-area" o:allowincell="f">
      <o:colormru v:ext="edit" colors="#2818f4,#03c,#009,#039"/>
      <o:colormenu v:ext="edit" fillcolor="#039"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E8"/>
    <w:pPr>
      <w:autoSpaceDE w:val="0"/>
      <w:autoSpaceDN w:val="0"/>
      <w:adjustRightInd w:val="0"/>
    </w:pPr>
    <w:rPr>
      <w:rFonts w:ascii="Arial" w:hAnsi="Arial" w:cs="Arial"/>
      <w:sz w:val="24"/>
      <w:szCs w:val="24"/>
      <w:lang w:val="en-GB"/>
    </w:rPr>
  </w:style>
  <w:style w:type="paragraph" w:styleId="Heading1">
    <w:name w:val="heading 1"/>
    <w:basedOn w:val="Normal"/>
    <w:next w:val="Normal"/>
    <w:link w:val="Heading1Char"/>
    <w:uiPriority w:val="9"/>
    <w:qFormat/>
    <w:rsid w:val="00EE798E"/>
    <w:pPr>
      <w:keepNext/>
      <w:keepLines/>
      <w:spacing w:before="240" w:after="1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0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55A8"/>
    <w:rPr>
      <w:rFonts w:ascii="Tahoma" w:hAnsi="Tahoma" w:cs="Tahoma"/>
      <w:sz w:val="16"/>
      <w:szCs w:val="16"/>
    </w:rPr>
  </w:style>
  <w:style w:type="character" w:customStyle="1" w:styleId="DocumentMapChar">
    <w:name w:val="Document Map Char"/>
    <w:basedOn w:val="DefaultParagraphFont"/>
    <w:link w:val="DocumentMap"/>
    <w:uiPriority w:val="99"/>
    <w:semiHidden/>
    <w:rsid w:val="000D55A8"/>
    <w:rPr>
      <w:rFonts w:ascii="Tahoma" w:hAnsi="Tahoma" w:cs="Tahoma"/>
      <w:sz w:val="16"/>
      <w:szCs w:val="16"/>
    </w:rPr>
  </w:style>
  <w:style w:type="paragraph" w:styleId="BalloonText">
    <w:name w:val="Balloon Text"/>
    <w:basedOn w:val="Normal"/>
    <w:link w:val="BalloonTextChar"/>
    <w:uiPriority w:val="99"/>
    <w:semiHidden/>
    <w:unhideWhenUsed/>
    <w:rsid w:val="000D55A8"/>
    <w:rPr>
      <w:rFonts w:ascii="Tahoma" w:hAnsi="Tahoma" w:cs="Tahoma"/>
      <w:sz w:val="16"/>
      <w:szCs w:val="16"/>
    </w:rPr>
  </w:style>
  <w:style w:type="character" w:customStyle="1" w:styleId="BalloonTextChar">
    <w:name w:val="Balloon Text Char"/>
    <w:basedOn w:val="DefaultParagraphFont"/>
    <w:link w:val="BalloonText"/>
    <w:uiPriority w:val="99"/>
    <w:semiHidden/>
    <w:rsid w:val="000D55A8"/>
    <w:rPr>
      <w:rFonts w:ascii="Tahoma" w:hAnsi="Tahoma" w:cs="Tahoma"/>
      <w:sz w:val="16"/>
      <w:szCs w:val="16"/>
    </w:rPr>
  </w:style>
  <w:style w:type="paragraph" w:customStyle="1" w:styleId="Default">
    <w:name w:val="Default"/>
    <w:rsid w:val="003F28B8"/>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E798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8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B7CCE"/>
    <w:pPr>
      <w:tabs>
        <w:tab w:val="center" w:pos="4819"/>
        <w:tab w:val="right" w:pos="9638"/>
      </w:tabs>
    </w:pPr>
  </w:style>
  <w:style w:type="character" w:customStyle="1" w:styleId="HeaderChar">
    <w:name w:val="Header Char"/>
    <w:basedOn w:val="DefaultParagraphFont"/>
    <w:link w:val="Header"/>
    <w:uiPriority w:val="99"/>
    <w:rsid w:val="00CB7CCE"/>
  </w:style>
  <w:style w:type="paragraph" w:styleId="Footer">
    <w:name w:val="footer"/>
    <w:basedOn w:val="Normal"/>
    <w:link w:val="FooterChar"/>
    <w:uiPriority w:val="99"/>
    <w:unhideWhenUsed/>
    <w:rsid w:val="00CB7CCE"/>
    <w:pPr>
      <w:tabs>
        <w:tab w:val="center" w:pos="4819"/>
        <w:tab w:val="right" w:pos="9638"/>
      </w:tabs>
    </w:pPr>
  </w:style>
  <w:style w:type="character" w:customStyle="1" w:styleId="FooterChar">
    <w:name w:val="Footer Char"/>
    <w:basedOn w:val="DefaultParagraphFont"/>
    <w:link w:val="Footer"/>
    <w:uiPriority w:val="99"/>
    <w:rsid w:val="00CB7CCE"/>
  </w:style>
  <w:style w:type="character" w:styleId="PlaceholderText">
    <w:name w:val="Placeholder Text"/>
    <w:basedOn w:val="DefaultParagraphFont"/>
    <w:uiPriority w:val="99"/>
    <w:semiHidden/>
    <w:rsid w:val="00E65DC0"/>
    <w:rPr>
      <w:color w:val="808080"/>
    </w:rPr>
  </w:style>
  <w:style w:type="paragraph" w:styleId="FootnoteText">
    <w:name w:val="footnote text"/>
    <w:basedOn w:val="Normal"/>
    <w:link w:val="FootnoteTextChar"/>
    <w:uiPriority w:val="99"/>
    <w:unhideWhenUsed/>
    <w:rsid w:val="00E65DC0"/>
    <w:rPr>
      <w:sz w:val="20"/>
      <w:szCs w:val="20"/>
    </w:rPr>
  </w:style>
  <w:style w:type="character" w:customStyle="1" w:styleId="FootnoteTextChar">
    <w:name w:val="Footnote Text Char"/>
    <w:basedOn w:val="DefaultParagraphFont"/>
    <w:link w:val="FootnoteText"/>
    <w:uiPriority w:val="99"/>
    <w:rsid w:val="00E65DC0"/>
    <w:rPr>
      <w:sz w:val="20"/>
      <w:szCs w:val="20"/>
    </w:rPr>
  </w:style>
  <w:style w:type="character" w:styleId="FootnoteReference">
    <w:name w:val="footnote reference"/>
    <w:basedOn w:val="DefaultParagraphFont"/>
    <w:uiPriority w:val="99"/>
    <w:semiHidden/>
    <w:unhideWhenUsed/>
    <w:rsid w:val="00E65DC0"/>
    <w:rPr>
      <w:vertAlign w:val="superscript"/>
    </w:rPr>
  </w:style>
  <w:style w:type="paragraph" w:styleId="TOCHeading">
    <w:name w:val="TOC Heading"/>
    <w:basedOn w:val="Heading1"/>
    <w:next w:val="Normal"/>
    <w:uiPriority w:val="39"/>
    <w:unhideWhenUsed/>
    <w:qFormat/>
    <w:rsid w:val="00271E20"/>
    <w:pPr>
      <w:autoSpaceDE/>
      <w:autoSpaceDN/>
      <w:adjustRightInd/>
      <w:spacing w:before="480" w:line="276" w:lineRule="auto"/>
      <w:jc w:val="left"/>
      <w:outlineLvl w:val="9"/>
    </w:pPr>
    <w:rPr>
      <w:lang w:val="it-IT"/>
    </w:rPr>
  </w:style>
  <w:style w:type="paragraph" w:styleId="TOC1">
    <w:name w:val="toc 1"/>
    <w:basedOn w:val="Normal"/>
    <w:next w:val="Normal"/>
    <w:autoRedefine/>
    <w:uiPriority w:val="39"/>
    <w:unhideWhenUsed/>
    <w:qFormat/>
    <w:rsid w:val="00271E20"/>
    <w:pPr>
      <w:spacing w:after="100"/>
    </w:pPr>
  </w:style>
  <w:style w:type="paragraph" w:styleId="TOC2">
    <w:name w:val="toc 2"/>
    <w:basedOn w:val="Normal"/>
    <w:next w:val="Normal"/>
    <w:autoRedefine/>
    <w:uiPriority w:val="39"/>
    <w:unhideWhenUsed/>
    <w:qFormat/>
    <w:rsid w:val="00271E20"/>
    <w:pPr>
      <w:spacing w:after="100"/>
      <w:ind w:left="240"/>
    </w:pPr>
  </w:style>
  <w:style w:type="character" w:styleId="Hyperlink">
    <w:name w:val="Hyperlink"/>
    <w:basedOn w:val="DefaultParagraphFont"/>
    <w:uiPriority w:val="99"/>
    <w:unhideWhenUsed/>
    <w:qFormat/>
    <w:rsid w:val="00271E20"/>
    <w:rPr>
      <w:color w:val="0000FF" w:themeColor="hyperlink"/>
      <w:u w:val="single"/>
    </w:rPr>
  </w:style>
  <w:style w:type="paragraph" w:styleId="TOC3">
    <w:name w:val="toc 3"/>
    <w:basedOn w:val="Normal"/>
    <w:next w:val="Normal"/>
    <w:autoRedefine/>
    <w:uiPriority w:val="39"/>
    <w:unhideWhenUsed/>
    <w:qFormat/>
    <w:rsid w:val="00EE798E"/>
    <w:pPr>
      <w:autoSpaceDE/>
      <w:autoSpaceDN/>
      <w:adjustRightInd/>
      <w:spacing w:after="100" w:line="276" w:lineRule="auto"/>
      <w:ind w:left="440"/>
      <w:jc w:val="left"/>
    </w:pPr>
    <w:rPr>
      <w:rFonts w:asciiTheme="minorHAnsi" w:eastAsiaTheme="minorEastAsia" w:hAnsiTheme="minorHAnsi" w:cstheme="minorBidi"/>
      <w:sz w:val="22"/>
      <w:szCs w:val="22"/>
      <w:lang w:val="it-IT"/>
    </w:rPr>
  </w:style>
  <w:style w:type="character" w:styleId="LineNumber">
    <w:name w:val="line number"/>
    <w:basedOn w:val="DefaultParagraphFont"/>
    <w:uiPriority w:val="99"/>
    <w:semiHidden/>
    <w:unhideWhenUsed/>
    <w:rsid w:val="00A4132A"/>
  </w:style>
  <w:style w:type="paragraph" w:styleId="ListParagraph">
    <w:name w:val="List Paragraph"/>
    <w:basedOn w:val="Normal"/>
    <w:uiPriority w:val="34"/>
    <w:qFormat/>
    <w:rsid w:val="00A4132A"/>
    <w:pPr>
      <w:ind w:left="720"/>
      <w:contextualSpacing/>
    </w:pPr>
  </w:style>
  <w:style w:type="paragraph" w:customStyle="1" w:styleId="Notapidipagina">
    <w:name w:val="Nota pié di pagina"/>
    <w:basedOn w:val="FootnoteText"/>
    <w:link w:val="NotapidipaginaCarattere"/>
    <w:qFormat/>
    <w:rsid w:val="00643376"/>
    <w:pPr>
      <w:spacing w:after="120"/>
      <w:ind w:left="142" w:hanging="142"/>
      <w:mirrorIndents/>
    </w:pPr>
  </w:style>
  <w:style w:type="character" w:customStyle="1" w:styleId="Heading3Char">
    <w:name w:val="Heading 3 Char"/>
    <w:basedOn w:val="DefaultParagraphFont"/>
    <w:link w:val="Heading3"/>
    <w:uiPriority w:val="9"/>
    <w:rsid w:val="00757482"/>
    <w:rPr>
      <w:rFonts w:asciiTheme="majorHAnsi" w:eastAsiaTheme="majorEastAsia" w:hAnsiTheme="majorHAnsi" w:cstheme="majorBidi"/>
      <w:b/>
      <w:bCs/>
      <w:color w:val="4F81BD" w:themeColor="accent1"/>
      <w:sz w:val="24"/>
      <w:szCs w:val="24"/>
      <w:lang w:val="en-GB"/>
    </w:rPr>
  </w:style>
  <w:style w:type="character" w:customStyle="1" w:styleId="NotapidipaginaCarattere">
    <w:name w:val="Nota pié di pagina Carattere"/>
    <w:basedOn w:val="FootnoteTextChar"/>
    <w:link w:val="Notapidipagina"/>
    <w:rsid w:val="00643376"/>
    <w:rPr>
      <w:rFonts w:ascii="Arial" w:hAnsi="Arial" w:cs="Arial"/>
      <w:lang w:val="en-GB"/>
    </w:rPr>
  </w:style>
  <w:style w:type="table" w:customStyle="1" w:styleId="Sfondochiaro-Colore11">
    <w:name w:val="Sfondo chiaro - Colore 11"/>
    <w:basedOn w:val="TableNormal"/>
    <w:uiPriority w:val="60"/>
    <w:rsid w:val="00EA14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leNormal"/>
    <w:uiPriority w:val="63"/>
    <w:rsid w:val="00091E0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091E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odyText2">
    <w:name w:val="Body Text 2"/>
    <w:basedOn w:val="Normal"/>
    <w:link w:val="BodyText2Char"/>
    <w:semiHidden/>
    <w:rsid w:val="003F3355"/>
    <w:pPr>
      <w:autoSpaceDE/>
      <w:autoSpaceDN/>
      <w:adjustRightInd/>
      <w:spacing w:after="120"/>
    </w:pPr>
    <w:rPr>
      <w:rFonts w:eastAsia="Times New Roman" w:cs="Times New Roman"/>
    </w:rPr>
  </w:style>
  <w:style w:type="character" w:customStyle="1" w:styleId="BodyText2Char">
    <w:name w:val="Body Text 2 Char"/>
    <w:basedOn w:val="DefaultParagraphFont"/>
    <w:link w:val="BodyText2"/>
    <w:semiHidden/>
    <w:rsid w:val="003F3355"/>
    <w:rPr>
      <w:rFonts w:ascii="Arial" w:eastAsia="Times New Roman" w:hAnsi="Arial" w:cs="Times New Roman"/>
      <w:sz w:val="24"/>
      <w:szCs w:val="24"/>
      <w:lang w:val="en-GB"/>
    </w:rPr>
  </w:style>
  <w:style w:type="table" w:customStyle="1" w:styleId="Elencochiaro-Colore11">
    <w:name w:val="Elenco chiaro - Colore 11"/>
    <w:basedOn w:val="TableNormal"/>
    <w:uiPriority w:val="61"/>
    <w:rsid w:val="006D17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712B3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712B3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44791984">
      <w:bodyDiv w:val="1"/>
      <w:marLeft w:val="0"/>
      <w:marRight w:val="0"/>
      <w:marTop w:val="0"/>
      <w:marBottom w:val="0"/>
      <w:divBdr>
        <w:top w:val="none" w:sz="0" w:space="0" w:color="auto"/>
        <w:left w:val="none" w:sz="0" w:space="0" w:color="auto"/>
        <w:bottom w:val="none" w:sz="0" w:space="0" w:color="auto"/>
        <w:right w:val="none" w:sz="0" w:space="0" w:color="auto"/>
      </w:divBdr>
    </w:div>
    <w:div w:id="164396938">
      <w:bodyDiv w:val="1"/>
      <w:marLeft w:val="0"/>
      <w:marRight w:val="0"/>
      <w:marTop w:val="0"/>
      <w:marBottom w:val="0"/>
      <w:divBdr>
        <w:top w:val="none" w:sz="0" w:space="0" w:color="auto"/>
        <w:left w:val="none" w:sz="0" w:space="0" w:color="auto"/>
        <w:bottom w:val="none" w:sz="0" w:space="0" w:color="auto"/>
        <w:right w:val="none" w:sz="0" w:space="0" w:color="auto"/>
      </w:divBdr>
    </w:div>
    <w:div w:id="209342015">
      <w:bodyDiv w:val="1"/>
      <w:marLeft w:val="0"/>
      <w:marRight w:val="0"/>
      <w:marTop w:val="0"/>
      <w:marBottom w:val="0"/>
      <w:divBdr>
        <w:top w:val="none" w:sz="0" w:space="0" w:color="auto"/>
        <w:left w:val="none" w:sz="0" w:space="0" w:color="auto"/>
        <w:bottom w:val="none" w:sz="0" w:space="0" w:color="auto"/>
        <w:right w:val="none" w:sz="0" w:space="0" w:color="auto"/>
      </w:divBdr>
    </w:div>
    <w:div w:id="539323422">
      <w:bodyDiv w:val="1"/>
      <w:marLeft w:val="0"/>
      <w:marRight w:val="0"/>
      <w:marTop w:val="0"/>
      <w:marBottom w:val="0"/>
      <w:divBdr>
        <w:top w:val="none" w:sz="0" w:space="0" w:color="auto"/>
        <w:left w:val="none" w:sz="0" w:space="0" w:color="auto"/>
        <w:bottom w:val="none" w:sz="0" w:space="0" w:color="auto"/>
        <w:right w:val="none" w:sz="0" w:space="0" w:color="auto"/>
      </w:divBdr>
    </w:div>
    <w:div w:id="649482512">
      <w:bodyDiv w:val="1"/>
      <w:marLeft w:val="0"/>
      <w:marRight w:val="0"/>
      <w:marTop w:val="0"/>
      <w:marBottom w:val="0"/>
      <w:divBdr>
        <w:top w:val="none" w:sz="0" w:space="0" w:color="auto"/>
        <w:left w:val="none" w:sz="0" w:space="0" w:color="auto"/>
        <w:bottom w:val="none" w:sz="0" w:space="0" w:color="auto"/>
        <w:right w:val="none" w:sz="0" w:space="0" w:color="auto"/>
      </w:divBdr>
    </w:div>
    <w:div w:id="707219646">
      <w:bodyDiv w:val="1"/>
      <w:marLeft w:val="0"/>
      <w:marRight w:val="0"/>
      <w:marTop w:val="0"/>
      <w:marBottom w:val="0"/>
      <w:divBdr>
        <w:top w:val="none" w:sz="0" w:space="0" w:color="auto"/>
        <w:left w:val="none" w:sz="0" w:space="0" w:color="auto"/>
        <w:bottom w:val="none" w:sz="0" w:space="0" w:color="auto"/>
        <w:right w:val="none" w:sz="0" w:space="0" w:color="auto"/>
      </w:divBdr>
    </w:div>
    <w:div w:id="865019736">
      <w:bodyDiv w:val="1"/>
      <w:marLeft w:val="0"/>
      <w:marRight w:val="0"/>
      <w:marTop w:val="0"/>
      <w:marBottom w:val="0"/>
      <w:divBdr>
        <w:top w:val="none" w:sz="0" w:space="0" w:color="auto"/>
        <w:left w:val="none" w:sz="0" w:space="0" w:color="auto"/>
        <w:bottom w:val="none" w:sz="0" w:space="0" w:color="auto"/>
        <w:right w:val="none" w:sz="0" w:space="0" w:color="auto"/>
      </w:divBdr>
    </w:div>
    <w:div w:id="1442456693">
      <w:bodyDiv w:val="1"/>
      <w:marLeft w:val="0"/>
      <w:marRight w:val="0"/>
      <w:marTop w:val="0"/>
      <w:marBottom w:val="0"/>
      <w:divBdr>
        <w:top w:val="none" w:sz="0" w:space="0" w:color="auto"/>
        <w:left w:val="none" w:sz="0" w:space="0" w:color="auto"/>
        <w:bottom w:val="none" w:sz="0" w:space="0" w:color="auto"/>
        <w:right w:val="none" w:sz="0" w:space="0" w:color="auto"/>
      </w:divBdr>
    </w:div>
    <w:div w:id="1568613258">
      <w:bodyDiv w:val="1"/>
      <w:marLeft w:val="0"/>
      <w:marRight w:val="0"/>
      <w:marTop w:val="0"/>
      <w:marBottom w:val="0"/>
      <w:divBdr>
        <w:top w:val="none" w:sz="0" w:space="0" w:color="auto"/>
        <w:left w:val="none" w:sz="0" w:space="0" w:color="auto"/>
        <w:bottom w:val="none" w:sz="0" w:space="0" w:color="auto"/>
        <w:right w:val="none" w:sz="0" w:space="0" w:color="auto"/>
      </w:divBdr>
    </w:div>
    <w:div w:id="2065328506">
      <w:bodyDiv w:val="1"/>
      <w:marLeft w:val="0"/>
      <w:marRight w:val="0"/>
      <w:marTop w:val="0"/>
      <w:marBottom w:val="0"/>
      <w:divBdr>
        <w:top w:val="none" w:sz="0" w:space="0" w:color="auto"/>
        <w:left w:val="none" w:sz="0" w:space="0" w:color="auto"/>
        <w:bottom w:val="none" w:sz="0" w:space="0" w:color="auto"/>
        <w:right w:val="none" w:sz="0" w:space="0" w:color="auto"/>
      </w:divBdr>
    </w:div>
    <w:div w:id="21093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Saudi Arabia: Energy &amp; Environment - Outcome evaluation (2007-2010)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E495F-04D9-47FC-837B-060944AC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1414</Words>
  <Characters>8061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GHMM</dc:creator>
  <cp:lastModifiedBy>abeer.alnajai</cp:lastModifiedBy>
  <cp:revision>2</cp:revision>
  <cp:lastPrinted>2010-10-15T14:56:00Z</cp:lastPrinted>
  <dcterms:created xsi:type="dcterms:W3CDTF">2010-12-07T08:47:00Z</dcterms:created>
  <dcterms:modified xsi:type="dcterms:W3CDTF">2010-12-07T08:47:00Z</dcterms:modified>
</cp:coreProperties>
</file>