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CA1" w:rsidRDefault="00F63CA1" w:rsidP="00E950A7">
      <w:pPr>
        <w:pStyle w:val="heading"/>
        <w:spacing w:before="120" w:after="120"/>
        <w:jc w:val="center"/>
        <w:rPr>
          <w:rFonts w:ascii="Calibri" w:hAnsi="Calibri" w:cs="Calibri"/>
          <w:b w:val="0"/>
          <w:sz w:val="36"/>
          <w:szCs w:val="36"/>
        </w:rPr>
      </w:pPr>
    </w:p>
    <w:p w:rsidR="00F63CA1" w:rsidRDefault="00F63CA1" w:rsidP="00E950A7">
      <w:pPr>
        <w:pStyle w:val="heading"/>
        <w:spacing w:before="120" w:after="120"/>
        <w:jc w:val="center"/>
        <w:rPr>
          <w:rFonts w:ascii="Calibri" w:hAnsi="Calibri" w:cs="Calibri"/>
          <w:b w:val="0"/>
          <w:sz w:val="36"/>
          <w:szCs w:val="36"/>
        </w:rPr>
      </w:pPr>
    </w:p>
    <w:p w:rsidR="00E950A7" w:rsidRPr="00F63CA1" w:rsidRDefault="00E950A7" w:rsidP="00E950A7">
      <w:pPr>
        <w:pStyle w:val="heading"/>
        <w:spacing w:before="120" w:after="120"/>
        <w:jc w:val="center"/>
        <w:rPr>
          <w:rFonts w:ascii="Calibri" w:hAnsi="Calibri" w:cs="Calibri"/>
          <w:color w:val="4A442A" w:themeColor="background2" w:themeShade="40"/>
          <w:sz w:val="36"/>
          <w:szCs w:val="36"/>
          <w:u w:val="single"/>
        </w:rPr>
      </w:pPr>
      <w:r w:rsidRPr="00F63CA1">
        <w:rPr>
          <w:rFonts w:ascii="Calibri" w:hAnsi="Calibri" w:cs="Calibri"/>
          <w:b w:val="0"/>
          <w:color w:val="4A442A" w:themeColor="background2" w:themeShade="40"/>
          <w:sz w:val="36"/>
          <w:szCs w:val="36"/>
        </w:rPr>
        <w:t>“</w:t>
      </w:r>
      <w:r w:rsidRPr="00F63CA1">
        <w:rPr>
          <w:rFonts w:ascii="Calibri" w:hAnsi="Calibri" w:cs="Calibri"/>
          <w:color w:val="4A442A" w:themeColor="background2" w:themeShade="40"/>
          <w:sz w:val="36"/>
          <w:szCs w:val="36"/>
        </w:rPr>
        <w:t>Enhancing Coverage and Management Effectiveness of the Subsystem of Forest Protected Areas in Turkey’s National System of Protected Areas</w:t>
      </w:r>
      <w:r w:rsidRPr="00F63CA1">
        <w:rPr>
          <w:rFonts w:ascii="Calibri" w:hAnsi="Calibri" w:cs="Calibri"/>
          <w:b w:val="0"/>
          <w:color w:val="4A442A" w:themeColor="background2" w:themeShade="40"/>
          <w:sz w:val="36"/>
          <w:szCs w:val="36"/>
        </w:rPr>
        <w:t>”</w:t>
      </w:r>
    </w:p>
    <w:p w:rsidR="00E950A7" w:rsidRPr="00F63CA1" w:rsidRDefault="00E950A7" w:rsidP="00E950A7">
      <w:pPr>
        <w:jc w:val="center"/>
        <w:rPr>
          <w:rFonts w:ascii="Calibri" w:hAnsi="Calibri" w:cs="Calibri"/>
          <w:color w:val="4A442A" w:themeColor="background2" w:themeShade="40"/>
          <w:sz w:val="36"/>
          <w:szCs w:val="36"/>
        </w:rPr>
      </w:pPr>
    </w:p>
    <w:p w:rsidR="00E950A7" w:rsidRPr="00F63CA1" w:rsidRDefault="00E950A7" w:rsidP="00E950A7">
      <w:pPr>
        <w:jc w:val="center"/>
        <w:rPr>
          <w:rFonts w:ascii="Calibri" w:hAnsi="Calibri" w:cs="Calibri"/>
          <w:b/>
          <w:color w:val="4A442A" w:themeColor="background2" w:themeShade="40"/>
          <w:sz w:val="36"/>
          <w:szCs w:val="36"/>
        </w:rPr>
      </w:pPr>
      <w:r w:rsidRPr="00F63CA1">
        <w:rPr>
          <w:rFonts w:ascii="Calibri" w:hAnsi="Calibri" w:cs="Calibri"/>
          <w:b/>
          <w:bCs/>
          <w:color w:val="4A442A" w:themeColor="background2" w:themeShade="40"/>
          <w:sz w:val="36"/>
          <w:szCs w:val="36"/>
        </w:rPr>
        <w:t xml:space="preserve">PIMS Number: </w:t>
      </w:r>
      <w:r w:rsidRPr="00F63CA1">
        <w:rPr>
          <w:rFonts w:ascii="Calibri" w:hAnsi="Calibri" w:cs="Calibri"/>
          <w:b/>
          <w:color w:val="4A442A" w:themeColor="background2" w:themeShade="40"/>
          <w:sz w:val="36"/>
          <w:szCs w:val="36"/>
        </w:rPr>
        <w:t>1988</w:t>
      </w:r>
    </w:p>
    <w:p w:rsidR="00E950A7" w:rsidRPr="00F63CA1" w:rsidRDefault="00E950A7" w:rsidP="00E950A7">
      <w:pPr>
        <w:jc w:val="center"/>
        <w:rPr>
          <w:rFonts w:ascii="Calibri" w:hAnsi="Calibri" w:cs="Calibri"/>
          <w:b/>
          <w:color w:val="4A442A" w:themeColor="background2" w:themeShade="40"/>
          <w:sz w:val="36"/>
          <w:szCs w:val="36"/>
        </w:rPr>
      </w:pPr>
    </w:p>
    <w:p w:rsidR="00E950A7" w:rsidRPr="00F63CA1" w:rsidRDefault="00E950A7" w:rsidP="00E950A7">
      <w:pPr>
        <w:jc w:val="center"/>
        <w:rPr>
          <w:rFonts w:ascii="Calibri" w:hAnsi="Calibri" w:cs="Calibri"/>
          <w:b/>
          <w:bCs/>
          <w:color w:val="4A442A" w:themeColor="background2" w:themeShade="40"/>
          <w:sz w:val="36"/>
          <w:szCs w:val="36"/>
        </w:rPr>
      </w:pPr>
    </w:p>
    <w:p w:rsidR="00E950A7" w:rsidRPr="00F63CA1" w:rsidRDefault="00E950A7" w:rsidP="00E950A7">
      <w:pPr>
        <w:jc w:val="center"/>
        <w:rPr>
          <w:rFonts w:ascii="Calibri" w:hAnsi="Calibri" w:cs="Calibri"/>
          <w:b/>
          <w:bCs/>
          <w:color w:val="4A442A" w:themeColor="background2" w:themeShade="40"/>
          <w:sz w:val="36"/>
          <w:szCs w:val="36"/>
        </w:rPr>
      </w:pPr>
      <w:r w:rsidRPr="00F63CA1">
        <w:rPr>
          <w:rFonts w:ascii="Calibri" w:hAnsi="Calibri" w:cs="Calibri"/>
          <w:b/>
          <w:bCs/>
          <w:color w:val="4A442A" w:themeColor="background2" w:themeShade="40"/>
          <w:sz w:val="36"/>
          <w:szCs w:val="36"/>
        </w:rPr>
        <w:t>Mid Term Evaluation</w:t>
      </w:r>
    </w:p>
    <w:p w:rsidR="00E950A7" w:rsidRPr="00F63CA1" w:rsidRDefault="00E950A7" w:rsidP="00E950A7">
      <w:pPr>
        <w:jc w:val="center"/>
        <w:rPr>
          <w:rFonts w:ascii="Calibri" w:hAnsi="Calibri" w:cs="Calibri"/>
          <w:b/>
          <w:bCs/>
          <w:color w:val="4A442A" w:themeColor="background2" w:themeShade="40"/>
          <w:sz w:val="36"/>
          <w:szCs w:val="36"/>
        </w:rPr>
      </w:pPr>
    </w:p>
    <w:p w:rsidR="00E950A7" w:rsidRPr="00F63CA1" w:rsidRDefault="00E950A7" w:rsidP="00F63CA1">
      <w:pPr>
        <w:jc w:val="center"/>
        <w:rPr>
          <w:rFonts w:asciiTheme="minorHAnsi" w:hAnsiTheme="minorHAnsi" w:cstheme="minorHAnsi"/>
          <w:i/>
          <w:sz w:val="56"/>
          <w:szCs w:val="56"/>
        </w:rPr>
      </w:pPr>
      <w:bookmarkStart w:id="0" w:name="_Toc146618640"/>
      <w:bookmarkStart w:id="1" w:name="_Toc170192835"/>
      <w:bookmarkStart w:id="2" w:name="_Toc170192888"/>
      <w:bookmarkStart w:id="3" w:name="_Toc170192955"/>
      <w:bookmarkStart w:id="4" w:name="_Toc170193015"/>
      <w:bookmarkStart w:id="5" w:name="_Toc170209374"/>
      <w:bookmarkStart w:id="6" w:name="_Toc171768215"/>
      <w:bookmarkStart w:id="7" w:name="_Toc171768258"/>
      <w:bookmarkStart w:id="8" w:name="_Toc171826524"/>
      <w:bookmarkStart w:id="9" w:name="_Toc220827667"/>
      <w:r w:rsidRPr="00F63CA1">
        <w:rPr>
          <w:rFonts w:asciiTheme="minorHAnsi" w:hAnsiTheme="minorHAnsi" w:cstheme="minorHAnsi"/>
          <w:i/>
          <w:sz w:val="56"/>
          <w:szCs w:val="56"/>
        </w:rPr>
        <w:t>Aide Memoire</w:t>
      </w:r>
      <w:bookmarkEnd w:id="0"/>
      <w:bookmarkEnd w:id="1"/>
      <w:bookmarkEnd w:id="2"/>
      <w:bookmarkEnd w:id="3"/>
      <w:bookmarkEnd w:id="4"/>
      <w:bookmarkEnd w:id="5"/>
      <w:bookmarkEnd w:id="6"/>
      <w:bookmarkEnd w:id="7"/>
      <w:bookmarkEnd w:id="8"/>
      <w:bookmarkEnd w:id="9"/>
    </w:p>
    <w:p w:rsidR="00E950A7" w:rsidRPr="00F63CA1" w:rsidRDefault="00E950A7" w:rsidP="00E950A7">
      <w:pPr>
        <w:jc w:val="center"/>
        <w:rPr>
          <w:rFonts w:ascii="Calibri" w:hAnsi="Calibri" w:cs="Calibri"/>
          <w:b/>
          <w:bCs/>
          <w:color w:val="4A442A" w:themeColor="background2" w:themeShade="40"/>
          <w:sz w:val="36"/>
          <w:szCs w:val="36"/>
        </w:rPr>
      </w:pPr>
    </w:p>
    <w:p w:rsidR="00E950A7" w:rsidRPr="00F63CA1" w:rsidRDefault="00E950A7" w:rsidP="00E950A7">
      <w:pPr>
        <w:jc w:val="center"/>
        <w:rPr>
          <w:rFonts w:ascii="Calibri" w:hAnsi="Calibri" w:cs="Calibri"/>
          <w:b/>
          <w:bCs/>
          <w:color w:val="4A442A" w:themeColor="background2" w:themeShade="40"/>
          <w:sz w:val="36"/>
          <w:szCs w:val="36"/>
        </w:rPr>
      </w:pPr>
    </w:p>
    <w:p w:rsidR="00E950A7" w:rsidRPr="00F63CA1" w:rsidRDefault="00E950A7" w:rsidP="00E950A7">
      <w:pPr>
        <w:jc w:val="center"/>
        <w:rPr>
          <w:rFonts w:ascii="Calibri" w:hAnsi="Calibri" w:cs="Calibri"/>
          <w:b/>
          <w:bCs/>
          <w:color w:val="4A442A" w:themeColor="background2" w:themeShade="40"/>
          <w:sz w:val="36"/>
          <w:szCs w:val="36"/>
        </w:rPr>
      </w:pPr>
      <w:r w:rsidRPr="00F63CA1">
        <w:rPr>
          <w:rFonts w:ascii="Calibri" w:hAnsi="Calibri" w:cs="Calibri"/>
          <w:b/>
          <w:bCs/>
          <w:color w:val="4A442A" w:themeColor="background2" w:themeShade="40"/>
          <w:sz w:val="36"/>
          <w:szCs w:val="36"/>
        </w:rPr>
        <w:t>8</w:t>
      </w:r>
      <w:r w:rsidRPr="00F63CA1">
        <w:rPr>
          <w:rFonts w:ascii="Calibri" w:hAnsi="Calibri" w:cs="Calibri"/>
          <w:b/>
          <w:bCs/>
          <w:color w:val="4A442A" w:themeColor="background2" w:themeShade="40"/>
          <w:sz w:val="36"/>
          <w:szCs w:val="36"/>
          <w:vertAlign w:val="superscript"/>
        </w:rPr>
        <w:t>th</w:t>
      </w:r>
      <w:r w:rsidRPr="00F63CA1">
        <w:rPr>
          <w:rFonts w:ascii="Calibri" w:hAnsi="Calibri" w:cs="Calibri"/>
          <w:b/>
          <w:bCs/>
          <w:color w:val="4A442A" w:themeColor="background2" w:themeShade="40"/>
          <w:sz w:val="36"/>
          <w:szCs w:val="36"/>
        </w:rPr>
        <w:t xml:space="preserve"> November 2010</w:t>
      </w:r>
    </w:p>
    <w:p w:rsidR="00E950A7" w:rsidRPr="00F63CA1" w:rsidRDefault="00E950A7" w:rsidP="00E950A7">
      <w:pPr>
        <w:jc w:val="center"/>
        <w:rPr>
          <w:b/>
          <w:bCs/>
          <w:color w:val="4A442A" w:themeColor="background2" w:themeShade="40"/>
          <w:sz w:val="36"/>
          <w:szCs w:val="36"/>
        </w:rPr>
      </w:pPr>
    </w:p>
    <w:p w:rsidR="00E950A7" w:rsidRPr="00F63CA1" w:rsidRDefault="00E950A7" w:rsidP="00E950A7">
      <w:pPr>
        <w:jc w:val="center"/>
        <w:rPr>
          <w:b/>
          <w:bCs/>
          <w:color w:val="4A442A" w:themeColor="background2" w:themeShade="40"/>
          <w:sz w:val="36"/>
          <w:szCs w:val="36"/>
        </w:rPr>
      </w:pPr>
    </w:p>
    <w:p w:rsidR="002A3292" w:rsidRPr="00F63CA1" w:rsidRDefault="002A3292">
      <w:pPr>
        <w:spacing w:after="200" w:line="276" w:lineRule="auto"/>
        <w:rPr>
          <w:rFonts w:asciiTheme="minorHAnsi" w:hAnsiTheme="minorHAnsi" w:cstheme="minorHAnsi"/>
          <w:b/>
          <w:color w:val="4A442A" w:themeColor="background2" w:themeShade="40"/>
          <w:sz w:val="22"/>
          <w:szCs w:val="22"/>
        </w:rPr>
      </w:pPr>
      <w:r w:rsidRPr="00F63CA1">
        <w:rPr>
          <w:rFonts w:asciiTheme="minorHAnsi" w:hAnsiTheme="minorHAnsi" w:cstheme="minorHAnsi"/>
          <w:b/>
          <w:color w:val="4A442A" w:themeColor="background2" w:themeShade="40"/>
          <w:sz w:val="22"/>
          <w:szCs w:val="22"/>
        </w:rPr>
        <w:t>Mid Term Evaluation Team</w:t>
      </w:r>
    </w:p>
    <w:p w:rsidR="002A3292" w:rsidRPr="00F63CA1" w:rsidRDefault="002A3292">
      <w:pPr>
        <w:spacing w:after="200" w:line="276" w:lineRule="auto"/>
        <w:rPr>
          <w:rFonts w:asciiTheme="minorHAnsi" w:hAnsiTheme="minorHAnsi" w:cstheme="minorHAnsi"/>
          <w:b/>
          <w:color w:val="4A442A" w:themeColor="background2" w:themeShade="40"/>
          <w:sz w:val="22"/>
          <w:szCs w:val="22"/>
        </w:rPr>
      </w:pPr>
      <w:r w:rsidRPr="00F63CA1">
        <w:rPr>
          <w:rFonts w:asciiTheme="minorHAnsi" w:hAnsiTheme="minorHAnsi" w:cstheme="minorHAnsi"/>
          <w:b/>
          <w:color w:val="4A442A" w:themeColor="background2" w:themeShade="40"/>
          <w:sz w:val="22"/>
          <w:szCs w:val="22"/>
        </w:rPr>
        <w:t>Koray Abaci, National Consultant</w:t>
      </w:r>
    </w:p>
    <w:p w:rsidR="009C156F" w:rsidRPr="00F63CA1" w:rsidRDefault="002A3292">
      <w:pPr>
        <w:spacing w:after="200" w:line="276" w:lineRule="auto"/>
        <w:rPr>
          <w:rFonts w:asciiTheme="minorHAnsi" w:hAnsiTheme="minorHAnsi" w:cstheme="minorHAnsi"/>
          <w:b/>
          <w:color w:val="4A442A" w:themeColor="background2" w:themeShade="40"/>
          <w:sz w:val="22"/>
          <w:szCs w:val="22"/>
        </w:rPr>
      </w:pPr>
      <w:r w:rsidRPr="00F63CA1">
        <w:rPr>
          <w:rFonts w:asciiTheme="minorHAnsi" w:hAnsiTheme="minorHAnsi" w:cstheme="minorHAnsi"/>
          <w:b/>
          <w:color w:val="4A442A" w:themeColor="background2" w:themeShade="40"/>
          <w:sz w:val="22"/>
          <w:szCs w:val="22"/>
        </w:rPr>
        <w:t>Francis Hurst, International Consultant &amp; Team Leader</w:t>
      </w:r>
      <w:r w:rsidR="009C156F" w:rsidRPr="00F63CA1">
        <w:rPr>
          <w:rFonts w:asciiTheme="minorHAnsi" w:hAnsiTheme="minorHAnsi" w:cstheme="minorHAnsi"/>
          <w:b/>
          <w:color w:val="4A442A" w:themeColor="background2" w:themeShade="40"/>
          <w:sz w:val="22"/>
          <w:szCs w:val="22"/>
        </w:rPr>
        <w:br w:type="page"/>
      </w:r>
    </w:p>
    <w:p w:rsidR="00185911" w:rsidRDefault="00185911" w:rsidP="00185911">
      <w:pPr>
        <w:jc w:val="center"/>
        <w:rPr>
          <w:rFonts w:asciiTheme="minorHAnsi" w:hAnsiTheme="minorHAnsi" w:cstheme="minorHAnsi"/>
          <w:i/>
          <w:color w:val="4A442A" w:themeColor="background2" w:themeShade="40"/>
          <w:sz w:val="40"/>
          <w:szCs w:val="40"/>
        </w:rPr>
      </w:pPr>
      <w:bookmarkStart w:id="10" w:name="_Toc220827668"/>
    </w:p>
    <w:p w:rsidR="00185911" w:rsidRDefault="00185911" w:rsidP="00185911">
      <w:pPr>
        <w:jc w:val="center"/>
        <w:rPr>
          <w:rFonts w:asciiTheme="minorHAnsi" w:hAnsiTheme="minorHAnsi" w:cstheme="minorHAnsi"/>
          <w:i/>
          <w:color w:val="4A442A" w:themeColor="background2" w:themeShade="40"/>
          <w:sz w:val="40"/>
          <w:szCs w:val="40"/>
        </w:rPr>
      </w:pPr>
    </w:p>
    <w:p w:rsidR="00185911" w:rsidRDefault="00185911" w:rsidP="00185911">
      <w:pPr>
        <w:jc w:val="center"/>
        <w:rPr>
          <w:rFonts w:asciiTheme="minorHAnsi" w:hAnsiTheme="minorHAnsi" w:cstheme="minorHAnsi"/>
          <w:i/>
          <w:color w:val="4A442A" w:themeColor="background2" w:themeShade="40"/>
          <w:sz w:val="40"/>
          <w:szCs w:val="40"/>
        </w:rPr>
      </w:pPr>
    </w:p>
    <w:p w:rsidR="00185911" w:rsidRDefault="00185911" w:rsidP="00185911">
      <w:pPr>
        <w:jc w:val="center"/>
        <w:rPr>
          <w:rFonts w:asciiTheme="minorHAnsi" w:hAnsiTheme="minorHAnsi" w:cstheme="minorHAnsi"/>
          <w:i/>
          <w:color w:val="4A442A" w:themeColor="background2" w:themeShade="40"/>
          <w:sz w:val="40"/>
          <w:szCs w:val="40"/>
        </w:rPr>
      </w:pPr>
    </w:p>
    <w:p w:rsidR="00185911" w:rsidRDefault="00185911" w:rsidP="00185911">
      <w:pPr>
        <w:jc w:val="center"/>
        <w:rPr>
          <w:rFonts w:asciiTheme="minorHAnsi" w:hAnsiTheme="minorHAnsi" w:cstheme="minorHAnsi"/>
          <w:i/>
          <w:color w:val="4A442A" w:themeColor="background2" w:themeShade="40"/>
          <w:sz w:val="40"/>
          <w:szCs w:val="40"/>
        </w:rPr>
      </w:pPr>
      <w:r w:rsidRPr="00185911">
        <w:rPr>
          <w:rFonts w:asciiTheme="minorHAnsi" w:hAnsiTheme="minorHAnsi" w:cstheme="minorHAnsi"/>
          <w:i/>
          <w:color w:val="4A442A" w:themeColor="background2" w:themeShade="40"/>
          <w:sz w:val="40"/>
          <w:szCs w:val="40"/>
        </w:rPr>
        <w:t>"Remember the two benefits of failure. First, if you do fail, you learn what doesn't work; and second, the failure gives you the opportunity to try a new approach.”</w:t>
      </w:r>
    </w:p>
    <w:p w:rsidR="00185911" w:rsidRPr="00185911" w:rsidRDefault="00185911" w:rsidP="00185911">
      <w:pPr>
        <w:jc w:val="center"/>
        <w:rPr>
          <w:rFonts w:asciiTheme="minorHAnsi" w:hAnsiTheme="minorHAnsi" w:cstheme="minorHAnsi"/>
          <w:i/>
          <w:color w:val="4A442A" w:themeColor="background2" w:themeShade="40"/>
          <w:sz w:val="40"/>
          <w:szCs w:val="40"/>
        </w:rPr>
      </w:pPr>
    </w:p>
    <w:p w:rsidR="00185911" w:rsidRPr="00185911" w:rsidRDefault="00185911" w:rsidP="00185911">
      <w:pPr>
        <w:jc w:val="center"/>
        <w:rPr>
          <w:rFonts w:asciiTheme="minorHAnsi" w:eastAsiaTheme="majorEastAsia" w:hAnsiTheme="minorHAnsi" w:cstheme="minorHAnsi"/>
          <w:b/>
          <w:bCs/>
          <w:i/>
          <w:color w:val="365F91" w:themeColor="accent1" w:themeShade="BF"/>
          <w:sz w:val="40"/>
          <w:szCs w:val="40"/>
        </w:rPr>
      </w:pPr>
      <w:r w:rsidRPr="00185911">
        <w:rPr>
          <w:rFonts w:asciiTheme="minorHAnsi" w:hAnsiTheme="minorHAnsi" w:cstheme="minorHAnsi"/>
          <w:i/>
          <w:color w:val="4A442A" w:themeColor="background2" w:themeShade="40"/>
          <w:sz w:val="40"/>
          <w:szCs w:val="40"/>
        </w:rPr>
        <w:t xml:space="preserve"> Roger Von </w:t>
      </w:r>
      <w:proofErr w:type="spellStart"/>
      <w:r w:rsidRPr="00185911">
        <w:rPr>
          <w:rFonts w:asciiTheme="minorHAnsi" w:hAnsiTheme="minorHAnsi" w:cstheme="minorHAnsi"/>
          <w:i/>
          <w:color w:val="4A442A" w:themeColor="background2" w:themeShade="40"/>
          <w:sz w:val="40"/>
          <w:szCs w:val="40"/>
        </w:rPr>
        <w:t>Oech</w:t>
      </w:r>
      <w:proofErr w:type="spellEnd"/>
    </w:p>
    <w:p w:rsidR="00752567" w:rsidRDefault="00752567">
      <w:pPr>
        <w:spacing w:after="200" w:line="276" w:lineRule="auto"/>
        <w:rPr>
          <w:rFonts w:ascii="Calibri" w:hAnsi="Calibri" w:cs="Calibri"/>
          <w:sz w:val="22"/>
          <w:szCs w:val="22"/>
        </w:rPr>
      </w:pPr>
      <w:r>
        <w:rPr>
          <w:rFonts w:ascii="Calibri" w:hAnsi="Calibri" w:cs="Calibri"/>
          <w:sz w:val="22"/>
          <w:szCs w:val="22"/>
        </w:rPr>
        <w:br w:type="page"/>
      </w:r>
    </w:p>
    <w:p w:rsidR="00752567" w:rsidRDefault="00752567">
      <w:pPr>
        <w:spacing w:after="200" w:line="276" w:lineRule="auto"/>
        <w:rPr>
          <w:rFonts w:ascii="Calibri" w:hAnsi="Calibri" w:cs="Calibri"/>
          <w:sz w:val="22"/>
          <w:szCs w:val="22"/>
        </w:rPr>
      </w:pPr>
    </w:p>
    <w:p w:rsidR="00185911" w:rsidRDefault="00752567">
      <w:pPr>
        <w:spacing w:after="200" w:line="276" w:lineRule="auto"/>
        <w:rPr>
          <w:rFonts w:ascii="Calibri" w:hAnsi="Calibri" w:cs="Calibri"/>
          <w:b/>
          <w:bCs/>
          <w:kern w:val="32"/>
          <w:sz w:val="22"/>
          <w:szCs w:val="22"/>
        </w:rPr>
      </w:pPr>
      <w:r>
        <w:rPr>
          <w:noProof/>
          <w:lang w:eastAsia="en-GB"/>
        </w:rPr>
        <w:drawing>
          <wp:inline distT="0" distB="0" distL="0" distR="0">
            <wp:extent cx="5731510" cy="4297234"/>
            <wp:effectExtent l="19050" t="0" r="2540" b="0"/>
            <wp:docPr id="7" name="Picture 7" descr="C:\Users\Hurst\AppData\Local\Microsoft\Windows\Temporary Internet Files\Content.Word\P10105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urst\AppData\Local\Microsoft\Windows\Temporary Internet Files\Content.Word\P1010554.jpg"/>
                    <pic:cNvPicPr>
                      <a:picLocks noChangeAspect="1" noChangeArrowheads="1"/>
                    </pic:cNvPicPr>
                  </pic:nvPicPr>
                  <pic:blipFill>
                    <a:blip r:embed="rId8" cstate="print"/>
                    <a:srcRect/>
                    <a:stretch>
                      <a:fillRect/>
                    </a:stretch>
                  </pic:blipFill>
                  <pic:spPr bwMode="auto">
                    <a:xfrm>
                      <a:off x="0" y="0"/>
                      <a:ext cx="5731510" cy="4297234"/>
                    </a:xfrm>
                    <a:prstGeom prst="rect">
                      <a:avLst/>
                    </a:prstGeom>
                    <a:ln>
                      <a:noFill/>
                    </a:ln>
                    <a:effectLst>
                      <a:softEdge rad="112500"/>
                    </a:effectLst>
                  </pic:spPr>
                </pic:pic>
              </a:graphicData>
            </a:graphic>
          </wp:inline>
        </w:drawing>
      </w:r>
      <w:r w:rsidR="00185911">
        <w:rPr>
          <w:rFonts w:ascii="Calibri" w:hAnsi="Calibri" w:cs="Calibri"/>
          <w:sz w:val="22"/>
          <w:szCs w:val="22"/>
        </w:rPr>
        <w:br w:type="page"/>
      </w:r>
    </w:p>
    <w:sdt>
      <w:sdtPr>
        <w:rPr>
          <w:rFonts w:asciiTheme="minorHAnsi" w:eastAsia="Times New Roman" w:hAnsiTheme="minorHAnsi" w:cstheme="minorHAnsi"/>
          <w:b w:val="0"/>
          <w:bCs w:val="0"/>
          <w:color w:val="auto"/>
          <w:sz w:val="24"/>
          <w:szCs w:val="24"/>
          <w:lang w:val="en-GB"/>
        </w:rPr>
        <w:id w:val="7134223"/>
        <w:docPartObj>
          <w:docPartGallery w:val="Table of Contents"/>
          <w:docPartUnique/>
        </w:docPartObj>
      </w:sdtPr>
      <w:sdtEndPr>
        <w:rPr>
          <w:rFonts w:ascii="Times New Roman" w:hAnsi="Times New Roman" w:cs="Times New Roman"/>
        </w:rPr>
      </w:sdtEndPr>
      <w:sdtContent>
        <w:p w:rsidR="00F63CA1" w:rsidRPr="00CD24B6" w:rsidRDefault="00F63CA1">
          <w:pPr>
            <w:pStyle w:val="TOCHeading"/>
            <w:rPr>
              <w:rFonts w:asciiTheme="minorHAnsi" w:hAnsiTheme="minorHAnsi" w:cstheme="minorHAnsi"/>
              <w:sz w:val="22"/>
              <w:szCs w:val="22"/>
            </w:rPr>
          </w:pPr>
          <w:r w:rsidRPr="00CD24B6">
            <w:rPr>
              <w:rFonts w:asciiTheme="minorHAnsi" w:hAnsiTheme="minorHAnsi" w:cstheme="minorHAnsi"/>
              <w:sz w:val="22"/>
              <w:szCs w:val="22"/>
            </w:rPr>
            <w:t>Contents</w:t>
          </w:r>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r w:rsidRPr="00CD24B6">
            <w:rPr>
              <w:rFonts w:asciiTheme="minorHAnsi" w:hAnsiTheme="minorHAnsi" w:cstheme="minorHAnsi"/>
              <w:sz w:val="22"/>
              <w:szCs w:val="22"/>
            </w:rPr>
            <w:fldChar w:fldCharType="begin"/>
          </w:r>
          <w:r w:rsidR="00F63CA1" w:rsidRPr="00CD24B6">
            <w:rPr>
              <w:rFonts w:asciiTheme="minorHAnsi" w:hAnsiTheme="minorHAnsi" w:cstheme="minorHAnsi"/>
              <w:sz w:val="22"/>
              <w:szCs w:val="22"/>
            </w:rPr>
            <w:instrText xml:space="preserve"> TOC \o "1-3" \h \z \u </w:instrText>
          </w:r>
          <w:r w:rsidRPr="00CD24B6">
            <w:rPr>
              <w:rFonts w:asciiTheme="minorHAnsi" w:hAnsiTheme="minorHAnsi" w:cstheme="minorHAnsi"/>
              <w:sz w:val="22"/>
              <w:szCs w:val="22"/>
            </w:rPr>
            <w:fldChar w:fldCharType="separate"/>
          </w:r>
          <w:hyperlink w:anchor="_Toc277001669" w:history="1">
            <w:r w:rsidR="00CD24B6" w:rsidRPr="00CD24B6">
              <w:rPr>
                <w:rStyle w:val="Hyperlink"/>
                <w:rFonts w:asciiTheme="minorHAnsi" w:hAnsiTheme="minorHAnsi" w:cstheme="minorHAnsi"/>
                <w:noProof/>
                <w:sz w:val="22"/>
                <w:szCs w:val="22"/>
              </w:rPr>
              <w:t>INTRODUCTION</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_Toc277001669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5</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0" w:history="1">
            <w:r w:rsidR="00CD24B6" w:rsidRPr="00CD24B6">
              <w:rPr>
                <w:rStyle w:val="Hyperlink"/>
                <w:rFonts w:asciiTheme="minorHAnsi" w:hAnsiTheme="minorHAnsi" w:cstheme="minorHAnsi"/>
                <w:noProof/>
                <w:sz w:val="22"/>
                <w:szCs w:val="22"/>
              </w:rPr>
              <w:t>The GEF Project Monitoring and Evaluation Process</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_Toc277001670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5</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1" w:history="1">
            <w:r w:rsidR="00CD24B6" w:rsidRPr="00CD24B6">
              <w:rPr>
                <w:rStyle w:val="Hyperlink"/>
                <w:rFonts w:asciiTheme="minorHAnsi" w:hAnsiTheme="minorHAnsi" w:cstheme="minorHAnsi"/>
                <w:noProof/>
                <w:sz w:val="22"/>
                <w:szCs w:val="22"/>
              </w:rPr>
              <w:t>The GEF Objective (GEF Operational Programme #3)</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_Toc277001671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7</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2" w:history="1">
            <w:r w:rsidR="00CD24B6" w:rsidRPr="00CD24B6">
              <w:rPr>
                <w:rStyle w:val="Hyperlink"/>
                <w:rFonts w:asciiTheme="minorHAnsi" w:hAnsiTheme="minorHAnsi" w:cstheme="minorHAnsi"/>
                <w:noProof/>
                <w:sz w:val="22"/>
                <w:szCs w:val="22"/>
              </w:rPr>
              <w:t>Description of the Project</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_Toc277001672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7</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3" w:history="1">
            <w:r w:rsidR="00CD24B6" w:rsidRPr="00CD24B6">
              <w:rPr>
                <w:rStyle w:val="Hyperlink"/>
                <w:rFonts w:asciiTheme="minorHAnsi" w:hAnsiTheme="minorHAnsi" w:cstheme="minorHAnsi"/>
                <w:noProof/>
                <w:sz w:val="22"/>
                <w:szCs w:val="22"/>
              </w:rPr>
              <w:t>Project Document and Strategy</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_Toc277001673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7</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4" w:history="1">
            <w:r w:rsidR="00CD24B6" w:rsidRPr="00CD24B6">
              <w:rPr>
                <w:rStyle w:val="Hyperlink"/>
                <w:rFonts w:asciiTheme="minorHAnsi" w:hAnsiTheme="minorHAnsi" w:cstheme="minorHAnsi"/>
                <w:noProof/>
                <w:sz w:val="22"/>
                <w:szCs w:val="22"/>
              </w:rPr>
              <w:t>Project Performance</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_Toc277001674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9</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5" w:history="1">
            <w:r w:rsidR="00CD24B6" w:rsidRPr="00CD24B6">
              <w:rPr>
                <w:rStyle w:val="Hyperlink"/>
                <w:rFonts w:asciiTheme="minorHAnsi" w:hAnsiTheme="minorHAnsi" w:cstheme="minorHAnsi"/>
                <w:noProof/>
                <w:sz w:val="22"/>
                <w:szCs w:val="22"/>
              </w:rPr>
              <w:t>Findings of MTE</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_Toc277001675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10</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6" w:history="1">
            <w:r w:rsidR="00CD24B6" w:rsidRPr="00CD24B6">
              <w:rPr>
                <w:rStyle w:val="Hyperlink"/>
                <w:rFonts w:asciiTheme="minorHAnsi" w:hAnsiTheme="minorHAnsi" w:cstheme="minorHAnsi"/>
                <w:noProof/>
                <w:sz w:val="22"/>
                <w:szCs w:val="22"/>
              </w:rPr>
              <w:t>MTE Concerns:</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_Toc277001676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10</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7" w:history="1">
            <w:r w:rsidR="00CD24B6" w:rsidRPr="00CD24B6">
              <w:rPr>
                <w:rStyle w:val="Hyperlink"/>
                <w:rFonts w:asciiTheme="minorHAnsi" w:hAnsiTheme="minorHAnsi" w:cstheme="minorHAnsi"/>
                <w:noProof/>
                <w:sz w:val="22"/>
                <w:szCs w:val="22"/>
              </w:rPr>
              <w:t>Recommendations:</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_Toc277001677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10</w:t>
            </w:r>
            <w:r w:rsidRPr="00CD24B6">
              <w:rPr>
                <w:rFonts w:asciiTheme="minorHAnsi" w:hAnsiTheme="minorHAnsi" w:cstheme="minorHAnsi"/>
                <w:noProof/>
                <w:webHidden/>
                <w:sz w:val="22"/>
                <w:szCs w:val="22"/>
              </w:rPr>
              <w:fldChar w:fldCharType="end"/>
            </w:r>
          </w:hyperlink>
        </w:p>
        <w:p w:rsidR="00CD24B6" w:rsidRPr="00CD24B6" w:rsidRDefault="0003680D">
          <w:pPr>
            <w:pStyle w:val="TOC2"/>
            <w:tabs>
              <w:tab w:val="right" w:leader="dot" w:pos="9016"/>
            </w:tabs>
            <w:rPr>
              <w:rFonts w:asciiTheme="minorHAnsi" w:eastAsiaTheme="minorEastAsia" w:hAnsiTheme="minorHAnsi" w:cstheme="minorHAnsi"/>
              <w:noProof/>
              <w:sz w:val="22"/>
              <w:szCs w:val="22"/>
              <w:lang w:eastAsia="en-GB"/>
            </w:rPr>
          </w:pPr>
          <w:hyperlink w:anchor="_Toc277001678" w:history="1">
            <w:r w:rsidR="00CD24B6" w:rsidRPr="00CD24B6">
              <w:rPr>
                <w:rStyle w:val="Hyperlink"/>
                <w:rFonts w:asciiTheme="minorHAnsi" w:hAnsiTheme="minorHAnsi" w:cstheme="minorHAnsi"/>
                <w:noProof/>
                <w:sz w:val="22"/>
                <w:szCs w:val="22"/>
              </w:rPr>
              <w:t>MTE Concern and recommended response</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_Toc277001678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10</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79" w:history="1">
            <w:r w:rsidR="00CD24B6" w:rsidRPr="00CD24B6">
              <w:rPr>
                <w:rStyle w:val="Hyperlink"/>
                <w:rFonts w:asciiTheme="minorHAnsi" w:hAnsiTheme="minorHAnsi" w:cstheme="minorHAnsi"/>
                <w:noProof/>
                <w:sz w:val="22"/>
                <w:szCs w:val="22"/>
              </w:rPr>
              <w:t>Next Steps</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_Toc277001679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12</w:t>
            </w:r>
            <w:r w:rsidRPr="00CD24B6">
              <w:rPr>
                <w:rFonts w:asciiTheme="minorHAnsi" w:hAnsiTheme="minorHAnsi" w:cstheme="minorHAnsi"/>
                <w:noProof/>
                <w:webHidden/>
                <w:sz w:val="22"/>
                <w:szCs w:val="22"/>
              </w:rPr>
              <w:fldChar w:fldCharType="end"/>
            </w:r>
          </w:hyperlink>
        </w:p>
        <w:p w:rsidR="00CD24B6" w:rsidRPr="00CD24B6" w:rsidRDefault="0003680D">
          <w:pPr>
            <w:pStyle w:val="TOC1"/>
            <w:tabs>
              <w:tab w:val="right" w:leader="dot" w:pos="9016"/>
            </w:tabs>
            <w:rPr>
              <w:rFonts w:asciiTheme="minorHAnsi" w:eastAsiaTheme="minorEastAsia" w:hAnsiTheme="minorHAnsi" w:cstheme="minorHAnsi"/>
              <w:noProof/>
              <w:sz w:val="22"/>
              <w:szCs w:val="22"/>
              <w:lang w:eastAsia="en-GB"/>
            </w:rPr>
          </w:pPr>
          <w:hyperlink w:anchor="_Toc277001680" w:history="1">
            <w:r w:rsidR="00CD24B6" w:rsidRPr="00CD24B6">
              <w:rPr>
                <w:rStyle w:val="Hyperlink"/>
                <w:rFonts w:asciiTheme="minorHAnsi" w:hAnsiTheme="minorHAnsi" w:cstheme="minorHAnsi"/>
                <w:noProof/>
                <w:sz w:val="22"/>
                <w:szCs w:val="22"/>
              </w:rPr>
              <w:t>Conclusion</w:t>
            </w:r>
            <w:r w:rsidR="00CD24B6" w:rsidRPr="00CD24B6">
              <w:rPr>
                <w:rFonts w:asciiTheme="minorHAnsi" w:hAnsiTheme="minorHAnsi" w:cstheme="minorHAnsi"/>
                <w:noProof/>
                <w:webHidden/>
                <w:sz w:val="22"/>
                <w:szCs w:val="22"/>
              </w:rPr>
              <w:tab/>
            </w:r>
            <w:r w:rsidRPr="00CD24B6">
              <w:rPr>
                <w:rFonts w:asciiTheme="minorHAnsi" w:hAnsiTheme="minorHAnsi" w:cstheme="minorHAnsi"/>
                <w:noProof/>
                <w:webHidden/>
                <w:sz w:val="22"/>
                <w:szCs w:val="22"/>
              </w:rPr>
              <w:fldChar w:fldCharType="begin"/>
            </w:r>
            <w:r w:rsidR="00CD24B6" w:rsidRPr="00CD24B6">
              <w:rPr>
                <w:rFonts w:asciiTheme="minorHAnsi" w:hAnsiTheme="minorHAnsi" w:cstheme="minorHAnsi"/>
                <w:noProof/>
                <w:webHidden/>
                <w:sz w:val="22"/>
                <w:szCs w:val="22"/>
              </w:rPr>
              <w:instrText xml:space="preserve"> PAGEREF _Toc277001680 \h </w:instrText>
            </w:r>
            <w:r w:rsidRPr="00CD24B6">
              <w:rPr>
                <w:rFonts w:asciiTheme="minorHAnsi" w:hAnsiTheme="minorHAnsi" w:cstheme="minorHAnsi"/>
                <w:noProof/>
                <w:webHidden/>
                <w:sz w:val="22"/>
                <w:szCs w:val="22"/>
              </w:rPr>
            </w:r>
            <w:r w:rsidRPr="00CD24B6">
              <w:rPr>
                <w:rFonts w:asciiTheme="minorHAnsi" w:hAnsiTheme="minorHAnsi" w:cstheme="minorHAnsi"/>
                <w:noProof/>
                <w:webHidden/>
                <w:sz w:val="22"/>
                <w:szCs w:val="22"/>
              </w:rPr>
              <w:fldChar w:fldCharType="separate"/>
            </w:r>
            <w:r w:rsidR="00CD24B6" w:rsidRPr="00CD24B6">
              <w:rPr>
                <w:rFonts w:asciiTheme="minorHAnsi" w:hAnsiTheme="minorHAnsi" w:cstheme="minorHAnsi"/>
                <w:noProof/>
                <w:webHidden/>
                <w:sz w:val="22"/>
                <w:szCs w:val="22"/>
              </w:rPr>
              <w:t>12</w:t>
            </w:r>
            <w:r w:rsidRPr="00CD24B6">
              <w:rPr>
                <w:rFonts w:asciiTheme="minorHAnsi" w:hAnsiTheme="minorHAnsi" w:cstheme="minorHAnsi"/>
                <w:noProof/>
                <w:webHidden/>
                <w:sz w:val="22"/>
                <w:szCs w:val="22"/>
              </w:rPr>
              <w:fldChar w:fldCharType="end"/>
            </w:r>
          </w:hyperlink>
        </w:p>
        <w:p w:rsidR="00F63CA1" w:rsidRDefault="0003680D">
          <w:r w:rsidRPr="00CD24B6">
            <w:rPr>
              <w:rFonts w:asciiTheme="minorHAnsi" w:hAnsiTheme="minorHAnsi" w:cstheme="minorHAnsi"/>
              <w:sz w:val="22"/>
              <w:szCs w:val="22"/>
            </w:rPr>
            <w:fldChar w:fldCharType="end"/>
          </w:r>
        </w:p>
      </w:sdtContent>
    </w:sdt>
    <w:p w:rsidR="00F63CA1" w:rsidRDefault="00F63CA1" w:rsidP="00ED7F81">
      <w:pPr>
        <w:pStyle w:val="Heading1"/>
        <w:rPr>
          <w:rFonts w:asciiTheme="minorHAnsi" w:hAnsiTheme="minorHAnsi" w:cstheme="minorHAnsi"/>
          <w:sz w:val="22"/>
          <w:szCs w:val="22"/>
        </w:rPr>
      </w:pPr>
    </w:p>
    <w:p w:rsidR="00F63CA1" w:rsidRDefault="00F63CA1" w:rsidP="00F63CA1">
      <w:pPr>
        <w:rPr>
          <w:kern w:val="32"/>
        </w:rPr>
      </w:pPr>
      <w:r>
        <w:br w:type="page"/>
      </w:r>
    </w:p>
    <w:p w:rsidR="00FB609F" w:rsidRPr="00ED7F81" w:rsidRDefault="00FB609F" w:rsidP="00ED7F81">
      <w:pPr>
        <w:pStyle w:val="Heading1"/>
        <w:rPr>
          <w:rFonts w:asciiTheme="minorHAnsi" w:hAnsiTheme="minorHAnsi" w:cstheme="minorHAnsi"/>
          <w:sz w:val="22"/>
          <w:szCs w:val="22"/>
        </w:rPr>
      </w:pPr>
      <w:bookmarkStart w:id="11" w:name="_Toc277001669"/>
      <w:r w:rsidRPr="00ED7F81">
        <w:rPr>
          <w:rFonts w:asciiTheme="minorHAnsi" w:hAnsiTheme="minorHAnsi" w:cstheme="minorHAnsi"/>
          <w:sz w:val="22"/>
          <w:szCs w:val="22"/>
        </w:rPr>
        <w:lastRenderedPageBreak/>
        <w:t>INTRODUCTION</w:t>
      </w:r>
      <w:bookmarkEnd w:id="10"/>
      <w:bookmarkEnd w:id="11"/>
    </w:p>
    <w:p w:rsidR="00FB609F" w:rsidRPr="00185911" w:rsidRDefault="00FB609F" w:rsidP="00FB609F">
      <w:pPr>
        <w:jc w:val="both"/>
        <w:rPr>
          <w:rFonts w:ascii="Calibri" w:hAnsi="Calibri" w:cs="Calibri"/>
          <w:sz w:val="22"/>
          <w:szCs w:val="22"/>
        </w:rPr>
      </w:pPr>
      <w:r w:rsidRPr="00CF6604">
        <w:rPr>
          <w:rFonts w:ascii="Calibri" w:hAnsi="Calibri" w:cs="Calibri"/>
          <w:sz w:val="22"/>
          <w:szCs w:val="22"/>
        </w:rPr>
        <w:t>The first phase of the Mid Term Evaluation (MTE) of the Enhancing Coverage and Management Effectiveness of the Subsystem of Forest Protected Areas in Turkey’s National System of Protected Areas</w:t>
      </w:r>
      <w:r w:rsidRPr="00CF6604">
        <w:rPr>
          <w:rStyle w:val="FootnoteReference"/>
          <w:rFonts w:ascii="Calibri" w:hAnsi="Calibri" w:cs="Calibri"/>
          <w:sz w:val="22"/>
          <w:szCs w:val="22"/>
        </w:rPr>
        <w:t xml:space="preserve">, </w:t>
      </w:r>
      <w:r w:rsidRPr="00CF6604">
        <w:rPr>
          <w:rFonts w:ascii="Calibri" w:hAnsi="Calibri" w:cs="Calibri"/>
          <w:sz w:val="22"/>
          <w:szCs w:val="22"/>
        </w:rPr>
        <w:t xml:space="preserve">herein after referred to as the Kure </w:t>
      </w:r>
      <w:r w:rsidRPr="007A0C01">
        <w:rPr>
          <w:rFonts w:ascii="Calibri" w:hAnsi="Calibri" w:cs="Calibri"/>
          <w:sz w:val="22"/>
          <w:szCs w:val="22"/>
        </w:rPr>
        <w:t>Mountains Project</w:t>
      </w:r>
      <w:r w:rsidR="0029403A">
        <w:rPr>
          <w:rFonts w:ascii="Calibri" w:hAnsi="Calibri" w:cs="Calibri"/>
          <w:sz w:val="22"/>
          <w:szCs w:val="22"/>
        </w:rPr>
        <w:t xml:space="preserve"> or </w:t>
      </w:r>
      <w:r w:rsidR="0029403A">
        <w:rPr>
          <w:rFonts w:ascii="Calibri" w:hAnsi="Calibri" w:cs="Calibri"/>
          <w:i/>
          <w:sz w:val="22"/>
          <w:szCs w:val="22"/>
        </w:rPr>
        <w:t>the Project</w:t>
      </w:r>
      <w:r w:rsidRPr="007A0C01">
        <w:rPr>
          <w:rFonts w:ascii="Calibri" w:hAnsi="Calibri" w:cs="Calibri"/>
          <w:sz w:val="22"/>
          <w:szCs w:val="22"/>
        </w:rPr>
        <w:t xml:space="preserve"> that is being executed by the </w:t>
      </w:r>
      <w:r w:rsidR="007A0C01" w:rsidRPr="007A0C01">
        <w:rPr>
          <w:rFonts w:ascii="Calibri" w:hAnsi="Calibri" w:cs="Calibri"/>
          <w:sz w:val="22"/>
          <w:szCs w:val="22"/>
        </w:rPr>
        <w:t>Ministry of Environment and Forestry (</w:t>
      </w:r>
      <w:proofErr w:type="spellStart"/>
      <w:r w:rsidR="007A0C01" w:rsidRPr="007A0C01">
        <w:rPr>
          <w:rFonts w:ascii="Calibri" w:hAnsi="Calibri" w:cs="Calibri"/>
          <w:sz w:val="22"/>
          <w:szCs w:val="22"/>
        </w:rPr>
        <w:t>M</w:t>
      </w:r>
      <w:r w:rsidR="007A0C01">
        <w:rPr>
          <w:rFonts w:ascii="Calibri" w:hAnsi="Calibri" w:cs="Calibri"/>
          <w:sz w:val="22"/>
          <w:szCs w:val="22"/>
        </w:rPr>
        <w:t>o</w:t>
      </w:r>
      <w:r w:rsidR="007A0C01" w:rsidRPr="007A0C01">
        <w:rPr>
          <w:rFonts w:ascii="Calibri" w:hAnsi="Calibri" w:cs="Calibri"/>
          <w:sz w:val="22"/>
          <w:szCs w:val="22"/>
        </w:rPr>
        <w:t>EF</w:t>
      </w:r>
      <w:proofErr w:type="spellEnd"/>
      <w:r w:rsidR="007A0C01" w:rsidRPr="007A0C01">
        <w:rPr>
          <w:rFonts w:ascii="Calibri" w:hAnsi="Calibri" w:cs="Calibri"/>
          <w:sz w:val="22"/>
          <w:szCs w:val="22"/>
        </w:rPr>
        <w:t>)</w:t>
      </w:r>
      <w:r w:rsidRPr="007A0C01">
        <w:rPr>
          <w:rFonts w:ascii="Calibri" w:hAnsi="Calibri" w:cs="Calibri"/>
          <w:sz w:val="22"/>
          <w:szCs w:val="22"/>
        </w:rPr>
        <w:t>, took place from the 30</w:t>
      </w:r>
      <w:r w:rsidRPr="007A0C01">
        <w:rPr>
          <w:rFonts w:ascii="Calibri" w:hAnsi="Calibri" w:cs="Calibri"/>
          <w:sz w:val="22"/>
          <w:szCs w:val="22"/>
          <w:vertAlign w:val="superscript"/>
        </w:rPr>
        <w:t>th</w:t>
      </w:r>
      <w:r w:rsidRPr="007A0C01">
        <w:rPr>
          <w:rFonts w:ascii="Calibri" w:hAnsi="Calibri" w:cs="Calibri"/>
          <w:sz w:val="22"/>
          <w:szCs w:val="22"/>
        </w:rPr>
        <w:t xml:space="preserve"> </w:t>
      </w:r>
      <w:r w:rsidR="007A0C01" w:rsidRPr="007A0C01">
        <w:rPr>
          <w:rFonts w:ascii="Calibri" w:hAnsi="Calibri" w:cs="Calibri"/>
          <w:sz w:val="22"/>
          <w:szCs w:val="22"/>
        </w:rPr>
        <w:t>November</w:t>
      </w:r>
      <w:r w:rsidRPr="007A0C01">
        <w:rPr>
          <w:rFonts w:ascii="Calibri" w:hAnsi="Calibri" w:cs="Calibri"/>
          <w:sz w:val="22"/>
          <w:szCs w:val="22"/>
        </w:rPr>
        <w:t xml:space="preserve"> to the 8</w:t>
      </w:r>
      <w:r w:rsidRPr="007A0C01">
        <w:rPr>
          <w:rFonts w:ascii="Calibri" w:hAnsi="Calibri" w:cs="Calibri"/>
          <w:sz w:val="22"/>
          <w:szCs w:val="22"/>
          <w:vertAlign w:val="superscript"/>
        </w:rPr>
        <w:t>th</w:t>
      </w:r>
      <w:r w:rsidRPr="007A0C01">
        <w:rPr>
          <w:rFonts w:ascii="Calibri" w:hAnsi="Calibri" w:cs="Calibri"/>
          <w:sz w:val="22"/>
          <w:szCs w:val="22"/>
        </w:rPr>
        <w:t xml:space="preserve"> November 2010.</w:t>
      </w:r>
      <w:r w:rsidRPr="00CF6604">
        <w:rPr>
          <w:rFonts w:ascii="Calibri" w:hAnsi="Calibri" w:cs="Calibri"/>
          <w:sz w:val="22"/>
          <w:szCs w:val="22"/>
        </w:rPr>
        <w:t xml:space="preserve"> This </w:t>
      </w:r>
      <w:r w:rsidRPr="00CF6604">
        <w:rPr>
          <w:rFonts w:ascii="Calibri" w:hAnsi="Calibri" w:cs="Calibri"/>
          <w:i/>
          <w:iCs/>
          <w:sz w:val="22"/>
          <w:szCs w:val="22"/>
        </w:rPr>
        <w:t>Aide Memoire</w:t>
      </w:r>
      <w:r w:rsidRPr="00CF6604">
        <w:rPr>
          <w:rFonts w:ascii="Calibri" w:hAnsi="Calibri" w:cs="Calibri"/>
          <w:sz w:val="22"/>
          <w:szCs w:val="22"/>
        </w:rPr>
        <w:t xml:space="preserve"> provides the preliminary findings of the evaluation that were presented at the Feedback Workshop on the 8</w:t>
      </w:r>
      <w:r w:rsidRPr="00CF6604">
        <w:rPr>
          <w:rFonts w:ascii="Calibri" w:hAnsi="Calibri" w:cs="Calibri"/>
          <w:sz w:val="22"/>
          <w:szCs w:val="22"/>
          <w:vertAlign w:val="superscript"/>
        </w:rPr>
        <w:t>th</w:t>
      </w:r>
      <w:r w:rsidRPr="00CF6604">
        <w:rPr>
          <w:rFonts w:ascii="Calibri" w:hAnsi="Calibri" w:cs="Calibri"/>
          <w:sz w:val="22"/>
          <w:szCs w:val="22"/>
        </w:rPr>
        <w:t xml:space="preserve"> November 2010. It is important to stress that the </w:t>
      </w:r>
      <w:r w:rsidRPr="00CF6604">
        <w:rPr>
          <w:rFonts w:ascii="Calibri" w:hAnsi="Calibri" w:cs="Calibri"/>
          <w:i/>
          <w:sz w:val="22"/>
          <w:szCs w:val="22"/>
        </w:rPr>
        <w:t xml:space="preserve">Aide Memoire </w:t>
      </w:r>
      <w:r w:rsidRPr="00CF6604">
        <w:rPr>
          <w:rFonts w:ascii="Calibri" w:hAnsi="Calibri" w:cs="Calibri"/>
          <w:sz w:val="22"/>
          <w:szCs w:val="22"/>
        </w:rPr>
        <w:t>represents the MTE’s understanding of the project at the end of the field visits and that evaluation is an iterative process which will constantly update this understanding in light of further information and analysis.</w:t>
      </w:r>
      <w:r w:rsidR="00185911">
        <w:rPr>
          <w:rFonts w:ascii="Calibri" w:hAnsi="Calibri" w:cs="Calibri"/>
          <w:sz w:val="22"/>
          <w:szCs w:val="22"/>
        </w:rPr>
        <w:t xml:space="preserve"> This </w:t>
      </w:r>
      <w:r w:rsidR="00185911">
        <w:rPr>
          <w:rFonts w:ascii="Calibri" w:hAnsi="Calibri" w:cs="Calibri"/>
          <w:i/>
          <w:sz w:val="22"/>
          <w:szCs w:val="22"/>
        </w:rPr>
        <w:t>Aide Memoire</w:t>
      </w:r>
      <w:r w:rsidR="00185911">
        <w:rPr>
          <w:rFonts w:ascii="Calibri" w:hAnsi="Calibri" w:cs="Calibri"/>
          <w:sz w:val="22"/>
          <w:szCs w:val="22"/>
        </w:rPr>
        <w:t xml:space="preserve"> is not a contractual obligation of the MTE and it is only intended to stimulate thought during the analysis and reporting period.</w:t>
      </w:r>
    </w:p>
    <w:p w:rsidR="00FB609F" w:rsidRPr="00580313" w:rsidRDefault="00FB609F" w:rsidP="00FB609F">
      <w:pPr>
        <w:jc w:val="both"/>
        <w:rPr>
          <w:rFonts w:ascii="Calibri" w:hAnsi="Calibri" w:cs="Calibri"/>
          <w:sz w:val="22"/>
          <w:szCs w:val="22"/>
        </w:rPr>
      </w:pPr>
    </w:p>
    <w:p w:rsidR="00FB609F" w:rsidRPr="00580313" w:rsidRDefault="00FB609F" w:rsidP="00FB609F">
      <w:pPr>
        <w:jc w:val="both"/>
        <w:rPr>
          <w:rFonts w:ascii="Calibri" w:hAnsi="Calibri" w:cs="Calibri"/>
          <w:sz w:val="22"/>
          <w:szCs w:val="22"/>
        </w:rPr>
      </w:pPr>
      <w:r w:rsidRPr="00580313">
        <w:rPr>
          <w:rFonts w:ascii="Calibri" w:hAnsi="Calibri" w:cs="Calibri"/>
          <w:sz w:val="22"/>
          <w:szCs w:val="22"/>
        </w:rPr>
        <w:t>Evaluation is an integral part of the UNDP-GEF project cycle management. The MTE is guided by the MTE Terms of Reference (</w:t>
      </w:r>
      <w:proofErr w:type="spellStart"/>
      <w:r w:rsidRPr="00580313">
        <w:rPr>
          <w:rFonts w:ascii="Calibri" w:hAnsi="Calibri" w:cs="Calibri"/>
          <w:sz w:val="22"/>
          <w:szCs w:val="22"/>
        </w:rPr>
        <w:t>ToR</w:t>
      </w:r>
      <w:proofErr w:type="spellEnd"/>
      <w:r w:rsidRPr="00580313">
        <w:rPr>
          <w:rFonts w:ascii="Calibri" w:hAnsi="Calibri" w:cs="Calibri"/>
          <w:sz w:val="22"/>
          <w:szCs w:val="22"/>
        </w:rPr>
        <w:t>)</w:t>
      </w:r>
      <w:r w:rsidRPr="00580313">
        <w:rPr>
          <w:rStyle w:val="FootnoteReference"/>
          <w:rFonts w:ascii="Calibri" w:hAnsi="Calibri" w:cs="Calibri"/>
          <w:sz w:val="22"/>
          <w:szCs w:val="22"/>
        </w:rPr>
        <w:footnoteReference w:id="1"/>
      </w:r>
      <w:r w:rsidRPr="00580313">
        <w:rPr>
          <w:rFonts w:ascii="Calibri" w:hAnsi="Calibri" w:cs="Calibri"/>
          <w:sz w:val="22"/>
          <w:szCs w:val="22"/>
        </w:rPr>
        <w:t xml:space="preserve"> and UNDP-GEF Project Monitoring and Evaluation Policies and Procedures</w:t>
      </w:r>
      <w:r w:rsidRPr="00580313">
        <w:rPr>
          <w:rStyle w:val="FootnoteReference"/>
          <w:rFonts w:ascii="Calibri" w:hAnsi="Calibri" w:cs="Calibri"/>
          <w:sz w:val="22"/>
          <w:szCs w:val="22"/>
        </w:rPr>
        <w:footnoteReference w:id="2"/>
      </w:r>
      <w:r w:rsidRPr="00580313">
        <w:rPr>
          <w:rFonts w:ascii="Calibri" w:hAnsi="Calibri" w:cs="Calibri"/>
          <w:sz w:val="22"/>
          <w:szCs w:val="22"/>
        </w:rPr>
        <w:t>. The evaluation process is independent of both UNDP and GEF and the opinions and recommendations in this report are those of the authors and do not necessarily reflect the position of the GEF, UNDP, or the Project Management Unit (PMU), however, once accepted the MTE becomes a recognised component of the project’s documentation.</w:t>
      </w:r>
    </w:p>
    <w:p w:rsidR="00FB609F" w:rsidRPr="00580313" w:rsidRDefault="00FB609F" w:rsidP="00FB609F">
      <w:pPr>
        <w:jc w:val="both"/>
        <w:rPr>
          <w:rFonts w:ascii="Calibri" w:hAnsi="Calibri" w:cs="Calibri"/>
          <w:sz w:val="22"/>
          <w:szCs w:val="22"/>
        </w:rPr>
      </w:pPr>
    </w:p>
    <w:p w:rsidR="00FB609F" w:rsidRPr="00580313" w:rsidRDefault="00FB609F" w:rsidP="00FB609F">
      <w:pPr>
        <w:jc w:val="both"/>
        <w:rPr>
          <w:rFonts w:ascii="Calibri" w:hAnsi="Calibri" w:cs="Calibri"/>
          <w:color w:val="000000"/>
          <w:sz w:val="22"/>
          <w:szCs w:val="22"/>
        </w:rPr>
      </w:pPr>
      <w:r w:rsidRPr="00580313">
        <w:rPr>
          <w:rFonts w:ascii="Calibri" w:hAnsi="Calibri" w:cs="Calibri"/>
          <w:sz w:val="22"/>
          <w:szCs w:val="22"/>
        </w:rPr>
        <w:t xml:space="preserve">This Mid Term Evaluation is initiated by the UNDP Turkey as the Implementation Agency for this project and it aims to provide </w:t>
      </w:r>
      <w:r w:rsidR="00AF774E">
        <w:rPr>
          <w:rFonts w:ascii="Calibri" w:hAnsi="Calibri" w:cs="Calibri"/>
          <w:color w:val="000000"/>
          <w:sz w:val="22"/>
          <w:szCs w:val="22"/>
        </w:rPr>
        <w:t xml:space="preserve">managers (at the </w:t>
      </w:r>
      <w:proofErr w:type="spellStart"/>
      <w:r w:rsidRPr="00580313">
        <w:rPr>
          <w:rFonts w:ascii="Calibri" w:hAnsi="Calibri" w:cs="Calibri"/>
          <w:color w:val="000000"/>
          <w:sz w:val="22"/>
          <w:szCs w:val="22"/>
        </w:rPr>
        <w:t>M</w:t>
      </w:r>
      <w:r w:rsidR="007A0C01">
        <w:rPr>
          <w:rFonts w:ascii="Calibri" w:hAnsi="Calibri" w:cs="Calibri"/>
          <w:color w:val="000000"/>
          <w:sz w:val="22"/>
          <w:szCs w:val="22"/>
        </w:rPr>
        <w:t>o</w:t>
      </w:r>
      <w:r w:rsidRPr="00580313">
        <w:rPr>
          <w:rFonts w:ascii="Calibri" w:hAnsi="Calibri" w:cs="Calibri"/>
          <w:color w:val="000000"/>
          <w:sz w:val="22"/>
          <w:szCs w:val="22"/>
        </w:rPr>
        <w:t>EF</w:t>
      </w:r>
      <w:proofErr w:type="spellEnd"/>
      <w:r w:rsidRPr="00580313">
        <w:rPr>
          <w:rFonts w:ascii="Calibri" w:hAnsi="Calibri" w:cs="Calibri"/>
          <w:color w:val="000000"/>
          <w:sz w:val="22"/>
          <w:szCs w:val="22"/>
        </w:rPr>
        <w:t>, PMU, UNDP Turkey Country Office and GEF levels) with strategy and policy options for more effectively and efficiently achieving the project’s expected results and for replicating the results. It also provides the basis for learning and accountability for managers and stakeholders.</w:t>
      </w:r>
    </w:p>
    <w:p w:rsidR="00FB609F" w:rsidRPr="00580313" w:rsidRDefault="00FB609F" w:rsidP="00FB609F">
      <w:pPr>
        <w:jc w:val="both"/>
        <w:rPr>
          <w:rFonts w:ascii="Calibri" w:hAnsi="Calibri" w:cs="Calibri"/>
          <w:color w:val="000000"/>
          <w:sz w:val="22"/>
          <w:szCs w:val="22"/>
        </w:rPr>
      </w:pPr>
    </w:p>
    <w:p w:rsidR="00FB609F" w:rsidRPr="00580313" w:rsidRDefault="00FB609F" w:rsidP="00FB609F">
      <w:pPr>
        <w:jc w:val="both"/>
        <w:rPr>
          <w:rFonts w:ascii="Calibri" w:hAnsi="Calibri" w:cs="Calibri"/>
          <w:color w:val="000000"/>
          <w:sz w:val="22"/>
          <w:szCs w:val="22"/>
        </w:rPr>
      </w:pPr>
      <w:r w:rsidRPr="00580313">
        <w:rPr>
          <w:rFonts w:ascii="Calibri" w:hAnsi="Calibri" w:cs="Calibri"/>
          <w:color w:val="000000"/>
          <w:sz w:val="22"/>
          <w:szCs w:val="22"/>
        </w:rPr>
        <w:t>Lastly it is important to state that the opinion and the arguments of the Evaluator can be challenged. They are just that; opinions and</w:t>
      </w:r>
      <w:r>
        <w:rPr>
          <w:rFonts w:ascii="Calibri" w:hAnsi="Calibri" w:cs="Calibri"/>
          <w:color w:val="000000"/>
          <w:sz w:val="22"/>
          <w:szCs w:val="22"/>
        </w:rPr>
        <w:t xml:space="preserve"> reasoned arguments. T</w:t>
      </w:r>
      <w:r w:rsidRPr="00580313">
        <w:rPr>
          <w:rFonts w:ascii="Calibri" w:hAnsi="Calibri" w:cs="Calibri"/>
          <w:color w:val="000000"/>
          <w:sz w:val="22"/>
          <w:szCs w:val="22"/>
        </w:rPr>
        <w:t xml:space="preserve">hey </w:t>
      </w:r>
      <w:r w:rsidRPr="00580313">
        <w:rPr>
          <w:rFonts w:ascii="Calibri" w:hAnsi="Calibri" w:cs="Calibri"/>
          <w:color w:val="000000"/>
          <w:sz w:val="22"/>
          <w:szCs w:val="22"/>
          <w:u w:val="single"/>
        </w:rPr>
        <w:t>need not</w:t>
      </w:r>
      <w:r w:rsidRPr="00580313">
        <w:rPr>
          <w:rFonts w:ascii="Calibri" w:hAnsi="Calibri" w:cs="Calibri"/>
          <w:color w:val="000000"/>
          <w:sz w:val="22"/>
          <w:szCs w:val="22"/>
        </w:rPr>
        <w:t xml:space="preserve"> be followed slavishly and should the PMU, UNDP or GEF disagree with the findings then providing there is a robust justification the project or partners can raise objections and ignore recommendations (or use alternative mechanisms) should there be any disagreement. From an adaptive management perspective, in the field of conservation, it is important to understand that when we are most certain about the outcome of something….we may be most vulnerable.</w:t>
      </w:r>
    </w:p>
    <w:p w:rsidR="00076D9B" w:rsidRPr="00ED7F81" w:rsidRDefault="00076D9B" w:rsidP="00ED7F81">
      <w:pPr>
        <w:pStyle w:val="Heading1"/>
        <w:rPr>
          <w:rFonts w:asciiTheme="minorHAnsi" w:hAnsiTheme="minorHAnsi" w:cstheme="minorHAnsi"/>
          <w:sz w:val="22"/>
          <w:szCs w:val="22"/>
        </w:rPr>
      </w:pPr>
      <w:bookmarkStart w:id="12" w:name="_Toc277001670"/>
      <w:r w:rsidRPr="00ED7F81">
        <w:rPr>
          <w:rFonts w:asciiTheme="minorHAnsi" w:hAnsiTheme="minorHAnsi" w:cstheme="minorHAnsi"/>
          <w:sz w:val="22"/>
          <w:szCs w:val="22"/>
        </w:rPr>
        <w:t>The GEF Project Monitoring and Evaluation Process</w:t>
      </w:r>
      <w:bookmarkEnd w:id="12"/>
    </w:p>
    <w:p w:rsidR="00242CD5" w:rsidRPr="0031358F" w:rsidRDefault="00242CD5" w:rsidP="00C26AD6">
      <w:pPr>
        <w:jc w:val="both"/>
        <w:rPr>
          <w:rFonts w:asciiTheme="minorHAnsi" w:hAnsiTheme="minorHAnsi" w:cstheme="minorHAnsi"/>
          <w:sz w:val="22"/>
          <w:szCs w:val="22"/>
        </w:rPr>
      </w:pPr>
      <w:r w:rsidRPr="0031358F">
        <w:rPr>
          <w:rFonts w:asciiTheme="minorHAnsi" w:hAnsiTheme="minorHAnsi" w:cstheme="minorHAnsi"/>
          <w:sz w:val="22"/>
          <w:szCs w:val="22"/>
        </w:rPr>
        <w:t xml:space="preserve">The GEF </w:t>
      </w:r>
      <w:r w:rsidR="00EF6D02" w:rsidRPr="0031358F">
        <w:rPr>
          <w:rFonts w:asciiTheme="minorHAnsi" w:hAnsiTheme="minorHAnsi" w:cstheme="minorHAnsi"/>
          <w:sz w:val="22"/>
          <w:szCs w:val="22"/>
        </w:rPr>
        <w:t xml:space="preserve">places considerable emphasis on project monitoring and evaluation as a means to strengthen </w:t>
      </w:r>
      <w:r w:rsidR="00EF6D02" w:rsidRPr="00DD04AE">
        <w:rPr>
          <w:rFonts w:asciiTheme="minorHAnsi" w:hAnsiTheme="minorHAnsi" w:cstheme="minorHAnsi"/>
          <w:b/>
          <w:sz w:val="22"/>
          <w:szCs w:val="22"/>
        </w:rPr>
        <w:t xml:space="preserve">adaptive </w:t>
      </w:r>
      <w:r w:rsidR="003A2575" w:rsidRPr="00DD04AE">
        <w:rPr>
          <w:rFonts w:asciiTheme="minorHAnsi" w:hAnsiTheme="minorHAnsi" w:cstheme="minorHAnsi"/>
          <w:b/>
          <w:sz w:val="22"/>
          <w:szCs w:val="22"/>
        </w:rPr>
        <w:t>management</w:t>
      </w:r>
      <w:r w:rsidR="003A2575" w:rsidRPr="0031358F">
        <w:rPr>
          <w:rFonts w:asciiTheme="minorHAnsi" w:hAnsiTheme="minorHAnsi" w:cstheme="minorHAnsi"/>
          <w:sz w:val="22"/>
          <w:szCs w:val="22"/>
        </w:rPr>
        <w:t xml:space="preserve">. In order to achieve this, the MTE will examine the Project </w:t>
      </w:r>
      <w:r w:rsidR="0031358F" w:rsidRPr="0031358F">
        <w:rPr>
          <w:rFonts w:asciiTheme="minorHAnsi" w:hAnsiTheme="minorHAnsi" w:cstheme="minorHAnsi"/>
          <w:sz w:val="22"/>
          <w:szCs w:val="22"/>
        </w:rPr>
        <w:t>documentation;</w:t>
      </w:r>
      <w:r w:rsidR="003A2575" w:rsidRPr="0031358F">
        <w:rPr>
          <w:rFonts w:asciiTheme="minorHAnsi" w:hAnsiTheme="minorHAnsi" w:cstheme="minorHAnsi"/>
          <w:sz w:val="22"/>
          <w:szCs w:val="22"/>
        </w:rPr>
        <w:t xml:space="preserve"> carry out interviews with Project partners, participants and other stakeholders</w:t>
      </w:r>
      <w:r w:rsidR="0031358F" w:rsidRPr="0031358F">
        <w:rPr>
          <w:rFonts w:asciiTheme="minorHAnsi" w:hAnsiTheme="minorHAnsi" w:cstheme="minorHAnsi"/>
          <w:sz w:val="22"/>
          <w:szCs w:val="22"/>
        </w:rPr>
        <w:t>. The MTE will validate the findings in the field and following a feedback meeting with the key Project partners, report on their findings</w:t>
      </w:r>
      <w:r w:rsidR="00AF774E">
        <w:rPr>
          <w:rFonts w:asciiTheme="minorHAnsi" w:hAnsiTheme="minorHAnsi" w:cstheme="minorHAnsi"/>
          <w:sz w:val="22"/>
          <w:szCs w:val="22"/>
        </w:rPr>
        <w:t xml:space="preserve"> and make recommendations </w:t>
      </w:r>
      <w:r w:rsidR="004C1D7E">
        <w:rPr>
          <w:rFonts w:asciiTheme="minorHAnsi" w:hAnsiTheme="minorHAnsi" w:cstheme="minorHAnsi"/>
          <w:sz w:val="22"/>
          <w:szCs w:val="22"/>
        </w:rPr>
        <w:t>in order to strengthen the Project</w:t>
      </w:r>
      <w:r w:rsidR="0031358F" w:rsidRPr="0031358F">
        <w:rPr>
          <w:rFonts w:asciiTheme="minorHAnsi" w:hAnsiTheme="minorHAnsi" w:cstheme="minorHAnsi"/>
          <w:sz w:val="22"/>
          <w:szCs w:val="22"/>
        </w:rPr>
        <w:t>.</w:t>
      </w:r>
    </w:p>
    <w:p w:rsidR="00AD02D8" w:rsidRPr="0031358F" w:rsidRDefault="00AD02D8" w:rsidP="00C26AD6">
      <w:pPr>
        <w:jc w:val="both"/>
        <w:rPr>
          <w:rFonts w:asciiTheme="minorHAnsi" w:hAnsiTheme="minorHAnsi" w:cstheme="minorHAnsi"/>
          <w:sz w:val="22"/>
          <w:szCs w:val="22"/>
        </w:rPr>
      </w:pPr>
    </w:p>
    <w:p w:rsidR="0031358F" w:rsidRPr="0031358F" w:rsidRDefault="00DD04AE" w:rsidP="0031358F">
      <w:pPr>
        <w:jc w:val="both"/>
        <w:rPr>
          <w:rFonts w:asciiTheme="minorHAnsi" w:hAnsiTheme="minorHAnsi" w:cstheme="minorHAnsi"/>
          <w:sz w:val="22"/>
          <w:szCs w:val="22"/>
        </w:rPr>
      </w:pPr>
      <w:r>
        <w:rPr>
          <w:rFonts w:asciiTheme="minorHAnsi" w:hAnsiTheme="minorHAnsi" w:cstheme="minorHAnsi"/>
          <w:sz w:val="22"/>
          <w:szCs w:val="22"/>
        </w:rPr>
        <w:t xml:space="preserve">Adaptive management is important because </w:t>
      </w:r>
      <w:r w:rsidR="0031358F" w:rsidRPr="0031358F">
        <w:rPr>
          <w:rFonts w:asciiTheme="minorHAnsi" w:hAnsiTheme="minorHAnsi" w:cstheme="minorHAnsi"/>
          <w:sz w:val="22"/>
          <w:szCs w:val="22"/>
        </w:rPr>
        <w:t>“</w:t>
      </w:r>
      <w:r>
        <w:rPr>
          <w:rFonts w:asciiTheme="minorHAnsi" w:hAnsiTheme="minorHAnsi" w:cstheme="minorHAnsi"/>
          <w:sz w:val="22"/>
          <w:szCs w:val="22"/>
        </w:rPr>
        <w:t>a</w:t>
      </w:r>
      <w:r w:rsidR="0031358F" w:rsidRPr="0031358F">
        <w:rPr>
          <w:rFonts w:asciiTheme="minorHAnsi" w:hAnsiTheme="minorHAnsi" w:cstheme="minorHAnsi"/>
          <w:sz w:val="22"/>
          <w:szCs w:val="22"/>
        </w:rPr>
        <w:t xml:space="preserve">ny belief that sustainability can be precisely defined is flawed. It is a contested concept, and so represents neither a fixed set of practices or technologies, nor a model to describe or impose on the world. Defining what we are trying to achieve is part of the problem, as each individual has different values. For us to prescribe a concrete set of technologies, practices or policies would be to exclude future options, undermining the notion of sustainability itself. </w:t>
      </w:r>
      <w:r w:rsidR="0031358F" w:rsidRPr="004C1D7E">
        <w:rPr>
          <w:rFonts w:asciiTheme="minorHAnsi" w:hAnsiTheme="minorHAnsi" w:cstheme="minorHAnsi"/>
          <w:i/>
          <w:sz w:val="22"/>
          <w:szCs w:val="22"/>
        </w:rPr>
        <w:t>Sustainable protected area management</w:t>
      </w:r>
      <w:r w:rsidR="0031358F" w:rsidRPr="0031358F">
        <w:rPr>
          <w:rFonts w:asciiTheme="minorHAnsi" w:hAnsiTheme="minorHAnsi" w:cstheme="minorHAnsi"/>
          <w:sz w:val="22"/>
          <w:szCs w:val="22"/>
        </w:rPr>
        <w:t xml:space="preserve"> is, therefore, not so much a specific strategy as it is an approach to understanding complex ecological and social relationships in rural areas</w:t>
      </w:r>
      <w:r w:rsidR="0031358F" w:rsidRPr="0031358F">
        <w:rPr>
          <w:rStyle w:val="FootnoteReference"/>
          <w:rFonts w:asciiTheme="minorHAnsi" w:hAnsiTheme="minorHAnsi" w:cstheme="minorHAnsi"/>
          <w:sz w:val="22"/>
          <w:szCs w:val="22"/>
        </w:rPr>
        <w:footnoteReference w:id="3"/>
      </w:r>
      <w:r w:rsidR="0031358F" w:rsidRPr="0031358F">
        <w:rPr>
          <w:rFonts w:asciiTheme="minorHAnsi" w:hAnsiTheme="minorHAnsi" w:cstheme="minorHAnsi"/>
          <w:sz w:val="22"/>
          <w:szCs w:val="22"/>
        </w:rPr>
        <w:t>”.</w:t>
      </w:r>
    </w:p>
    <w:p w:rsidR="0031358F" w:rsidRPr="0031358F" w:rsidRDefault="0031358F" w:rsidP="0031358F">
      <w:pPr>
        <w:jc w:val="both"/>
        <w:rPr>
          <w:rFonts w:asciiTheme="minorHAnsi" w:hAnsiTheme="minorHAnsi" w:cstheme="minorHAnsi"/>
          <w:sz w:val="22"/>
          <w:szCs w:val="22"/>
        </w:rPr>
      </w:pPr>
    </w:p>
    <w:p w:rsidR="0031358F" w:rsidRPr="0031358F" w:rsidRDefault="0031358F" w:rsidP="0031358F">
      <w:pPr>
        <w:jc w:val="both"/>
        <w:rPr>
          <w:rFonts w:asciiTheme="minorHAnsi" w:hAnsiTheme="minorHAnsi" w:cstheme="minorHAnsi"/>
          <w:sz w:val="22"/>
          <w:szCs w:val="22"/>
        </w:rPr>
      </w:pPr>
      <w:r w:rsidRPr="0031358F">
        <w:rPr>
          <w:rFonts w:asciiTheme="minorHAnsi" w:hAnsiTheme="minorHAnsi" w:cstheme="minorHAnsi"/>
          <w:sz w:val="22"/>
          <w:szCs w:val="22"/>
        </w:rPr>
        <w:t>From a management perspective it is important to recognise that conservation, especially as it relates to the buffer zone</w:t>
      </w:r>
      <w:r w:rsidR="004C1D7E">
        <w:rPr>
          <w:rFonts w:asciiTheme="minorHAnsi" w:hAnsiTheme="minorHAnsi" w:cstheme="minorHAnsi"/>
          <w:sz w:val="22"/>
          <w:szCs w:val="22"/>
        </w:rPr>
        <w:t xml:space="preserve"> (which is essentially a </w:t>
      </w:r>
      <w:r w:rsidR="004C1D7E">
        <w:rPr>
          <w:rFonts w:asciiTheme="minorHAnsi" w:hAnsiTheme="minorHAnsi" w:cstheme="minorHAnsi"/>
          <w:i/>
          <w:sz w:val="22"/>
          <w:szCs w:val="22"/>
        </w:rPr>
        <w:t>de facto</w:t>
      </w:r>
      <w:r w:rsidR="004C1D7E">
        <w:rPr>
          <w:rFonts w:asciiTheme="minorHAnsi" w:hAnsiTheme="minorHAnsi" w:cstheme="minorHAnsi"/>
          <w:sz w:val="22"/>
          <w:szCs w:val="22"/>
        </w:rPr>
        <w:t xml:space="preserve"> protected area)</w:t>
      </w:r>
      <w:r w:rsidRPr="0031358F">
        <w:rPr>
          <w:rFonts w:asciiTheme="minorHAnsi" w:hAnsiTheme="minorHAnsi" w:cstheme="minorHAnsi"/>
          <w:sz w:val="22"/>
          <w:szCs w:val="22"/>
        </w:rPr>
        <w:t>, is taking place where three principle drivers collide – the economic, socio-political and the ecological. Therefore, the planning is taking place in multiple fields such as ecology, economics, natural resource management, politics, business and the social sciences. In these fields there are a large and unquantifiable number of known and potential variables, all subject to continual change, all interacting with each other in ways that may be predictable or non-predictable. Applying science to the problems will make no difference to our inability to predict precisely or accurately given the complexity of multivariate, non-linear, cause and effect relationships</w:t>
      </w:r>
      <w:r w:rsidRPr="0031358F">
        <w:rPr>
          <w:rStyle w:val="FootnoteReference"/>
          <w:rFonts w:asciiTheme="minorHAnsi" w:hAnsiTheme="minorHAnsi" w:cstheme="minorHAnsi"/>
          <w:sz w:val="22"/>
          <w:szCs w:val="22"/>
        </w:rPr>
        <w:footnoteReference w:id="4"/>
      </w:r>
      <w:r w:rsidRPr="0031358F">
        <w:rPr>
          <w:rFonts w:asciiTheme="minorHAnsi" w:hAnsiTheme="minorHAnsi" w:cstheme="minorHAnsi"/>
          <w:sz w:val="22"/>
          <w:szCs w:val="22"/>
        </w:rPr>
        <w:t>.</w:t>
      </w:r>
    </w:p>
    <w:p w:rsidR="00AD02D8" w:rsidRPr="00242CD5" w:rsidRDefault="00AD02D8" w:rsidP="00076D9B">
      <w:pPr>
        <w:rPr>
          <w:rFonts w:asciiTheme="minorHAnsi" w:hAnsiTheme="minorHAnsi" w:cstheme="minorHAnsi"/>
          <w:sz w:val="22"/>
          <w:szCs w:val="22"/>
        </w:rPr>
      </w:pPr>
    </w:p>
    <w:p w:rsidR="00BE315A" w:rsidRDefault="0003680D" w:rsidP="00076D9B">
      <w:pPr>
        <w:rPr>
          <w:rFonts w:asciiTheme="minorHAnsi" w:hAnsiTheme="minorHAnsi" w:cstheme="minorHAnsi"/>
          <w:b/>
          <w:sz w:val="22"/>
          <w:szCs w:val="22"/>
        </w:rPr>
      </w:pPr>
      <w:r w:rsidRPr="0003680D">
        <w:rPr>
          <w:color w:val="FF0000"/>
          <w:sz w:val="22"/>
          <w:szCs w:val="22"/>
        </w:rPr>
      </w:r>
      <w:r w:rsidRPr="0003680D">
        <w:rPr>
          <w:color w:val="FF0000"/>
          <w:sz w:val="22"/>
          <w:szCs w:val="22"/>
        </w:rPr>
        <w:pict>
          <v:group id="_x0000_s1026" editas="canvas" style="width:409.5pt;height:243pt;mso-position-horizontal-relative:char;mso-position-vertical-relative:line" coordorigin="2273,1875" coordsize="715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3;top:1875;width:7150;height:4320" o:preferrelative="f" stroked="t" strokeweight="1.5pt">
              <v:fill o:detectmouseclick="t"/>
              <v:path o:extrusionok="t" o:connecttype="none"/>
              <o:lock v:ext="edit" text="t"/>
            </v:shape>
            <v:line id="_x0000_s1028" style="position:absolute" from="3067,2195" to="3068,5555"/>
            <v:shape id="_x0000_s1029" style="position:absolute;left:3067;top:5555;width:6162;height:1" coordsize="7059,1" path="m,l7059,e" filled="f">
              <v:path arrowok="t"/>
            </v:shape>
            <v:shape id="_x0000_s1030" style="position:absolute;left:3294;top:2622;width:5881;height:1653" coordsize="6736,1860" path="m,1860c347,990,694,121,1040,61,1386,1,1798,1410,2080,1500v282,90,327,-835,650,-899c3053,537,3609,1205,4021,1115,4433,1025,4915,122,5200,61,5485,,5545,675,5733,751v188,76,431,-134,598,-236c6498,413,6652,218,6736,140e" filled="f" strokecolor="red">
              <v:path arrowok="t"/>
            </v:shape>
            <v:shape id="_x0000_s1031" style="position:absolute;left:4429;top:3289;width:1040;height:506" coordsize="1191,569" path="m,569c97,284,192,58,390,29,588,,1024,318,1191,394e" filled="f" strokecolor="#0f243e">
              <v:path arrowok="t"/>
            </v:shape>
            <v:shapetype id="_x0000_t202" coordsize="21600,21600" o:spt="202" path="m,l,21600r21600,l21600,xe">
              <v:stroke joinstyle="miter"/>
              <v:path gradientshapeok="t" o:connecttype="rect"/>
            </v:shapetype>
            <v:shape id="_x0000_s1032" type="#_x0000_t202" style="position:absolute;left:4543;top:5715;width:1702;height:480">
              <v:textbox style="mso-next-textbox:#_x0000_s1032">
                <w:txbxContent>
                  <w:p w:rsidR="00872095" w:rsidRPr="00BE315A" w:rsidRDefault="00872095" w:rsidP="00BE315A">
                    <w:pPr>
                      <w:rPr>
                        <w:rFonts w:asciiTheme="minorHAnsi" w:hAnsiTheme="minorHAnsi" w:cstheme="minorHAnsi"/>
                      </w:rPr>
                    </w:pPr>
                    <w:r w:rsidRPr="00BE315A">
                      <w:rPr>
                        <w:rFonts w:asciiTheme="minorHAnsi" w:hAnsiTheme="minorHAnsi" w:cstheme="minorHAnsi"/>
                      </w:rPr>
                      <w:t>Time (in years)</w:t>
                    </w:r>
                  </w:p>
                </w:txbxContent>
              </v:textbox>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3" type="#_x0000_t62" style="position:absolute;left:8061;top:2035;width:1249;height:640" adj="2732,35370">
              <v:textbox style="mso-next-textbox:#_x0000_s1033">
                <w:txbxContent>
                  <w:p w:rsidR="00872095" w:rsidRPr="00BE315A" w:rsidRDefault="00872095" w:rsidP="00BE315A">
                    <w:pPr>
                      <w:jc w:val="center"/>
                      <w:rPr>
                        <w:rFonts w:asciiTheme="minorHAnsi" w:hAnsiTheme="minorHAnsi" w:cstheme="minorHAnsi"/>
                        <w:sz w:val="20"/>
                      </w:rPr>
                    </w:pPr>
                    <w:r w:rsidRPr="00BE315A">
                      <w:rPr>
                        <w:rFonts w:asciiTheme="minorHAnsi" w:hAnsiTheme="minorHAnsi" w:cstheme="minorHAnsi"/>
                        <w:sz w:val="20"/>
                      </w:rPr>
                      <w:t>Process</w:t>
                    </w:r>
                  </w:p>
                  <w:p w:rsidR="00872095" w:rsidRPr="00BE315A" w:rsidRDefault="00872095" w:rsidP="00BE315A">
                    <w:pPr>
                      <w:jc w:val="center"/>
                      <w:rPr>
                        <w:rFonts w:asciiTheme="minorHAnsi" w:hAnsiTheme="minorHAnsi" w:cstheme="minorHAnsi"/>
                        <w:sz w:val="20"/>
                      </w:rPr>
                    </w:pPr>
                    <w:r w:rsidRPr="00BE315A">
                      <w:rPr>
                        <w:rFonts w:asciiTheme="minorHAnsi" w:hAnsiTheme="minorHAnsi" w:cstheme="minorHAnsi"/>
                        <w:sz w:val="20"/>
                      </w:rPr>
                      <w:t>Oscillation</w:t>
                    </w:r>
                  </w:p>
                </w:txbxContent>
              </v:textbox>
            </v:shape>
            <v:shape id="_x0000_s1034" style="position:absolute;left:6586;top:2893;width:1278;height:902" coordsize="1464,1015" path="m,1015c195,775,390,535,520,475,650,415,693,685,780,655,867,625,933,399,1040,295,1147,191,1378,60,1421,30v43,-30,-96,67,-121,85e" filled="f" strokecolor="#0f243e">
              <v:path arrowok="t"/>
            </v:shape>
            <v:shape id="_x0000_s1035" type="#_x0000_t62" style="position:absolute;left:4997;top:2195;width:1552;height:625" adj="-2308,37700">
              <v:textbox style="mso-next-textbox:#_x0000_s1035">
                <w:txbxContent>
                  <w:p w:rsidR="00872095" w:rsidRPr="00BE315A" w:rsidRDefault="00872095" w:rsidP="00BE315A">
                    <w:pPr>
                      <w:jc w:val="center"/>
                      <w:rPr>
                        <w:rFonts w:asciiTheme="minorHAnsi" w:hAnsiTheme="minorHAnsi" w:cstheme="minorHAnsi"/>
                        <w:sz w:val="20"/>
                      </w:rPr>
                    </w:pPr>
                    <w:r>
                      <w:rPr>
                        <w:rFonts w:asciiTheme="minorHAnsi" w:hAnsiTheme="minorHAnsi" w:cstheme="minorHAnsi"/>
                        <w:sz w:val="20"/>
                      </w:rPr>
                      <w:t>Project</w:t>
                    </w:r>
                  </w:p>
                  <w:p w:rsidR="00872095" w:rsidRPr="00BE315A" w:rsidRDefault="00872095" w:rsidP="00BE315A">
                    <w:pPr>
                      <w:jc w:val="center"/>
                      <w:rPr>
                        <w:rFonts w:asciiTheme="minorHAnsi" w:hAnsiTheme="minorHAnsi" w:cstheme="minorHAnsi"/>
                        <w:sz w:val="20"/>
                      </w:rPr>
                    </w:pPr>
                    <w:r w:rsidRPr="00BE315A">
                      <w:rPr>
                        <w:rFonts w:asciiTheme="minorHAnsi" w:hAnsiTheme="minorHAnsi" w:cstheme="minorHAnsi"/>
                        <w:sz w:val="20"/>
                      </w:rPr>
                      <w:t>Oscillation</w:t>
                    </w:r>
                  </w:p>
                </w:txbxContent>
              </v:textbox>
            </v:shape>
            <v:line id="_x0000_s1036" style="position:absolute" from="3181,3475" to="9196,3475" strokeweight="1pt">
              <v:stroke dashstyle="1 1"/>
            </v:line>
            <v:shape id="_x0000_s1037" type="#_x0000_t62" style="position:absolute;left:6699;top:4435;width:1806;height:640;rotation:180" adj="3739,53459">
              <v:textbox style="mso-next-textbox:#_x0000_s1037">
                <w:txbxContent>
                  <w:p w:rsidR="00872095" w:rsidRPr="00BE315A" w:rsidRDefault="00872095" w:rsidP="00BE315A">
                    <w:pPr>
                      <w:jc w:val="center"/>
                      <w:rPr>
                        <w:rFonts w:asciiTheme="minorHAnsi" w:hAnsiTheme="minorHAnsi" w:cstheme="minorHAnsi"/>
                        <w:sz w:val="20"/>
                      </w:rPr>
                    </w:pPr>
                    <w:r w:rsidRPr="00BE315A">
                      <w:rPr>
                        <w:rFonts w:asciiTheme="minorHAnsi" w:hAnsiTheme="minorHAnsi" w:cstheme="minorHAnsi"/>
                        <w:sz w:val="20"/>
                      </w:rPr>
                      <w:t>Evaluation Median</w:t>
                    </w:r>
                  </w:p>
                  <w:p w:rsidR="00872095" w:rsidRPr="00BE315A" w:rsidRDefault="00872095" w:rsidP="00BE315A">
                    <w:pPr>
                      <w:jc w:val="center"/>
                      <w:rPr>
                        <w:rFonts w:asciiTheme="minorHAnsi" w:hAnsiTheme="minorHAnsi" w:cstheme="minorHAnsi"/>
                        <w:sz w:val="20"/>
                      </w:rPr>
                    </w:pPr>
                    <w:r w:rsidRPr="00BE315A">
                      <w:rPr>
                        <w:rFonts w:asciiTheme="minorHAnsi" w:hAnsiTheme="minorHAnsi" w:cstheme="minorHAnsi"/>
                        <w:sz w:val="20"/>
                      </w:rPr>
                      <w:t>Median</w:t>
                    </w:r>
                  </w:p>
                </w:txbxContent>
              </v:textbox>
            </v:shape>
            <v:shape id="_x0000_s1038" style="position:absolute;left:3294;top:3155;width:568;height:667" coordsize="650,750" path="m,180c141,465,282,750,390,720,498,690,607,120,650,e" filled="f" strokecolor="#0f243e">
              <v:path arrowok="t"/>
            </v:shape>
            <v:shape id="_x0000_s1039" type="#_x0000_t202" style="position:absolute;left:2386;top:2515;width:569;height:1920">
              <v:textbox style="layout-flow:vertical;mso-layout-flow-alt:bottom-to-top;mso-next-textbox:#_x0000_s1039">
                <w:txbxContent>
                  <w:p w:rsidR="00872095" w:rsidRPr="00BE315A" w:rsidRDefault="00872095" w:rsidP="00BE315A">
                    <w:pPr>
                      <w:jc w:val="center"/>
                      <w:rPr>
                        <w:rFonts w:asciiTheme="minorHAnsi" w:hAnsiTheme="minorHAnsi" w:cstheme="minorHAnsi"/>
                      </w:rPr>
                    </w:pPr>
                    <w:r w:rsidRPr="00BE315A">
                      <w:rPr>
                        <w:rFonts w:asciiTheme="minorHAnsi" w:hAnsiTheme="minorHAnsi" w:cstheme="minorHAnsi"/>
                      </w:rPr>
                      <w:t>Success Values</w:t>
                    </w:r>
                  </w:p>
                </w:txbxContent>
              </v:textbox>
            </v:shap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40" type="#_x0000_t94" style="position:absolute;left:6549;top:5835;width:681;height:160"/>
            <v:shape id="_x0000_s1041" type="#_x0000_t202" style="position:absolute;left:2727;top:5555;width:381;height:400">
              <v:textbox style="mso-next-textbox:#_x0000_s1041">
                <w:txbxContent>
                  <w:p w:rsidR="00872095" w:rsidRPr="00BE315A" w:rsidRDefault="00872095" w:rsidP="00BE315A">
                    <w:pPr>
                      <w:rPr>
                        <w:rFonts w:asciiTheme="minorHAnsi" w:hAnsiTheme="minorHAnsi" w:cstheme="minorHAnsi"/>
                      </w:rPr>
                    </w:pPr>
                    <w:r w:rsidRPr="00BE315A">
                      <w:rPr>
                        <w:rFonts w:asciiTheme="minorHAnsi" w:hAnsiTheme="minorHAnsi" w:cstheme="minorHAnsi"/>
                      </w:rPr>
                      <w:t>0</w:t>
                    </w:r>
                  </w:p>
                </w:txbxContent>
              </v:textbox>
            </v:shape>
            <v:shape id="_x0000_s1042" type="#_x0000_t202" style="position:absolute;left:8742;top:5555;width:567;height:480">
              <v:textbox style="mso-next-textbox:#_x0000_s1042">
                <w:txbxContent>
                  <w:p w:rsidR="00872095" w:rsidRPr="00BE315A" w:rsidRDefault="00872095" w:rsidP="00BE315A">
                    <w:pPr>
                      <w:rPr>
                        <w:rFonts w:asciiTheme="minorHAnsi" w:hAnsiTheme="minorHAnsi" w:cstheme="minorHAnsi"/>
                      </w:rPr>
                    </w:pPr>
                    <w:r w:rsidRPr="00BE315A">
                      <w:rPr>
                        <w:rFonts w:asciiTheme="minorHAnsi" w:hAnsiTheme="minorHAnsi" w:cstheme="minorHAnsi"/>
                      </w:rPr>
                      <w:t>20</w:t>
                    </w:r>
                  </w:p>
                </w:txbxContent>
              </v:textbox>
            </v:shape>
            <w10:wrap type="none"/>
            <w10:anchorlock/>
          </v:group>
        </w:pict>
      </w:r>
    </w:p>
    <w:p w:rsidR="00076D9B" w:rsidRDefault="004C1D7E" w:rsidP="00524113">
      <w:pPr>
        <w:jc w:val="both"/>
        <w:rPr>
          <w:rFonts w:asciiTheme="minorHAnsi" w:hAnsiTheme="minorHAnsi" w:cstheme="minorHAnsi"/>
          <w:sz w:val="20"/>
          <w:szCs w:val="20"/>
        </w:rPr>
      </w:pPr>
      <w:proofErr w:type="gramStart"/>
      <w:r>
        <w:rPr>
          <w:rFonts w:asciiTheme="minorHAnsi" w:hAnsiTheme="minorHAnsi" w:cstheme="minorHAnsi"/>
          <w:b/>
          <w:sz w:val="22"/>
          <w:szCs w:val="22"/>
        </w:rPr>
        <w:t xml:space="preserve">Fig 1 </w:t>
      </w:r>
      <w:r w:rsidRPr="00524113">
        <w:rPr>
          <w:rFonts w:asciiTheme="minorHAnsi" w:hAnsiTheme="minorHAnsi" w:cstheme="minorHAnsi"/>
          <w:sz w:val="20"/>
          <w:szCs w:val="20"/>
        </w:rPr>
        <w:t xml:space="preserve">Hypothetical </w:t>
      </w:r>
      <w:r w:rsidR="000C7016">
        <w:rPr>
          <w:rFonts w:asciiTheme="minorHAnsi" w:hAnsiTheme="minorHAnsi" w:cstheme="minorHAnsi"/>
          <w:sz w:val="20"/>
          <w:szCs w:val="20"/>
        </w:rPr>
        <w:t xml:space="preserve">table </w:t>
      </w:r>
      <w:r w:rsidRPr="00524113">
        <w:rPr>
          <w:rFonts w:asciiTheme="minorHAnsi" w:hAnsiTheme="minorHAnsi" w:cstheme="minorHAnsi"/>
          <w:sz w:val="20"/>
          <w:szCs w:val="20"/>
        </w:rPr>
        <w:t xml:space="preserve">to show the relationship between </w:t>
      </w:r>
      <w:r w:rsidRPr="00524113">
        <w:rPr>
          <w:rFonts w:asciiTheme="minorHAnsi" w:hAnsiTheme="minorHAnsi" w:cstheme="minorHAnsi"/>
          <w:i/>
          <w:sz w:val="20"/>
          <w:szCs w:val="20"/>
        </w:rPr>
        <w:t xml:space="preserve">project </w:t>
      </w:r>
      <w:r w:rsidRPr="00524113">
        <w:rPr>
          <w:rFonts w:asciiTheme="minorHAnsi" w:hAnsiTheme="minorHAnsi" w:cstheme="minorHAnsi"/>
          <w:sz w:val="20"/>
          <w:szCs w:val="20"/>
        </w:rPr>
        <w:t xml:space="preserve">and </w:t>
      </w:r>
      <w:r w:rsidRPr="00524113">
        <w:rPr>
          <w:rFonts w:asciiTheme="minorHAnsi" w:hAnsiTheme="minorHAnsi" w:cstheme="minorHAnsi"/>
          <w:i/>
          <w:sz w:val="20"/>
          <w:szCs w:val="20"/>
        </w:rPr>
        <w:t>process.</w:t>
      </w:r>
      <w:proofErr w:type="gramEnd"/>
      <w:r w:rsidRPr="00524113">
        <w:rPr>
          <w:rFonts w:asciiTheme="minorHAnsi" w:hAnsiTheme="minorHAnsi" w:cstheme="minorHAnsi"/>
          <w:sz w:val="20"/>
          <w:szCs w:val="20"/>
        </w:rPr>
        <w:t xml:space="preserve"> The red line is, for the sake of argument, the process of land use and the blue lines are projects. The Evaluation Median might be ecosystem functions, goods and services within the buffer zone and national park. The purpose of a project is to interact with that process and drive it above the agreed median (in GEF terminology we might call the median the </w:t>
      </w:r>
      <w:r w:rsidRPr="00524113">
        <w:rPr>
          <w:rFonts w:asciiTheme="minorHAnsi" w:hAnsiTheme="minorHAnsi" w:cstheme="minorHAnsi"/>
          <w:i/>
          <w:sz w:val="20"/>
          <w:szCs w:val="20"/>
        </w:rPr>
        <w:t>baseline</w:t>
      </w:r>
      <w:r w:rsidR="000C7016">
        <w:rPr>
          <w:rFonts w:asciiTheme="minorHAnsi" w:hAnsiTheme="minorHAnsi" w:cstheme="minorHAnsi"/>
          <w:sz w:val="20"/>
          <w:szCs w:val="20"/>
        </w:rPr>
        <w:t xml:space="preserve"> or equally we might even choose some state in the past</w:t>
      </w:r>
      <w:r w:rsidRPr="00524113">
        <w:rPr>
          <w:rFonts w:asciiTheme="minorHAnsi" w:hAnsiTheme="minorHAnsi" w:cstheme="minorHAnsi"/>
          <w:sz w:val="20"/>
          <w:szCs w:val="20"/>
        </w:rPr>
        <w:t>). This shows that it is possible for a poor project to be lifted by the trend of the overall land use processes in the first instance</w:t>
      </w:r>
      <w:r w:rsidR="00524113" w:rsidRPr="00524113">
        <w:rPr>
          <w:rFonts w:asciiTheme="minorHAnsi" w:hAnsiTheme="minorHAnsi" w:cstheme="minorHAnsi"/>
          <w:sz w:val="20"/>
          <w:szCs w:val="20"/>
        </w:rPr>
        <w:t>, in the second instance the project is brought down by the direction of the land use trend and the third instance both process and project are aligned.</w:t>
      </w:r>
    </w:p>
    <w:p w:rsidR="00524113" w:rsidRPr="004C1D7E" w:rsidRDefault="00524113" w:rsidP="00076D9B">
      <w:pPr>
        <w:rPr>
          <w:rFonts w:asciiTheme="minorHAnsi" w:hAnsiTheme="minorHAnsi" w:cstheme="minorHAnsi"/>
          <w:sz w:val="22"/>
          <w:szCs w:val="22"/>
        </w:rPr>
      </w:pPr>
    </w:p>
    <w:p w:rsidR="00247A81" w:rsidRPr="00247A81" w:rsidRDefault="00247A81" w:rsidP="00247A81">
      <w:pPr>
        <w:jc w:val="both"/>
        <w:rPr>
          <w:rFonts w:asciiTheme="minorHAnsi" w:hAnsiTheme="minorHAnsi" w:cstheme="minorHAnsi"/>
          <w:sz w:val="22"/>
          <w:szCs w:val="22"/>
        </w:rPr>
      </w:pPr>
      <w:r w:rsidRPr="00247A81">
        <w:rPr>
          <w:rFonts w:asciiTheme="minorHAnsi" w:hAnsiTheme="minorHAnsi" w:cstheme="minorHAnsi"/>
          <w:sz w:val="22"/>
          <w:szCs w:val="22"/>
        </w:rPr>
        <w:t xml:space="preserve">One of the challenges in reviewing a </w:t>
      </w:r>
      <w:r w:rsidR="00524113">
        <w:rPr>
          <w:rFonts w:asciiTheme="minorHAnsi" w:hAnsiTheme="minorHAnsi" w:cstheme="minorHAnsi"/>
          <w:sz w:val="22"/>
          <w:szCs w:val="22"/>
        </w:rPr>
        <w:t>project such as the Kure Mountains National Park Project and particularly the buffer zone establishment</w:t>
      </w:r>
      <w:r w:rsidRPr="00247A81">
        <w:rPr>
          <w:rFonts w:asciiTheme="minorHAnsi" w:hAnsiTheme="minorHAnsi" w:cstheme="minorHAnsi"/>
          <w:sz w:val="22"/>
          <w:szCs w:val="22"/>
        </w:rPr>
        <w:t xml:space="preserve"> is </w:t>
      </w:r>
      <w:r w:rsidR="00BE027B">
        <w:rPr>
          <w:rFonts w:asciiTheme="minorHAnsi" w:hAnsiTheme="minorHAnsi" w:cstheme="minorHAnsi"/>
          <w:sz w:val="22"/>
          <w:szCs w:val="22"/>
        </w:rPr>
        <w:t xml:space="preserve">in </w:t>
      </w:r>
      <w:r w:rsidRPr="00247A81">
        <w:rPr>
          <w:rFonts w:asciiTheme="minorHAnsi" w:hAnsiTheme="minorHAnsi" w:cstheme="minorHAnsi"/>
          <w:sz w:val="22"/>
          <w:szCs w:val="22"/>
        </w:rPr>
        <w:t xml:space="preserve">understanding the dynamics that are driving not only the process but also the communities and agencies that they are interacting with. </w:t>
      </w:r>
      <w:r w:rsidR="00524113">
        <w:rPr>
          <w:rFonts w:asciiTheme="minorHAnsi" w:hAnsiTheme="minorHAnsi" w:cstheme="minorHAnsi"/>
          <w:sz w:val="22"/>
          <w:szCs w:val="22"/>
        </w:rPr>
        <w:t xml:space="preserve">The land use process is being driven by ecological, socio-administrative and economic </w:t>
      </w:r>
      <w:r w:rsidR="00524113">
        <w:rPr>
          <w:rFonts w:asciiTheme="minorHAnsi" w:hAnsiTheme="minorHAnsi" w:cstheme="minorHAnsi"/>
          <w:i/>
          <w:sz w:val="22"/>
          <w:szCs w:val="22"/>
        </w:rPr>
        <w:t>drivers.</w:t>
      </w:r>
      <w:r w:rsidRPr="00247A81">
        <w:rPr>
          <w:rFonts w:asciiTheme="minorHAnsi" w:hAnsiTheme="minorHAnsi" w:cstheme="minorHAnsi"/>
          <w:sz w:val="22"/>
          <w:szCs w:val="22"/>
        </w:rPr>
        <w:t xml:space="preserve"> </w:t>
      </w:r>
      <w:r w:rsidR="00524113">
        <w:rPr>
          <w:rFonts w:asciiTheme="minorHAnsi" w:hAnsiTheme="minorHAnsi" w:cstheme="minorHAnsi"/>
          <w:sz w:val="22"/>
          <w:szCs w:val="22"/>
        </w:rPr>
        <w:t>T</w:t>
      </w:r>
      <w:r w:rsidRPr="00247A81">
        <w:rPr>
          <w:rFonts w:asciiTheme="minorHAnsi" w:hAnsiTheme="minorHAnsi" w:cstheme="minorHAnsi"/>
          <w:sz w:val="22"/>
          <w:szCs w:val="22"/>
        </w:rPr>
        <w:t>hese driving forces are operating in different time scales for example; driving forces that effect change in community perceptions and values operate over a much longer time frame than the time frames expected by project cycles. This inconsistency sets up a tension between “</w:t>
      </w:r>
      <w:proofErr w:type="gramStart"/>
      <w:r w:rsidRPr="00955F57">
        <w:rPr>
          <w:rFonts w:asciiTheme="minorHAnsi" w:hAnsiTheme="minorHAnsi" w:cstheme="minorHAnsi"/>
          <w:i/>
          <w:sz w:val="22"/>
          <w:szCs w:val="22"/>
        </w:rPr>
        <w:t>project</w:t>
      </w:r>
      <w:proofErr w:type="gramEnd"/>
      <w:r w:rsidRPr="00247A81">
        <w:rPr>
          <w:rFonts w:asciiTheme="minorHAnsi" w:hAnsiTheme="minorHAnsi" w:cstheme="minorHAnsi"/>
          <w:sz w:val="22"/>
          <w:szCs w:val="22"/>
        </w:rPr>
        <w:t xml:space="preserve">” </w:t>
      </w:r>
      <w:r w:rsidRPr="00247A81">
        <w:rPr>
          <w:rFonts w:asciiTheme="minorHAnsi" w:hAnsiTheme="minorHAnsi" w:cstheme="minorHAnsi"/>
          <w:i/>
          <w:sz w:val="22"/>
          <w:szCs w:val="22"/>
        </w:rPr>
        <w:t>versus</w:t>
      </w:r>
      <w:r w:rsidRPr="00247A81">
        <w:rPr>
          <w:rFonts w:asciiTheme="minorHAnsi" w:hAnsiTheme="minorHAnsi" w:cstheme="minorHAnsi"/>
          <w:sz w:val="22"/>
          <w:szCs w:val="22"/>
        </w:rPr>
        <w:t xml:space="preserve"> “</w:t>
      </w:r>
      <w:r w:rsidRPr="00955F57">
        <w:rPr>
          <w:rFonts w:asciiTheme="minorHAnsi" w:hAnsiTheme="minorHAnsi" w:cstheme="minorHAnsi"/>
          <w:i/>
          <w:sz w:val="22"/>
          <w:szCs w:val="22"/>
        </w:rPr>
        <w:t>process</w:t>
      </w:r>
      <w:r w:rsidRPr="00247A81">
        <w:rPr>
          <w:rFonts w:asciiTheme="minorHAnsi" w:hAnsiTheme="minorHAnsi" w:cstheme="minorHAnsi"/>
          <w:sz w:val="22"/>
          <w:szCs w:val="22"/>
        </w:rPr>
        <w:t xml:space="preserve">”. In natural resource management we are further influenced by even greater ecological time scales, which </w:t>
      </w:r>
      <w:r w:rsidRPr="00247A81">
        <w:rPr>
          <w:rFonts w:asciiTheme="minorHAnsi" w:hAnsiTheme="minorHAnsi" w:cstheme="minorHAnsi"/>
          <w:sz w:val="22"/>
          <w:szCs w:val="22"/>
        </w:rPr>
        <w:lastRenderedPageBreak/>
        <w:t>because they are so long we tend</w:t>
      </w:r>
      <w:r w:rsidR="00997E60">
        <w:rPr>
          <w:rFonts w:asciiTheme="minorHAnsi" w:hAnsiTheme="minorHAnsi" w:cstheme="minorHAnsi"/>
          <w:sz w:val="22"/>
          <w:szCs w:val="22"/>
        </w:rPr>
        <w:t xml:space="preserve"> to</w:t>
      </w:r>
      <w:r w:rsidRPr="00247A81">
        <w:rPr>
          <w:rFonts w:asciiTheme="minorHAnsi" w:hAnsiTheme="minorHAnsi" w:cstheme="minorHAnsi"/>
          <w:sz w:val="22"/>
          <w:szCs w:val="22"/>
        </w:rPr>
        <w:t xml:space="preserve"> </w:t>
      </w:r>
      <w:r>
        <w:rPr>
          <w:rFonts w:asciiTheme="minorHAnsi" w:hAnsiTheme="minorHAnsi" w:cstheme="minorHAnsi"/>
          <w:sz w:val="22"/>
          <w:szCs w:val="22"/>
        </w:rPr>
        <w:t xml:space="preserve">try to fix them in time or </w:t>
      </w:r>
      <w:r w:rsidRPr="00247A81">
        <w:rPr>
          <w:rFonts w:asciiTheme="minorHAnsi" w:hAnsiTheme="minorHAnsi" w:cstheme="minorHAnsi"/>
          <w:sz w:val="22"/>
          <w:szCs w:val="22"/>
        </w:rPr>
        <w:t>cast</w:t>
      </w:r>
      <w:r>
        <w:rPr>
          <w:rFonts w:asciiTheme="minorHAnsi" w:hAnsiTheme="minorHAnsi" w:cstheme="minorHAnsi"/>
          <w:sz w:val="22"/>
          <w:szCs w:val="22"/>
        </w:rPr>
        <w:t xml:space="preserve"> them</w:t>
      </w:r>
      <w:r w:rsidRPr="00247A81">
        <w:rPr>
          <w:rFonts w:asciiTheme="minorHAnsi" w:hAnsiTheme="minorHAnsi" w:cstheme="minorHAnsi"/>
          <w:sz w:val="22"/>
          <w:szCs w:val="22"/>
        </w:rPr>
        <w:t xml:space="preserve"> aside as unmanageable</w:t>
      </w:r>
      <w:r>
        <w:rPr>
          <w:rFonts w:asciiTheme="minorHAnsi" w:hAnsiTheme="minorHAnsi" w:cstheme="minorHAnsi"/>
          <w:sz w:val="22"/>
          <w:szCs w:val="22"/>
        </w:rPr>
        <w:t xml:space="preserve"> (</w:t>
      </w:r>
      <w:r w:rsidR="00524113">
        <w:rPr>
          <w:rFonts w:asciiTheme="minorHAnsi" w:hAnsiTheme="minorHAnsi" w:cstheme="minorHAnsi"/>
          <w:sz w:val="22"/>
          <w:szCs w:val="22"/>
        </w:rPr>
        <w:t xml:space="preserve">Adapted from </w:t>
      </w:r>
      <w:r>
        <w:rPr>
          <w:rFonts w:asciiTheme="minorHAnsi" w:hAnsiTheme="minorHAnsi" w:cstheme="minorHAnsi"/>
          <w:sz w:val="22"/>
          <w:szCs w:val="22"/>
        </w:rPr>
        <w:t>Murphree 2005)</w:t>
      </w:r>
      <w:r w:rsidRPr="00247A81">
        <w:rPr>
          <w:rFonts w:asciiTheme="minorHAnsi" w:hAnsiTheme="minorHAnsi" w:cstheme="minorHAnsi"/>
          <w:sz w:val="22"/>
          <w:szCs w:val="22"/>
        </w:rPr>
        <w:t xml:space="preserve">. </w:t>
      </w:r>
    </w:p>
    <w:p w:rsidR="00076D9B" w:rsidRPr="00872095" w:rsidRDefault="00076D9B" w:rsidP="00872095">
      <w:pPr>
        <w:pStyle w:val="Heading1"/>
        <w:rPr>
          <w:rFonts w:asciiTheme="minorHAnsi" w:hAnsiTheme="minorHAnsi" w:cstheme="minorHAnsi"/>
          <w:sz w:val="22"/>
          <w:szCs w:val="22"/>
        </w:rPr>
      </w:pPr>
      <w:bookmarkStart w:id="13" w:name="_Toc277001671"/>
      <w:r w:rsidRPr="00872095">
        <w:rPr>
          <w:rFonts w:asciiTheme="minorHAnsi" w:hAnsiTheme="minorHAnsi" w:cstheme="minorHAnsi"/>
          <w:sz w:val="22"/>
          <w:szCs w:val="22"/>
        </w:rPr>
        <w:t>The GEF Objective (GEF Operational Programme #3)</w:t>
      </w:r>
      <w:bookmarkEnd w:id="13"/>
    </w:p>
    <w:p w:rsidR="008A07A4" w:rsidRPr="008A07A4" w:rsidRDefault="008A07A4" w:rsidP="00314E8F">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The Project is framed within the GEF Operational Programme #3 which </w:t>
      </w:r>
      <w:r w:rsidR="00314E8F">
        <w:rPr>
          <w:rFonts w:asciiTheme="minorHAnsi" w:hAnsiTheme="minorHAnsi" w:cstheme="minorHAnsi"/>
          <w:sz w:val="22"/>
          <w:szCs w:val="22"/>
        </w:rPr>
        <w:t xml:space="preserve">to a large extent will be the median against which the Projects performance will be judged. </w:t>
      </w:r>
      <w:r w:rsidR="009848D1">
        <w:rPr>
          <w:rFonts w:asciiTheme="minorHAnsi" w:hAnsiTheme="minorHAnsi" w:cstheme="minorHAnsi"/>
          <w:sz w:val="22"/>
          <w:szCs w:val="22"/>
        </w:rPr>
        <w:t xml:space="preserve">GEF OP#3 </w:t>
      </w:r>
      <w:r>
        <w:rPr>
          <w:rFonts w:asciiTheme="minorHAnsi" w:hAnsiTheme="minorHAnsi" w:cstheme="minorHAnsi"/>
          <w:sz w:val="22"/>
          <w:szCs w:val="22"/>
        </w:rPr>
        <w:t>defines the:</w:t>
      </w:r>
    </w:p>
    <w:p w:rsidR="008A07A4" w:rsidRDefault="008A07A4" w:rsidP="00314E8F">
      <w:pPr>
        <w:autoSpaceDE w:val="0"/>
        <w:autoSpaceDN w:val="0"/>
        <w:adjustRightInd w:val="0"/>
        <w:jc w:val="both"/>
        <w:rPr>
          <w:rFonts w:asciiTheme="minorHAnsi" w:hAnsiTheme="minorHAnsi" w:cstheme="minorHAnsi"/>
          <w:b/>
          <w:sz w:val="22"/>
          <w:szCs w:val="22"/>
        </w:rPr>
      </w:pPr>
    </w:p>
    <w:p w:rsidR="00076D9B" w:rsidRPr="006B5D4E" w:rsidRDefault="00076D9B" w:rsidP="00314E8F">
      <w:pPr>
        <w:autoSpaceDE w:val="0"/>
        <w:autoSpaceDN w:val="0"/>
        <w:adjustRightInd w:val="0"/>
        <w:ind w:left="720"/>
        <w:jc w:val="both"/>
        <w:rPr>
          <w:rFonts w:asciiTheme="minorHAnsi" w:hAnsiTheme="minorHAnsi" w:cstheme="minorHAnsi"/>
          <w:b/>
          <w:bCs/>
          <w:sz w:val="22"/>
          <w:szCs w:val="22"/>
        </w:rPr>
      </w:pPr>
      <w:r w:rsidRPr="006B5D4E">
        <w:rPr>
          <w:rFonts w:asciiTheme="minorHAnsi" w:hAnsiTheme="minorHAnsi" w:cstheme="minorHAnsi"/>
          <w:b/>
          <w:sz w:val="22"/>
          <w:szCs w:val="22"/>
        </w:rPr>
        <w:t>Programme Outcomes</w:t>
      </w:r>
      <w:r>
        <w:rPr>
          <w:rFonts w:asciiTheme="minorHAnsi" w:hAnsiTheme="minorHAnsi" w:cstheme="minorHAnsi"/>
          <w:b/>
          <w:sz w:val="22"/>
          <w:szCs w:val="22"/>
        </w:rPr>
        <w:t xml:space="preserve"> - </w:t>
      </w:r>
      <w:r w:rsidRPr="00076D9B">
        <w:rPr>
          <w:rFonts w:asciiTheme="minorHAnsi" w:hAnsiTheme="minorHAnsi" w:cstheme="minorHAnsi"/>
          <w:sz w:val="22"/>
          <w:szCs w:val="22"/>
        </w:rPr>
        <w:t xml:space="preserve">a </w:t>
      </w:r>
      <w:r w:rsidRPr="006B5D4E">
        <w:rPr>
          <w:rFonts w:asciiTheme="minorHAnsi" w:hAnsiTheme="minorHAnsi" w:cstheme="minorHAnsi"/>
          <w:sz w:val="22"/>
          <w:szCs w:val="22"/>
        </w:rPr>
        <w:t>successful outcome is one where globally important biodiversity has been conserved or sustainably used in a specific forest ecosystem</w:t>
      </w:r>
      <w:r w:rsidR="008A07A4">
        <w:rPr>
          <w:rFonts w:asciiTheme="minorHAnsi" w:hAnsiTheme="minorHAnsi" w:cstheme="minorHAnsi"/>
          <w:sz w:val="22"/>
          <w:szCs w:val="22"/>
        </w:rPr>
        <w:t>;</w:t>
      </w:r>
    </w:p>
    <w:p w:rsidR="00076D9B" w:rsidRPr="006B5D4E" w:rsidRDefault="00076D9B" w:rsidP="00314E8F">
      <w:pPr>
        <w:autoSpaceDE w:val="0"/>
        <w:autoSpaceDN w:val="0"/>
        <w:adjustRightInd w:val="0"/>
        <w:jc w:val="both"/>
        <w:rPr>
          <w:rFonts w:asciiTheme="minorHAnsi" w:hAnsiTheme="minorHAnsi" w:cstheme="minorHAnsi"/>
          <w:b/>
          <w:bCs/>
          <w:sz w:val="22"/>
          <w:szCs w:val="22"/>
        </w:rPr>
      </w:pPr>
    </w:p>
    <w:p w:rsidR="00076D9B" w:rsidRDefault="008A07A4" w:rsidP="00314E8F">
      <w:p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And the p</w:t>
      </w:r>
      <w:r w:rsidR="00076D9B" w:rsidRPr="008A07A4">
        <w:rPr>
          <w:rFonts w:asciiTheme="minorHAnsi" w:hAnsiTheme="minorHAnsi" w:cstheme="minorHAnsi"/>
          <w:bCs/>
          <w:sz w:val="22"/>
          <w:szCs w:val="22"/>
        </w:rPr>
        <w:t xml:space="preserve">rogramme </w:t>
      </w:r>
      <w:r w:rsidRPr="00F5287F">
        <w:rPr>
          <w:rFonts w:asciiTheme="minorHAnsi" w:hAnsiTheme="minorHAnsi" w:cstheme="minorHAnsi"/>
          <w:b/>
          <w:bCs/>
          <w:sz w:val="22"/>
          <w:szCs w:val="22"/>
        </w:rPr>
        <w:t>o</w:t>
      </w:r>
      <w:r w:rsidR="00076D9B" w:rsidRPr="00F5287F">
        <w:rPr>
          <w:rFonts w:asciiTheme="minorHAnsi" w:hAnsiTheme="minorHAnsi" w:cstheme="minorHAnsi"/>
          <w:b/>
          <w:bCs/>
          <w:sz w:val="22"/>
          <w:szCs w:val="22"/>
        </w:rPr>
        <w:t>bjectives</w:t>
      </w:r>
      <w:r>
        <w:rPr>
          <w:rFonts w:asciiTheme="minorHAnsi" w:hAnsiTheme="minorHAnsi" w:cstheme="minorHAnsi"/>
          <w:bCs/>
          <w:sz w:val="22"/>
          <w:szCs w:val="22"/>
        </w:rPr>
        <w:t>:</w:t>
      </w:r>
    </w:p>
    <w:p w:rsidR="008A07A4" w:rsidRPr="008A07A4" w:rsidRDefault="008A07A4" w:rsidP="00314E8F">
      <w:pPr>
        <w:autoSpaceDE w:val="0"/>
        <w:autoSpaceDN w:val="0"/>
        <w:adjustRightInd w:val="0"/>
        <w:jc w:val="both"/>
        <w:rPr>
          <w:rFonts w:asciiTheme="minorHAnsi" w:hAnsiTheme="minorHAnsi" w:cstheme="minorHAnsi"/>
          <w:bCs/>
          <w:sz w:val="22"/>
          <w:szCs w:val="22"/>
        </w:rPr>
      </w:pPr>
    </w:p>
    <w:p w:rsidR="00076D9B" w:rsidRPr="006B5D4E" w:rsidRDefault="00076D9B" w:rsidP="00314E8F">
      <w:pPr>
        <w:autoSpaceDE w:val="0"/>
        <w:autoSpaceDN w:val="0"/>
        <w:adjustRightInd w:val="0"/>
        <w:ind w:left="720"/>
        <w:jc w:val="both"/>
        <w:rPr>
          <w:rFonts w:asciiTheme="minorHAnsi" w:hAnsiTheme="minorHAnsi" w:cstheme="minorHAnsi"/>
          <w:sz w:val="22"/>
          <w:szCs w:val="22"/>
        </w:rPr>
      </w:pPr>
      <w:r w:rsidRPr="006B5D4E">
        <w:rPr>
          <w:rFonts w:asciiTheme="minorHAnsi" w:hAnsiTheme="minorHAnsi" w:cstheme="minorHAnsi"/>
          <w:b/>
          <w:bCs/>
          <w:sz w:val="22"/>
          <w:szCs w:val="22"/>
        </w:rPr>
        <w:t>Conservation</w:t>
      </w:r>
      <w:r w:rsidRPr="006B5D4E">
        <w:rPr>
          <w:rFonts w:asciiTheme="minorHAnsi" w:hAnsiTheme="minorHAnsi" w:cstheme="minorHAnsi"/>
          <w:sz w:val="22"/>
          <w:szCs w:val="22"/>
        </w:rPr>
        <w:t xml:space="preserve"> or in-situ protection, will be sought through protection of primary/old growth and ecologically mature secondary forest ecosystems, by establishing and strengthening systems of conservation areas, focusing primarily on tropical and temperate ecosystems in areas at risk; and</w:t>
      </w:r>
    </w:p>
    <w:p w:rsidR="00076D9B" w:rsidRPr="006B5D4E" w:rsidRDefault="00076D9B" w:rsidP="00314E8F">
      <w:pPr>
        <w:autoSpaceDE w:val="0"/>
        <w:autoSpaceDN w:val="0"/>
        <w:adjustRightInd w:val="0"/>
        <w:jc w:val="both"/>
        <w:rPr>
          <w:rFonts w:asciiTheme="minorHAnsi" w:hAnsiTheme="minorHAnsi" w:cstheme="minorHAnsi"/>
          <w:sz w:val="22"/>
          <w:szCs w:val="22"/>
        </w:rPr>
      </w:pPr>
    </w:p>
    <w:p w:rsidR="00314E8F" w:rsidRPr="00314E8F" w:rsidRDefault="00076D9B" w:rsidP="00314E8F">
      <w:pPr>
        <w:autoSpaceDE w:val="0"/>
        <w:autoSpaceDN w:val="0"/>
        <w:adjustRightInd w:val="0"/>
        <w:ind w:left="720"/>
        <w:jc w:val="both"/>
        <w:rPr>
          <w:rFonts w:asciiTheme="minorHAnsi" w:hAnsiTheme="minorHAnsi" w:cstheme="minorHAnsi"/>
          <w:sz w:val="22"/>
          <w:szCs w:val="22"/>
        </w:rPr>
      </w:pPr>
      <w:r w:rsidRPr="006B5D4E">
        <w:rPr>
          <w:rFonts w:asciiTheme="minorHAnsi" w:hAnsiTheme="minorHAnsi" w:cstheme="minorHAnsi"/>
          <w:b/>
          <w:bCs/>
          <w:sz w:val="22"/>
          <w:szCs w:val="22"/>
        </w:rPr>
        <w:t>Sustainable use</w:t>
      </w:r>
      <w:r w:rsidRPr="006B5D4E">
        <w:rPr>
          <w:rFonts w:asciiTheme="minorHAnsi" w:hAnsiTheme="minorHAnsi" w:cstheme="minorHAnsi"/>
          <w:sz w:val="22"/>
          <w:szCs w:val="22"/>
        </w:rPr>
        <w:t xml:space="preserve"> forest management will be sought by combining production, socio-economic, and biodiversity goals. The Operational Strategy calls for a range of uses from strict protection on reserves through various forms of multiple use</w:t>
      </w:r>
      <w:r w:rsidR="00991B5D">
        <w:rPr>
          <w:rFonts w:asciiTheme="minorHAnsi" w:hAnsiTheme="minorHAnsi" w:cstheme="minorHAnsi"/>
          <w:sz w:val="22"/>
          <w:szCs w:val="22"/>
        </w:rPr>
        <w:t>s</w:t>
      </w:r>
      <w:r w:rsidRPr="006B5D4E">
        <w:rPr>
          <w:rFonts w:asciiTheme="minorHAnsi" w:hAnsiTheme="minorHAnsi" w:cstheme="minorHAnsi"/>
          <w:sz w:val="22"/>
          <w:szCs w:val="22"/>
        </w:rPr>
        <w:t xml:space="preserve"> with conservation easements</w:t>
      </w:r>
      <w:r w:rsidR="00991B5D">
        <w:rPr>
          <w:rFonts w:asciiTheme="minorHAnsi" w:hAnsiTheme="minorHAnsi" w:cstheme="minorHAnsi"/>
          <w:sz w:val="22"/>
          <w:szCs w:val="22"/>
        </w:rPr>
        <w:t>,</w:t>
      </w:r>
      <w:r w:rsidRPr="006B5D4E">
        <w:rPr>
          <w:rFonts w:asciiTheme="minorHAnsi" w:hAnsiTheme="minorHAnsi" w:cstheme="minorHAnsi"/>
          <w:sz w:val="22"/>
          <w:szCs w:val="22"/>
        </w:rPr>
        <w:t xml:space="preserve"> to full scale use.</w:t>
      </w:r>
    </w:p>
    <w:p w:rsidR="00FB609F" w:rsidRPr="00872095" w:rsidRDefault="00FB609F" w:rsidP="00872095">
      <w:pPr>
        <w:pStyle w:val="Heading1"/>
        <w:rPr>
          <w:rFonts w:asciiTheme="minorHAnsi" w:hAnsiTheme="minorHAnsi" w:cstheme="minorHAnsi"/>
          <w:sz w:val="22"/>
          <w:szCs w:val="22"/>
        </w:rPr>
      </w:pPr>
      <w:bookmarkStart w:id="14" w:name="_Toc277001672"/>
      <w:r w:rsidRPr="00872095">
        <w:rPr>
          <w:rFonts w:asciiTheme="minorHAnsi" w:hAnsiTheme="minorHAnsi" w:cstheme="minorHAnsi"/>
          <w:sz w:val="22"/>
          <w:szCs w:val="22"/>
        </w:rPr>
        <w:t>Description of the Project</w:t>
      </w:r>
      <w:bookmarkEnd w:id="14"/>
    </w:p>
    <w:p w:rsidR="002C3243" w:rsidRDefault="00AD02D8" w:rsidP="00AD7E64">
      <w:pPr>
        <w:jc w:val="both"/>
        <w:rPr>
          <w:rFonts w:asciiTheme="minorHAnsi" w:hAnsiTheme="minorHAnsi" w:cstheme="minorHAnsi"/>
          <w:sz w:val="22"/>
          <w:szCs w:val="22"/>
        </w:rPr>
      </w:pPr>
      <w:r>
        <w:rPr>
          <w:rFonts w:asciiTheme="minorHAnsi" w:hAnsiTheme="minorHAnsi" w:cstheme="minorHAnsi"/>
          <w:sz w:val="22"/>
          <w:szCs w:val="22"/>
        </w:rPr>
        <w:t>The Project is a m</w:t>
      </w:r>
      <w:r w:rsidR="000508F6" w:rsidRPr="000508F6">
        <w:rPr>
          <w:rFonts w:asciiTheme="minorHAnsi" w:hAnsiTheme="minorHAnsi" w:cstheme="minorHAnsi"/>
          <w:sz w:val="22"/>
          <w:szCs w:val="22"/>
        </w:rPr>
        <w:t>edium size Project</w:t>
      </w:r>
      <w:r w:rsidR="000508F6">
        <w:rPr>
          <w:rFonts w:asciiTheme="minorHAnsi" w:hAnsiTheme="minorHAnsi" w:cstheme="minorHAnsi"/>
          <w:sz w:val="22"/>
          <w:szCs w:val="22"/>
        </w:rPr>
        <w:t xml:space="preserve"> </w:t>
      </w:r>
      <w:r>
        <w:rPr>
          <w:rFonts w:asciiTheme="minorHAnsi" w:hAnsiTheme="minorHAnsi" w:cstheme="minorHAnsi"/>
          <w:sz w:val="22"/>
          <w:szCs w:val="22"/>
        </w:rPr>
        <w:t xml:space="preserve">focused on the </w:t>
      </w:r>
      <w:proofErr w:type="spellStart"/>
      <w:r w:rsidR="007A4642" w:rsidRPr="00242CD5">
        <w:rPr>
          <w:rFonts w:asciiTheme="minorHAnsi" w:hAnsiTheme="minorHAnsi" w:cstheme="minorHAnsi"/>
          <w:sz w:val="22"/>
          <w:szCs w:val="22"/>
        </w:rPr>
        <w:t>Küre</w:t>
      </w:r>
      <w:proofErr w:type="spellEnd"/>
      <w:r>
        <w:rPr>
          <w:rFonts w:asciiTheme="minorHAnsi" w:hAnsiTheme="minorHAnsi" w:cstheme="minorHAnsi"/>
          <w:sz w:val="22"/>
          <w:szCs w:val="22"/>
        </w:rPr>
        <w:t xml:space="preserve"> Mountains National Park </w:t>
      </w:r>
      <w:r w:rsidR="007A4642">
        <w:rPr>
          <w:rFonts w:asciiTheme="minorHAnsi" w:hAnsiTheme="minorHAnsi" w:cstheme="minorHAnsi"/>
          <w:sz w:val="22"/>
          <w:szCs w:val="22"/>
        </w:rPr>
        <w:t xml:space="preserve">(KMNP) </w:t>
      </w:r>
      <w:r>
        <w:rPr>
          <w:rFonts w:asciiTheme="minorHAnsi" w:hAnsiTheme="minorHAnsi" w:cstheme="minorHAnsi"/>
          <w:sz w:val="22"/>
          <w:szCs w:val="22"/>
        </w:rPr>
        <w:t>and the surrounding areas where it is the intention to create a buffer zone to support the conservation of the National Park.</w:t>
      </w:r>
    </w:p>
    <w:p w:rsidR="00AD02D8" w:rsidRDefault="00AD02D8" w:rsidP="00AD7E64">
      <w:pPr>
        <w:jc w:val="both"/>
        <w:rPr>
          <w:rFonts w:asciiTheme="minorHAnsi" w:hAnsiTheme="minorHAnsi" w:cstheme="minorHAnsi"/>
          <w:sz w:val="22"/>
          <w:szCs w:val="22"/>
        </w:rPr>
      </w:pPr>
    </w:p>
    <w:p w:rsidR="00242CD5" w:rsidRPr="00242CD5" w:rsidRDefault="00AD02D8" w:rsidP="00AD7E64">
      <w:pPr>
        <w:jc w:val="both"/>
        <w:rPr>
          <w:rFonts w:asciiTheme="minorHAnsi" w:hAnsiTheme="minorHAnsi" w:cstheme="minorHAnsi"/>
          <w:sz w:val="22"/>
          <w:szCs w:val="22"/>
        </w:rPr>
      </w:pPr>
      <w:r>
        <w:rPr>
          <w:rFonts w:asciiTheme="minorHAnsi" w:hAnsiTheme="minorHAnsi" w:cstheme="minorHAnsi"/>
          <w:sz w:val="22"/>
          <w:szCs w:val="22"/>
        </w:rPr>
        <w:t xml:space="preserve">The Project started in May 2008 and the </w:t>
      </w:r>
      <w:r w:rsidR="00242CD5" w:rsidRPr="00242CD5">
        <w:rPr>
          <w:rFonts w:asciiTheme="minorHAnsi" w:hAnsiTheme="minorHAnsi" w:cstheme="minorHAnsi"/>
          <w:sz w:val="22"/>
          <w:szCs w:val="22"/>
        </w:rPr>
        <w:t>Implementing Agency</w:t>
      </w:r>
      <w:r>
        <w:rPr>
          <w:rFonts w:asciiTheme="minorHAnsi" w:hAnsiTheme="minorHAnsi" w:cstheme="minorHAnsi"/>
          <w:sz w:val="22"/>
          <w:szCs w:val="22"/>
        </w:rPr>
        <w:t xml:space="preserve"> is the</w:t>
      </w:r>
      <w:r w:rsidR="00242CD5" w:rsidRPr="00242CD5">
        <w:rPr>
          <w:rFonts w:asciiTheme="minorHAnsi" w:hAnsiTheme="minorHAnsi" w:cstheme="minorHAnsi"/>
          <w:sz w:val="22"/>
          <w:szCs w:val="22"/>
        </w:rPr>
        <w:t xml:space="preserve"> UNDP</w:t>
      </w:r>
      <w:r>
        <w:rPr>
          <w:rFonts w:asciiTheme="minorHAnsi" w:hAnsiTheme="minorHAnsi" w:cstheme="minorHAnsi"/>
          <w:sz w:val="22"/>
          <w:szCs w:val="22"/>
        </w:rPr>
        <w:t xml:space="preserve"> Country Office Turkey. The Executing Agency is the Ministry of Environment and Forests (</w:t>
      </w:r>
      <w:proofErr w:type="spellStart"/>
      <w:r w:rsidR="00242CD5" w:rsidRPr="00242CD5">
        <w:rPr>
          <w:rFonts w:asciiTheme="minorHAnsi" w:hAnsiTheme="minorHAnsi" w:cstheme="minorHAnsi"/>
          <w:sz w:val="22"/>
          <w:szCs w:val="22"/>
        </w:rPr>
        <w:t>MoEF</w:t>
      </w:r>
      <w:proofErr w:type="spellEnd"/>
      <w:r>
        <w:rPr>
          <w:rFonts w:asciiTheme="minorHAnsi" w:hAnsiTheme="minorHAnsi" w:cstheme="minorHAnsi"/>
          <w:sz w:val="22"/>
          <w:szCs w:val="22"/>
        </w:rPr>
        <w:t>). With a total Budget of US$</w:t>
      </w:r>
      <w:r w:rsidR="00242CD5" w:rsidRPr="00242CD5">
        <w:rPr>
          <w:rFonts w:asciiTheme="minorHAnsi" w:hAnsiTheme="minorHAnsi" w:cstheme="minorHAnsi"/>
          <w:sz w:val="22"/>
          <w:szCs w:val="22"/>
        </w:rPr>
        <w:t>2.650.000</w:t>
      </w:r>
      <w:proofErr w:type="gramStart"/>
      <w:r w:rsidR="00242CD5" w:rsidRPr="00242CD5">
        <w:rPr>
          <w:rFonts w:asciiTheme="minorHAnsi" w:hAnsiTheme="minorHAnsi" w:cstheme="minorHAnsi"/>
          <w:sz w:val="22"/>
          <w:szCs w:val="22"/>
        </w:rPr>
        <w:t>,oo</w:t>
      </w:r>
      <w:proofErr w:type="gramEnd"/>
      <w:r w:rsidR="00242CD5" w:rsidRPr="00242CD5">
        <w:rPr>
          <w:rFonts w:asciiTheme="minorHAnsi" w:hAnsiTheme="minorHAnsi" w:cstheme="minorHAnsi"/>
          <w:sz w:val="22"/>
          <w:szCs w:val="22"/>
        </w:rPr>
        <w:t xml:space="preserve"> </w:t>
      </w:r>
      <w:r>
        <w:rPr>
          <w:rFonts w:asciiTheme="minorHAnsi" w:hAnsiTheme="minorHAnsi" w:cstheme="minorHAnsi"/>
          <w:sz w:val="22"/>
          <w:szCs w:val="22"/>
        </w:rPr>
        <w:t xml:space="preserve"> which is d</w:t>
      </w:r>
      <w:r w:rsidR="00242CD5" w:rsidRPr="00242CD5">
        <w:rPr>
          <w:rFonts w:asciiTheme="minorHAnsi" w:hAnsiTheme="minorHAnsi" w:cstheme="minorHAnsi"/>
          <w:sz w:val="22"/>
          <w:szCs w:val="22"/>
        </w:rPr>
        <w:t>isaggregated</w:t>
      </w:r>
      <w:r>
        <w:rPr>
          <w:rFonts w:asciiTheme="minorHAnsi" w:hAnsiTheme="minorHAnsi" w:cstheme="minorHAnsi"/>
          <w:sz w:val="22"/>
          <w:szCs w:val="22"/>
        </w:rPr>
        <w:t xml:space="preserve"> to</w:t>
      </w:r>
      <w:r w:rsidR="00242CD5" w:rsidRPr="00242CD5">
        <w:rPr>
          <w:rFonts w:asciiTheme="minorHAnsi" w:hAnsiTheme="minorHAnsi" w:cstheme="minorHAnsi"/>
          <w:sz w:val="22"/>
          <w:szCs w:val="22"/>
        </w:rPr>
        <w:t xml:space="preserve"> GEF </w:t>
      </w:r>
      <w:r>
        <w:rPr>
          <w:rFonts w:asciiTheme="minorHAnsi" w:hAnsiTheme="minorHAnsi" w:cstheme="minorHAnsi"/>
          <w:sz w:val="22"/>
          <w:szCs w:val="22"/>
        </w:rPr>
        <w:t>$</w:t>
      </w:r>
      <w:r w:rsidR="00242CD5" w:rsidRPr="00242CD5">
        <w:rPr>
          <w:rFonts w:asciiTheme="minorHAnsi" w:hAnsiTheme="minorHAnsi" w:cstheme="minorHAnsi"/>
          <w:sz w:val="22"/>
          <w:szCs w:val="22"/>
        </w:rPr>
        <w:t>972</w:t>
      </w:r>
      <w:r>
        <w:rPr>
          <w:rFonts w:asciiTheme="minorHAnsi" w:hAnsiTheme="minorHAnsi" w:cstheme="minorHAnsi"/>
          <w:sz w:val="22"/>
          <w:szCs w:val="22"/>
        </w:rPr>
        <w:t>.000,oo and GOT,  Cash US$</w:t>
      </w:r>
      <w:r w:rsidR="00242CD5" w:rsidRPr="00242CD5">
        <w:rPr>
          <w:rFonts w:asciiTheme="minorHAnsi" w:hAnsiTheme="minorHAnsi" w:cstheme="minorHAnsi"/>
          <w:sz w:val="22"/>
          <w:szCs w:val="22"/>
        </w:rPr>
        <w:t>1</w:t>
      </w:r>
      <w:r>
        <w:rPr>
          <w:rFonts w:asciiTheme="minorHAnsi" w:hAnsiTheme="minorHAnsi" w:cstheme="minorHAnsi"/>
          <w:sz w:val="22"/>
          <w:szCs w:val="22"/>
        </w:rPr>
        <w:t>60.000,oo plus an i</w:t>
      </w:r>
      <w:r w:rsidR="00242CD5" w:rsidRPr="00242CD5">
        <w:rPr>
          <w:rFonts w:asciiTheme="minorHAnsi" w:hAnsiTheme="minorHAnsi" w:cstheme="minorHAnsi"/>
          <w:sz w:val="22"/>
          <w:szCs w:val="22"/>
        </w:rPr>
        <w:t xml:space="preserve">n </w:t>
      </w:r>
      <w:r>
        <w:rPr>
          <w:rFonts w:asciiTheme="minorHAnsi" w:hAnsiTheme="minorHAnsi" w:cstheme="minorHAnsi"/>
          <w:sz w:val="22"/>
          <w:szCs w:val="22"/>
        </w:rPr>
        <w:t>kind contribution of US$</w:t>
      </w:r>
      <w:r w:rsidR="00242CD5" w:rsidRPr="00242CD5">
        <w:rPr>
          <w:rFonts w:asciiTheme="minorHAnsi" w:hAnsiTheme="minorHAnsi" w:cstheme="minorHAnsi"/>
          <w:sz w:val="22"/>
          <w:szCs w:val="22"/>
        </w:rPr>
        <w:t xml:space="preserve">1.435,oo </w:t>
      </w:r>
      <w:r>
        <w:rPr>
          <w:rFonts w:asciiTheme="minorHAnsi" w:hAnsiTheme="minorHAnsi" w:cstheme="minorHAnsi"/>
          <w:sz w:val="22"/>
          <w:szCs w:val="22"/>
        </w:rPr>
        <w:t xml:space="preserve">and </w:t>
      </w:r>
      <w:r w:rsidR="00242CD5" w:rsidRPr="00242CD5">
        <w:rPr>
          <w:rFonts w:asciiTheme="minorHAnsi" w:hAnsiTheme="minorHAnsi" w:cstheme="minorHAnsi"/>
          <w:sz w:val="22"/>
          <w:szCs w:val="22"/>
        </w:rPr>
        <w:t>WWF Turkey</w:t>
      </w:r>
      <w:r w:rsidR="00EF6D02">
        <w:rPr>
          <w:rFonts w:asciiTheme="minorHAnsi" w:hAnsiTheme="minorHAnsi" w:cstheme="minorHAnsi"/>
          <w:sz w:val="22"/>
          <w:szCs w:val="22"/>
        </w:rPr>
        <w:t xml:space="preserve"> in kind contribution of US$</w:t>
      </w:r>
      <w:r w:rsidR="00242CD5" w:rsidRPr="00242CD5">
        <w:rPr>
          <w:rFonts w:asciiTheme="minorHAnsi" w:hAnsiTheme="minorHAnsi" w:cstheme="minorHAnsi"/>
          <w:sz w:val="22"/>
          <w:szCs w:val="22"/>
        </w:rPr>
        <w:t>83.000,oo</w:t>
      </w:r>
    </w:p>
    <w:p w:rsidR="00EF6D02" w:rsidRDefault="00EF6D02" w:rsidP="00AD7E64">
      <w:pPr>
        <w:jc w:val="both"/>
        <w:rPr>
          <w:rFonts w:asciiTheme="minorHAnsi" w:hAnsiTheme="minorHAnsi" w:cstheme="minorHAnsi"/>
          <w:b/>
          <w:sz w:val="22"/>
          <w:szCs w:val="22"/>
        </w:rPr>
      </w:pPr>
    </w:p>
    <w:p w:rsidR="00EF6D02" w:rsidRDefault="00EF6D02" w:rsidP="00AD7E64">
      <w:pPr>
        <w:jc w:val="both"/>
        <w:rPr>
          <w:rFonts w:asciiTheme="minorHAnsi" w:hAnsiTheme="minorHAnsi" w:cstheme="minorHAnsi"/>
          <w:sz w:val="22"/>
          <w:szCs w:val="22"/>
        </w:rPr>
      </w:pPr>
      <w:r w:rsidRPr="00EF6D02">
        <w:rPr>
          <w:rFonts w:asciiTheme="minorHAnsi" w:hAnsiTheme="minorHAnsi" w:cstheme="minorHAnsi"/>
          <w:sz w:val="22"/>
          <w:szCs w:val="22"/>
        </w:rPr>
        <w:t>The Project’s objectives as stated in the Project document are</w:t>
      </w:r>
      <w:r>
        <w:rPr>
          <w:rFonts w:asciiTheme="minorHAnsi" w:hAnsiTheme="minorHAnsi" w:cstheme="minorHAnsi"/>
          <w:sz w:val="22"/>
          <w:szCs w:val="22"/>
        </w:rPr>
        <w:t>:</w:t>
      </w:r>
    </w:p>
    <w:p w:rsidR="00EF6D02" w:rsidRPr="00EF6D02" w:rsidRDefault="00EF6D02" w:rsidP="00AD7E64">
      <w:pPr>
        <w:jc w:val="both"/>
        <w:rPr>
          <w:rFonts w:asciiTheme="minorHAnsi" w:hAnsiTheme="minorHAnsi" w:cstheme="minorHAnsi"/>
          <w:sz w:val="22"/>
          <w:szCs w:val="22"/>
        </w:rPr>
      </w:pPr>
    </w:p>
    <w:p w:rsidR="00242CD5" w:rsidRDefault="00242CD5" w:rsidP="00AD7E64">
      <w:pPr>
        <w:jc w:val="both"/>
        <w:rPr>
          <w:rFonts w:asciiTheme="minorHAnsi" w:hAnsiTheme="minorHAnsi" w:cstheme="minorHAnsi"/>
          <w:sz w:val="22"/>
          <w:szCs w:val="22"/>
        </w:rPr>
      </w:pPr>
      <w:r w:rsidRPr="00242CD5">
        <w:rPr>
          <w:rFonts w:asciiTheme="minorHAnsi" w:hAnsiTheme="minorHAnsi" w:cstheme="minorHAnsi"/>
          <w:b/>
          <w:sz w:val="22"/>
          <w:szCs w:val="22"/>
        </w:rPr>
        <w:t>Objective:</w:t>
      </w:r>
      <w:r w:rsidRPr="00242CD5">
        <w:rPr>
          <w:rFonts w:asciiTheme="minorHAnsi" w:hAnsiTheme="minorHAnsi" w:cstheme="minorHAnsi"/>
          <w:sz w:val="22"/>
          <w:szCs w:val="22"/>
        </w:rPr>
        <w:t xml:space="preserve"> Enhance coverage and management effectiveness of the Forest Protected Areas</w:t>
      </w:r>
      <w:r w:rsidR="00F5287F">
        <w:rPr>
          <w:rFonts w:asciiTheme="minorHAnsi" w:hAnsiTheme="minorHAnsi" w:cstheme="minorHAnsi"/>
          <w:sz w:val="22"/>
          <w:szCs w:val="22"/>
        </w:rPr>
        <w:t xml:space="preserve"> with a f</w:t>
      </w:r>
      <w:r w:rsidRPr="00242CD5">
        <w:rPr>
          <w:rFonts w:asciiTheme="minorHAnsi" w:hAnsiTheme="minorHAnsi" w:cstheme="minorHAnsi"/>
          <w:sz w:val="22"/>
          <w:szCs w:val="22"/>
        </w:rPr>
        <w:t xml:space="preserve">ocus on KMNP and establishing a Buffer Zone and replicating the experiences in 9 other Forest Hot Spots in Turkey. </w:t>
      </w:r>
    </w:p>
    <w:p w:rsidR="00EF6D02" w:rsidRDefault="00EF6D02" w:rsidP="00AD7E64">
      <w:pPr>
        <w:jc w:val="both"/>
        <w:rPr>
          <w:rFonts w:asciiTheme="minorHAnsi" w:hAnsiTheme="minorHAnsi" w:cstheme="minorHAnsi"/>
          <w:sz w:val="22"/>
          <w:szCs w:val="22"/>
        </w:rPr>
      </w:pPr>
    </w:p>
    <w:p w:rsidR="00EF6D02" w:rsidRDefault="00EF6D02" w:rsidP="00AD7E64">
      <w:pPr>
        <w:jc w:val="both"/>
        <w:rPr>
          <w:rFonts w:asciiTheme="minorHAnsi" w:hAnsiTheme="minorHAnsi" w:cstheme="minorHAnsi"/>
          <w:sz w:val="22"/>
          <w:szCs w:val="22"/>
        </w:rPr>
      </w:pPr>
      <w:r>
        <w:rPr>
          <w:rFonts w:asciiTheme="minorHAnsi" w:hAnsiTheme="minorHAnsi" w:cstheme="minorHAnsi"/>
          <w:sz w:val="22"/>
          <w:szCs w:val="22"/>
        </w:rPr>
        <w:t>In order to achieve this</w:t>
      </w:r>
      <w:r w:rsidR="00AD7E64">
        <w:rPr>
          <w:rFonts w:asciiTheme="minorHAnsi" w:hAnsiTheme="minorHAnsi" w:cstheme="minorHAnsi"/>
          <w:sz w:val="22"/>
          <w:szCs w:val="22"/>
        </w:rPr>
        <w:t>;</w:t>
      </w:r>
      <w:r>
        <w:rPr>
          <w:rFonts w:asciiTheme="minorHAnsi" w:hAnsiTheme="minorHAnsi" w:cstheme="minorHAnsi"/>
          <w:sz w:val="22"/>
          <w:szCs w:val="22"/>
        </w:rPr>
        <w:t xml:space="preserve"> the Project aims to </w:t>
      </w:r>
      <w:r w:rsidR="00AD7E64">
        <w:rPr>
          <w:rFonts w:asciiTheme="minorHAnsi" w:hAnsiTheme="minorHAnsi" w:cstheme="minorHAnsi"/>
          <w:sz w:val="22"/>
          <w:szCs w:val="22"/>
        </w:rPr>
        <w:t>achieve</w:t>
      </w:r>
      <w:r>
        <w:rPr>
          <w:rFonts w:asciiTheme="minorHAnsi" w:hAnsiTheme="minorHAnsi" w:cstheme="minorHAnsi"/>
          <w:sz w:val="22"/>
          <w:szCs w:val="22"/>
        </w:rPr>
        <w:t xml:space="preserve"> the following outcomes:</w:t>
      </w:r>
    </w:p>
    <w:p w:rsidR="00AD7E64" w:rsidRPr="00242CD5" w:rsidRDefault="00AD7E64" w:rsidP="00AD7E64">
      <w:pPr>
        <w:jc w:val="both"/>
        <w:rPr>
          <w:rFonts w:asciiTheme="minorHAnsi" w:hAnsiTheme="minorHAnsi" w:cstheme="minorHAnsi"/>
          <w:sz w:val="22"/>
          <w:szCs w:val="22"/>
        </w:rPr>
      </w:pPr>
    </w:p>
    <w:p w:rsidR="00242CD5" w:rsidRPr="00242CD5" w:rsidRDefault="00242CD5" w:rsidP="00AD7E64">
      <w:pPr>
        <w:autoSpaceDE w:val="0"/>
        <w:autoSpaceDN w:val="0"/>
        <w:adjustRightInd w:val="0"/>
        <w:ind w:left="720"/>
        <w:jc w:val="both"/>
        <w:rPr>
          <w:rFonts w:asciiTheme="minorHAnsi" w:hAnsiTheme="minorHAnsi" w:cstheme="minorHAnsi"/>
          <w:b/>
          <w:sz w:val="22"/>
          <w:szCs w:val="22"/>
        </w:rPr>
      </w:pPr>
      <w:r w:rsidRPr="00242CD5">
        <w:rPr>
          <w:rFonts w:asciiTheme="minorHAnsi" w:hAnsiTheme="minorHAnsi" w:cstheme="minorHAnsi"/>
          <w:b/>
          <w:sz w:val="22"/>
          <w:szCs w:val="22"/>
        </w:rPr>
        <w:t xml:space="preserve">Outcome 1: </w:t>
      </w:r>
      <w:r w:rsidRPr="00242CD5">
        <w:rPr>
          <w:rFonts w:asciiTheme="minorHAnsi" w:hAnsiTheme="minorHAnsi" w:cstheme="minorHAnsi"/>
          <w:sz w:val="22"/>
          <w:szCs w:val="22"/>
        </w:rPr>
        <w:t>Cost-effective conservation management approaches for forest protected areas are implemented a</w:t>
      </w:r>
      <w:r w:rsidR="007A4642">
        <w:rPr>
          <w:rFonts w:asciiTheme="minorHAnsi" w:hAnsiTheme="minorHAnsi" w:cstheme="minorHAnsi"/>
          <w:sz w:val="22"/>
          <w:szCs w:val="22"/>
        </w:rPr>
        <w:t xml:space="preserve">t </w:t>
      </w:r>
      <w:r w:rsidRPr="00242CD5">
        <w:rPr>
          <w:rFonts w:asciiTheme="minorHAnsi" w:hAnsiTheme="minorHAnsi" w:cstheme="minorHAnsi"/>
          <w:sz w:val="22"/>
          <w:szCs w:val="22"/>
        </w:rPr>
        <w:t>KMNP</w:t>
      </w:r>
    </w:p>
    <w:p w:rsidR="00242CD5" w:rsidRPr="00242CD5" w:rsidRDefault="00242CD5" w:rsidP="00AD7E64">
      <w:pPr>
        <w:autoSpaceDE w:val="0"/>
        <w:autoSpaceDN w:val="0"/>
        <w:adjustRightInd w:val="0"/>
        <w:ind w:left="720"/>
        <w:jc w:val="both"/>
        <w:rPr>
          <w:rFonts w:asciiTheme="minorHAnsi" w:hAnsiTheme="minorHAnsi" w:cstheme="minorHAnsi"/>
          <w:sz w:val="22"/>
          <w:szCs w:val="22"/>
        </w:rPr>
      </w:pPr>
    </w:p>
    <w:p w:rsidR="00242CD5" w:rsidRPr="00242CD5" w:rsidRDefault="00242CD5" w:rsidP="00AD7E64">
      <w:pPr>
        <w:autoSpaceDE w:val="0"/>
        <w:autoSpaceDN w:val="0"/>
        <w:adjustRightInd w:val="0"/>
        <w:ind w:left="720"/>
        <w:jc w:val="both"/>
        <w:rPr>
          <w:rFonts w:asciiTheme="minorHAnsi" w:hAnsiTheme="minorHAnsi" w:cstheme="minorHAnsi"/>
          <w:sz w:val="22"/>
          <w:szCs w:val="22"/>
        </w:rPr>
      </w:pPr>
      <w:r w:rsidRPr="00242CD5">
        <w:rPr>
          <w:rFonts w:asciiTheme="minorHAnsi" w:hAnsiTheme="minorHAnsi" w:cstheme="minorHAnsi"/>
          <w:b/>
          <w:sz w:val="22"/>
          <w:szCs w:val="22"/>
        </w:rPr>
        <w:t>Outcome 2:</w:t>
      </w:r>
      <w:r w:rsidRPr="00242CD5">
        <w:rPr>
          <w:rFonts w:asciiTheme="minorHAnsi" w:hAnsiTheme="minorHAnsi" w:cstheme="minorHAnsi"/>
          <w:sz w:val="22"/>
          <w:szCs w:val="22"/>
        </w:rPr>
        <w:t xml:space="preserve"> Sustainable natural resource management is demonstrated in buffer area of KMNP; and</w:t>
      </w:r>
    </w:p>
    <w:p w:rsidR="00242CD5" w:rsidRPr="00242CD5" w:rsidRDefault="00242CD5" w:rsidP="00AD7E64">
      <w:pPr>
        <w:autoSpaceDE w:val="0"/>
        <w:autoSpaceDN w:val="0"/>
        <w:adjustRightInd w:val="0"/>
        <w:ind w:left="720"/>
        <w:jc w:val="both"/>
        <w:rPr>
          <w:rFonts w:asciiTheme="minorHAnsi" w:hAnsiTheme="minorHAnsi" w:cstheme="minorHAnsi"/>
          <w:sz w:val="22"/>
          <w:szCs w:val="22"/>
        </w:rPr>
      </w:pPr>
    </w:p>
    <w:p w:rsidR="00242CD5" w:rsidRPr="00242CD5" w:rsidRDefault="00242CD5" w:rsidP="00872095">
      <w:pPr>
        <w:autoSpaceDE w:val="0"/>
        <w:autoSpaceDN w:val="0"/>
        <w:adjustRightInd w:val="0"/>
        <w:ind w:left="720"/>
        <w:jc w:val="both"/>
        <w:rPr>
          <w:rFonts w:asciiTheme="minorHAnsi" w:hAnsiTheme="minorHAnsi" w:cstheme="minorHAnsi"/>
          <w:sz w:val="22"/>
          <w:szCs w:val="22"/>
        </w:rPr>
      </w:pPr>
      <w:r w:rsidRPr="00242CD5">
        <w:rPr>
          <w:rFonts w:asciiTheme="minorHAnsi" w:hAnsiTheme="minorHAnsi" w:cstheme="minorHAnsi"/>
          <w:b/>
          <w:sz w:val="22"/>
          <w:szCs w:val="22"/>
        </w:rPr>
        <w:t>Outcome 3:</w:t>
      </w:r>
      <w:r w:rsidRPr="00242CD5">
        <w:rPr>
          <w:rFonts w:asciiTheme="minorHAnsi" w:hAnsiTheme="minorHAnsi" w:cstheme="minorHAnsi"/>
          <w:sz w:val="22"/>
          <w:szCs w:val="22"/>
        </w:rPr>
        <w:t xml:space="preserve"> Lessons learned from demonstration work at KMNP are disseminated to the other forest hot spots in Turkey, contributing to the maturation of the national </w:t>
      </w:r>
      <w:r w:rsidR="007A4642">
        <w:rPr>
          <w:rFonts w:asciiTheme="minorHAnsi" w:hAnsiTheme="minorHAnsi" w:cstheme="minorHAnsi"/>
          <w:sz w:val="22"/>
          <w:szCs w:val="22"/>
        </w:rPr>
        <w:t xml:space="preserve">protected areas </w:t>
      </w:r>
      <w:r w:rsidRPr="00242CD5">
        <w:rPr>
          <w:rFonts w:asciiTheme="minorHAnsi" w:hAnsiTheme="minorHAnsi" w:cstheme="minorHAnsi"/>
          <w:sz w:val="22"/>
          <w:szCs w:val="22"/>
        </w:rPr>
        <w:t>system.</w:t>
      </w:r>
    </w:p>
    <w:p w:rsidR="002C3243" w:rsidRPr="00872095" w:rsidRDefault="002C3243" w:rsidP="00872095">
      <w:pPr>
        <w:pStyle w:val="Heading1"/>
        <w:rPr>
          <w:rFonts w:asciiTheme="minorHAnsi" w:hAnsiTheme="minorHAnsi" w:cstheme="minorHAnsi"/>
          <w:sz w:val="22"/>
          <w:szCs w:val="22"/>
        </w:rPr>
      </w:pPr>
      <w:bookmarkStart w:id="15" w:name="_Toc277001673"/>
      <w:r w:rsidRPr="00872095">
        <w:rPr>
          <w:rFonts w:asciiTheme="minorHAnsi" w:hAnsiTheme="minorHAnsi" w:cstheme="minorHAnsi"/>
          <w:sz w:val="22"/>
          <w:szCs w:val="22"/>
        </w:rPr>
        <w:lastRenderedPageBreak/>
        <w:t>Project Document and Strategy</w:t>
      </w:r>
      <w:bookmarkEnd w:id="15"/>
    </w:p>
    <w:p w:rsidR="002C3243" w:rsidRDefault="009848D1" w:rsidP="00485D9E">
      <w:pPr>
        <w:jc w:val="both"/>
        <w:rPr>
          <w:rFonts w:asciiTheme="minorHAnsi" w:hAnsiTheme="minorHAnsi" w:cstheme="minorHAnsi"/>
          <w:sz w:val="22"/>
          <w:szCs w:val="22"/>
        </w:rPr>
      </w:pPr>
      <w:r>
        <w:rPr>
          <w:rFonts w:asciiTheme="minorHAnsi" w:hAnsiTheme="minorHAnsi" w:cstheme="minorHAnsi"/>
          <w:sz w:val="22"/>
          <w:szCs w:val="22"/>
        </w:rPr>
        <w:t>Between the PDFA</w:t>
      </w:r>
      <w:r w:rsidR="007A4642">
        <w:rPr>
          <w:rFonts w:asciiTheme="minorHAnsi" w:hAnsiTheme="minorHAnsi" w:cstheme="minorHAnsi"/>
          <w:sz w:val="22"/>
          <w:szCs w:val="22"/>
        </w:rPr>
        <w:t xml:space="preserve"> was developed in around 1998 (MTE does not have the original PDFA)</w:t>
      </w:r>
      <w:r w:rsidR="00485D9E">
        <w:rPr>
          <w:rFonts w:asciiTheme="minorHAnsi" w:hAnsiTheme="minorHAnsi" w:cstheme="minorHAnsi"/>
          <w:sz w:val="22"/>
          <w:szCs w:val="22"/>
        </w:rPr>
        <w:t xml:space="preserve">. The PDFA is essentially </w:t>
      </w:r>
      <w:r>
        <w:rPr>
          <w:rFonts w:asciiTheme="minorHAnsi" w:hAnsiTheme="minorHAnsi" w:cstheme="minorHAnsi"/>
          <w:sz w:val="22"/>
          <w:szCs w:val="22"/>
        </w:rPr>
        <w:t>the project conceptualisation</w:t>
      </w:r>
      <w:r w:rsidR="00485D9E">
        <w:rPr>
          <w:rFonts w:asciiTheme="minorHAnsi" w:hAnsiTheme="minorHAnsi" w:cstheme="minorHAnsi"/>
          <w:sz w:val="22"/>
          <w:szCs w:val="22"/>
        </w:rPr>
        <w:t xml:space="preserve"> stage in the GEF project cycle. However, it was not until 2007 that the Project document was finalised and signed by all the project partners. How much this delay has affected the Project is not immediately clear and in particular whether the concept of a buffer zone would still be used if the Project were being designed today.</w:t>
      </w:r>
    </w:p>
    <w:p w:rsidR="00485D9E" w:rsidRDefault="00485D9E" w:rsidP="00485D9E">
      <w:pPr>
        <w:jc w:val="both"/>
        <w:rPr>
          <w:rFonts w:asciiTheme="minorHAnsi" w:hAnsiTheme="minorHAnsi" w:cstheme="minorHAnsi"/>
          <w:sz w:val="22"/>
          <w:szCs w:val="22"/>
        </w:rPr>
      </w:pPr>
    </w:p>
    <w:p w:rsidR="00485D9E" w:rsidRDefault="00485D9E" w:rsidP="00485D9E">
      <w:pPr>
        <w:jc w:val="both"/>
        <w:rPr>
          <w:rFonts w:asciiTheme="minorHAnsi" w:hAnsiTheme="minorHAnsi" w:cstheme="minorHAnsi"/>
          <w:sz w:val="22"/>
          <w:szCs w:val="22"/>
        </w:rPr>
      </w:pPr>
      <w:r>
        <w:rPr>
          <w:rFonts w:asciiTheme="minorHAnsi" w:hAnsiTheme="minorHAnsi" w:cstheme="minorHAnsi"/>
          <w:sz w:val="22"/>
          <w:szCs w:val="22"/>
        </w:rPr>
        <w:t xml:space="preserve">The MTE considers that there are a number of weaknesses in the intervention strategy as it is described in the Project Document and overall it is sometimes a confusing document. However this must be weighed against its success in getting </w:t>
      </w:r>
      <w:r w:rsidR="003E7088">
        <w:rPr>
          <w:rFonts w:asciiTheme="minorHAnsi" w:hAnsiTheme="minorHAnsi" w:cstheme="minorHAnsi"/>
          <w:sz w:val="22"/>
          <w:szCs w:val="22"/>
        </w:rPr>
        <w:t>the multiplicity of agencies to work together in a collective action.</w:t>
      </w:r>
    </w:p>
    <w:p w:rsidR="003E7088" w:rsidRDefault="003E7088" w:rsidP="00485D9E">
      <w:pPr>
        <w:jc w:val="both"/>
        <w:rPr>
          <w:rFonts w:asciiTheme="minorHAnsi" w:hAnsiTheme="minorHAnsi" w:cstheme="minorHAnsi"/>
          <w:sz w:val="22"/>
          <w:szCs w:val="22"/>
        </w:rPr>
      </w:pPr>
    </w:p>
    <w:p w:rsidR="003E7088" w:rsidRDefault="003E7088" w:rsidP="00485D9E">
      <w:pPr>
        <w:jc w:val="both"/>
        <w:rPr>
          <w:rFonts w:asciiTheme="minorHAnsi" w:hAnsiTheme="minorHAnsi" w:cstheme="minorHAnsi"/>
          <w:sz w:val="22"/>
          <w:szCs w:val="22"/>
        </w:rPr>
      </w:pPr>
      <w:r>
        <w:rPr>
          <w:rFonts w:asciiTheme="minorHAnsi" w:hAnsiTheme="minorHAnsi" w:cstheme="minorHAnsi"/>
          <w:sz w:val="22"/>
          <w:szCs w:val="22"/>
        </w:rPr>
        <w:t xml:space="preserve">The Project’s strategy is broadly set out as developing the management capacity of </w:t>
      </w:r>
      <w:r w:rsidR="007A4642">
        <w:rPr>
          <w:rFonts w:asciiTheme="minorHAnsi" w:hAnsiTheme="minorHAnsi" w:cstheme="minorHAnsi"/>
          <w:sz w:val="22"/>
          <w:szCs w:val="22"/>
        </w:rPr>
        <w:t xml:space="preserve">KMNP </w:t>
      </w:r>
      <w:r>
        <w:rPr>
          <w:rFonts w:asciiTheme="minorHAnsi" w:hAnsiTheme="minorHAnsi" w:cstheme="minorHAnsi"/>
          <w:sz w:val="22"/>
          <w:szCs w:val="22"/>
        </w:rPr>
        <w:t>and in particular developing a Management Plan for the Park at the same time as the ecosystem resources and functions are being assessed.</w:t>
      </w:r>
      <w:r w:rsidR="00817426">
        <w:rPr>
          <w:rFonts w:asciiTheme="minorHAnsi" w:hAnsiTheme="minorHAnsi" w:cstheme="minorHAnsi"/>
          <w:sz w:val="22"/>
          <w:szCs w:val="22"/>
        </w:rPr>
        <w:t xml:space="preserve"> To support this, a range of new management tools would be introduced and utilised. </w:t>
      </w:r>
      <w:r w:rsidR="009164A0">
        <w:rPr>
          <w:rFonts w:asciiTheme="minorHAnsi" w:hAnsiTheme="minorHAnsi" w:cstheme="minorHAnsi"/>
          <w:sz w:val="22"/>
          <w:szCs w:val="22"/>
        </w:rPr>
        <w:t>The focus was specifically aimed at including</w:t>
      </w:r>
      <w:r w:rsidR="007A4642">
        <w:rPr>
          <w:rFonts w:asciiTheme="minorHAnsi" w:hAnsiTheme="minorHAnsi" w:cstheme="minorHAnsi"/>
          <w:sz w:val="22"/>
          <w:szCs w:val="22"/>
        </w:rPr>
        <w:t xml:space="preserve"> greater representation of</w:t>
      </w:r>
      <w:r w:rsidR="009164A0">
        <w:rPr>
          <w:rFonts w:asciiTheme="minorHAnsi" w:hAnsiTheme="minorHAnsi" w:cstheme="minorHAnsi"/>
          <w:sz w:val="22"/>
          <w:szCs w:val="22"/>
        </w:rPr>
        <w:t xml:space="preserve"> forest ecosystems within Turkey’s protected areas system and developing the conservation management capacity </w:t>
      </w:r>
      <w:r w:rsidR="007A4642">
        <w:rPr>
          <w:rFonts w:asciiTheme="minorHAnsi" w:hAnsiTheme="minorHAnsi" w:cstheme="minorHAnsi"/>
          <w:sz w:val="22"/>
          <w:szCs w:val="22"/>
        </w:rPr>
        <w:t xml:space="preserve">of agencies </w:t>
      </w:r>
      <w:r w:rsidR="009164A0">
        <w:rPr>
          <w:rFonts w:asciiTheme="minorHAnsi" w:hAnsiTheme="minorHAnsi" w:cstheme="minorHAnsi"/>
          <w:sz w:val="22"/>
          <w:szCs w:val="22"/>
        </w:rPr>
        <w:t>for forest ecosystems.</w:t>
      </w:r>
    </w:p>
    <w:p w:rsidR="003E7088" w:rsidRDefault="003E7088" w:rsidP="00485D9E">
      <w:pPr>
        <w:jc w:val="both"/>
        <w:rPr>
          <w:rFonts w:asciiTheme="minorHAnsi" w:hAnsiTheme="minorHAnsi" w:cstheme="minorHAnsi"/>
          <w:sz w:val="22"/>
          <w:szCs w:val="22"/>
        </w:rPr>
      </w:pPr>
    </w:p>
    <w:p w:rsidR="003E7088" w:rsidRDefault="003E7088" w:rsidP="00485D9E">
      <w:pPr>
        <w:jc w:val="both"/>
        <w:rPr>
          <w:rFonts w:asciiTheme="minorHAnsi" w:hAnsiTheme="minorHAnsi" w:cstheme="minorHAnsi"/>
          <w:sz w:val="22"/>
          <w:szCs w:val="22"/>
        </w:rPr>
      </w:pPr>
      <w:r>
        <w:rPr>
          <w:rFonts w:asciiTheme="minorHAnsi" w:hAnsiTheme="minorHAnsi" w:cstheme="minorHAnsi"/>
          <w:sz w:val="22"/>
          <w:szCs w:val="22"/>
        </w:rPr>
        <w:t>Integral to this strategy would be the development of a buffer zone established around the National Park</w:t>
      </w:r>
      <w:r w:rsidR="00E4251C">
        <w:rPr>
          <w:rFonts w:asciiTheme="minorHAnsi" w:hAnsiTheme="minorHAnsi" w:cstheme="minorHAnsi"/>
          <w:sz w:val="22"/>
          <w:szCs w:val="22"/>
        </w:rPr>
        <w:t xml:space="preserve"> to affect the land use there by placing the emphasis on managing for the ecosystem. Fundamental to this process would be a shift in the focus of the General Directorate of Forestry’s </w:t>
      </w:r>
      <w:r w:rsidR="007A4642">
        <w:rPr>
          <w:rFonts w:asciiTheme="minorHAnsi" w:hAnsiTheme="minorHAnsi" w:cstheme="minorHAnsi"/>
          <w:sz w:val="22"/>
          <w:szCs w:val="22"/>
        </w:rPr>
        <w:t xml:space="preserve">(GDF) </w:t>
      </w:r>
      <w:r w:rsidR="00E4251C">
        <w:rPr>
          <w:rFonts w:asciiTheme="minorHAnsi" w:hAnsiTheme="minorHAnsi" w:cstheme="minorHAnsi"/>
          <w:sz w:val="22"/>
          <w:szCs w:val="22"/>
        </w:rPr>
        <w:t xml:space="preserve">management through the Forest Management Plan </w:t>
      </w:r>
      <w:r w:rsidR="007A4642">
        <w:rPr>
          <w:rFonts w:asciiTheme="minorHAnsi" w:hAnsiTheme="minorHAnsi" w:cstheme="minorHAnsi"/>
          <w:sz w:val="22"/>
          <w:szCs w:val="22"/>
        </w:rPr>
        <w:t xml:space="preserve">(FMP) </w:t>
      </w:r>
      <w:r w:rsidR="00E4251C">
        <w:rPr>
          <w:rFonts w:asciiTheme="minorHAnsi" w:hAnsiTheme="minorHAnsi" w:cstheme="minorHAnsi"/>
          <w:sz w:val="22"/>
          <w:szCs w:val="22"/>
        </w:rPr>
        <w:t>from one geared towards production forestry to a more holistic approach designed to conserve a greater range of ecosystem goods and services.</w:t>
      </w:r>
    </w:p>
    <w:p w:rsidR="00E4251C" w:rsidRDefault="00E4251C" w:rsidP="00485D9E">
      <w:pPr>
        <w:jc w:val="both"/>
        <w:rPr>
          <w:rFonts w:asciiTheme="minorHAnsi" w:hAnsiTheme="minorHAnsi" w:cstheme="minorHAnsi"/>
          <w:sz w:val="22"/>
          <w:szCs w:val="22"/>
        </w:rPr>
      </w:pPr>
    </w:p>
    <w:p w:rsidR="00E4251C" w:rsidRDefault="00817426" w:rsidP="00485D9E">
      <w:pPr>
        <w:jc w:val="both"/>
        <w:rPr>
          <w:rFonts w:asciiTheme="minorHAnsi" w:hAnsiTheme="minorHAnsi" w:cstheme="minorHAnsi"/>
          <w:sz w:val="22"/>
          <w:szCs w:val="22"/>
        </w:rPr>
      </w:pPr>
      <w:r>
        <w:rPr>
          <w:rFonts w:asciiTheme="minorHAnsi" w:hAnsiTheme="minorHAnsi" w:cstheme="minorHAnsi"/>
          <w:sz w:val="22"/>
          <w:szCs w:val="22"/>
        </w:rPr>
        <w:t>To support this process a number of livelihood developments would take place, mostly, in the buffer zone and mostly related to ecotourism as a means to offset the opportunity costs and provide alternative livelihoods for forest villagers.</w:t>
      </w:r>
      <w:r w:rsidR="00185911">
        <w:rPr>
          <w:rFonts w:asciiTheme="minorHAnsi" w:hAnsiTheme="minorHAnsi" w:cstheme="minorHAnsi"/>
          <w:sz w:val="22"/>
          <w:szCs w:val="22"/>
        </w:rPr>
        <w:t xml:space="preserve"> Furthermore, both the national park and buffer zone planning were to be carried out with broad stakeholder participation.</w:t>
      </w:r>
      <w:r w:rsidR="009164A0">
        <w:rPr>
          <w:rFonts w:asciiTheme="minorHAnsi" w:hAnsiTheme="minorHAnsi" w:cstheme="minorHAnsi"/>
          <w:sz w:val="22"/>
          <w:szCs w:val="22"/>
        </w:rPr>
        <w:t xml:space="preserve"> To support this, the Project would seek </w:t>
      </w:r>
      <w:proofErr w:type="gramStart"/>
      <w:r w:rsidR="009164A0" w:rsidRPr="009164A0">
        <w:rPr>
          <w:rFonts w:asciiTheme="minorHAnsi" w:hAnsiTheme="minorHAnsi" w:cstheme="minorHAnsi"/>
          <w:i/>
          <w:sz w:val="22"/>
          <w:szCs w:val="22"/>
        </w:rPr>
        <w:t>Pan Parks</w:t>
      </w:r>
      <w:proofErr w:type="gramEnd"/>
      <w:r w:rsidR="009164A0">
        <w:rPr>
          <w:rFonts w:asciiTheme="minorHAnsi" w:hAnsiTheme="minorHAnsi" w:cstheme="minorHAnsi"/>
          <w:sz w:val="22"/>
          <w:szCs w:val="22"/>
        </w:rPr>
        <w:t xml:space="preserve"> status for the National Park.</w:t>
      </w:r>
    </w:p>
    <w:p w:rsidR="00817426" w:rsidRDefault="00817426" w:rsidP="00485D9E">
      <w:pPr>
        <w:jc w:val="both"/>
        <w:rPr>
          <w:rFonts w:asciiTheme="minorHAnsi" w:hAnsiTheme="minorHAnsi" w:cstheme="minorHAnsi"/>
          <w:sz w:val="22"/>
          <w:szCs w:val="22"/>
        </w:rPr>
      </w:pPr>
    </w:p>
    <w:p w:rsidR="00817426" w:rsidRDefault="00873562" w:rsidP="00485D9E">
      <w:pPr>
        <w:jc w:val="both"/>
        <w:rPr>
          <w:rFonts w:asciiTheme="minorHAnsi" w:hAnsiTheme="minorHAnsi" w:cstheme="minorHAnsi"/>
          <w:sz w:val="22"/>
          <w:szCs w:val="22"/>
        </w:rPr>
      </w:pPr>
      <w:r>
        <w:rPr>
          <w:rFonts w:asciiTheme="minorHAnsi" w:hAnsiTheme="minorHAnsi" w:cstheme="minorHAnsi"/>
          <w:sz w:val="22"/>
          <w:szCs w:val="22"/>
        </w:rPr>
        <w:t>The MTE considers that this was a reasonable approach but there were a number of weaknesses that will be elaborated in the MTE Report and are briefly mentioned here. These are:</w:t>
      </w:r>
    </w:p>
    <w:p w:rsidR="00873562" w:rsidRDefault="00873562" w:rsidP="00485D9E">
      <w:pPr>
        <w:jc w:val="both"/>
        <w:rPr>
          <w:rFonts w:asciiTheme="minorHAnsi" w:hAnsiTheme="minorHAnsi" w:cstheme="minorHAnsi"/>
          <w:sz w:val="22"/>
          <w:szCs w:val="22"/>
        </w:rPr>
      </w:pPr>
    </w:p>
    <w:p w:rsidR="00D004AA" w:rsidRDefault="00D004AA" w:rsidP="00873562">
      <w:pPr>
        <w:pStyle w:val="ListParagraph"/>
        <w:numPr>
          <w:ilvl w:val="0"/>
          <w:numId w:val="1"/>
        </w:numPr>
        <w:jc w:val="both"/>
        <w:rPr>
          <w:rFonts w:asciiTheme="minorHAnsi" w:hAnsiTheme="minorHAnsi" w:cstheme="minorHAnsi"/>
          <w:sz w:val="22"/>
          <w:szCs w:val="22"/>
        </w:rPr>
      </w:pPr>
      <w:r>
        <w:rPr>
          <w:rFonts w:asciiTheme="minorHAnsi" w:hAnsiTheme="minorHAnsi" w:cstheme="minorHAnsi"/>
          <w:sz w:val="22"/>
          <w:szCs w:val="22"/>
        </w:rPr>
        <w:t>The Project’s strategy did not sufficiently define a buffer zone conceptually and as a result the buffer zone was defined through the somewhat narrow focus of the ecosystem rather than a socio-ecosystem requiring a collective action by all the interested parties. Thus any strategic vision might not be common to all the affected parties.</w:t>
      </w:r>
    </w:p>
    <w:p w:rsidR="00D004AA" w:rsidRPr="00D004AA" w:rsidRDefault="00873562" w:rsidP="00D004AA">
      <w:pPr>
        <w:pStyle w:val="ListParagraph"/>
        <w:numPr>
          <w:ilvl w:val="0"/>
          <w:numId w:val="1"/>
        </w:numPr>
        <w:jc w:val="both"/>
        <w:rPr>
          <w:rFonts w:asciiTheme="minorHAnsi" w:hAnsiTheme="minorHAnsi" w:cstheme="minorHAnsi"/>
          <w:sz w:val="22"/>
          <w:szCs w:val="22"/>
        </w:rPr>
      </w:pPr>
      <w:r w:rsidRPr="00D004AA">
        <w:rPr>
          <w:rFonts w:asciiTheme="minorHAnsi" w:hAnsiTheme="minorHAnsi" w:cstheme="minorHAnsi"/>
          <w:sz w:val="22"/>
          <w:szCs w:val="22"/>
        </w:rPr>
        <w:t>The Project Strategy did not place sufficient emphasis on issues of governance</w:t>
      </w:r>
      <w:r w:rsidR="00D004AA" w:rsidRPr="00D004AA">
        <w:rPr>
          <w:rFonts w:asciiTheme="minorHAnsi" w:hAnsiTheme="minorHAnsi" w:cstheme="minorHAnsi"/>
          <w:sz w:val="22"/>
          <w:szCs w:val="22"/>
        </w:rPr>
        <w:t xml:space="preserve">. Governance is the means for achieving direction, control, and coordination that determines the effectiveness of management (Eagles 2008). In a strict nature reserve </w:t>
      </w:r>
      <w:r w:rsidR="00D004AA">
        <w:rPr>
          <w:rFonts w:asciiTheme="minorHAnsi" w:hAnsiTheme="minorHAnsi" w:cstheme="minorHAnsi"/>
          <w:sz w:val="22"/>
          <w:szCs w:val="22"/>
        </w:rPr>
        <w:t xml:space="preserve">(such as the National Park) </w:t>
      </w:r>
      <w:r w:rsidR="00D004AA" w:rsidRPr="00D004AA">
        <w:rPr>
          <w:rFonts w:asciiTheme="minorHAnsi" w:hAnsiTheme="minorHAnsi" w:cstheme="minorHAnsi"/>
          <w:sz w:val="22"/>
          <w:szCs w:val="22"/>
        </w:rPr>
        <w:t xml:space="preserve">governance can be relatively simple as the state is the sole executive (decision-making body), authority and is directly responsible for the implementation of management and enforcement of rules. It should also be noted that under this regime the state also bears all of the direct management costs although local communities </w:t>
      </w:r>
      <w:r w:rsidR="00D004AA">
        <w:rPr>
          <w:rFonts w:asciiTheme="minorHAnsi" w:hAnsiTheme="minorHAnsi" w:cstheme="minorHAnsi"/>
          <w:sz w:val="22"/>
          <w:szCs w:val="22"/>
        </w:rPr>
        <w:t>are often</w:t>
      </w:r>
      <w:r w:rsidR="00D004AA" w:rsidRPr="00D004AA">
        <w:rPr>
          <w:rFonts w:asciiTheme="minorHAnsi" w:hAnsiTheme="minorHAnsi" w:cstheme="minorHAnsi"/>
          <w:sz w:val="22"/>
          <w:szCs w:val="22"/>
        </w:rPr>
        <w:t xml:space="preserve"> expected to bear the opportunity costs.</w:t>
      </w:r>
    </w:p>
    <w:p w:rsidR="00D004AA" w:rsidRPr="00D004AA" w:rsidRDefault="00D004AA" w:rsidP="00D004AA">
      <w:pPr>
        <w:ind w:left="720"/>
        <w:jc w:val="both"/>
        <w:rPr>
          <w:rFonts w:asciiTheme="minorHAnsi" w:hAnsiTheme="minorHAnsi" w:cstheme="minorHAnsi"/>
          <w:sz w:val="22"/>
          <w:szCs w:val="22"/>
        </w:rPr>
      </w:pPr>
    </w:p>
    <w:p w:rsidR="00873562" w:rsidRDefault="00D004AA" w:rsidP="00DC73D2">
      <w:pPr>
        <w:ind w:left="720"/>
        <w:jc w:val="both"/>
        <w:rPr>
          <w:rFonts w:asciiTheme="minorHAnsi" w:hAnsiTheme="minorHAnsi" w:cstheme="minorHAnsi"/>
          <w:sz w:val="22"/>
          <w:szCs w:val="22"/>
        </w:rPr>
      </w:pPr>
      <w:r w:rsidRPr="00D004AA">
        <w:rPr>
          <w:rFonts w:asciiTheme="minorHAnsi" w:hAnsiTheme="minorHAnsi" w:cstheme="minorHAnsi"/>
          <w:sz w:val="22"/>
          <w:szCs w:val="22"/>
        </w:rPr>
        <w:t xml:space="preserve">However, this becomes more complicated when there are contested resources and areas and/or included private lands and insufficient financial, material and human resources </w:t>
      </w:r>
      <w:r w:rsidRPr="00D004AA">
        <w:rPr>
          <w:rFonts w:asciiTheme="minorHAnsi" w:hAnsiTheme="minorHAnsi" w:cstheme="minorHAnsi"/>
          <w:sz w:val="22"/>
          <w:szCs w:val="22"/>
        </w:rPr>
        <w:lastRenderedPageBreak/>
        <w:t>available to the state to carry out its management role; a description that more accurately fits the situation</w:t>
      </w:r>
      <w:r>
        <w:rPr>
          <w:rFonts w:asciiTheme="minorHAnsi" w:hAnsiTheme="minorHAnsi" w:cstheme="minorHAnsi"/>
          <w:sz w:val="22"/>
          <w:szCs w:val="22"/>
        </w:rPr>
        <w:t xml:space="preserve"> within the buffer zone</w:t>
      </w:r>
      <w:r w:rsidRPr="00D004AA">
        <w:rPr>
          <w:rFonts w:asciiTheme="minorHAnsi" w:hAnsiTheme="minorHAnsi" w:cstheme="minorHAnsi"/>
          <w:sz w:val="22"/>
          <w:szCs w:val="22"/>
        </w:rPr>
        <w:t>.</w:t>
      </w:r>
    </w:p>
    <w:p w:rsidR="00DC73D2" w:rsidRDefault="00DC73D2" w:rsidP="00DC73D2">
      <w:pPr>
        <w:ind w:left="720"/>
        <w:jc w:val="both"/>
        <w:rPr>
          <w:rFonts w:asciiTheme="minorHAnsi" w:hAnsiTheme="minorHAnsi" w:cstheme="minorHAnsi"/>
          <w:sz w:val="22"/>
          <w:szCs w:val="22"/>
        </w:rPr>
      </w:pPr>
    </w:p>
    <w:p w:rsidR="00DC73D2" w:rsidRDefault="00DC73D2" w:rsidP="00DC73D2">
      <w:pPr>
        <w:ind w:left="720"/>
        <w:jc w:val="both"/>
        <w:rPr>
          <w:rFonts w:asciiTheme="minorHAnsi" w:hAnsiTheme="minorHAnsi" w:cstheme="minorHAnsi"/>
          <w:sz w:val="22"/>
          <w:szCs w:val="22"/>
        </w:rPr>
      </w:pPr>
      <w:r w:rsidRPr="00DC73D2">
        <w:rPr>
          <w:rFonts w:asciiTheme="minorHAnsi" w:hAnsiTheme="minorHAnsi" w:cstheme="minorHAnsi"/>
          <w:sz w:val="22"/>
          <w:szCs w:val="22"/>
        </w:rPr>
        <w:t xml:space="preserve">The arguments for more inclusive approaches to managing </w:t>
      </w:r>
      <w:r>
        <w:rPr>
          <w:rFonts w:asciiTheme="minorHAnsi" w:hAnsiTheme="minorHAnsi" w:cstheme="minorHAnsi"/>
          <w:sz w:val="22"/>
          <w:szCs w:val="22"/>
        </w:rPr>
        <w:t>the buffer zone</w:t>
      </w:r>
      <w:r w:rsidRPr="00DC73D2">
        <w:rPr>
          <w:rFonts w:asciiTheme="minorHAnsi" w:hAnsiTheme="minorHAnsi" w:cstheme="minorHAnsi"/>
          <w:sz w:val="22"/>
          <w:szCs w:val="22"/>
        </w:rPr>
        <w:t xml:space="preserve"> are also made stronger when we consider ecosystem resilience. Ecosystem “resilience can be defined as the capacity of a system to undergo disturbance while maintaining both its existing functions and controls and its capacity for future change” (Gunderson 2000).</w:t>
      </w:r>
    </w:p>
    <w:p w:rsidR="00DC73D2" w:rsidRPr="00DC73D2" w:rsidRDefault="00DC73D2" w:rsidP="00DC73D2">
      <w:pPr>
        <w:jc w:val="both"/>
        <w:rPr>
          <w:rFonts w:asciiTheme="minorHAnsi" w:hAnsiTheme="minorHAnsi" w:cstheme="minorHAnsi"/>
          <w:sz w:val="22"/>
          <w:szCs w:val="22"/>
        </w:rPr>
      </w:pPr>
    </w:p>
    <w:p w:rsidR="00DC73D2" w:rsidRPr="00DC73D2" w:rsidRDefault="00DC73D2" w:rsidP="00DC73D2">
      <w:pPr>
        <w:ind w:left="720"/>
        <w:jc w:val="both"/>
        <w:rPr>
          <w:rFonts w:asciiTheme="minorHAnsi" w:hAnsiTheme="minorHAnsi" w:cstheme="minorHAnsi"/>
          <w:sz w:val="22"/>
          <w:szCs w:val="22"/>
        </w:rPr>
      </w:pPr>
      <w:r w:rsidRPr="00DC73D2">
        <w:rPr>
          <w:rFonts w:asciiTheme="minorHAnsi" w:hAnsiTheme="minorHAnsi" w:cstheme="minorHAnsi"/>
          <w:sz w:val="22"/>
          <w:szCs w:val="22"/>
        </w:rPr>
        <w:t xml:space="preserve">However, in complex socio-ecological systems, such as </w:t>
      </w:r>
      <w:r>
        <w:rPr>
          <w:rFonts w:asciiTheme="minorHAnsi" w:hAnsiTheme="minorHAnsi" w:cstheme="minorHAnsi"/>
          <w:sz w:val="22"/>
          <w:szCs w:val="22"/>
        </w:rPr>
        <w:t>the buffer zone</w:t>
      </w:r>
      <w:r w:rsidRPr="00DC73D2">
        <w:rPr>
          <w:rFonts w:asciiTheme="minorHAnsi" w:hAnsiTheme="minorHAnsi" w:cstheme="minorHAnsi"/>
          <w:sz w:val="22"/>
          <w:szCs w:val="22"/>
        </w:rPr>
        <w:t xml:space="preserve">, it might also be argued that “resilience is determined not only by a systems ability to buffer or absorb shocks, but also by its capacity for learning and self-organisation to adapt to change” (Gunderson and </w:t>
      </w:r>
      <w:proofErr w:type="spellStart"/>
      <w:r w:rsidRPr="00DC73D2">
        <w:rPr>
          <w:rFonts w:asciiTheme="minorHAnsi" w:hAnsiTheme="minorHAnsi" w:cstheme="minorHAnsi"/>
          <w:sz w:val="22"/>
          <w:szCs w:val="22"/>
        </w:rPr>
        <w:t>Holling</w:t>
      </w:r>
      <w:proofErr w:type="spellEnd"/>
      <w:r w:rsidRPr="00DC73D2">
        <w:rPr>
          <w:rFonts w:asciiTheme="minorHAnsi" w:hAnsiTheme="minorHAnsi" w:cstheme="minorHAnsi"/>
          <w:sz w:val="22"/>
          <w:szCs w:val="22"/>
        </w:rPr>
        <w:t xml:space="preserve"> 2002). Therefore a governance system that allows for a broader participation in planning and management of the protected area might arguably be more resilient than one which has a narrow scientific focus.</w:t>
      </w:r>
    </w:p>
    <w:p w:rsidR="007A4642" w:rsidRDefault="007A4642" w:rsidP="009164A0">
      <w:pPr>
        <w:ind w:left="720"/>
        <w:contextualSpacing/>
        <w:jc w:val="both"/>
        <w:rPr>
          <w:rFonts w:asciiTheme="minorHAnsi" w:hAnsiTheme="minorHAnsi" w:cstheme="minorHAnsi"/>
          <w:sz w:val="22"/>
          <w:szCs w:val="22"/>
        </w:rPr>
      </w:pPr>
    </w:p>
    <w:p w:rsidR="009164A0" w:rsidRDefault="00DC73D2" w:rsidP="009164A0">
      <w:pPr>
        <w:ind w:left="720"/>
        <w:contextualSpacing/>
        <w:jc w:val="both"/>
        <w:rPr>
          <w:rFonts w:asciiTheme="minorHAnsi" w:hAnsiTheme="minorHAnsi" w:cstheme="minorHAnsi"/>
          <w:sz w:val="22"/>
          <w:szCs w:val="22"/>
        </w:rPr>
      </w:pPr>
      <w:r w:rsidRPr="00DC73D2">
        <w:rPr>
          <w:rFonts w:asciiTheme="minorHAnsi" w:hAnsiTheme="minorHAnsi" w:cstheme="minorHAnsi"/>
          <w:sz w:val="22"/>
          <w:szCs w:val="22"/>
        </w:rPr>
        <w:t xml:space="preserve">The importance of this is clear when we consider that </w:t>
      </w:r>
      <w:r>
        <w:rPr>
          <w:rFonts w:asciiTheme="minorHAnsi" w:hAnsiTheme="minorHAnsi" w:cstheme="minorHAnsi"/>
          <w:sz w:val="22"/>
          <w:szCs w:val="22"/>
        </w:rPr>
        <w:t>the buffer zone (and by association the National Park)</w:t>
      </w:r>
      <w:r w:rsidRPr="00DC73D2">
        <w:rPr>
          <w:rFonts w:asciiTheme="minorHAnsi" w:hAnsiTheme="minorHAnsi" w:cstheme="minorHAnsi"/>
          <w:sz w:val="22"/>
          <w:szCs w:val="22"/>
        </w:rPr>
        <w:t xml:space="preserve"> is not facing a technical challenge but rather an adaptive challenge. That is; no one technology or the introduction of a technology (</w:t>
      </w:r>
      <w:r w:rsidRPr="00DC73D2">
        <w:rPr>
          <w:rFonts w:asciiTheme="minorHAnsi" w:hAnsiTheme="minorHAnsi" w:cstheme="minorHAnsi"/>
          <w:i/>
          <w:sz w:val="22"/>
          <w:szCs w:val="22"/>
        </w:rPr>
        <w:t>e.g.</w:t>
      </w:r>
      <w:r w:rsidRPr="00DC73D2">
        <w:rPr>
          <w:rFonts w:asciiTheme="minorHAnsi" w:hAnsiTheme="minorHAnsi" w:cstheme="minorHAnsi"/>
          <w:sz w:val="22"/>
          <w:szCs w:val="22"/>
        </w:rPr>
        <w:t xml:space="preserve"> alternative livelihoods</w:t>
      </w:r>
      <w:r w:rsidR="007A4642">
        <w:rPr>
          <w:rFonts w:asciiTheme="minorHAnsi" w:hAnsiTheme="minorHAnsi" w:cstheme="minorHAnsi"/>
          <w:sz w:val="22"/>
          <w:szCs w:val="22"/>
        </w:rPr>
        <w:t xml:space="preserve"> or ecosystem-based management</w:t>
      </w:r>
      <w:r w:rsidRPr="00DC73D2">
        <w:rPr>
          <w:rFonts w:asciiTheme="minorHAnsi" w:hAnsiTheme="minorHAnsi" w:cstheme="minorHAnsi"/>
          <w:sz w:val="22"/>
          <w:szCs w:val="22"/>
        </w:rPr>
        <w:t xml:space="preserve">) will reverse any current damaging effects of unsustainable or illegal activity. Neither is the enforcement of prohibitive measures, </w:t>
      </w:r>
      <w:r>
        <w:rPr>
          <w:rFonts w:asciiTheme="minorHAnsi" w:hAnsiTheme="minorHAnsi" w:cstheme="minorHAnsi"/>
          <w:sz w:val="22"/>
          <w:szCs w:val="22"/>
        </w:rPr>
        <w:t>sometimes being</w:t>
      </w:r>
      <w:r w:rsidRPr="00DC73D2">
        <w:rPr>
          <w:rFonts w:asciiTheme="minorHAnsi" w:hAnsiTheme="minorHAnsi" w:cstheme="minorHAnsi"/>
          <w:sz w:val="22"/>
          <w:szCs w:val="22"/>
        </w:rPr>
        <w:t xml:space="preserve"> ignored, practicable from a financial, social and in some cases ecological perspective. What is required is a broad behavioural change within the stakeholders towards a common objective (</w:t>
      </w:r>
      <w:r w:rsidRPr="00DC73D2">
        <w:rPr>
          <w:rFonts w:asciiTheme="minorHAnsi" w:hAnsiTheme="minorHAnsi" w:cstheme="minorHAnsi"/>
          <w:i/>
          <w:sz w:val="22"/>
          <w:szCs w:val="22"/>
        </w:rPr>
        <w:t>i.e.</w:t>
      </w:r>
      <w:r w:rsidRPr="00DC73D2">
        <w:rPr>
          <w:rFonts w:asciiTheme="minorHAnsi" w:hAnsiTheme="minorHAnsi" w:cstheme="minorHAnsi"/>
          <w:sz w:val="22"/>
          <w:szCs w:val="22"/>
        </w:rPr>
        <w:t xml:space="preserve"> the conservation or sustainable management of biodiversity resources </w:t>
      </w:r>
      <w:r>
        <w:rPr>
          <w:rFonts w:asciiTheme="minorHAnsi" w:hAnsiTheme="minorHAnsi" w:cstheme="minorHAnsi"/>
          <w:sz w:val="22"/>
          <w:szCs w:val="22"/>
        </w:rPr>
        <w:t xml:space="preserve">and ecosystem functions </w:t>
      </w:r>
      <w:r w:rsidRPr="00DC73D2">
        <w:rPr>
          <w:rFonts w:asciiTheme="minorHAnsi" w:hAnsiTheme="minorHAnsi" w:cstheme="minorHAnsi"/>
          <w:sz w:val="22"/>
          <w:szCs w:val="22"/>
        </w:rPr>
        <w:t xml:space="preserve">within </w:t>
      </w:r>
      <w:r>
        <w:rPr>
          <w:rFonts w:asciiTheme="minorHAnsi" w:hAnsiTheme="minorHAnsi" w:cstheme="minorHAnsi"/>
          <w:sz w:val="22"/>
          <w:szCs w:val="22"/>
        </w:rPr>
        <w:t>the buffer zone</w:t>
      </w:r>
      <w:r w:rsidRPr="00DC73D2">
        <w:rPr>
          <w:rFonts w:asciiTheme="minorHAnsi" w:hAnsiTheme="minorHAnsi" w:cstheme="minorHAnsi"/>
          <w:sz w:val="22"/>
          <w:szCs w:val="22"/>
        </w:rPr>
        <w:t>).</w:t>
      </w:r>
    </w:p>
    <w:p w:rsidR="008A1C23" w:rsidRDefault="009164A0" w:rsidP="009164A0">
      <w:pPr>
        <w:pStyle w:val="ListParagraph"/>
        <w:numPr>
          <w:ilvl w:val="0"/>
          <w:numId w:val="4"/>
        </w:numPr>
        <w:jc w:val="both"/>
        <w:rPr>
          <w:rFonts w:asciiTheme="minorHAnsi" w:hAnsiTheme="minorHAnsi" w:cstheme="minorHAnsi"/>
          <w:sz w:val="22"/>
          <w:szCs w:val="22"/>
        </w:rPr>
      </w:pPr>
      <w:r>
        <w:rPr>
          <w:rFonts w:asciiTheme="minorHAnsi" w:hAnsiTheme="minorHAnsi" w:cstheme="minorHAnsi"/>
          <w:sz w:val="22"/>
          <w:szCs w:val="22"/>
        </w:rPr>
        <w:t xml:space="preserve">There was an over-reliance upon an alternative livelihoods approach within the buffer zone in order to reduce dependency upon the forest resources. </w:t>
      </w:r>
      <w:r w:rsidR="008A1C23" w:rsidRPr="009164A0">
        <w:rPr>
          <w:rFonts w:asciiTheme="minorHAnsi" w:hAnsiTheme="minorHAnsi" w:cstheme="minorHAnsi"/>
          <w:sz w:val="22"/>
          <w:szCs w:val="22"/>
        </w:rPr>
        <w:t>The</w:t>
      </w:r>
      <w:r w:rsidR="008A1C23" w:rsidRPr="009164A0">
        <w:rPr>
          <w:rFonts w:asciiTheme="minorHAnsi" w:eastAsia="ArialMT" w:hAnsiTheme="minorHAnsi" w:cstheme="minorHAnsi"/>
          <w:sz w:val="22"/>
          <w:szCs w:val="22"/>
        </w:rPr>
        <w:t xml:space="preserve"> buffer zone</w:t>
      </w:r>
      <w:r w:rsidR="008A1C23" w:rsidRPr="009164A0">
        <w:rPr>
          <w:rFonts w:asciiTheme="minorHAnsi" w:hAnsiTheme="minorHAnsi" w:cstheme="minorHAnsi"/>
          <w:sz w:val="22"/>
          <w:szCs w:val="22"/>
        </w:rPr>
        <w:t xml:space="preserve"> local rural communities’ needs are very closely linked with the sustainability and well-being of the natural resource base. Any premise that the local communities have little interest in natural resource management and must therefore be offered external incentives to encourage them to participate</w:t>
      </w:r>
      <w:r w:rsidR="008A6811">
        <w:rPr>
          <w:rFonts w:asciiTheme="minorHAnsi" w:hAnsiTheme="minorHAnsi" w:cstheme="minorHAnsi"/>
          <w:sz w:val="22"/>
          <w:szCs w:val="22"/>
        </w:rPr>
        <w:t xml:space="preserve"> or to exclude them</w:t>
      </w:r>
      <w:r w:rsidR="008A1C23" w:rsidRPr="009164A0">
        <w:rPr>
          <w:rFonts w:asciiTheme="minorHAnsi" w:hAnsiTheme="minorHAnsi" w:cstheme="minorHAnsi"/>
          <w:sz w:val="22"/>
          <w:szCs w:val="22"/>
        </w:rPr>
        <w:t xml:space="preserve"> in its management are baseless. In fact their very future wellbeing depends upon their participation and the sound conservation management of these resources. The buffer zone communities regard biodiversity and other natural values as an important part of their </w:t>
      </w:r>
      <w:r w:rsidR="008A1C23" w:rsidRPr="009164A0">
        <w:rPr>
          <w:rFonts w:asciiTheme="minorHAnsi" w:hAnsiTheme="minorHAnsi" w:cstheme="minorHAnsi"/>
          <w:i/>
          <w:iCs/>
          <w:sz w:val="22"/>
          <w:szCs w:val="22"/>
        </w:rPr>
        <w:t>livelihood</w:t>
      </w:r>
      <w:r w:rsidR="008A1C23" w:rsidRPr="009164A0">
        <w:rPr>
          <w:rFonts w:asciiTheme="minorHAnsi" w:hAnsiTheme="minorHAnsi" w:cstheme="minorHAnsi"/>
          <w:sz w:val="22"/>
          <w:szCs w:val="22"/>
        </w:rPr>
        <w:t xml:space="preserve"> and its sustainable use is of real concern to them. What is at stake is the nature of their participation. Passive participation will incur significant time costs, and alternative livelihoods </w:t>
      </w:r>
      <w:r w:rsidR="008A6811">
        <w:rPr>
          <w:rFonts w:asciiTheme="minorHAnsi" w:hAnsiTheme="minorHAnsi" w:cstheme="minorHAnsi"/>
          <w:sz w:val="22"/>
          <w:szCs w:val="22"/>
        </w:rPr>
        <w:t>could</w:t>
      </w:r>
      <w:r w:rsidR="008A1C23" w:rsidRPr="009164A0">
        <w:rPr>
          <w:rFonts w:asciiTheme="minorHAnsi" w:hAnsiTheme="minorHAnsi" w:cstheme="minorHAnsi"/>
          <w:sz w:val="22"/>
          <w:szCs w:val="22"/>
        </w:rPr>
        <w:t xml:space="preserve"> expose them to significant economic risks</w:t>
      </w:r>
      <w:r w:rsidR="008A6811">
        <w:rPr>
          <w:rFonts w:asciiTheme="minorHAnsi" w:hAnsiTheme="minorHAnsi" w:cstheme="minorHAnsi"/>
          <w:sz w:val="22"/>
          <w:szCs w:val="22"/>
        </w:rPr>
        <w:t xml:space="preserve"> (</w:t>
      </w:r>
      <w:r w:rsidR="008A6811">
        <w:rPr>
          <w:rFonts w:asciiTheme="minorHAnsi" w:hAnsiTheme="minorHAnsi" w:cstheme="minorHAnsi"/>
          <w:i/>
          <w:sz w:val="22"/>
          <w:szCs w:val="22"/>
        </w:rPr>
        <w:t xml:space="preserve">e.g. </w:t>
      </w:r>
      <w:r w:rsidR="008A6811">
        <w:rPr>
          <w:rFonts w:asciiTheme="minorHAnsi" w:hAnsiTheme="minorHAnsi" w:cstheme="minorHAnsi"/>
          <w:sz w:val="22"/>
          <w:szCs w:val="22"/>
        </w:rPr>
        <w:t>unproven markets or market failure)</w:t>
      </w:r>
      <w:r w:rsidR="008A1C23" w:rsidRPr="009164A0">
        <w:rPr>
          <w:rFonts w:asciiTheme="minorHAnsi" w:hAnsiTheme="minorHAnsi" w:cstheme="minorHAnsi"/>
          <w:sz w:val="22"/>
          <w:szCs w:val="22"/>
        </w:rPr>
        <w:t xml:space="preserve"> which t</w:t>
      </w:r>
      <w:r w:rsidR="00955F57">
        <w:rPr>
          <w:rFonts w:asciiTheme="minorHAnsi" w:hAnsiTheme="minorHAnsi" w:cstheme="minorHAnsi"/>
          <w:sz w:val="22"/>
          <w:szCs w:val="22"/>
        </w:rPr>
        <w:t xml:space="preserve">hey </w:t>
      </w:r>
      <w:r w:rsidR="008A6811">
        <w:rPr>
          <w:rFonts w:asciiTheme="minorHAnsi" w:hAnsiTheme="minorHAnsi" w:cstheme="minorHAnsi"/>
          <w:sz w:val="22"/>
          <w:szCs w:val="22"/>
        </w:rPr>
        <w:t>may</w:t>
      </w:r>
      <w:r w:rsidR="00955F57">
        <w:rPr>
          <w:rFonts w:asciiTheme="minorHAnsi" w:hAnsiTheme="minorHAnsi" w:cstheme="minorHAnsi"/>
          <w:sz w:val="22"/>
          <w:szCs w:val="22"/>
        </w:rPr>
        <w:t xml:space="preserve"> be unwilling to incur.</w:t>
      </w:r>
    </w:p>
    <w:p w:rsidR="00955F57" w:rsidRPr="009164A0" w:rsidRDefault="00955F57" w:rsidP="009164A0">
      <w:pPr>
        <w:pStyle w:val="ListParagraph"/>
        <w:numPr>
          <w:ilvl w:val="0"/>
          <w:numId w:val="4"/>
        </w:numPr>
        <w:jc w:val="both"/>
        <w:rPr>
          <w:rFonts w:asciiTheme="minorHAnsi" w:hAnsiTheme="minorHAnsi" w:cstheme="minorHAnsi"/>
          <w:sz w:val="22"/>
          <w:szCs w:val="22"/>
        </w:rPr>
      </w:pPr>
      <w:r>
        <w:rPr>
          <w:rFonts w:asciiTheme="minorHAnsi" w:hAnsiTheme="minorHAnsi" w:cstheme="minorHAnsi"/>
          <w:sz w:val="22"/>
          <w:szCs w:val="22"/>
        </w:rPr>
        <w:t xml:space="preserve">There should have been a clearer statement in the Project’s intervention strategy recognising that the Project’s intervention would need to place greater emphasis on </w:t>
      </w:r>
      <w:r>
        <w:rPr>
          <w:rFonts w:asciiTheme="minorHAnsi" w:hAnsiTheme="minorHAnsi" w:cstheme="minorHAnsi"/>
          <w:i/>
          <w:sz w:val="22"/>
          <w:szCs w:val="22"/>
        </w:rPr>
        <w:t>process</w:t>
      </w:r>
      <w:r>
        <w:rPr>
          <w:rFonts w:asciiTheme="minorHAnsi" w:hAnsiTheme="minorHAnsi" w:cstheme="minorHAnsi"/>
          <w:sz w:val="22"/>
          <w:szCs w:val="22"/>
        </w:rPr>
        <w:t xml:space="preserve"> and that given the issues that the Project was addressing a three year implementation period was unrealistic.</w:t>
      </w:r>
    </w:p>
    <w:p w:rsidR="002C3243" w:rsidRPr="00872095" w:rsidRDefault="002C3243" w:rsidP="00872095">
      <w:pPr>
        <w:pStyle w:val="Heading1"/>
        <w:rPr>
          <w:rFonts w:asciiTheme="minorHAnsi" w:hAnsiTheme="minorHAnsi" w:cstheme="minorHAnsi"/>
          <w:sz w:val="22"/>
          <w:szCs w:val="22"/>
        </w:rPr>
      </w:pPr>
      <w:bookmarkStart w:id="16" w:name="_Toc277001674"/>
      <w:r w:rsidRPr="00872095">
        <w:rPr>
          <w:rFonts w:asciiTheme="minorHAnsi" w:hAnsiTheme="minorHAnsi" w:cstheme="minorHAnsi"/>
          <w:sz w:val="22"/>
          <w:szCs w:val="22"/>
        </w:rPr>
        <w:t>Project Performance</w:t>
      </w:r>
      <w:bookmarkEnd w:id="16"/>
    </w:p>
    <w:p w:rsidR="00853092" w:rsidRDefault="00DB7E18" w:rsidP="009164A0">
      <w:pPr>
        <w:jc w:val="both"/>
        <w:rPr>
          <w:rFonts w:asciiTheme="minorHAnsi" w:hAnsiTheme="minorHAnsi" w:cstheme="minorHAnsi"/>
          <w:sz w:val="22"/>
          <w:szCs w:val="22"/>
        </w:rPr>
      </w:pPr>
      <w:r>
        <w:rPr>
          <w:rFonts w:asciiTheme="minorHAnsi" w:hAnsiTheme="minorHAnsi" w:cstheme="minorHAnsi"/>
          <w:sz w:val="22"/>
          <w:szCs w:val="22"/>
        </w:rPr>
        <w:t>As has been discussed earlier, t</w:t>
      </w:r>
      <w:r w:rsidR="00853092">
        <w:rPr>
          <w:rFonts w:asciiTheme="minorHAnsi" w:hAnsiTheme="minorHAnsi" w:cstheme="minorHAnsi"/>
          <w:sz w:val="22"/>
          <w:szCs w:val="22"/>
        </w:rPr>
        <w:t>he Project is dealing with a complexity of issues over a very large area and the resources available in the field could be strengthened.</w:t>
      </w:r>
    </w:p>
    <w:p w:rsidR="00853092" w:rsidRDefault="00853092" w:rsidP="009164A0">
      <w:pPr>
        <w:jc w:val="both"/>
        <w:rPr>
          <w:rFonts w:asciiTheme="minorHAnsi" w:hAnsiTheme="minorHAnsi" w:cstheme="minorHAnsi"/>
          <w:sz w:val="22"/>
          <w:szCs w:val="22"/>
        </w:rPr>
      </w:pPr>
    </w:p>
    <w:p w:rsidR="002C3243" w:rsidRDefault="009164A0" w:rsidP="009164A0">
      <w:pPr>
        <w:jc w:val="both"/>
        <w:rPr>
          <w:rFonts w:asciiTheme="minorHAnsi" w:hAnsiTheme="minorHAnsi" w:cstheme="minorHAnsi"/>
          <w:sz w:val="22"/>
          <w:szCs w:val="22"/>
        </w:rPr>
      </w:pPr>
      <w:r>
        <w:rPr>
          <w:rFonts w:asciiTheme="minorHAnsi" w:hAnsiTheme="minorHAnsi" w:cstheme="minorHAnsi"/>
          <w:sz w:val="22"/>
          <w:szCs w:val="22"/>
        </w:rPr>
        <w:t xml:space="preserve">On the whole the Project has been performing </w:t>
      </w:r>
      <w:r w:rsidR="00853092">
        <w:rPr>
          <w:rFonts w:asciiTheme="minorHAnsi" w:hAnsiTheme="minorHAnsi" w:cstheme="minorHAnsi"/>
          <w:sz w:val="22"/>
          <w:szCs w:val="22"/>
        </w:rPr>
        <w:t xml:space="preserve">very </w:t>
      </w:r>
      <w:r>
        <w:rPr>
          <w:rFonts w:asciiTheme="minorHAnsi" w:hAnsiTheme="minorHAnsi" w:cstheme="minorHAnsi"/>
          <w:sz w:val="22"/>
          <w:szCs w:val="22"/>
        </w:rPr>
        <w:t>well and the speed and efficiency with which activities have been implemented is acknowledged by the MTE</w:t>
      </w:r>
      <w:r w:rsidR="00DB7E18">
        <w:rPr>
          <w:rFonts w:asciiTheme="minorHAnsi" w:hAnsiTheme="minorHAnsi" w:cstheme="minorHAnsi"/>
          <w:sz w:val="22"/>
          <w:szCs w:val="22"/>
        </w:rPr>
        <w:t>,</w:t>
      </w:r>
      <w:r w:rsidR="00955F57">
        <w:rPr>
          <w:rFonts w:asciiTheme="minorHAnsi" w:hAnsiTheme="minorHAnsi" w:cstheme="minorHAnsi"/>
          <w:sz w:val="22"/>
          <w:szCs w:val="22"/>
        </w:rPr>
        <w:t xml:space="preserve"> as is the obvious commitment of </w:t>
      </w:r>
      <w:r w:rsidR="00DB7E18">
        <w:rPr>
          <w:rFonts w:asciiTheme="minorHAnsi" w:hAnsiTheme="minorHAnsi" w:cstheme="minorHAnsi"/>
          <w:sz w:val="22"/>
          <w:szCs w:val="22"/>
        </w:rPr>
        <w:t xml:space="preserve">all </w:t>
      </w:r>
      <w:r w:rsidR="00955F57">
        <w:rPr>
          <w:rFonts w:asciiTheme="minorHAnsi" w:hAnsiTheme="minorHAnsi" w:cstheme="minorHAnsi"/>
          <w:sz w:val="22"/>
          <w:szCs w:val="22"/>
        </w:rPr>
        <w:t>the Team members.</w:t>
      </w:r>
    </w:p>
    <w:p w:rsidR="00955F57" w:rsidRDefault="00955F57" w:rsidP="009164A0">
      <w:pPr>
        <w:jc w:val="both"/>
        <w:rPr>
          <w:rFonts w:asciiTheme="minorHAnsi" w:hAnsiTheme="minorHAnsi" w:cstheme="minorHAnsi"/>
          <w:sz w:val="22"/>
          <w:szCs w:val="22"/>
        </w:rPr>
      </w:pPr>
    </w:p>
    <w:p w:rsidR="00955F57" w:rsidRDefault="00955F57" w:rsidP="009164A0">
      <w:pPr>
        <w:jc w:val="both"/>
        <w:rPr>
          <w:rFonts w:asciiTheme="minorHAnsi" w:hAnsiTheme="minorHAnsi" w:cstheme="minorHAnsi"/>
          <w:sz w:val="22"/>
          <w:szCs w:val="22"/>
        </w:rPr>
      </w:pPr>
      <w:r>
        <w:rPr>
          <w:rFonts w:asciiTheme="minorHAnsi" w:hAnsiTheme="minorHAnsi" w:cstheme="minorHAnsi"/>
          <w:sz w:val="22"/>
          <w:szCs w:val="22"/>
        </w:rPr>
        <w:t>Reporting is very good</w:t>
      </w:r>
      <w:r w:rsidR="00853092">
        <w:rPr>
          <w:rFonts w:asciiTheme="minorHAnsi" w:hAnsiTheme="minorHAnsi" w:cstheme="minorHAnsi"/>
          <w:sz w:val="22"/>
          <w:szCs w:val="22"/>
        </w:rPr>
        <w:t>, concise and to the point but the MTE is concerned that some of the “sticking points” in the process (</w:t>
      </w:r>
      <w:r w:rsidR="00853092">
        <w:rPr>
          <w:rFonts w:asciiTheme="minorHAnsi" w:hAnsiTheme="minorHAnsi" w:cstheme="minorHAnsi"/>
          <w:i/>
          <w:sz w:val="22"/>
          <w:szCs w:val="22"/>
        </w:rPr>
        <w:t>e.g.</w:t>
      </w:r>
      <w:r w:rsidR="00E511B7">
        <w:rPr>
          <w:rFonts w:asciiTheme="minorHAnsi" w:hAnsiTheme="minorHAnsi" w:cstheme="minorHAnsi"/>
          <w:sz w:val="22"/>
          <w:szCs w:val="22"/>
        </w:rPr>
        <w:t xml:space="preserve"> the degree to which non</w:t>
      </w:r>
      <w:r w:rsidR="00853092">
        <w:rPr>
          <w:rFonts w:asciiTheme="minorHAnsi" w:hAnsiTheme="minorHAnsi" w:cstheme="minorHAnsi"/>
          <w:sz w:val="22"/>
          <w:szCs w:val="22"/>
        </w:rPr>
        <w:t xml:space="preserve">-agency participants are participating) could be </w:t>
      </w:r>
      <w:r w:rsidR="00853092">
        <w:rPr>
          <w:rFonts w:asciiTheme="minorHAnsi" w:hAnsiTheme="minorHAnsi" w:cstheme="minorHAnsi"/>
          <w:sz w:val="22"/>
          <w:szCs w:val="22"/>
        </w:rPr>
        <w:lastRenderedPageBreak/>
        <w:t>better reflected and specific strategies designed and put in place and reported as the Project’s response. This is critical to the adaptive management of the Project</w:t>
      </w:r>
      <w:r w:rsidR="00E511B7">
        <w:rPr>
          <w:rFonts w:asciiTheme="minorHAnsi" w:hAnsiTheme="minorHAnsi" w:cstheme="minorHAnsi"/>
          <w:sz w:val="22"/>
          <w:szCs w:val="22"/>
        </w:rPr>
        <w:t xml:space="preserve"> and providing feedback into the Policy formulation and enabling environment.</w:t>
      </w:r>
    </w:p>
    <w:p w:rsidR="00853092" w:rsidRDefault="00853092" w:rsidP="009164A0">
      <w:pPr>
        <w:jc w:val="both"/>
        <w:rPr>
          <w:rFonts w:asciiTheme="minorHAnsi" w:hAnsiTheme="minorHAnsi" w:cstheme="minorHAnsi"/>
          <w:sz w:val="22"/>
          <w:szCs w:val="22"/>
        </w:rPr>
      </w:pPr>
    </w:p>
    <w:p w:rsidR="00853092" w:rsidRPr="00853092" w:rsidRDefault="00853092" w:rsidP="009164A0">
      <w:pPr>
        <w:jc w:val="both"/>
        <w:rPr>
          <w:rFonts w:asciiTheme="minorHAnsi" w:hAnsiTheme="minorHAnsi" w:cstheme="minorHAnsi"/>
          <w:sz w:val="22"/>
          <w:szCs w:val="22"/>
        </w:rPr>
      </w:pPr>
      <w:r>
        <w:rPr>
          <w:rFonts w:asciiTheme="minorHAnsi" w:hAnsiTheme="minorHAnsi" w:cstheme="minorHAnsi"/>
          <w:sz w:val="22"/>
          <w:szCs w:val="22"/>
        </w:rPr>
        <w:t>The relationship between the different Project Partners appears to be very effective.</w:t>
      </w:r>
    </w:p>
    <w:p w:rsidR="009164A0" w:rsidRPr="00872095" w:rsidRDefault="00872095" w:rsidP="00872095">
      <w:pPr>
        <w:pStyle w:val="Heading1"/>
        <w:rPr>
          <w:rFonts w:asciiTheme="minorHAnsi" w:hAnsiTheme="minorHAnsi" w:cstheme="minorHAnsi"/>
          <w:sz w:val="22"/>
          <w:szCs w:val="22"/>
        </w:rPr>
      </w:pPr>
      <w:bookmarkStart w:id="17" w:name="_Toc277001675"/>
      <w:r w:rsidRPr="00872095">
        <w:rPr>
          <w:rFonts w:asciiTheme="minorHAnsi" w:hAnsiTheme="minorHAnsi" w:cstheme="minorHAnsi"/>
          <w:sz w:val="22"/>
          <w:szCs w:val="22"/>
        </w:rPr>
        <w:t>Findings of MTE</w:t>
      </w:r>
      <w:bookmarkEnd w:id="17"/>
    </w:p>
    <w:p w:rsidR="009164A0" w:rsidRPr="009164A0" w:rsidRDefault="009164A0" w:rsidP="009164A0">
      <w:pPr>
        <w:pStyle w:val="ListParagraph"/>
        <w:numPr>
          <w:ilvl w:val="0"/>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Project is on track without any significant delay.</w:t>
      </w:r>
    </w:p>
    <w:p w:rsidR="009164A0" w:rsidRPr="009164A0" w:rsidRDefault="009164A0" w:rsidP="009164A0">
      <w:pPr>
        <w:pStyle w:val="ListParagraph"/>
        <w:numPr>
          <w:ilvl w:val="0"/>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Project has achieved a number of important successes.</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Establishing multi agencies approach to Project implementation.</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 xml:space="preserve">Participation of a national NGO as a significant partner. </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Broadening the objectives of Forest Management Planning.</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Project has begun to increase local stakeholder participation.</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Implementation in accordance with rules and regulations,</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Activities are progressing well,</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There is considerable good will among Project Partners and Participants.</w:t>
      </w:r>
    </w:p>
    <w:p w:rsidR="009164A0" w:rsidRPr="00872095" w:rsidRDefault="009164A0" w:rsidP="00872095">
      <w:pPr>
        <w:pStyle w:val="Heading1"/>
        <w:rPr>
          <w:rFonts w:asciiTheme="minorHAnsi" w:hAnsiTheme="minorHAnsi" w:cstheme="minorHAnsi"/>
          <w:sz w:val="22"/>
          <w:szCs w:val="22"/>
        </w:rPr>
      </w:pPr>
      <w:bookmarkStart w:id="18" w:name="_Toc277001676"/>
      <w:r w:rsidRPr="00872095">
        <w:rPr>
          <w:rFonts w:asciiTheme="minorHAnsi" w:hAnsiTheme="minorHAnsi" w:cstheme="minorHAnsi"/>
          <w:sz w:val="22"/>
          <w:szCs w:val="22"/>
        </w:rPr>
        <w:t>MTE Concerns:</w:t>
      </w:r>
      <w:bookmarkEnd w:id="18"/>
    </w:p>
    <w:p w:rsidR="009164A0" w:rsidRDefault="009164A0" w:rsidP="009164A0">
      <w:pPr>
        <w:pStyle w:val="ListParagraph"/>
        <w:autoSpaceDE w:val="0"/>
        <w:autoSpaceDN w:val="0"/>
        <w:adjustRightInd w:val="0"/>
        <w:jc w:val="both"/>
        <w:rPr>
          <w:rFonts w:asciiTheme="minorHAnsi" w:hAnsiTheme="minorHAnsi" w:cstheme="minorHAnsi"/>
          <w:sz w:val="22"/>
          <w:szCs w:val="22"/>
        </w:rPr>
      </w:pPr>
      <w:r w:rsidRPr="009164A0">
        <w:rPr>
          <w:rFonts w:asciiTheme="minorHAnsi" w:hAnsiTheme="minorHAnsi" w:cstheme="minorHAnsi"/>
          <w:sz w:val="22"/>
          <w:szCs w:val="22"/>
        </w:rPr>
        <w:t>However the MTE has identified number of risks and assumptions that make these successes vulnerabl</w:t>
      </w:r>
      <w:r w:rsidR="00DB7E18">
        <w:rPr>
          <w:rFonts w:asciiTheme="minorHAnsi" w:hAnsiTheme="minorHAnsi" w:cstheme="minorHAnsi"/>
          <w:sz w:val="22"/>
          <w:szCs w:val="22"/>
        </w:rPr>
        <w:t>e and therefore challenges the</w:t>
      </w:r>
      <w:r w:rsidR="00DB7E18" w:rsidRPr="00DB7E18">
        <w:rPr>
          <w:rFonts w:asciiTheme="minorHAnsi" w:hAnsiTheme="minorHAnsi" w:cstheme="minorHAnsi"/>
          <w:b/>
          <w:sz w:val="22"/>
          <w:szCs w:val="22"/>
        </w:rPr>
        <w:t xml:space="preserve"> s</w:t>
      </w:r>
      <w:r w:rsidRPr="00DB7E18">
        <w:rPr>
          <w:rFonts w:asciiTheme="minorHAnsi" w:hAnsiTheme="minorHAnsi" w:cstheme="minorHAnsi"/>
          <w:b/>
          <w:sz w:val="22"/>
          <w:szCs w:val="22"/>
        </w:rPr>
        <w:t>ustainability</w:t>
      </w:r>
      <w:r w:rsidRPr="009164A0">
        <w:rPr>
          <w:rFonts w:asciiTheme="minorHAnsi" w:hAnsiTheme="minorHAnsi" w:cstheme="minorHAnsi"/>
          <w:sz w:val="22"/>
          <w:szCs w:val="22"/>
        </w:rPr>
        <w:t xml:space="preserve"> of the Project Outcomes given there is just over a year remaining. These concerns are related to;</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Level of local participation in the planning process,</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 xml:space="preserve">The degree to which this participation will continue to the implementation to these plans, </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 xml:space="preserve">The need for a strategic vision and plan to guide the various planning agencies (State Hydraulic Works, Municipalities, General Directorates of Highways etc.) as well as forest villages within the buffer zone area, </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Strengthening natural resource governance within the buffer zone area (cost and benefit of conservation management, authority and responsibility for resource management, pricing and tenure of natural resources),</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The capacity of local team (Local Branch Managers are very capable but overstretched),</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The Project is not sufficiently challenging inequalities and inefficiencies in the enabling the environment (policies, legal framework</w:t>
      </w:r>
      <w:r w:rsidR="00DB7E18">
        <w:rPr>
          <w:rFonts w:asciiTheme="minorHAnsi" w:hAnsiTheme="minorHAnsi" w:cstheme="minorHAnsi"/>
          <w:sz w:val="22"/>
          <w:szCs w:val="22"/>
        </w:rPr>
        <w:t>,</w:t>
      </w:r>
      <w:r w:rsidRPr="009164A0">
        <w:rPr>
          <w:rFonts w:asciiTheme="minorHAnsi" w:hAnsiTheme="minorHAnsi" w:cstheme="minorHAnsi"/>
          <w:sz w:val="22"/>
          <w:szCs w:val="22"/>
        </w:rPr>
        <w:t xml:space="preserve"> etc.),</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The time available for achieving the Objectives (initial Project time frame is unrealistic)</w:t>
      </w:r>
    </w:p>
    <w:p w:rsidR="009164A0" w:rsidRPr="009164A0"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sz w:val="22"/>
          <w:szCs w:val="22"/>
        </w:rPr>
      </w:pPr>
      <w:r w:rsidRPr="009164A0">
        <w:rPr>
          <w:rFonts w:asciiTheme="minorHAnsi" w:hAnsiTheme="minorHAnsi" w:cstheme="minorHAnsi"/>
          <w:sz w:val="22"/>
          <w:szCs w:val="22"/>
        </w:rPr>
        <w:t>Overreliance on an alternative livelihoods trade off strategy.</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872095" w:rsidRDefault="009164A0" w:rsidP="00872095">
      <w:pPr>
        <w:pStyle w:val="Heading1"/>
        <w:rPr>
          <w:rFonts w:asciiTheme="minorHAnsi" w:hAnsiTheme="minorHAnsi" w:cstheme="minorHAnsi"/>
          <w:sz w:val="22"/>
          <w:szCs w:val="22"/>
        </w:rPr>
      </w:pPr>
      <w:bookmarkStart w:id="19" w:name="_Toc277001677"/>
      <w:r w:rsidRPr="00872095">
        <w:rPr>
          <w:rFonts w:asciiTheme="minorHAnsi" w:hAnsiTheme="minorHAnsi" w:cstheme="minorHAnsi"/>
          <w:sz w:val="22"/>
          <w:szCs w:val="22"/>
        </w:rPr>
        <w:t>Recommendations:</w:t>
      </w:r>
      <w:bookmarkEnd w:id="19"/>
    </w:p>
    <w:p w:rsidR="009164A0" w:rsidRDefault="009164A0" w:rsidP="009164A0">
      <w:pPr>
        <w:pStyle w:val="ListParagraph"/>
        <w:autoSpaceDE w:val="0"/>
        <w:autoSpaceDN w:val="0"/>
        <w:adjustRightInd w:val="0"/>
        <w:jc w:val="both"/>
        <w:rPr>
          <w:rFonts w:asciiTheme="minorHAnsi" w:hAnsiTheme="minorHAnsi" w:cstheme="minorHAnsi"/>
          <w:sz w:val="22"/>
          <w:szCs w:val="22"/>
        </w:rPr>
      </w:pPr>
      <w:proofErr w:type="gramStart"/>
      <w:r w:rsidRPr="009164A0">
        <w:rPr>
          <w:rFonts w:asciiTheme="minorHAnsi" w:hAnsiTheme="minorHAnsi" w:cstheme="minorHAnsi"/>
          <w:sz w:val="22"/>
          <w:szCs w:val="22"/>
        </w:rPr>
        <w:t xml:space="preserve">Following the PMU response to the MTE the Project </w:t>
      </w:r>
      <w:r w:rsidR="00DB7E18">
        <w:rPr>
          <w:rFonts w:asciiTheme="minorHAnsi" w:hAnsiTheme="minorHAnsi" w:cstheme="minorHAnsi"/>
          <w:sz w:val="22"/>
          <w:szCs w:val="22"/>
        </w:rPr>
        <w:t>“</w:t>
      </w:r>
      <w:r w:rsidRPr="009164A0">
        <w:rPr>
          <w:rFonts w:asciiTheme="minorHAnsi" w:hAnsiTheme="minorHAnsi" w:cstheme="minorHAnsi"/>
          <w:sz w:val="22"/>
          <w:szCs w:val="22"/>
        </w:rPr>
        <w:t>pauses</w:t>
      </w:r>
      <w:r w:rsidR="00DB7E18">
        <w:rPr>
          <w:rFonts w:asciiTheme="minorHAnsi" w:hAnsiTheme="minorHAnsi" w:cstheme="minorHAnsi"/>
          <w:sz w:val="22"/>
          <w:szCs w:val="22"/>
        </w:rPr>
        <w:t>”</w:t>
      </w:r>
      <w:r w:rsidRPr="009164A0">
        <w:rPr>
          <w:rFonts w:asciiTheme="minorHAnsi" w:hAnsiTheme="minorHAnsi" w:cstheme="minorHAnsi"/>
          <w:sz w:val="22"/>
          <w:szCs w:val="22"/>
        </w:rPr>
        <w:t xml:space="preserve"> and takes time to re-visit the Project Strategy to strengthen the Adaptive Management in consideration of the recommendations given below</w:t>
      </w:r>
      <w:r w:rsidR="00435460">
        <w:rPr>
          <w:rFonts w:asciiTheme="minorHAnsi" w:hAnsiTheme="minorHAnsi" w:cstheme="minorHAnsi"/>
          <w:sz w:val="22"/>
          <w:szCs w:val="22"/>
        </w:rPr>
        <w:t xml:space="preserve"> and</w:t>
      </w:r>
      <w:r w:rsidRPr="009164A0">
        <w:rPr>
          <w:rFonts w:asciiTheme="minorHAnsi" w:hAnsiTheme="minorHAnsi" w:cstheme="minorHAnsi"/>
          <w:sz w:val="22"/>
          <w:szCs w:val="22"/>
        </w:rPr>
        <w:t xml:space="preserve"> including revising the Log-frame Targets and Indicators.</w:t>
      </w:r>
      <w:proofErr w:type="gramEnd"/>
      <w:r w:rsidRPr="009164A0">
        <w:rPr>
          <w:rFonts w:asciiTheme="minorHAnsi" w:hAnsiTheme="minorHAnsi" w:cstheme="minorHAnsi"/>
          <w:sz w:val="22"/>
          <w:szCs w:val="22"/>
        </w:rPr>
        <w:t xml:space="preserve"> This Adaptive Management process should include a broad cross</w:t>
      </w:r>
      <w:r w:rsidR="00DB7E18">
        <w:rPr>
          <w:rFonts w:asciiTheme="minorHAnsi" w:hAnsiTheme="minorHAnsi" w:cstheme="minorHAnsi"/>
          <w:sz w:val="22"/>
          <w:szCs w:val="22"/>
        </w:rPr>
        <w:t>-section of local stakeholders.</w:t>
      </w:r>
    </w:p>
    <w:p w:rsidR="00DB7E18" w:rsidRPr="00872095" w:rsidRDefault="00DB7E18" w:rsidP="00872095">
      <w:pPr>
        <w:pStyle w:val="Heading2"/>
        <w:rPr>
          <w:rFonts w:asciiTheme="minorHAnsi" w:hAnsiTheme="minorHAnsi" w:cstheme="minorHAnsi"/>
          <w:color w:val="auto"/>
          <w:sz w:val="22"/>
          <w:szCs w:val="22"/>
        </w:rPr>
      </w:pPr>
      <w:bookmarkStart w:id="20" w:name="_Toc277001678"/>
      <w:r w:rsidRPr="00872095">
        <w:rPr>
          <w:rFonts w:asciiTheme="minorHAnsi" w:hAnsiTheme="minorHAnsi" w:cstheme="minorHAnsi"/>
          <w:color w:val="auto"/>
          <w:sz w:val="22"/>
          <w:szCs w:val="22"/>
        </w:rPr>
        <w:lastRenderedPageBreak/>
        <w:t>MTE Concern and recommended response</w:t>
      </w:r>
      <w:bookmarkEnd w:id="20"/>
    </w:p>
    <w:p w:rsidR="00DB7E18" w:rsidRPr="00DB7E18" w:rsidRDefault="00DB7E18" w:rsidP="009164A0">
      <w:pPr>
        <w:pStyle w:val="ListParagraph"/>
        <w:autoSpaceDE w:val="0"/>
        <w:autoSpaceDN w:val="0"/>
        <w:adjustRightInd w:val="0"/>
        <w:jc w:val="both"/>
        <w:rPr>
          <w:rFonts w:asciiTheme="minorHAnsi" w:hAnsiTheme="minorHAnsi" w:cstheme="minorHAnsi"/>
          <w:b/>
          <w:sz w:val="22"/>
          <w:szCs w:val="22"/>
        </w:rPr>
      </w:pP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Level of local participation in the planning process,</w:t>
      </w: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The degree to which this participation will continue to the implementation to these plans, </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r w:rsidRPr="009164A0">
        <w:rPr>
          <w:rFonts w:asciiTheme="minorHAnsi" w:hAnsiTheme="minorHAnsi" w:cstheme="minorHAnsi"/>
          <w:i/>
          <w:sz w:val="22"/>
          <w:szCs w:val="22"/>
        </w:rPr>
        <w:t xml:space="preserve">Project engages an external facilitator to drive local community (further beyond </w:t>
      </w:r>
      <w:proofErr w:type="spellStart"/>
      <w:r w:rsidRPr="009164A0">
        <w:rPr>
          <w:rFonts w:asciiTheme="minorHAnsi" w:hAnsiTheme="minorHAnsi" w:cstheme="minorHAnsi"/>
          <w:i/>
          <w:sz w:val="22"/>
          <w:szCs w:val="22"/>
        </w:rPr>
        <w:t>muhtars</w:t>
      </w:r>
      <w:proofErr w:type="spellEnd"/>
      <w:r w:rsidRPr="009164A0">
        <w:rPr>
          <w:rFonts w:asciiTheme="minorHAnsi" w:hAnsiTheme="minorHAnsi" w:cstheme="minorHAnsi"/>
          <w:i/>
          <w:sz w:val="22"/>
          <w:szCs w:val="22"/>
        </w:rPr>
        <w:t xml:space="preserve">) and civic institutional participation in the planning process. </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The need for a strategic vision and plan to guide the various planning agencies (State Hydraulic Works, Municipalities, General Directorates of Highways etc.) as well as forest villages within the buffer zone area, </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Current Forest Management Plans have a limited strategic vision due to the sequencing in the Project Work Plan. A Strategic </w:t>
      </w:r>
      <w:proofErr w:type="gramStart"/>
      <w:r w:rsidRPr="009164A0">
        <w:rPr>
          <w:rFonts w:asciiTheme="minorHAnsi" w:hAnsiTheme="minorHAnsi" w:cstheme="minorHAnsi"/>
          <w:i/>
          <w:sz w:val="22"/>
          <w:szCs w:val="22"/>
        </w:rPr>
        <w:t>Planning</w:t>
      </w:r>
      <w:proofErr w:type="gramEnd"/>
      <w:r w:rsidRPr="009164A0">
        <w:rPr>
          <w:rFonts w:asciiTheme="minorHAnsi" w:hAnsiTheme="minorHAnsi" w:cstheme="minorHAnsi"/>
          <w:i/>
          <w:sz w:val="22"/>
          <w:szCs w:val="22"/>
        </w:rPr>
        <w:t xml:space="preserve"> structure is necessary to include the multiplicity of interest involved in land use in the Buffer Zone. The first task would be to develop the strategic vision of the Buffer Zone. </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This planning structure would also need to regularly monitor and evaluate the implementation and effectiveness of land use planning and management within the Buffer Zone to ensure that management is adaptive in light of experience and changing circumstances. </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Strengthening natural resource governance within the buffer zone area (cost and benefit of conservation management, authority and responsibility for resource management, pricing and tenure of natural resources),</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The Project should identify the small number of forest villagers and focus its attention on activities on developing pilot (experimental) village level resource management plans within the framework of the Forest Management Plan.</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capacity of local team (Local Branch Managers are very capable but overstretched),</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Additional human resources are made available at the level of National Park. The required skills and experience should be decided during the revision of the Project Strategy. </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Project is not sufficiently challenging inequalities and inefficiencies in the enabling the environment (policies, legal framework etc.)</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Project could challenge inequalities and inefficiencies in the enabling the environment more (policies, legal framework etc.) </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(Ex: </w:t>
      </w:r>
      <w:r w:rsidRPr="009164A0">
        <w:rPr>
          <w:rFonts w:asciiTheme="minorHAnsi" w:hAnsiTheme="minorHAnsi" w:cstheme="minorHAnsi"/>
          <w:i/>
          <w:sz w:val="22"/>
          <w:szCs w:val="22"/>
          <w:u w:val="single"/>
        </w:rPr>
        <w:t xml:space="preserve">Article 12 of the </w:t>
      </w:r>
      <w:proofErr w:type="spellStart"/>
      <w:r w:rsidRPr="009164A0">
        <w:rPr>
          <w:rFonts w:asciiTheme="minorHAnsi" w:hAnsiTheme="minorHAnsi" w:cstheme="minorHAnsi"/>
          <w:i/>
          <w:sz w:val="22"/>
          <w:szCs w:val="22"/>
          <w:u w:val="single"/>
        </w:rPr>
        <w:t>MoU</w:t>
      </w:r>
      <w:proofErr w:type="spellEnd"/>
      <w:r w:rsidRPr="009164A0">
        <w:rPr>
          <w:rFonts w:asciiTheme="minorHAnsi" w:hAnsiTheme="minorHAnsi" w:cstheme="minorHAnsi"/>
          <w:i/>
          <w:sz w:val="22"/>
          <w:szCs w:val="22"/>
        </w:rPr>
        <w:t xml:space="preserve"> signed between the Project Partners),</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“Article 12 – The parties initiate the necessary actions to suggest changes in the present legislations to provide the implementation of experiences and outcomes which are to be obtained during or in the project.”</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lastRenderedPageBreak/>
        <w:t>The time available for achieving the Objectives (initial Project time frame is unrealistic)</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On condition that there is consensus following the exercise of revising the Project Strategy the Project requests a budget neutral extension of not less than 12 months (1-2 years depending on the available funds)</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It is unrealistic to disseminate the Project Methodology to 9 additional hot spots therefore the Project should consider the following;</w:t>
      </w:r>
    </w:p>
    <w:p w:rsidR="009164A0" w:rsidRPr="009164A0" w:rsidRDefault="009164A0" w:rsidP="009164A0">
      <w:pPr>
        <w:pStyle w:val="ListParagraph"/>
        <w:numPr>
          <w:ilvl w:val="0"/>
          <w:numId w:val="6"/>
        </w:numPr>
        <w:autoSpaceDE w:val="0"/>
        <w:autoSpaceDN w:val="0"/>
        <w:adjustRightInd w:val="0"/>
        <w:spacing w:after="200" w:line="276" w:lineRule="auto"/>
        <w:jc w:val="both"/>
        <w:rPr>
          <w:rFonts w:asciiTheme="minorHAnsi" w:hAnsiTheme="minorHAnsi" w:cstheme="minorHAnsi"/>
          <w:i/>
          <w:sz w:val="22"/>
          <w:szCs w:val="22"/>
        </w:rPr>
      </w:pPr>
      <w:r w:rsidRPr="009164A0">
        <w:rPr>
          <w:rFonts w:asciiTheme="minorHAnsi" w:hAnsiTheme="minorHAnsi" w:cstheme="minorHAnsi"/>
          <w:i/>
          <w:sz w:val="22"/>
          <w:szCs w:val="22"/>
        </w:rPr>
        <w:t>Abandoning the idea of disseminating the Project to other hot spots,</w:t>
      </w:r>
    </w:p>
    <w:p w:rsidR="009164A0" w:rsidRPr="009164A0" w:rsidRDefault="009164A0" w:rsidP="009164A0">
      <w:pPr>
        <w:pStyle w:val="ListParagraph"/>
        <w:numPr>
          <w:ilvl w:val="0"/>
          <w:numId w:val="6"/>
        </w:numPr>
        <w:autoSpaceDE w:val="0"/>
        <w:autoSpaceDN w:val="0"/>
        <w:adjustRightInd w:val="0"/>
        <w:spacing w:after="200" w:line="276" w:lineRule="auto"/>
        <w:jc w:val="both"/>
        <w:rPr>
          <w:rFonts w:asciiTheme="minorHAnsi" w:hAnsiTheme="minorHAnsi" w:cstheme="minorHAnsi"/>
          <w:i/>
          <w:sz w:val="22"/>
          <w:szCs w:val="22"/>
        </w:rPr>
      </w:pPr>
      <w:r w:rsidRPr="009164A0">
        <w:rPr>
          <w:rFonts w:asciiTheme="minorHAnsi" w:hAnsiTheme="minorHAnsi" w:cstheme="minorHAnsi"/>
          <w:i/>
          <w:sz w:val="22"/>
          <w:szCs w:val="22"/>
        </w:rPr>
        <w:t xml:space="preserve">Scaling down the number of hot spots by selecting 2 or 3 and concentrating on those </w:t>
      </w:r>
    </w:p>
    <w:p w:rsidR="009164A0" w:rsidRPr="009164A0" w:rsidRDefault="009164A0" w:rsidP="009164A0">
      <w:pPr>
        <w:pStyle w:val="ListParagraph"/>
        <w:autoSpaceDE w:val="0"/>
        <w:autoSpaceDN w:val="0"/>
        <w:adjustRightInd w:val="0"/>
        <w:ind w:left="1440"/>
        <w:jc w:val="both"/>
        <w:rPr>
          <w:rFonts w:asciiTheme="minorHAnsi" w:hAnsiTheme="minorHAnsi" w:cstheme="minorHAnsi"/>
          <w:i/>
          <w:sz w:val="22"/>
          <w:szCs w:val="22"/>
        </w:rPr>
      </w:pPr>
    </w:p>
    <w:p w:rsidR="009164A0" w:rsidRPr="00DB7E18" w:rsidRDefault="009164A0" w:rsidP="009164A0">
      <w:pPr>
        <w:pStyle w:val="ListParagraph"/>
        <w:numPr>
          <w:ilvl w:val="1"/>
          <w:numId w:val="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Overreliance on an alternative livelihoods trade off strategy. </w:t>
      </w: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p>
    <w:p w:rsidR="009164A0" w:rsidRPr="009164A0" w:rsidRDefault="009164A0" w:rsidP="009164A0">
      <w:pPr>
        <w:pStyle w:val="ListParagraph"/>
        <w:autoSpaceDE w:val="0"/>
        <w:autoSpaceDN w:val="0"/>
        <w:adjustRightInd w:val="0"/>
        <w:ind w:left="1440"/>
        <w:jc w:val="both"/>
        <w:rPr>
          <w:rFonts w:asciiTheme="minorHAnsi" w:hAnsiTheme="minorHAnsi" w:cstheme="minorHAnsi"/>
          <w:sz w:val="22"/>
          <w:szCs w:val="22"/>
        </w:rPr>
      </w:pPr>
      <w:r w:rsidRPr="009164A0">
        <w:rPr>
          <w:rFonts w:asciiTheme="minorHAnsi" w:hAnsiTheme="minorHAnsi" w:cstheme="minorHAnsi"/>
          <w:i/>
          <w:sz w:val="22"/>
          <w:szCs w:val="22"/>
        </w:rPr>
        <w:t xml:space="preserve">The opportunity costs of conservation management are impact most heavily on forest villagers and contribute significantly to rural de-population. A more balanced mix of sustainable use as well as alternative livelihoods will not only reduce vulnerability of the forest villagers but also provide incentives for the wise management of forest resources. </w:t>
      </w:r>
    </w:p>
    <w:p w:rsidR="00904EE8" w:rsidRPr="00872095" w:rsidRDefault="00904EE8" w:rsidP="00872095">
      <w:pPr>
        <w:pStyle w:val="Heading1"/>
        <w:rPr>
          <w:rFonts w:asciiTheme="minorHAnsi" w:hAnsiTheme="minorHAnsi" w:cstheme="minorHAnsi"/>
          <w:sz w:val="22"/>
          <w:szCs w:val="22"/>
        </w:rPr>
      </w:pPr>
      <w:bookmarkStart w:id="21" w:name="_Toc277001679"/>
      <w:r w:rsidRPr="00872095">
        <w:rPr>
          <w:rFonts w:asciiTheme="minorHAnsi" w:hAnsiTheme="minorHAnsi" w:cstheme="minorHAnsi"/>
          <w:sz w:val="22"/>
          <w:szCs w:val="22"/>
        </w:rPr>
        <w:t>Next Steps</w:t>
      </w:r>
      <w:bookmarkEnd w:id="21"/>
    </w:p>
    <w:p w:rsidR="00904EE8" w:rsidRDefault="00904EE8" w:rsidP="00904EE8">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The MTE will now continue to analyse the information gathered during the field visit and from the various documents and reports.</w:t>
      </w:r>
    </w:p>
    <w:p w:rsidR="00904EE8" w:rsidRDefault="00904EE8" w:rsidP="00904EE8">
      <w:pPr>
        <w:autoSpaceDE w:val="0"/>
        <w:autoSpaceDN w:val="0"/>
        <w:adjustRightInd w:val="0"/>
        <w:jc w:val="both"/>
        <w:rPr>
          <w:rFonts w:asciiTheme="minorHAnsi" w:hAnsiTheme="minorHAnsi" w:cstheme="minorHAnsi"/>
          <w:sz w:val="22"/>
          <w:szCs w:val="22"/>
        </w:rPr>
      </w:pPr>
    </w:p>
    <w:p w:rsidR="00904EE8" w:rsidRDefault="00904EE8" w:rsidP="00904EE8">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A Draft MTE Report with main annexes will be delivered by </w:t>
      </w:r>
      <w:r w:rsidR="00DB7E18">
        <w:rPr>
          <w:rFonts w:asciiTheme="minorHAnsi" w:hAnsiTheme="minorHAnsi" w:cstheme="minorHAnsi"/>
          <w:sz w:val="22"/>
          <w:szCs w:val="22"/>
        </w:rPr>
        <w:t>24</w:t>
      </w:r>
      <w:r w:rsidR="00DB7E18" w:rsidRPr="00DB7E18">
        <w:rPr>
          <w:rFonts w:asciiTheme="minorHAnsi" w:hAnsiTheme="minorHAnsi" w:cstheme="minorHAnsi"/>
          <w:sz w:val="22"/>
          <w:szCs w:val="22"/>
          <w:vertAlign w:val="superscript"/>
        </w:rPr>
        <w:t>th</w:t>
      </w:r>
      <w:r w:rsidR="00DB7E18">
        <w:rPr>
          <w:rFonts w:asciiTheme="minorHAnsi" w:hAnsiTheme="minorHAnsi" w:cstheme="minorHAnsi"/>
          <w:sz w:val="22"/>
          <w:szCs w:val="22"/>
        </w:rPr>
        <w:t xml:space="preserve"> November (or earlier).</w:t>
      </w:r>
    </w:p>
    <w:p w:rsidR="00904EE8" w:rsidRDefault="00904EE8" w:rsidP="00904EE8">
      <w:pPr>
        <w:autoSpaceDE w:val="0"/>
        <w:autoSpaceDN w:val="0"/>
        <w:adjustRightInd w:val="0"/>
        <w:jc w:val="both"/>
        <w:rPr>
          <w:rFonts w:asciiTheme="minorHAnsi" w:hAnsiTheme="minorHAnsi" w:cstheme="minorHAnsi"/>
          <w:sz w:val="22"/>
          <w:szCs w:val="22"/>
        </w:rPr>
      </w:pPr>
    </w:p>
    <w:p w:rsidR="00904EE8" w:rsidRDefault="00904EE8" w:rsidP="00904EE8">
      <w:pPr>
        <w:autoSpaceDE w:val="0"/>
        <w:autoSpaceDN w:val="0"/>
        <w:adjustRightInd w:val="0"/>
        <w:jc w:val="both"/>
        <w:rPr>
          <w:rFonts w:asciiTheme="minorHAnsi" w:hAnsiTheme="minorHAnsi" w:cstheme="minorHAnsi"/>
          <w:b/>
          <w:sz w:val="22"/>
          <w:szCs w:val="22"/>
        </w:rPr>
      </w:pPr>
      <w:r>
        <w:rPr>
          <w:rFonts w:asciiTheme="minorHAnsi" w:hAnsiTheme="minorHAnsi" w:cstheme="minorHAnsi"/>
          <w:sz w:val="22"/>
          <w:szCs w:val="22"/>
        </w:rPr>
        <w:t xml:space="preserve">The Draft Report will be circulated amongst the Project Partners for comment </w:t>
      </w:r>
      <w:r w:rsidR="00DB7E18">
        <w:rPr>
          <w:rFonts w:asciiTheme="minorHAnsi" w:hAnsiTheme="minorHAnsi" w:cstheme="minorHAnsi"/>
          <w:sz w:val="22"/>
          <w:szCs w:val="22"/>
        </w:rPr>
        <w:t xml:space="preserve">and an agreed </w:t>
      </w:r>
      <w:r w:rsidR="00DB7E18" w:rsidRPr="005D3F4A">
        <w:rPr>
          <w:rFonts w:asciiTheme="minorHAnsi" w:hAnsiTheme="minorHAnsi" w:cstheme="minorHAnsi"/>
          <w:i/>
          <w:sz w:val="22"/>
          <w:szCs w:val="22"/>
        </w:rPr>
        <w:t>retu</w:t>
      </w:r>
      <w:r w:rsidR="005D3F4A" w:rsidRPr="005D3F4A">
        <w:rPr>
          <w:rFonts w:asciiTheme="minorHAnsi" w:hAnsiTheme="minorHAnsi" w:cstheme="minorHAnsi"/>
          <w:i/>
          <w:sz w:val="22"/>
          <w:szCs w:val="22"/>
        </w:rPr>
        <w:t>r</w:t>
      </w:r>
      <w:r w:rsidR="00DB7E18" w:rsidRPr="005D3F4A">
        <w:rPr>
          <w:rFonts w:asciiTheme="minorHAnsi" w:hAnsiTheme="minorHAnsi" w:cstheme="minorHAnsi"/>
          <w:i/>
          <w:sz w:val="22"/>
          <w:szCs w:val="22"/>
        </w:rPr>
        <w:t>n</w:t>
      </w:r>
      <w:r w:rsidR="005D3F4A">
        <w:rPr>
          <w:rFonts w:asciiTheme="minorHAnsi" w:hAnsiTheme="minorHAnsi" w:cstheme="minorHAnsi"/>
          <w:i/>
          <w:sz w:val="22"/>
          <w:szCs w:val="22"/>
        </w:rPr>
        <w:t xml:space="preserve"> of comments</w:t>
      </w:r>
      <w:r w:rsidR="00DB7E18">
        <w:rPr>
          <w:rFonts w:asciiTheme="minorHAnsi" w:hAnsiTheme="minorHAnsi" w:cstheme="minorHAnsi"/>
          <w:sz w:val="22"/>
          <w:szCs w:val="22"/>
        </w:rPr>
        <w:t xml:space="preserve"> date will be </w:t>
      </w:r>
      <w:r w:rsidR="005D3F4A">
        <w:rPr>
          <w:rFonts w:asciiTheme="minorHAnsi" w:hAnsiTheme="minorHAnsi" w:cstheme="minorHAnsi"/>
          <w:sz w:val="22"/>
          <w:szCs w:val="22"/>
        </w:rPr>
        <w:t>decided between the PMU and MTE Team.</w:t>
      </w:r>
      <w:r>
        <w:rPr>
          <w:rFonts w:asciiTheme="minorHAnsi" w:hAnsiTheme="minorHAnsi" w:cstheme="minorHAnsi"/>
          <w:sz w:val="22"/>
          <w:szCs w:val="22"/>
        </w:rPr>
        <w:t xml:space="preserve"> The MTE will then finalise the Report and submit it by </w:t>
      </w:r>
      <w:r w:rsidR="005D3F4A">
        <w:rPr>
          <w:rFonts w:asciiTheme="minorHAnsi" w:hAnsiTheme="minorHAnsi" w:cstheme="minorHAnsi"/>
          <w:sz w:val="22"/>
          <w:szCs w:val="22"/>
        </w:rPr>
        <w:t>a date mutually agreed by the PMU and MTE.</w:t>
      </w:r>
    </w:p>
    <w:p w:rsidR="00904EE8" w:rsidRPr="00872095" w:rsidRDefault="00904EE8" w:rsidP="00872095">
      <w:pPr>
        <w:pStyle w:val="Heading1"/>
        <w:rPr>
          <w:rFonts w:asciiTheme="minorHAnsi" w:hAnsiTheme="minorHAnsi" w:cstheme="minorHAnsi"/>
          <w:sz w:val="22"/>
          <w:szCs w:val="22"/>
        </w:rPr>
      </w:pPr>
      <w:bookmarkStart w:id="22" w:name="_Toc277001680"/>
      <w:r w:rsidRPr="00872095">
        <w:rPr>
          <w:rFonts w:asciiTheme="minorHAnsi" w:hAnsiTheme="minorHAnsi" w:cstheme="minorHAnsi"/>
          <w:sz w:val="22"/>
          <w:szCs w:val="22"/>
        </w:rPr>
        <w:t>Conclusion</w:t>
      </w:r>
      <w:bookmarkEnd w:id="22"/>
    </w:p>
    <w:p w:rsidR="00904EE8" w:rsidRDefault="00904EE8" w:rsidP="00BE315A">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Overall the Project Partners can be satisfied that they have a good project which is</w:t>
      </w:r>
      <w:r w:rsidR="00E50BA8">
        <w:rPr>
          <w:rFonts w:asciiTheme="minorHAnsi" w:hAnsiTheme="minorHAnsi" w:cstheme="minorHAnsi"/>
          <w:sz w:val="22"/>
          <w:szCs w:val="22"/>
        </w:rPr>
        <w:t xml:space="preserve"> developing the skills of protected areas managers and engaging with a reform process that will strengthen the management agencies and to a degree it will also strengthen the non-agency players.</w:t>
      </w:r>
    </w:p>
    <w:p w:rsidR="00E50BA8" w:rsidRDefault="00E50BA8" w:rsidP="00BE315A">
      <w:pPr>
        <w:autoSpaceDE w:val="0"/>
        <w:autoSpaceDN w:val="0"/>
        <w:adjustRightInd w:val="0"/>
        <w:jc w:val="both"/>
        <w:rPr>
          <w:rFonts w:asciiTheme="minorHAnsi" w:hAnsiTheme="minorHAnsi" w:cstheme="minorHAnsi"/>
          <w:sz w:val="22"/>
          <w:szCs w:val="22"/>
        </w:rPr>
      </w:pPr>
    </w:p>
    <w:p w:rsidR="00E50BA8" w:rsidRDefault="00E50BA8" w:rsidP="00BE315A">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On this basis the MTE feels that the ratings of the project will be </w:t>
      </w:r>
      <w:r w:rsidRPr="00475612">
        <w:rPr>
          <w:rFonts w:asciiTheme="minorHAnsi" w:hAnsiTheme="minorHAnsi" w:cstheme="minorHAnsi"/>
          <w:b/>
          <w:sz w:val="22"/>
          <w:szCs w:val="22"/>
        </w:rPr>
        <w:t>satisfactory</w:t>
      </w:r>
      <w:r>
        <w:rPr>
          <w:rFonts w:asciiTheme="minorHAnsi" w:hAnsiTheme="minorHAnsi" w:cstheme="minorHAnsi"/>
          <w:sz w:val="22"/>
          <w:szCs w:val="22"/>
        </w:rPr>
        <w:t xml:space="preserve"> however, there are a number of areas that have given rise to concern. Despite this the MTE feels that if the recommendations outlined in this </w:t>
      </w:r>
      <w:r>
        <w:rPr>
          <w:rFonts w:asciiTheme="minorHAnsi" w:hAnsiTheme="minorHAnsi" w:cstheme="minorHAnsi"/>
          <w:i/>
          <w:sz w:val="22"/>
          <w:szCs w:val="22"/>
        </w:rPr>
        <w:t>Aide Memoire</w:t>
      </w:r>
      <w:r w:rsidR="000C7016">
        <w:rPr>
          <w:rFonts w:asciiTheme="minorHAnsi" w:hAnsiTheme="minorHAnsi" w:cstheme="minorHAnsi"/>
          <w:i/>
          <w:sz w:val="22"/>
          <w:szCs w:val="22"/>
        </w:rPr>
        <w:t>,</w:t>
      </w:r>
      <w:r>
        <w:rPr>
          <w:rFonts w:asciiTheme="minorHAnsi" w:hAnsiTheme="minorHAnsi" w:cstheme="minorHAnsi"/>
          <w:sz w:val="22"/>
          <w:szCs w:val="22"/>
        </w:rPr>
        <w:t xml:space="preserve"> which will be further elaborated in the MTE Report are implemented then the Project can be confident that it can receive a good Final Evaluation. However, if the Project chooses to ignore the recommendations then there is a high risk that the progress made so far might not be sustainable.</w:t>
      </w:r>
    </w:p>
    <w:p w:rsidR="00E50BA8" w:rsidRDefault="00E50BA8" w:rsidP="00BE315A">
      <w:pPr>
        <w:autoSpaceDE w:val="0"/>
        <w:autoSpaceDN w:val="0"/>
        <w:adjustRightInd w:val="0"/>
        <w:jc w:val="both"/>
        <w:rPr>
          <w:rFonts w:asciiTheme="minorHAnsi" w:hAnsiTheme="minorHAnsi" w:cstheme="minorHAnsi"/>
          <w:sz w:val="22"/>
          <w:szCs w:val="22"/>
        </w:rPr>
      </w:pPr>
    </w:p>
    <w:p w:rsidR="00E50BA8" w:rsidRDefault="00E50BA8" w:rsidP="00BE315A">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The MTE feels that there is considerable intellectual capital in the PMU and the Team and as such feels that it is safe to allow the PMU to develop specific responses to meet the recommendations </w:t>
      </w:r>
      <w:r w:rsidR="00475612">
        <w:rPr>
          <w:rFonts w:asciiTheme="minorHAnsi" w:hAnsiTheme="minorHAnsi" w:cstheme="minorHAnsi"/>
          <w:sz w:val="22"/>
          <w:szCs w:val="22"/>
        </w:rPr>
        <w:t>as part of the Project’ adaptive management.</w:t>
      </w:r>
    </w:p>
    <w:p w:rsidR="000C7016" w:rsidRDefault="000C7016" w:rsidP="00BE315A">
      <w:pPr>
        <w:autoSpaceDE w:val="0"/>
        <w:autoSpaceDN w:val="0"/>
        <w:adjustRightInd w:val="0"/>
        <w:jc w:val="both"/>
        <w:rPr>
          <w:rFonts w:asciiTheme="minorHAnsi" w:hAnsiTheme="minorHAnsi" w:cstheme="minorHAnsi"/>
          <w:sz w:val="22"/>
          <w:szCs w:val="22"/>
        </w:rPr>
      </w:pPr>
    </w:p>
    <w:p w:rsidR="000C7016" w:rsidRDefault="000C7016" w:rsidP="00BE315A">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Where practicable, a number of resources will be provided as Annexes to the MTE Report to assist in the developing the Project’s response to the MTE.</w:t>
      </w:r>
    </w:p>
    <w:p w:rsidR="008E50E2" w:rsidRDefault="008E50E2" w:rsidP="00BE315A">
      <w:pPr>
        <w:autoSpaceDE w:val="0"/>
        <w:autoSpaceDN w:val="0"/>
        <w:adjustRightInd w:val="0"/>
        <w:jc w:val="both"/>
        <w:rPr>
          <w:rFonts w:asciiTheme="minorHAnsi" w:hAnsiTheme="minorHAnsi" w:cstheme="minorHAnsi"/>
          <w:sz w:val="22"/>
          <w:szCs w:val="22"/>
        </w:rPr>
        <w:sectPr w:rsidR="008E50E2" w:rsidSect="00E7289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8E50E2" w:rsidRDefault="008E50E2" w:rsidP="00BE315A">
      <w:pPr>
        <w:autoSpaceDE w:val="0"/>
        <w:autoSpaceDN w:val="0"/>
        <w:adjustRightInd w:val="0"/>
        <w:jc w:val="both"/>
        <w:rPr>
          <w:rFonts w:asciiTheme="minorHAnsi" w:hAnsiTheme="minorHAnsi" w:cstheme="minorHAnsi"/>
          <w:sz w:val="22"/>
          <w:szCs w:val="22"/>
        </w:rPr>
      </w:pPr>
    </w:p>
    <w:tbl>
      <w:tblPr>
        <w:tblStyle w:val="LightShading-Accent5"/>
        <w:tblW w:w="5000" w:type="pct"/>
        <w:tblLook w:val="04A0"/>
      </w:tblPr>
      <w:tblGrid>
        <w:gridCol w:w="3319"/>
        <w:gridCol w:w="4536"/>
        <w:gridCol w:w="4156"/>
        <w:gridCol w:w="2163"/>
      </w:tblGrid>
      <w:tr w:rsidR="008E50E2" w:rsidRPr="008E50E2" w:rsidTr="008E50E2">
        <w:trPr>
          <w:cnfStyle w:val="100000000000"/>
        </w:trPr>
        <w:tc>
          <w:tcPr>
            <w:cnfStyle w:val="001000000000"/>
            <w:tcW w:w="1171" w:type="pct"/>
          </w:tcPr>
          <w:p w:rsidR="008E50E2" w:rsidRPr="008E50E2" w:rsidRDefault="008E50E2" w:rsidP="008C4168">
            <w:pPr>
              <w:jc w:val="center"/>
              <w:rPr>
                <w:rFonts w:asciiTheme="minorHAnsi" w:hAnsiTheme="minorHAnsi" w:cstheme="minorHAnsi"/>
                <w:lang w:val="en-US"/>
              </w:rPr>
            </w:pPr>
            <w:r w:rsidRPr="008E50E2">
              <w:rPr>
                <w:rFonts w:asciiTheme="minorHAnsi" w:hAnsiTheme="minorHAnsi" w:cstheme="minorHAnsi"/>
                <w:lang w:val="en-US"/>
              </w:rPr>
              <w:t>NAME &amp; SURNAME</w:t>
            </w:r>
          </w:p>
        </w:tc>
        <w:tc>
          <w:tcPr>
            <w:tcW w:w="1600" w:type="pct"/>
          </w:tcPr>
          <w:p w:rsidR="008E50E2" w:rsidRPr="008E50E2" w:rsidRDefault="008E50E2" w:rsidP="008C4168">
            <w:pPr>
              <w:jc w:val="center"/>
              <w:cnfStyle w:val="100000000000"/>
              <w:rPr>
                <w:rFonts w:asciiTheme="minorHAnsi" w:hAnsiTheme="minorHAnsi" w:cstheme="minorHAnsi"/>
                <w:lang w:val="en-US"/>
              </w:rPr>
            </w:pPr>
            <w:r w:rsidRPr="008E50E2">
              <w:rPr>
                <w:rFonts w:asciiTheme="minorHAnsi" w:hAnsiTheme="minorHAnsi" w:cstheme="minorHAnsi"/>
                <w:lang w:val="en-US"/>
              </w:rPr>
              <w:t>COMPANY</w:t>
            </w:r>
          </w:p>
        </w:tc>
        <w:tc>
          <w:tcPr>
            <w:tcW w:w="1466" w:type="pct"/>
          </w:tcPr>
          <w:p w:rsidR="008E50E2" w:rsidRPr="008E50E2" w:rsidRDefault="008E50E2" w:rsidP="008C4168">
            <w:pPr>
              <w:jc w:val="center"/>
              <w:cnfStyle w:val="100000000000"/>
              <w:rPr>
                <w:rFonts w:asciiTheme="minorHAnsi" w:hAnsiTheme="minorHAnsi" w:cstheme="minorHAnsi"/>
                <w:lang w:val="en-US"/>
              </w:rPr>
            </w:pPr>
            <w:r w:rsidRPr="008E50E2">
              <w:rPr>
                <w:rFonts w:asciiTheme="minorHAnsi" w:hAnsiTheme="minorHAnsi" w:cstheme="minorHAnsi"/>
                <w:lang w:val="en-US"/>
              </w:rPr>
              <w:t>TITLE</w:t>
            </w:r>
          </w:p>
        </w:tc>
        <w:tc>
          <w:tcPr>
            <w:tcW w:w="763" w:type="pct"/>
          </w:tcPr>
          <w:p w:rsidR="008E50E2" w:rsidRPr="008E50E2" w:rsidRDefault="008E50E2" w:rsidP="008C4168">
            <w:pPr>
              <w:jc w:val="center"/>
              <w:cnfStyle w:val="100000000000"/>
              <w:rPr>
                <w:rFonts w:asciiTheme="minorHAnsi" w:hAnsiTheme="minorHAnsi" w:cstheme="minorHAnsi"/>
                <w:lang w:val="en-US"/>
              </w:rPr>
            </w:pPr>
            <w:r w:rsidRPr="008E50E2">
              <w:rPr>
                <w:rFonts w:asciiTheme="minorHAnsi" w:hAnsiTheme="minorHAnsi" w:cstheme="minorHAnsi"/>
                <w:lang w:val="en-US"/>
              </w:rPr>
              <w:t>PLACE</w:t>
            </w:r>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Musrafa</w:t>
            </w:r>
            <w:proofErr w:type="spellEnd"/>
            <w:r w:rsidRPr="008E50E2">
              <w:rPr>
                <w:rFonts w:asciiTheme="minorHAnsi" w:hAnsiTheme="minorHAnsi" w:cstheme="minorHAnsi"/>
                <w:b w:val="0"/>
                <w:lang w:val="en-US"/>
              </w:rPr>
              <w:t xml:space="preserve"> Yılmaz</w:t>
            </w:r>
          </w:p>
        </w:tc>
        <w:tc>
          <w:tcPr>
            <w:tcW w:w="1600"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General Directorate of Nature Conservation &amp; National Park (</w:t>
            </w:r>
            <w:proofErr w:type="spellStart"/>
            <w:r w:rsidRPr="008E50E2">
              <w:rPr>
                <w:rFonts w:asciiTheme="minorHAnsi" w:hAnsiTheme="minorHAnsi" w:cstheme="minorHAnsi"/>
                <w:lang w:val="en-US"/>
              </w:rPr>
              <w:t>MoEF</w:t>
            </w:r>
            <w:proofErr w:type="spellEnd"/>
            <w:r w:rsidRPr="008E50E2">
              <w:rPr>
                <w:rFonts w:asciiTheme="minorHAnsi" w:hAnsiTheme="minorHAnsi" w:cstheme="minorHAnsi"/>
                <w:lang w:val="en-US"/>
              </w:rPr>
              <w:t>)</w:t>
            </w:r>
          </w:p>
        </w:tc>
        <w:tc>
          <w:tcPr>
            <w:tcW w:w="1466"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Monitoring and Evaluation Branch Manager</w:t>
            </w:r>
          </w:p>
        </w:tc>
        <w:tc>
          <w:tcPr>
            <w:tcW w:w="763"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Ankara</w:t>
            </w:r>
          </w:p>
        </w:tc>
      </w:tr>
      <w:tr w:rsidR="008E50E2" w:rsidRPr="008E50E2" w:rsidTr="008E50E2">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Başak</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Avcıoğlu</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Çokçalışkan</w:t>
            </w:r>
            <w:proofErr w:type="spellEnd"/>
          </w:p>
        </w:tc>
        <w:tc>
          <w:tcPr>
            <w:tcW w:w="1600"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WWF Turkey</w:t>
            </w:r>
          </w:p>
        </w:tc>
        <w:tc>
          <w:tcPr>
            <w:tcW w:w="1466" w:type="pct"/>
          </w:tcPr>
          <w:p w:rsidR="008E50E2" w:rsidRPr="008E50E2" w:rsidRDefault="008E50E2" w:rsidP="008C4168">
            <w:pPr>
              <w:cnfStyle w:val="000000000000"/>
              <w:rPr>
                <w:rFonts w:asciiTheme="minorHAnsi" w:hAnsiTheme="minorHAnsi" w:cstheme="minorHAnsi"/>
                <w:lang w:val="en-US"/>
              </w:rPr>
            </w:pPr>
          </w:p>
        </w:tc>
        <w:tc>
          <w:tcPr>
            <w:tcW w:w="763"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Ankara</w:t>
            </w:r>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r w:rsidRPr="008E50E2">
              <w:rPr>
                <w:rFonts w:asciiTheme="minorHAnsi" w:hAnsiTheme="minorHAnsi" w:cstheme="minorHAnsi"/>
                <w:b w:val="0"/>
                <w:lang w:val="en-US"/>
              </w:rPr>
              <w:t>Katalin Zaim</w:t>
            </w:r>
          </w:p>
        </w:tc>
        <w:tc>
          <w:tcPr>
            <w:tcW w:w="1600"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UNDP CO.</w:t>
            </w:r>
          </w:p>
        </w:tc>
        <w:tc>
          <w:tcPr>
            <w:tcW w:w="1466"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 xml:space="preserve">ESD </w:t>
            </w:r>
            <w:proofErr w:type="spellStart"/>
            <w:r w:rsidRPr="008E50E2">
              <w:rPr>
                <w:rFonts w:asciiTheme="minorHAnsi" w:hAnsiTheme="minorHAnsi" w:cstheme="minorHAnsi"/>
                <w:lang w:val="en-US"/>
              </w:rPr>
              <w:t>Programme</w:t>
            </w:r>
            <w:proofErr w:type="spellEnd"/>
            <w:r w:rsidRPr="008E50E2">
              <w:rPr>
                <w:rFonts w:asciiTheme="minorHAnsi" w:hAnsiTheme="minorHAnsi" w:cstheme="minorHAnsi"/>
                <w:lang w:val="en-US"/>
              </w:rPr>
              <w:t xml:space="preserve"> Manager</w:t>
            </w:r>
          </w:p>
        </w:tc>
        <w:tc>
          <w:tcPr>
            <w:tcW w:w="763"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Ankara</w:t>
            </w:r>
          </w:p>
        </w:tc>
      </w:tr>
      <w:tr w:rsidR="008E50E2" w:rsidRPr="008E50E2" w:rsidTr="008E50E2">
        <w:tc>
          <w:tcPr>
            <w:cnfStyle w:val="001000000000"/>
            <w:tcW w:w="1171" w:type="pct"/>
          </w:tcPr>
          <w:p w:rsidR="008E50E2" w:rsidRPr="008E50E2" w:rsidRDefault="008E50E2" w:rsidP="008C4168">
            <w:pPr>
              <w:rPr>
                <w:rFonts w:asciiTheme="minorHAnsi" w:hAnsiTheme="minorHAnsi" w:cstheme="minorHAnsi"/>
                <w:b w:val="0"/>
                <w:lang w:val="en-US"/>
              </w:rPr>
            </w:pPr>
            <w:r w:rsidRPr="008E50E2">
              <w:rPr>
                <w:rFonts w:asciiTheme="minorHAnsi" w:hAnsiTheme="minorHAnsi" w:cstheme="minorHAnsi"/>
                <w:b w:val="0"/>
                <w:lang w:val="en-US"/>
              </w:rPr>
              <w:t xml:space="preserve">Mustafa </w:t>
            </w:r>
            <w:proofErr w:type="spellStart"/>
            <w:r w:rsidRPr="008E50E2">
              <w:rPr>
                <w:rFonts w:asciiTheme="minorHAnsi" w:hAnsiTheme="minorHAnsi" w:cstheme="minorHAnsi"/>
                <w:b w:val="0"/>
                <w:lang w:val="en-US"/>
              </w:rPr>
              <w:t>Yurdaer</w:t>
            </w:r>
            <w:proofErr w:type="spellEnd"/>
          </w:p>
        </w:tc>
        <w:tc>
          <w:tcPr>
            <w:tcW w:w="1600"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General Directorate of Forestry (</w:t>
            </w:r>
            <w:proofErr w:type="spellStart"/>
            <w:r w:rsidRPr="008E50E2">
              <w:rPr>
                <w:rFonts w:asciiTheme="minorHAnsi" w:hAnsiTheme="minorHAnsi" w:cstheme="minorHAnsi"/>
                <w:lang w:val="en-US"/>
              </w:rPr>
              <w:t>MoEF</w:t>
            </w:r>
            <w:proofErr w:type="spellEnd"/>
            <w:r w:rsidRPr="008E50E2">
              <w:rPr>
                <w:rFonts w:asciiTheme="minorHAnsi" w:hAnsiTheme="minorHAnsi" w:cstheme="minorHAnsi"/>
                <w:lang w:val="en-US"/>
              </w:rPr>
              <w:t>)</w:t>
            </w:r>
          </w:p>
        </w:tc>
        <w:tc>
          <w:tcPr>
            <w:tcW w:w="1466"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Head of Administration and Planning Dep.</w:t>
            </w:r>
          </w:p>
        </w:tc>
        <w:tc>
          <w:tcPr>
            <w:tcW w:w="763"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Ankara</w:t>
            </w:r>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r w:rsidRPr="008E50E2">
              <w:rPr>
                <w:rFonts w:asciiTheme="minorHAnsi" w:hAnsiTheme="minorHAnsi" w:cstheme="minorHAnsi"/>
                <w:b w:val="0"/>
                <w:lang w:val="en-US"/>
              </w:rPr>
              <w:t xml:space="preserve">Yusuf </w:t>
            </w:r>
            <w:proofErr w:type="spellStart"/>
            <w:r w:rsidRPr="008E50E2">
              <w:rPr>
                <w:rFonts w:asciiTheme="minorHAnsi" w:hAnsiTheme="minorHAnsi" w:cstheme="minorHAnsi"/>
                <w:b w:val="0"/>
                <w:lang w:val="en-US"/>
              </w:rPr>
              <w:t>Ziya</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Ergene</w:t>
            </w:r>
            <w:proofErr w:type="spellEnd"/>
          </w:p>
        </w:tc>
        <w:tc>
          <w:tcPr>
            <w:tcW w:w="1600"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 xml:space="preserve">General Directorate of </w:t>
            </w:r>
            <w:proofErr w:type="spellStart"/>
            <w:r w:rsidRPr="008E50E2">
              <w:rPr>
                <w:rFonts w:asciiTheme="minorHAnsi" w:hAnsiTheme="minorHAnsi" w:cstheme="minorHAnsi"/>
                <w:lang w:val="en-US"/>
              </w:rPr>
              <w:t>Afforestration</w:t>
            </w:r>
            <w:proofErr w:type="spellEnd"/>
            <w:r w:rsidRPr="008E50E2">
              <w:rPr>
                <w:rFonts w:asciiTheme="minorHAnsi" w:hAnsiTheme="minorHAnsi" w:cstheme="minorHAnsi"/>
                <w:lang w:val="en-US"/>
              </w:rPr>
              <w:t xml:space="preserve"> (</w:t>
            </w:r>
            <w:proofErr w:type="spellStart"/>
            <w:r w:rsidRPr="008E50E2">
              <w:rPr>
                <w:rFonts w:asciiTheme="minorHAnsi" w:hAnsiTheme="minorHAnsi" w:cstheme="minorHAnsi"/>
                <w:lang w:val="en-US"/>
              </w:rPr>
              <w:t>MoEF</w:t>
            </w:r>
            <w:proofErr w:type="spellEnd"/>
            <w:r w:rsidRPr="008E50E2">
              <w:rPr>
                <w:rFonts w:asciiTheme="minorHAnsi" w:hAnsiTheme="minorHAnsi" w:cstheme="minorHAnsi"/>
                <w:lang w:val="en-US"/>
              </w:rPr>
              <w:t>)</w:t>
            </w:r>
          </w:p>
        </w:tc>
        <w:tc>
          <w:tcPr>
            <w:tcW w:w="1466"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Survey and Project Branch Manager</w:t>
            </w:r>
          </w:p>
        </w:tc>
        <w:tc>
          <w:tcPr>
            <w:tcW w:w="763"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Ankara</w:t>
            </w:r>
          </w:p>
        </w:tc>
      </w:tr>
      <w:tr w:rsidR="008E50E2" w:rsidRPr="008E50E2" w:rsidTr="008E50E2">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Nurşen</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Gencer</w:t>
            </w:r>
            <w:proofErr w:type="spellEnd"/>
          </w:p>
        </w:tc>
        <w:tc>
          <w:tcPr>
            <w:tcW w:w="1600"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 xml:space="preserve">General Directorate of Forest Villagers Affairs </w:t>
            </w:r>
          </w:p>
        </w:tc>
        <w:tc>
          <w:tcPr>
            <w:tcW w:w="1466"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Study and Foreign Affairs Branch Manager</w:t>
            </w:r>
          </w:p>
        </w:tc>
        <w:tc>
          <w:tcPr>
            <w:tcW w:w="763"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Ankara</w:t>
            </w:r>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İsmail</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Menteş</w:t>
            </w:r>
            <w:proofErr w:type="spellEnd"/>
          </w:p>
        </w:tc>
        <w:tc>
          <w:tcPr>
            <w:tcW w:w="1600"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 xml:space="preserve">Provincial Directorate of </w:t>
            </w:r>
            <w:proofErr w:type="spellStart"/>
            <w:r w:rsidRPr="008E50E2">
              <w:rPr>
                <w:rFonts w:asciiTheme="minorHAnsi" w:hAnsiTheme="minorHAnsi" w:cstheme="minorHAnsi"/>
                <w:lang w:val="en-US"/>
              </w:rPr>
              <w:t>MoEF</w:t>
            </w:r>
            <w:proofErr w:type="spellEnd"/>
            <w:r w:rsidRPr="008E50E2">
              <w:rPr>
                <w:rFonts w:asciiTheme="minorHAnsi" w:hAnsiTheme="minorHAnsi" w:cstheme="minorHAnsi"/>
                <w:lang w:val="en-US"/>
              </w:rPr>
              <w:t xml:space="preserve"> </w:t>
            </w:r>
          </w:p>
        </w:tc>
        <w:tc>
          <w:tcPr>
            <w:tcW w:w="1466"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 xml:space="preserve">Local Branch Manager – </w:t>
            </w:r>
            <w:proofErr w:type="spellStart"/>
            <w:r w:rsidRPr="008E50E2">
              <w:rPr>
                <w:rFonts w:asciiTheme="minorHAnsi" w:hAnsiTheme="minorHAnsi" w:cstheme="minorHAnsi"/>
                <w:lang w:val="en-US"/>
              </w:rPr>
              <w:t>Kastamonu</w:t>
            </w:r>
            <w:proofErr w:type="spellEnd"/>
          </w:p>
        </w:tc>
        <w:tc>
          <w:tcPr>
            <w:tcW w:w="763" w:type="pct"/>
          </w:tcPr>
          <w:p w:rsidR="008E50E2" w:rsidRPr="008E50E2" w:rsidRDefault="008E50E2" w:rsidP="008C4168">
            <w:pPr>
              <w:cnfStyle w:val="000000100000"/>
              <w:rPr>
                <w:rFonts w:asciiTheme="minorHAnsi" w:hAnsiTheme="minorHAnsi" w:cstheme="minorHAnsi"/>
                <w:lang w:val="en-US"/>
              </w:rPr>
            </w:pPr>
            <w:proofErr w:type="spellStart"/>
            <w:r w:rsidRPr="008E50E2">
              <w:rPr>
                <w:rFonts w:asciiTheme="minorHAnsi" w:hAnsiTheme="minorHAnsi" w:cstheme="minorHAnsi"/>
                <w:lang w:val="en-US"/>
              </w:rPr>
              <w:t>Kastamonu</w:t>
            </w:r>
            <w:proofErr w:type="spellEnd"/>
          </w:p>
        </w:tc>
      </w:tr>
      <w:tr w:rsidR="008E50E2" w:rsidRPr="008E50E2" w:rsidTr="008E50E2">
        <w:tc>
          <w:tcPr>
            <w:cnfStyle w:val="001000000000"/>
            <w:tcW w:w="1171" w:type="pct"/>
          </w:tcPr>
          <w:p w:rsidR="008E50E2" w:rsidRPr="008E50E2" w:rsidRDefault="008E50E2" w:rsidP="008C4168">
            <w:pPr>
              <w:rPr>
                <w:rFonts w:asciiTheme="minorHAnsi" w:hAnsiTheme="minorHAnsi" w:cstheme="minorHAnsi"/>
                <w:b w:val="0"/>
                <w:lang w:val="en-US"/>
              </w:rPr>
            </w:pPr>
            <w:r w:rsidRPr="008E50E2">
              <w:rPr>
                <w:rFonts w:asciiTheme="minorHAnsi" w:hAnsiTheme="minorHAnsi" w:cstheme="minorHAnsi"/>
                <w:b w:val="0"/>
                <w:lang w:val="en-US"/>
              </w:rPr>
              <w:t xml:space="preserve">Mustafa </w:t>
            </w:r>
            <w:proofErr w:type="spellStart"/>
            <w:r w:rsidRPr="008E50E2">
              <w:rPr>
                <w:rFonts w:asciiTheme="minorHAnsi" w:hAnsiTheme="minorHAnsi" w:cstheme="minorHAnsi"/>
                <w:b w:val="0"/>
                <w:lang w:val="en-US"/>
              </w:rPr>
              <w:t>Çelik</w:t>
            </w:r>
            <w:proofErr w:type="spellEnd"/>
          </w:p>
        </w:tc>
        <w:tc>
          <w:tcPr>
            <w:tcW w:w="1600"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Family Pension</w:t>
            </w:r>
          </w:p>
        </w:tc>
        <w:tc>
          <w:tcPr>
            <w:tcW w:w="1466"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Operator of Pension</w:t>
            </w:r>
          </w:p>
        </w:tc>
        <w:tc>
          <w:tcPr>
            <w:tcW w:w="763" w:type="pct"/>
          </w:tcPr>
          <w:p w:rsidR="008E50E2" w:rsidRPr="008E50E2" w:rsidRDefault="008E50E2" w:rsidP="008C4168">
            <w:pPr>
              <w:cnfStyle w:val="000000000000"/>
              <w:rPr>
                <w:rFonts w:asciiTheme="minorHAnsi" w:hAnsiTheme="minorHAnsi" w:cstheme="minorHAnsi"/>
                <w:lang w:val="en-US"/>
              </w:rPr>
            </w:pPr>
            <w:proofErr w:type="spellStart"/>
            <w:r w:rsidRPr="008E50E2">
              <w:rPr>
                <w:rFonts w:asciiTheme="minorHAnsi" w:hAnsiTheme="minorHAnsi" w:cstheme="minorHAnsi"/>
                <w:lang w:val="en-US"/>
              </w:rPr>
              <w:t>Kastamonu</w:t>
            </w:r>
            <w:proofErr w:type="spellEnd"/>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Muhammer</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Kalaycı</w:t>
            </w:r>
            <w:proofErr w:type="spellEnd"/>
          </w:p>
        </w:tc>
        <w:tc>
          <w:tcPr>
            <w:tcW w:w="1600"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Administrator</w:t>
            </w:r>
          </w:p>
        </w:tc>
        <w:tc>
          <w:tcPr>
            <w:tcW w:w="1466" w:type="pct"/>
          </w:tcPr>
          <w:p w:rsidR="008E50E2" w:rsidRPr="008E50E2" w:rsidRDefault="008E50E2" w:rsidP="008C4168">
            <w:pPr>
              <w:cnfStyle w:val="000000100000"/>
              <w:rPr>
                <w:rFonts w:asciiTheme="minorHAnsi" w:hAnsiTheme="minorHAnsi" w:cstheme="minorHAnsi"/>
                <w:lang w:val="en-US"/>
              </w:rPr>
            </w:pPr>
            <w:proofErr w:type="spellStart"/>
            <w:r w:rsidRPr="008E50E2">
              <w:rPr>
                <w:rFonts w:asciiTheme="minorHAnsi" w:hAnsiTheme="minorHAnsi" w:cstheme="minorHAnsi"/>
                <w:lang w:val="en-US"/>
              </w:rPr>
              <w:t>Uzla</w:t>
            </w:r>
            <w:proofErr w:type="spellEnd"/>
            <w:r w:rsidRPr="008E50E2">
              <w:rPr>
                <w:rFonts w:asciiTheme="minorHAnsi" w:hAnsiTheme="minorHAnsi" w:cstheme="minorHAnsi"/>
                <w:lang w:val="en-US"/>
              </w:rPr>
              <w:t xml:space="preserve"> </w:t>
            </w:r>
            <w:proofErr w:type="spellStart"/>
            <w:r w:rsidRPr="008E50E2">
              <w:rPr>
                <w:rFonts w:asciiTheme="minorHAnsi" w:hAnsiTheme="minorHAnsi" w:cstheme="minorHAnsi"/>
                <w:lang w:val="en-US"/>
              </w:rPr>
              <w:t>Muhtar</w:t>
            </w:r>
            <w:proofErr w:type="spellEnd"/>
          </w:p>
        </w:tc>
        <w:tc>
          <w:tcPr>
            <w:tcW w:w="763" w:type="pct"/>
          </w:tcPr>
          <w:p w:rsidR="008E50E2" w:rsidRPr="008E50E2" w:rsidRDefault="008E50E2" w:rsidP="008C4168">
            <w:pPr>
              <w:cnfStyle w:val="000000100000"/>
              <w:rPr>
                <w:rFonts w:asciiTheme="minorHAnsi" w:hAnsiTheme="minorHAnsi" w:cstheme="minorHAnsi"/>
                <w:lang w:val="en-US"/>
              </w:rPr>
            </w:pPr>
            <w:proofErr w:type="spellStart"/>
            <w:r w:rsidRPr="008E50E2">
              <w:rPr>
                <w:rFonts w:asciiTheme="minorHAnsi" w:hAnsiTheme="minorHAnsi" w:cstheme="minorHAnsi"/>
                <w:lang w:val="en-US"/>
              </w:rPr>
              <w:t>Kastamonu</w:t>
            </w:r>
            <w:proofErr w:type="spellEnd"/>
          </w:p>
        </w:tc>
      </w:tr>
      <w:tr w:rsidR="008E50E2" w:rsidRPr="008E50E2" w:rsidTr="008E50E2">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Şenol</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Kürkçü</w:t>
            </w:r>
            <w:proofErr w:type="spellEnd"/>
          </w:p>
        </w:tc>
        <w:tc>
          <w:tcPr>
            <w:tcW w:w="1600"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Administrator</w:t>
            </w:r>
          </w:p>
        </w:tc>
        <w:tc>
          <w:tcPr>
            <w:tcW w:w="1466" w:type="pct"/>
          </w:tcPr>
          <w:p w:rsidR="008E50E2" w:rsidRPr="008E50E2" w:rsidRDefault="008E50E2" w:rsidP="008C4168">
            <w:pPr>
              <w:cnfStyle w:val="000000000000"/>
              <w:rPr>
                <w:rFonts w:asciiTheme="minorHAnsi" w:hAnsiTheme="minorHAnsi" w:cstheme="minorHAnsi"/>
                <w:lang w:val="en-US"/>
              </w:rPr>
            </w:pPr>
            <w:proofErr w:type="spellStart"/>
            <w:r w:rsidRPr="008E50E2">
              <w:rPr>
                <w:rFonts w:asciiTheme="minorHAnsi" w:hAnsiTheme="minorHAnsi" w:cstheme="minorHAnsi"/>
                <w:lang w:val="en-US"/>
              </w:rPr>
              <w:t>Boğazyaka</w:t>
            </w:r>
            <w:proofErr w:type="spellEnd"/>
            <w:r w:rsidRPr="008E50E2">
              <w:rPr>
                <w:rFonts w:asciiTheme="minorHAnsi" w:hAnsiTheme="minorHAnsi" w:cstheme="minorHAnsi"/>
                <w:lang w:val="en-US"/>
              </w:rPr>
              <w:t xml:space="preserve"> </w:t>
            </w:r>
            <w:proofErr w:type="spellStart"/>
            <w:r w:rsidRPr="008E50E2">
              <w:rPr>
                <w:rFonts w:asciiTheme="minorHAnsi" w:hAnsiTheme="minorHAnsi" w:cstheme="minorHAnsi"/>
                <w:lang w:val="en-US"/>
              </w:rPr>
              <w:t>Muhtar</w:t>
            </w:r>
            <w:proofErr w:type="spellEnd"/>
          </w:p>
        </w:tc>
        <w:tc>
          <w:tcPr>
            <w:tcW w:w="763" w:type="pct"/>
          </w:tcPr>
          <w:p w:rsidR="008E50E2" w:rsidRPr="008E50E2" w:rsidRDefault="008E50E2" w:rsidP="008C4168">
            <w:pPr>
              <w:cnfStyle w:val="000000000000"/>
              <w:rPr>
                <w:rFonts w:asciiTheme="minorHAnsi" w:hAnsiTheme="minorHAnsi" w:cstheme="minorHAnsi"/>
                <w:lang w:val="en-US"/>
              </w:rPr>
            </w:pPr>
            <w:proofErr w:type="spellStart"/>
            <w:r w:rsidRPr="008E50E2">
              <w:rPr>
                <w:rFonts w:asciiTheme="minorHAnsi" w:hAnsiTheme="minorHAnsi" w:cstheme="minorHAnsi"/>
                <w:lang w:val="en-US"/>
              </w:rPr>
              <w:t>Kastamonu</w:t>
            </w:r>
            <w:proofErr w:type="spellEnd"/>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Cengiz</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Poyraz</w:t>
            </w:r>
            <w:proofErr w:type="spellEnd"/>
          </w:p>
        </w:tc>
        <w:tc>
          <w:tcPr>
            <w:tcW w:w="1600"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Agricultural Development Cooperative</w:t>
            </w:r>
          </w:p>
        </w:tc>
        <w:tc>
          <w:tcPr>
            <w:tcW w:w="1466"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Deputy of Head and Member of Coop.</w:t>
            </w:r>
          </w:p>
        </w:tc>
        <w:tc>
          <w:tcPr>
            <w:tcW w:w="763" w:type="pct"/>
          </w:tcPr>
          <w:p w:rsidR="008E50E2" w:rsidRPr="008E50E2" w:rsidRDefault="008E50E2" w:rsidP="008C4168">
            <w:pPr>
              <w:cnfStyle w:val="000000100000"/>
              <w:rPr>
                <w:rFonts w:asciiTheme="minorHAnsi" w:hAnsiTheme="minorHAnsi" w:cstheme="minorHAnsi"/>
                <w:lang w:val="en-US"/>
              </w:rPr>
            </w:pPr>
            <w:proofErr w:type="spellStart"/>
            <w:r w:rsidRPr="008E50E2">
              <w:rPr>
                <w:rFonts w:asciiTheme="minorHAnsi" w:hAnsiTheme="minorHAnsi" w:cstheme="minorHAnsi"/>
                <w:lang w:val="en-US"/>
              </w:rPr>
              <w:t>Bartin</w:t>
            </w:r>
            <w:proofErr w:type="spellEnd"/>
          </w:p>
        </w:tc>
      </w:tr>
      <w:tr w:rsidR="008E50E2" w:rsidRPr="008E50E2" w:rsidTr="008E50E2">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Ercan</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Yeni</w:t>
            </w:r>
            <w:proofErr w:type="spellEnd"/>
          </w:p>
        </w:tc>
        <w:tc>
          <w:tcPr>
            <w:tcW w:w="1600"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 xml:space="preserve">Provincial Directorate of </w:t>
            </w:r>
            <w:proofErr w:type="spellStart"/>
            <w:r w:rsidRPr="008E50E2">
              <w:rPr>
                <w:rFonts w:asciiTheme="minorHAnsi" w:hAnsiTheme="minorHAnsi" w:cstheme="minorHAnsi"/>
                <w:lang w:val="en-US"/>
              </w:rPr>
              <w:t>MoEF</w:t>
            </w:r>
            <w:proofErr w:type="spellEnd"/>
            <w:r w:rsidRPr="008E50E2">
              <w:rPr>
                <w:rFonts w:asciiTheme="minorHAnsi" w:hAnsiTheme="minorHAnsi" w:cstheme="minorHAnsi"/>
                <w:lang w:val="en-US"/>
              </w:rPr>
              <w:t xml:space="preserve"> </w:t>
            </w:r>
          </w:p>
        </w:tc>
        <w:tc>
          <w:tcPr>
            <w:tcW w:w="1466"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 xml:space="preserve">Local Branch Manager – </w:t>
            </w:r>
            <w:proofErr w:type="spellStart"/>
            <w:r w:rsidRPr="008E50E2">
              <w:rPr>
                <w:rFonts w:asciiTheme="minorHAnsi" w:hAnsiTheme="minorHAnsi" w:cstheme="minorHAnsi"/>
                <w:lang w:val="en-US"/>
              </w:rPr>
              <w:t>Kastamonu</w:t>
            </w:r>
            <w:proofErr w:type="spellEnd"/>
          </w:p>
        </w:tc>
        <w:tc>
          <w:tcPr>
            <w:tcW w:w="763" w:type="pct"/>
          </w:tcPr>
          <w:p w:rsidR="008E50E2" w:rsidRPr="008E50E2" w:rsidRDefault="008E50E2" w:rsidP="008C4168">
            <w:pPr>
              <w:cnfStyle w:val="000000000000"/>
              <w:rPr>
                <w:rFonts w:asciiTheme="minorHAnsi" w:hAnsiTheme="minorHAnsi" w:cstheme="minorHAnsi"/>
                <w:lang w:val="en-US"/>
              </w:rPr>
            </w:pPr>
            <w:proofErr w:type="spellStart"/>
            <w:r w:rsidRPr="008E50E2">
              <w:rPr>
                <w:rFonts w:asciiTheme="minorHAnsi" w:hAnsiTheme="minorHAnsi" w:cstheme="minorHAnsi"/>
                <w:lang w:val="en-US"/>
              </w:rPr>
              <w:t>Bartin</w:t>
            </w:r>
            <w:proofErr w:type="spellEnd"/>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Ramazan</w:t>
            </w:r>
            <w:proofErr w:type="spellEnd"/>
            <w:r w:rsidRPr="008E50E2">
              <w:rPr>
                <w:rFonts w:asciiTheme="minorHAnsi" w:hAnsiTheme="minorHAnsi" w:cstheme="minorHAnsi"/>
                <w:b w:val="0"/>
                <w:lang w:val="en-US"/>
              </w:rPr>
              <w:t xml:space="preserve"> </w:t>
            </w:r>
          </w:p>
        </w:tc>
        <w:tc>
          <w:tcPr>
            <w:tcW w:w="1600"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Regional Directorate of GDF</w:t>
            </w:r>
          </w:p>
        </w:tc>
        <w:tc>
          <w:tcPr>
            <w:tcW w:w="1466" w:type="pct"/>
          </w:tcPr>
          <w:p w:rsidR="008E50E2" w:rsidRPr="008E50E2" w:rsidRDefault="008E50E2" w:rsidP="008C4168">
            <w:pPr>
              <w:cnfStyle w:val="000000100000"/>
              <w:rPr>
                <w:rFonts w:asciiTheme="minorHAnsi" w:hAnsiTheme="minorHAnsi" w:cstheme="minorHAnsi"/>
                <w:lang w:val="en-US"/>
              </w:rPr>
            </w:pPr>
          </w:p>
        </w:tc>
        <w:tc>
          <w:tcPr>
            <w:tcW w:w="763" w:type="pct"/>
          </w:tcPr>
          <w:p w:rsidR="008E50E2" w:rsidRPr="008E50E2" w:rsidRDefault="008E50E2" w:rsidP="008C4168">
            <w:pPr>
              <w:cnfStyle w:val="000000100000"/>
              <w:rPr>
                <w:rFonts w:asciiTheme="minorHAnsi" w:hAnsiTheme="minorHAnsi" w:cstheme="minorHAnsi"/>
                <w:lang w:val="en-US"/>
              </w:rPr>
            </w:pPr>
            <w:proofErr w:type="spellStart"/>
            <w:r w:rsidRPr="008E50E2">
              <w:rPr>
                <w:rFonts w:asciiTheme="minorHAnsi" w:hAnsiTheme="minorHAnsi" w:cstheme="minorHAnsi"/>
                <w:lang w:val="en-US"/>
              </w:rPr>
              <w:t>Bartin</w:t>
            </w:r>
            <w:proofErr w:type="spellEnd"/>
          </w:p>
        </w:tc>
      </w:tr>
      <w:tr w:rsidR="008E50E2" w:rsidRPr="008E50E2" w:rsidTr="008E50E2">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Şahidi</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Kuşçu</w:t>
            </w:r>
            <w:proofErr w:type="spellEnd"/>
          </w:p>
        </w:tc>
        <w:tc>
          <w:tcPr>
            <w:tcW w:w="1600" w:type="pct"/>
          </w:tcPr>
          <w:p w:rsidR="008E50E2" w:rsidRPr="008E50E2" w:rsidRDefault="008E50E2" w:rsidP="008C4168">
            <w:pPr>
              <w:cnfStyle w:val="000000000000"/>
              <w:rPr>
                <w:rFonts w:asciiTheme="minorHAnsi" w:hAnsiTheme="minorHAnsi" w:cstheme="minorHAnsi"/>
                <w:lang w:val="en-US"/>
              </w:rPr>
            </w:pPr>
            <w:proofErr w:type="spellStart"/>
            <w:r w:rsidRPr="008E50E2">
              <w:rPr>
                <w:rFonts w:asciiTheme="minorHAnsi" w:hAnsiTheme="minorHAnsi" w:cstheme="minorHAnsi"/>
                <w:lang w:val="en-US"/>
              </w:rPr>
              <w:t>Arıt</w:t>
            </w:r>
            <w:proofErr w:type="spellEnd"/>
            <w:r w:rsidRPr="008E50E2">
              <w:rPr>
                <w:rFonts w:asciiTheme="minorHAnsi" w:hAnsiTheme="minorHAnsi" w:cstheme="minorHAnsi"/>
                <w:lang w:val="en-US"/>
              </w:rPr>
              <w:t xml:space="preserve"> Municipality</w:t>
            </w:r>
          </w:p>
        </w:tc>
        <w:tc>
          <w:tcPr>
            <w:tcW w:w="1466" w:type="pct"/>
          </w:tcPr>
          <w:p w:rsidR="008E50E2" w:rsidRPr="008E50E2" w:rsidRDefault="008E50E2" w:rsidP="008C4168">
            <w:pPr>
              <w:cnfStyle w:val="000000000000"/>
              <w:rPr>
                <w:rFonts w:asciiTheme="minorHAnsi" w:hAnsiTheme="minorHAnsi" w:cstheme="minorHAnsi"/>
                <w:lang w:val="en-US"/>
              </w:rPr>
            </w:pPr>
            <w:r w:rsidRPr="008E50E2">
              <w:rPr>
                <w:rFonts w:asciiTheme="minorHAnsi" w:hAnsiTheme="minorHAnsi" w:cstheme="minorHAnsi"/>
                <w:lang w:val="en-US"/>
              </w:rPr>
              <w:t>Major</w:t>
            </w:r>
          </w:p>
        </w:tc>
        <w:tc>
          <w:tcPr>
            <w:tcW w:w="763" w:type="pct"/>
          </w:tcPr>
          <w:p w:rsidR="008E50E2" w:rsidRPr="008E50E2" w:rsidRDefault="008E50E2" w:rsidP="008C4168">
            <w:pPr>
              <w:cnfStyle w:val="000000000000"/>
              <w:rPr>
                <w:rFonts w:asciiTheme="minorHAnsi" w:hAnsiTheme="minorHAnsi" w:cstheme="minorHAnsi"/>
                <w:lang w:val="en-US"/>
              </w:rPr>
            </w:pPr>
            <w:proofErr w:type="spellStart"/>
            <w:r w:rsidRPr="008E50E2">
              <w:rPr>
                <w:rFonts w:asciiTheme="minorHAnsi" w:hAnsiTheme="minorHAnsi" w:cstheme="minorHAnsi"/>
                <w:lang w:val="en-US"/>
              </w:rPr>
              <w:t>Bartin</w:t>
            </w:r>
            <w:proofErr w:type="spellEnd"/>
          </w:p>
        </w:tc>
      </w:tr>
      <w:tr w:rsidR="008E50E2" w:rsidRPr="008E50E2" w:rsidTr="008E50E2">
        <w:trPr>
          <w:cnfStyle w:val="000000100000"/>
        </w:trPr>
        <w:tc>
          <w:tcPr>
            <w:cnfStyle w:val="001000000000"/>
            <w:tcW w:w="1171" w:type="pct"/>
          </w:tcPr>
          <w:p w:rsidR="008E50E2" w:rsidRPr="008E50E2" w:rsidRDefault="008E50E2" w:rsidP="008C4168">
            <w:pPr>
              <w:rPr>
                <w:rFonts w:asciiTheme="minorHAnsi" w:hAnsiTheme="minorHAnsi" w:cstheme="minorHAnsi"/>
                <w:b w:val="0"/>
                <w:lang w:val="en-US"/>
              </w:rPr>
            </w:pPr>
            <w:proofErr w:type="spellStart"/>
            <w:r w:rsidRPr="008E50E2">
              <w:rPr>
                <w:rFonts w:asciiTheme="minorHAnsi" w:hAnsiTheme="minorHAnsi" w:cstheme="minorHAnsi"/>
                <w:b w:val="0"/>
                <w:lang w:val="en-US"/>
              </w:rPr>
              <w:t>Galip</w:t>
            </w:r>
            <w:proofErr w:type="spellEnd"/>
            <w:r w:rsidRPr="008E50E2">
              <w:rPr>
                <w:rFonts w:asciiTheme="minorHAnsi" w:hAnsiTheme="minorHAnsi" w:cstheme="minorHAnsi"/>
                <w:b w:val="0"/>
                <w:lang w:val="en-US"/>
              </w:rPr>
              <w:t xml:space="preserve"> </w:t>
            </w:r>
            <w:proofErr w:type="spellStart"/>
            <w:r w:rsidRPr="008E50E2">
              <w:rPr>
                <w:rFonts w:asciiTheme="minorHAnsi" w:hAnsiTheme="minorHAnsi" w:cstheme="minorHAnsi"/>
                <w:b w:val="0"/>
                <w:lang w:val="en-US"/>
              </w:rPr>
              <w:t>Arslan</w:t>
            </w:r>
            <w:proofErr w:type="spellEnd"/>
          </w:p>
        </w:tc>
        <w:tc>
          <w:tcPr>
            <w:tcW w:w="1600" w:type="pct"/>
          </w:tcPr>
          <w:p w:rsidR="008E50E2" w:rsidRPr="008E50E2" w:rsidRDefault="008E50E2" w:rsidP="008C4168">
            <w:pPr>
              <w:cnfStyle w:val="000000100000"/>
              <w:rPr>
                <w:rFonts w:asciiTheme="minorHAnsi" w:hAnsiTheme="minorHAnsi" w:cstheme="minorHAnsi"/>
                <w:lang w:val="en-US"/>
              </w:rPr>
            </w:pPr>
            <w:proofErr w:type="spellStart"/>
            <w:r w:rsidRPr="008E50E2">
              <w:rPr>
                <w:rFonts w:asciiTheme="minorHAnsi" w:hAnsiTheme="minorHAnsi" w:cstheme="minorHAnsi"/>
                <w:lang w:val="en-US"/>
              </w:rPr>
              <w:t>Aşağıçerçi</w:t>
            </w:r>
            <w:proofErr w:type="spellEnd"/>
            <w:r w:rsidRPr="008E50E2">
              <w:rPr>
                <w:rFonts w:asciiTheme="minorHAnsi" w:hAnsiTheme="minorHAnsi" w:cstheme="minorHAnsi"/>
                <w:lang w:val="en-US"/>
              </w:rPr>
              <w:t xml:space="preserve"> Village Beautification Association</w:t>
            </w:r>
          </w:p>
        </w:tc>
        <w:tc>
          <w:tcPr>
            <w:tcW w:w="1466" w:type="pct"/>
          </w:tcPr>
          <w:p w:rsidR="008E50E2" w:rsidRPr="008E50E2" w:rsidRDefault="008E50E2" w:rsidP="008C4168">
            <w:pPr>
              <w:cnfStyle w:val="000000100000"/>
              <w:rPr>
                <w:rFonts w:asciiTheme="minorHAnsi" w:hAnsiTheme="minorHAnsi" w:cstheme="minorHAnsi"/>
                <w:lang w:val="en-US"/>
              </w:rPr>
            </w:pPr>
            <w:r w:rsidRPr="008E50E2">
              <w:rPr>
                <w:rFonts w:asciiTheme="minorHAnsi" w:hAnsiTheme="minorHAnsi" w:cstheme="minorHAnsi"/>
                <w:lang w:val="en-US"/>
              </w:rPr>
              <w:t>Head of Association</w:t>
            </w:r>
          </w:p>
        </w:tc>
        <w:tc>
          <w:tcPr>
            <w:tcW w:w="763" w:type="pct"/>
          </w:tcPr>
          <w:p w:rsidR="008E50E2" w:rsidRPr="008E50E2" w:rsidRDefault="008E50E2" w:rsidP="008C4168">
            <w:pPr>
              <w:cnfStyle w:val="000000100000"/>
              <w:rPr>
                <w:rFonts w:asciiTheme="minorHAnsi" w:hAnsiTheme="minorHAnsi" w:cstheme="minorHAnsi"/>
                <w:lang w:val="en-US"/>
              </w:rPr>
            </w:pPr>
            <w:proofErr w:type="spellStart"/>
            <w:r w:rsidRPr="008E50E2">
              <w:rPr>
                <w:rFonts w:asciiTheme="minorHAnsi" w:hAnsiTheme="minorHAnsi" w:cstheme="minorHAnsi"/>
                <w:lang w:val="en-US"/>
              </w:rPr>
              <w:t>Bartin</w:t>
            </w:r>
            <w:proofErr w:type="spellEnd"/>
          </w:p>
        </w:tc>
      </w:tr>
    </w:tbl>
    <w:p w:rsidR="008E50E2" w:rsidRDefault="008E50E2" w:rsidP="00BE315A">
      <w:pPr>
        <w:autoSpaceDE w:val="0"/>
        <w:autoSpaceDN w:val="0"/>
        <w:adjustRightInd w:val="0"/>
        <w:jc w:val="both"/>
        <w:rPr>
          <w:rFonts w:asciiTheme="minorHAnsi" w:hAnsiTheme="minorHAnsi" w:cstheme="minorHAnsi"/>
          <w:sz w:val="22"/>
          <w:szCs w:val="22"/>
        </w:rPr>
      </w:pPr>
    </w:p>
    <w:p w:rsidR="00B11EA7" w:rsidRPr="00B11EA7" w:rsidRDefault="00B11EA7" w:rsidP="008E50E2">
      <w:pPr>
        <w:rPr>
          <w:rFonts w:asciiTheme="minorHAnsi" w:hAnsiTheme="minorHAnsi" w:cstheme="minorHAnsi"/>
          <w:b/>
          <w:sz w:val="22"/>
          <w:szCs w:val="22"/>
        </w:rPr>
      </w:pPr>
      <w:r w:rsidRPr="00B11EA7">
        <w:rPr>
          <w:rFonts w:asciiTheme="minorHAnsi" w:hAnsiTheme="minorHAnsi" w:cstheme="minorHAnsi"/>
          <w:b/>
          <w:sz w:val="22"/>
          <w:szCs w:val="22"/>
        </w:rPr>
        <w:t xml:space="preserve">List of </w:t>
      </w:r>
      <w:r>
        <w:rPr>
          <w:rFonts w:asciiTheme="minorHAnsi" w:hAnsiTheme="minorHAnsi" w:cstheme="minorHAnsi"/>
          <w:b/>
          <w:sz w:val="22"/>
          <w:szCs w:val="22"/>
        </w:rPr>
        <w:t>persons interviewed</w:t>
      </w:r>
    </w:p>
    <w:p w:rsidR="008E50E2" w:rsidRPr="008E50E2" w:rsidRDefault="008E50E2" w:rsidP="008E50E2">
      <w:pPr>
        <w:rPr>
          <w:rFonts w:asciiTheme="minorHAnsi" w:hAnsiTheme="minorHAnsi" w:cstheme="minorHAnsi"/>
          <w:sz w:val="22"/>
          <w:szCs w:val="22"/>
        </w:rPr>
      </w:pPr>
    </w:p>
    <w:p w:rsidR="008E50E2" w:rsidRPr="008E50E2" w:rsidRDefault="008E50E2" w:rsidP="008E50E2">
      <w:pPr>
        <w:rPr>
          <w:rFonts w:asciiTheme="minorHAnsi" w:hAnsiTheme="minorHAnsi" w:cstheme="minorHAnsi"/>
          <w:sz w:val="22"/>
          <w:szCs w:val="22"/>
        </w:rPr>
      </w:pPr>
    </w:p>
    <w:p w:rsidR="008E50E2" w:rsidRPr="008E50E2" w:rsidRDefault="008E50E2" w:rsidP="008E50E2">
      <w:pPr>
        <w:rPr>
          <w:rFonts w:asciiTheme="minorHAnsi" w:hAnsiTheme="minorHAnsi" w:cstheme="minorHAnsi"/>
          <w:sz w:val="22"/>
          <w:szCs w:val="22"/>
        </w:rPr>
      </w:pPr>
    </w:p>
    <w:p w:rsidR="008E50E2" w:rsidRPr="008E50E2" w:rsidRDefault="008E50E2" w:rsidP="008E50E2">
      <w:pPr>
        <w:rPr>
          <w:rFonts w:asciiTheme="minorHAnsi" w:hAnsiTheme="minorHAnsi" w:cstheme="minorHAnsi"/>
          <w:sz w:val="22"/>
          <w:szCs w:val="22"/>
        </w:rPr>
      </w:pPr>
    </w:p>
    <w:p w:rsidR="008E50E2" w:rsidRPr="008E50E2" w:rsidRDefault="008E50E2" w:rsidP="008E50E2">
      <w:pPr>
        <w:tabs>
          <w:tab w:val="left" w:pos="2812"/>
        </w:tabs>
        <w:rPr>
          <w:rFonts w:asciiTheme="minorHAnsi" w:hAnsiTheme="minorHAnsi" w:cstheme="minorHAnsi"/>
          <w:sz w:val="22"/>
          <w:szCs w:val="22"/>
        </w:rPr>
      </w:pPr>
      <w:r>
        <w:rPr>
          <w:rFonts w:asciiTheme="minorHAnsi" w:hAnsiTheme="minorHAnsi" w:cstheme="minorHAnsi"/>
          <w:sz w:val="22"/>
          <w:szCs w:val="22"/>
        </w:rPr>
        <w:tab/>
      </w:r>
    </w:p>
    <w:sectPr w:rsidR="008E50E2" w:rsidRPr="008E50E2" w:rsidSect="008E50E2">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3CC5" w:rsidRDefault="00D13CC5" w:rsidP="00E950A7">
      <w:r>
        <w:separator/>
      </w:r>
    </w:p>
  </w:endnote>
  <w:endnote w:type="continuationSeparator" w:id="0">
    <w:p w:rsidR="00D13CC5" w:rsidRDefault="00D13CC5" w:rsidP="00E950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E1" w:rsidRDefault="001605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68874"/>
      <w:docPartObj>
        <w:docPartGallery w:val="Page Numbers (Bottom of Page)"/>
        <w:docPartUnique/>
      </w:docPartObj>
    </w:sdtPr>
    <w:sdtEndPr>
      <w:rPr>
        <w:color w:val="7F7F7F" w:themeColor="background1" w:themeShade="7F"/>
        <w:spacing w:val="60"/>
      </w:rPr>
    </w:sdtEndPr>
    <w:sdtContent>
      <w:p w:rsidR="00872095" w:rsidRDefault="0003680D">
        <w:pPr>
          <w:pStyle w:val="Footer"/>
          <w:pBdr>
            <w:top w:val="single" w:sz="4" w:space="1" w:color="D9D9D9" w:themeColor="background1" w:themeShade="D9"/>
          </w:pBdr>
          <w:rPr>
            <w:b/>
          </w:rPr>
        </w:pPr>
        <w:fldSimple w:instr=" PAGE   \* MERGEFORMAT ">
          <w:r w:rsidR="001605E1" w:rsidRPr="001605E1">
            <w:rPr>
              <w:b/>
              <w:noProof/>
            </w:rPr>
            <w:t>1</w:t>
          </w:r>
        </w:fldSimple>
        <w:r w:rsidR="00872095">
          <w:rPr>
            <w:b/>
          </w:rPr>
          <w:t xml:space="preserve"> | </w:t>
        </w:r>
        <w:r w:rsidR="00872095">
          <w:rPr>
            <w:color w:val="7F7F7F" w:themeColor="background1" w:themeShade="7F"/>
            <w:spacing w:val="60"/>
          </w:rPr>
          <w:t>Page</w:t>
        </w:r>
      </w:p>
    </w:sdtContent>
  </w:sdt>
  <w:p w:rsidR="00872095" w:rsidRDefault="0087209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E1" w:rsidRDefault="001605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3CC5" w:rsidRDefault="00D13CC5" w:rsidP="00E950A7">
      <w:r>
        <w:separator/>
      </w:r>
    </w:p>
  </w:footnote>
  <w:footnote w:type="continuationSeparator" w:id="0">
    <w:p w:rsidR="00D13CC5" w:rsidRDefault="00D13CC5" w:rsidP="00E950A7">
      <w:r>
        <w:continuationSeparator/>
      </w:r>
    </w:p>
  </w:footnote>
  <w:footnote w:id="1">
    <w:p w:rsidR="00872095" w:rsidRPr="00752567" w:rsidRDefault="00872095" w:rsidP="00FB609F">
      <w:pPr>
        <w:pStyle w:val="FootnoteText"/>
        <w:rPr>
          <w:rFonts w:ascii="Calibri" w:hAnsi="Calibri" w:cs="Calibri"/>
          <w:sz w:val="18"/>
          <w:szCs w:val="18"/>
        </w:rPr>
      </w:pPr>
      <w:r w:rsidRPr="00752567">
        <w:rPr>
          <w:rStyle w:val="FootnoteReference"/>
          <w:rFonts w:ascii="Calibri" w:hAnsi="Calibri" w:cs="Calibri"/>
          <w:sz w:val="18"/>
          <w:szCs w:val="18"/>
        </w:rPr>
        <w:footnoteRef/>
      </w:r>
      <w:r w:rsidRPr="00752567">
        <w:rPr>
          <w:rFonts w:ascii="Calibri" w:hAnsi="Calibri" w:cs="Calibri"/>
          <w:sz w:val="18"/>
          <w:szCs w:val="18"/>
        </w:rPr>
        <w:t xml:space="preserve"> The </w:t>
      </w:r>
      <w:proofErr w:type="spellStart"/>
      <w:r w:rsidRPr="00752567">
        <w:rPr>
          <w:rFonts w:ascii="Calibri" w:hAnsi="Calibri" w:cs="Calibri"/>
          <w:sz w:val="18"/>
          <w:szCs w:val="18"/>
        </w:rPr>
        <w:t>ToR</w:t>
      </w:r>
      <w:proofErr w:type="spellEnd"/>
      <w:r w:rsidRPr="00752567">
        <w:rPr>
          <w:rFonts w:ascii="Calibri" w:hAnsi="Calibri" w:cs="Calibri"/>
          <w:sz w:val="18"/>
          <w:szCs w:val="18"/>
        </w:rPr>
        <w:t xml:space="preserve"> for the MTE are a matter for public record and can be obtained by contacting UNDP Turkey</w:t>
      </w:r>
    </w:p>
  </w:footnote>
  <w:footnote w:id="2">
    <w:p w:rsidR="00872095" w:rsidRPr="00752567" w:rsidRDefault="00872095" w:rsidP="00FB609F">
      <w:pPr>
        <w:pStyle w:val="FootnoteText"/>
        <w:rPr>
          <w:rFonts w:asciiTheme="minorHAnsi" w:hAnsiTheme="minorHAnsi" w:cstheme="minorHAnsi"/>
          <w:sz w:val="18"/>
          <w:szCs w:val="18"/>
        </w:rPr>
      </w:pPr>
      <w:r w:rsidRPr="00752567">
        <w:rPr>
          <w:rStyle w:val="FootnoteReference"/>
          <w:rFonts w:asciiTheme="minorHAnsi" w:hAnsiTheme="minorHAnsi" w:cstheme="minorHAnsi"/>
          <w:sz w:val="18"/>
          <w:szCs w:val="18"/>
        </w:rPr>
        <w:footnoteRef/>
      </w:r>
      <w:r w:rsidRPr="00752567">
        <w:rPr>
          <w:rFonts w:asciiTheme="minorHAnsi" w:hAnsiTheme="minorHAnsi" w:cstheme="minorHAnsi"/>
          <w:sz w:val="18"/>
          <w:szCs w:val="18"/>
        </w:rPr>
        <w:t xml:space="preserve"> </w:t>
      </w:r>
      <w:hyperlink r:id="rId1" w:history="1">
        <w:r w:rsidRPr="00752567">
          <w:rPr>
            <w:rStyle w:val="Hyperlink"/>
            <w:rFonts w:asciiTheme="minorHAnsi" w:hAnsiTheme="minorHAnsi" w:cstheme="minorHAnsi"/>
            <w:sz w:val="18"/>
            <w:szCs w:val="18"/>
            <w:lang w:val="en-US"/>
          </w:rPr>
          <w:t>http://thegef.org/MonitoringandEvaluation/MEPoliciesProcedures/mepoliciesprocedures.html</w:t>
        </w:r>
      </w:hyperlink>
      <w:r w:rsidRPr="00752567">
        <w:rPr>
          <w:rFonts w:asciiTheme="minorHAnsi" w:hAnsiTheme="minorHAnsi" w:cstheme="minorHAnsi"/>
          <w:color w:val="000000"/>
          <w:sz w:val="18"/>
          <w:szCs w:val="18"/>
          <w:lang w:val="en-US"/>
        </w:rPr>
        <w:t xml:space="preserve"> </w:t>
      </w:r>
    </w:p>
  </w:footnote>
  <w:footnote w:id="3">
    <w:p w:rsidR="00872095" w:rsidRPr="00E511B7" w:rsidRDefault="00872095" w:rsidP="0031358F">
      <w:pPr>
        <w:pStyle w:val="FootnoteText"/>
        <w:rPr>
          <w:rFonts w:asciiTheme="minorHAnsi" w:hAnsiTheme="minorHAnsi" w:cstheme="minorHAnsi"/>
          <w:sz w:val="18"/>
          <w:szCs w:val="18"/>
        </w:rPr>
      </w:pPr>
      <w:r w:rsidRPr="00752567">
        <w:rPr>
          <w:rStyle w:val="FootnoteReference"/>
          <w:rFonts w:asciiTheme="minorHAnsi" w:hAnsiTheme="minorHAnsi" w:cstheme="minorHAnsi"/>
          <w:sz w:val="18"/>
          <w:szCs w:val="18"/>
        </w:rPr>
        <w:footnoteRef/>
      </w:r>
      <w:r w:rsidRPr="00752567">
        <w:rPr>
          <w:rFonts w:asciiTheme="minorHAnsi" w:hAnsiTheme="minorHAnsi" w:cstheme="minorHAnsi"/>
          <w:sz w:val="18"/>
          <w:szCs w:val="18"/>
        </w:rPr>
        <w:t xml:space="preserve"> Parks, People and Professionals: Putting ‘Participation’ into Protected Areas Management, </w:t>
      </w:r>
      <w:proofErr w:type="gramStart"/>
      <w:r w:rsidRPr="00752567">
        <w:rPr>
          <w:rFonts w:asciiTheme="minorHAnsi" w:hAnsiTheme="minorHAnsi" w:cstheme="minorHAnsi"/>
          <w:sz w:val="18"/>
          <w:szCs w:val="18"/>
        </w:rPr>
        <w:t>Michel .</w:t>
      </w:r>
      <w:proofErr w:type="gramEnd"/>
      <w:r w:rsidRPr="00752567">
        <w:rPr>
          <w:rFonts w:asciiTheme="minorHAnsi" w:hAnsiTheme="minorHAnsi" w:cstheme="minorHAnsi"/>
          <w:sz w:val="18"/>
          <w:szCs w:val="18"/>
        </w:rPr>
        <w:t xml:space="preserve"> </w:t>
      </w:r>
      <w:proofErr w:type="spellStart"/>
      <w:proofErr w:type="gramStart"/>
      <w:r w:rsidRPr="00752567">
        <w:rPr>
          <w:rFonts w:asciiTheme="minorHAnsi" w:hAnsiTheme="minorHAnsi" w:cstheme="minorHAnsi"/>
          <w:sz w:val="18"/>
          <w:szCs w:val="18"/>
        </w:rPr>
        <w:t>Pimbert</w:t>
      </w:r>
      <w:proofErr w:type="spellEnd"/>
      <w:r w:rsidRPr="00752567">
        <w:rPr>
          <w:rFonts w:asciiTheme="minorHAnsi" w:hAnsiTheme="minorHAnsi" w:cstheme="minorHAnsi"/>
          <w:sz w:val="18"/>
          <w:szCs w:val="18"/>
        </w:rPr>
        <w:t xml:space="preserve"> and Jules N.</w:t>
      </w:r>
      <w:r w:rsidRPr="00E511B7">
        <w:rPr>
          <w:rFonts w:asciiTheme="minorHAnsi" w:hAnsiTheme="minorHAnsi" w:cstheme="minorHAnsi"/>
          <w:sz w:val="18"/>
          <w:szCs w:val="18"/>
        </w:rPr>
        <w:t xml:space="preserve"> Pretty.</w:t>
      </w:r>
      <w:proofErr w:type="gramEnd"/>
      <w:r w:rsidRPr="00E511B7">
        <w:rPr>
          <w:rFonts w:asciiTheme="minorHAnsi" w:hAnsiTheme="minorHAnsi" w:cstheme="minorHAnsi"/>
          <w:sz w:val="18"/>
          <w:szCs w:val="18"/>
        </w:rPr>
        <w:t xml:space="preserve"> </w:t>
      </w:r>
      <w:r w:rsidRPr="00E511B7">
        <w:rPr>
          <w:rFonts w:asciiTheme="minorHAnsi" w:hAnsiTheme="minorHAnsi" w:cstheme="minorHAnsi"/>
          <w:i/>
          <w:iCs/>
          <w:sz w:val="18"/>
          <w:szCs w:val="18"/>
        </w:rPr>
        <w:t>In</w:t>
      </w:r>
      <w:r w:rsidRPr="00E511B7">
        <w:rPr>
          <w:rFonts w:asciiTheme="minorHAnsi" w:hAnsiTheme="minorHAnsi" w:cstheme="minorHAnsi"/>
          <w:sz w:val="18"/>
          <w:szCs w:val="18"/>
        </w:rPr>
        <w:t xml:space="preserve">: Social Change and Conservation, </w:t>
      </w:r>
      <w:r w:rsidRPr="00E511B7">
        <w:rPr>
          <w:rFonts w:asciiTheme="minorHAnsi" w:hAnsiTheme="minorHAnsi" w:cstheme="minorHAnsi"/>
          <w:i/>
          <w:iCs/>
          <w:sz w:val="18"/>
          <w:szCs w:val="18"/>
        </w:rPr>
        <w:t xml:space="preserve">Eds. </w:t>
      </w:r>
      <w:proofErr w:type="spellStart"/>
      <w:r w:rsidRPr="00E511B7">
        <w:rPr>
          <w:rFonts w:asciiTheme="minorHAnsi" w:hAnsiTheme="minorHAnsi" w:cstheme="minorHAnsi"/>
          <w:i/>
          <w:iCs/>
          <w:sz w:val="18"/>
          <w:szCs w:val="18"/>
        </w:rPr>
        <w:t>Khrishna</w:t>
      </w:r>
      <w:proofErr w:type="spellEnd"/>
      <w:r w:rsidRPr="00E511B7">
        <w:rPr>
          <w:rFonts w:asciiTheme="minorHAnsi" w:hAnsiTheme="minorHAnsi" w:cstheme="minorHAnsi"/>
          <w:i/>
          <w:iCs/>
          <w:sz w:val="18"/>
          <w:szCs w:val="18"/>
        </w:rPr>
        <w:t xml:space="preserve"> B </w:t>
      </w:r>
      <w:proofErr w:type="spellStart"/>
      <w:r w:rsidRPr="00E511B7">
        <w:rPr>
          <w:rFonts w:asciiTheme="minorHAnsi" w:hAnsiTheme="minorHAnsi" w:cstheme="minorHAnsi"/>
          <w:i/>
          <w:iCs/>
          <w:sz w:val="18"/>
          <w:szCs w:val="18"/>
        </w:rPr>
        <w:t>Ghimire</w:t>
      </w:r>
      <w:proofErr w:type="spellEnd"/>
      <w:r w:rsidRPr="00E511B7">
        <w:rPr>
          <w:rFonts w:asciiTheme="minorHAnsi" w:hAnsiTheme="minorHAnsi" w:cstheme="minorHAnsi"/>
          <w:i/>
          <w:iCs/>
          <w:sz w:val="18"/>
          <w:szCs w:val="18"/>
        </w:rPr>
        <w:t xml:space="preserve"> and Michel P </w:t>
      </w:r>
      <w:proofErr w:type="spellStart"/>
      <w:r w:rsidRPr="00E511B7">
        <w:rPr>
          <w:rFonts w:asciiTheme="minorHAnsi" w:hAnsiTheme="minorHAnsi" w:cstheme="minorHAnsi"/>
          <w:i/>
          <w:iCs/>
          <w:sz w:val="18"/>
          <w:szCs w:val="18"/>
        </w:rPr>
        <w:t>Pimbert</w:t>
      </w:r>
      <w:proofErr w:type="spellEnd"/>
      <w:r w:rsidRPr="00E511B7">
        <w:rPr>
          <w:rFonts w:asciiTheme="minorHAnsi" w:hAnsiTheme="minorHAnsi" w:cstheme="minorHAnsi"/>
          <w:i/>
          <w:iCs/>
          <w:sz w:val="18"/>
          <w:szCs w:val="18"/>
        </w:rPr>
        <w:t xml:space="preserve">, </w:t>
      </w:r>
      <w:proofErr w:type="spellStart"/>
      <w:r w:rsidRPr="00E511B7">
        <w:rPr>
          <w:rFonts w:asciiTheme="minorHAnsi" w:hAnsiTheme="minorHAnsi" w:cstheme="minorHAnsi"/>
          <w:i/>
          <w:iCs/>
          <w:sz w:val="18"/>
          <w:szCs w:val="18"/>
        </w:rPr>
        <w:t>Earthscan</w:t>
      </w:r>
      <w:proofErr w:type="spellEnd"/>
      <w:r w:rsidRPr="00E511B7">
        <w:rPr>
          <w:rFonts w:asciiTheme="minorHAnsi" w:hAnsiTheme="minorHAnsi" w:cstheme="minorHAnsi"/>
          <w:i/>
          <w:iCs/>
          <w:sz w:val="18"/>
          <w:szCs w:val="18"/>
        </w:rPr>
        <w:t xml:space="preserve"> Publications Ltd. UK, 1997</w:t>
      </w:r>
    </w:p>
  </w:footnote>
  <w:footnote w:id="4">
    <w:p w:rsidR="00872095" w:rsidRPr="00E511B7" w:rsidRDefault="00872095" w:rsidP="0031358F">
      <w:pPr>
        <w:pStyle w:val="FootnoteText"/>
        <w:rPr>
          <w:rFonts w:cs="Arial"/>
          <w:sz w:val="18"/>
          <w:szCs w:val="18"/>
        </w:rPr>
      </w:pPr>
      <w:r w:rsidRPr="00E511B7">
        <w:rPr>
          <w:rStyle w:val="FootnoteReference"/>
          <w:rFonts w:asciiTheme="minorHAnsi" w:hAnsiTheme="minorHAnsi" w:cstheme="minorHAnsi"/>
          <w:sz w:val="18"/>
          <w:szCs w:val="18"/>
        </w:rPr>
        <w:footnoteRef/>
      </w:r>
      <w:r w:rsidRPr="00E511B7">
        <w:rPr>
          <w:rFonts w:asciiTheme="minorHAnsi" w:hAnsiTheme="minorHAnsi" w:cstheme="minorHAnsi"/>
          <w:sz w:val="18"/>
          <w:szCs w:val="18"/>
        </w:rPr>
        <w:t xml:space="preserve"> Adapted from a discussion by Dr. Graham Webb</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E1" w:rsidRDefault="001605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E1" w:rsidRDefault="001605E1" w:rsidP="00E950A7">
    <w:pPr>
      <w:pStyle w:val="Header"/>
      <w:jc w:val="right"/>
      <w:rPr>
        <w:rFonts w:ascii="Calibri" w:hAnsi="Calibri" w:cs="Calibri"/>
        <w:sz w:val="16"/>
        <w:szCs w:val="16"/>
      </w:rPr>
    </w:pPr>
    <w:r>
      <w:rPr>
        <w:rFonts w:ascii="Calibri" w:hAnsi="Calibri" w:cs="Calibri"/>
        <w:sz w:val="16"/>
        <w:szCs w:val="16"/>
      </w:rPr>
      <w:t xml:space="preserve">Annex 4 PIMS </w:t>
    </w:r>
    <w:r>
      <w:rPr>
        <w:rFonts w:ascii="Calibri" w:hAnsi="Calibri" w:cs="Calibri"/>
        <w:sz w:val="16"/>
        <w:szCs w:val="16"/>
      </w:rPr>
      <w:t>1988 MTE</w:t>
    </w:r>
  </w:p>
  <w:p w:rsidR="00872095" w:rsidRPr="00981FD5" w:rsidRDefault="00872095" w:rsidP="00E950A7">
    <w:pPr>
      <w:pStyle w:val="Header"/>
      <w:jc w:val="right"/>
      <w:rPr>
        <w:rFonts w:ascii="Calibri" w:hAnsi="Calibri" w:cs="Calibri"/>
        <w:sz w:val="16"/>
        <w:szCs w:val="16"/>
      </w:rPr>
    </w:pPr>
    <w:r w:rsidRPr="00981FD5">
      <w:rPr>
        <w:rFonts w:ascii="Calibri" w:hAnsi="Calibri" w:cs="Calibri"/>
        <w:sz w:val="16"/>
        <w:szCs w:val="16"/>
      </w:rPr>
      <w:t>Enhancing Coverage and Management Effectiveness of the Subsystem of Forest Protected Areas in Turkey’s National System of Protected Areas</w:t>
    </w:r>
    <w:r w:rsidR="00F67A54">
      <w:rPr>
        <w:rFonts w:ascii="Calibri" w:hAnsi="Calibri" w:cs="Calibri"/>
        <w:sz w:val="16"/>
        <w:szCs w:val="16"/>
      </w:rPr>
      <w:t>, Mid Term E</w:t>
    </w:r>
    <w:r>
      <w:rPr>
        <w:rFonts w:ascii="Calibri" w:hAnsi="Calibri" w:cs="Calibri"/>
        <w:sz w:val="16"/>
        <w:szCs w:val="16"/>
      </w:rPr>
      <w:t xml:space="preserve">valuation, </w:t>
    </w:r>
    <w:r w:rsidRPr="00981FD5">
      <w:rPr>
        <w:rFonts w:ascii="Calibri" w:hAnsi="Calibri" w:cs="Calibri"/>
        <w:sz w:val="16"/>
        <w:szCs w:val="16"/>
      </w:rPr>
      <w:t>Aide Memoire 8</w:t>
    </w:r>
    <w:r w:rsidRPr="00981FD5">
      <w:rPr>
        <w:rFonts w:ascii="Calibri" w:hAnsi="Calibri" w:cs="Calibri"/>
        <w:sz w:val="16"/>
        <w:szCs w:val="16"/>
        <w:vertAlign w:val="superscript"/>
      </w:rPr>
      <w:t>th</w:t>
    </w:r>
    <w:r w:rsidRPr="00981FD5">
      <w:rPr>
        <w:rFonts w:ascii="Calibri" w:hAnsi="Calibri" w:cs="Calibri"/>
        <w:sz w:val="16"/>
        <w:szCs w:val="16"/>
      </w:rPr>
      <w:t xml:space="preserve"> November 2010</w:t>
    </w:r>
  </w:p>
  <w:p w:rsidR="00872095" w:rsidRDefault="008720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5E1" w:rsidRDefault="001605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1517B"/>
    <w:multiLevelType w:val="hybridMultilevel"/>
    <w:tmpl w:val="29565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D06DA3"/>
    <w:multiLevelType w:val="hybridMultilevel"/>
    <w:tmpl w:val="C50020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9FC2A77"/>
    <w:multiLevelType w:val="hybridMultilevel"/>
    <w:tmpl w:val="DFBA7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1B731D"/>
    <w:multiLevelType w:val="hybridMultilevel"/>
    <w:tmpl w:val="8CECC824"/>
    <w:lvl w:ilvl="0" w:tplc="C50CFA1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6E6D1D1F"/>
    <w:multiLevelType w:val="hybridMultilevel"/>
    <w:tmpl w:val="05F62F52"/>
    <w:lvl w:ilvl="0" w:tplc="1A8CE6C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8F7E11"/>
    <w:multiLevelType w:val="hybridMultilevel"/>
    <w:tmpl w:val="53D0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A770B"/>
    <w:rsid w:val="0003680D"/>
    <w:rsid w:val="000508F6"/>
    <w:rsid w:val="00076D9B"/>
    <w:rsid w:val="000C7016"/>
    <w:rsid w:val="001605E1"/>
    <w:rsid w:val="0017053E"/>
    <w:rsid w:val="00185911"/>
    <w:rsid w:val="001977DA"/>
    <w:rsid w:val="00242CD5"/>
    <w:rsid w:val="00247A81"/>
    <w:rsid w:val="00250918"/>
    <w:rsid w:val="00261104"/>
    <w:rsid w:val="0029403A"/>
    <w:rsid w:val="002A3292"/>
    <w:rsid w:val="002C3243"/>
    <w:rsid w:val="002E4133"/>
    <w:rsid w:val="0031358F"/>
    <w:rsid w:val="00314E8F"/>
    <w:rsid w:val="0038753B"/>
    <w:rsid w:val="003912C4"/>
    <w:rsid w:val="003A2575"/>
    <w:rsid w:val="003E7088"/>
    <w:rsid w:val="00435460"/>
    <w:rsid w:val="00445D20"/>
    <w:rsid w:val="00475612"/>
    <w:rsid w:val="00485D9E"/>
    <w:rsid w:val="004C1D7E"/>
    <w:rsid w:val="004F4EE1"/>
    <w:rsid w:val="00524113"/>
    <w:rsid w:val="00533256"/>
    <w:rsid w:val="005510DB"/>
    <w:rsid w:val="005B6CF8"/>
    <w:rsid w:val="005D3F4A"/>
    <w:rsid w:val="00604074"/>
    <w:rsid w:val="006479AB"/>
    <w:rsid w:val="00752567"/>
    <w:rsid w:val="007A0C01"/>
    <w:rsid w:val="007A4642"/>
    <w:rsid w:val="00817426"/>
    <w:rsid w:val="00853092"/>
    <w:rsid w:val="00872095"/>
    <w:rsid w:val="00873562"/>
    <w:rsid w:val="008752CF"/>
    <w:rsid w:val="008A07A4"/>
    <w:rsid w:val="008A1C23"/>
    <w:rsid w:val="008A6811"/>
    <w:rsid w:val="008A770B"/>
    <w:rsid w:val="008E50E2"/>
    <w:rsid w:val="00900C6A"/>
    <w:rsid w:val="00904EE8"/>
    <w:rsid w:val="009164A0"/>
    <w:rsid w:val="00937A3F"/>
    <w:rsid w:val="00942557"/>
    <w:rsid w:val="00955F57"/>
    <w:rsid w:val="009848D1"/>
    <w:rsid w:val="00991B5D"/>
    <w:rsid w:val="00997E60"/>
    <w:rsid w:val="009A607B"/>
    <w:rsid w:val="009C156F"/>
    <w:rsid w:val="00A14C31"/>
    <w:rsid w:val="00A314A2"/>
    <w:rsid w:val="00A4654F"/>
    <w:rsid w:val="00A91A1F"/>
    <w:rsid w:val="00AA5053"/>
    <w:rsid w:val="00AD02D8"/>
    <w:rsid w:val="00AD7E64"/>
    <w:rsid w:val="00AF774E"/>
    <w:rsid w:val="00B11EA7"/>
    <w:rsid w:val="00B4797D"/>
    <w:rsid w:val="00B71EDB"/>
    <w:rsid w:val="00BE027B"/>
    <w:rsid w:val="00BE315A"/>
    <w:rsid w:val="00BF6326"/>
    <w:rsid w:val="00C26AD6"/>
    <w:rsid w:val="00C938E8"/>
    <w:rsid w:val="00CD24B6"/>
    <w:rsid w:val="00D004AA"/>
    <w:rsid w:val="00D13CC5"/>
    <w:rsid w:val="00DB7E18"/>
    <w:rsid w:val="00DC73D2"/>
    <w:rsid w:val="00DD04AE"/>
    <w:rsid w:val="00DE16CC"/>
    <w:rsid w:val="00E4251C"/>
    <w:rsid w:val="00E50BA8"/>
    <w:rsid w:val="00E511B7"/>
    <w:rsid w:val="00E72896"/>
    <w:rsid w:val="00E950A7"/>
    <w:rsid w:val="00ED7F81"/>
    <w:rsid w:val="00EF6D02"/>
    <w:rsid w:val="00F2389D"/>
    <w:rsid w:val="00F5287F"/>
    <w:rsid w:val="00F63CA1"/>
    <w:rsid w:val="00F67A54"/>
    <w:rsid w:val="00F85726"/>
    <w:rsid w:val="00FB609F"/>
    <w:rsid w:val="00FD0DE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1" type="callout" idref="#_x0000_s1033"/>
        <o:r id="V:Rule2" type="callout" idref="#_x0000_s1035"/>
        <o:r id="V:Rule3" type="callout"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0A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950A7"/>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unhideWhenUsed/>
    <w:qFormat/>
    <w:rsid w:val="0087209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A7"/>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E950A7"/>
  </w:style>
  <w:style w:type="paragraph" w:styleId="Footer">
    <w:name w:val="footer"/>
    <w:basedOn w:val="Normal"/>
    <w:link w:val="FooterChar"/>
    <w:uiPriority w:val="99"/>
    <w:unhideWhenUsed/>
    <w:rsid w:val="00E950A7"/>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950A7"/>
  </w:style>
  <w:style w:type="character" w:customStyle="1" w:styleId="Heading1Char">
    <w:name w:val="Heading 1 Char"/>
    <w:basedOn w:val="DefaultParagraphFont"/>
    <w:link w:val="Heading1"/>
    <w:rsid w:val="00E950A7"/>
    <w:rPr>
      <w:rFonts w:ascii="Arial" w:eastAsia="Times New Roman" w:hAnsi="Arial" w:cs="Arial"/>
      <w:b/>
      <w:bCs/>
      <w:kern w:val="32"/>
      <w:sz w:val="32"/>
      <w:szCs w:val="32"/>
    </w:rPr>
  </w:style>
  <w:style w:type="paragraph" w:customStyle="1" w:styleId="heading">
    <w:name w:val="heading"/>
    <w:basedOn w:val="Normal"/>
    <w:link w:val="headingChar"/>
    <w:rsid w:val="00E950A7"/>
    <w:pPr>
      <w:ind w:right="1008"/>
    </w:pPr>
    <w:rPr>
      <w:b/>
      <w:lang w:val="en-US"/>
    </w:rPr>
  </w:style>
  <w:style w:type="character" w:customStyle="1" w:styleId="headingChar">
    <w:name w:val="heading Char"/>
    <w:basedOn w:val="DefaultParagraphFont"/>
    <w:link w:val="heading"/>
    <w:rsid w:val="00E950A7"/>
    <w:rPr>
      <w:rFonts w:ascii="Times New Roman" w:eastAsia="Times New Roman" w:hAnsi="Times New Roman" w:cs="Times New Roman"/>
      <w:b/>
      <w:sz w:val="24"/>
      <w:szCs w:val="24"/>
      <w:lang w:val="en-US"/>
    </w:rPr>
  </w:style>
  <w:style w:type="paragraph" w:styleId="FootnoteText">
    <w:name w:val="footnote text"/>
    <w:basedOn w:val="Normal"/>
    <w:link w:val="FootnoteTextChar"/>
    <w:rsid w:val="00FB609F"/>
    <w:pPr>
      <w:widowControl w:val="0"/>
      <w:autoSpaceDE w:val="0"/>
      <w:autoSpaceDN w:val="0"/>
      <w:adjustRightInd w:val="0"/>
      <w:spacing w:line="278" w:lineRule="atLeast"/>
      <w:ind w:left="450" w:hanging="450"/>
      <w:jc w:val="both"/>
    </w:pPr>
    <w:rPr>
      <w:rFonts w:ascii="Arial" w:hAnsi="Arial"/>
      <w:bCs/>
      <w:sz w:val="20"/>
    </w:rPr>
  </w:style>
  <w:style w:type="character" w:customStyle="1" w:styleId="FootnoteTextChar">
    <w:name w:val="Footnote Text Char"/>
    <w:basedOn w:val="DefaultParagraphFont"/>
    <w:link w:val="FootnoteText"/>
    <w:semiHidden/>
    <w:rsid w:val="00FB609F"/>
    <w:rPr>
      <w:rFonts w:ascii="Arial" w:eastAsia="Times New Roman" w:hAnsi="Arial" w:cs="Times New Roman"/>
      <w:bCs/>
      <w:sz w:val="20"/>
      <w:szCs w:val="24"/>
    </w:rPr>
  </w:style>
  <w:style w:type="character" w:styleId="FootnoteReference">
    <w:name w:val="footnote reference"/>
    <w:basedOn w:val="DefaultParagraphFont"/>
    <w:rsid w:val="00FB609F"/>
    <w:rPr>
      <w:vertAlign w:val="superscript"/>
    </w:rPr>
  </w:style>
  <w:style w:type="character" w:styleId="Hyperlink">
    <w:name w:val="Hyperlink"/>
    <w:basedOn w:val="DefaultParagraphFont"/>
    <w:uiPriority w:val="99"/>
    <w:rsid w:val="00FB609F"/>
    <w:rPr>
      <w:color w:val="0000FF"/>
      <w:u w:val="single"/>
    </w:rPr>
  </w:style>
  <w:style w:type="paragraph" w:styleId="ListParagraph">
    <w:name w:val="List Paragraph"/>
    <w:basedOn w:val="Normal"/>
    <w:uiPriority w:val="34"/>
    <w:qFormat/>
    <w:rsid w:val="00873562"/>
    <w:pPr>
      <w:ind w:left="720"/>
      <w:contextualSpacing/>
    </w:pPr>
  </w:style>
  <w:style w:type="character" w:customStyle="1" w:styleId="Heading2Char">
    <w:name w:val="Heading 2 Char"/>
    <w:basedOn w:val="DefaultParagraphFont"/>
    <w:link w:val="Heading2"/>
    <w:uiPriority w:val="9"/>
    <w:rsid w:val="00872095"/>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F63CA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styleId="TOC1">
    <w:name w:val="toc 1"/>
    <w:basedOn w:val="Normal"/>
    <w:next w:val="Normal"/>
    <w:autoRedefine/>
    <w:uiPriority w:val="39"/>
    <w:unhideWhenUsed/>
    <w:rsid w:val="00F63CA1"/>
    <w:pPr>
      <w:spacing w:after="100"/>
    </w:pPr>
  </w:style>
  <w:style w:type="paragraph" w:styleId="TOC2">
    <w:name w:val="toc 2"/>
    <w:basedOn w:val="Normal"/>
    <w:next w:val="Normal"/>
    <w:autoRedefine/>
    <w:uiPriority w:val="39"/>
    <w:unhideWhenUsed/>
    <w:rsid w:val="00F63CA1"/>
    <w:pPr>
      <w:spacing w:after="100"/>
      <w:ind w:left="240"/>
    </w:pPr>
  </w:style>
  <w:style w:type="paragraph" w:styleId="BalloonText">
    <w:name w:val="Balloon Text"/>
    <w:basedOn w:val="Normal"/>
    <w:link w:val="BalloonTextChar"/>
    <w:uiPriority w:val="99"/>
    <w:semiHidden/>
    <w:unhideWhenUsed/>
    <w:rsid w:val="00F63CA1"/>
    <w:rPr>
      <w:rFonts w:ascii="Tahoma" w:hAnsi="Tahoma" w:cs="Tahoma"/>
      <w:sz w:val="16"/>
      <w:szCs w:val="16"/>
    </w:rPr>
  </w:style>
  <w:style w:type="character" w:customStyle="1" w:styleId="BalloonTextChar">
    <w:name w:val="Balloon Text Char"/>
    <w:basedOn w:val="DefaultParagraphFont"/>
    <w:link w:val="BalloonText"/>
    <w:uiPriority w:val="99"/>
    <w:semiHidden/>
    <w:rsid w:val="00F63CA1"/>
    <w:rPr>
      <w:rFonts w:ascii="Tahoma" w:eastAsia="Times New Roman" w:hAnsi="Tahoma" w:cs="Tahoma"/>
      <w:sz w:val="16"/>
      <w:szCs w:val="16"/>
    </w:rPr>
  </w:style>
  <w:style w:type="table" w:styleId="TableGrid">
    <w:name w:val="Table Grid"/>
    <w:basedOn w:val="TableNormal"/>
    <w:uiPriority w:val="59"/>
    <w:rsid w:val="008E50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5">
    <w:name w:val="Light Shading Accent 5"/>
    <w:basedOn w:val="TableNormal"/>
    <w:uiPriority w:val="60"/>
    <w:rsid w:val="008E50E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thegef.org/MonitoringandEvaluation/MEPoliciesProcedures/mepoliciesproced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EF668-7872-4D3A-AB2B-A349A2DB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3942</Words>
  <Characters>22474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Hurst</dc:creator>
  <cp:lastModifiedBy>Hurst</cp:lastModifiedBy>
  <cp:revision>3</cp:revision>
  <dcterms:created xsi:type="dcterms:W3CDTF">2011-01-27T12:43:00Z</dcterms:created>
  <dcterms:modified xsi:type="dcterms:W3CDTF">2011-01-27T23:01:00Z</dcterms:modified>
</cp:coreProperties>
</file>