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68" w:rsidRPr="002D2A83" w:rsidRDefault="00793F68" w:rsidP="00793F68">
      <w:pPr>
        <w:tabs>
          <w:tab w:val="center" w:pos="4419"/>
          <w:tab w:val="left" w:pos="7468"/>
        </w:tabs>
        <w:jc w:val="center"/>
        <w:rPr>
          <w:rFonts w:ascii="Arial" w:eastAsiaTheme="minorEastAsia" w:hAnsi="Arial" w:cs="Arial" w:hint="eastAsia"/>
          <w:b/>
          <w:i/>
          <w:sz w:val="32"/>
          <w:szCs w:val="32"/>
          <w:lang w:eastAsia="ja-JP"/>
        </w:rPr>
      </w:pPr>
    </w:p>
    <w:p w:rsidR="00521159" w:rsidRDefault="00521159" w:rsidP="00793F68">
      <w:pPr>
        <w:tabs>
          <w:tab w:val="center" w:pos="4419"/>
          <w:tab w:val="left" w:pos="7468"/>
        </w:tabs>
        <w:jc w:val="center"/>
        <w:rPr>
          <w:rFonts w:ascii="Arial" w:hAnsi="Arial" w:cs="Arial"/>
          <w:b/>
          <w:i/>
          <w:sz w:val="32"/>
          <w:szCs w:val="32"/>
        </w:rPr>
      </w:pPr>
      <w:r>
        <w:rPr>
          <w:rFonts w:ascii="Arial" w:hAnsi="Arial" w:cs="Arial"/>
          <w:b/>
          <w:i/>
          <w:sz w:val="32"/>
          <w:szCs w:val="32"/>
        </w:rPr>
        <w:t>Evaluación Final</w:t>
      </w:r>
    </w:p>
    <w:p w:rsidR="00521159" w:rsidRDefault="00521159" w:rsidP="00521159">
      <w:pPr>
        <w:jc w:val="center"/>
        <w:rPr>
          <w:rFonts w:ascii="Arial" w:hAnsi="Arial" w:cs="Arial"/>
          <w:b/>
          <w:i/>
          <w:sz w:val="32"/>
          <w:szCs w:val="32"/>
        </w:rPr>
      </w:pPr>
      <w:bookmarkStart w:id="0" w:name="OLE_LINK2"/>
      <w:bookmarkStart w:id="1" w:name="OLE_LINK1"/>
      <w:r>
        <w:rPr>
          <w:rFonts w:ascii="Arial" w:hAnsi="Arial" w:cs="Arial"/>
          <w:b/>
          <w:i/>
          <w:sz w:val="32"/>
          <w:szCs w:val="32"/>
        </w:rPr>
        <w:t xml:space="preserve">Proyecto </w:t>
      </w:r>
      <w:r w:rsidR="003E1BB1" w:rsidRPr="003E1BB1">
        <w:rPr>
          <w:rFonts w:ascii="Arial" w:hAnsi="Arial" w:cs="Arial"/>
          <w:b/>
          <w:i/>
          <w:sz w:val="32"/>
          <w:szCs w:val="32"/>
        </w:rPr>
        <w:t>MEX/01/G35</w:t>
      </w:r>
      <w:bookmarkEnd w:id="0"/>
    </w:p>
    <w:p w:rsidR="008B4094" w:rsidRDefault="003E1BB1" w:rsidP="00521159">
      <w:pPr>
        <w:spacing w:after="0" w:line="240" w:lineRule="auto"/>
        <w:jc w:val="center"/>
        <w:rPr>
          <w:rFonts w:ascii="Arial" w:hAnsi="Arial" w:cs="Arial"/>
          <w:b/>
          <w:i/>
          <w:sz w:val="32"/>
          <w:szCs w:val="32"/>
          <w:u w:val="single"/>
        </w:rPr>
      </w:pPr>
      <w:r w:rsidRPr="003E1BB1">
        <w:rPr>
          <w:rFonts w:ascii="Arial" w:hAnsi="Arial" w:cs="Arial"/>
          <w:b/>
          <w:i/>
          <w:sz w:val="32"/>
          <w:szCs w:val="32"/>
        </w:rPr>
        <w:t xml:space="preserve">“Diseño y planeación estratégica para la </w:t>
      </w:r>
      <w:r w:rsidR="00793F68">
        <w:rPr>
          <w:rFonts w:ascii="Arial" w:hAnsi="Arial" w:cs="Arial"/>
          <w:b/>
          <w:i/>
          <w:sz w:val="32"/>
          <w:szCs w:val="32"/>
        </w:rPr>
        <w:t>P</w:t>
      </w:r>
      <w:r w:rsidRPr="003E1BB1">
        <w:rPr>
          <w:rFonts w:ascii="Arial" w:hAnsi="Arial" w:cs="Arial"/>
          <w:b/>
          <w:i/>
          <w:sz w:val="32"/>
          <w:szCs w:val="32"/>
        </w:rPr>
        <w:t xml:space="preserve">rotección </w:t>
      </w:r>
      <w:r w:rsidR="00793F68">
        <w:rPr>
          <w:rFonts w:ascii="Arial" w:hAnsi="Arial" w:cs="Arial"/>
          <w:b/>
          <w:i/>
          <w:sz w:val="32"/>
          <w:szCs w:val="32"/>
        </w:rPr>
        <w:t>A</w:t>
      </w:r>
      <w:r w:rsidRPr="003E1BB1">
        <w:rPr>
          <w:rFonts w:ascii="Arial" w:hAnsi="Arial" w:cs="Arial"/>
          <w:b/>
          <w:i/>
          <w:sz w:val="32"/>
          <w:szCs w:val="32"/>
        </w:rPr>
        <w:t xml:space="preserve">mbiental y el </w:t>
      </w:r>
      <w:r w:rsidR="00793F68">
        <w:rPr>
          <w:rFonts w:ascii="Arial" w:hAnsi="Arial" w:cs="Arial"/>
          <w:b/>
          <w:i/>
          <w:sz w:val="32"/>
          <w:szCs w:val="32"/>
        </w:rPr>
        <w:t>D</w:t>
      </w:r>
      <w:r w:rsidRPr="003E1BB1">
        <w:rPr>
          <w:rFonts w:ascii="Arial" w:hAnsi="Arial" w:cs="Arial"/>
          <w:b/>
          <w:i/>
          <w:sz w:val="32"/>
          <w:szCs w:val="32"/>
        </w:rPr>
        <w:t xml:space="preserve">esarrollo </w:t>
      </w:r>
      <w:r w:rsidR="00793F68">
        <w:rPr>
          <w:rFonts w:ascii="Arial" w:hAnsi="Arial" w:cs="Arial"/>
          <w:b/>
          <w:i/>
          <w:sz w:val="32"/>
          <w:szCs w:val="32"/>
        </w:rPr>
        <w:t>S</w:t>
      </w:r>
      <w:r w:rsidRPr="003E1BB1">
        <w:rPr>
          <w:rFonts w:ascii="Arial" w:hAnsi="Arial" w:cs="Arial"/>
          <w:b/>
          <w:i/>
          <w:sz w:val="32"/>
          <w:szCs w:val="32"/>
        </w:rPr>
        <w:t>ustentable en México”</w:t>
      </w:r>
    </w:p>
    <w:bookmarkEnd w:id="1"/>
    <w:p w:rsidR="00521159" w:rsidRDefault="00521159" w:rsidP="00521159">
      <w:pPr>
        <w:spacing w:after="0" w:line="240" w:lineRule="auto"/>
        <w:jc w:val="center"/>
        <w:rPr>
          <w:rFonts w:ascii="Arial" w:hAnsi="Arial" w:cs="Arial"/>
          <w:b/>
          <w:i/>
          <w:sz w:val="32"/>
          <w:szCs w:val="32"/>
          <w:u w:val="single"/>
        </w:rPr>
      </w:pPr>
    </w:p>
    <w:tbl>
      <w:tblPr>
        <w:tblStyle w:val="MediumShading2-Accent3"/>
        <w:tblW w:w="0" w:type="auto"/>
        <w:tblLayout w:type="fixed"/>
        <w:tblLook w:val="04A0"/>
      </w:tblPr>
      <w:tblGrid>
        <w:gridCol w:w="4219"/>
        <w:gridCol w:w="4835"/>
      </w:tblGrid>
      <w:tr w:rsidR="00804A2A" w:rsidTr="00793F68">
        <w:trPr>
          <w:cnfStyle w:val="100000000000"/>
        </w:trPr>
        <w:tc>
          <w:tcPr>
            <w:cnfStyle w:val="001000000100"/>
            <w:tcW w:w="4219" w:type="dxa"/>
          </w:tcPr>
          <w:p w:rsidR="00804A2A" w:rsidRDefault="00173650" w:rsidP="00793F68">
            <w:pPr>
              <w:jc w:val="center"/>
              <w:rPr>
                <w:rFonts w:ascii="Arial" w:hAnsi="Arial" w:cs="Arial"/>
                <w:b w:val="0"/>
                <w:bCs w:val="0"/>
                <w:i/>
                <w:color w:val="auto"/>
                <w:sz w:val="32"/>
                <w:szCs w:val="32"/>
                <w:u w:val="single"/>
              </w:rPr>
            </w:pPr>
            <w:r w:rsidRPr="00D25D8A">
              <w:rPr>
                <w:b w:val="0"/>
                <w:bCs w:val="0"/>
                <w:color w:val="auto"/>
              </w:rPr>
              <w:object w:dxaOrig="8985"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1pt;height:113pt" o:ole="">
                  <v:imagedata r:id="rId8" o:title=""/>
                </v:shape>
                <o:OLEObject Type="Embed" ProgID="PBrush" ShapeID="_x0000_i1025" DrawAspect="Content" ObjectID="_1385465216" r:id="rId9"/>
              </w:object>
            </w:r>
          </w:p>
        </w:tc>
        <w:tc>
          <w:tcPr>
            <w:tcW w:w="4835" w:type="dxa"/>
          </w:tcPr>
          <w:p w:rsidR="00804A2A" w:rsidRDefault="00427318" w:rsidP="00793F68">
            <w:pPr>
              <w:jc w:val="center"/>
              <w:cnfStyle w:val="100000000000"/>
              <w:rPr>
                <w:rFonts w:ascii="Arial" w:hAnsi="Arial" w:cs="Arial"/>
                <w:b w:val="0"/>
                <w:bCs w:val="0"/>
                <w:i/>
                <w:color w:val="auto"/>
                <w:sz w:val="32"/>
                <w:szCs w:val="32"/>
                <w:u w:val="single"/>
              </w:rPr>
            </w:pPr>
            <w:r>
              <w:rPr>
                <w:noProof/>
                <w:lang w:val="en-US" w:eastAsia="ja-JP"/>
              </w:rPr>
              <w:drawing>
                <wp:anchor distT="0" distB="0" distL="114300" distR="114300" simplePos="0" relativeHeight="251662336" behindDoc="0" locked="0" layoutInCell="1" allowOverlap="1">
                  <wp:simplePos x="0" y="0"/>
                  <wp:positionH relativeFrom="column">
                    <wp:posOffset>1960018</wp:posOffset>
                  </wp:positionH>
                  <wp:positionV relativeFrom="paragraph">
                    <wp:posOffset>111604</wp:posOffset>
                  </wp:positionV>
                  <wp:extent cx="767750" cy="767750"/>
                  <wp:effectExtent l="0" t="0" r="0" b="0"/>
                  <wp:wrapNone/>
                  <wp:docPr id="8" name="Picture 8" descr="http://climatelab.org/@api/deki/files/372/=ge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imatelab.org/@api/deki/files/372/=gef_(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750" cy="767750"/>
                          </a:xfrm>
                          <a:prstGeom prst="rect">
                            <a:avLst/>
                          </a:prstGeom>
                          <a:noFill/>
                          <a:ln>
                            <a:noFill/>
                          </a:ln>
                        </pic:spPr>
                      </pic:pic>
                    </a:graphicData>
                  </a:graphic>
                </wp:anchor>
              </w:drawing>
            </w:r>
            <w:r w:rsidRPr="00793F68">
              <w:rPr>
                <w:rFonts w:ascii="Arial" w:hAnsi="Arial" w:cs="Arial"/>
                <w:i/>
                <w:noProof/>
                <w:sz w:val="32"/>
                <w:szCs w:val="32"/>
                <w:u w:val="single"/>
                <w:lang w:val="en-US" w:eastAsia="ja-JP"/>
              </w:rPr>
              <w:drawing>
                <wp:anchor distT="0" distB="0" distL="114300" distR="114300" simplePos="0" relativeHeight="251660288" behindDoc="0" locked="0" layoutInCell="1" allowOverlap="1">
                  <wp:simplePos x="0" y="0"/>
                  <wp:positionH relativeFrom="column">
                    <wp:posOffset>229235</wp:posOffset>
                  </wp:positionH>
                  <wp:positionV relativeFrom="paragraph">
                    <wp:posOffset>57150</wp:posOffset>
                  </wp:positionV>
                  <wp:extent cx="706755" cy="1048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755" cy="1048385"/>
                          </a:xfrm>
                          <a:prstGeom prst="rect">
                            <a:avLst/>
                          </a:prstGeom>
                          <a:noFill/>
                          <a:ln>
                            <a:noFill/>
                          </a:ln>
                        </pic:spPr>
                      </pic:pic>
                    </a:graphicData>
                  </a:graphic>
                </wp:anchor>
              </w:drawing>
            </w:r>
            <w:r w:rsidRPr="00793F68">
              <w:rPr>
                <w:rFonts w:ascii="Verdana" w:hAnsi="Verdana"/>
                <w:noProof/>
                <w:color w:val="333333"/>
                <w:sz w:val="26"/>
                <w:szCs w:val="26"/>
                <w:lang w:val="en-US" w:eastAsia="ja-JP"/>
              </w:rPr>
              <w:drawing>
                <wp:anchor distT="0" distB="0" distL="114300" distR="114300" simplePos="0" relativeHeight="251661312" behindDoc="0" locked="0" layoutInCell="1" allowOverlap="1">
                  <wp:simplePos x="0" y="0"/>
                  <wp:positionH relativeFrom="column">
                    <wp:posOffset>1174139</wp:posOffset>
                  </wp:positionH>
                  <wp:positionV relativeFrom="paragraph">
                    <wp:posOffset>63560</wp:posOffset>
                  </wp:positionV>
                  <wp:extent cx="467995" cy="914400"/>
                  <wp:effectExtent l="0" t="0" r="8255" b="0"/>
                  <wp:wrapNone/>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 cy="914400"/>
                          </a:xfrm>
                          <a:prstGeom prst="rect">
                            <a:avLst/>
                          </a:prstGeom>
                          <a:noFill/>
                          <a:ln>
                            <a:noFill/>
                          </a:ln>
                        </pic:spPr>
                      </pic:pic>
                    </a:graphicData>
                  </a:graphic>
                </wp:anchor>
              </w:drawing>
            </w:r>
            <w:r>
              <w:rPr>
                <w:rFonts w:ascii="Verdana" w:hAnsi="Verdana"/>
                <w:color w:val="333333"/>
                <w:sz w:val="26"/>
                <w:szCs w:val="26"/>
              </w:rPr>
              <w:t xml:space="preserve"> </w:t>
            </w:r>
            <w:r>
              <w:tab/>
            </w:r>
            <w:r w:rsidRPr="00427318">
              <w:tab/>
            </w:r>
          </w:p>
        </w:tc>
      </w:tr>
    </w:tbl>
    <w:p w:rsidR="000B7F0F" w:rsidRDefault="000B7F0F" w:rsidP="00521159">
      <w:pPr>
        <w:spacing w:after="0" w:line="240" w:lineRule="auto"/>
        <w:jc w:val="center"/>
        <w:rPr>
          <w:rFonts w:ascii="Arial" w:hAnsi="Arial" w:cs="Arial"/>
          <w:b/>
          <w:i/>
          <w:sz w:val="32"/>
          <w:szCs w:val="32"/>
          <w:u w:val="single"/>
        </w:rPr>
      </w:pPr>
    </w:p>
    <w:p w:rsidR="008B4094" w:rsidRDefault="008B4094" w:rsidP="00521159">
      <w:pPr>
        <w:spacing w:after="0" w:line="240" w:lineRule="auto"/>
        <w:jc w:val="center"/>
        <w:rPr>
          <w:rFonts w:ascii="Arial" w:hAnsi="Arial" w:cs="Arial"/>
          <w:b/>
          <w:i/>
          <w:sz w:val="32"/>
          <w:szCs w:val="32"/>
          <w:u w:val="single"/>
        </w:rPr>
      </w:pPr>
    </w:p>
    <w:p w:rsidR="00521159" w:rsidRDefault="00521159" w:rsidP="00521159">
      <w:pPr>
        <w:spacing w:after="0" w:line="240" w:lineRule="auto"/>
        <w:jc w:val="center"/>
        <w:rPr>
          <w:rFonts w:ascii="Arial" w:hAnsi="Arial" w:cs="Arial"/>
          <w:sz w:val="24"/>
          <w:szCs w:val="24"/>
        </w:rPr>
      </w:pPr>
      <w:r>
        <w:rPr>
          <w:rFonts w:ascii="Arial" w:hAnsi="Arial" w:cs="Arial"/>
          <w:b/>
          <w:i/>
          <w:sz w:val="32"/>
          <w:szCs w:val="32"/>
          <w:u w:val="single"/>
        </w:rPr>
        <w:t xml:space="preserve">Informe Final  </w:t>
      </w:r>
    </w:p>
    <w:p w:rsidR="00521159" w:rsidRDefault="00521159" w:rsidP="00521159">
      <w:pPr>
        <w:spacing w:after="0" w:line="240" w:lineRule="auto"/>
        <w:jc w:val="center"/>
        <w:rPr>
          <w:rFonts w:ascii="Arial" w:hAnsi="Arial" w:cs="Arial"/>
          <w:sz w:val="24"/>
          <w:szCs w:val="24"/>
        </w:rPr>
      </w:pPr>
    </w:p>
    <w:p w:rsidR="00521159" w:rsidRDefault="00521159" w:rsidP="00521159">
      <w:pPr>
        <w:spacing w:after="0" w:line="240" w:lineRule="auto"/>
        <w:jc w:val="right"/>
        <w:rPr>
          <w:rFonts w:ascii="Arial" w:hAnsi="Arial" w:cs="Arial"/>
          <w:sz w:val="24"/>
          <w:szCs w:val="24"/>
        </w:rPr>
      </w:pPr>
    </w:p>
    <w:p w:rsidR="008B4094" w:rsidRDefault="008B4094" w:rsidP="00521159">
      <w:pPr>
        <w:spacing w:after="0" w:line="240" w:lineRule="auto"/>
        <w:jc w:val="right"/>
        <w:rPr>
          <w:rFonts w:ascii="Arial" w:hAnsi="Arial" w:cs="Arial"/>
          <w:sz w:val="24"/>
          <w:szCs w:val="24"/>
        </w:rPr>
      </w:pPr>
    </w:p>
    <w:p w:rsidR="008B4094" w:rsidRDefault="008B4094" w:rsidP="00521159">
      <w:pPr>
        <w:spacing w:after="0" w:line="240" w:lineRule="auto"/>
        <w:jc w:val="right"/>
        <w:rPr>
          <w:rFonts w:ascii="Arial" w:hAnsi="Arial" w:cs="Arial"/>
          <w:sz w:val="24"/>
          <w:szCs w:val="24"/>
        </w:rPr>
      </w:pPr>
    </w:p>
    <w:p w:rsidR="008B4094" w:rsidRDefault="008B4094" w:rsidP="00521159">
      <w:pPr>
        <w:spacing w:after="0" w:line="240" w:lineRule="auto"/>
        <w:jc w:val="right"/>
        <w:rPr>
          <w:rFonts w:ascii="Arial" w:hAnsi="Arial" w:cs="Arial"/>
          <w:sz w:val="24"/>
          <w:szCs w:val="24"/>
        </w:rPr>
      </w:pPr>
    </w:p>
    <w:p w:rsidR="008B4094" w:rsidRDefault="008B4094" w:rsidP="00521159">
      <w:pPr>
        <w:spacing w:after="0" w:line="240" w:lineRule="auto"/>
        <w:jc w:val="right"/>
        <w:rPr>
          <w:rFonts w:ascii="Arial" w:hAnsi="Arial" w:cs="Arial"/>
          <w:sz w:val="24"/>
          <w:szCs w:val="24"/>
        </w:rPr>
      </w:pPr>
    </w:p>
    <w:p w:rsidR="00521159" w:rsidRPr="00B9298C" w:rsidRDefault="00521159" w:rsidP="00521159">
      <w:pPr>
        <w:spacing w:after="0" w:line="240" w:lineRule="auto"/>
        <w:rPr>
          <w:rFonts w:ascii="Arial" w:hAnsi="Arial" w:cs="Arial"/>
          <w:i/>
          <w:sz w:val="24"/>
          <w:szCs w:val="24"/>
        </w:rPr>
      </w:pPr>
      <w:r>
        <w:rPr>
          <w:rFonts w:ascii="Arial" w:hAnsi="Arial" w:cs="Arial"/>
          <w:i/>
          <w:sz w:val="24"/>
          <w:szCs w:val="24"/>
        </w:rPr>
        <w:t xml:space="preserve">Preparado por: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B9298C">
        <w:rPr>
          <w:rFonts w:ascii="Arial" w:hAnsi="Arial" w:cs="Arial"/>
          <w:i/>
          <w:sz w:val="24"/>
          <w:szCs w:val="24"/>
        </w:rPr>
        <w:t>Jorge Leiva Valenzuela</w:t>
      </w:r>
    </w:p>
    <w:p w:rsidR="00521159" w:rsidRPr="00346EB6" w:rsidRDefault="00026288" w:rsidP="00521159">
      <w:pPr>
        <w:spacing w:after="0" w:line="240" w:lineRule="auto"/>
        <w:ind w:firstLine="4962"/>
        <w:rPr>
          <w:rFonts w:ascii="Arial" w:hAnsi="Arial" w:cs="Arial"/>
          <w:i/>
          <w:sz w:val="24"/>
          <w:szCs w:val="24"/>
          <w:lang w:val="es-ES"/>
        </w:rPr>
      </w:pPr>
      <w:r>
        <w:rPr>
          <w:rFonts w:ascii="Arial" w:hAnsi="Arial" w:cs="Arial"/>
          <w:i/>
          <w:sz w:val="24"/>
          <w:szCs w:val="24"/>
          <w:lang w:val="es-ES"/>
        </w:rPr>
        <w:t>Consultor Internacional</w:t>
      </w:r>
    </w:p>
    <w:p w:rsidR="00521159" w:rsidRPr="00346EB6" w:rsidRDefault="00521159" w:rsidP="00521159">
      <w:pPr>
        <w:spacing w:after="0" w:line="240" w:lineRule="auto"/>
        <w:ind w:firstLine="4962"/>
        <w:rPr>
          <w:rFonts w:ascii="Arial" w:hAnsi="Arial" w:cs="Arial"/>
          <w:i/>
          <w:sz w:val="24"/>
          <w:szCs w:val="24"/>
          <w:lang w:val="es-ES"/>
        </w:rPr>
      </w:pPr>
      <w:r w:rsidRPr="00346EB6">
        <w:rPr>
          <w:rFonts w:ascii="Arial" w:hAnsi="Arial" w:cs="Arial"/>
          <w:i/>
          <w:sz w:val="24"/>
          <w:szCs w:val="24"/>
          <w:lang w:val="es-ES"/>
        </w:rPr>
        <w:t>jleiva@greenlaneconsultores.com</w:t>
      </w:r>
    </w:p>
    <w:p w:rsidR="00521159" w:rsidRPr="00346EB6" w:rsidRDefault="00521159" w:rsidP="00521159">
      <w:pPr>
        <w:spacing w:after="0"/>
        <w:rPr>
          <w:rFonts w:ascii="Arial" w:hAnsi="Arial" w:cs="Arial"/>
          <w:i/>
          <w:sz w:val="24"/>
          <w:szCs w:val="24"/>
          <w:lang w:val="es-ES"/>
        </w:rPr>
      </w:pPr>
      <w:r w:rsidRPr="00346EB6">
        <w:rPr>
          <w:rFonts w:ascii="Arial" w:hAnsi="Arial" w:cs="Arial"/>
          <w:i/>
          <w:sz w:val="24"/>
          <w:szCs w:val="24"/>
          <w:lang w:val="es-ES"/>
        </w:rPr>
        <w:tab/>
      </w:r>
      <w:r w:rsidRPr="00346EB6">
        <w:rPr>
          <w:rFonts w:ascii="Arial" w:hAnsi="Arial" w:cs="Arial"/>
          <w:i/>
          <w:sz w:val="24"/>
          <w:szCs w:val="24"/>
          <w:lang w:val="es-ES"/>
        </w:rPr>
        <w:tab/>
      </w:r>
      <w:r w:rsidRPr="00346EB6">
        <w:rPr>
          <w:rFonts w:ascii="Arial" w:hAnsi="Arial" w:cs="Arial"/>
          <w:i/>
          <w:sz w:val="24"/>
          <w:szCs w:val="24"/>
          <w:lang w:val="es-ES"/>
        </w:rPr>
        <w:tab/>
      </w:r>
      <w:r w:rsidRPr="00346EB6">
        <w:rPr>
          <w:rFonts w:ascii="Arial" w:hAnsi="Arial" w:cs="Arial"/>
          <w:i/>
          <w:sz w:val="24"/>
          <w:szCs w:val="24"/>
          <w:lang w:val="es-ES"/>
        </w:rPr>
        <w:tab/>
      </w:r>
    </w:p>
    <w:p w:rsidR="00026288" w:rsidRDefault="00026288" w:rsidP="003E1BB1">
      <w:pPr>
        <w:spacing w:after="0"/>
        <w:ind w:firstLine="4962"/>
        <w:rPr>
          <w:rFonts w:ascii="Arial" w:hAnsi="Arial" w:cs="Arial"/>
          <w:i/>
          <w:sz w:val="24"/>
          <w:szCs w:val="24"/>
          <w:lang w:val="es-ES"/>
        </w:rPr>
      </w:pPr>
      <w:r>
        <w:rPr>
          <w:rFonts w:ascii="Arial" w:hAnsi="Arial" w:cs="Arial"/>
          <w:i/>
          <w:sz w:val="24"/>
          <w:szCs w:val="24"/>
          <w:lang w:val="es-ES"/>
        </w:rPr>
        <w:t>Israel Núñez</w:t>
      </w:r>
    </w:p>
    <w:p w:rsidR="00026288" w:rsidRDefault="00026288" w:rsidP="003E1BB1">
      <w:pPr>
        <w:spacing w:after="0"/>
        <w:ind w:firstLine="4962"/>
        <w:rPr>
          <w:rFonts w:ascii="Arial" w:hAnsi="Arial" w:cs="Arial"/>
          <w:i/>
          <w:sz w:val="24"/>
          <w:szCs w:val="24"/>
          <w:lang w:val="es-ES"/>
        </w:rPr>
      </w:pPr>
      <w:r>
        <w:rPr>
          <w:rFonts w:ascii="Arial" w:hAnsi="Arial" w:cs="Arial"/>
          <w:i/>
          <w:sz w:val="24"/>
          <w:szCs w:val="24"/>
          <w:lang w:val="es-ES"/>
        </w:rPr>
        <w:t>Consultor Nacional</w:t>
      </w:r>
    </w:p>
    <w:p w:rsidR="00521159" w:rsidRDefault="00026288" w:rsidP="003E1BB1">
      <w:pPr>
        <w:spacing w:after="0"/>
        <w:ind w:firstLine="4962"/>
        <w:rPr>
          <w:rFonts w:ascii="Arial" w:hAnsi="Arial" w:cs="Arial"/>
          <w:i/>
          <w:sz w:val="24"/>
          <w:szCs w:val="24"/>
          <w:lang w:val="es-ES"/>
        </w:rPr>
      </w:pPr>
      <w:r>
        <w:rPr>
          <w:rFonts w:ascii="Arial" w:hAnsi="Arial" w:cs="Arial"/>
          <w:i/>
          <w:sz w:val="24"/>
          <w:szCs w:val="24"/>
          <w:lang w:val="es-ES"/>
        </w:rPr>
        <w:t>i</w:t>
      </w:r>
      <w:r w:rsidR="00EF3946">
        <w:rPr>
          <w:rFonts w:ascii="Arial" w:hAnsi="Arial" w:cs="Arial"/>
          <w:i/>
          <w:sz w:val="24"/>
          <w:szCs w:val="24"/>
          <w:lang w:val="es-ES"/>
        </w:rPr>
        <w:t>srael</w:t>
      </w:r>
      <w:r>
        <w:rPr>
          <w:rFonts w:ascii="Arial" w:hAnsi="Arial" w:cs="Arial"/>
          <w:i/>
          <w:sz w:val="24"/>
          <w:szCs w:val="24"/>
          <w:lang w:val="es-ES"/>
        </w:rPr>
        <w:t>nunez@gmail.com</w:t>
      </w:r>
      <w:r w:rsidR="00521159" w:rsidRPr="00346EB6">
        <w:rPr>
          <w:rFonts w:ascii="Arial" w:hAnsi="Arial" w:cs="Arial"/>
          <w:i/>
          <w:sz w:val="24"/>
          <w:szCs w:val="24"/>
          <w:lang w:val="es-ES"/>
        </w:rPr>
        <w:tab/>
      </w:r>
      <w:r w:rsidR="00521159" w:rsidRPr="00346EB6">
        <w:rPr>
          <w:rFonts w:ascii="Arial" w:hAnsi="Arial" w:cs="Arial"/>
          <w:i/>
          <w:sz w:val="24"/>
          <w:szCs w:val="24"/>
          <w:lang w:val="es-ES"/>
        </w:rPr>
        <w:tab/>
      </w:r>
      <w:r w:rsidR="00521159" w:rsidRPr="00346EB6">
        <w:rPr>
          <w:rFonts w:ascii="Arial" w:hAnsi="Arial" w:cs="Arial"/>
          <w:i/>
          <w:sz w:val="24"/>
          <w:szCs w:val="24"/>
          <w:lang w:val="es-ES"/>
        </w:rPr>
        <w:tab/>
      </w:r>
      <w:r w:rsidR="00521159" w:rsidRPr="00346EB6">
        <w:rPr>
          <w:rFonts w:ascii="Arial" w:hAnsi="Arial" w:cs="Arial"/>
          <w:i/>
          <w:sz w:val="24"/>
          <w:szCs w:val="24"/>
          <w:lang w:val="es-ES"/>
        </w:rPr>
        <w:tab/>
      </w:r>
      <w:r w:rsidR="00521159" w:rsidRPr="00346EB6">
        <w:rPr>
          <w:rFonts w:ascii="Arial" w:hAnsi="Arial" w:cs="Arial"/>
          <w:i/>
          <w:sz w:val="24"/>
          <w:szCs w:val="24"/>
          <w:lang w:val="es-ES"/>
        </w:rPr>
        <w:tab/>
      </w:r>
    </w:p>
    <w:p w:rsidR="008B4094" w:rsidRDefault="008B4094" w:rsidP="00521159">
      <w:pPr>
        <w:spacing w:after="0"/>
        <w:ind w:firstLine="5670"/>
        <w:rPr>
          <w:rFonts w:ascii="Arial" w:hAnsi="Arial" w:cs="Arial"/>
          <w:i/>
          <w:sz w:val="24"/>
          <w:szCs w:val="24"/>
          <w:lang w:val="es-ES"/>
        </w:rPr>
      </w:pPr>
    </w:p>
    <w:p w:rsidR="00793F68" w:rsidRDefault="00793F68" w:rsidP="00521159">
      <w:pPr>
        <w:spacing w:after="0"/>
        <w:ind w:firstLine="5670"/>
        <w:rPr>
          <w:rFonts w:ascii="Arial" w:hAnsi="Arial" w:cs="Arial"/>
          <w:i/>
          <w:sz w:val="24"/>
          <w:szCs w:val="24"/>
          <w:lang w:val="es-ES"/>
        </w:rPr>
      </w:pPr>
    </w:p>
    <w:p w:rsidR="00793F68" w:rsidRDefault="00793F68" w:rsidP="00521159">
      <w:pPr>
        <w:spacing w:after="0"/>
        <w:ind w:firstLine="5670"/>
        <w:rPr>
          <w:rFonts w:ascii="Arial" w:hAnsi="Arial" w:cs="Arial"/>
          <w:i/>
          <w:sz w:val="24"/>
          <w:szCs w:val="24"/>
          <w:lang w:val="es-ES"/>
        </w:rPr>
      </w:pPr>
    </w:p>
    <w:p w:rsidR="00793F68" w:rsidRDefault="00793F68" w:rsidP="00521159">
      <w:pPr>
        <w:spacing w:after="0"/>
        <w:ind w:firstLine="5670"/>
        <w:rPr>
          <w:rFonts w:ascii="Arial" w:hAnsi="Arial" w:cs="Arial"/>
          <w:i/>
          <w:sz w:val="24"/>
          <w:szCs w:val="24"/>
          <w:lang w:val="es-ES"/>
        </w:rPr>
      </w:pPr>
    </w:p>
    <w:p w:rsidR="00521159" w:rsidRPr="00346EB6" w:rsidRDefault="00521159" w:rsidP="00521159">
      <w:pPr>
        <w:spacing w:after="0"/>
        <w:ind w:firstLine="5670"/>
        <w:rPr>
          <w:rFonts w:ascii="Arial" w:hAnsi="Arial" w:cs="Arial"/>
          <w:i/>
          <w:sz w:val="24"/>
          <w:szCs w:val="24"/>
          <w:lang w:val="es-ES"/>
        </w:rPr>
      </w:pPr>
    </w:p>
    <w:p w:rsidR="00521159" w:rsidRPr="00346EB6" w:rsidRDefault="00521159" w:rsidP="00521159">
      <w:pPr>
        <w:jc w:val="center"/>
        <w:rPr>
          <w:rFonts w:ascii="Arial" w:hAnsi="Arial" w:cs="Arial"/>
          <w:sz w:val="24"/>
          <w:szCs w:val="24"/>
          <w:lang w:val="es-ES"/>
        </w:rPr>
      </w:pPr>
      <w:r w:rsidRPr="00346EB6">
        <w:rPr>
          <w:rFonts w:ascii="Arial" w:hAnsi="Arial" w:cs="Arial"/>
          <w:sz w:val="24"/>
          <w:szCs w:val="24"/>
          <w:lang w:val="es-ES"/>
        </w:rPr>
        <w:t xml:space="preserve">Santiago, </w:t>
      </w:r>
      <w:r w:rsidR="00700A70">
        <w:rPr>
          <w:rFonts w:ascii="Arial" w:hAnsi="Arial" w:cs="Arial"/>
          <w:sz w:val="24"/>
          <w:szCs w:val="24"/>
          <w:lang w:val="es-ES"/>
        </w:rPr>
        <w:t>O</w:t>
      </w:r>
      <w:bookmarkStart w:id="2" w:name="_GoBack"/>
      <w:bookmarkEnd w:id="2"/>
      <w:r w:rsidR="00700A70">
        <w:rPr>
          <w:rFonts w:ascii="Arial" w:hAnsi="Arial" w:cs="Arial"/>
          <w:sz w:val="24"/>
          <w:szCs w:val="24"/>
          <w:lang w:val="es-ES"/>
        </w:rPr>
        <w:t xml:space="preserve">ctubre </w:t>
      </w:r>
      <w:r>
        <w:rPr>
          <w:rFonts w:ascii="Arial" w:hAnsi="Arial" w:cs="Arial"/>
          <w:sz w:val="24"/>
          <w:szCs w:val="24"/>
          <w:lang w:val="es-ES"/>
        </w:rPr>
        <w:t>2011</w:t>
      </w:r>
    </w:p>
    <w:p w:rsidR="00521159" w:rsidRPr="00346EB6" w:rsidRDefault="00521159" w:rsidP="00521159">
      <w:pPr>
        <w:jc w:val="center"/>
        <w:rPr>
          <w:rFonts w:ascii="Arial" w:hAnsi="Arial" w:cs="Arial"/>
          <w:sz w:val="24"/>
          <w:szCs w:val="24"/>
          <w:lang w:val="es-ES"/>
        </w:rPr>
        <w:sectPr w:rsidR="00521159" w:rsidRPr="00346EB6" w:rsidSect="00B4041F">
          <w:footerReference w:type="default" r:id="rId13"/>
          <w:pgSz w:w="12240" w:h="15840" w:code="1"/>
          <w:pgMar w:top="1417" w:right="1701" w:bottom="1417" w:left="1701" w:header="708" w:footer="708" w:gutter="0"/>
          <w:cols w:space="708"/>
          <w:docGrid w:linePitch="360"/>
        </w:sectPr>
      </w:pPr>
    </w:p>
    <w:p w:rsidR="00521159" w:rsidRPr="00C059BC" w:rsidRDefault="00521159" w:rsidP="00521159">
      <w:pPr>
        <w:jc w:val="center"/>
        <w:rPr>
          <w:rFonts w:ascii="Arial" w:hAnsi="Arial" w:cs="Arial"/>
          <w:b/>
          <w:i/>
          <w:sz w:val="32"/>
          <w:szCs w:val="32"/>
        </w:rPr>
      </w:pPr>
      <w:r w:rsidRPr="00C059BC">
        <w:rPr>
          <w:rFonts w:ascii="Arial" w:hAnsi="Arial" w:cs="Arial"/>
          <w:b/>
          <w:i/>
          <w:sz w:val="32"/>
          <w:szCs w:val="32"/>
        </w:rPr>
        <w:lastRenderedPageBreak/>
        <w:t>Índice de Contenidos</w:t>
      </w:r>
    </w:p>
    <w:tbl>
      <w:tblPr>
        <w:tblW w:w="9212" w:type="dxa"/>
        <w:tblBorders>
          <w:top w:val="single" w:sz="8" w:space="0" w:color="000000"/>
          <w:bottom w:val="single" w:sz="8" w:space="0" w:color="000000"/>
        </w:tblBorders>
        <w:tblLayout w:type="fixed"/>
        <w:tblLook w:val="04A0"/>
      </w:tblPr>
      <w:tblGrid>
        <w:gridCol w:w="1384"/>
        <w:gridCol w:w="7088"/>
        <w:gridCol w:w="740"/>
      </w:tblGrid>
      <w:tr w:rsidR="00521159" w:rsidRPr="00E76FD1" w:rsidTr="002F42FD">
        <w:trPr>
          <w:trHeight w:val="589"/>
        </w:trPr>
        <w:tc>
          <w:tcPr>
            <w:tcW w:w="1384" w:type="dxa"/>
            <w:tcBorders>
              <w:top w:val="single" w:sz="8" w:space="0" w:color="000000"/>
              <w:left w:val="nil"/>
              <w:bottom w:val="single" w:sz="8" w:space="0" w:color="000000"/>
              <w:right w:val="nil"/>
            </w:tcBorders>
          </w:tcPr>
          <w:p w:rsidR="00521159" w:rsidRPr="00E76FD1" w:rsidRDefault="00521159" w:rsidP="00537330">
            <w:pPr>
              <w:spacing w:before="120"/>
              <w:jc w:val="center"/>
              <w:rPr>
                <w:rFonts w:ascii="Arial" w:hAnsi="Arial" w:cs="Arial"/>
                <w:b/>
                <w:bCs/>
                <w:i/>
                <w:color w:val="000000"/>
                <w:sz w:val="24"/>
                <w:szCs w:val="24"/>
              </w:rPr>
            </w:pPr>
            <w:r w:rsidRPr="00E76FD1">
              <w:rPr>
                <w:rFonts w:ascii="Arial" w:hAnsi="Arial" w:cs="Arial"/>
                <w:b/>
                <w:bCs/>
                <w:i/>
                <w:color w:val="000000"/>
                <w:sz w:val="24"/>
                <w:szCs w:val="24"/>
              </w:rPr>
              <w:t>Sección</w:t>
            </w:r>
          </w:p>
        </w:tc>
        <w:tc>
          <w:tcPr>
            <w:tcW w:w="7088" w:type="dxa"/>
            <w:tcBorders>
              <w:top w:val="single" w:sz="8" w:space="0" w:color="000000"/>
              <w:left w:val="nil"/>
              <w:bottom w:val="single" w:sz="8" w:space="0" w:color="000000"/>
              <w:right w:val="nil"/>
            </w:tcBorders>
          </w:tcPr>
          <w:p w:rsidR="00521159" w:rsidRPr="00E76FD1" w:rsidRDefault="00521159" w:rsidP="00537330">
            <w:pPr>
              <w:spacing w:before="120"/>
              <w:jc w:val="center"/>
              <w:rPr>
                <w:rFonts w:ascii="Arial" w:hAnsi="Arial" w:cs="Arial"/>
                <w:b/>
                <w:bCs/>
                <w:i/>
                <w:color w:val="000000"/>
                <w:sz w:val="24"/>
                <w:szCs w:val="24"/>
              </w:rPr>
            </w:pPr>
            <w:r w:rsidRPr="00E76FD1">
              <w:rPr>
                <w:rFonts w:ascii="Arial" w:hAnsi="Arial" w:cs="Arial"/>
                <w:b/>
                <w:bCs/>
                <w:i/>
                <w:color w:val="000000"/>
                <w:sz w:val="24"/>
                <w:szCs w:val="24"/>
              </w:rPr>
              <w:t>Título</w:t>
            </w:r>
          </w:p>
        </w:tc>
        <w:tc>
          <w:tcPr>
            <w:tcW w:w="740" w:type="dxa"/>
            <w:tcBorders>
              <w:top w:val="single" w:sz="8" w:space="0" w:color="000000"/>
              <w:left w:val="nil"/>
              <w:bottom w:val="single" w:sz="8" w:space="0" w:color="000000"/>
              <w:right w:val="nil"/>
            </w:tcBorders>
          </w:tcPr>
          <w:p w:rsidR="00521159" w:rsidRPr="00E76FD1" w:rsidRDefault="00521159" w:rsidP="00537330">
            <w:pPr>
              <w:spacing w:before="120"/>
              <w:jc w:val="center"/>
              <w:rPr>
                <w:rFonts w:ascii="Arial" w:hAnsi="Arial" w:cs="Arial"/>
                <w:b/>
                <w:bCs/>
                <w:i/>
                <w:color w:val="000000"/>
                <w:sz w:val="24"/>
                <w:szCs w:val="24"/>
              </w:rPr>
            </w:pPr>
            <w:r w:rsidRPr="00E76FD1">
              <w:rPr>
                <w:rFonts w:ascii="Arial" w:hAnsi="Arial" w:cs="Arial"/>
                <w:b/>
                <w:bCs/>
                <w:i/>
                <w:color w:val="000000"/>
                <w:sz w:val="24"/>
                <w:szCs w:val="24"/>
              </w:rPr>
              <w:t>Pág.</w:t>
            </w:r>
          </w:p>
        </w:tc>
      </w:tr>
      <w:tr w:rsidR="00521159" w:rsidRPr="00E76FD1" w:rsidTr="002F42FD">
        <w:trPr>
          <w:trHeight w:val="546"/>
        </w:trPr>
        <w:tc>
          <w:tcPr>
            <w:tcW w:w="1384" w:type="dxa"/>
            <w:vAlign w:val="center"/>
          </w:tcPr>
          <w:p w:rsidR="00521159" w:rsidRPr="00E76FD1" w:rsidRDefault="00521159" w:rsidP="00537330">
            <w:pPr>
              <w:spacing w:before="120"/>
              <w:rPr>
                <w:rFonts w:ascii="Arial" w:hAnsi="Arial" w:cs="Arial"/>
                <w:b/>
                <w:bCs/>
                <w:color w:val="000000"/>
                <w:sz w:val="24"/>
                <w:szCs w:val="24"/>
              </w:rPr>
            </w:pPr>
          </w:p>
        </w:tc>
        <w:tc>
          <w:tcPr>
            <w:tcW w:w="7088" w:type="dxa"/>
            <w:vAlign w:val="center"/>
          </w:tcPr>
          <w:p w:rsidR="00521159" w:rsidRDefault="00521159" w:rsidP="00537330">
            <w:pPr>
              <w:spacing w:before="120"/>
              <w:rPr>
                <w:rFonts w:ascii="Arial" w:hAnsi="Arial" w:cs="Arial"/>
                <w:color w:val="000000"/>
                <w:sz w:val="24"/>
                <w:szCs w:val="24"/>
              </w:rPr>
            </w:pPr>
            <w:r>
              <w:rPr>
                <w:rFonts w:ascii="Arial" w:hAnsi="Arial" w:cs="Arial"/>
                <w:color w:val="000000"/>
                <w:sz w:val="24"/>
                <w:szCs w:val="24"/>
              </w:rPr>
              <w:t>Resumen  Ejecutivo</w:t>
            </w:r>
          </w:p>
        </w:tc>
        <w:tc>
          <w:tcPr>
            <w:tcW w:w="740" w:type="dxa"/>
            <w:vAlign w:val="center"/>
          </w:tcPr>
          <w:p w:rsidR="00521159" w:rsidRDefault="00521159" w:rsidP="00537330">
            <w:pPr>
              <w:spacing w:before="120"/>
              <w:jc w:val="right"/>
              <w:rPr>
                <w:rFonts w:ascii="Arial" w:hAnsi="Arial" w:cs="Arial"/>
                <w:color w:val="000000"/>
                <w:sz w:val="24"/>
                <w:szCs w:val="24"/>
              </w:rPr>
            </w:pPr>
          </w:p>
        </w:tc>
      </w:tr>
      <w:tr w:rsidR="00521159" w:rsidRPr="00E76FD1" w:rsidTr="002F42FD">
        <w:tc>
          <w:tcPr>
            <w:tcW w:w="1384" w:type="dxa"/>
            <w:shd w:val="clear" w:color="auto" w:fill="D9D9D9" w:themeFill="background1" w:themeFillShade="D9"/>
            <w:vAlign w:val="center"/>
          </w:tcPr>
          <w:p w:rsidR="00521159" w:rsidRPr="00E76FD1" w:rsidRDefault="00521159" w:rsidP="00537330">
            <w:pPr>
              <w:spacing w:before="120"/>
              <w:rPr>
                <w:rFonts w:ascii="Arial" w:hAnsi="Arial" w:cs="Arial"/>
                <w:b/>
                <w:bCs/>
                <w:color w:val="000000"/>
                <w:sz w:val="24"/>
                <w:szCs w:val="24"/>
              </w:rPr>
            </w:pPr>
            <w:r>
              <w:rPr>
                <w:rFonts w:ascii="Arial" w:hAnsi="Arial" w:cs="Arial"/>
                <w:b/>
                <w:bCs/>
                <w:color w:val="000000"/>
                <w:sz w:val="24"/>
                <w:szCs w:val="24"/>
              </w:rPr>
              <w:t>1</w:t>
            </w:r>
          </w:p>
        </w:tc>
        <w:tc>
          <w:tcPr>
            <w:tcW w:w="7088" w:type="dxa"/>
            <w:shd w:val="clear" w:color="auto" w:fill="D9D9D9" w:themeFill="background1" w:themeFillShade="D9"/>
            <w:vAlign w:val="center"/>
          </w:tcPr>
          <w:p w:rsidR="00521159" w:rsidRPr="00E76FD1" w:rsidRDefault="00E561C6" w:rsidP="002F42FD">
            <w:pPr>
              <w:spacing w:before="120"/>
              <w:rPr>
                <w:rFonts w:ascii="Arial" w:hAnsi="Arial" w:cs="Arial"/>
                <w:color w:val="000000"/>
                <w:sz w:val="24"/>
                <w:szCs w:val="24"/>
              </w:rPr>
            </w:pPr>
            <w:r>
              <w:rPr>
                <w:rFonts w:ascii="Arial" w:hAnsi="Arial" w:cs="Arial"/>
                <w:color w:val="000000"/>
                <w:sz w:val="24"/>
                <w:szCs w:val="24"/>
              </w:rPr>
              <w:t>Propósito</w:t>
            </w:r>
            <w:r w:rsidR="002F42FD">
              <w:rPr>
                <w:rFonts w:ascii="Arial" w:hAnsi="Arial" w:cs="Arial"/>
                <w:color w:val="000000"/>
                <w:sz w:val="24"/>
                <w:szCs w:val="24"/>
              </w:rPr>
              <w:t>,</w:t>
            </w:r>
            <w:r>
              <w:rPr>
                <w:rFonts w:ascii="Arial" w:hAnsi="Arial" w:cs="Arial"/>
                <w:color w:val="000000"/>
                <w:sz w:val="24"/>
                <w:szCs w:val="24"/>
              </w:rPr>
              <w:t xml:space="preserve"> Objetivos</w:t>
            </w:r>
            <w:r w:rsidR="002F42FD">
              <w:rPr>
                <w:rFonts w:ascii="Arial" w:hAnsi="Arial" w:cs="Arial"/>
                <w:color w:val="000000"/>
                <w:sz w:val="24"/>
                <w:szCs w:val="24"/>
              </w:rPr>
              <w:t xml:space="preserve"> y Metodología </w:t>
            </w:r>
            <w:r>
              <w:rPr>
                <w:rFonts w:ascii="Arial" w:hAnsi="Arial" w:cs="Arial"/>
                <w:color w:val="000000"/>
                <w:sz w:val="24"/>
                <w:szCs w:val="24"/>
              </w:rPr>
              <w:t xml:space="preserve"> de la Evaluación</w:t>
            </w:r>
            <w:r w:rsidR="00521159" w:rsidRPr="00E76FD1">
              <w:rPr>
                <w:rFonts w:ascii="Arial" w:hAnsi="Arial" w:cs="Arial"/>
                <w:color w:val="000000"/>
                <w:sz w:val="24"/>
                <w:szCs w:val="24"/>
              </w:rPr>
              <w:t>…………………………...</w:t>
            </w:r>
          </w:p>
        </w:tc>
        <w:tc>
          <w:tcPr>
            <w:tcW w:w="740" w:type="dxa"/>
            <w:shd w:val="clear" w:color="auto" w:fill="D9D9D9" w:themeFill="background1" w:themeFillShade="D9"/>
            <w:vAlign w:val="center"/>
          </w:tcPr>
          <w:p w:rsidR="00521159" w:rsidRPr="00E76FD1" w:rsidRDefault="00CF1885" w:rsidP="00537330">
            <w:pPr>
              <w:spacing w:before="120"/>
              <w:jc w:val="right"/>
              <w:rPr>
                <w:rFonts w:ascii="Arial" w:hAnsi="Arial" w:cs="Arial"/>
                <w:color w:val="000000"/>
                <w:sz w:val="24"/>
                <w:szCs w:val="24"/>
              </w:rPr>
            </w:pPr>
            <w:r>
              <w:rPr>
                <w:rFonts w:ascii="Arial" w:hAnsi="Arial" w:cs="Arial"/>
                <w:color w:val="000000"/>
                <w:sz w:val="24"/>
                <w:szCs w:val="24"/>
              </w:rPr>
              <w:t>1</w:t>
            </w:r>
          </w:p>
        </w:tc>
      </w:tr>
      <w:tr w:rsidR="00521159" w:rsidRPr="00E76FD1" w:rsidTr="002F42FD">
        <w:tc>
          <w:tcPr>
            <w:tcW w:w="1384" w:type="dxa"/>
            <w:tcBorders>
              <w:left w:val="nil"/>
              <w:bottom w:val="nil"/>
              <w:right w:val="nil"/>
            </w:tcBorders>
            <w:shd w:val="clear" w:color="auto" w:fill="auto"/>
            <w:vAlign w:val="center"/>
          </w:tcPr>
          <w:p w:rsidR="00521159" w:rsidRPr="00E76FD1" w:rsidRDefault="00521159" w:rsidP="00537330">
            <w:pPr>
              <w:spacing w:before="120"/>
              <w:rPr>
                <w:rFonts w:ascii="Arial" w:hAnsi="Arial" w:cs="Arial"/>
                <w:b/>
                <w:bCs/>
                <w:color w:val="000000"/>
                <w:sz w:val="24"/>
                <w:szCs w:val="24"/>
              </w:rPr>
            </w:pPr>
            <w:r>
              <w:rPr>
                <w:rFonts w:ascii="Arial" w:hAnsi="Arial" w:cs="Arial"/>
                <w:b/>
                <w:bCs/>
                <w:color w:val="000000"/>
                <w:sz w:val="24"/>
                <w:szCs w:val="24"/>
              </w:rPr>
              <w:t>2</w:t>
            </w:r>
          </w:p>
        </w:tc>
        <w:tc>
          <w:tcPr>
            <w:tcW w:w="7088" w:type="dxa"/>
            <w:tcBorders>
              <w:left w:val="nil"/>
              <w:bottom w:val="nil"/>
              <w:right w:val="nil"/>
            </w:tcBorders>
            <w:shd w:val="clear" w:color="auto" w:fill="auto"/>
            <w:vAlign w:val="center"/>
          </w:tcPr>
          <w:p w:rsidR="00521159" w:rsidRPr="00E76FD1" w:rsidRDefault="00E561C6" w:rsidP="00E561C6">
            <w:pPr>
              <w:spacing w:before="120"/>
              <w:rPr>
                <w:rFonts w:ascii="Arial" w:hAnsi="Arial" w:cs="Arial"/>
                <w:color w:val="000000"/>
                <w:sz w:val="24"/>
                <w:szCs w:val="24"/>
              </w:rPr>
            </w:pPr>
            <w:r>
              <w:rPr>
                <w:rFonts w:ascii="Arial" w:hAnsi="Arial" w:cs="Arial"/>
                <w:color w:val="000000"/>
                <w:sz w:val="24"/>
                <w:szCs w:val="24"/>
              </w:rPr>
              <w:t>El Proyecto y su Contexto de Desarrollo</w:t>
            </w:r>
            <w:r w:rsidR="00521159" w:rsidRPr="00E76FD1">
              <w:rPr>
                <w:rFonts w:ascii="Arial" w:hAnsi="Arial" w:cs="Arial"/>
                <w:color w:val="000000"/>
                <w:sz w:val="24"/>
                <w:szCs w:val="24"/>
              </w:rPr>
              <w:t>…………………………...</w:t>
            </w:r>
            <w:r w:rsidR="00521159">
              <w:rPr>
                <w:rFonts w:ascii="Arial" w:hAnsi="Arial" w:cs="Arial"/>
                <w:color w:val="000000"/>
                <w:sz w:val="24"/>
                <w:szCs w:val="24"/>
              </w:rPr>
              <w:t>....................................</w:t>
            </w:r>
            <w:r>
              <w:rPr>
                <w:rFonts w:ascii="Arial" w:hAnsi="Arial" w:cs="Arial"/>
                <w:color w:val="000000"/>
                <w:sz w:val="24"/>
                <w:szCs w:val="24"/>
              </w:rPr>
              <w:t>..........</w:t>
            </w:r>
          </w:p>
        </w:tc>
        <w:tc>
          <w:tcPr>
            <w:tcW w:w="740" w:type="dxa"/>
            <w:tcBorders>
              <w:left w:val="nil"/>
              <w:bottom w:val="nil"/>
              <w:right w:val="nil"/>
            </w:tcBorders>
            <w:shd w:val="clear" w:color="auto" w:fill="auto"/>
            <w:vAlign w:val="center"/>
          </w:tcPr>
          <w:p w:rsidR="00521159" w:rsidRPr="00E76FD1" w:rsidRDefault="00CF1885" w:rsidP="00537330">
            <w:pPr>
              <w:spacing w:before="120"/>
              <w:jc w:val="right"/>
              <w:rPr>
                <w:rFonts w:ascii="Arial" w:hAnsi="Arial" w:cs="Arial"/>
                <w:color w:val="000000"/>
                <w:sz w:val="24"/>
                <w:szCs w:val="24"/>
              </w:rPr>
            </w:pPr>
            <w:r>
              <w:rPr>
                <w:rFonts w:ascii="Arial" w:hAnsi="Arial" w:cs="Arial"/>
                <w:color w:val="000000"/>
                <w:sz w:val="24"/>
                <w:szCs w:val="24"/>
              </w:rPr>
              <w:t>6</w:t>
            </w:r>
          </w:p>
        </w:tc>
      </w:tr>
      <w:tr w:rsidR="00827DE8" w:rsidRPr="00E76FD1" w:rsidTr="002F42FD">
        <w:tc>
          <w:tcPr>
            <w:tcW w:w="1384" w:type="dxa"/>
            <w:tcBorders>
              <w:top w:val="nil"/>
              <w:bottom w:val="nil"/>
            </w:tcBorders>
            <w:shd w:val="clear" w:color="auto" w:fill="D9D9D9" w:themeFill="background1" w:themeFillShade="D9"/>
            <w:vAlign w:val="center"/>
          </w:tcPr>
          <w:p w:rsidR="00827DE8" w:rsidRDefault="00827DE8" w:rsidP="00827DE8">
            <w:pPr>
              <w:spacing w:before="120"/>
              <w:rPr>
                <w:rFonts w:ascii="Arial" w:hAnsi="Arial" w:cs="Arial"/>
                <w:b/>
                <w:bCs/>
                <w:color w:val="000000"/>
                <w:sz w:val="24"/>
                <w:szCs w:val="24"/>
              </w:rPr>
            </w:pPr>
            <w:r>
              <w:rPr>
                <w:rFonts w:ascii="Arial" w:hAnsi="Arial" w:cs="Arial"/>
                <w:b/>
                <w:bCs/>
                <w:color w:val="000000"/>
                <w:sz w:val="24"/>
                <w:szCs w:val="24"/>
              </w:rPr>
              <w:t>3</w:t>
            </w:r>
          </w:p>
        </w:tc>
        <w:tc>
          <w:tcPr>
            <w:tcW w:w="7088" w:type="dxa"/>
            <w:tcBorders>
              <w:top w:val="nil"/>
              <w:bottom w:val="nil"/>
            </w:tcBorders>
            <w:shd w:val="clear" w:color="auto" w:fill="D9D9D9" w:themeFill="background1" w:themeFillShade="D9"/>
            <w:vAlign w:val="center"/>
          </w:tcPr>
          <w:p w:rsidR="00827DE8" w:rsidRDefault="00827DE8" w:rsidP="00395E5C">
            <w:pPr>
              <w:spacing w:before="120"/>
              <w:rPr>
                <w:rFonts w:ascii="Arial" w:hAnsi="Arial" w:cs="Arial"/>
                <w:color w:val="000000"/>
                <w:sz w:val="24"/>
                <w:szCs w:val="24"/>
              </w:rPr>
            </w:pPr>
            <w:r>
              <w:rPr>
                <w:rFonts w:ascii="Arial" w:hAnsi="Arial" w:cs="Arial"/>
                <w:color w:val="000000"/>
                <w:sz w:val="24"/>
                <w:szCs w:val="24"/>
              </w:rPr>
              <w:t xml:space="preserve">Resultados y </w:t>
            </w:r>
            <w:proofErr w:type="gramStart"/>
            <w:r>
              <w:rPr>
                <w:rFonts w:ascii="Arial" w:hAnsi="Arial" w:cs="Arial"/>
                <w:color w:val="000000"/>
                <w:sz w:val="24"/>
                <w:szCs w:val="24"/>
              </w:rPr>
              <w:t xml:space="preserve">Conclusiones </w:t>
            </w:r>
            <w:r w:rsidR="00B4041F">
              <w:rPr>
                <w:rFonts w:ascii="Arial" w:hAnsi="Arial" w:cs="Arial"/>
                <w:color w:val="000000"/>
                <w:sz w:val="24"/>
                <w:szCs w:val="24"/>
              </w:rPr>
              <w:t>…</w:t>
            </w:r>
            <w:proofErr w:type="gramEnd"/>
            <w:r w:rsidR="00B4041F">
              <w:rPr>
                <w:rFonts w:ascii="Arial" w:hAnsi="Arial" w:cs="Arial"/>
                <w:color w:val="000000"/>
                <w:sz w:val="24"/>
                <w:szCs w:val="24"/>
              </w:rPr>
              <w:t>……………………………………….</w:t>
            </w:r>
          </w:p>
        </w:tc>
        <w:tc>
          <w:tcPr>
            <w:tcW w:w="740" w:type="dxa"/>
            <w:tcBorders>
              <w:top w:val="nil"/>
              <w:bottom w:val="nil"/>
            </w:tcBorders>
            <w:shd w:val="clear" w:color="auto" w:fill="D9D9D9" w:themeFill="background1" w:themeFillShade="D9"/>
            <w:vAlign w:val="center"/>
          </w:tcPr>
          <w:p w:rsidR="00827DE8" w:rsidRDefault="00CF1885" w:rsidP="00537330">
            <w:pPr>
              <w:spacing w:before="120"/>
              <w:jc w:val="right"/>
              <w:rPr>
                <w:rFonts w:ascii="Arial" w:hAnsi="Arial" w:cs="Arial"/>
                <w:color w:val="000000"/>
                <w:sz w:val="24"/>
                <w:szCs w:val="24"/>
              </w:rPr>
            </w:pPr>
            <w:r>
              <w:rPr>
                <w:rFonts w:ascii="Arial" w:hAnsi="Arial" w:cs="Arial"/>
                <w:color w:val="000000"/>
                <w:sz w:val="24"/>
                <w:szCs w:val="24"/>
              </w:rPr>
              <w:t>8</w:t>
            </w:r>
          </w:p>
        </w:tc>
      </w:tr>
      <w:tr w:rsidR="00521159" w:rsidRPr="00E76FD1" w:rsidTr="002F42FD">
        <w:tc>
          <w:tcPr>
            <w:tcW w:w="1384" w:type="dxa"/>
            <w:tcBorders>
              <w:top w:val="nil"/>
              <w:bottom w:val="nil"/>
            </w:tcBorders>
            <w:shd w:val="clear" w:color="auto" w:fill="auto"/>
            <w:vAlign w:val="center"/>
          </w:tcPr>
          <w:p w:rsidR="00521159" w:rsidRDefault="00827DE8" w:rsidP="00020BA0">
            <w:pPr>
              <w:spacing w:before="120"/>
              <w:ind w:firstLine="284"/>
              <w:jc w:val="right"/>
              <w:rPr>
                <w:rFonts w:ascii="Arial" w:hAnsi="Arial" w:cs="Arial"/>
                <w:b/>
                <w:bCs/>
                <w:color w:val="000000"/>
                <w:sz w:val="24"/>
                <w:szCs w:val="24"/>
              </w:rPr>
            </w:pPr>
            <w:r>
              <w:rPr>
                <w:rFonts w:ascii="Arial" w:hAnsi="Arial" w:cs="Arial"/>
                <w:b/>
                <w:bCs/>
                <w:color w:val="000000"/>
                <w:sz w:val="24"/>
                <w:szCs w:val="24"/>
              </w:rPr>
              <w:t>3</w:t>
            </w:r>
            <w:r w:rsidR="00395E5C">
              <w:rPr>
                <w:rFonts w:ascii="Arial" w:hAnsi="Arial" w:cs="Arial"/>
                <w:b/>
                <w:bCs/>
                <w:color w:val="000000"/>
                <w:sz w:val="24"/>
                <w:szCs w:val="24"/>
              </w:rPr>
              <w:t>.1</w:t>
            </w:r>
          </w:p>
        </w:tc>
        <w:tc>
          <w:tcPr>
            <w:tcW w:w="7088" w:type="dxa"/>
            <w:tcBorders>
              <w:top w:val="nil"/>
              <w:bottom w:val="nil"/>
            </w:tcBorders>
            <w:shd w:val="clear" w:color="auto" w:fill="auto"/>
            <w:vAlign w:val="center"/>
          </w:tcPr>
          <w:p w:rsidR="00521159" w:rsidRDefault="00395E5C" w:rsidP="00395E5C">
            <w:pPr>
              <w:spacing w:before="120"/>
              <w:rPr>
                <w:rFonts w:ascii="Arial" w:hAnsi="Arial" w:cs="Arial"/>
                <w:color w:val="000000"/>
                <w:sz w:val="24"/>
                <w:szCs w:val="24"/>
              </w:rPr>
            </w:pPr>
            <w:r>
              <w:rPr>
                <w:rFonts w:ascii="Arial" w:hAnsi="Arial" w:cs="Arial"/>
                <w:color w:val="000000"/>
                <w:sz w:val="24"/>
                <w:szCs w:val="24"/>
              </w:rPr>
              <w:t xml:space="preserve">Concepto y Diseño del </w:t>
            </w:r>
            <w:r w:rsidR="00521159">
              <w:rPr>
                <w:rFonts w:ascii="Arial" w:hAnsi="Arial" w:cs="Arial"/>
                <w:color w:val="000000"/>
                <w:sz w:val="24"/>
                <w:szCs w:val="24"/>
              </w:rPr>
              <w:t>Proyecto……………………………</w:t>
            </w:r>
            <w:r w:rsidR="00B4041F">
              <w:rPr>
                <w:rFonts w:ascii="Arial" w:hAnsi="Arial" w:cs="Arial"/>
                <w:color w:val="000000"/>
                <w:sz w:val="24"/>
                <w:szCs w:val="24"/>
              </w:rPr>
              <w:t>……….</w:t>
            </w:r>
          </w:p>
        </w:tc>
        <w:tc>
          <w:tcPr>
            <w:tcW w:w="740" w:type="dxa"/>
            <w:tcBorders>
              <w:top w:val="nil"/>
              <w:bottom w:val="nil"/>
            </w:tcBorders>
            <w:shd w:val="clear" w:color="auto" w:fill="auto"/>
            <w:vAlign w:val="center"/>
          </w:tcPr>
          <w:p w:rsidR="00521159" w:rsidRDefault="00CF1885" w:rsidP="00537330">
            <w:pPr>
              <w:spacing w:before="120"/>
              <w:jc w:val="right"/>
              <w:rPr>
                <w:rFonts w:ascii="Arial" w:hAnsi="Arial" w:cs="Arial"/>
                <w:color w:val="000000"/>
                <w:sz w:val="24"/>
                <w:szCs w:val="24"/>
              </w:rPr>
            </w:pPr>
            <w:r>
              <w:rPr>
                <w:rFonts w:ascii="Arial" w:hAnsi="Arial" w:cs="Arial"/>
                <w:color w:val="000000"/>
                <w:sz w:val="24"/>
                <w:szCs w:val="24"/>
              </w:rPr>
              <w:t>8</w:t>
            </w:r>
          </w:p>
        </w:tc>
      </w:tr>
      <w:tr w:rsidR="00521159" w:rsidRPr="00E76FD1" w:rsidTr="002F42FD">
        <w:tc>
          <w:tcPr>
            <w:tcW w:w="1384" w:type="dxa"/>
            <w:tcBorders>
              <w:top w:val="nil"/>
              <w:bottom w:val="nil"/>
            </w:tcBorders>
            <w:shd w:val="clear" w:color="auto" w:fill="D9D9D9" w:themeFill="background1" w:themeFillShade="D9"/>
            <w:vAlign w:val="center"/>
          </w:tcPr>
          <w:p w:rsidR="00521159" w:rsidRPr="00E76FD1" w:rsidRDefault="00827DE8" w:rsidP="00020BA0">
            <w:pPr>
              <w:spacing w:before="120"/>
              <w:ind w:firstLine="284"/>
              <w:jc w:val="right"/>
              <w:rPr>
                <w:rFonts w:ascii="Arial" w:hAnsi="Arial" w:cs="Arial"/>
                <w:b/>
                <w:bCs/>
                <w:color w:val="000000"/>
                <w:sz w:val="24"/>
                <w:szCs w:val="24"/>
              </w:rPr>
            </w:pPr>
            <w:r>
              <w:rPr>
                <w:rFonts w:ascii="Arial" w:hAnsi="Arial" w:cs="Arial"/>
                <w:b/>
                <w:bCs/>
                <w:color w:val="000000"/>
                <w:sz w:val="24"/>
                <w:szCs w:val="24"/>
              </w:rPr>
              <w:t>3</w:t>
            </w:r>
            <w:r w:rsidR="00395E5C">
              <w:rPr>
                <w:rFonts w:ascii="Arial" w:hAnsi="Arial" w:cs="Arial"/>
                <w:b/>
                <w:bCs/>
                <w:color w:val="000000"/>
                <w:sz w:val="24"/>
                <w:szCs w:val="24"/>
              </w:rPr>
              <w:t>.2</w:t>
            </w:r>
          </w:p>
        </w:tc>
        <w:tc>
          <w:tcPr>
            <w:tcW w:w="7088" w:type="dxa"/>
            <w:tcBorders>
              <w:top w:val="nil"/>
              <w:bottom w:val="nil"/>
            </w:tcBorders>
            <w:shd w:val="clear" w:color="auto" w:fill="D9D9D9" w:themeFill="background1" w:themeFillShade="D9"/>
            <w:vAlign w:val="center"/>
          </w:tcPr>
          <w:p w:rsidR="00521159" w:rsidRDefault="00521159" w:rsidP="00537330">
            <w:pPr>
              <w:spacing w:before="120"/>
              <w:rPr>
                <w:rFonts w:ascii="Arial" w:hAnsi="Arial" w:cs="Arial"/>
                <w:color w:val="000000"/>
                <w:sz w:val="24"/>
                <w:szCs w:val="24"/>
              </w:rPr>
            </w:pPr>
            <w:r>
              <w:rPr>
                <w:rFonts w:ascii="Arial" w:hAnsi="Arial" w:cs="Arial"/>
                <w:color w:val="000000"/>
                <w:sz w:val="24"/>
                <w:szCs w:val="24"/>
              </w:rPr>
              <w:t>Implementación del Proyecto………………………………………</w:t>
            </w:r>
          </w:p>
        </w:tc>
        <w:tc>
          <w:tcPr>
            <w:tcW w:w="740" w:type="dxa"/>
            <w:tcBorders>
              <w:top w:val="nil"/>
              <w:bottom w:val="nil"/>
            </w:tcBorders>
            <w:shd w:val="clear" w:color="auto" w:fill="D9D9D9" w:themeFill="background1" w:themeFillShade="D9"/>
            <w:vAlign w:val="center"/>
          </w:tcPr>
          <w:p w:rsidR="00521159" w:rsidRDefault="00CF1885" w:rsidP="00537330">
            <w:pPr>
              <w:spacing w:before="120"/>
              <w:jc w:val="right"/>
              <w:rPr>
                <w:rFonts w:ascii="Arial" w:hAnsi="Arial" w:cs="Arial"/>
                <w:color w:val="000000"/>
                <w:sz w:val="24"/>
                <w:szCs w:val="24"/>
              </w:rPr>
            </w:pPr>
            <w:r>
              <w:rPr>
                <w:rFonts w:ascii="Arial" w:hAnsi="Arial" w:cs="Arial"/>
                <w:color w:val="000000"/>
                <w:sz w:val="24"/>
                <w:szCs w:val="24"/>
              </w:rPr>
              <w:t>12</w:t>
            </w:r>
          </w:p>
        </w:tc>
      </w:tr>
      <w:tr w:rsidR="00521159" w:rsidRPr="00E76FD1" w:rsidTr="002F42FD">
        <w:tc>
          <w:tcPr>
            <w:tcW w:w="1384" w:type="dxa"/>
            <w:tcBorders>
              <w:top w:val="nil"/>
              <w:bottom w:val="nil"/>
            </w:tcBorders>
            <w:shd w:val="clear" w:color="auto" w:fill="auto"/>
            <w:vAlign w:val="center"/>
          </w:tcPr>
          <w:p w:rsidR="00521159" w:rsidRPr="00E76FD1" w:rsidRDefault="00827DE8" w:rsidP="00020BA0">
            <w:pPr>
              <w:spacing w:before="120"/>
              <w:ind w:firstLine="284"/>
              <w:jc w:val="right"/>
              <w:rPr>
                <w:rFonts w:ascii="Arial" w:hAnsi="Arial" w:cs="Arial"/>
                <w:b/>
                <w:bCs/>
                <w:color w:val="000000"/>
                <w:sz w:val="24"/>
                <w:szCs w:val="24"/>
              </w:rPr>
            </w:pPr>
            <w:r>
              <w:rPr>
                <w:rFonts w:ascii="Arial" w:hAnsi="Arial" w:cs="Arial"/>
                <w:b/>
                <w:bCs/>
                <w:color w:val="000000"/>
                <w:sz w:val="24"/>
                <w:szCs w:val="24"/>
              </w:rPr>
              <w:t>3</w:t>
            </w:r>
            <w:r w:rsidR="00395E5C">
              <w:rPr>
                <w:rFonts w:ascii="Arial" w:hAnsi="Arial" w:cs="Arial"/>
                <w:b/>
                <w:bCs/>
                <w:color w:val="000000"/>
                <w:sz w:val="24"/>
                <w:szCs w:val="24"/>
              </w:rPr>
              <w:t>.3</w:t>
            </w:r>
          </w:p>
        </w:tc>
        <w:tc>
          <w:tcPr>
            <w:tcW w:w="7088" w:type="dxa"/>
            <w:tcBorders>
              <w:top w:val="nil"/>
              <w:bottom w:val="nil"/>
            </w:tcBorders>
            <w:shd w:val="clear" w:color="auto" w:fill="auto"/>
            <w:vAlign w:val="center"/>
          </w:tcPr>
          <w:p w:rsidR="00521159" w:rsidRDefault="00395E5C" w:rsidP="00395E5C">
            <w:pPr>
              <w:spacing w:before="120"/>
              <w:rPr>
                <w:rFonts w:ascii="Arial" w:hAnsi="Arial" w:cs="Arial"/>
                <w:color w:val="000000"/>
                <w:sz w:val="24"/>
                <w:szCs w:val="24"/>
              </w:rPr>
            </w:pPr>
            <w:r>
              <w:rPr>
                <w:rFonts w:ascii="Arial" w:hAnsi="Arial" w:cs="Arial"/>
                <w:color w:val="000000"/>
                <w:sz w:val="24"/>
                <w:szCs w:val="24"/>
              </w:rPr>
              <w:t xml:space="preserve">Resultados </w:t>
            </w:r>
            <w:r w:rsidR="00521159">
              <w:rPr>
                <w:rFonts w:ascii="Arial" w:hAnsi="Arial" w:cs="Arial"/>
                <w:color w:val="000000"/>
                <w:sz w:val="24"/>
                <w:szCs w:val="24"/>
              </w:rPr>
              <w:t>del Proyecto</w:t>
            </w:r>
            <w:r>
              <w:rPr>
                <w:rFonts w:ascii="Arial" w:hAnsi="Arial" w:cs="Arial"/>
                <w:color w:val="000000"/>
                <w:sz w:val="24"/>
                <w:szCs w:val="24"/>
              </w:rPr>
              <w:t>……………………………………………</w:t>
            </w:r>
          </w:p>
        </w:tc>
        <w:tc>
          <w:tcPr>
            <w:tcW w:w="740" w:type="dxa"/>
            <w:tcBorders>
              <w:top w:val="nil"/>
              <w:bottom w:val="nil"/>
            </w:tcBorders>
            <w:shd w:val="clear" w:color="auto" w:fill="auto"/>
            <w:vAlign w:val="center"/>
          </w:tcPr>
          <w:p w:rsidR="00521159" w:rsidRDefault="00CF1885" w:rsidP="00537330">
            <w:pPr>
              <w:spacing w:before="120"/>
              <w:jc w:val="right"/>
              <w:rPr>
                <w:rFonts w:ascii="Arial" w:hAnsi="Arial" w:cs="Arial"/>
                <w:color w:val="000000"/>
                <w:sz w:val="24"/>
                <w:szCs w:val="24"/>
              </w:rPr>
            </w:pPr>
            <w:r>
              <w:rPr>
                <w:rFonts w:ascii="Arial" w:hAnsi="Arial" w:cs="Arial"/>
                <w:color w:val="000000"/>
                <w:sz w:val="24"/>
                <w:szCs w:val="24"/>
              </w:rPr>
              <w:t>29</w:t>
            </w:r>
          </w:p>
        </w:tc>
      </w:tr>
      <w:tr w:rsidR="00521159" w:rsidRPr="00E76FD1" w:rsidTr="002F42FD">
        <w:tc>
          <w:tcPr>
            <w:tcW w:w="1384" w:type="dxa"/>
            <w:tcBorders>
              <w:top w:val="nil"/>
              <w:bottom w:val="nil"/>
            </w:tcBorders>
            <w:shd w:val="clear" w:color="auto" w:fill="D9D9D9" w:themeFill="background1" w:themeFillShade="D9"/>
            <w:vAlign w:val="center"/>
          </w:tcPr>
          <w:p w:rsidR="00521159" w:rsidRDefault="006351AE" w:rsidP="006351AE">
            <w:pPr>
              <w:spacing w:before="120"/>
              <w:rPr>
                <w:rFonts w:ascii="Arial" w:hAnsi="Arial" w:cs="Arial"/>
                <w:b/>
                <w:bCs/>
                <w:color w:val="000000"/>
                <w:sz w:val="24"/>
                <w:szCs w:val="24"/>
              </w:rPr>
            </w:pPr>
            <w:r>
              <w:rPr>
                <w:rFonts w:ascii="Arial" w:hAnsi="Arial" w:cs="Arial"/>
                <w:b/>
                <w:bCs/>
                <w:color w:val="000000"/>
                <w:sz w:val="24"/>
                <w:szCs w:val="24"/>
              </w:rPr>
              <w:t>4</w:t>
            </w:r>
          </w:p>
        </w:tc>
        <w:tc>
          <w:tcPr>
            <w:tcW w:w="7088" w:type="dxa"/>
            <w:tcBorders>
              <w:top w:val="nil"/>
              <w:bottom w:val="nil"/>
            </w:tcBorders>
            <w:shd w:val="clear" w:color="auto" w:fill="D9D9D9" w:themeFill="background1" w:themeFillShade="D9"/>
            <w:vAlign w:val="center"/>
          </w:tcPr>
          <w:p w:rsidR="00521159" w:rsidRDefault="00395E5C" w:rsidP="00395E5C">
            <w:pPr>
              <w:spacing w:before="120"/>
              <w:rPr>
                <w:rFonts w:ascii="Arial" w:hAnsi="Arial" w:cs="Arial"/>
                <w:color w:val="000000"/>
                <w:sz w:val="24"/>
                <w:szCs w:val="24"/>
              </w:rPr>
            </w:pPr>
            <w:proofErr w:type="gramStart"/>
            <w:r>
              <w:rPr>
                <w:rFonts w:ascii="Arial" w:hAnsi="Arial" w:cs="Arial"/>
                <w:color w:val="000000"/>
                <w:sz w:val="24"/>
                <w:szCs w:val="24"/>
              </w:rPr>
              <w:t>Conclusiones  …</w:t>
            </w:r>
            <w:proofErr w:type="gramEnd"/>
            <w:r>
              <w:rPr>
                <w:rFonts w:ascii="Arial" w:hAnsi="Arial" w:cs="Arial"/>
                <w:color w:val="000000"/>
                <w:sz w:val="24"/>
                <w:szCs w:val="24"/>
              </w:rPr>
              <w:t>……………………………………………………</w:t>
            </w:r>
          </w:p>
        </w:tc>
        <w:tc>
          <w:tcPr>
            <w:tcW w:w="740" w:type="dxa"/>
            <w:tcBorders>
              <w:top w:val="nil"/>
              <w:bottom w:val="nil"/>
            </w:tcBorders>
            <w:shd w:val="clear" w:color="auto" w:fill="D9D9D9" w:themeFill="background1" w:themeFillShade="D9"/>
            <w:vAlign w:val="center"/>
          </w:tcPr>
          <w:p w:rsidR="00521159" w:rsidRDefault="00CF1885" w:rsidP="00537330">
            <w:pPr>
              <w:spacing w:before="120"/>
              <w:jc w:val="right"/>
              <w:rPr>
                <w:rFonts w:ascii="Arial" w:hAnsi="Arial" w:cs="Arial"/>
                <w:color w:val="000000"/>
                <w:sz w:val="24"/>
                <w:szCs w:val="24"/>
              </w:rPr>
            </w:pPr>
            <w:r>
              <w:rPr>
                <w:rFonts w:ascii="Arial" w:hAnsi="Arial" w:cs="Arial"/>
                <w:color w:val="000000"/>
                <w:sz w:val="24"/>
                <w:szCs w:val="24"/>
              </w:rPr>
              <w:t>33</w:t>
            </w:r>
          </w:p>
        </w:tc>
      </w:tr>
      <w:tr w:rsidR="00521159" w:rsidRPr="00E76FD1" w:rsidTr="003E1BB1">
        <w:tc>
          <w:tcPr>
            <w:tcW w:w="1384" w:type="dxa"/>
            <w:tcBorders>
              <w:top w:val="nil"/>
              <w:bottom w:val="nil"/>
            </w:tcBorders>
            <w:shd w:val="clear" w:color="auto" w:fill="auto"/>
            <w:vAlign w:val="center"/>
          </w:tcPr>
          <w:p w:rsidR="00521159" w:rsidRDefault="006351AE" w:rsidP="00537330">
            <w:pPr>
              <w:spacing w:before="120"/>
              <w:rPr>
                <w:rFonts w:ascii="Arial" w:hAnsi="Arial" w:cs="Arial"/>
                <w:b/>
                <w:bCs/>
                <w:color w:val="000000"/>
                <w:sz w:val="24"/>
                <w:szCs w:val="24"/>
              </w:rPr>
            </w:pPr>
            <w:r>
              <w:rPr>
                <w:rFonts w:ascii="Arial" w:hAnsi="Arial" w:cs="Arial"/>
                <w:b/>
                <w:bCs/>
                <w:color w:val="000000"/>
                <w:sz w:val="24"/>
                <w:szCs w:val="24"/>
              </w:rPr>
              <w:t>5</w:t>
            </w:r>
          </w:p>
        </w:tc>
        <w:tc>
          <w:tcPr>
            <w:tcW w:w="7088" w:type="dxa"/>
            <w:tcBorders>
              <w:top w:val="nil"/>
              <w:bottom w:val="nil"/>
            </w:tcBorders>
            <w:shd w:val="clear" w:color="auto" w:fill="auto"/>
            <w:vAlign w:val="center"/>
          </w:tcPr>
          <w:p w:rsidR="00521159" w:rsidRDefault="00521159" w:rsidP="00537330">
            <w:pPr>
              <w:spacing w:before="120"/>
              <w:rPr>
                <w:rFonts w:ascii="Arial" w:hAnsi="Arial" w:cs="Arial"/>
                <w:color w:val="000000"/>
                <w:sz w:val="24"/>
                <w:szCs w:val="24"/>
              </w:rPr>
            </w:pPr>
            <w:r>
              <w:rPr>
                <w:rFonts w:ascii="Arial" w:hAnsi="Arial" w:cs="Arial"/>
                <w:color w:val="000000"/>
                <w:sz w:val="24"/>
                <w:szCs w:val="24"/>
              </w:rPr>
              <w:t>Recomendaciones…………………………………………………….</w:t>
            </w:r>
          </w:p>
        </w:tc>
        <w:tc>
          <w:tcPr>
            <w:tcW w:w="740" w:type="dxa"/>
            <w:tcBorders>
              <w:top w:val="nil"/>
              <w:bottom w:val="nil"/>
            </w:tcBorders>
            <w:shd w:val="clear" w:color="auto" w:fill="auto"/>
            <w:vAlign w:val="center"/>
          </w:tcPr>
          <w:p w:rsidR="00521159" w:rsidRDefault="00CF1885" w:rsidP="00537330">
            <w:pPr>
              <w:spacing w:before="120"/>
              <w:jc w:val="right"/>
              <w:rPr>
                <w:rFonts w:ascii="Arial" w:hAnsi="Arial" w:cs="Arial"/>
                <w:color w:val="000000"/>
                <w:sz w:val="24"/>
                <w:szCs w:val="24"/>
              </w:rPr>
            </w:pPr>
            <w:r>
              <w:rPr>
                <w:rFonts w:ascii="Arial" w:hAnsi="Arial" w:cs="Arial"/>
                <w:color w:val="000000"/>
                <w:sz w:val="24"/>
                <w:szCs w:val="24"/>
              </w:rPr>
              <w:t>34</w:t>
            </w:r>
          </w:p>
        </w:tc>
      </w:tr>
      <w:tr w:rsidR="00DF2248" w:rsidRPr="00E76FD1" w:rsidTr="003E1BB1">
        <w:tc>
          <w:tcPr>
            <w:tcW w:w="1384" w:type="dxa"/>
            <w:tcBorders>
              <w:top w:val="nil"/>
              <w:bottom w:val="nil"/>
            </w:tcBorders>
            <w:shd w:val="clear" w:color="auto" w:fill="D9D9D9" w:themeFill="background1" w:themeFillShade="D9"/>
            <w:vAlign w:val="center"/>
          </w:tcPr>
          <w:p w:rsidR="00DF2248" w:rsidRDefault="006351AE" w:rsidP="00537330">
            <w:pPr>
              <w:spacing w:before="120"/>
              <w:rPr>
                <w:rFonts w:ascii="Arial" w:hAnsi="Arial" w:cs="Arial"/>
                <w:b/>
                <w:bCs/>
                <w:color w:val="000000"/>
                <w:sz w:val="24"/>
                <w:szCs w:val="24"/>
              </w:rPr>
            </w:pPr>
            <w:r>
              <w:rPr>
                <w:rFonts w:ascii="Arial" w:hAnsi="Arial" w:cs="Arial"/>
                <w:b/>
                <w:bCs/>
                <w:color w:val="000000"/>
                <w:sz w:val="24"/>
                <w:szCs w:val="24"/>
              </w:rPr>
              <w:t>6</w:t>
            </w:r>
          </w:p>
        </w:tc>
        <w:tc>
          <w:tcPr>
            <w:tcW w:w="7088" w:type="dxa"/>
            <w:tcBorders>
              <w:top w:val="nil"/>
              <w:bottom w:val="nil"/>
            </w:tcBorders>
            <w:shd w:val="clear" w:color="auto" w:fill="D9D9D9" w:themeFill="background1" w:themeFillShade="D9"/>
            <w:vAlign w:val="center"/>
          </w:tcPr>
          <w:p w:rsidR="00DF2248" w:rsidRDefault="00DF2248" w:rsidP="00537330">
            <w:pPr>
              <w:spacing w:before="120"/>
              <w:rPr>
                <w:rFonts w:ascii="Arial" w:hAnsi="Arial" w:cs="Arial"/>
                <w:color w:val="000000"/>
                <w:sz w:val="24"/>
                <w:szCs w:val="24"/>
              </w:rPr>
            </w:pPr>
            <w:r>
              <w:rPr>
                <w:rFonts w:ascii="Arial" w:hAnsi="Arial" w:cs="Arial"/>
                <w:color w:val="000000"/>
                <w:sz w:val="24"/>
                <w:szCs w:val="24"/>
              </w:rPr>
              <w:t>Lecciones Aprendidas</w:t>
            </w:r>
            <w:r w:rsidR="00B4041F">
              <w:rPr>
                <w:rFonts w:ascii="Arial" w:hAnsi="Arial" w:cs="Arial"/>
                <w:color w:val="000000"/>
                <w:sz w:val="24"/>
                <w:szCs w:val="24"/>
              </w:rPr>
              <w:t>………………………………………………..</w:t>
            </w:r>
          </w:p>
        </w:tc>
        <w:tc>
          <w:tcPr>
            <w:tcW w:w="740" w:type="dxa"/>
            <w:tcBorders>
              <w:top w:val="nil"/>
              <w:bottom w:val="nil"/>
            </w:tcBorders>
            <w:shd w:val="clear" w:color="auto" w:fill="D9D9D9" w:themeFill="background1" w:themeFillShade="D9"/>
            <w:vAlign w:val="center"/>
          </w:tcPr>
          <w:p w:rsidR="00DF2248" w:rsidRDefault="00CF1885" w:rsidP="00537330">
            <w:pPr>
              <w:spacing w:before="120"/>
              <w:jc w:val="right"/>
              <w:rPr>
                <w:rFonts w:ascii="Arial" w:hAnsi="Arial" w:cs="Arial"/>
                <w:color w:val="000000"/>
                <w:sz w:val="24"/>
                <w:szCs w:val="24"/>
              </w:rPr>
            </w:pPr>
            <w:r>
              <w:rPr>
                <w:rFonts w:ascii="Arial" w:hAnsi="Arial" w:cs="Arial"/>
                <w:color w:val="000000"/>
                <w:sz w:val="24"/>
                <w:szCs w:val="24"/>
              </w:rPr>
              <w:t>35</w:t>
            </w:r>
          </w:p>
        </w:tc>
      </w:tr>
      <w:tr w:rsidR="00521159" w:rsidRPr="00E76FD1" w:rsidTr="003E1BB1">
        <w:tc>
          <w:tcPr>
            <w:tcW w:w="1384" w:type="dxa"/>
            <w:tcBorders>
              <w:top w:val="nil"/>
              <w:bottom w:val="single" w:sz="4" w:space="0" w:color="auto"/>
            </w:tcBorders>
            <w:shd w:val="clear" w:color="auto" w:fill="auto"/>
            <w:vAlign w:val="center"/>
          </w:tcPr>
          <w:p w:rsidR="00521159" w:rsidRDefault="006351AE" w:rsidP="00537330">
            <w:pPr>
              <w:spacing w:before="120"/>
              <w:rPr>
                <w:rFonts w:ascii="Arial" w:hAnsi="Arial" w:cs="Arial"/>
                <w:b/>
                <w:bCs/>
                <w:color w:val="000000"/>
                <w:sz w:val="24"/>
                <w:szCs w:val="24"/>
              </w:rPr>
            </w:pPr>
            <w:r>
              <w:rPr>
                <w:rFonts w:ascii="Arial" w:hAnsi="Arial" w:cs="Arial"/>
                <w:b/>
                <w:bCs/>
                <w:color w:val="000000"/>
                <w:sz w:val="24"/>
                <w:szCs w:val="24"/>
              </w:rPr>
              <w:t>7</w:t>
            </w:r>
          </w:p>
        </w:tc>
        <w:tc>
          <w:tcPr>
            <w:tcW w:w="7088" w:type="dxa"/>
            <w:tcBorders>
              <w:top w:val="nil"/>
              <w:bottom w:val="single" w:sz="4" w:space="0" w:color="auto"/>
            </w:tcBorders>
            <w:shd w:val="clear" w:color="auto" w:fill="auto"/>
            <w:vAlign w:val="center"/>
          </w:tcPr>
          <w:p w:rsidR="00521159" w:rsidRDefault="00521159" w:rsidP="00537330">
            <w:pPr>
              <w:spacing w:before="120"/>
              <w:rPr>
                <w:rFonts w:ascii="Arial" w:hAnsi="Arial" w:cs="Arial"/>
                <w:color w:val="000000"/>
                <w:sz w:val="24"/>
                <w:szCs w:val="24"/>
              </w:rPr>
            </w:pPr>
            <w:r>
              <w:rPr>
                <w:rFonts w:ascii="Arial" w:hAnsi="Arial" w:cs="Arial"/>
                <w:color w:val="000000"/>
                <w:sz w:val="24"/>
                <w:szCs w:val="24"/>
              </w:rPr>
              <w:t>Calificación del Proyecto……………………………………………</w:t>
            </w:r>
          </w:p>
        </w:tc>
        <w:tc>
          <w:tcPr>
            <w:tcW w:w="740" w:type="dxa"/>
            <w:tcBorders>
              <w:top w:val="nil"/>
              <w:bottom w:val="single" w:sz="4" w:space="0" w:color="auto"/>
            </w:tcBorders>
            <w:shd w:val="clear" w:color="auto" w:fill="auto"/>
            <w:vAlign w:val="center"/>
          </w:tcPr>
          <w:p w:rsidR="00521159" w:rsidRDefault="00CF1885" w:rsidP="00537330">
            <w:pPr>
              <w:spacing w:before="120"/>
              <w:jc w:val="right"/>
              <w:rPr>
                <w:rFonts w:ascii="Arial" w:hAnsi="Arial" w:cs="Arial"/>
                <w:color w:val="000000"/>
                <w:sz w:val="24"/>
                <w:szCs w:val="24"/>
              </w:rPr>
            </w:pPr>
            <w:r>
              <w:rPr>
                <w:rFonts w:ascii="Arial" w:hAnsi="Arial" w:cs="Arial"/>
                <w:color w:val="000000"/>
                <w:sz w:val="24"/>
                <w:szCs w:val="24"/>
              </w:rPr>
              <w:t>36</w:t>
            </w:r>
          </w:p>
        </w:tc>
      </w:tr>
    </w:tbl>
    <w:p w:rsidR="002F42FD" w:rsidRPr="00CF1885" w:rsidRDefault="002F42FD" w:rsidP="00CF1885">
      <w:pPr>
        <w:spacing w:before="240"/>
        <w:rPr>
          <w:i/>
          <w:sz w:val="32"/>
        </w:rPr>
      </w:pPr>
      <w:r>
        <w:rPr>
          <w:b/>
          <w:i/>
          <w:sz w:val="32"/>
          <w:u w:val="single"/>
        </w:rPr>
        <w:t>Anexos</w:t>
      </w:r>
      <w:r w:rsidR="00CF1885" w:rsidRPr="00CF1885">
        <w:rPr>
          <w:i/>
          <w:sz w:val="32"/>
        </w:rPr>
        <w:tab/>
      </w:r>
      <w:r w:rsidR="00CF1885" w:rsidRPr="00CF1885">
        <w:rPr>
          <w:i/>
          <w:sz w:val="32"/>
        </w:rPr>
        <w:tab/>
      </w:r>
      <w:r w:rsidR="00CF1885" w:rsidRPr="00CF1885">
        <w:rPr>
          <w:i/>
          <w:sz w:val="32"/>
        </w:rPr>
        <w:tab/>
      </w:r>
      <w:r w:rsidR="00CF1885" w:rsidRPr="00CF1885">
        <w:rPr>
          <w:i/>
          <w:sz w:val="32"/>
        </w:rPr>
        <w:tab/>
      </w:r>
      <w:r w:rsidR="00CF1885" w:rsidRPr="00CF1885">
        <w:rPr>
          <w:i/>
          <w:sz w:val="32"/>
        </w:rPr>
        <w:tab/>
      </w:r>
      <w:r w:rsidR="00CF1885" w:rsidRPr="00CF1885">
        <w:rPr>
          <w:i/>
          <w:sz w:val="32"/>
        </w:rPr>
        <w:tab/>
      </w:r>
      <w:r w:rsidR="00CF1885" w:rsidRPr="00CF1885">
        <w:rPr>
          <w:i/>
          <w:sz w:val="32"/>
        </w:rPr>
        <w:tab/>
      </w:r>
      <w:r w:rsidR="00CF1885" w:rsidRPr="00CF1885">
        <w:rPr>
          <w:i/>
          <w:sz w:val="32"/>
        </w:rPr>
        <w:tab/>
      </w:r>
      <w:r w:rsidR="00CF1885" w:rsidRPr="00CF1885">
        <w:rPr>
          <w:i/>
          <w:sz w:val="32"/>
        </w:rPr>
        <w:tab/>
      </w:r>
      <w:r w:rsidR="00CF1885" w:rsidRPr="00CF1885">
        <w:rPr>
          <w:i/>
          <w:sz w:val="32"/>
        </w:rPr>
        <w:tab/>
        <w:t xml:space="preserve"> 37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027"/>
      </w:tblGrid>
      <w:tr w:rsidR="00B4041F" w:rsidTr="003E1BB1">
        <w:tc>
          <w:tcPr>
            <w:tcW w:w="1951" w:type="dxa"/>
            <w:tcBorders>
              <w:top w:val="single" w:sz="4" w:space="0" w:color="auto"/>
            </w:tcBorders>
            <w:shd w:val="clear" w:color="auto" w:fill="D9D9D9" w:themeFill="background1" w:themeFillShade="D9"/>
          </w:tcPr>
          <w:p w:rsidR="00B4041F" w:rsidRPr="003E1BB1" w:rsidRDefault="00B4041F" w:rsidP="00B4041F">
            <w:pPr>
              <w:spacing w:before="120" w:after="120" w:line="276" w:lineRule="auto"/>
              <w:rPr>
                <w:b/>
                <w:sz w:val="24"/>
              </w:rPr>
            </w:pPr>
            <w:r w:rsidRPr="003E1BB1">
              <w:rPr>
                <w:b/>
                <w:sz w:val="28"/>
              </w:rPr>
              <w:t>Anexo I</w:t>
            </w:r>
          </w:p>
        </w:tc>
        <w:tc>
          <w:tcPr>
            <w:tcW w:w="7027" w:type="dxa"/>
            <w:tcBorders>
              <w:top w:val="single" w:sz="4" w:space="0" w:color="auto"/>
            </w:tcBorders>
            <w:shd w:val="clear" w:color="auto" w:fill="D9D9D9" w:themeFill="background1" w:themeFillShade="D9"/>
          </w:tcPr>
          <w:p w:rsidR="00B4041F" w:rsidRDefault="00700AB3" w:rsidP="003E1BB1">
            <w:pPr>
              <w:spacing w:before="120" w:after="120"/>
              <w:jc w:val="right"/>
              <w:rPr>
                <w:sz w:val="24"/>
              </w:rPr>
            </w:pPr>
            <w:r>
              <w:rPr>
                <w:sz w:val="28"/>
              </w:rPr>
              <w:t>Listado de Entrevistas Realizadas</w:t>
            </w:r>
          </w:p>
        </w:tc>
      </w:tr>
      <w:tr w:rsidR="00B4041F" w:rsidTr="003E1BB1">
        <w:tc>
          <w:tcPr>
            <w:tcW w:w="1951" w:type="dxa"/>
          </w:tcPr>
          <w:p w:rsidR="00B4041F" w:rsidRPr="003E1BB1" w:rsidRDefault="00B4041F" w:rsidP="00B4041F">
            <w:pPr>
              <w:spacing w:before="120" w:after="120" w:line="276" w:lineRule="auto"/>
              <w:rPr>
                <w:b/>
                <w:sz w:val="24"/>
              </w:rPr>
            </w:pPr>
            <w:r w:rsidRPr="003E1BB1">
              <w:rPr>
                <w:b/>
                <w:sz w:val="28"/>
              </w:rPr>
              <w:t>Anexo II</w:t>
            </w:r>
          </w:p>
        </w:tc>
        <w:tc>
          <w:tcPr>
            <w:tcW w:w="7027" w:type="dxa"/>
          </w:tcPr>
          <w:p w:rsidR="00B4041F" w:rsidRDefault="00CF1885" w:rsidP="003E1BB1">
            <w:pPr>
              <w:spacing w:before="120" w:after="120"/>
              <w:jc w:val="right"/>
              <w:rPr>
                <w:sz w:val="24"/>
              </w:rPr>
            </w:pPr>
            <w:r w:rsidRPr="00CF1885">
              <w:rPr>
                <w:sz w:val="28"/>
              </w:rPr>
              <w:t>Matriz de Marco Lógico Original del Proyecto</w:t>
            </w:r>
          </w:p>
        </w:tc>
      </w:tr>
      <w:tr w:rsidR="00CF1885" w:rsidTr="00CF1885">
        <w:tc>
          <w:tcPr>
            <w:tcW w:w="1951" w:type="dxa"/>
            <w:shd w:val="clear" w:color="auto" w:fill="BFBFBF" w:themeFill="background1" w:themeFillShade="BF"/>
          </w:tcPr>
          <w:p w:rsidR="00CF1885" w:rsidRPr="003E1BB1" w:rsidRDefault="00CF1885" w:rsidP="00B4041F">
            <w:pPr>
              <w:spacing w:before="120" w:after="120"/>
              <w:rPr>
                <w:b/>
                <w:sz w:val="28"/>
              </w:rPr>
            </w:pPr>
            <w:r>
              <w:rPr>
                <w:b/>
                <w:sz w:val="28"/>
              </w:rPr>
              <w:t>Anexo III</w:t>
            </w:r>
          </w:p>
        </w:tc>
        <w:tc>
          <w:tcPr>
            <w:tcW w:w="7027" w:type="dxa"/>
            <w:shd w:val="clear" w:color="auto" w:fill="BFBFBF" w:themeFill="background1" w:themeFillShade="BF"/>
          </w:tcPr>
          <w:p w:rsidR="00CF1885" w:rsidRDefault="00CF1885" w:rsidP="00CF1885">
            <w:pPr>
              <w:spacing w:before="120" w:after="120"/>
              <w:jc w:val="right"/>
              <w:rPr>
                <w:sz w:val="28"/>
              </w:rPr>
            </w:pPr>
            <w:r w:rsidRPr="00CF1885">
              <w:rPr>
                <w:sz w:val="28"/>
              </w:rPr>
              <w:t xml:space="preserve">Marco Lógico  </w:t>
            </w:r>
            <w:r>
              <w:rPr>
                <w:sz w:val="28"/>
              </w:rPr>
              <w:t xml:space="preserve">Revisado </w:t>
            </w:r>
            <w:r w:rsidRPr="00CF1885">
              <w:rPr>
                <w:sz w:val="28"/>
              </w:rPr>
              <w:t xml:space="preserve">del </w:t>
            </w:r>
            <w:r>
              <w:rPr>
                <w:sz w:val="28"/>
              </w:rPr>
              <w:t>p</w:t>
            </w:r>
            <w:r w:rsidRPr="00CF1885">
              <w:rPr>
                <w:sz w:val="28"/>
              </w:rPr>
              <w:t>royecto</w:t>
            </w:r>
            <w:r>
              <w:rPr>
                <w:sz w:val="28"/>
              </w:rPr>
              <w:t>, de acuerdo a las nuevas circunstancias y prioridades del Estado Mexicano.</w:t>
            </w:r>
          </w:p>
        </w:tc>
      </w:tr>
      <w:tr w:rsidR="00B4041F" w:rsidTr="00CF1885">
        <w:tc>
          <w:tcPr>
            <w:tcW w:w="1951" w:type="dxa"/>
            <w:tcBorders>
              <w:bottom w:val="single" w:sz="4" w:space="0" w:color="auto"/>
            </w:tcBorders>
            <w:shd w:val="clear" w:color="auto" w:fill="auto"/>
          </w:tcPr>
          <w:p w:rsidR="00B4041F" w:rsidRPr="003E1BB1" w:rsidRDefault="00CF1885" w:rsidP="00B4041F">
            <w:pPr>
              <w:spacing w:before="120" w:after="120" w:line="276" w:lineRule="auto"/>
              <w:rPr>
                <w:b/>
                <w:sz w:val="24"/>
              </w:rPr>
            </w:pPr>
            <w:r>
              <w:rPr>
                <w:b/>
                <w:sz w:val="28"/>
              </w:rPr>
              <w:t>Anexo IV</w:t>
            </w:r>
          </w:p>
        </w:tc>
        <w:tc>
          <w:tcPr>
            <w:tcW w:w="7027" w:type="dxa"/>
            <w:tcBorders>
              <w:bottom w:val="single" w:sz="4" w:space="0" w:color="auto"/>
            </w:tcBorders>
            <w:shd w:val="clear" w:color="auto" w:fill="auto"/>
          </w:tcPr>
          <w:p w:rsidR="00B4041F" w:rsidRDefault="00CF1885" w:rsidP="003E1BB1">
            <w:pPr>
              <w:spacing w:before="120" w:after="120"/>
              <w:jc w:val="right"/>
              <w:rPr>
                <w:sz w:val="24"/>
              </w:rPr>
            </w:pPr>
            <w:r>
              <w:rPr>
                <w:sz w:val="28"/>
              </w:rPr>
              <w:t>Términos de Referencia Evaluación Final</w:t>
            </w:r>
          </w:p>
        </w:tc>
      </w:tr>
    </w:tbl>
    <w:p w:rsidR="00B4041F" w:rsidRPr="002F42FD" w:rsidRDefault="00B4041F" w:rsidP="003E1BB1">
      <w:pPr>
        <w:spacing w:before="120" w:after="120" w:line="240" w:lineRule="auto"/>
        <w:rPr>
          <w:sz w:val="24"/>
        </w:rPr>
        <w:sectPr w:rsidR="00B4041F" w:rsidRPr="002F42FD" w:rsidSect="00B4041F">
          <w:footerReference w:type="default" r:id="rId14"/>
          <w:pgSz w:w="12240" w:h="15840" w:code="1"/>
          <w:pgMar w:top="1417" w:right="1701" w:bottom="1417" w:left="1701" w:header="708" w:footer="708" w:gutter="0"/>
          <w:cols w:space="708"/>
          <w:docGrid w:linePitch="360"/>
        </w:sectPr>
      </w:pPr>
    </w:p>
    <w:p w:rsidR="006113EA" w:rsidRPr="00E561C6" w:rsidRDefault="00E561C6" w:rsidP="00E561C6">
      <w:pPr>
        <w:jc w:val="center"/>
        <w:rPr>
          <w:b/>
          <w:i/>
          <w:sz w:val="36"/>
          <w:u w:val="single"/>
        </w:rPr>
      </w:pPr>
      <w:r w:rsidRPr="00E561C6">
        <w:rPr>
          <w:b/>
          <w:i/>
          <w:sz w:val="36"/>
          <w:u w:val="single"/>
        </w:rPr>
        <w:lastRenderedPageBreak/>
        <w:t>Resumen Ejecutivo</w:t>
      </w:r>
    </w:p>
    <w:p w:rsidR="00D00CF0" w:rsidRDefault="00C936DA" w:rsidP="002C7A7D">
      <w:pPr>
        <w:jc w:val="both"/>
        <w:rPr>
          <w:rFonts w:asciiTheme="minorHAnsi" w:hAnsiTheme="minorHAnsi" w:cstheme="minorHAnsi"/>
          <w:sz w:val="24"/>
          <w:szCs w:val="24"/>
        </w:rPr>
      </w:pPr>
      <w:r>
        <w:rPr>
          <w:rFonts w:asciiTheme="minorHAnsi" w:hAnsiTheme="minorHAnsi" w:cstheme="minorHAnsi"/>
          <w:sz w:val="24"/>
          <w:szCs w:val="24"/>
        </w:rPr>
        <w:t xml:space="preserve">La oficina del Programa de Naciones Unidas para el Desarrollo (PNUD) de México, realizó un llamado público para llevar a cabo la evaluación final del </w:t>
      </w:r>
      <w:r w:rsidRPr="00C936DA">
        <w:rPr>
          <w:rFonts w:asciiTheme="minorHAnsi" w:hAnsiTheme="minorHAnsi" w:cstheme="minorHAnsi"/>
          <w:sz w:val="24"/>
          <w:szCs w:val="24"/>
        </w:rPr>
        <w:t xml:space="preserve">Proyecto “Diseño y </w:t>
      </w:r>
      <w:r>
        <w:rPr>
          <w:rFonts w:asciiTheme="minorHAnsi" w:hAnsiTheme="minorHAnsi" w:cstheme="minorHAnsi"/>
          <w:sz w:val="24"/>
          <w:szCs w:val="24"/>
        </w:rPr>
        <w:t>Planeación E</w:t>
      </w:r>
      <w:r w:rsidRPr="00C936DA">
        <w:rPr>
          <w:rFonts w:asciiTheme="minorHAnsi" w:hAnsiTheme="minorHAnsi" w:cstheme="minorHAnsi"/>
          <w:sz w:val="24"/>
          <w:szCs w:val="24"/>
        </w:rPr>
        <w:t xml:space="preserve">stratégica para la Protección Ambiental y el Desarrollo Sustentable en México” </w:t>
      </w:r>
      <w:r>
        <w:rPr>
          <w:rFonts w:asciiTheme="minorHAnsi" w:hAnsiTheme="minorHAnsi" w:cstheme="minorHAnsi"/>
          <w:sz w:val="24"/>
          <w:szCs w:val="24"/>
        </w:rPr>
        <w:t xml:space="preserve">(proyecto </w:t>
      </w:r>
      <w:r w:rsidRPr="00C936DA">
        <w:rPr>
          <w:rFonts w:asciiTheme="minorHAnsi" w:hAnsiTheme="minorHAnsi" w:cstheme="minorHAnsi"/>
          <w:sz w:val="24"/>
          <w:szCs w:val="24"/>
        </w:rPr>
        <w:t>MEX/01/G35</w:t>
      </w:r>
      <w:r>
        <w:rPr>
          <w:rFonts w:asciiTheme="minorHAnsi" w:hAnsiTheme="minorHAnsi" w:cstheme="minorHAnsi"/>
          <w:sz w:val="24"/>
          <w:szCs w:val="24"/>
        </w:rPr>
        <w:t>), también conocido como “Plan Verde”.</w:t>
      </w:r>
      <w:r w:rsidR="0031446F">
        <w:rPr>
          <w:rFonts w:asciiTheme="minorHAnsi" w:hAnsiTheme="minorHAnsi" w:cstheme="minorHAnsi"/>
          <w:sz w:val="24"/>
          <w:szCs w:val="24"/>
        </w:rPr>
        <w:t xml:space="preserve"> La evaluación del proyecto fue realizada por un equipo de dos consultores, siendo uno nacional y el otro internacional.</w:t>
      </w:r>
      <w:r w:rsidR="00FB226F">
        <w:rPr>
          <w:rFonts w:asciiTheme="minorHAnsi" w:hAnsiTheme="minorHAnsi" w:cstheme="minorHAnsi"/>
          <w:sz w:val="24"/>
          <w:szCs w:val="24"/>
        </w:rPr>
        <w:t xml:space="preserve"> El ejercicio de evaluación se realizó entre los meses de Ju</w:t>
      </w:r>
      <w:r w:rsidR="00F160A9">
        <w:rPr>
          <w:rFonts w:asciiTheme="minorHAnsi" w:hAnsiTheme="minorHAnsi" w:cstheme="minorHAnsi"/>
          <w:sz w:val="24"/>
          <w:szCs w:val="24"/>
        </w:rPr>
        <w:t>l</w:t>
      </w:r>
      <w:r w:rsidR="00FB226F">
        <w:rPr>
          <w:rFonts w:asciiTheme="minorHAnsi" w:hAnsiTheme="minorHAnsi" w:cstheme="minorHAnsi"/>
          <w:sz w:val="24"/>
          <w:szCs w:val="24"/>
        </w:rPr>
        <w:t>io</w:t>
      </w:r>
      <w:r w:rsidR="003D33D1">
        <w:rPr>
          <w:rFonts w:asciiTheme="minorHAnsi" w:hAnsiTheme="minorHAnsi" w:cstheme="minorHAnsi"/>
          <w:sz w:val="24"/>
          <w:szCs w:val="24"/>
        </w:rPr>
        <w:t xml:space="preserve"> y </w:t>
      </w:r>
      <w:r w:rsidR="00FB226F">
        <w:rPr>
          <w:rFonts w:asciiTheme="minorHAnsi" w:hAnsiTheme="minorHAnsi" w:cstheme="minorHAnsi"/>
          <w:sz w:val="24"/>
          <w:szCs w:val="24"/>
        </w:rPr>
        <w:t>Agosto del 2011.</w:t>
      </w:r>
      <w:r w:rsidR="00F240DE">
        <w:rPr>
          <w:rFonts w:asciiTheme="minorHAnsi" w:hAnsiTheme="minorHAnsi" w:cstheme="minorHAnsi"/>
          <w:sz w:val="24"/>
          <w:szCs w:val="24"/>
        </w:rPr>
        <w:t xml:space="preserve"> Durante la misión de evaluación, se entrevistó a cerca de 1</w:t>
      </w:r>
      <w:r w:rsidR="00D47F27">
        <w:rPr>
          <w:rFonts w:asciiTheme="minorHAnsi" w:hAnsiTheme="minorHAnsi" w:cstheme="minorHAnsi"/>
          <w:sz w:val="24"/>
          <w:szCs w:val="24"/>
        </w:rPr>
        <w:t>0</w:t>
      </w:r>
      <w:r w:rsidR="00F240DE">
        <w:rPr>
          <w:rFonts w:asciiTheme="minorHAnsi" w:hAnsiTheme="minorHAnsi" w:cstheme="minorHAnsi"/>
          <w:sz w:val="24"/>
          <w:szCs w:val="24"/>
        </w:rPr>
        <w:t xml:space="preserve"> personas que estuvieron involucradas en disti</w:t>
      </w:r>
      <w:r w:rsidR="002C7A7D">
        <w:rPr>
          <w:rFonts w:asciiTheme="minorHAnsi" w:hAnsiTheme="minorHAnsi" w:cstheme="minorHAnsi"/>
          <w:sz w:val="24"/>
          <w:szCs w:val="24"/>
        </w:rPr>
        <w:t>ntas etapas del proyecto, mientras que otras citas programadas, por diversas razones, no se pudieron concretar (</w:t>
      </w:r>
      <w:r w:rsidR="002C7A7D" w:rsidRPr="002C7A7D">
        <w:rPr>
          <w:rFonts w:asciiTheme="minorHAnsi" w:hAnsiTheme="minorHAnsi" w:cstheme="minorHAnsi"/>
          <w:sz w:val="24"/>
          <w:szCs w:val="24"/>
        </w:rPr>
        <w:t>Titular de la Unidad Coordinadora de As</w:t>
      </w:r>
      <w:r w:rsidR="002C7A7D">
        <w:rPr>
          <w:rFonts w:asciiTheme="minorHAnsi" w:hAnsiTheme="minorHAnsi" w:cstheme="minorHAnsi"/>
          <w:sz w:val="24"/>
          <w:szCs w:val="24"/>
        </w:rPr>
        <w:t xml:space="preserve">untos Internacionales; </w:t>
      </w:r>
      <w:r w:rsidR="002C7A7D" w:rsidRPr="002C7A7D">
        <w:rPr>
          <w:rFonts w:asciiTheme="minorHAnsi" w:hAnsiTheme="minorHAnsi" w:cstheme="minorHAnsi"/>
          <w:sz w:val="24"/>
          <w:szCs w:val="24"/>
        </w:rPr>
        <w:t>Coordinadora de Asesores del Subsecretario de Planeación</w:t>
      </w:r>
      <w:r w:rsidR="002C7A7D">
        <w:rPr>
          <w:rFonts w:asciiTheme="minorHAnsi" w:hAnsiTheme="minorHAnsi" w:cstheme="minorHAnsi"/>
          <w:sz w:val="24"/>
          <w:szCs w:val="24"/>
        </w:rPr>
        <w:t xml:space="preserve"> y Política Ambiental y </w:t>
      </w:r>
      <w:r w:rsidR="002C7A7D" w:rsidRPr="002C7A7D">
        <w:rPr>
          <w:rFonts w:asciiTheme="minorHAnsi" w:hAnsiTheme="minorHAnsi" w:cstheme="minorHAnsi"/>
          <w:sz w:val="24"/>
          <w:szCs w:val="24"/>
        </w:rPr>
        <w:t xml:space="preserve">Subsecretario de Planeación y Política Ambiental; </w:t>
      </w:r>
      <w:r w:rsidR="002C7A7D">
        <w:rPr>
          <w:rFonts w:asciiTheme="minorHAnsi" w:hAnsiTheme="minorHAnsi" w:cstheme="minorHAnsi"/>
          <w:sz w:val="24"/>
          <w:szCs w:val="24"/>
        </w:rPr>
        <w:t xml:space="preserve">todos funcionarios de </w:t>
      </w:r>
      <w:r w:rsidR="002C7A7D" w:rsidRPr="002C7A7D">
        <w:rPr>
          <w:rFonts w:asciiTheme="minorHAnsi" w:hAnsiTheme="minorHAnsi" w:cstheme="minorHAnsi"/>
          <w:sz w:val="24"/>
          <w:szCs w:val="24"/>
        </w:rPr>
        <w:t>SEMARNAT</w:t>
      </w:r>
      <w:r w:rsidR="002C7A7D">
        <w:rPr>
          <w:rFonts w:asciiTheme="minorHAnsi" w:hAnsiTheme="minorHAnsi" w:cstheme="minorHAnsi"/>
          <w:sz w:val="24"/>
          <w:szCs w:val="24"/>
        </w:rPr>
        <w:t>)</w:t>
      </w:r>
      <w:r w:rsidR="002C7A7D" w:rsidRPr="002C7A7D">
        <w:rPr>
          <w:rFonts w:asciiTheme="minorHAnsi" w:hAnsiTheme="minorHAnsi" w:cstheme="minorHAnsi"/>
          <w:sz w:val="24"/>
          <w:szCs w:val="24"/>
        </w:rPr>
        <w:t>.</w:t>
      </w:r>
    </w:p>
    <w:p w:rsidR="00F240DE" w:rsidRDefault="00F240DE" w:rsidP="00C936DA">
      <w:pPr>
        <w:jc w:val="both"/>
        <w:rPr>
          <w:rFonts w:asciiTheme="minorHAnsi" w:hAnsiTheme="minorHAnsi" w:cstheme="minorHAnsi"/>
          <w:sz w:val="24"/>
          <w:szCs w:val="24"/>
        </w:rPr>
      </w:pPr>
      <w:r>
        <w:rPr>
          <w:rFonts w:asciiTheme="minorHAnsi" w:hAnsiTheme="minorHAnsi" w:cstheme="minorHAnsi"/>
          <w:sz w:val="24"/>
          <w:szCs w:val="24"/>
        </w:rPr>
        <w:t xml:space="preserve">Quisiéramos agradecer a todos los actores que apoyaron este trabajo de evaluación, quienes nos dedicaron su tiempo y aportaron su visión y </w:t>
      </w:r>
      <w:r w:rsidR="001608E7">
        <w:rPr>
          <w:rFonts w:asciiTheme="minorHAnsi" w:hAnsiTheme="minorHAnsi" w:cstheme="minorHAnsi"/>
          <w:sz w:val="24"/>
          <w:szCs w:val="24"/>
        </w:rPr>
        <w:t xml:space="preserve">su </w:t>
      </w:r>
      <w:r>
        <w:rPr>
          <w:rFonts w:asciiTheme="minorHAnsi" w:hAnsiTheme="minorHAnsi" w:cstheme="minorHAnsi"/>
          <w:sz w:val="24"/>
          <w:szCs w:val="24"/>
        </w:rPr>
        <w:t>experiencia en la ejecución del proyecto</w:t>
      </w:r>
      <w:r w:rsidR="001608E7">
        <w:rPr>
          <w:rFonts w:asciiTheme="minorHAnsi" w:hAnsiTheme="minorHAnsi" w:cstheme="minorHAnsi"/>
          <w:sz w:val="24"/>
          <w:szCs w:val="24"/>
        </w:rPr>
        <w:t>. Quisiéramos en especial mencionar el apoyo otorgado por los funcionarios de SEMARNAT, de la oficina de PNUD-México y PNUD-Panamá, quienes apoyaron permanentemente nuestra labor de evaluadores.</w:t>
      </w:r>
    </w:p>
    <w:p w:rsidR="0031446F" w:rsidRDefault="00F11C10" w:rsidP="00F11C10">
      <w:pPr>
        <w:jc w:val="both"/>
        <w:rPr>
          <w:rFonts w:asciiTheme="minorHAnsi" w:hAnsiTheme="minorHAnsi" w:cstheme="minorHAnsi"/>
          <w:sz w:val="24"/>
          <w:szCs w:val="24"/>
        </w:rPr>
      </w:pPr>
      <w:r w:rsidRPr="00F11C10">
        <w:rPr>
          <w:rFonts w:asciiTheme="minorHAnsi" w:hAnsiTheme="minorHAnsi" w:cstheme="minorHAnsi"/>
          <w:sz w:val="24"/>
          <w:szCs w:val="24"/>
        </w:rPr>
        <w:t xml:space="preserve">México es uno de los 12 países </w:t>
      </w:r>
      <w:proofErr w:type="spellStart"/>
      <w:r w:rsidRPr="00F11C10">
        <w:rPr>
          <w:rFonts w:asciiTheme="minorHAnsi" w:hAnsiTheme="minorHAnsi" w:cstheme="minorHAnsi"/>
          <w:sz w:val="24"/>
          <w:szCs w:val="24"/>
        </w:rPr>
        <w:t>megadiversos</w:t>
      </w:r>
      <w:proofErr w:type="spellEnd"/>
      <w:r w:rsidRPr="00F11C10">
        <w:rPr>
          <w:rFonts w:asciiTheme="minorHAnsi" w:hAnsiTheme="minorHAnsi" w:cstheme="minorHAnsi"/>
          <w:sz w:val="24"/>
          <w:szCs w:val="24"/>
        </w:rPr>
        <w:t xml:space="preserve">,  </w:t>
      </w:r>
      <w:r w:rsidR="00AB5EA7">
        <w:rPr>
          <w:rFonts w:asciiTheme="minorHAnsi" w:hAnsiTheme="minorHAnsi" w:cstheme="minorHAnsi"/>
          <w:sz w:val="24"/>
          <w:szCs w:val="24"/>
        </w:rPr>
        <w:t xml:space="preserve">constituyendo un ecosistema que alberga </w:t>
      </w:r>
      <w:r w:rsidRPr="00F11C10">
        <w:rPr>
          <w:rFonts w:asciiTheme="minorHAnsi" w:hAnsiTheme="minorHAnsi" w:cstheme="minorHAnsi"/>
          <w:sz w:val="24"/>
          <w:szCs w:val="24"/>
        </w:rPr>
        <w:t>más del 10% de las especies del planeta. Dentro del contexto hemisférico, México es el ecosistema más alto, encontrándose un</w:t>
      </w:r>
      <w:r w:rsidR="00FF51BA">
        <w:rPr>
          <w:rFonts w:asciiTheme="minorHAnsi" w:hAnsiTheme="minorHAnsi" w:cstheme="minorHAnsi"/>
          <w:sz w:val="24"/>
          <w:szCs w:val="24"/>
        </w:rPr>
        <w:t>a</w:t>
      </w:r>
      <w:r w:rsidRPr="00F11C10">
        <w:rPr>
          <w:rFonts w:asciiTheme="minorHAnsi" w:hAnsiTheme="minorHAnsi" w:cstheme="minorHAnsi"/>
          <w:sz w:val="24"/>
          <w:szCs w:val="24"/>
        </w:rPr>
        <w:t xml:space="preserve"> de las mayores cantidades de especies y </w:t>
      </w:r>
      <w:r w:rsidR="00AB5EA7">
        <w:rPr>
          <w:rFonts w:asciiTheme="minorHAnsi" w:hAnsiTheme="minorHAnsi" w:cstheme="minorHAnsi"/>
          <w:sz w:val="24"/>
          <w:szCs w:val="24"/>
        </w:rPr>
        <w:t xml:space="preserve">un alto nivel </w:t>
      </w:r>
      <w:r w:rsidRPr="00F11C10">
        <w:rPr>
          <w:rFonts w:asciiTheme="minorHAnsi" w:hAnsiTheme="minorHAnsi" w:cstheme="minorHAnsi"/>
          <w:sz w:val="24"/>
          <w:szCs w:val="24"/>
        </w:rPr>
        <w:t>de endemismo.</w:t>
      </w:r>
      <w:r w:rsidR="00AB5EA7">
        <w:rPr>
          <w:rFonts w:asciiTheme="minorHAnsi" w:hAnsiTheme="minorHAnsi" w:cstheme="minorHAnsi"/>
          <w:sz w:val="24"/>
          <w:szCs w:val="24"/>
        </w:rPr>
        <w:t xml:space="preserve"> </w:t>
      </w:r>
    </w:p>
    <w:p w:rsidR="00AB5EA7" w:rsidRDefault="00AB5EA7" w:rsidP="00F11C10">
      <w:pPr>
        <w:jc w:val="both"/>
        <w:rPr>
          <w:rFonts w:asciiTheme="minorHAnsi" w:hAnsiTheme="minorHAnsi" w:cstheme="minorHAnsi"/>
          <w:sz w:val="24"/>
          <w:szCs w:val="24"/>
        </w:rPr>
      </w:pPr>
      <w:r>
        <w:rPr>
          <w:rFonts w:asciiTheme="minorHAnsi" w:hAnsiTheme="minorHAnsi" w:cstheme="minorHAnsi"/>
          <w:sz w:val="24"/>
          <w:szCs w:val="24"/>
        </w:rPr>
        <w:t>La biodiversidad en México se encuentra altamente amenazada, principalmente por la actividad humana e industrial y también por los efectos del cambio del clima.</w:t>
      </w:r>
    </w:p>
    <w:p w:rsidR="00AB5EA7" w:rsidRDefault="00AB5EA7" w:rsidP="00F11C10">
      <w:pPr>
        <w:jc w:val="both"/>
        <w:rPr>
          <w:rFonts w:asciiTheme="minorHAnsi" w:hAnsiTheme="minorHAnsi" w:cstheme="minorHAnsi"/>
          <w:sz w:val="24"/>
          <w:szCs w:val="24"/>
        </w:rPr>
      </w:pPr>
      <w:r>
        <w:rPr>
          <w:rFonts w:asciiTheme="minorHAnsi" w:hAnsiTheme="minorHAnsi" w:cstheme="minorHAnsi"/>
          <w:sz w:val="24"/>
          <w:szCs w:val="24"/>
        </w:rPr>
        <w:t xml:space="preserve">Estos hechos han obligado al </w:t>
      </w:r>
      <w:r w:rsidR="00FF51BA">
        <w:rPr>
          <w:rFonts w:asciiTheme="minorHAnsi" w:hAnsiTheme="minorHAnsi" w:cstheme="minorHAnsi"/>
          <w:sz w:val="24"/>
          <w:szCs w:val="24"/>
        </w:rPr>
        <w:t>E</w:t>
      </w:r>
      <w:r>
        <w:rPr>
          <w:rFonts w:asciiTheme="minorHAnsi" w:hAnsiTheme="minorHAnsi" w:cstheme="minorHAnsi"/>
          <w:sz w:val="24"/>
          <w:szCs w:val="24"/>
        </w:rPr>
        <w:t xml:space="preserve">stado </w:t>
      </w:r>
      <w:r w:rsidR="00FF51BA">
        <w:rPr>
          <w:rFonts w:asciiTheme="minorHAnsi" w:hAnsiTheme="minorHAnsi" w:cstheme="minorHAnsi"/>
          <w:sz w:val="24"/>
          <w:szCs w:val="24"/>
        </w:rPr>
        <w:t>M</w:t>
      </w:r>
      <w:r>
        <w:rPr>
          <w:rFonts w:asciiTheme="minorHAnsi" w:hAnsiTheme="minorHAnsi" w:cstheme="minorHAnsi"/>
          <w:sz w:val="24"/>
          <w:szCs w:val="24"/>
        </w:rPr>
        <w:t xml:space="preserve">exicano a establecer instituciones, normativas y políticas ambientales desde hace muchos años, pero a partir de mediados de los noventa el país ha debido reformar sus instituciones ambientales, principalmente debido a los desafíos que México debe enfrentar por su incorporación como actor global (miembro </w:t>
      </w:r>
      <w:r w:rsidR="00FF51BA">
        <w:rPr>
          <w:rFonts w:asciiTheme="minorHAnsi" w:hAnsiTheme="minorHAnsi" w:cstheme="minorHAnsi"/>
          <w:sz w:val="24"/>
          <w:szCs w:val="24"/>
        </w:rPr>
        <w:t xml:space="preserve">de la </w:t>
      </w:r>
      <w:r>
        <w:rPr>
          <w:rFonts w:asciiTheme="minorHAnsi" w:hAnsiTheme="minorHAnsi" w:cstheme="minorHAnsi"/>
          <w:sz w:val="24"/>
          <w:szCs w:val="24"/>
        </w:rPr>
        <w:t>OECD, contribuyente de las convenciones internacionales, reformas políticas) y al continuo deterioro de su patrimonio ambiental.</w:t>
      </w:r>
    </w:p>
    <w:p w:rsidR="00AB5EA7" w:rsidRDefault="000F1734" w:rsidP="00F11C10">
      <w:pPr>
        <w:jc w:val="both"/>
        <w:rPr>
          <w:rFonts w:asciiTheme="minorHAnsi" w:hAnsiTheme="minorHAnsi" w:cstheme="minorHAnsi"/>
          <w:sz w:val="24"/>
          <w:szCs w:val="24"/>
        </w:rPr>
      </w:pPr>
      <w:r>
        <w:rPr>
          <w:rFonts w:asciiTheme="minorHAnsi" w:hAnsiTheme="minorHAnsi" w:cstheme="minorHAnsi"/>
          <w:sz w:val="24"/>
          <w:szCs w:val="24"/>
        </w:rPr>
        <w:t xml:space="preserve">Una de las principales temáticas actuales del desarrollo sustentable, es la elaboración de políticas y planes de largo plazo que perduren en el tiempo, ya que los resultados de los </w:t>
      </w:r>
      <w:r w:rsidR="00FF51BA">
        <w:rPr>
          <w:rFonts w:asciiTheme="minorHAnsi" w:hAnsiTheme="minorHAnsi" w:cstheme="minorHAnsi"/>
          <w:sz w:val="24"/>
          <w:szCs w:val="24"/>
        </w:rPr>
        <w:t xml:space="preserve">esfuerzos que se instrumenten para afrontar los </w:t>
      </w:r>
      <w:r>
        <w:rPr>
          <w:rFonts w:asciiTheme="minorHAnsi" w:hAnsiTheme="minorHAnsi" w:cstheme="minorHAnsi"/>
          <w:sz w:val="24"/>
          <w:szCs w:val="24"/>
        </w:rPr>
        <w:t xml:space="preserve">complejos problemas </w:t>
      </w:r>
      <w:r w:rsidR="00FF51BA">
        <w:rPr>
          <w:rFonts w:asciiTheme="minorHAnsi" w:hAnsiTheme="minorHAnsi" w:cstheme="minorHAnsi"/>
          <w:sz w:val="24"/>
          <w:szCs w:val="24"/>
        </w:rPr>
        <w:t xml:space="preserve">ambientales </w:t>
      </w:r>
      <w:r>
        <w:rPr>
          <w:rFonts w:asciiTheme="minorHAnsi" w:hAnsiTheme="minorHAnsi" w:cstheme="minorHAnsi"/>
          <w:sz w:val="24"/>
          <w:szCs w:val="24"/>
        </w:rPr>
        <w:t xml:space="preserve">que vive el planeta y </w:t>
      </w:r>
      <w:r w:rsidR="002F2377">
        <w:rPr>
          <w:rFonts w:asciiTheme="minorHAnsi" w:hAnsiTheme="minorHAnsi" w:cstheme="minorHAnsi"/>
          <w:sz w:val="24"/>
          <w:szCs w:val="24"/>
        </w:rPr>
        <w:t xml:space="preserve">cada uno de </w:t>
      </w:r>
      <w:r>
        <w:rPr>
          <w:rFonts w:asciiTheme="minorHAnsi" w:hAnsiTheme="minorHAnsi" w:cstheme="minorHAnsi"/>
          <w:sz w:val="24"/>
          <w:szCs w:val="24"/>
        </w:rPr>
        <w:t>los países, s</w:t>
      </w:r>
      <w:r w:rsidR="00FF51BA">
        <w:rPr>
          <w:rFonts w:asciiTheme="minorHAnsi" w:hAnsiTheme="minorHAnsi" w:cstheme="minorHAnsi"/>
          <w:sz w:val="24"/>
          <w:szCs w:val="24"/>
        </w:rPr>
        <w:t>ó</w:t>
      </w:r>
      <w:r>
        <w:rPr>
          <w:rFonts w:asciiTheme="minorHAnsi" w:hAnsiTheme="minorHAnsi" w:cstheme="minorHAnsi"/>
          <w:sz w:val="24"/>
          <w:szCs w:val="24"/>
        </w:rPr>
        <w:t>lo cristalizarán en</w:t>
      </w:r>
      <w:r w:rsidR="00AB5EA7">
        <w:rPr>
          <w:rFonts w:asciiTheme="minorHAnsi" w:hAnsiTheme="minorHAnsi" w:cstheme="minorHAnsi"/>
          <w:sz w:val="24"/>
          <w:szCs w:val="24"/>
        </w:rPr>
        <w:t xml:space="preserve"> </w:t>
      </w:r>
      <w:r>
        <w:rPr>
          <w:rFonts w:asciiTheme="minorHAnsi" w:hAnsiTheme="minorHAnsi" w:cstheme="minorHAnsi"/>
          <w:sz w:val="24"/>
          <w:szCs w:val="24"/>
        </w:rPr>
        <w:t>horizontes largos de tiempo.</w:t>
      </w:r>
    </w:p>
    <w:p w:rsidR="000F1734" w:rsidRDefault="000F1734" w:rsidP="00F11C10">
      <w:pPr>
        <w:jc w:val="both"/>
        <w:rPr>
          <w:rFonts w:asciiTheme="minorHAnsi" w:hAnsiTheme="minorHAnsi" w:cstheme="minorHAnsi"/>
          <w:sz w:val="24"/>
          <w:szCs w:val="24"/>
        </w:rPr>
      </w:pPr>
      <w:r>
        <w:rPr>
          <w:rFonts w:asciiTheme="minorHAnsi" w:hAnsiTheme="minorHAnsi" w:cstheme="minorHAnsi"/>
          <w:sz w:val="24"/>
          <w:szCs w:val="24"/>
        </w:rPr>
        <w:lastRenderedPageBreak/>
        <w:t xml:space="preserve">De esta forma, el Plan Verde surgió como una iniciativa que pretendió apoyar al entonces nuevo gobierno mexicano -que asumió sus funciones en el año 2000- en su manejo de las políticas públicas ambientales, así como también fortalecer la planificación de largo plazo del gobierno, en un intento por </w:t>
      </w:r>
      <w:r w:rsidR="00F74AB0">
        <w:rPr>
          <w:rFonts w:asciiTheme="minorHAnsi" w:hAnsiTheme="minorHAnsi" w:cstheme="minorHAnsi"/>
          <w:sz w:val="24"/>
          <w:szCs w:val="24"/>
        </w:rPr>
        <w:t>elaborar un Plan Nacional de D</w:t>
      </w:r>
      <w:r>
        <w:rPr>
          <w:rFonts w:asciiTheme="minorHAnsi" w:hAnsiTheme="minorHAnsi" w:cstheme="minorHAnsi"/>
          <w:sz w:val="24"/>
          <w:szCs w:val="24"/>
        </w:rPr>
        <w:t>esarrollo con un horizonte de 25 años.</w:t>
      </w:r>
    </w:p>
    <w:p w:rsidR="0031359D" w:rsidRDefault="0031359D" w:rsidP="00F11C10">
      <w:pPr>
        <w:jc w:val="both"/>
        <w:rPr>
          <w:rFonts w:asciiTheme="minorHAnsi" w:hAnsiTheme="minorHAnsi" w:cstheme="minorHAnsi"/>
          <w:sz w:val="24"/>
          <w:szCs w:val="24"/>
        </w:rPr>
      </w:pPr>
      <w:r>
        <w:rPr>
          <w:rFonts w:asciiTheme="minorHAnsi" w:hAnsiTheme="minorHAnsi" w:cstheme="minorHAnsi"/>
          <w:sz w:val="24"/>
          <w:szCs w:val="24"/>
        </w:rPr>
        <w:t xml:space="preserve">El proyecto tenía una duración de un año y constaba de un presupuesto total de US$ 1,3 millones, de cuales US$ 653 mil provenían del GEF y US$ 640 mil eran aportados como </w:t>
      </w:r>
      <w:r w:rsidR="00E36331">
        <w:rPr>
          <w:rFonts w:asciiTheme="minorHAnsi" w:hAnsiTheme="minorHAnsi" w:cstheme="minorHAnsi"/>
          <w:sz w:val="24"/>
          <w:szCs w:val="24"/>
        </w:rPr>
        <w:t xml:space="preserve"> </w:t>
      </w:r>
      <w:r>
        <w:rPr>
          <w:rFonts w:asciiTheme="minorHAnsi" w:hAnsiTheme="minorHAnsi" w:cstheme="minorHAnsi"/>
          <w:sz w:val="24"/>
          <w:szCs w:val="24"/>
        </w:rPr>
        <w:t xml:space="preserve">contrapartida (principalmente en especie) por el </w:t>
      </w:r>
      <w:r w:rsidR="00FF51BA">
        <w:rPr>
          <w:rFonts w:asciiTheme="minorHAnsi" w:hAnsiTheme="minorHAnsi" w:cstheme="minorHAnsi"/>
          <w:sz w:val="24"/>
          <w:szCs w:val="24"/>
        </w:rPr>
        <w:t>E</w:t>
      </w:r>
      <w:r>
        <w:rPr>
          <w:rFonts w:asciiTheme="minorHAnsi" w:hAnsiTheme="minorHAnsi" w:cstheme="minorHAnsi"/>
          <w:sz w:val="24"/>
          <w:szCs w:val="24"/>
        </w:rPr>
        <w:t xml:space="preserve">stado </w:t>
      </w:r>
      <w:r w:rsidR="00FF51BA">
        <w:rPr>
          <w:rFonts w:asciiTheme="minorHAnsi" w:hAnsiTheme="minorHAnsi" w:cstheme="minorHAnsi"/>
          <w:sz w:val="24"/>
          <w:szCs w:val="24"/>
        </w:rPr>
        <w:t>M</w:t>
      </w:r>
      <w:r>
        <w:rPr>
          <w:rFonts w:asciiTheme="minorHAnsi" w:hAnsiTheme="minorHAnsi" w:cstheme="minorHAnsi"/>
          <w:sz w:val="24"/>
          <w:szCs w:val="24"/>
        </w:rPr>
        <w:t>exicano.</w:t>
      </w:r>
    </w:p>
    <w:p w:rsidR="00303422" w:rsidRDefault="00303422" w:rsidP="00F11C10">
      <w:pPr>
        <w:jc w:val="both"/>
        <w:rPr>
          <w:rFonts w:asciiTheme="minorHAnsi" w:hAnsiTheme="minorHAnsi" w:cstheme="minorHAnsi"/>
          <w:sz w:val="24"/>
          <w:szCs w:val="24"/>
        </w:rPr>
      </w:pPr>
      <w:r>
        <w:rPr>
          <w:rFonts w:asciiTheme="minorHAnsi" w:hAnsiTheme="minorHAnsi" w:cstheme="minorHAnsi"/>
          <w:sz w:val="24"/>
          <w:szCs w:val="24"/>
        </w:rPr>
        <w:t>Se pretendía lograr 3 productos con el proyecto (Plan Verde), los cuales serían: i) la instalación de unidades ambientales en sectores claves del gobierno; ii) un marco programático financiero para explotar sinergias entre las distintas agencias aportantes de fondos am</w:t>
      </w:r>
      <w:r w:rsidR="00E36331">
        <w:rPr>
          <w:rFonts w:asciiTheme="minorHAnsi" w:hAnsiTheme="minorHAnsi" w:cstheme="minorHAnsi"/>
          <w:sz w:val="24"/>
          <w:szCs w:val="24"/>
        </w:rPr>
        <w:t>bientales</w:t>
      </w:r>
      <w:r>
        <w:rPr>
          <w:rFonts w:asciiTheme="minorHAnsi" w:hAnsiTheme="minorHAnsi" w:cstheme="minorHAnsi"/>
          <w:sz w:val="24"/>
          <w:szCs w:val="24"/>
        </w:rPr>
        <w:t xml:space="preserve"> </w:t>
      </w:r>
      <w:r w:rsidR="00E36331">
        <w:rPr>
          <w:rFonts w:asciiTheme="minorHAnsi" w:hAnsiTheme="minorHAnsi" w:cstheme="minorHAnsi"/>
          <w:sz w:val="24"/>
          <w:szCs w:val="24"/>
        </w:rPr>
        <w:t>internacionales y</w:t>
      </w:r>
      <w:r w:rsidR="0016602E">
        <w:rPr>
          <w:rFonts w:asciiTheme="minorHAnsi" w:hAnsiTheme="minorHAnsi" w:cstheme="minorHAnsi"/>
          <w:sz w:val="24"/>
          <w:szCs w:val="24"/>
        </w:rPr>
        <w:t>;</w:t>
      </w:r>
      <w:r w:rsidR="00E36331">
        <w:rPr>
          <w:rFonts w:asciiTheme="minorHAnsi" w:hAnsiTheme="minorHAnsi" w:cstheme="minorHAnsi"/>
          <w:sz w:val="24"/>
          <w:szCs w:val="24"/>
        </w:rPr>
        <w:t xml:space="preserve"> iii) elaboración y aprobación de un Plan Verde 2001-2025, por parte del gobierno mexicano.</w:t>
      </w:r>
      <w:r w:rsidR="00E26F74">
        <w:rPr>
          <w:rFonts w:asciiTheme="minorHAnsi" w:hAnsiTheme="minorHAnsi" w:cstheme="minorHAnsi"/>
          <w:sz w:val="24"/>
          <w:szCs w:val="24"/>
        </w:rPr>
        <w:t xml:space="preserve"> Los principales </w:t>
      </w:r>
      <w:r w:rsidR="002F249F">
        <w:rPr>
          <w:rFonts w:asciiTheme="minorHAnsi" w:hAnsiTheme="minorHAnsi" w:cstheme="minorHAnsi"/>
          <w:sz w:val="24"/>
          <w:szCs w:val="24"/>
        </w:rPr>
        <w:t xml:space="preserve">aspectos </w:t>
      </w:r>
      <w:r w:rsidR="00E26F74">
        <w:rPr>
          <w:rFonts w:asciiTheme="minorHAnsi" w:hAnsiTheme="minorHAnsi" w:cstheme="minorHAnsi"/>
          <w:sz w:val="24"/>
          <w:szCs w:val="24"/>
        </w:rPr>
        <w:t>que el proyecto pretendía abordar eran cambio climático y biodiversidad.</w:t>
      </w:r>
    </w:p>
    <w:p w:rsidR="00303422" w:rsidRDefault="0031359D" w:rsidP="00F11C10">
      <w:pPr>
        <w:jc w:val="both"/>
        <w:rPr>
          <w:rFonts w:asciiTheme="minorHAnsi" w:hAnsiTheme="minorHAnsi" w:cstheme="minorHAnsi"/>
          <w:sz w:val="24"/>
          <w:szCs w:val="24"/>
        </w:rPr>
      </w:pPr>
      <w:r>
        <w:rPr>
          <w:rFonts w:asciiTheme="minorHAnsi" w:hAnsiTheme="minorHAnsi" w:cstheme="minorHAnsi"/>
          <w:sz w:val="24"/>
          <w:szCs w:val="24"/>
        </w:rPr>
        <w:t xml:space="preserve">El proyecto tuvo una inconsistencia desde </w:t>
      </w:r>
      <w:r w:rsidR="00303422">
        <w:rPr>
          <w:rFonts w:asciiTheme="minorHAnsi" w:hAnsiTheme="minorHAnsi" w:cstheme="minorHAnsi"/>
          <w:sz w:val="24"/>
          <w:szCs w:val="24"/>
        </w:rPr>
        <w:t xml:space="preserve">su concepción, ya que </w:t>
      </w:r>
      <w:r w:rsidR="002F2377">
        <w:rPr>
          <w:rFonts w:asciiTheme="minorHAnsi" w:hAnsiTheme="minorHAnsi" w:cstheme="minorHAnsi"/>
          <w:sz w:val="24"/>
          <w:szCs w:val="24"/>
        </w:rPr>
        <w:t xml:space="preserve">presentaba una contradicción </w:t>
      </w:r>
      <w:r w:rsidR="00303422">
        <w:rPr>
          <w:rFonts w:asciiTheme="minorHAnsi" w:hAnsiTheme="minorHAnsi" w:cstheme="minorHAnsi"/>
          <w:sz w:val="24"/>
          <w:szCs w:val="24"/>
        </w:rPr>
        <w:t xml:space="preserve">entre un apoyo de corto plazo y </w:t>
      </w:r>
      <w:r w:rsidR="0016602E">
        <w:rPr>
          <w:rFonts w:asciiTheme="minorHAnsi" w:hAnsiTheme="minorHAnsi" w:cstheme="minorHAnsi"/>
          <w:sz w:val="24"/>
          <w:szCs w:val="24"/>
        </w:rPr>
        <w:t xml:space="preserve">coyuntural y </w:t>
      </w:r>
      <w:r w:rsidR="00303422">
        <w:rPr>
          <w:rFonts w:asciiTheme="minorHAnsi" w:hAnsiTheme="minorHAnsi" w:cstheme="minorHAnsi"/>
          <w:sz w:val="24"/>
          <w:szCs w:val="24"/>
        </w:rPr>
        <w:t>objetivos que s</w:t>
      </w:r>
      <w:r w:rsidR="0031270E">
        <w:rPr>
          <w:rFonts w:asciiTheme="minorHAnsi" w:hAnsiTheme="minorHAnsi" w:cstheme="minorHAnsi"/>
          <w:sz w:val="24"/>
          <w:szCs w:val="24"/>
        </w:rPr>
        <w:t>ó</w:t>
      </w:r>
      <w:r w:rsidR="00303422">
        <w:rPr>
          <w:rFonts w:asciiTheme="minorHAnsi" w:hAnsiTheme="minorHAnsi" w:cstheme="minorHAnsi"/>
          <w:sz w:val="24"/>
          <w:szCs w:val="24"/>
        </w:rPr>
        <w:t xml:space="preserve">lo se podrían obtener en el </w:t>
      </w:r>
      <w:r w:rsidR="002F2377">
        <w:rPr>
          <w:rFonts w:asciiTheme="minorHAnsi" w:hAnsiTheme="minorHAnsi" w:cstheme="minorHAnsi"/>
          <w:sz w:val="24"/>
          <w:szCs w:val="24"/>
        </w:rPr>
        <w:t xml:space="preserve">mediano y </w:t>
      </w:r>
      <w:r w:rsidR="00303422">
        <w:rPr>
          <w:rFonts w:asciiTheme="minorHAnsi" w:hAnsiTheme="minorHAnsi" w:cstheme="minorHAnsi"/>
          <w:sz w:val="24"/>
          <w:szCs w:val="24"/>
        </w:rPr>
        <w:t>largo plazo</w:t>
      </w:r>
      <w:r w:rsidR="0031270E">
        <w:rPr>
          <w:rFonts w:asciiTheme="minorHAnsi" w:hAnsiTheme="minorHAnsi" w:cstheme="minorHAnsi"/>
          <w:sz w:val="24"/>
          <w:szCs w:val="24"/>
        </w:rPr>
        <w:t>s</w:t>
      </w:r>
      <w:r w:rsidR="00303422">
        <w:rPr>
          <w:rFonts w:asciiTheme="minorHAnsi" w:hAnsiTheme="minorHAnsi" w:cstheme="minorHAnsi"/>
          <w:sz w:val="24"/>
          <w:szCs w:val="24"/>
        </w:rPr>
        <w:t xml:space="preserve">, como es la institución de procesos de planificación ambiental de largo </w:t>
      </w:r>
      <w:r w:rsidR="0031270E">
        <w:rPr>
          <w:rFonts w:asciiTheme="minorHAnsi" w:hAnsiTheme="minorHAnsi" w:cstheme="minorHAnsi"/>
          <w:sz w:val="24"/>
          <w:szCs w:val="24"/>
        </w:rPr>
        <w:t>aliento</w:t>
      </w:r>
      <w:r w:rsidR="00303422">
        <w:rPr>
          <w:rFonts w:asciiTheme="minorHAnsi" w:hAnsiTheme="minorHAnsi" w:cstheme="minorHAnsi"/>
          <w:sz w:val="24"/>
          <w:szCs w:val="24"/>
        </w:rPr>
        <w:t xml:space="preserve">, de </w:t>
      </w:r>
      <w:r w:rsidR="002F2377">
        <w:rPr>
          <w:rFonts w:asciiTheme="minorHAnsi" w:hAnsiTheme="minorHAnsi" w:cstheme="minorHAnsi"/>
          <w:sz w:val="24"/>
          <w:szCs w:val="24"/>
        </w:rPr>
        <w:t>forma transversal y sistemática y la conformación de unidades ambientales en cada ministerio clave.</w:t>
      </w:r>
    </w:p>
    <w:p w:rsidR="002538F7" w:rsidRDefault="00F74AB0" w:rsidP="00F11C10">
      <w:pPr>
        <w:jc w:val="both"/>
        <w:rPr>
          <w:rFonts w:asciiTheme="minorHAnsi" w:hAnsiTheme="minorHAnsi" w:cstheme="minorHAnsi"/>
          <w:sz w:val="24"/>
          <w:szCs w:val="24"/>
        </w:rPr>
      </w:pPr>
      <w:r>
        <w:rPr>
          <w:rFonts w:asciiTheme="minorHAnsi" w:hAnsiTheme="minorHAnsi" w:cstheme="minorHAnsi"/>
          <w:sz w:val="24"/>
          <w:szCs w:val="24"/>
        </w:rPr>
        <w:t xml:space="preserve">Debido a que la </w:t>
      </w:r>
      <w:r w:rsidR="0031270E">
        <w:rPr>
          <w:rFonts w:asciiTheme="minorHAnsi" w:hAnsiTheme="minorHAnsi" w:cstheme="minorHAnsi"/>
          <w:sz w:val="24"/>
          <w:szCs w:val="24"/>
        </w:rPr>
        <w:t>L</w:t>
      </w:r>
      <w:r>
        <w:rPr>
          <w:rFonts w:asciiTheme="minorHAnsi" w:hAnsiTheme="minorHAnsi" w:cstheme="minorHAnsi"/>
          <w:sz w:val="24"/>
          <w:szCs w:val="24"/>
        </w:rPr>
        <w:t xml:space="preserve">ey de </w:t>
      </w:r>
      <w:r w:rsidR="0031270E">
        <w:rPr>
          <w:rFonts w:asciiTheme="minorHAnsi" w:hAnsiTheme="minorHAnsi" w:cstheme="minorHAnsi"/>
          <w:sz w:val="24"/>
          <w:szCs w:val="24"/>
        </w:rPr>
        <w:t>P</w:t>
      </w:r>
      <w:r>
        <w:rPr>
          <w:rFonts w:asciiTheme="minorHAnsi" w:hAnsiTheme="minorHAnsi" w:cstheme="minorHAnsi"/>
          <w:sz w:val="24"/>
          <w:szCs w:val="24"/>
        </w:rPr>
        <w:t xml:space="preserve">laneación obliga a los gobiernos mexicanos a elaborar planes nacionales de desarrollo y planes sectoriales por solamente 6 años, seguidos con </w:t>
      </w:r>
      <w:r w:rsidR="002F2377">
        <w:rPr>
          <w:rFonts w:asciiTheme="minorHAnsi" w:hAnsiTheme="minorHAnsi" w:cstheme="minorHAnsi"/>
          <w:sz w:val="24"/>
          <w:szCs w:val="24"/>
        </w:rPr>
        <w:t xml:space="preserve">la </w:t>
      </w:r>
      <w:r>
        <w:rPr>
          <w:rFonts w:asciiTheme="minorHAnsi" w:hAnsiTheme="minorHAnsi" w:cstheme="minorHAnsi"/>
          <w:sz w:val="24"/>
          <w:szCs w:val="24"/>
        </w:rPr>
        <w:t xml:space="preserve">ejecución </w:t>
      </w:r>
      <w:r w:rsidR="002F2377">
        <w:rPr>
          <w:rFonts w:asciiTheme="minorHAnsi" w:hAnsiTheme="minorHAnsi" w:cstheme="minorHAnsi"/>
          <w:sz w:val="24"/>
          <w:szCs w:val="24"/>
        </w:rPr>
        <w:t xml:space="preserve">de </w:t>
      </w:r>
      <w:r>
        <w:rPr>
          <w:rFonts w:asciiTheme="minorHAnsi" w:hAnsiTheme="minorHAnsi" w:cstheme="minorHAnsi"/>
          <w:sz w:val="24"/>
          <w:szCs w:val="24"/>
        </w:rPr>
        <w:t xml:space="preserve">presupuestos anuales, la figura de la planeación de largo plazo </w:t>
      </w:r>
      <w:r w:rsidR="0016602E">
        <w:rPr>
          <w:rFonts w:asciiTheme="minorHAnsi" w:hAnsiTheme="minorHAnsi" w:cstheme="minorHAnsi"/>
          <w:sz w:val="24"/>
          <w:szCs w:val="24"/>
        </w:rPr>
        <w:t xml:space="preserve">contemplada en el proyecto </w:t>
      </w:r>
      <w:r>
        <w:rPr>
          <w:rFonts w:asciiTheme="minorHAnsi" w:hAnsiTheme="minorHAnsi" w:cstheme="minorHAnsi"/>
          <w:sz w:val="24"/>
          <w:szCs w:val="24"/>
        </w:rPr>
        <w:t>se fue debilitando con el paso del tiempo.</w:t>
      </w:r>
      <w:r w:rsidR="002538F7">
        <w:rPr>
          <w:rFonts w:asciiTheme="minorHAnsi" w:hAnsiTheme="minorHAnsi" w:cstheme="minorHAnsi"/>
          <w:sz w:val="24"/>
          <w:szCs w:val="24"/>
        </w:rPr>
        <w:t xml:space="preserve"> Además, debido al largo tiempo transcurrido entre el inicio de la ejecución y la solicitud de aprobación del proyecto (aprox</w:t>
      </w:r>
      <w:r w:rsidR="0031270E">
        <w:rPr>
          <w:rFonts w:asciiTheme="minorHAnsi" w:hAnsiTheme="minorHAnsi" w:cstheme="minorHAnsi"/>
          <w:sz w:val="24"/>
          <w:szCs w:val="24"/>
        </w:rPr>
        <w:t>imadamente</w:t>
      </w:r>
      <w:r w:rsidR="002538F7">
        <w:rPr>
          <w:rFonts w:asciiTheme="minorHAnsi" w:hAnsiTheme="minorHAnsi" w:cstheme="minorHAnsi"/>
          <w:sz w:val="24"/>
          <w:szCs w:val="24"/>
        </w:rPr>
        <w:t xml:space="preserve"> 2 años), a poco andar se tuvieron que realizar cambios </w:t>
      </w:r>
      <w:r w:rsidR="0031270E">
        <w:rPr>
          <w:rFonts w:asciiTheme="minorHAnsi" w:hAnsiTheme="minorHAnsi" w:cstheme="minorHAnsi"/>
          <w:sz w:val="24"/>
          <w:szCs w:val="24"/>
        </w:rPr>
        <w:t>sustanciales</w:t>
      </w:r>
      <w:r w:rsidR="002538F7">
        <w:rPr>
          <w:rFonts w:asciiTheme="minorHAnsi" w:hAnsiTheme="minorHAnsi" w:cstheme="minorHAnsi"/>
          <w:sz w:val="24"/>
          <w:szCs w:val="24"/>
        </w:rPr>
        <w:t xml:space="preserve"> al proyecto</w:t>
      </w:r>
      <w:r w:rsidR="00FE0A16">
        <w:rPr>
          <w:rFonts w:asciiTheme="minorHAnsi" w:hAnsiTheme="minorHAnsi" w:cstheme="minorHAnsi"/>
          <w:sz w:val="24"/>
          <w:szCs w:val="24"/>
        </w:rPr>
        <w:t>, tales como la eliminación del coordinador, las unidades</w:t>
      </w:r>
      <w:r w:rsidR="002538F7">
        <w:rPr>
          <w:rFonts w:asciiTheme="minorHAnsi" w:hAnsiTheme="minorHAnsi" w:cstheme="minorHAnsi"/>
          <w:sz w:val="24"/>
          <w:szCs w:val="24"/>
        </w:rPr>
        <w:t xml:space="preserve"> </w:t>
      </w:r>
      <w:r w:rsidR="00FE0A16">
        <w:rPr>
          <w:rFonts w:asciiTheme="minorHAnsi" w:hAnsiTheme="minorHAnsi" w:cstheme="minorHAnsi"/>
          <w:sz w:val="24"/>
          <w:szCs w:val="24"/>
        </w:rPr>
        <w:t>ambientales en las agencias claves, la planificación participativa y el mismo plan verde.</w:t>
      </w:r>
    </w:p>
    <w:p w:rsidR="00E26F74" w:rsidRDefault="00FE0A16" w:rsidP="00F11C10">
      <w:pPr>
        <w:jc w:val="both"/>
        <w:rPr>
          <w:rFonts w:asciiTheme="minorHAnsi" w:hAnsiTheme="minorHAnsi" w:cstheme="minorHAnsi"/>
          <w:sz w:val="24"/>
          <w:szCs w:val="24"/>
        </w:rPr>
      </w:pPr>
      <w:r>
        <w:rPr>
          <w:rFonts w:asciiTheme="minorHAnsi" w:hAnsiTheme="minorHAnsi" w:cstheme="minorHAnsi"/>
          <w:sz w:val="24"/>
          <w:szCs w:val="24"/>
        </w:rPr>
        <w:t xml:space="preserve">A partir del 2003, el proyecto cambió </w:t>
      </w:r>
      <w:r w:rsidR="002F2377">
        <w:rPr>
          <w:rFonts w:asciiTheme="minorHAnsi" w:hAnsiTheme="minorHAnsi" w:cstheme="minorHAnsi"/>
          <w:sz w:val="24"/>
          <w:szCs w:val="24"/>
        </w:rPr>
        <w:t xml:space="preserve">de giro y comenzó </w:t>
      </w:r>
      <w:r>
        <w:rPr>
          <w:rFonts w:asciiTheme="minorHAnsi" w:hAnsiTheme="minorHAnsi" w:cstheme="minorHAnsi"/>
          <w:sz w:val="24"/>
          <w:szCs w:val="24"/>
        </w:rPr>
        <w:t xml:space="preserve">la realización de distintos estudios que pudieran entregar insumos a dos tipos de actividades de </w:t>
      </w:r>
      <w:r w:rsidR="0031270E">
        <w:rPr>
          <w:rFonts w:asciiTheme="minorHAnsi" w:hAnsiTheme="minorHAnsi" w:cstheme="minorHAnsi"/>
          <w:sz w:val="24"/>
          <w:szCs w:val="24"/>
        </w:rPr>
        <w:t>la Secretaría de Medio Ambiente y Recursos Naturales (</w:t>
      </w:r>
      <w:r>
        <w:rPr>
          <w:rFonts w:asciiTheme="minorHAnsi" w:hAnsiTheme="minorHAnsi" w:cstheme="minorHAnsi"/>
          <w:sz w:val="24"/>
          <w:szCs w:val="24"/>
        </w:rPr>
        <w:t>SEMARNAT</w:t>
      </w:r>
      <w:r w:rsidR="0031270E">
        <w:rPr>
          <w:rFonts w:asciiTheme="minorHAnsi" w:hAnsiTheme="minorHAnsi" w:cstheme="minorHAnsi"/>
          <w:sz w:val="24"/>
          <w:szCs w:val="24"/>
        </w:rPr>
        <w:t>)</w:t>
      </w:r>
      <w:r>
        <w:rPr>
          <w:rFonts w:asciiTheme="minorHAnsi" w:hAnsiTheme="minorHAnsi" w:cstheme="minorHAnsi"/>
          <w:sz w:val="24"/>
          <w:szCs w:val="24"/>
        </w:rPr>
        <w:t>: i) planificación de políticas ambientales y ii) decisiones de políticas de tipo coyuntural.</w:t>
      </w:r>
      <w:r w:rsidR="000A76B2">
        <w:rPr>
          <w:rFonts w:asciiTheme="minorHAnsi" w:hAnsiTheme="minorHAnsi" w:cstheme="minorHAnsi"/>
          <w:sz w:val="24"/>
          <w:szCs w:val="24"/>
        </w:rPr>
        <w:t xml:space="preserve"> </w:t>
      </w:r>
      <w:r w:rsidR="001C7384">
        <w:rPr>
          <w:rFonts w:asciiTheme="minorHAnsi" w:hAnsiTheme="minorHAnsi" w:cstheme="minorHAnsi"/>
          <w:sz w:val="24"/>
          <w:szCs w:val="24"/>
        </w:rPr>
        <w:t>Este cambio también significó que los esfuerzos se concentraran en cambio climático, dejando de lado el tema de biodiversidad.</w:t>
      </w:r>
    </w:p>
    <w:p w:rsidR="00FE0A16" w:rsidRDefault="00C07760" w:rsidP="00F11C10">
      <w:pPr>
        <w:jc w:val="both"/>
        <w:rPr>
          <w:rFonts w:asciiTheme="minorHAnsi" w:hAnsiTheme="minorHAnsi" w:cstheme="minorHAnsi"/>
          <w:sz w:val="24"/>
          <w:szCs w:val="24"/>
        </w:rPr>
      </w:pPr>
      <w:r w:rsidRPr="00C07760">
        <w:rPr>
          <w:rFonts w:asciiTheme="minorHAnsi" w:hAnsiTheme="minorHAnsi" w:cstheme="minorHAnsi"/>
          <w:sz w:val="24"/>
          <w:szCs w:val="24"/>
        </w:rPr>
        <w:lastRenderedPageBreak/>
        <w:t>La naturaleza de un apoyo</w:t>
      </w:r>
      <w:r w:rsidR="00840067">
        <w:rPr>
          <w:rFonts w:asciiTheme="minorHAnsi" w:hAnsiTheme="minorHAnsi" w:cstheme="minorHAnsi"/>
          <w:sz w:val="24"/>
          <w:szCs w:val="24"/>
        </w:rPr>
        <w:t xml:space="preserve"> de corto plazo cambió entonces- en la práctica-</w:t>
      </w:r>
      <w:r w:rsidRPr="00C07760">
        <w:rPr>
          <w:rFonts w:asciiTheme="minorHAnsi" w:hAnsiTheme="minorHAnsi" w:cstheme="minorHAnsi"/>
          <w:sz w:val="24"/>
          <w:szCs w:val="24"/>
        </w:rPr>
        <w:t xml:space="preserve"> a uno de asistencia técnica </w:t>
      </w:r>
      <w:proofErr w:type="spellStart"/>
      <w:r w:rsidRPr="00C07760">
        <w:rPr>
          <w:rFonts w:asciiTheme="minorHAnsi" w:hAnsiTheme="minorHAnsi" w:cstheme="minorHAnsi"/>
          <w:sz w:val="24"/>
          <w:szCs w:val="24"/>
        </w:rPr>
        <w:t>semi</w:t>
      </w:r>
      <w:proofErr w:type="spellEnd"/>
      <w:r w:rsidRPr="00C07760">
        <w:rPr>
          <w:rFonts w:asciiTheme="minorHAnsi" w:hAnsiTheme="minorHAnsi" w:cstheme="minorHAnsi"/>
          <w:sz w:val="24"/>
          <w:szCs w:val="24"/>
        </w:rPr>
        <w:t>-permanente, lo que modificó los objetivos originales y provocó retrasos en la implementación</w:t>
      </w:r>
      <w:proofErr w:type="gramStart"/>
      <w:r w:rsidRPr="00C07760">
        <w:rPr>
          <w:rFonts w:asciiTheme="minorHAnsi" w:hAnsiTheme="minorHAnsi" w:cstheme="minorHAnsi"/>
          <w:sz w:val="24"/>
          <w:szCs w:val="24"/>
        </w:rPr>
        <w:t>.</w:t>
      </w:r>
      <w:r w:rsidR="002C21F6">
        <w:rPr>
          <w:rFonts w:asciiTheme="minorHAnsi" w:hAnsiTheme="minorHAnsi" w:cstheme="minorHAnsi"/>
          <w:sz w:val="24"/>
          <w:szCs w:val="24"/>
        </w:rPr>
        <w:t>.</w:t>
      </w:r>
      <w:proofErr w:type="gramEnd"/>
      <w:r w:rsidR="002C21F6">
        <w:rPr>
          <w:rFonts w:asciiTheme="minorHAnsi" w:hAnsiTheme="minorHAnsi" w:cstheme="minorHAnsi"/>
          <w:sz w:val="24"/>
          <w:szCs w:val="24"/>
        </w:rPr>
        <w:t xml:space="preserve"> </w:t>
      </w:r>
    </w:p>
    <w:p w:rsidR="00917DC3" w:rsidRDefault="00FE0A16" w:rsidP="00F11C10">
      <w:pPr>
        <w:jc w:val="both"/>
        <w:rPr>
          <w:rFonts w:asciiTheme="minorHAnsi" w:hAnsiTheme="minorHAnsi" w:cstheme="minorHAnsi"/>
          <w:sz w:val="24"/>
          <w:szCs w:val="24"/>
        </w:rPr>
      </w:pPr>
      <w:r>
        <w:rPr>
          <w:rFonts w:asciiTheme="minorHAnsi" w:hAnsiTheme="minorHAnsi" w:cstheme="minorHAnsi"/>
          <w:sz w:val="24"/>
          <w:szCs w:val="24"/>
        </w:rPr>
        <w:t xml:space="preserve">El </w:t>
      </w:r>
      <w:r w:rsidRPr="003C593F">
        <w:rPr>
          <w:rFonts w:asciiTheme="minorHAnsi" w:hAnsiTheme="minorHAnsi" w:cstheme="minorHAnsi"/>
          <w:b/>
          <w:i/>
          <w:sz w:val="24"/>
          <w:szCs w:val="24"/>
          <w:u w:val="single"/>
        </w:rPr>
        <w:t xml:space="preserve">proyecto arrojó </w:t>
      </w:r>
      <w:r w:rsidR="00E26F74" w:rsidRPr="003C593F">
        <w:rPr>
          <w:rFonts w:asciiTheme="minorHAnsi" w:hAnsiTheme="minorHAnsi" w:cstheme="minorHAnsi"/>
          <w:b/>
          <w:i/>
          <w:sz w:val="24"/>
          <w:szCs w:val="24"/>
          <w:u w:val="single"/>
        </w:rPr>
        <w:t>11 estudios</w:t>
      </w:r>
      <w:r w:rsidR="00E26F74">
        <w:rPr>
          <w:rFonts w:asciiTheme="minorHAnsi" w:hAnsiTheme="minorHAnsi" w:cstheme="minorHAnsi"/>
          <w:sz w:val="24"/>
          <w:szCs w:val="24"/>
        </w:rPr>
        <w:t>, de los cuales 2</w:t>
      </w:r>
      <w:r>
        <w:rPr>
          <w:rFonts w:asciiTheme="minorHAnsi" w:hAnsiTheme="minorHAnsi" w:cstheme="minorHAnsi"/>
          <w:sz w:val="24"/>
          <w:szCs w:val="24"/>
        </w:rPr>
        <w:t xml:space="preserve"> se puede mencionar que han sido importantes en la elaboración de políticas y planes ambientales de largo plazo: i) los escenarios económicos, el cual sirvió de base para la realización del estudio de la economía del cambio climático en México y la elaboración del </w:t>
      </w:r>
      <w:r w:rsidR="0031270E">
        <w:rPr>
          <w:rFonts w:asciiTheme="minorHAnsi" w:hAnsiTheme="minorHAnsi" w:cstheme="minorHAnsi"/>
          <w:sz w:val="24"/>
          <w:szCs w:val="24"/>
        </w:rPr>
        <w:t xml:space="preserve">programa </w:t>
      </w:r>
      <w:r>
        <w:rPr>
          <w:rFonts w:asciiTheme="minorHAnsi" w:hAnsiTheme="minorHAnsi" w:cstheme="minorHAnsi"/>
          <w:sz w:val="24"/>
          <w:szCs w:val="24"/>
        </w:rPr>
        <w:t xml:space="preserve">especial de cambio climático y las comunicaciones nacionales; ii) los escenarios estatales de adaptación y mitigación </w:t>
      </w:r>
      <w:r w:rsidR="00917DC3">
        <w:rPr>
          <w:rFonts w:asciiTheme="minorHAnsi" w:hAnsiTheme="minorHAnsi" w:cstheme="minorHAnsi"/>
          <w:sz w:val="24"/>
          <w:szCs w:val="24"/>
        </w:rPr>
        <w:t xml:space="preserve">en cambio climático, sirvieron para la confección de los </w:t>
      </w:r>
      <w:r w:rsidR="0031270E">
        <w:rPr>
          <w:rFonts w:asciiTheme="minorHAnsi" w:hAnsiTheme="minorHAnsi" w:cstheme="minorHAnsi"/>
          <w:sz w:val="24"/>
          <w:szCs w:val="24"/>
        </w:rPr>
        <w:t xml:space="preserve">programas </w:t>
      </w:r>
      <w:r w:rsidR="00917DC3">
        <w:rPr>
          <w:rFonts w:asciiTheme="minorHAnsi" w:hAnsiTheme="minorHAnsi" w:cstheme="minorHAnsi"/>
          <w:sz w:val="24"/>
          <w:szCs w:val="24"/>
        </w:rPr>
        <w:t xml:space="preserve">estatales de </w:t>
      </w:r>
      <w:r w:rsidR="0031270E">
        <w:rPr>
          <w:rFonts w:asciiTheme="minorHAnsi" w:hAnsiTheme="minorHAnsi" w:cstheme="minorHAnsi"/>
          <w:sz w:val="24"/>
          <w:szCs w:val="24"/>
        </w:rPr>
        <w:t>acción climática</w:t>
      </w:r>
      <w:r w:rsidR="00917DC3">
        <w:rPr>
          <w:rFonts w:asciiTheme="minorHAnsi" w:hAnsiTheme="minorHAnsi" w:cstheme="minorHAnsi"/>
          <w:sz w:val="24"/>
          <w:szCs w:val="24"/>
        </w:rPr>
        <w:t xml:space="preserve">. Más atrás viene el estudio de evaluación de 17 programas ambientales de gobierno, el cual dio una visión del estado del arte de la implementación de esos planes. El resto de los estudios sirvieron como insumos para responder las observaciones que la OECD </w:t>
      </w:r>
      <w:r w:rsidR="002F2377">
        <w:rPr>
          <w:rFonts w:asciiTheme="minorHAnsi" w:hAnsiTheme="minorHAnsi" w:cstheme="minorHAnsi"/>
          <w:sz w:val="24"/>
          <w:szCs w:val="24"/>
        </w:rPr>
        <w:t xml:space="preserve">hiciera </w:t>
      </w:r>
      <w:r w:rsidR="00917DC3">
        <w:rPr>
          <w:rFonts w:asciiTheme="minorHAnsi" w:hAnsiTheme="minorHAnsi" w:cstheme="minorHAnsi"/>
          <w:sz w:val="24"/>
          <w:szCs w:val="24"/>
        </w:rPr>
        <w:t>al desempeño ambiental de México</w:t>
      </w:r>
      <w:r w:rsidR="002F2377">
        <w:rPr>
          <w:rFonts w:asciiTheme="minorHAnsi" w:hAnsiTheme="minorHAnsi" w:cstheme="minorHAnsi"/>
          <w:sz w:val="24"/>
          <w:szCs w:val="24"/>
        </w:rPr>
        <w:t xml:space="preserve">, mientras que otros tuvieron una muy limitada utilización </w:t>
      </w:r>
      <w:r w:rsidR="00917DC3">
        <w:rPr>
          <w:rFonts w:asciiTheme="minorHAnsi" w:hAnsiTheme="minorHAnsi" w:cstheme="minorHAnsi"/>
          <w:sz w:val="24"/>
          <w:szCs w:val="24"/>
        </w:rPr>
        <w:t>práctica.</w:t>
      </w:r>
    </w:p>
    <w:p w:rsidR="00917DC3" w:rsidRDefault="00917DC3" w:rsidP="00F11C10">
      <w:pPr>
        <w:jc w:val="both"/>
        <w:rPr>
          <w:rFonts w:asciiTheme="minorHAnsi" w:hAnsiTheme="minorHAnsi" w:cstheme="minorHAnsi"/>
          <w:sz w:val="24"/>
          <w:szCs w:val="24"/>
        </w:rPr>
      </w:pPr>
      <w:r>
        <w:rPr>
          <w:rFonts w:asciiTheme="minorHAnsi" w:hAnsiTheme="minorHAnsi" w:cstheme="minorHAnsi"/>
          <w:sz w:val="24"/>
          <w:szCs w:val="24"/>
        </w:rPr>
        <w:t xml:space="preserve">El </w:t>
      </w:r>
      <w:r w:rsidRPr="003C593F">
        <w:rPr>
          <w:rFonts w:asciiTheme="minorHAnsi" w:hAnsiTheme="minorHAnsi" w:cstheme="minorHAnsi"/>
          <w:b/>
          <w:i/>
          <w:sz w:val="24"/>
          <w:szCs w:val="24"/>
          <w:u w:val="single"/>
        </w:rPr>
        <w:t>aporte del proyecto en las actividades de planeación federal</w:t>
      </w:r>
      <w:r>
        <w:rPr>
          <w:rFonts w:asciiTheme="minorHAnsi" w:hAnsiTheme="minorHAnsi" w:cstheme="minorHAnsi"/>
          <w:sz w:val="24"/>
          <w:szCs w:val="24"/>
        </w:rPr>
        <w:t xml:space="preserve"> no se puede estimar claramente, </w:t>
      </w:r>
      <w:r w:rsidR="00947948">
        <w:rPr>
          <w:rFonts w:asciiTheme="minorHAnsi" w:hAnsiTheme="minorHAnsi" w:cstheme="minorHAnsi"/>
          <w:sz w:val="24"/>
          <w:szCs w:val="24"/>
        </w:rPr>
        <w:t xml:space="preserve">ya que </w:t>
      </w:r>
      <w:r>
        <w:rPr>
          <w:rFonts w:asciiTheme="minorHAnsi" w:hAnsiTheme="minorHAnsi" w:cstheme="minorHAnsi"/>
          <w:sz w:val="24"/>
          <w:szCs w:val="24"/>
        </w:rPr>
        <w:t xml:space="preserve">tuvo que competir con otras actividades que también buscaban incorporar transversalmente la temática ambiental en los sectores, tales como el préstamo de Banco Mundial para el ajuste ambiental estructural y las estrategias y agenda de transversalidad impulsada por el </w:t>
      </w:r>
      <w:r w:rsidR="005756E2">
        <w:rPr>
          <w:rFonts w:asciiTheme="minorHAnsi" w:hAnsiTheme="minorHAnsi" w:cstheme="minorHAnsi"/>
          <w:sz w:val="24"/>
          <w:szCs w:val="24"/>
        </w:rPr>
        <w:t xml:space="preserve">mismo </w:t>
      </w:r>
      <w:r>
        <w:rPr>
          <w:rFonts w:asciiTheme="minorHAnsi" w:hAnsiTheme="minorHAnsi" w:cstheme="minorHAnsi"/>
          <w:sz w:val="24"/>
          <w:szCs w:val="24"/>
        </w:rPr>
        <w:t>gobierno federal.</w:t>
      </w:r>
    </w:p>
    <w:p w:rsidR="00FE0A16" w:rsidRDefault="00A335DE" w:rsidP="00F11C10">
      <w:pPr>
        <w:jc w:val="both"/>
        <w:rPr>
          <w:rFonts w:asciiTheme="minorHAnsi" w:hAnsiTheme="minorHAnsi" w:cstheme="minorHAnsi"/>
          <w:sz w:val="24"/>
          <w:szCs w:val="24"/>
        </w:rPr>
      </w:pPr>
      <w:r>
        <w:rPr>
          <w:rFonts w:asciiTheme="minorHAnsi" w:hAnsiTheme="minorHAnsi" w:cstheme="minorHAnsi"/>
          <w:sz w:val="24"/>
          <w:szCs w:val="24"/>
        </w:rPr>
        <w:t xml:space="preserve">Por otro lado, </w:t>
      </w:r>
      <w:r w:rsidRPr="003C593F">
        <w:rPr>
          <w:rFonts w:asciiTheme="minorHAnsi" w:hAnsiTheme="minorHAnsi" w:cstheme="minorHAnsi"/>
          <w:b/>
          <w:i/>
          <w:sz w:val="24"/>
          <w:szCs w:val="24"/>
          <w:u w:val="single"/>
        </w:rPr>
        <w:t>los indicadores del proyecto no ayudan a estimar su influencia</w:t>
      </w:r>
      <w:r>
        <w:rPr>
          <w:rFonts w:asciiTheme="minorHAnsi" w:hAnsiTheme="minorHAnsi" w:cstheme="minorHAnsi"/>
          <w:sz w:val="24"/>
          <w:szCs w:val="24"/>
        </w:rPr>
        <w:t xml:space="preserve"> en la toma de decisiones del gobierno, debido a que están más centrados en productos que en resultados. Además, los documentos </w:t>
      </w:r>
      <w:r w:rsidR="00387AA8">
        <w:rPr>
          <w:rFonts w:asciiTheme="minorHAnsi" w:hAnsiTheme="minorHAnsi" w:cstheme="minorHAnsi"/>
          <w:sz w:val="24"/>
          <w:szCs w:val="24"/>
        </w:rPr>
        <w:t xml:space="preserve">oficiales </w:t>
      </w:r>
      <w:r>
        <w:rPr>
          <w:rFonts w:asciiTheme="minorHAnsi" w:hAnsiTheme="minorHAnsi" w:cstheme="minorHAnsi"/>
          <w:sz w:val="24"/>
          <w:szCs w:val="24"/>
        </w:rPr>
        <w:t xml:space="preserve">de políticas ambientales y de planificación, </w:t>
      </w:r>
      <w:r w:rsidR="00387AA8">
        <w:rPr>
          <w:rFonts w:asciiTheme="minorHAnsi" w:hAnsiTheme="minorHAnsi" w:cstheme="minorHAnsi"/>
          <w:sz w:val="24"/>
          <w:szCs w:val="24"/>
        </w:rPr>
        <w:t>no hacen referencias a los insumos producidos por el proyecto, que se saben importantes. Por ejemplo, el estudio de los escenarios económicos sectoriales no es nombrado en ningún documento, a pesar que está claramente catalogado como un hito en la elaboración del estudio de la economía del cambio climático y en la elaboración del plan especial de acción y las comunicaciones nacionales de cambio climático.</w:t>
      </w:r>
    </w:p>
    <w:p w:rsidR="00925C44" w:rsidRDefault="00925C44" w:rsidP="00F11C10">
      <w:pPr>
        <w:jc w:val="both"/>
        <w:rPr>
          <w:rFonts w:asciiTheme="minorHAnsi" w:hAnsiTheme="minorHAnsi" w:cstheme="minorHAnsi"/>
          <w:sz w:val="24"/>
          <w:szCs w:val="24"/>
        </w:rPr>
      </w:pPr>
      <w:r>
        <w:rPr>
          <w:rFonts w:asciiTheme="minorHAnsi" w:hAnsiTheme="minorHAnsi" w:cstheme="minorHAnsi"/>
          <w:sz w:val="24"/>
          <w:szCs w:val="24"/>
        </w:rPr>
        <w:t>También se debe destacar que las continuas extensiones han atentado contra la percepción que los actores tienen sobre los resultados del proyecto, cuyos logros han sido opacados por esas extensiones.</w:t>
      </w:r>
      <w:r w:rsidR="003C593F">
        <w:rPr>
          <w:rFonts w:asciiTheme="minorHAnsi" w:hAnsiTheme="minorHAnsi" w:cstheme="minorHAnsi"/>
          <w:sz w:val="24"/>
          <w:szCs w:val="24"/>
        </w:rPr>
        <w:t xml:space="preserve"> </w:t>
      </w:r>
      <w:r w:rsidR="000A76B2">
        <w:rPr>
          <w:rFonts w:asciiTheme="minorHAnsi" w:hAnsiTheme="minorHAnsi" w:cstheme="minorHAnsi"/>
          <w:sz w:val="24"/>
          <w:szCs w:val="24"/>
        </w:rPr>
        <w:t xml:space="preserve">Después de casi una década de implementación, se pueden distinguir claramente 3 etapas o períodos del proyecto: i) la de tramitación e </w:t>
      </w:r>
      <w:r w:rsidR="005756E2">
        <w:rPr>
          <w:rFonts w:asciiTheme="minorHAnsi" w:hAnsiTheme="minorHAnsi" w:cstheme="minorHAnsi"/>
          <w:sz w:val="24"/>
          <w:szCs w:val="24"/>
        </w:rPr>
        <w:t>inserción</w:t>
      </w:r>
      <w:r w:rsidR="000A76B2">
        <w:rPr>
          <w:rFonts w:asciiTheme="minorHAnsi" w:hAnsiTheme="minorHAnsi" w:cstheme="minorHAnsi"/>
          <w:sz w:val="24"/>
          <w:szCs w:val="24"/>
        </w:rPr>
        <w:t xml:space="preserve"> (2000-2003); ii) implementación real (2004-200</w:t>
      </w:r>
      <w:r w:rsidR="005762C8">
        <w:rPr>
          <w:rFonts w:asciiTheme="minorHAnsi" w:hAnsiTheme="minorHAnsi" w:cstheme="minorHAnsi"/>
          <w:sz w:val="24"/>
          <w:szCs w:val="24"/>
        </w:rPr>
        <w:t>7</w:t>
      </w:r>
      <w:r w:rsidR="000A76B2">
        <w:rPr>
          <w:rFonts w:asciiTheme="minorHAnsi" w:hAnsiTheme="minorHAnsi" w:cstheme="minorHAnsi"/>
          <w:sz w:val="24"/>
          <w:szCs w:val="24"/>
        </w:rPr>
        <w:t>) y iii) cierre (200</w:t>
      </w:r>
      <w:r w:rsidR="005762C8">
        <w:rPr>
          <w:rFonts w:asciiTheme="minorHAnsi" w:hAnsiTheme="minorHAnsi" w:cstheme="minorHAnsi"/>
          <w:sz w:val="24"/>
          <w:szCs w:val="24"/>
        </w:rPr>
        <w:t>8</w:t>
      </w:r>
      <w:r w:rsidR="000A76B2">
        <w:rPr>
          <w:rFonts w:asciiTheme="minorHAnsi" w:hAnsiTheme="minorHAnsi" w:cstheme="minorHAnsi"/>
          <w:sz w:val="24"/>
          <w:szCs w:val="24"/>
        </w:rPr>
        <w:t xml:space="preserve">-2011). </w:t>
      </w:r>
    </w:p>
    <w:p w:rsidR="000A76B2" w:rsidRDefault="00E26F74" w:rsidP="00F11C10">
      <w:pPr>
        <w:jc w:val="both"/>
        <w:rPr>
          <w:rFonts w:asciiTheme="minorHAnsi" w:hAnsiTheme="minorHAnsi" w:cstheme="minorHAnsi"/>
          <w:sz w:val="24"/>
          <w:szCs w:val="24"/>
        </w:rPr>
      </w:pPr>
      <w:r>
        <w:rPr>
          <w:rFonts w:asciiTheme="minorHAnsi" w:hAnsiTheme="minorHAnsi" w:cstheme="minorHAnsi"/>
          <w:sz w:val="24"/>
          <w:szCs w:val="24"/>
        </w:rPr>
        <w:t xml:space="preserve">Los principales </w:t>
      </w:r>
      <w:r w:rsidRPr="003C593F">
        <w:rPr>
          <w:rFonts w:asciiTheme="minorHAnsi" w:hAnsiTheme="minorHAnsi" w:cstheme="minorHAnsi"/>
          <w:b/>
          <w:i/>
          <w:sz w:val="24"/>
          <w:szCs w:val="24"/>
          <w:u w:val="single"/>
        </w:rPr>
        <w:t>logros del proyecto</w:t>
      </w:r>
      <w:r>
        <w:rPr>
          <w:rFonts w:asciiTheme="minorHAnsi" w:hAnsiTheme="minorHAnsi" w:cstheme="minorHAnsi"/>
          <w:sz w:val="24"/>
          <w:szCs w:val="24"/>
        </w:rPr>
        <w:t xml:space="preserve"> se pueden identificar en su contribución a los estudios de economía del cambio climático en México</w:t>
      </w:r>
      <w:r w:rsidR="003D39E0">
        <w:rPr>
          <w:rFonts w:asciiTheme="minorHAnsi" w:hAnsiTheme="minorHAnsi" w:cstheme="minorHAnsi"/>
          <w:sz w:val="24"/>
          <w:szCs w:val="24"/>
        </w:rPr>
        <w:t>,</w:t>
      </w:r>
      <w:r>
        <w:rPr>
          <w:rFonts w:asciiTheme="minorHAnsi" w:hAnsiTheme="minorHAnsi" w:cstheme="minorHAnsi"/>
          <w:sz w:val="24"/>
          <w:szCs w:val="24"/>
        </w:rPr>
        <w:t xml:space="preserve"> a la elaboración de los </w:t>
      </w:r>
      <w:r w:rsidR="003D39E0">
        <w:rPr>
          <w:rFonts w:asciiTheme="minorHAnsi" w:hAnsiTheme="minorHAnsi" w:cstheme="minorHAnsi"/>
          <w:sz w:val="24"/>
          <w:szCs w:val="24"/>
        </w:rPr>
        <w:t xml:space="preserve">programas </w:t>
      </w:r>
      <w:r>
        <w:rPr>
          <w:rFonts w:asciiTheme="minorHAnsi" w:hAnsiTheme="minorHAnsi" w:cstheme="minorHAnsi"/>
          <w:sz w:val="24"/>
          <w:szCs w:val="24"/>
        </w:rPr>
        <w:t xml:space="preserve">estatales de </w:t>
      </w:r>
      <w:r w:rsidR="003D39E0">
        <w:rPr>
          <w:rFonts w:asciiTheme="minorHAnsi" w:hAnsiTheme="minorHAnsi" w:cstheme="minorHAnsi"/>
          <w:sz w:val="24"/>
          <w:szCs w:val="24"/>
        </w:rPr>
        <w:t xml:space="preserve">acción climática </w:t>
      </w:r>
      <w:r>
        <w:rPr>
          <w:rFonts w:asciiTheme="minorHAnsi" w:hAnsiTheme="minorHAnsi" w:cstheme="minorHAnsi"/>
          <w:sz w:val="24"/>
          <w:szCs w:val="24"/>
        </w:rPr>
        <w:t xml:space="preserve">y a las comunicaciones nacionales que el país entrega a la </w:t>
      </w:r>
      <w:r w:rsidR="00C36467">
        <w:rPr>
          <w:rFonts w:asciiTheme="minorHAnsi" w:hAnsiTheme="minorHAnsi" w:cstheme="minorHAnsi"/>
          <w:sz w:val="24"/>
          <w:szCs w:val="24"/>
        </w:rPr>
        <w:t>C</w:t>
      </w:r>
      <w:r>
        <w:rPr>
          <w:rFonts w:asciiTheme="minorHAnsi" w:hAnsiTheme="minorHAnsi" w:cstheme="minorHAnsi"/>
          <w:sz w:val="24"/>
          <w:szCs w:val="24"/>
        </w:rPr>
        <w:t xml:space="preserve">onvención de </w:t>
      </w:r>
      <w:r w:rsidR="00C36467">
        <w:rPr>
          <w:rFonts w:asciiTheme="minorHAnsi" w:hAnsiTheme="minorHAnsi" w:cstheme="minorHAnsi"/>
          <w:sz w:val="24"/>
          <w:szCs w:val="24"/>
        </w:rPr>
        <w:t>C</w:t>
      </w:r>
      <w:r>
        <w:rPr>
          <w:rFonts w:asciiTheme="minorHAnsi" w:hAnsiTheme="minorHAnsi" w:cstheme="minorHAnsi"/>
          <w:sz w:val="24"/>
          <w:szCs w:val="24"/>
        </w:rPr>
        <w:t xml:space="preserve">ambio </w:t>
      </w:r>
      <w:r w:rsidR="00C36467">
        <w:rPr>
          <w:rFonts w:asciiTheme="minorHAnsi" w:hAnsiTheme="minorHAnsi" w:cstheme="minorHAnsi"/>
          <w:sz w:val="24"/>
          <w:szCs w:val="24"/>
        </w:rPr>
        <w:t>C</w:t>
      </w:r>
      <w:r>
        <w:rPr>
          <w:rFonts w:asciiTheme="minorHAnsi" w:hAnsiTheme="minorHAnsi" w:cstheme="minorHAnsi"/>
          <w:sz w:val="24"/>
          <w:szCs w:val="24"/>
        </w:rPr>
        <w:t xml:space="preserve">limático. También se debe mencionar que el proyecto fue importante para </w:t>
      </w:r>
      <w:r>
        <w:rPr>
          <w:rFonts w:asciiTheme="minorHAnsi" w:hAnsiTheme="minorHAnsi" w:cstheme="minorHAnsi"/>
          <w:sz w:val="24"/>
          <w:szCs w:val="24"/>
        </w:rPr>
        <w:lastRenderedPageBreak/>
        <w:t>apalancar recursos (nacionales e internacionales) para implementar las actividades</w:t>
      </w:r>
      <w:r w:rsidR="00994DCA">
        <w:rPr>
          <w:rFonts w:asciiTheme="minorHAnsi" w:hAnsiTheme="minorHAnsi" w:cstheme="minorHAnsi"/>
          <w:sz w:val="24"/>
          <w:szCs w:val="24"/>
        </w:rPr>
        <w:t xml:space="preserve"> antes mencionadas y relacionar el medio-ambiente con la economía, lo que impulsó la participación de la Secretaría de Hacienda</w:t>
      </w:r>
      <w:r w:rsidR="00C36467">
        <w:rPr>
          <w:rFonts w:asciiTheme="minorHAnsi" w:hAnsiTheme="minorHAnsi" w:cstheme="minorHAnsi"/>
          <w:sz w:val="24"/>
          <w:szCs w:val="24"/>
        </w:rPr>
        <w:t xml:space="preserve"> y Crédito Público</w:t>
      </w:r>
      <w:r w:rsidR="00994DCA">
        <w:rPr>
          <w:rFonts w:asciiTheme="minorHAnsi" w:hAnsiTheme="minorHAnsi" w:cstheme="minorHAnsi"/>
          <w:sz w:val="24"/>
          <w:szCs w:val="24"/>
        </w:rPr>
        <w:t xml:space="preserve"> en este tipo de estudios, a partir del año 2006.</w:t>
      </w:r>
    </w:p>
    <w:p w:rsidR="00E26F74" w:rsidRDefault="00E26F74" w:rsidP="00F11C10">
      <w:pPr>
        <w:jc w:val="both"/>
        <w:rPr>
          <w:rFonts w:asciiTheme="minorHAnsi" w:hAnsiTheme="minorHAnsi" w:cstheme="minorHAnsi"/>
          <w:sz w:val="24"/>
          <w:szCs w:val="24"/>
        </w:rPr>
      </w:pPr>
      <w:r>
        <w:rPr>
          <w:rFonts w:asciiTheme="minorHAnsi" w:hAnsiTheme="minorHAnsi" w:cstheme="minorHAnsi"/>
          <w:sz w:val="24"/>
          <w:szCs w:val="24"/>
        </w:rPr>
        <w:t>Sin embargo, no es posible establecer que el proyecto haya creado alianzas estratégicas en cambio climático, diferentes a las que ya existían anteriormente en el país.</w:t>
      </w:r>
      <w:r w:rsidR="00994DCA">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994DCA" w:rsidRDefault="00994DCA" w:rsidP="00F11C10">
      <w:pPr>
        <w:jc w:val="both"/>
        <w:rPr>
          <w:rFonts w:asciiTheme="minorHAnsi" w:hAnsiTheme="minorHAnsi" w:cstheme="minorHAnsi"/>
          <w:sz w:val="24"/>
          <w:szCs w:val="24"/>
        </w:rPr>
      </w:pPr>
      <w:r>
        <w:rPr>
          <w:rFonts w:asciiTheme="minorHAnsi" w:hAnsiTheme="minorHAnsi" w:cstheme="minorHAnsi"/>
          <w:sz w:val="24"/>
          <w:szCs w:val="24"/>
        </w:rPr>
        <w:t xml:space="preserve">Con respecto a </w:t>
      </w:r>
      <w:r w:rsidRPr="003C593F">
        <w:rPr>
          <w:rFonts w:asciiTheme="minorHAnsi" w:hAnsiTheme="minorHAnsi" w:cstheme="minorHAnsi"/>
          <w:b/>
          <w:i/>
          <w:sz w:val="24"/>
          <w:szCs w:val="24"/>
          <w:u w:val="single"/>
        </w:rPr>
        <w:t>la sostenibilidad de los resultados</w:t>
      </w:r>
      <w:r>
        <w:rPr>
          <w:rFonts w:asciiTheme="minorHAnsi" w:hAnsiTheme="minorHAnsi" w:cstheme="minorHAnsi"/>
          <w:sz w:val="24"/>
          <w:szCs w:val="24"/>
        </w:rPr>
        <w:t xml:space="preserve"> es difícil pronunciarse sobre su continuidad, </w:t>
      </w:r>
      <w:r w:rsidR="00C36467">
        <w:rPr>
          <w:rFonts w:asciiTheme="minorHAnsi" w:hAnsiTheme="minorHAnsi" w:cstheme="minorHAnsi"/>
          <w:sz w:val="24"/>
          <w:szCs w:val="24"/>
        </w:rPr>
        <w:t xml:space="preserve">considerando </w:t>
      </w:r>
      <w:r>
        <w:rPr>
          <w:rFonts w:asciiTheme="minorHAnsi" w:hAnsiTheme="minorHAnsi" w:cstheme="minorHAnsi"/>
          <w:sz w:val="24"/>
          <w:szCs w:val="24"/>
        </w:rPr>
        <w:t xml:space="preserve">que la </w:t>
      </w:r>
      <w:r w:rsidR="00E15F15">
        <w:rPr>
          <w:rFonts w:asciiTheme="minorHAnsi" w:hAnsiTheme="minorHAnsi" w:cstheme="minorHAnsi"/>
          <w:sz w:val="24"/>
          <w:szCs w:val="24"/>
        </w:rPr>
        <w:t xml:space="preserve">excesiva </w:t>
      </w:r>
      <w:r>
        <w:rPr>
          <w:rFonts w:asciiTheme="minorHAnsi" w:hAnsiTheme="minorHAnsi" w:cstheme="minorHAnsi"/>
          <w:sz w:val="24"/>
          <w:szCs w:val="24"/>
        </w:rPr>
        <w:t>extensión del proyecto ha impactado en la percepción general que se tiene de él y ha opacado sus logros al punto de que no se observa un reconocimiento claro de su aporte real. Es probable que la práctica de coordinación y transversalidad que aportó el proyecto continúe en el futuro, debido en parte por la existencia de la agenda de transversalidad y otras actividades que también han contribuido a instalar el trabajo multisectorial para el logro de objetivos ambientales del gobierno federal.</w:t>
      </w:r>
    </w:p>
    <w:p w:rsidR="00B02E32" w:rsidRDefault="00B02E32" w:rsidP="00F11C10">
      <w:pPr>
        <w:jc w:val="both"/>
        <w:rPr>
          <w:rFonts w:asciiTheme="minorHAnsi" w:hAnsiTheme="minorHAnsi" w:cstheme="minorHAnsi"/>
          <w:sz w:val="24"/>
          <w:szCs w:val="24"/>
        </w:rPr>
      </w:pPr>
      <w:r>
        <w:rPr>
          <w:rFonts w:asciiTheme="minorHAnsi" w:hAnsiTheme="minorHAnsi" w:cstheme="minorHAnsi"/>
          <w:sz w:val="24"/>
          <w:szCs w:val="24"/>
        </w:rPr>
        <w:t xml:space="preserve">Con respecto a los conceptos de </w:t>
      </w:r>
      <w:r w:rsidRPr="003C593F">
        <w:rPr>
          <w:rFonts w:asciiTheme="minorHAnsi" w:hAnsiTheme="minorHAnsi" w:cstheme="minorHAnsi"/>
          <w:b/>
          <w:i/>
          <w:sz w:val="24"/>
          <w:szCs w:val="24"/>
          <w:u w:val="single"/>
        </w:rPr>
        <w:t>relevancia y atingencia</w:t>
      </w:r>
      <w:r>
        <w:rPr>
          <w:rFonts w:asciiTheme="minorHAnsi" w:hAnsiTheme="minorHAnsi" w:cstheme="minorHAnsi"/>
          <w:sz w:val="24"/>
          <w:szCs w:val="24"/>
        </w:rPr>
        <w:t xml:space="preserve"> del proyecto, se debe mencionar que se abordó una temática que aún es relevante para el país, como es lograr prácticas de planificación de largo plazo para problemas ambientales complejos. Es tan necesario que además otras instituciones </w:t>
      </w:r>
      <w:r w:rsidR="007355D5">
        <w:rPr>
          <w:rFonts w:asciiTheme="minorHAnsi" w:hAnsiTheme="minorHAnsi" w:cstheme="minorHAnsi"/>
          <w:sz w:val="24"/>
          <w:szCs w:val="24"/>
        </w:rPr>
        <w:t>internacionales, como el Banco Mundial y la propia práctica del gobierno federal</w:t>
      </w:r>
      <w:r w:rsidR="002B687B">
        <w:rPr>
          <w:rFonts w:asciiTheme="minorHAnsi" w:hAnsiTheme="minorHAnsi" w:cstheme="minorHAnsi"/>
          <w:sz w:val="24"/>
          <w:szCs w:val="24"/>
        </w:rPr>
        <w:t>,</w:t>
      </w:r>
      <w:r w:rsidR="007355D5">
        <w:rPr>
          <w:rFonts w:asciiTheme="minorHAnsi" w:hAnsiTheme="minorHAnsi" w:cstheme="minorHAnsi"/>
          <w:sz w:val="24"/>
          <w:szCs w:val="24"/>
        </w:rPr>
        <w:t xml:space="preserve"> han realizado esfuerzos paralelos en este sentido.</w:t>
      </w:r>
    </w:p>
    <w:p w:rsidR="007355D5" w:rsidRDefault="007355D5" w:rsidP="00F11C10">
      <w:pPr>
        <w:jc w:val="both"/>
        <w:rPr>
          <w:rFonts w:asciiTheme="minorHAnsi" w:hAnsiTheme="minorHAnsi" w:cstheme="minorHAnsi"/>
          <w:sz w:val="24"/>
          <w:szCs w:val="24"/>
        </w:rPr>
      </w:pPr>
      <w:r>
        <w:rPr>
          <w:rFonts w:asciiTheme="minorHAnsi" w:hAnsiTheme="minorHAnsi" w:cstheme="minorHAnsi"/>
          <w:sz w:val="24"/>
          <w:szCs w:val="24"/>
        </w:rPr>
        <w:t xml:space="preserve">Los </w:t>
      </w:r>
      <w:r w:rsidRPr="003C593F">
        <w:rPr>
          <w:rFonts w:asciiTheme="minorHAnsi" w:hAnsiTheme="minorHAnsi" w:cstheme="minorHAnsi"/>
          <w:b/>
          <w:i/>
          <w:sz w:val="24"/>
          <w:szCs w:val="24"/>
          <w:u w:val="single"/>
        </w:rPr>
        <w:t>principales desafíos</w:t>
      </w:r>
      <w:r>
        <w:rPr>
          <w:rFonts w:asciiTheme="minorHAnsi" w:hAnsiTheme="minorHAnsi" w:cstheme="minorHAnsi"/>
          <w:sz w:val="24"/>
          <w:szCs w:val="24"/>
        </w:rPr>
        <w:t xml:space="preserve"> que se deberán enfrentar post-proyecto y también relacionado con la sostenibilidad de resultados, </w:t>
      </w:r>
      <w:r w:rsidR="00C36467">
        <w:rPr>
          <w:rFonts w:asciiTheme="minorHAnsi" w:hAnsiTheme="minorHAnsi" w:cstheme="minorHAnsi"/>
          <w:sz w:val="24"/>
          <w:szCs w:val="24"/>
        </w:rPr>
        <w:t xml:space="preserve">consisten en </w:t>
      </w:r>
      <w:r>
        <w:rPr>
          <w:rFonts w:asciiTheme="minorHAnsi" w:hAnsiTheme="minorHAnsi" w:cstheme="minorHAnsi"/>
          <w:sz w:val="24"/>
          <w:szCs w:val="24"/>
        </w:rPr>
        <w:t>lograr una mayor descentralización y participación de los estados y autoridades locales en los procesos de planeación de largo plazo. Además de lo anterior, será crucial una mayor incorporación de las organizaciones de la sociedad civil en estos procesos, de manera de lograr una mayor apropiación y legitimidad de las metas de largo plazo que se acuerden para los diversos temas ambientales.</w:t>
      </w:r>
    </w:p>
    <w:p w:rsidR="009B0062" w:rsidRDefault="00EC5AB7" w:rsidP="00F11C10">
      <w:pPr>
        <w:jc w:val="both"/>
        <w:rPr>
          <w:rFonts w:asciiTheme="minorHAnsi" w:hAnsiTheme="minorHAnsi" w:cstheme="minorHAnsi"/>
          <w:sz w:val="24"/>
          <w:szCs w:val="24"/>
        </w:rPr>
      </w:pPr>
      <w:r>
        <w:rPr>
          <w:rFonts w:asciiTheme="minorHAnsi" w:hAnsiTheme="minorHAnsi" w:cstheme="minorHAnsi"/>
          <w:sz w:val="24"/>
          <w:szCs w:val="24"/>
        </w:rPr>
        <w:t xml:space="preserve">Como </w:t>
      </w:r>
      <w:r w:rsidRPr="003C593F">
        <w:rPr>
          <w:rFonts w:asciiTheme="minorHAnsi" w:hAnsiTheme="minorHAnsi" w:cstheme="minorHAnsi"/>
          <w:b/>
          <w:i/>
          <w:sz w:val="24"/>
          <w:szCs w:val="24"/>
          <w:u w:val="single"/>
        </w:rPr>
        <w:t>conclusiones</w:t>
      </w:r>
      <w:r>
        <w:rPr>
          <w:rFonts w:asciiTheme="minorHAnsi" w:hAnsiTheme="minorHAnsi" w:cstheme="minorHAnsi"/>
          <w:sz w:val="24"/>
          <w:szCs w:val="24"/>
        </w:rPr>
        <w:t xml:space="preserve"> de la presente evaluación, se pueden mencionar</w:t>
      </w:r>
      <w:r w:rsidR="00BD5383">
        <w:rPr>
          <w:rFonts w:asciiTheme="minorHAnsi" w:hAnsiTheme="minorHAnsi" w:cstheme="minorHAnsi"/>
          <w:sz w:val="24"/>
          <w:szCs w:val="24"/>
        </w:rPr>
        <w:t xml:space="preserve"> las siguientes</w:t>
      </w:r>
      <w:r>
        <w:rPr>
          <w:rFonts w:asciiTheme="minorHAnsi" w:hAnsiTheme="minorHAnsi" w:cstheme="minorHAnsi"/>
          <w:sz w:val="24"/>
          <w:szCs w:val="24"/>
        </w:rPr>
        <w:t xml:space="preserve">: i) efectivamente el proyecto logró aportar en la definiciones de política en el tema de cambio climático, pero no en biodiversidad; ii) logró incorporar el empalme entre medio ambiente y economía, situación que tuvo como resultado un mayor entendimiento e involucramiento de la Secretaría de Hacienda en algunos de los productos del proyecto; iii) la influencia del proyecto en otros temas, como la planificación transversal y de largo plazo, no se puede identificar claramente, debido a que también existieron otras iniciativas paralelas y de mayores recursos que apuntaron en la misma dirección que el proyecto; </w:t>
      </w:r>
      <w:r w:rsidR="009B0062">
        <w:rPr>
          <w:rFonts w:asciiTheme="minorHAnsi" w:hAnsiTheme="minorHAnsi" w:cstheme="minorHAnsi"/>
          <w:sz w:val="24"/>
          <w:szCs w:val="24"/>
        </w:rPr>
        <w:t xml:space="preserve">iv) el proyecto logró levantar algunos recursos financieros para actividades en cambio climático, pero no se puede establecer que se hayan formado alianzas estratégica </w:t>
      </w:r>
      <w:r w:rsidR="009B0062">
        <w:rPr>
          <w:rFonts w:asciiTheme="minorHAnsi" w:hAnsiTheme="minorHAnsi" w:cstheme="minorHAnsi"/>
          <w:sz w:val="24"/>
          <w:szCs w:val="24"/>
        </w:rPr>
        <w:lastRenderedPageBreak/>
        <w:t xml:space="preserve">adicionales a las ya existentes en el país, sobre todo en el campo de la biodiversidad; v) </w:t>
      </w:r>
      <w:r w:rsidR="00C47652">
        <w:rPr>
          <w:rFonts w:asciiTheme="minorHAnsi" w:hAnsiTheme="minorHAnsi" w:cstheme="minorHAnsi"/>
          <w:sz w:val="24"/>
          <w:szCs w:val="24"/>
        </w:rPr>
        <w:t>a pesar de la preocupación</w:t>
      </w:r>
      <w:r w:rsidR="00012733">
        <w:rPr>
          <w:rFonts w:asciiTheme="minorHAnsi" w:hAnsiTheme="minorHAnsi" w:cstheme="minorHAnsi"/>
          <w:sz w:val="24"/>
          <w:szCs w:val="24"/>
        </w:rPr>
        <w:t xml:space="preserve"> </w:t>
      </w:r>
      <w:r w:rsidR="00C47652">
        <w:rPr>
          <w:rFonts w:asciiTheme="minorHAnsi" w:hAnsiTheme="minorHAnsi" w:cstheme="minorHAnsi"/>
          <w:sz w:val="24"/>
          <w:szCs w:val="24"/>
        </w:rPr>
        <w:t xml:space="preserve">- expresada en distintas comunicaciones escritas referentes al cierre del proyecto- </w:t>
      </w:r>
      <w:r w:rsidR="009B0062">
        <w:rPr>
          <w:rFonts w:asciiTheme="minorHAnsi" w:hAnsiTheme="minorHAnsi" w:cstheme="minorHAnsi"/>
          <w:sz w:val="24"/>
          <w:szCs w:val="24"/>
        </w:rPr>
        <w:t xml:space="preserve">la excesiva extensión en el tiempo introdujo una mala percepción entre los actores y opacó los resultados reales logrados por el proyecto </w:t>
      </w:r>
      <w:r w:rsidR="002B687B">
        <w:rPr>
          <w:rFonts w:asciiTheme="minorHAnsi" w:hAnsiTheme="minorHAnsi" w:cstheme="minorHAnsi"/>
          <w:sz w:val="24"/>
          <w:szCs w:val="24"/>
        </w:rPr>
        <w:t xml:space="preserve">en </w:t>
      </w:r>
      <w:r w:rsidR="009B0062">
        <w:rPr>
          <w:rFonts w:asciiTheme="minorHAnsi" w:hAnsiTheme="minorHAnsi" w:cstheme="minorHAnsi"/>
          <w:sz w:val="24"/>
          <w:szCs w:val="24"/>
        </w:rPr>
        <w:t>el período 2004-2007, que se podría decir fue el período real de ejecución del proyecto</w:t>
      </w:r>
      <w:r w:rsidR="00FB226F">
        <w:rPr>
          <w:rFonts w:asciiTheme="minorHAnsi" w:hAnsiTheme="minorHAnsi" w:cstheme="minorHAnsi"/>
          <w:sz w:val="24"/>
          <w:szCs w:val="24"/>
        </w:rPr>
        <w:t xml:space="preserve">; vi) el proceso de diseño y aprobación del proyecto son sui-generis y no siguió procedimientos estándar del GEF, como por ejemplo, no se tiene en el </w:t>
      </w:r>
      <w:proofErr w:type="spellStart"/>
      <w:r w:rsidR="00FB226F">
        <w:rPr>
          <w:rFonts w:asciiTheme="minorHAnsi" w:hAnsiTheme="minorHAnsi" w:cstheme="minorHAnsi"/>
          <w:sz w:val="24"/>
          <w:szCs w:val="24"/>
        </w:rPr>
        <w:t>prodoc</w:t>
      </w:r>
      <w:proofErr w:type="spellEnd"/>
      <w:r w:rsidR="00FB226F">
        <w:rPr>
          <w:rFonts w:asciiTheme="minorHAnsi" w:hAnsiTheme="minorHAnsi" w:cstheme="minorHAnsi"/>
          <w:sz w:val="24"/>
          <w:szCs w:val="24"/>
        </w:rPr>
        <w:t xml:space="preserve"> los comentarios del </w:t>
      </w:r>
      <w:r w:rsidR="00B849D5">
        <w:rPr>
          <w:rFonts w:asciiTheme="minorHAnsi" w:hAnsiTheme="minorHAnsi" w:cstheme="minorHAnsi"/>
          <w:sz w:val="24"/>
          <w:szCs w:val="24"/>
        </w:rPr>
        <w:t>C</w:t>
      </w:r>
      <w:r w:rsidR="00FB226F">
        <w:rPr>
          <w:rFonts w:asciiTheme="minorHAnsi" w:hAnsiTheme="minorHAnsi" w:cstheme="minorHAnsi"/>
          <w:sz w:val="24"/>
          <w:szCs w:val="24"/>
        </w:rPr>
        <w:t xml:space="preserve">onsejo del GEF y sus consiguientes respuestas, siendo ésta una etapa importante que se observa en otros proyectos GEF de la época; </w:t>
      </w:r>
      <w:r w:rsidR="00096210">
        <w:rPr>
          <w:rFonts w:asciiTheme="minorHAnsi" w:hAnsiTheme="minorHAnsi" w:cstheme="minorHAnsi"/>
          <w:sz w:val="24"/>
          <w:szCs w:val="24"/>
        </w:rPr>
        <w:t xml:space="preserve">vii) el proyecto debiera haberse cerrado el año 2007, cuando ya las actividades habían cesado. En este aspecto, se necesitaba una mayor presencia de PNUD </w:t>
      </w:r>
      <w:r w:rsidR="002B687B">
        <w:rPr>
          <w:rFonts w:asciiTheme="minorHAnsi" w:hAnsiTheme="minorHAnsi" w:cstheme="minorHAnsi"/>
          <w:sz w:val="24"/>
          <w:szCs w:val="24"/>
        </w:rPr>
        <w:t xml:space="preserve">para aconsejar </w:t>
      </w:r>
      <w:r w:rsidR="00096210">
        <w:rPr>
          <w:rFonts w:asciiTheme="minorHAnsi" w:hAnsiTheme="minorHAnsi" w:cstheme="minorHAnsi"/>
          <w:sz w:val="24"/>
          <w:szCs w:val="24"/>
        </w:rPr>
        <w:t>al gobierno en la conveniencia de cerrar el proyecto y comenzar otro, en caso de ser necesario</w:t>
      </w:r>
      <w:r w:rsidR="00F14506">
        <w:rPr>
          <w:rFonts w:asciiTheme="minorHAnsi" w:hAnsiTheme="minorHAnsi" w:cstheme="minorHAnsi"/>
          <w:sz w:val="24"/>
          <w:szCs w:val="24"/>
        </w:rPr>
        <w:t>; viii) se observó una reducida participación de actores en el proyecto, principalmente de gobierno (</w:t>
      </w:r>
      <w:r w:rsidR="0041769A">
        <w:rPr>
          <w:rFonts w:asciiTheme="minorHAnsi" w:hAnsiTheme="minorHAnsi" w:cstheme="minorHAnsi"/>
          <w:sz w:val="24"/>
          <w:szCs w:val="24"/>
        </w:rPr>
        <w:t>SEMARNAT</w:t>
      </w:r>
      <w:r w:rsidR="00F14506">
        <w:rPr>
          <w:rFonts w:asciiTheme="minorHAnsi" w:hAnsiTheme="minorHAnsi" w:cstheme="minorHAnsi"/>
          <w:sz w:val="24"/>
          <w:szCs w:val="24"/>
        </w:rPr>
        <w:t>, INE)</w:t>
      </w:r>
      <w:r w:rsidR="00096210">
        <w:rPr>
          <w:rFonts w:asciiTheme="minorHAnsi" w:hAnsiTheme="minorHAnsi" w:cstheme="minorHAnsi"/>
          <w:sz w:val="24"/>
          <w:szCs w:val="24"/>
        </w:rPr>
        <w:t xml:space="preserve"> y</w:t>
      </w:r>
      <w:r w:rsidR="00B849D5">
        <w:rPr>
          <w:rFonts w:asciiTheme="minorHAnsi" w:hAnsiTheme="minorHAnsi" w:cstheme="minorHAnsi"/>
          <w:sz w:val="24"/>
          <w:szCs w:val="24"/>
        </w:rPr>
        <w:t>,</w:t>
      </w:r>
      <w:r w:rsidR="00096210">
        <w:rPr>
          <w:rFonts w:asciiTheme="minorHAnsi" w:hAnsiTheme="minorHAnsi" w:cstheme="minorHAnsi"/>
          <w:sz w:val="24"/>
          <w:szCs w:val="24"/>
        </w:rPr>
        <w:t xml:space="preserve"> </w:t>
      </w:r>
      <w:r w:rsidR="00F14506">
        <w:rPr>
          <w:rFonts w:asciiTheme="minorHAnsi" w:hAnsiTheme="minorHAnsi" w:cstheme="minorHAnsi"/>
          <w:sz w:val="24"/>
          <w:szCs w:val="24"/>
        </w:rPr>
        <w:t>ix</w:t>
      </w:r>
      <w:r w:rsidR="00096210">
        <w:rPr>
          <w:rFonts w:asciiTheme="minorHAnsi" w:hAnsiTheme="minorHAnsi" w:cstheme="minorHAnsi"/>
          <w:sz w:val="24"/>
          <w:szCs w:val="24"/>
        </w:rPr>
        <w:t xml:space="preserve">) con respecto al </w:t>
      </w:r>
      <w:proofErr w:type="spellStart"/>
      <w:r w:rsidR="00096210">
        <w:rPr>
          <w:rFonts w:asciiTheme="minorHAnsi" w:hAnsiTheme="minorHAnsi" w:cstheme="minorHAnsi"/>
          <w:sz w:val="24"/>
          <w:szCs w:val="24"/>
        </w:rPr>
        <w:t>co</w:t>
      </w:r>
      <w:proofErr w:type="spellEnd"/>
      <w:r w:rsidR="00096210">
        <w:rPr>
          <w:rFonts w:asciiTheme="minorHAnsi" w:hAnsiTheme="minorHAnsi" w:cstheme="minorHAnsi"/>
          <w:sz w:val="24"/>
          <w:szCs w:val="24"/>
        </w:rPr>
        <w:t>-financiamiento, el gobierno mexicano cumplió con sus compromisos de aportación.</w:t>
      </w:r>
    </w:p>
    <w:p w:rsidR="00096210" w:rsidRDefault="00096210" w:rsidP="00F11C10">
      <w:pPr>
        <w:jc w:val="both"/>
        <w:rPr>
          <w:rFonts w:asciiTheme="minorHAnsi" w:hAnsiTheme="minorHAnsi" w:cstheme="minorHAnsi"/>
          <w:sz w:val="24"/>
          <w:szCs w:val="24"/>
        </w:rPr>
      </w:pPr>
      <w:r>
        <w:rPr>
          <w:rFonts w:asciiTheme="minorHAnsi" w:hAnsiTheme="minorHAnsi" w:cstheme="minorHAnsi"/>
          <w:sz w:val="24"/>
          <w:szCs w:val="24"/>
        </w:rPr>
        <w:t xml:space="preserve">Las </w:t>
      </w:r>
      <w:r w:rsidRPr="00F14506">
        <w:rPr>
          <w:rFonts w:asciiTheme="minorHAnsi" w:hAnsiTheme="minorHAnsi" w:cstheme="minorHAnsi"/>
          <w:b/>
          <w:i/>
          <w:sz w:val="24"/>
          <w:szCs w:val="24"/>
          <w:u w:val="single"/>
        </w:rPr>
        <w:t>principales recomendaciones</w:t>
      </w:r>
      <w:r>
        <w:rPr>
          <w:rFonts w:asciiTheme="minorHAnsi" w:hAnsiTheme="minorHAnsi" w:cstheme="minorHAnsi"/>
          <w:sz w:val="24"/>
          <w:szCs w:val="24"/>
        </w:rPr>
        <w:t xml:space="preserve"> que emanan de este estudio son: i) evitar en el futuro este tipo de apoyos de corto plazo; ii) en futuros proyecto</w:t>
      </w:r>
      <w:r w:rsidR="00B849D5">
        <w:rPr>
          <w:rFonts w:asciiTheme="minorHAnsi" w:hAnsiTheme="minorHAnsi" w:cstheme="minorHAnsi"/>
          <w:sz w:val="24"/>
          <w:szCs w:val="24"/>
        </w:rPr>
        <w:t>s</w:t>
      </w:r>
      <w:r>
        <w:rPr>
          <w:rFonts w:asciiTheme="minorHAnsi" w:hAnsiTheme="minorHAnsi" w:cstheme="minorHAnsi"/>
          <w:sz w:val="24"/>
          <w:szCs w:val="24"/>
        </w:rPr>
        <w:t>, no se debiera eliminar el cargo de coordinador de proyectos; iii) para proyectos que sufren retrasos considerables o cambios muy profundos en su concepción, lo mejor sería cerrarlos a tiempo y elaborar un proyecto específico que cumpla con los estándares del GEF y las expectativas de los actores comprometidos; iv) para realizar un seguimiento más adecuado de las influencias de los proyectos en la definición de políticas y planes, sería fundamental introducir la práctica de colocar referencias específicas a los distintos insumos generados por los proyectos</w:t>
      </w:r>
      <w:r w:rsidR="0005701C">
        <w:rPr>
          <w:rFonts w:asciiTheme="minorHAnsi" w:hAnsiTheme="minorHAnsi" w:cstheme="minorHAnsi"/>
          <w:sz w:val="24"/>
          <w:szCs w:val="24"/>
        </w:rPr>
        <w:t xml:space="preserve"> </w:t>
      </w:r>
      <w:r>
        <w:rPr>
          <w:rFonts w:asciiTheme="minorHAnsi" w:hAnsiTheme="minorHAnsi" w:cstheme="minorHAnsi"/>
          <w:sz w:val="24"/>
          <w:szCs w:val="24"/>
        </w:rPr>
        <w:t xml:space="preserve">que son </w:t>
      </w:r>
      <w:r w:rsidR="0005701C">
        <w:rPr>
          <w:rFonts w:asciiTheme="minorHAnsi" w:hAnsiTheme="minorHAnsi" w:cstheme="minorHAnsi"/>
          <w:sz w:val="24"/>
          <w:szCs w:val="24"/>
        </w:rPr>
        <w:t xml:space="preserve">considerados en la elaboración de </w:t>
      </w:r>
      <w:r>
        <w:rPr>
          <w:rFonts w:asciiTheme="minorHAnsi" w:hAnsiTheme="minorHAnsi" w:cstheme="minorHAnsi"/>
          <w:sz w:val="24"/>
          <w:szCs w:val="24"/>
        </w:rPr>
        <w:t>documentos de políticas</w:t>
      </w:r>
      <w:r w:rsidR="0005701C">
        <w:rPr>
          <w:rFonts w:asciiTheme="minorHAnsi" w:hAnsiTheme="minorHAnsi" w:cstheme="minorHAnsi"/>
          <w:sz w:val="24"/>
          <w:szCs w:val="24"/>
        </w:rPr>
        <w:t xml:space="preserve"> y planes</w:t>
      </w:r>
      <w:r>
        <w:rPr>
          <w:rFonts w:asciiTheme="minorHAnsi" w:hAnsiTheme="minorHAnsi" w:cstheme="minorHAnsi"/>
          <w:sz w:val="24"/>
          <w:szCs w:val="24"/>
        </w:rPr>
        <w:t>.</w:t>
      </w:r>
    </w:p>
    <w:p w:rsidR="00096210" w:rsidRDefault="00F240DE" w:rsidP="00F11C10">
      <w:pPr>
        <w:jc w:val="both"/>
        <w:rPr>
          <w:rFonts w:asciiTheme="minorHAnsi" w:hAnsiTheme="minorHAnsi" w:cstheme="minorHAnsi"/>
          <w:sz w:val="24"/>
          <w:szCs w:val="24"/>
        </w:rPr>
      </w:pPr>
      <w:r>
        <w:rPr>
          <w:rFonts w:asciiTheme="minorHAnsi" w:hAnsiTheme="minorHAnsi" w:cstheme="minorHAnsi"/>
          <w:sz w:val="24"/>
          <w:szCs w:val="24"/>
        </w:rPr>
        <w:t>La calificación global del proyecto, de acuerdo a los criterios GEF y los TDR de la evaluación, serían los siguientes:</w:t>
      </w:r>
    </w:p>
    <w:p w:rsidR="00F240DE" w:rsidRDefault="00F240DE" w:rsidP="00F11C10">
      <w:pPr>
        <w:jc w:val="both"/>
        <w:rPr>
          <w:rFonts w:asciiTheme="minorHAnsi" w:hAnsiTheme="minorHAnsi" w:cstheme="minorHAnsi"/>
          <w:sz w:val="24"/>
          <w:szCs w:val="24"/>
        </w:rPr>
      </w:pPr>
      <w:r w:rsidRPr="00F240DE">
        <w:rPr>
          <w:rFonts w:asciiTheme="minorHAnsi" w:hAnsiTheme="minorHAnsi" w:cstheme="minorHAnsi"/>
          <w:sz w:val="24"/>
          <w:szCs w:val="24"/>
        </w:rPr>
        <w:t xml:space="preserve">Moderadamente Satisfactorio (MS) en el logro de sus objetivos, </w:t>
      </w:r>
      <w:r>
        <w:rPr>
          <w:rFonts w:asciiTheme="minorHAnsi" w:hAnsiTheme="minorHAnsi" w:cstheme="minorHAnsi"/>
          <w:sz w:val="24"/>
          <w:szCs w:val="24"/>
        </w:rPr>
        <w:t xml:space="preserve">Insatisfactorio </w:t>
      </w:r>
      <w:r w:rsidRPr="00F240DE">
        <w:rPr>
          <w:rFonts w:asciiTheme="minorHAnsi" w:hAnsiTheme="minorHAnsi" w:cstheme="minorHAnsi"/>
          <w:sz w:val="24"/>
          <w:szCs w:val="24"/>
        </w:rPr>
        <w:t>(I) en su primera etapa (2000-2003); Moderadamente Satisfactorio (MS) en su segunda etapa (2004-2007) e Insatisfactorio (I) en su etapa de cierre (200</w:t>
      </w:r>
      <w:r w:rsidR="00B849D5">
        <w:rPr>
          <w:rFonts w:asciiTheme="minorHAnsi" w:hAnsiTheme="minorHAnsi" w:cstheme="minorHAnsi"/>
          <w:sz w:val="24"/>
          <w:szCs w:val="24"/>
        </w:rPr>
        <w:t>8</w:t>
      </w:r>
      <w:r w:rsidRPr="00F240DE">
        <w:rPr>
          <w:rFonts w:asciiTheme="minorHAnsi" w:hAnsiTheme="minorHAnsi" w:cstheme="minorHAnsi"/>
          <w:sz w:val="24"/>
          <w:szCs w:val="24"/>
        </w:rPr>
        <w:t xml:space="preserve">-2011).  </w:t>
      </w:r>
    </w:p>
    <w:p w:rsidR="00F240DE" w:rsidRDefault="00F240DE" w:rsidP="002A14B2">
      <w:pPr>
        <w:spacing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Con  </w:t>
      </w:r>
      <w:r w:rsidR="00B849D5">
        <w:rPr>
          <w:rFonts w:asciiTheme="minorHAnsi" w:hAnsiTheme="minorHAnsi" w:cstheme="minorHAnsi"/>
          <w:sz w:val="24"/>
          <w:szCs w:val="24"/>
        </w:rPr>
        <w:t xml:space="preserve">relación </w:t>
      </w:r>
      <w:r>
        <w:rPr>
          <w:rFonts w:asciiTheme="minorHAnsi" w:hAnsiTheme="minorHAnsi" w:cstheme="minorHAnsi"/>
          <w:sz w:val="24"/>
          <w:szCs w:val="24"/>
        </w:rPr>
        <w:t>a los aspectos específicos requeridos en los TDR, la calificación es la siguiente:</w:t>
      </w:r>
    </w:p>
    <w:tbl>
      <w:tblPr>
        <w:tblStyle w:val="MediumShading2-Accent3"/>
        <w:tblW w:w="0" w:type="auto"/>
        <w:jc w:val="center"/>
        <w:tblInd w:w="-1263" w:type="dxa"/>
        <w:tblLook w:val="04A0"/>
      </w:tblPr>
      <w:tblGrid>
        <w:gridCol w:w="4146"/>
        <w:gridCol w:w="1537"/>
        <w:gridCol w:w="2474"/>
      </w:tblGrid>
      <w:tr w:rsidR="00F240DE" w:rsidRPr="00C115AF" w:rsidTr="00714F94">
        <w:trPr>
          <w:cnfStyle w:val="100000000000"/>
          <w:jc w:val="center"/>
        </w:trPr>
        <w:tc>
          <w:tcPr>
            <w:cnfStyle w:val="001000000100"/>
            <w:tcW w:w="4146" w:type="dxa"/>
          </w:tcPr>
          <w:p w:rsidR="00F240DE" w:rsidRPr="00C115AF" w:rsidRDefault="00F240DE" w:rsidP="003D39E0">
            <w:pPr>
              <w:jc w:val="center"/>
              <w:rPr>
                <w:rFonts w:ascii="Arial" w:hAnsi="Arial" w:cs="Arial"/>
                <w:i/>
              </w:rPr>
            </w:pPr>
            <w:r w:rsidRPr="00C115AF">
              <w:rPr>
                <w:rFonts w:ascii="Arial" w:hAnsi="Arial" w:cs="Arial"/>
                <w:i/>
              </w:rPr>
              <w:t>Etapa/Concepto</w:t>
            </w:r>
          </w:p>
        </w:tc>
        <w:tc>
          <w:tcPr>
            <w:tcW w:w="1537" w:type="dxa"/>
          </w:tcPr>
          <w:p w:rsidR="00F240DE" w:rsidRPr="00C115AF" w:rsidRDefault="00F240DE" w:rsidP="003D39E0">
            <w:pPr>
              <w:jc w:val="center"/>
              <w:cnfStyle w:val="100000000000"/>
              <w:rPr>
                <w:rFonts w:ascii="Arial" w:hAnsi="Arial" w:cs="Arial"/>
                <w:i/>
              </w:rPr>
            </w:pPr>
            <w:r w:rsidRPr="00C115AF">
              <w:rPr>
                <w:rFonts w:ascii="Arial" w:hAnsi="Arial" w:cs="Arial"/>
                <w:i/>
              </w:rPr>
              <w:t>Formulación</w:t>
            </w:r>
          </w:p>
        </w:tc>
        <w:tc>
          <w:tcPr>
            <w:tcW w:w="2474" w:type="dxa"/>
          </w:tcPr>
          <w:p w:rsidR="00F240DE" w:rsidRPr="00C115AF" w:rsidRDefault="00F240DE" w:rsidP="003D39E0">
            <w:pPr>
              <w:jc w:val="center"/>
              <w:cnfStyle w:val="100000000000"/>
              <w:rPr>
                <w:rFonts w:ascii="Arial" w:hAnsi="Arial" w:cs="Arial"/>
                <w:i/>
              </w:rPr>
            </w:pPr>
            <w:r w:rsidRPr="00C115AF">
              <w:rPr>
                <w:rFonts w:ascii="Arial" w:hAnsi="Arial" w:cs="Arial"/>
                <w:i/>
              </w:rPr>
              <w:t>Implementación</w:t>
            </w:r>
          </w:p>
        </w:tc>
      </w:tr>
      <w:tr w:rsidR="00F240DE" w:rsidRPr="00C115AF" w:rsidTr="00714F94">
        <w:trPr>
          <w:cnfStyle w:val="000000100000"/>
          <w:jc w:val="center"/>
        </w:trPr>
        <w:tc>
          <w:tcPr>
            <w:cnfStyle w:val="001000000000"/>
            <w:tcW w:w="4146" w:type="dxa"/>
          </w:tcPr>
          <w:p w:rsidR="00F240DE" w:rsidRPr="00C115AF" w:rsidRDefault="00F240DE" w:rsidP="003D39E0">
            <w:pPr>
              <w:jc w:val="both"/>
              <w:rPr>
                <w:rFonts w:ascii="Arial" w:hAnsi="Arial" w:cs="Arial"/>
                <w:sz w:val="20"/>
              </w:rPr>
            </w:pPr>
            <w:r w:rsidRPr="00C115AF">
              <w:rPr>
                <w:rFonts w:ascii="Arial" w:hAnsi="Arial" w:cs="Arial"/>
                <w:sz w:val="20"/>
              </w:rPr>
              <w:t>Conceptualización/Diseño</w:t>
            </w:r>
          </w:p>
        </w:tc>
        <w:tc>
          <w:tcPr>
            <w:tcW w:w="1537" w:type="dxa"/>
          </w:tcPr>
          <w:p w:rsidR="00F240DE" w:rsidRPr="00C115AF" w:rsidRDefault="00F240DE" w:rsidP="003D39E0">
            <w:pPr>
              <w:ind w:firstLine="411"/>
              <w:cnfStyle w:val="000000100000"/>
              <w:rPr>
                <w:rFonts w:ascii="Arial" w:hAnsi="Arial" w:cs="Arial"/>
                <w:sz w:val="20"/>
              </w:rPr>
            </w:pPr>
            <w:r w:rsidRPr="00C115AF">
              <w:rPr>
                <w:rFonts w:ascii="Arial" w:hAnsi="Arial" w:cs="Arial"/>
                <w:sz w:val="20"/>
              </w:rPr>
              <w:t>I</w:t>
            </w:r>
          </w:p>
        </w:tc>
        <w:tc>
          <w:tcPr>
            <w:tcW w:w="2474" w:type="dxa"/>
          </w:tcPr>
          <w:p w:rsidR="00F240DE" w:rsidRPr="00C115AF" w:rsidRDefault="00F240DE" w:rsidP="003D39E0">
            <w:pPr>
              <w:jc w:val="center"/>
              <w:cnfStyle w:val="000000100000"/>
              <w:rPr>
                <w:rFonts w:ascii="Arial" w:hAnsi="Arial" w:cs="Arial"/>
                <w:sz w:val="20"/>
              </w:rPr>
            </w:pPr>
          </w:p>
        </w:tc>
      </w:tr>
      <w:tr w:rsidR="00F240DE" w:rsidRPr="00C115AF" w:rsidTr="00714F94">
        <w:trPr>
          <w:jc w:val="center"/>
        </w:trPr>
        <w:tc>
          <w:tcPr>
            <w:cnfStyle w:val="001000000000"/>
            <w:tcW w:w="4146" w:type="dxa"/>
          </w:tcPr>
          <w:p w:rsidR="00F240DE" w:rsidRPr="00C115AF" w:rsidRDefault="00F240DE" w:rsidP="003D39E0">
            <w:pPr>
              <w:jc w:val="both"/>
              <w:rPr>
                <w:rFonts w:ascii="Arial" w:hAnsi="Arial" w:cs="Arial"/>
                <w:sz w:val="20"/>
              </w:rPr>
            </w:pPr>
            <w:r w:rsidRPr="00C115AF">
              <w:rPr>
                <w:rFonts w:ascii="Arial" w:hAnsi="Arial" w:cs="Arial"/>
                <w:sz w:val="20"/>
              </w:rPr>
              <w:t>Participación de Actores</w:t>
            </w:r>
          </w:p>
        </w:tc>
        <w:tc>
          <w:tcPr>
            <w:tcW w:w="1537" w:type="dxa"/>
          </w:tcPr>
          <w:p w:rsidR="00F240DE" w:rsidRPr="00C115AF" w:rsidRDefault="00F240DE" w:rsidP="003D39E0">
            <w:pPr>
              <w:ind w:firstLine="411"/>
              <w:cnfStyle w:val="000000000000"/>
              <w:rPr>
                <w:rFonts w:ascii="Arial" w:hAnsi="Arial" w:cs="Arial"/>
                <w:sz w:val="20"/>
              </w:rPr>
            </w:pPr>
            <w:r w:rsidRPr="00C115AF">
              <w:rPr>
                <w:rFonts w:ascii="Arial" w:hAnsi="Arial" w:cs="Arial"/>
                <w:sz w:val="20"/>
              </w:rPr>
              <w:t>MI</w:t>
            </w:r>
          </w:p>
        </w:tc>
        <w:tc>
          <w:tcPr>
            <w:tcW w:w="2474" w:type="dxa"/>
          </w:tcPr>
          <w:p w:rsidR="00F240DE" w:rsidRPr="00C115AF" w:rsidRDefault="00F240DE" w:rsidP="003D39E0">
            <w:pPr>
              <w:ind w:right="33" w:firstLine="600"/>
              <w:cnfStyle w:val="000000000000"/>
              <w:rPr>
                <w:rFonts w:ascii="Arial" w:hAnsi="Arial" w:cs="Arial"/>
                <w:sz w:val="20"/>
              </w:rPr>
            </w:pPr>
            <w:r w:rsidRPr="00C115AF">
              <w:rPr>
                <w:rFonts w:ascii="Arial" w:hAnsi="Arial" w:cs="Arial"/>
                <w:sz w:val="20"/>
              </w:rPr>
              <w:t>MI</w:t>
            </w:r>
          </w:p>
        </w:tc>
      </w:tr>
      <w:tr w:rsidR="00F240DE" w:rsidRPr="00C115AF" w:rsidTr="00714F94">
        <w:trPr>
          <w:cnfStyle w:val="000000100000"/>
          <w:jc w:val="center"/>
        </w:trPr>
        <w:tc>
          <w:tcPr>
            <w:cnfStyle w:val="001000000000"/>
            <w:tcW w:w="4146" w:type="dxa"/>
          </w:tcPr>
          <w:p w:rsidR="00F240DE" w:rsidRPr="00C115AF" w:rsidRDefault="00F240DE" w:rsidP="003D39E0">
            <w:pPr>
              <w:jc w:val="both"/>
              <w:rPr>
                <w:rFonts w:ascii="Arial" w:hAnsi="Arial" w:cs="Arial"/>
                <w:sz w:val="20"/>
              </w:rPr>
            </w:pPr>
            <w:r w:rsidRPr="00C115AF">
              <w:rPr>
                <w:rFonts w:ascii="Arial" w:hAnsi="Arial" w:cs="Arial"/>
                <w:sz w:val="20"/>
              </w:rPr>
              <w:t>Enfoque Implementación</w:t>
            </w:r>
          </w:p>
        </w:tc>
        <w:tc>
          <w:tcPr>
            <w:tcW w:w="1537" w:type="dxa"/>
          </w:tcPr>
          <w:p w:rsidR="00F240DE" w:rsidRPr="00C115AF" w:rsidRDefault="00F240DE" w:rsidP="003D39E0">
            <w:pPr>
              <w:ind w:firstLine="411"/>
              <w:cnfStyle w:val="000000100000"/>
              <w:rPr>
                <w:rFonts w:ascii="Arial" w:hAnsi="Arial" w:cs="Arial"/>
                <w:sz w:val="20"/>
              </w:rPr>
            </w:pPr>
          </w:p>
        </w:tc>
        <w:tc>
          <w:tcPr>
            <w:tcW w:w="2474" w:type="dxa"/>
          </w:tcPr>
          <w:p w:rsidR="00F240DE" w:rsidRPr="00C115AF" w:rsidRDefault="00F240DE" w:rsidP="003D39E0">
            <w:pPr>
              <w:ind w:right="33" w:firstLine="600"/>
              <w:cnfStyle w:val="000000100000"/>
              <w:rPr>
                <w:rFonts w:ascii="Arial" w:hAnsi="Arial" w:cs="Arial"/>
                <w:sz w:val="20"/>
              </w:rPr>
            </w:pPr>
            <w:r w:rsidRPr="00C115AF">
              <w:rPr>
                <w:rFonts w:ascii="Arial" w:hAnsi="Arial" w:cs="Arial"/>
                <w:sz w:val="20"/>
              </w:rPr>
              <w:t>MI</w:t>
            </w:r>
          </w:p>
        </w:tc>
      </w:tr>
      <w:tr w:rsidR="00F240DE" w:rsidRPr="009E7B19" w:rsidTr="00714F94">
        <w:trPr>
          <w:jc w:val="center"/>
        </w:trPr>
        <w:tc>
          <w:tcPr>
            <w:cnfStyle w:val="001000000000"/>
            <w:tcW w:w="4146" w:type="dxa"/>
          </w:tcPr>
          <w:p w:rsidR="00F240DE" w:rsidRPr="009E7B19" w:rsidRDefault="00F240DE" w:rsidP="003D39E0">
            <w:pPr>
              <w:jc w:val="both"/>
              <w:rPr>
                <w:rFonts w:ascii="Arial" w:hAnsi="Arial" w:cs="Arial"/>
                <w:sz w:val="20"/>
              </w:rPr>
            </w:pPr>
            <w:r w:rsidRPr="009E7B19">
              <w:rPr>
                <w:rFonts w:ascii="Arial" w:hAnsi="Arial" w:cs="Arial"/>
                <w:sz w:val="20"/>
              </w:rPr>
              <w:t>Monitoreo &amp; Evaluación</w:t>
            </w:r>
          </w:p>
        </w:tc>
        <w:tc>
          <w:tcPr>
            <w:tcW w:w="1537" w:type="dxa"/>
          </w:tcPr>
          <w:p w:rsidR="00F240DE" w:rsidRPr="00C115AF" w:rsidRDefault="00F240DE" w:rsidP="003D39E0">
            <w:pPr>
              <w:ind w:firstLine="411"/>
              <w:cnfStyle w:val="000000000000"/>
              <w:rPr>
                <w:rFonts w:ascii="Arial" w:hAnsi="Arial" w:cs="Arial"/>
                <w:sz w:val="20"/>
              </w:rPr>
            </w:pPr>
            <w:r w:rsidRPr="00C115AF">
              <w:rPr>
                <w:rFonts w:ascii="Arial" w:hAnsi="Arial" w:cs="Arial"/>
                <w:sz w:val="20"/>
              </w:rPr>
              <w:t>MI</w:t>
            </w:r>
          </w:p>
        </w:tc>
        <w:tc>
          <w:tcPr>
            <w:tcW w:w="2474" w:type="dxa"/>
          </w:tcPr>
          <w:p w:rsidR="00F240DE" w:rsidRPr="00C115AF" w:rsidRDefault="00F240DE" w:rsidP="003D39E0">
            <w:pPr>
              <w:ind w:right="33" w:firstLine="600"/>
              <w:cnfStyle w:val="000000000000"/>
              <w:rPr>
                <w:rFonts w:ascii="Arial" w:hAnsi="Arial" w:cs="Arial"/>
                <w:sz w:val="20"/>
              </w:rPr>
            </w:pPr>
            <w:r w:rsidRPr="00C115AF">
              <w:rPr>
                <w:rFonts w:ascii="Arial" w:hAnsi="Arial" w:cs="Arial"/>
                <w:sz w:val="20"/>
              </w:rPr>
              <w:t>MI</w:t>
            </w:r>
          </w:p>
        </w:tc>
      </w:tr>
      <w:tr w:rsidR="00F240DE" w:rsidRPr="009E7B19" w:rsidTr="00714F94">
        <w:trPr>
          <w:cnfStyle w:val="000000100000"/>
          <w:jc w:val="center"/>
        </w:trPr>
        <w:tc>
          <w:tcPr>
            <w:cnfStyle w:val="001000000000"/>
            <w:tcW w:w="4146" w:type="dxa"/>
          </w:tcPr>
          <w:p w:rsidR="00F240DE" w:rsidRPr="009E7B19" w:rsidRDefault="00F240DE" w:rsidP="003D39E0">
            <w:pPr>
              <w:jc w:val="both"/>
              <w:rPr>
                <w:rFonts w:ascii="Arial" w:hAnsi="Arial" w:cs="Arial"/>
                <w:sz w:val="20"/>
              </w:rPr>
            </w:pPr>
            <w:r w:rsidRPr="009E7B19">
              <w:rPr>
                <w:rFonts w:ascii="Arial" w:hAnsi="Arial" w:cs="Arial"/>
                <w:sz w:val="20"/>
              </w:rPr>
              <w:t>Logro Resultados</w:t>
            </w:r>
          </w:p>
        </w:tc>
        <w:tc>
          <w:tcPr>
            <w:tcW w:w="1537" w:type="dxa"/>
          </w:tcPr>
          <w:p w:rsidR="00F240DE" w:rsidRPr="00C115AF" w:rsidRDefault="00F240DE" w:rsidP="003D39E0">
            <w:pPr>
              <w:jc w:val="center"/>
              <w:cnfStyle w:val="000000100000"/>
              <w:rPr>
                <w:rFonts w:ascii="Arial" w:hAnsi="Arial" w:cs="Arial"/>
                <w:sz w:val="20"/>
              </w:rPr>
            </w:pPr>
          </w:p>
        </w:tc>
        <w:tc>
          <w:tcPr>
            <w:tcW w:w="2474" w:type="dxa"/>
          </w:tcPr>
          <w:p w:rsidR="00F240DE" w:rsidRPr="00C115AF" w:rsidRDefault="00F240DE" w:rsidP="003D39E0">
            <w:pPr>
              <w:ind w:right="33" w:firstLine="600"/>
              <w:cnfStyle w:val="000000100000"/>
              <w:rPr>
                <w:rFonts w:ascii="Arial" w:hAnsi="Arial" w:cs="Arial"/>
                <w:sz w:val="20"/>
              </w:rPr>
            </w:pPr>
            <w:r w:rsidRPr="00C115AF">
              <w:rPr>
                <w:rFonts w:ascii="Arial" w:hAnsi="Arial" w:cs="Arial"/>
                <w:sz w:val="20"/>
              </w:rPr>
              <w:t>MS</w:t>
            </w:r>
          </w:p>
        </w:tc>
      </w:tr>
    </w:tbl>
    <w:p w:rsidR="00E561C6" w:rsidRPr="003E1BB1" w:rsidRDefault="00E561C6" w:rsidP="002A14B2">
      <w:pPr>
        <w:jc w:val="both"/>
        <w:rPr>
          <w:rFonts w:ascii="Arial" w:hAnsi="Arial" w:cs="Arial"/>
          <w:i/>
        </w:rPr>
        <w:sectPr w:rsidR="00E561C6" w:rsidRPr="003E1BB1" w:rsidSect="00714F94">
          <w:footerReference w:type="default" r:id="rId15"/>
          <w:pgSz w:w="12240" w:h="15840" w:code="1"/>
          <w:pgMar w:top="1304" w:right="1701" w:bottom="1304" w:left="1701" w:header="709" w:footer="709" w:gutter="0"/>
          <w:pgNumType w:fmt="lowerRoman" w:start="1"/>
          <w:cols w:space="708"/>
          <w:docGrid w:linePitch="360"/>
        </w:sectPr>
      </w:pPr>
    </w:p>
    <w:p w:rsidR="00AA5B2A" w:rsidRPr="00E93214" w:rsidRDefault="00AA5B2A" w:rsidP="00825E0D">
      <w:pPr>
        <w:pStyle w:val="ListParagraph"/>
        <w:numPr>
          <w:ilvl w:val="0"/>
          <w:numId w:val="3"/>
        </w:numPr>
        <w:shd w:val="clear" w:color="auto" w:fill="92D050"/>
        <w:spacing w:before="120" w:after="360" w:line="240" w:lineRule="auto"/>
        <w:ind w:left="567" w:hanging="567"/>
        <w:contextualSpacing w:val="0"/>
        <w:rPr>
          <w:b/>
          <w:i/>
          <w:sz w:val="24"/>
          <w:u w:val="single"/>
        </w:rPr>
      </w:pPr>
      <w:r w:rsidRPr="00E93214">
        <w:rPr>
          <w:b/>
          <w:i/>
          <w:sz w:val="24"/>
          <w:u w:val="single"/>
        </w:rPr>
        <w:lastRenderedPageBreak/>
        <w:t>Propósito, Objetivos y Metodología  de la Evaluación</w:t>
      </w:r>
    </w:p>
    <w:p w:rsidR="009A2F63" w:rsidRPr="009A2F63" w:rsidRDefault="003177E6" w:rsidP="009A2F63">
      <w:pPr>
        <w:pStyle w:val="ListParagraph"/>
        <w:numPr>
          <w:ilvl w:val="0"/>
          <w:numId w:val="5"/>
        </w:numPr>
        <w:ind w:left="567" w:hanging="567"/>
        <w:jc w:val="both"/>
        <w:rPr>
          <w:sz w:val="24"/>
        </w:rPr>
      </w:pPr>
      <w:r w:rsidRPr="003177E6">
        <w:rPr>
          <w:sz w:val="24"/>
        </w:rPr>
        <w:t xml:space="preserve">La  oficina  de  PNUD  de  México,  ha  solicitado  la  evaluación  final  del  proyecto  “Planeación Estratégica  y  Diseño  para  la  Protección  Ambiental  y  el  Desarrollo  Sustentable  en  México”,  de acuerdo a los requerimientos que el  GEF estipula para cada proyecto que </w:t>
      </w:r>
      <w:r w:rsidR="009205D9">
        <w:rPr>
          <w:sz w:val="24"/>
        </w:rPr>
        <w:t>sea</w:t>
      </w:r>
      <w:r w:rsidRPr="003177E6">
        <w:rPr>
          <w:sz w:val="24"/>
        </w:rPr>
        <w:t xml:space="preserve"> financiado por esta</w:t>
      </w:r>
      <w:r>
        <w:rPr>
          <w:sz w:val="24"/>
        </w:rPr>
        <w:t xml:space="preserve"> </w:t>
      </w:r>
      <w:r w:rsidRPr="003177E6">
        <w:rPr>
          <w:sz w:val="24"/>
        </w:rPr>
        <w:t xml:space="preserve">institución. </w:t>
      </w:r>
      <w:r>
        <w:rPr>
          <w:sz w:val="24"/>
        </w:rPr>
        <w:t>Este proyecto fue ejecutado por la Secretaría de Medio Ambiente y Recursos Naturales (</w:t>
      </w:r>
      <w:r w:rsidR="0041769A">
        <w:rPr>
          <w:sz w:val="24"/>
        </w:rPr>
        <w:t>SEMARNAT</w:t>
      </w:r>
      <w:r>
        <w:rPr>
          <w:sz w:val="24"/>
        </w:rPr>
        <w:t>), durante el período comprendido entre los años 2002 y 2</w:t>
      </w:r>
      <w:r w:rsidR="009A2F63">
        <w:rPr>
          <w:sz w:val="24"/>
        </w:rPr>
        <w:t>011</w:t>
      </w:r>
      <w:r>
        <w:rPr>
          <w:sz w:val="24"/>
        </w:rPr>
        <w:t>.</w:t>
      </w:r>
      <w:r w:rsidR="009A2F63" w:rsidRPr="009A2F63">
        <w:rPr>
          <w:sz w:val="24"/>
        </w:rPr>
        <w:t xml:space="preserve"> </w:t>
      </w:r>
      <w:r w:rsidR="009A2F63">
        <w:rPr>
          <w:sz w:val="24"/>
        </w:rPr>
        <w:t>Por lo tanto, l</w:t>
      </w:r>
      <w:r w:rsidR="009A2F63" w:rsidRPr="009A2F63">
        <w:rPr>
          <w:sz w:val="24"/>
        </w:rPr>
        <w:t>a presente evaluación abarca un período de ejecución del proyecto cercana a los 10 años, donde los recursos desembolsados por parte del GEF ascienden a</w:t>
      </w:r>
      <w:r w:rsidR="003351DC">
        <w:rPr>
          <w:sz w:val="24"/>
        </w:rPr>
        <w:t xml:space="preserve"> aproximadamente US$ 653 mil</w:t>
      </w:r>
      <w:r w:rsidR="007D216C">
        <w:rPr>
          <w:sz w:val="24"/>
        </w:rPr>
        <w:t xml:space="preserve"> a la fecha de evaluación.</w:t>
      </w:r>
    </w:p>
    <w:p w:rsidR="009A2F63" w:rsidRPr="009A2F63" w:rsidRDefault="009A2F63" w:rsidP="009A2F63">
      <w:pPr>
        <w:pStyle w:val="ListParagraph"/>
        <w:numPr>
          <w:ilvl w:val="0"/>
          <w:numId w:val="5"/>
        </w:numPr>
        <w:ind w:left="567" w:hanging="567"/>
        <w:jc w:val="both"/>
        <w:rPr>
          <w:sz w:val="24"/>
        </w:rPr>
      </w:pPr>
      <w:r w:rsidRPr="009A2F63">
        <w:rPr>
          <w:sz w:val="24"/>
        </w:rPr>
        <w:t>El objetivo declarado del proyecto era el de realizar un apoyo de corto plazo al nuevo gobierno mexicano</w:t>
      </w:r>
      <w:r>
        <w:rPr>
          <w:sz w:val="24"/>
        </w:rPr>
        <w:t xml:space="preserve"> que asumiría el poder en el año 2000</w:t>
      </w:r>
      <w:r w:rsidR="003351DC">
        <w:rPr>
          <w:sz w:val="24"/>
        </w:rPr>
        <w:t xml:space="preserve"> y </w:t>
      </w:r>
      <w:r w:rsidRPr="009A2F63">
        <w:rPr>
          <w:sz w:val="24"/>
        </w:rPr>
        <w:t xml:space="preserve">que </w:t>
      </w:r>
      <w:r w:rsidR="003351DC">
        <w:rPr>
          <w:sz w:val="24"/>
        </w:rPr>
        <w:t>tenía</w:t>
      </w:r>
      <w:r w:rsidRPr="009A2F63">
        <w:rPr>
          <w:sz w:val="24"/>
        </w:rPr>
        <w:t xml:space="preserve"> un signo político distinto </w:t>
      </w:r>
      <w:r w:rsidR="00F160A9">
        <w:rPr>
          <w:sz w:val="24"/>
        </w:rPr>
        <w:t>a</w:t>
      </w:r>
      <w:r w:rsidRPr="009A2F63">
        <w:rPr>
          <w:sz w:val="24"/>
        </w:rPr>
        <w:t>l de los gobiernos anteri</w:t>
      </w:r>
      <w:r w:rsidR="00BC290E">
        <w:rPr>
          <w:sz w:val="24"/>
        </w:rPr>
        <w:t>ores, por lo que se requería un apoyo</w:t>
      </w:r>
      <w:r w:rsidRPr="009A2F63">
        <w:rPr>
          <w:sz w:val="24"/>
        </w:rPr>
        <w:t xml:space="preserve"> urgente por parte del GEF para fortalece</w:t>
      </w:r>
      <w:r w:rsidR="003351DC">
        <w:rPr>
          <w:sz w:val="24"/>
        </w:rPr>
        <w:t>r en el corto plazo (2001-2006);</w:t>
      </w:r>
      <w:r w:rsidRPr="009A2F63">
        <w:rPr>
          <w:sz w:val="24"/>
        </w:rPr>
        <w:t xml:space="preserve"> las capacidades de gobernabilidad ambiental dentro de México y realizar una planificación ambiental transversal de largo plazo, más allá de las planificaciones existentes a la fecha, que se realiza</w:t>
      </w:r>
      <w:r w:rsidR="009205D9">
        <w:rPr>
          <w:sz w:val="24"/>
        </w:rPr>
        <w:t>n</w:t>
      </w:r>
      <w:r w:rsidRPr="009A2F63">
        <w:rPr>
          <w:sz w:val="24"/>
        </w:rPr>
        <w:t xml:space="preserve"> </w:t>
      </w:r>
      <w:r w:rsidR="00F160A9">
        <w:rPr>
          <w:sz w:val="24"/>
        </w:rPr>
        <w:t>para periodos sexenales</w:t>
      </w:r>
      <w:r w:rsidRPr="009A2F63">
        <w:rPr>
          <w:sz w:val="24"/>
        </w:rPr>
        <w:t>.</w:t>
      </w:r>
    </w:p>
    <w:p w:rsidR="009A2F63" w:rsidRPr="009A2F63" w:rsidRDefault="009A2F63" w:rsidP="009A2F63">
      <w:pPr>
        <w:pStyle w:val="ListParagraph"/>
        <w:numPr>
          <w:ilvl w:val="0"/>
          <w:numId w:val="5"/>
        </w:numPr>
        <w:ind w:left="567" w:hanging="567"/>
        <w:jc w:val="both"/>
        <w:rPr>
          <w:sz w:val="24"/>
        </w:rPr>
      </w:pPr>
      <w:r w:rsidRPr="009A2F63">
        <w:rPr>
          <w:sz w:val="24"/>
        </w:rPr>
        <w:t xml:space="preserve">Esta planificación ambiental transversal, estaría incluida en el Plan Nacional de Desarrollo de México (2001-2025). Los sectores principales </w:t>
      </w:r>
      <w:r w:rsidR="00F160A9">
        <w:rPr>
          <w:sz w:val="24"/>
        </w:rPr>
        <w:t>por</w:t>
      </w:r>
      <w:r w:rsidRPr="009A2F63">
        <w:rPr>
          <w:sz w:val="24"/>
        </w:rPr>
        <w:t xml:space="preserve"> abordar serían:</w:t>
      </w:r>
    </w:p>
    <w:p w:rsidR="009A2F63" w:rsidRPr="009A2F63" w:rsidRDefault="009A2F63" w:rsidP="005E38BA">
      <w:pPr>
        <w:pStyle w:val="ListParagraph"/>
        <w:numPr>
          <w:ilvl w:val="0"/>
          <w:numId w:val="5"/>
        </w:numPr>
        <w:tabs>
          <w:tab w:val="center" w:pos="-2268"/>
          <w:tab w:val="right" w:pos="1276"/>
        </w:tabs>
        <w:ind w:left="567" w:hanging="567"/>
        <w:jc w:val="both"/>
        <w:rPr>
          <w:sz w:val="24"/>
        </w:rPr>
      </w:pPr>
      <w:r w:rsidRPr="009A2F63">
        <w:rPr>
          <w:sz w:val="24"/>
        </w:rPr>
        <w:t>i)</w:t>
      </w:r>
      <w:r w:rsidRPr="009A2F63">
        <w:rPr>
          <w:sz w:val="24"/>
        </w:rPr>
        <w:tab/>
      </w:r>
      <w:r w:rsidR="00BC290E">
        <w:rPr>
          <w:sz w:val="24"/>
        </w:rPr>
        <w:tab/>
      </w:r>
      <w:r w:rsidRPr="009A2F63">
        <w:rPr>
          <w:sz w:val="24"/>
        </w:rPr>
        <w:t>biodiversidad de importancia mundial y;</w:t>
      </w:r>
    </w:p>
    <w:p w:rsidR="009A2F63" w:rsidRDefault="009A2F63" w:rsidP="005E38BA">
      <w:pPr>
        <w:pStyle w:val="ListParagraph"/>
        <w:numPr>
          <w:ilvl w:val="0"/>
          <w:numId w:val="5"/>
        </w:numPr>
        <w:ind w:left="567" w:hanging="567"/>
        <w:jc w:val="both"/>
        <w:rPr>
          <w:sz w:val="24"/>
        </w:rPr>
      </w:pPr>
      <w:r w:rsidRPr="009A2F63">
        <w:rPr>
          <w:sz w:val="24"/>
        </w:rPr>
        <w:t>ii)</w:t>
      </w:r>
      <w:r w:rsidRPr="009A2F63">
        <w:rPr>
          <w:sz w:val="24"/>
        </w:rPr>
        <w:tab/>
        <w:t>reducción de GHG.</w:t>
      </w:r>
    </w:p>
    <w:p w:rsidR="003177E6" w:rsidRPr="003177E6" w:rsidRDefault="003177E6" w:rsidP="005E38BA">
      <w:pPr>
        <w:pStyle w:val="ListParagraph"/>
        <w:numPr>
          <w:ilvl w:val="0"/>
          <w:numId w:val="5"/>
        </w:numPr>
        <w:ind w:left="567" w:hanging="567"/>
        <w:jc w:val="both"/>
        <w:rPr>
          <w:sz w:val="24"/>
        </w:rPr>
      </w:pPr>
      <w:r w:rsidRPr="003177E6">
        <w:rPr>
          <w:sz w:val="24"/>
        </w:rPr>
        <w:t>Por  ser  ésta  una  evaluación  final  de  proyecto,  PNUD  ha  dispuesto  que  el  equipo  evaluador  esté constituido  por  2  profesionales:  i)</w:t>
      </w:r>
      <w:r w:rsidR="005077D8">
        <w:rPr>
          <w:sz w:val="24"/>
        </w:rPr>
        <w:t xml:space="preserve"> </w:t>
      </w:r>
      <w:r w:rsidRPr="003177E6">
        <w:rPr>
          <w:sz w:val="24"/>
        </w:rPr>
        <w:t xml:space="preserve">un  </w:t>
      </w:r>
      <w:r w:rsidR="005077D8">
        <w:rPr>
          <w:sz w:val="24"/>
        </w:rPr>
        <w:t xml:space="preserve">consultor  </w:t>
      </w:r>
      <w:r w:rsidRPr="003177E6">
        <w:rPr>
          <w:sz w:val="24"/>
        </w:rPr>
        <w:t xml:space="preserve">internacional  con  experiencia  en  evaluación  y monitoreo  en  proyectos  GEF  y  ii)  un  </w:t>
      </w:r>
      <w:r w:rsidR="005077D8">
        <w:rPr>
          <w:sz w:val="24"/>
        </w:rPr>
        <w:t xml:space="preserve">consultor </w:t>
      </w:r>
      <w:r w:rsidRPr="003177E6">
        <w:rPr>
          <w:sz w:val="24"/>
        </w:rPr>
        <w:t>nacional con experiencia en administración</w:t>
      </w:r>
      <w:r w:rsidR="005077D8">
        <w:rPr>
          <w:sz w:val="24"/>
        </w:rPr>
        <w:t xml:space="preserve"> pública de proyectos ambientales y en instituciones mexicanas involucradas en la temática ambiental. Este consultor estuvo encargado de </w:t>
      </w:r>
      <w:r w:rsidRPr="003177E6">
        <w:rPr>
          <w:sz w:val="24"/>
        </w:rPr>
        <w:t>realizar la evaluación de los aspectos administrativos, gerenciales</w:t>
      </w:r>
      <w:r w:rsidR="005077D8">
        <w:rPr>
          <w:sz w:val="24"/>
        </w:rPr>
        <w:t xml:space="preserve"> y</w:t>
      </w:r>
      <w:r w:rsidRPr="003177E6">
        <w:rPr>
          <w:sz w:val="24"/>
        </w:rPr>
        <w:t xml:space="preserve"> uso de recursos del proyecto. </w:t>
      </w:r>
    </w:p>
    <w:p w:rsidR="003177E6" w:rsidRDefault="003177E6" w:rsidP="003177E6">
      <w:pPr>
        <w:pStyle w:val="ListParagraph"/>
        <w:numPr>
          <w:ilvl w:val="0"/>
          <w:numId w:val="5"/>
        </w:numPr>
        <w:ind w:left="567" w:hanging="567"/>
        <w:jc w:val="both"/>
        <w:rPr>
          <w:sz w:val="24"/>
        </w:rPr>
      </w:pPr>
      <w:r>
        <w:rPr>
          <w:sz w:val="24"/>
        </w:rPr>
        <w:t>Las normas del PNUD y del GEF, especifican que todo proyecto debe tener una evaluación final realizada por profesionales independientes al diseño e implementación del proyecto, con el fin de extraer conclusiones y lecciones aprendidas durante las distintas etapas del proyecto y poder traspasar esta experiencia a otros proyectos similares que se realizarán en el futuro o que están en etapa de elaboración o en ejecución.</w:t>
      </w:r>
    </w:p>
    <w:p w:rsidR="003177E6" w:rsidRPr="003177E6" w:rsidRDefault="003177E6" w:rsidP="005E38BA">
      <w:pPr>
        <w:pStyle w:val="ListParagraph"/>
        <w:numPr>
          <w:ilvl w:val="0"/>
          <w:numId w:val="5"/>
        </w:numPr>
        <w:ind w:left="567" w:hanging="567"/>
        <w:jc w:val="both"/>
        <w:rPr>
          <w:sz w:val="24"/>
        </w:rPr>
      </w:pPr>
      <w:r w:rsidRPr="003177E6">
        <w:rPr>
          <w:sz w:val="24"/>
        </w:rPr>
        <w:t xml:space="preserve">El </w:t>
      </w:r>
      <w:r>
        <w:rPr>
          <w:sz w:val="24"/>
        </w:rPr>
        <w:t xml:space="preserve"> consultor  internacional  fue</w:t>
      </w:r>
      <w:r w:rsidRPr="003177E6">
        <w:rPr>
          <w:sz w:val="24"/>
        </w:rPr>
        <w:t xml:space="preserve">  el  responsable  de  la  evaluación  de  los  aspectos  de  diseño, implementación y sustentabilidad del proyecto, así como de la planificación financiera y redactar el</w:t>
      </w:r>
      <w:r>
        <w:rPr>
          <w:sz w:val="24"/>
        </w:rPr>
        <w:t xml:space="preserve"> </w:t>
      </w:r>
      <w:r w:rsidRPr="003177E6">
        <w:rPr>
          <w:sz w:val="24"/>
        </w:rPr>
        <w:t xml:space="preserve">informe final. </w:t>
      </w:r>
    </w:p>
    <w:p w:rsidR="00221475" w:rsidRDefault="003177E6">
      <w:pPr>
        <w:pStyle w:val="ListParagraph"/>
        <w:numPr>
          <w:ilvl w:val="0"/>
          <w:numId w:val="5"/>
        </w:numPr>
        <w:ind w:left="567" w:hanging="567"/>
        <w:jc w:val="both"/>
        <w:rPr>
          <w:sz w:val="24"/>
        </w:rPr>
      </w:pPr>
      <w:r w:rsidRPr="003177E6">
        <w:rPr>
          <w:sz w:val="24"/>
        </w:rPr>
        <w:lastRenderedPageBreak/>
        <w:t xml:space="preserve">El consultor </w:t>
      </w:r>
      <w:r>
        <w:rPr>
          <w:sz w:val="24"/>
        </w:rPr>
        <w:t>nacional</w:t>
      </w:r>
      <w:r w:rsidRPr="003177E6">
        <w:rPr>
          <w:sz w:val="24"/>
        </w:rPr>
        <w:t xml:space="preserve"> </w:t>
      </w:r>
      <w:r>
        <w:rPr>
          <w:sz w:val="24"/>
        </w:rPr>
        <w:t>tuvo</w:t>
      </w:r>
      <w:r w:rsidRPr="003177E6">
        <w:rPr>
          <w:sz w:val="24"/>
        </w:rPr>
        <w:t xml:space="preserve"> la responsabilidad de reunir la información clave del proyecto y</w:t>
      </w:r>
      <w:r>
        <w:rPr>
          <w:sz w:val="24"/>
        </w:rPr>
        <w:t xml:space="preserve"> </w:t>
      </w:r>
      <w:r w:rsidRPr="003177E6">
        <w:rPr>
          <w:sz w:val="24"/>
        </w:rPr>
        <w:t xml:space="preserve">otorgar el apoyo logístico y de organización de la misión de evaluación. </w:t>
      </w:r>
      <w:r w:rsidR="00221475">
        <w:rPr>
          <w:sz w:val="24"/>
        </w:rPr>
        <w:t xml:space="preserve">De esta forma, PNUD realizó una convocatoria pública para seleccionar </w:t>
      </w:r>
      <w:r>
        <w:rPr>
          <w:sz w:val="24"/>
        </w:rPr>
        <w:t>los consultores q</w:t>
      </w:r>
      <w:r w:rsidR="00221475">
        <w:rPr>
          <w:sz w:val="24"/>
        </w:rPr>
        <w:t>ue realizaría</w:t>
      </w:r>
      <w:r>
        <w:rPr>
          <w:sz w:val="24"/>
        </w:rPr>
        <w:t>n</w:t>
      </w:r>
      <w:r w:rsidR="00221475">
        <w:rPr>
          <w:sz w:val="24"/>
        </w:rPr>
        <w:t xml:space="preserve"> la evaluación final del proyecto, la que se hizo efectiva entre </w:t>
      </w:r>
      <w:r>
        <w:rPr>
          <w:sz w:val="24"/>
        </w:rPr>
        <w:t>Julio</w:t>
      </w:r>
      <w:r w:rsidR="00221475">
        <w:rPr>
          <w:sz w:val="24"/>
        </w:rPr>
        <w:t>-</w:t>
      </w:r>
      <w:r>
        <w:rPr>
          <w:sz w:val="24"/>
        </w:rPr>
        <w:t>Agosto</w:t>
      </w:r>
      <w:r w:rsidR="00221475">
        <w:rPr>
          <w:sz w:val="24"/>
        </w:rPr>
        <w:t xml:space="preserve"> del 2011.</w:t>
      </w:r>
    </w:p>
    <w:p w:rsidR="007C0AE9" w:rsidRDefault="00537330" w:rsidP="00EC70F4">
      <w:pPr>
        <w:pStyle w:val="ListParagraph"/>
        <w:numPr>
          <w:ilvl w:val="0"/>
          <w:numId w:val="5"/>
        </w:numPr>
        <w:ind w:left="567" w:hanging="567"/>
        <w:jc w:val="both"/>
        <w:rPr>
          <w:sz w:val="24"/>
        </w:rPr>
      </w:pPr>
      <w:r>
        <w:rPr>
          <w:sz w:val="24"/>
        </w:rPr>
        <w:t xml:space="preserve">De acuerdo a los TDR de la consultoría, los siguientes serían los objetivos de </w:t>
      </w:r>
      <w:r w:rsidR="00221475">
        <w:rPr>
          <w:sz w:val="24"/>
        </w:rPr>
        <w:t xml:space="preserve"> </w:t>
      </w:r>
      <w:r>
        <w:rPr>
          <w:sz w:val="24"/>
        </w:rPr>
        <w:t>la evaluación final del proyecto:</w:t>
      </w:r>
    </w:p>
    <w:p w:rsidR="00537330" w:rsidRDefault="00537330" w:rsidP="00537330">
      <w:pPr>
        <w:pStyle w:val="ListParagraph"/>
        <w:numPr>
          <w:ilvl w:val="0"/>
          <w:numId w:val="5"/>
        </w:numPr>
        <w:tabs>
          <w:tab w:val="left" w:pos="1276"/>
        </w:tabs>
        <w:ind w:left="567" w:hanging="567"/>
        <w:jc w:val="both"/>
        <w:rPr>
          <w:sz w:val="24"/>
        </w:rPr>
      </w:pPr>
      <w:r w:rsidRPr="00537330">
        <w:rPr>
          <w:sz w:val="24"/>
        </w:rPr>
        <w:t xml:space="preserve">I) Analizar la implementación del proyecto; </w:t>
      </w:r>
    </w:p>
    <w:p w:rsidR="00537330" w:rsidRPr="00537330" w:rsidRDefault="00537330" w:rsidP="005077D8">
      <w:pPr>
        <w:pStyle w:val="ListParagraph"/>
        <w:numPr>
          <w:ilvl w:val="0"/>
          <w:numId w:val="5"/>
        </w:numPr>
        <w:tabs>
          <w:tab w:val="left" w:pos="-2268"/>
          <w:tab w:val="left" w:pos="567"/>
        </w:tabs>
        <w:ind w:left="851" w:hanging="851"/>
        <w:jc w:val="both"/>
        <w:rPr>
          <w:sz w:val="24"/>
        </w:rPr>
      </w:pPr>
      <w:proofErr w:type="spellStart"/>
      <w:r w:rsidRPr="00537330">
        <w:rPr>
          <w:sz w:val="24"/>
        </w:rPr>
        <w:t>Ii</w:t>
      </w:r>
      <w:proofErr w:type="spellEnd"/>
      <w:r w:rsidRPr="00537330">
        <w:rPr>
          <w:sz w:val="24"/>
        </w:rPr>
        <w:t>) Revisar los logros del proyecto en relación con el cumplimiento del objetivo del proyecto y sus</w:t>
      </w:r>
      <w:r>
        <w:rPr>
          <w:sz w:val="24"/>
        </w:rPr>
        <w:t xml:space="preserve"> </w:t>
      </w:r>
      <w:r w:rsidRPr="00537330">
        <w:rPr>
          <w:sz w:val="24"/>
        </w:rPr>
        <w:t xml:space="preserve">resultados esperados;  </w:t>
      </w:r>
    </w:p>
    <w:p w:rsidR="00537330" w:rsidRDefault="00537330" w:rsidP="005077D8">
      <w:pPr>
        <w:pStyle w:val="ListParagraph"/>
        <w:numPr>
          <w:ilvl w:val="0"/>
          <w:numId w:val="5"/>
        </w:numPr>
        <w:tabs>
          <w:tab w:val="left" w:pos="-2268"/>
          <w:tab w:val="left" w:pos="567"/>
        </w:tabs>
        <w:ind w:left="851" w:hanging="851"/>
        <w:jc w:val="both"/>
        <w:rPr>
          <w:sz w:val="24"/>
        </w:rPr>
      </w:pPr>
      <w:proofErr w:type="spellStart"/>
      <w:r w:rsidRPr="00537330">
        <w:rPr>
          <w:sz w:val="24"/>
        </w:rPr>
        <w:t>Iii</w:t>
      </w:r>
      <w:proofErr w:type="spellEnd"/>
      <w:r w:rsidRPr="00537330">
        <w:rPr>
          <w:sz w:val="24"/>
        </w:rPr>
        <w:t xml:space="preserve">) Establecer  la  relevancia,  ejecución  y  éxito  del  proyecto,  incluyendo  la  sostenibilidad  de  los resultados, y </w:t>
      </w:r>
    </w:p>
    <w:p w:rsidR="00537330" w:rsidRPr="00537330" w:rsidRDefault="00537330" w:rsidP="005077D8">
      <w:pPr>
        <w:pStyle w:val="ListParagraph"/>
        <w:numPr>
          <w:ilvl w:val="0"/>
          <w:numId w:val="5"/>
        </w:numPr>
        <w:tabs>
          <w:tab w:val="left" w:pos="-2268"/>
          <w:tab w:val="left" w:pos="567"/>
        </w:tabs>
        <w:ind w:left="851" w:hanging="851"/>
        <w:jc w:val="both"/>
        <w:rPr>
          <w:sz w:val="24"/>
        </w:rPr>
      </w:pPr>
      <w:proofErr w:type="spellStart"/>
      <w:r w:rsidRPr="00537330">
        <w:rPr>
          <w:sz w:val="24"/>
        </w:rPr>
        <w:t>Iv</w:t>
      </w:r>
      <w:proofErr w:type="spellEnd"/>
      <w:r w:rsidRPr="00537330">
        <w:rPr>
          <w:sz w:val="24"/>
        </w:rPr>
        <w:t>) Recopilar  y  analizar  las  lecciones  específicas  y  buenas  prácticas  respecto  a  las  estrategias utilizadas y los arreglos de implementación, que pueden ser relevantes para otros proyectos en el País y en otros países del mundo.</w:t>
      </w:r>
    </w:p>
    <w:p w:rsidR="007C0AE9" w:rsidRDefault="00537330" w:rsidP="00EC70F4">
      <w:pPr>
        <w:pStyle w:val="ListParagraph"/>
        <w:numPr>
          <w:ilvl w:val="0"/>
          <w:numId w:val="5"/>
        </w:numPr>
        <w:ind w:left="567" w:hanging="567"/>
        <w:jc w:val="both"/>
        <w:rPr>
          <w:sz w:val="24"/>
        </w:rPr>
      </w:pPr>
      <w:r>
        <w:rPr>
          <w:sz w:val="24"/>
        </w:rPr>
        <w:t xml:space="preserve">La evaluación final </w:t>
      </w:r>
      <w:r w:rsidR="005E38BA">
        <w:rPr>
          <w:sz w:val="24"/>
        </w:rPr>
        <w:t>se enfoc</w:t>
      </w:r>
      <w:r w:rsidR="005077D8">
        <w:rPr>
          <w:sz w:val="24"/>
        </w:rPr>
        <w:t>ó</w:t>
      </w:r>
      <w:r w:rsidR="005E38BA">
        <w:rPr>
          <w:sz w:val="24"/>
        </w:rPr>
        <w:t xml:space="preserve"> </w:t>
      </w:r>
      <w:r w:rsidR="005077D8">
        <w:rPr>
          <w:sz w:val="24"/>
        </w:rPr>
        <w:t>en</w:t>
      </w:r>
      <w:r w:rsidR="005E38BA">
        <w:rPr>
          <w:sz w:val="24"/>
        </w:rPr>
        <w:t>:</w:t>
      </w:r>
    </w:p>
    <w:p w:rsidR="00537330" w:rsidRPr="00537330" w:rsidRDefault="00537330">
      <w:pPr>
        <w:pStyle w:val="ListParagraph"/>
        <w:numPr>
          <w:ilvl w:val="0"/>
          <w:numId w:val="5"/>
        </w:numPr>
        <w:tabs>
          <w:tab w:val="left" w:pos="567"/>
        </w:tabs>
        <w:ind w:left="993" w:hanging="993"/>
        <w:jc w:val="both"/>
        <w:rPr>
          <w:sz w:val="24"/>
        </w:rPr>
      </w:pPr>
      <w:r w:rsidRPr="00537330">
        <w:rPr>
          <w:sz w:val="24"/>
        </w:rPr>
        <w:t xml:space="preserve">I) </w:t>
      </w:r>
      <w:r w:rsidR="009408A5">
        <w:rPr>
          <w:sz w:val="24"/>
        </w:rPr>
        <w:t xml:space="preserve"> </w:t>
      </w:r>
      <w:r w:rsidR="005077D8">
        <w:rPr>
          <w:sz w:val="24"/>
        </w:rPr>
        <w:tab/>
      </w:r>
      <w:r w:rsidRPr="00537330">
        <w:rPr>
          <w:sz w:val="24"/>
        </w:rPr>
        <w:t>Evaluar  y  calificar  el  logro  de  los  objetivos,  resultados/impactos,  y  productos  del  proyecto  (</w:t>
      </w:r>
      <w:r w:rsidR="00C854DD">
        <w:rPr>
          <w:sz w:val="24"/>
        </w:rPr>
        <w:t>s</w:t>
      </w:r>
      <w:r w:rsidRPr="00537330">
        <w:rPr>
          <w:sz w:val="24"/>
        </w:rPr>
        <w:t>e consider</w:t>
      </w:r>
      <w:r w:rsidR="005077D8">
        <w:rPr>
          <w:sz w:val="24"/>
        </w:rPr>
        <w:t xml:space="preserve">aron </w:t>
      </w:r>
      <w:r w:rsidRPr="00537330">
        <w:rPr>
          <w:sz w:val="24"/>
        </w:rPr>
        <w:t>los  cambios  hechos  en  el  tiempo  respecto  del  marco  lógico  del proyecto en cuanto a sus objetivos, resultados espera</w:t>
      </w:r>
      <w:r>
        <w:rPr>
          <w:sz w:val="24"/>
        </w:rPr>
        <w:t>dos y modalidad de ejecución);</w:t>
      </w:r>
    </w:p>
    <w:p w:rsidR="00537330" w:rsidRDefault="00537330" w:rsidP="005077D8">
      <w:pPr>
        <w:pStyle w:val="ListParagraph"/>
        <w:numPr>
          <w:ilvl w:val="0"/>
          <w:numId w:val="5"/>
        </w:numPr>
        <w:tabs>
          <w:tab w:val="left" w:pos="567"/>
        </w:tabs>
        <w:ind w:left="993" w:hanging="993"/>
        <w:jc w:val="both"/>
        <w:rPr>
          <w:sz w:val="24"/>
        </w:rPr>
      </w:pPr>
      <w:r w:rsidRPr="00537330">
        <w:rPr>
          <w:sz w:val="24"/>
        </w:rPr>
        <w:t xml:space="preserve"> ii)  Evaluar  los  logros  del  proyecto  según  los  Criterios  para  Evaluación  de  Proyectos  del  </w:t>
      </w:r>
      <w:r w:rsidR="004F1D19">
        <w:rPr>
          <w:sz w:val="24"/>
        </w:rPr>
        <w:t>GEF</w:t>
      </w:r>
      <w:r w:rsidRPr="00537330">
        <w:rPr>
          <w:sz w:val="24"/>
        </w:rPr>
        <w:t xml:space="preserve">, incluyendo  valoración  de  la  puesta  en  práctica,  apropiación  de  las  autoridades  ambientales locales   y   actores   regionales,   participación   de   los actores, sostenibilidad, </w:t>
      </w:r>
      <w:proofErr w:type="spellStart"/>
      <w:r w:rsidRPr="00537330">
        <w:rPr>
          <w:sz w:val="24"/>
        </w:rPr>
        <w:t>replicabilidad</w:t>
      </w:r>
      <w:proofErr w:type="spellEnd"/>
      <w:r w:rsidRPr="00537330">
        <w:rPr>
          <w:sz w:val="24"/>
        </w:rPr>
        <w:t xml:space="preserve">, </w:t>
      </w:r>
      <w:r>
        <w:rPr>
          <w:sz w:val="24"/>
        </w:rPr>
        <w:t>planificación financiera</w:t>
      </w:r>
      <w:r w:rsidRPr="00537330">
        <w:rPr>
          <w:sz w:val="24"/>
        </w:rPr>
        <w:t>, costo/efectividad (rentabi</w:t>
      </w:r>
      <w:r w:rsidR="00FE651B">
        <w:rPr>
          <w:sz w:val="24"/>
        </w:rPr>
        <w:t>lidad), monitoreo y evaluación;</w:t>
      </w:r>
    </w:p>
    <w:p w:rsidR="00FE651B" w:rsidRPr="00FE651B" w:rsidRDefault="00FE651B" w:rsidP="005077D8">
      <w:pPr>
        <w:pStyle w:val="ListParagraph"/>
        <w:numPr>
          <w:ilvl w:val="0"/>
          <w:numId w:val="5"/>
        </w:numPr>
        <w:tabs>
          <w:tab w:val="left" w:pos="567"/>
        </w:tabs>
        <w:ind w:left="993" w:hanging="993"/>
        <w:jc w:val="both"/>
        <w:rPr>
          <w:sz w:val="24"/>
        </w:rPr>
      </w:pPr>
      <w:proofErr w:type="spellStart"/>
      <w:r w:rsidRPr="00FE651B">
        <w:rPr>
          <w:sz w:val="24"/>
        </w:rPr>
        <w:t>Iii</w:t>
      </w:r>
      <w:proofErr w:type="spellEnd"/>
      <w:r w:rsidRPr="00FE651B">
        <w:rPr>
          <w:sz w:val="24"/>
        </w:rPr>
        <w:t xml:space="preserve">) </w:t>
      </w:r>
      <w:r w:rsidR="009408A5">
        <w:rPr>
          <w:sz w:val="24"/>
        </w:rPr>
        <w:t xml:space="preserve"> </w:t>
      </w:r>
      <w:r w:rsidRPr="00FE651B">
        <w:rPr>
          <w:sz w:val="24"/>
        </w:rPr>
        <w:t>Identificar  los  problemas  o  circunstancias  que  pudieron  haber  afectado  la  implementación  del</w:t>
      </w:r>
      <w:r>
        <w:rPr>
          <w:sz w:val="24"/>
        </w:rPr>
        <w:t xml:space="preserve"> </w:t>
      </w:r>
      <w:r w:rsidRPr="00FE651B">
        <w:rPr>
          <w:sz w:val="24"/>
        </w:rPr>
        <w:t>p</w:t>
      </w:r>
      <w:r>
        <w:rPr>
          <w:sz w:val="24"/>
        </w:rPr>
        <w:t>royecto y el logro de impactos;</w:t>
      </w:r>
    </w:p>
    <w:p w:rsidR="00FE651B" w:rsidRPr="00FE651B" w:rsidRDefault="00FE651B" w:rsidP="005077D8">
      <w:pPr>
        <w:pStyle w:val="ListParagraph"/>
        <w:numPr>
          <w:ilvl w:val="0"/>
          <w:numId w:val="5"/>
        </w:numPr>
        <w:tabs>
          <w:tab w:val="left" w:pos="567"/>
        </w:tabs>
        <w:ind w:left="993" w:hanging="993"/>
        <w:jc w:val="both"/>
        <w:rPr>
          <w:sz w:val="24"/>
        </w:rPr>
      </w:pPr>
      <w:r w:rsidRPr="00FE651B">
        <w:rPr>
          <w:sz w:val="24"/>
        </w:rPr>
        <w:t>iv)   Recomendar medidas para asegurar la viabilidad y sostenibilidad del proyecto y sus resultados para  orientar  la  preparación  de  otras  fases  de  intervención  a  largo  plazo  incluyendo  nuevas</w:t>
      </w:r>
      <w:r>
        <w:rPr>
          <w:sz w:val="24"/>
        </w:rPr>
        <w:t xml:space="preserve"> </w:t>
      </w:r>
      <w:r w:rsidRPr="00FE651B">
        <w:rPr>
          <w:sz w:val="24"/>
        </w:rPr>
        <w:t>intervenciones</w:t>
      </w:r>
      <w:r>
        <w:rPr>
          <w:sz w:val="24"/>
        </w:rPr>
        <w:t xml:space="preserve"> potenciales de nuevos donantes;</w:t>
      </w:r>
      <w:r w:rsidRPr="00FE651B">
        <w:rPr>
          <w:sz w:val="24"/>
        </w:rPr>
        <w:t xml:space="preserve"> </w:t>
      </w:r>
    </w:p>
    <w:p w:rsidR="00FE651B" w:rsidRPr="00FE651B" w:rsidRDefault="00FE651B" w:rsidP="005077D8">
      <w:pPr>
        <w:pStyle w:val="ListParagraph"/>
        <w:numPr>
          <w:ilvl w:val="0"/>
          <w:numId w:val="5"/>
        </w:numPr>
        <w:tabs>
          <w:tab w:val="left" w:pos="567"/>
        </w:tabs>
        <w:ind w:left="993" w:hanging="993"/>
        <w:jc w:val="both"/>
        <w:rPr>
          <w:sz w:val="24"/>
        </w:rPr>
      </w:pPr>
      <w:r w:rsidRPr="00FE651B">
        <w:rPr>
          <w:sz w:val="24"/>
        </w:rPr>
        <w:t>v)  Identificar  las  principales  lecciones  aprendidas  que  se  pueden  diseminar  entre  proyectos</w:t>
      </w:r>
      <w:r>
        <w:rPr>
          <w:sz w:val="24"/>
        </w:rPr>
        <w:t xml:space="preserve"> </w:t>
      </w:r>
      <w:r w:rsidRPr="00FE651B">
        <w:rPr>
          <w:sz w:val="24"/>
        </w:rPr>
        <w:t>relevantes de</w:t>
      </w:r>
      <w:r w:rsidR="00D34EDB">
        <w:rPr>
          <w:sz w:val="24"/>
        </w:rPr>
        <w:t>l GEF</w:t>
      </w:r>
      <w:r w:rsidRPr="00FE651B">
        <w:rPr>
          <w:sz w:val="24"/>
        </w:rPr>
        <w:t xml:space="preserve"> y entre las autoridad</w:t>
      </w:r>
      <w:r>
        <w:rPr>
          <w:sz w:val="24"/>
        </w:rPr>
        <w:t>es y actores;</w:t>
      </w:r>
      <w:r w:rsidRPr="00FE651B">
        <w:rPr>
          <w:sz w:val="24"/>
        </w:rPr>
        <w:t xml:space="preserve"> </w:t>
      </w:r>
    </w:p>
    <w:p w:rsidR="00537330" w:rsidRPr="00D34EDB" w:rsidRDefault="00537330">
      <w:pPr>
        <w:pStyle w:val="ListParagraph"/>
        <w:numPr>
          <w:ilvl w:val="0"/>
          <w:numId w:val="5"/>
        </w:numPr>
        <w:ind w:left="567" w:hanging="567"/>
        <w:jc w:val="both"/>
        <w:rPr>
          <w:sz w:val="24"/>
        </w:rPr>
      </w:pPr>
      <w:r w:rsidRPr="00D34EDB">
        <w:rPr>
          <w:sz w:val="24"/>
        </w:rPr>
        <w:t>Los criterios aplicados por el GEF en la evaluación de sus proyectos,  se refieren a la relevancia, efectividad, eficiencia, resultados y sostenibilidad de</w:t>
      </w:r>
      <w:r w:rsidR="007744E4" w:rsidRPr="00D34EDB">
        <w:rPr>
          <w:sz w:val="24"/>
        </w:rPr>
        <w:t xml:space="preserve"> las intervenciones realizadas en un territorio, grupo, contexto político y social</w:t>
      </w:r>
      <w:r w:rsidR="00B112E7" w:rsidRPr="00D34EDB">
        <w:rPr>
          <w:sz w:val="24"/>
        </w:rPr>
        <w:t>.</w:t>
      </w:r>
    </w:p>
    <w:p w:rsidR="00D306DF" w:rsidRPr="00D306DF" w:rsidRDefault="00D306DF" w:rsidP="00D306DF">
      <w:pPr>
        <w:pStyle w:val="ListParagraph"/>
        <w:numPr>
          <w:ilvl w:val="0"/>
          <w:numId w:val="5"/>
        </w:numPr>
        <w:ind w:left="567" w:hanging="567"/>
        <w:jc w:val="both"/>
        <w:rPr>
          <w:sz w:val="24"/>
        </w:rPr>
      </w:pPr>
      <w:r w:rsidRPr="00D34EDB">
        <w:rPr>
          <w:b/>
          <w:i/>
          <w:sz w:val="24"/>
          <w:u w:val="single"/>
        </w:rPr>
        <w:t>Relevancia:</w:t>
      </w:r>
      <w:r w:rsidRPr="00D34EDB">
        <w:rPr>
          <w:sz w:val="24"/>
        </w:rPr>
        <w:t xml:space="preserve"> verificar si la actividad está en concordancia con las prioridades de las políticas de desar</w:t>
      </w:r>
      <w:r w:rsidRPr="00D306DF">
        <w:rPr>
          <w:sz w:val="24"/>
        </w:rPr>
        <w:t>rollo local y nacional, incluyendo los cambios en el tiempo;</w:t>
      </w:r>
    </w:p>
    <w:p w:rsidR="00D306DF" w:rsidRPr="00D306DF" w:rsidRDefault="00D306DF" w:rsidP="00D306DF">
      <w:pPr>
        <w:pStyle w:val="ListParagraph"/>
        <w:numPr>
          <w:ilvl w:val="0"/>
          <w:numId w:val="5"/>
        </w:numPr>
        <w:ind w:left="567" w:hanging="567"/>
        <w:jc w:val="both"/>
        <w:rPr>
          <w:sz w:val="24"/>
        </w:rPr>
      </w:pPr>
      <w:r w:rsidRPr="00D306DF">
        <w:rPr>
          <w:b/>
          <w:i/>
          <w:sz w:val="24"/>
          <w:u w:val="single"/>
        </w:rPr>
        <w:lastRenderedPageBreak/>
        <w:t xml:space="preserve">Efectividad: </w:t>
      </w:r>
      <w:r w:rsidRPr="00D306DF">
        <w:rPr>
          <w:sz w:val="24"/>
        </w:rPr>
        <w:t>la medida en que se ha logrado el objetivo o la probabilidad que sea alcanzado;</w:t>
      </w:r>
    </w:p>
    <w:p w:rsidR="00D306DF" w:rsidRPr="00D306DF" w:rsidRDefault="00D306DF" w:rsidP="00D306DF">
      <w:pPr>
        <w:pStyle w:val="ListParagraph"/>
        <w:numPr>
          <w:ilvl w:val="0"/>
          <w:numId w:val="5"/>
        </w:numPr>
        <w:ind w:left="567" w:hanging="567"/>
        <w:jc w:val="both"/>
        <w:rPr>
          <w:sz w:val="24"/>
        </w:rPr>
      </w:pPr>
      <w:r w:rsidRPr="00D306DF">
        <w:rPr>
          <w:b/>
          <w:i/>
          <w:sz w:val="24"/>
          <w:u w:val="single"/>
        </w:rPr>
        <w:t xml:space="preserve">Eficiencia: </w:t>
      </w:r>
      <w:r w:rsidRPr="00D306DF">
        <w:rPr>
          <w:sz w:val="24"/>
        </w:rPr>
        <w:t>la medida en que se han logrado los resultados con los menores costos de recursos posibles;</w:t>
      </w:r>
    </w:p>
    <w:p w:rsidR="00D306DF" w:rsidRPr="00D306DF" w:rsidRDefault="00D306DF" w:rsidP="00D306DF">
      <w:pPr>
        <w:pStyle w:val="ListParagraph"/>
        <w:numPr>
          <w:ilvl w:val="0"/>
          <w:numId w:val="5"/>
        </w:numPr>
        <w:ind w:left="567" w:hanging="567"/>
        <w:jc w:val="both"/>
        <w:rPr>
          <w:sz w:val="24"/>
        </w:rPr>
      </w:pPr>
      <w:r w:rsidRPr="00D306DF">
        <w:rPr>
          <w:b/>
          <w:i/>
          <w:sz w:val="24"/>
          <w:u w:val="single"/>
        </w:rPr>
        <w:t xml:space="preserve">Resultados: </w:t>
      </w:r>
      <w:r w:rsidRPr="00D306DF">
        <w:rPr>
          <w:sz w:val="24"/>
        </w:rPr>
        <w:t>positivos y negativos (proyectados y no proyectados), los cambios hacia o efectos producidos por la intervención. En los términos del GEF, los resultados incluyen los productos, resultados de corto y mediano plazo e impactos de largo plazo, incluyendo beneficios medioambientales, replicación y otros efectos locales;</w:t>
      </w:r>
    </w:p>
    <w:p w:rsidR="00D306DF" w:rsidRPr="00D306DF" w:rsidRDefault="00D306DF" w:rsidP="00D306DF">
      <w:pPr>
        <w:pStyle w:val="ListParagraph"/>
        <w:numPr>
          <w:ilvl w:val="0"/>
          <w:numId w:val="5"/>
        </w:numPr>
        <w:ind w:left="567" w:hanging="567"/>
        <w:jc w:val="both"/>
        <w:rPr>
          <w:sz w:val="24"/>
        </w:rPr>
      </w:pPr>
      <w:r w:rsidRPr="00D306DF">
        <w:rPr>
          <w:b/>
          <w:i/>
          <w:sz w:val="24"/>
          <w:u w:val="single"/>
        </w:rPr>
        <w:t xml:space="preserve">Sustentabilidad: </w:t>
      </w:r>
      <w:r w:rsidRPr="00D306DF">
        <w:rPr>
          <w:sz w:val="24"/>
        </w:rPr>
        <w:t xml:space="preserve">la capacidad probable de la intervención para entregar beneficios por un período de tiempo extenso, después que la intervención haya sido completada. Los proyectos necesitan ser sustentables desde la perspectiva medioambiental, así como desde el punto de vista financiero y social. </w:t>
      </w:r>
    </w:p>
    <w:p w:rsidR="007744E4" w:rsidRDefault="00B112E7" w:rsidP="00537330">
      <w:pPr>
        <w:pStyle w:val="ListParagraph"/>
        <w:numPr>
          <w:ilvl w:val="0"/>
          <w:numId w:val="5"/>
        </w:numPr>
        <w:ind w:left="567" w:hanging="567"/>
        <w:jc w:val="both"/>
        <w:rPr>
          <w:sz w:val="24"/>
        </w:rPr>
      </w:pPr>
      <w:r>
        <w:rPr>
          <w:sz w:val="24"/>
        </w:rPr>
        <w:t xml:space="preserve">También los TDR indican que se deberán calificar explícitamente diferentes aspectos del proyecto, los cuales se muestran </w:t>
      </w:r>
      <w:r w:rsidR="009C4C50">
        <w:rPr>
          <w:sz w:val="24"/>
        </w:rPr>
        <w:t xml:space="preserve">resumidos </w:t>
      </w:r>
      <w:r>
        <w:rPr>
          <w:sz w:val="24"/>
        </w:rPr>
        <w:t>en el Cuadro Nº1.</w:t>
      </w:r>
    </w:p>
    <w:p w:rsidR="00B112E7" w:rsidRDefault="00B112E7" w:rsidP="00537330">
      <w:pPr>
        <w:pStyle w:val="ListParagraph"/>
        <w:numPr>
          <w:ilvl w:val="0"/>
          <w:numId w:val="5"/>
        </w:numPr>
        <w:ind w:left="567" w:hanging="567"/>
        <w:jc w:val="both"/>
        <w:rPr>
          <w:sz w:val="24"/>
        </w:rPr>
      </w:pPr>
      <w:r>
        <w:rPr>
          <w:sz w:val="24"/>
        </w:rPr>
        <w:t xml:space="preserve">Estas calificaciones son estándar del GEF, las que se clasifican en: i) Altamente Satisfactorio (AS); ii) Satisfactorio (S), iii) Moderadamente Satisfactorio (MS); iv) Moderadamente Insatisfactorio (MI); </w:t>
      </w:r>
      <w:r w:rsidR="00663651">
        <w:rPr>
          <w:sz w:val="24"/>
        </w:rPr>
        <w:t>v) Insatisfactorio (I) y vi) Altamente Insatisfactorio (AI).</w:t>
      </w:r>
    </w:p>
    <w:p w:rsidR="00400A23" w:rsidRDefault="00FE37BD" w:rsidP="00537330">
      <w:pPr>
        <w:pStyle w:val="ListParagraph"/>
        <w:numPr>
          <w:ilvl w:val="0"/>
          <w:numId w:val="5"/>
        </w:numPr>
        <w:ind w:left="567" w:hanging="567"/>
        <w:jc w:val="both"/>
        <w:rPr>
          <w:sz w:val="24"/>
        </w:rPr>
      </w:pPr>
      <w:r>
        <w:rPr>
          <w:sz w:val="24"/>
        </w:rPr>
        <w:t xml:space="preserve">El equipo de evaluación del proyecto, estuvo conformado por el personal de Energía y Medio Ambiente de PNUD, los consultores y personal de la Dirección de </w:t>
      </w:r>
      <w:r w:rsidR="00C854DD">
        <w:rPr>
          <w:sz w:val="24"/>
        </w:rPr>
        <w:t xml:space="preserve">General Adjunta de Financiamiento Estratégico </w:t>
      </w:r>
      <w:r>
        <w:rPr>
          <w:sz w:val="24"/>
        </w:rPr>
        <w:t xml:space="preserve">de </w:t>
      </w:r>
      <w:r w:rsidR="00C854DD">
        <w:rPr>
          <w:sz w:val="24"/>
        </w:rPr>
        <w:t xml:space="preserve">la </w:t>
      </w:r>
      <w:r>
        <w:rPr>
          <w:sz w:val="24"/>
        </w:rPr>
        <w:t>S</w:t>
      </w:r>
      <w:r w:rsidR="00C854DD">
        <w:rPr>
          <w:sz w:val="24"/>
        </w:rPr>
        <w:t>E</w:t>
      </w:r>
      <w:r>
        <w:rPr>
          <w:sz w:val="24"/>
        </w:rPr>
        <w:t>MA</w:t>
      </w:r>
      <w:r w:rsidR="00C854DD">
        <w:rPr>
          <w:sz w:val="24"/>
        </w:rPr>
        <w:t>R</w:t>
      </w:r>
      <w:r>
        <w:rPr>
          <w:sz w:val="24"/>
        </w:rPr>
        <w:t xml:space="preserve">NAT. </w:t>
      </w:r>
      <w:r w:rsidR="00400A23">
        <w:rPr>
          <w:sz w:val="24"/>
        </w:rPr>
        <w:t xml:space="preserve">Este </w:t>
      </w:r>
      <w:r>
        <w:rPr>
          <w:sz w:val="24"/>
        </w:rPr>
        <w:t xml:space="preserve">equipo </w:t>
      </w:r>
      <w:r w:rsidR="00400A23">
        <w:rPr>
          <w:sz w:val="24"/>
        </w:rPr>
        <w:t>definió el listado de actores principales que deberían ser entrevistados (ver Anexo I), junto con acordar el plan de trabajo con fechas tentativas para realizar la evaluación final del proyecto. El Cuadro Nº</w:t>
      </w:r>
      <w:r w:rsidR="00F50CAD">
        <w:rPr>
          <w:sz w:val="24"/>
        </w:rPr>
        <w:t>2</w:t>
      </w:r>
      <w:r w:rsidR="00400A23">
        <w:rPr>
          <w:sz w:val="24"/>
        </w:rPr>
        <w:t xml:space="preserve"> muestra las principales actividades realizadas, </w:t>
      </w:r>
      <w:r>
        <w:rPr>
          <w:sz w:val="24"/>
        </w:rPr>
        <w:t>cuyo</w:t>
      </w:r>
      <w:r w:rsidR="00400A23">
        <w:rPr>
          <w:sz w:val="24"/>
        </w:rPr>
        <w:t xml:space="preserve"> el informe final debiera estar aprobado a más tardar el 30 de </w:t>
      </w:r>
      <w:r>
        <w:rPr>
          <w:sz w:val="24"/>
        </w:rPr>
        <w:t>Julio del 2011</w:t>
      </w:r>
      <w:r w:rsidR="00400A23">
        <w:rPr>
          <w:sz w:val="24"/>
        </w:rPr>
        <w:t>.</w:t>
      </w:r>
    </w:p>
    <w:p w:rsidR="00400A23" w:rsidRDefault="00A05433" w:rsidP="00537330">
      <w:pPr>
        <w:pStyle w:val="ListParagraph"/>
        <w:numPr>
          <w:ilvl w:val="0"/>
          <w:numId w:val="5"/>
        </w:numPr>
        <w:ind w:left="567" w:hanging="567"/>
        <w:jc w:val="both"/>
        <w:rPr>
          <w:sz w:val="24"/>
        </w:rPr>
      </w:pPr>
      <w:r>
        <w:rPr>
          <w:sz w:val="24"/>
        </w:rPr>
        <w:t xml:space="preserve">El aspecto metodológico </w:t>
      </w:r>
      <w:r w:rsidR="00FE37BD">
        <w:rPr>
          <w:sz w:val="24"/>
        </w:rPr>
        <w:t>utilizado en</w:t>
      </w:r>
      <w:r>
        <w:rPr>
          <w:sz w:val="24"/>
        </w:rPr>
        <w:t xml:space="preserve"> la presente evaluación, es la revisión de documentación aportada por el proyecto, los informantes claves y la propia información recopilada por </w:t>
      </w:r>
      <w:r w:rsidR="00FE37BD">
        <w:rPr>
          <w:sz w:val="24"/>
        </w:rPr>
        <w:t>los</w:t>
      </w:r>
      <w:r>
        <w:rPr>
          <w:sz w:val="24"/>
        </w:rPr>
        <w:t xml:space="preserve"> consultor</w:t>
      </w:r>
      <w:r w:rsidR="00FE37BD">
        <w:rPr>
          <w:sz w:val="24"/>
        </w:rPr>
        <w:t>es</w:t>
      </w:r>
      <w:r>
        <w:rPr>
          <w:sz w:val="24"/>
        </w:rPr>
        <w:t xml:space="preserve"> para realizar el análisis contextual y de resultados. </w:t>
      </w:r>
    </w:p>
    <w:p w:rsidR="00400A23" w:rsidRDefault="007132F2" w:rsidP="00537330">
      <w:pPr>
        <w:pStyle w:val="ListParagraph"/>
        <w:numPr>
          <w:ilvl w:val="0"/>
          <w:numId w:val="5"/>
        </w:numPr>
        <w:ind w:left="567" w:hanging="567"/>
        <w:jc w:val="both"/>
        <w:rPr>
          <w:sz w:val="24"/>
        </w:rPr>
      </w:pPr>
      <w:r>
        <w:rPr>
          <w:sz w:val="24"/>
        </w:rPr>
        <w:t>La cantidad de actores</w:t>
      </w:r>
      <w:r w:rsidR="009822F3">
        <w:rPr>
          <w:sz w:val="24"/>
        </w:rPr>
        <w:t xml:space="preserve"> claves entrevistados fue de </w:t>
      </w:r>
      <w:r w:rsidR="009205D9">
        <w:rPr>
          <w:sz w:val="24"/>
        </w:rPr>
        <w:t>1</w:t>
      </w:r>
      <w:r w:rsidR="005F62F2">
        <w:rPr>
          <w:sz w:val="24"/>
        </w:rPr>
        <w:t>1</w:t>
      </w:r>
      <w:r w:rsidR="00FE37BD">
        <w:rPr>
          <w:sz w:val="24"/>
        </w:rPr>
        <w:t xml:space="preserve">, los que participaron en las distintas etapas del proyecto. </w:t>
      </w:r>
    </w:p>
    <w:p w:rsidR="005B5E0B" w:rsidRDefault="005B5E0B" w:rsidP="00825E0D">
      <w:pPr>
        <w:jc w:val="both"/>
        <w:rPr>
          <w:sz w:val="24"/>
        </w:rPr>
        <w:sectPr w:rsidR="005B5E0B" w:rsidSect="00B4041F">
          <w:footerReference w:type="default" r:id="rId16"/>
          <w:pgSz w:w="12240" w:h="15840" w:code="1"/>
          <w:pgMar w:top="1417" w:right="1701" w:bottom="1417" w:left="1701" w:header="708" w:footer="708" w:gutter="0"/>
          <w:pgNumType w:start="1"/>
          <w:cols w:space="708"/>
          <w:docGrid w:linePitch="360"/>
        </w:sectPr>
      </w:pPr>
    </w:p>
    <w:p w:rsidR="005B5E0B" w:rsidRPr="005B5E0B" w:rsidRDefault="005B5E0B" w:rsidP="005B5E0B">
      <w:pPr>
        <w:spacing w:after="60" w:line="240" w:lineRule="auto"/>
        <w:jc w:val="both"/>
        <w:rPr>
          <w:i/>
          <w:sz w:val="20"/>
        </w:rPr>
      </w:pPr>
      <w:r w:rsidRPr="005B5E0B">
        <w:rPr>
          <w:i/>
          <w:sz w:val="20"/>
        </w:rPr>
        <w:lastRenderedPageBreak/>
        <w:t>Cuadro Nº</w:t>
      </w:r>
      <w:r>
        <w:rPr>
          <w:i/>
          <w:sz w:val="20"/>
        </w:rPr>
        <w:t>1</w:t>
      </w:r>
      <w:r w:rsidRPr="005B5E0B">
        <w:rPr>
          <w:i/>
          <w:sz w:val="20"/>
        </w:rPr>
        <w:t>: Categorías de análisis del proyecto y las que deben ser calificadas de acuerdo a los TDR de la consultoría.</w:t>
      </w:r>
    </w:p>
    <w:tbl>
      <w:tblPr>
        <w:tblStyle w:val="MediumShading2-Accent3"/>
        <w:tblW w:w="12191" w:type="dxa"/>
        <w:tblInd w:w="108" w:type="dxa"/>
        <w:tblLook w:val="04A0"/>
      </w:tblPr>
      <w:tblGrid>
        <w:gridCol w:w="1554"/>
        <w:gridCol w:w="8511"/>
        <w:gridCol w:w="2126"/>
      </w:tblGrid>
      <w:tr w:rsidR="005B5E0B" w:rsidTr="003D39E0">
        <w:trPr>
          <w:cnfStyle w:val="100000000000"/>
        </w:trPr>
        <w:tc>
          <w:tcPr>
            <w:cnfStyle w:val="001000000100"/>
            <w:tcW w:w="1554" w:type="dxa"/>
          </w:tcPr>
          <w:p w:rsidR="005B5E0B" w:rsidRDefault="005B5E0B" w:rsidP="003D39E0">
            <w:pPr>
              <w:rPr>
                <w:rFonts w:cs="Calibri"/>
                <w:b w:val="0"/>
                <w:bCs w:val="0"/>
                <w:color w:val="FFFFFF"/>
                <w:sz w:val="18"/>
                <w:szCs w:val="18"/>
              </w:rPr>
            </w:pPr>
            <w:r>
              <w:rPr>
                <w:rFonts w:cs="Calibri"/>
                <w:b w:val="0"/>
                <w:bCs w:val="0"/>
                <w:color w:val="FFFFFF"/>
                <w:sz w:val="18"/>
                <w:szCs w:val="18"/>
              </w:rPr>
              <w:t>Ítem/Etapa</w:t>
            </w:r>
          </w:p>
        </w:tc>
        <w:tc>
          <w:tcPr>
            <w:tcW w:w="8511" w:type="dxa"/>
            <w:vAlign w:val="center"/>
          </w:tcPr>
          <w:p w:rsidR="005B5E0B" w:rsidRDefault="005B5E0B" w:rsidP="003D39E0">
            <w:pPr>
              <w:cnfStyle w:val="100000000000"/>
              <w:rPr>
                <w:rFonts w:cs="Calibri"/>
                <w:b w:val="0"/>
                <w:bCs w:val="0"/>
                <w:color w:val="FFFFFF"/>
                <w:sz w:val="18"/>
                <w:szCs w:val="18"/>
              </w:rPr>
            </w:pPr>
            <w:r>
              <w:rPr>
                <w:rFonts w:cs="Calibri"/>
                <w:color w:val="FFFFFF"/>
                <w:sz w:val="18"/>
                <w:szCs w:val="18"/>
              </w:rPr>
              <w:t>Aspecto a evaluar</w:t>
            </w:r>
          </w:p>
        </w:tc>
        <w:tc>
          <w:tcPr>
            <w:tcW w:w="2126" w:type="dxa"/>
            <w:vAlign w:val="center"/>
          </w:tcPr>
          <w:p w:rsidR="005B5E0B" w:rsidRDefault="005B5E0B" w:rsidP="003D39E0">
            <w:pPr>
              <w:cnfStyle w:val="100000000000"/>
              <w:rPr>
                <w:rFonts w:cs="Calibri"/>
                <w:b w:val="0"/>
                <w:bCs w:val="0"/>
                <w:color w:val="FFFFFF"/>
                <w:sz w:val="18"/>
                <w:szCs w:val="18"/>
              </w:rPr>
            </w:pPr>
            <w:r>
              <w:rPr>
                <w:rFonts w:cs="Calibri"/>
                <w:color w:val="FFFFFF"/>
                <w:sz w:val="18"/>
                <w:szCs w:val="18"/>
              </w:rPr>
              <w:t>Debe Calificar</w:t>
            </w:r>
            <w:proofErr w:type="gramStart"/>
            <w:r>
              <w:rPr>
                <w:rFonts w:cs="Calibri"/>
                <w:color w:val="FFFFFF"/>
                <w:sz w:val="18"/>
                <w:szCs w:val="18"/>
              </w:rPr>
              <w:t>?</w:t>
            </w:r>
            <w:proofErr w:type="gramEnd"/>
          </w:p>
        </w:tc>
      </w:tr>
      <w:tr w:rsidR="005B5E0B" w:rsidTr="003D39E0">
        <w:trPr>
          <w:cnfStyle w:val="000000100000"/>
          <w:trHeight w:val="946"/>
        </w:trPr>
        <w:tc>
          <w:tcPr>
            <w:cnfStyle w:val="001000000000"/>
            <w:tcW w:w="1554" w:type="dxa"/>
            <w:vMerge w:val="restart"/>
            <w:vAlign w:val="center"/>
          </w:tcPr>
          <w:p w:rsidR="005B5E0B" w:rsidRDefault="005B5E0B" w:rsidP="003D39E0">
            <w:pPr>
              <w:ind w:left="142"/>
              <w:rPr>
                <w:rFonts w:cs="Calibri"/>
                <w:b w:val="0"/>
                <w:bCs w:val="0"/>
                <w:color w:val="FFFFFF"/>
                <w:sz w:val="18"/>
                <w:szCs w:val="18"/>
              </w:rPr>
            </w:pPr>
            <w:r>
              <w:rPr>
                <w:rFonts w:cs="Calibri"/>
                <w:b w:val="0"/>
                <w:bCs w:val="0"/>
                <w:color w:val="FFFFFF"/>
                <w:sz w:val="18"/>
                <w:szCs w:val="18"/>
              </w:rPr>
              <w:t>Resultados</w:t>
            </w:r>
          </w:p>
        </w:tc>
        <w:tc>
          <w:tcPr>
            <w:tcW w:w="8511" w:type="dxa"/>
            <w:vAlign w:val="center"/>
          </w:tcPr>
          <w:p w:rsidR="005B5E0B" w:rsidRDefault="005B5E0B" w:rsidP="003D39E0">
            <w:pPr>
              <w:ind w:left="142"/>
              <w:cnfStyle w:val="000000100000"/>
            </w:pPr>
            <w:r w:rsidRPr="005522F7">
              <w:rPr>
                <w:rFonts w:cs="Calibri"/>
                <w:b/>
                <w:i/>
                <w:sz w:val="18"/>
                <w:szCs w:val="18"/>
                <w:u w:val="single"/>
              </w:rPr>
              <w:t>Aporte del Proyecto al objetivo de desarrollo nacional de largo plazo:</w:t>
            </w:r>
            <w:r>
              <w:t xml:space="preserve"> </w:t>
            </w:r>
          </w:p>
          <w:p w:rsidR="005B5E0B" w:rsidRDefault="005B5E0B" w:rsidP="003D39E0">
            <w:pPr>
              <w:ind w:left="142"/>
              <w:cnfStyle w:val="000000100000"/>
              <w:rPr>
                <w:rFonts w:cs="Calibri"/>
                <w:sz w:val="18"/>
                <w:szCs w:val="18"/>
              </w:rPr>
            </w:pPr>
            <w:r>
              <w:rPr>
                <w:rFonts w:cs="Calibri"/>
                <w:sz w:val="18"/>
                <w:szCs w:val="18"/>
              </w:rPr>
              <w:t>E</w:t>
            </w:r>
            <w:r w:rsidRPr="00536E1F">
              <w:rPr>
                <w:rFonts w:cs="Calibri"/>
                <w:sz w:val="18"/>
                <w:szCs w:val="18"/>
              </w:rPr>
              <w:t>stablecer políticas medioambientales transversales y totalmente integradas en un marco de planificación de largo plazo, tanto nacional como local.</w:t>
            </w:r>
          </w:p>
        </w:tc>
        <w:tc>
          <w:tcPr>
            <w:tcW w:w="2126" w:type="dxa"/>
            <w:vMerge w:val="restart"/>
            <w:vAlign w:val="center"/>
          </w:tcPr>
          <w:p w:rsidR="005B5E0B" w:rsidRDefault="005B5E0B" w:rsidP="003D39E0">
            <w:pPr>
              <w:ind w:left="142"/>
              <w:cnfStyle w:val="000000100000"/>
              <w:rPr>
                <w:rFonts w:cs="Calibri"/>
                <w:sz w:val="18"/>
                <w:szCs w:val="18"/>
              </w:rPr>
            </w:pPr>
            <w:r>
              <w:rPr>
                <w:rFonts w:cs="Calibri"/>
                <w:sz w:val="18"/>
                <w:szCs w:val="18"/>
              </w:rPr>
              <w:t>Sí</w:t>
            </w:r>
          </w:p>
        </w:tc>
      </w:tr>
      <w:tr w:rsidR="005B5E0B" w:rsidTr="004443A6">
        <w:trPr>
          <w:trHeight w:val="535"/>
        </w:trPr>
        <w:tc>
          <w:tcPr>
            <w:cnfStyle w:val="001000000000"/>
            <w:tcW w:w="1554" w:type="dxa"/>
            <w:vMerge/>
          </w:tcPr>
          <w:p w:rsidR="005B5E0B" w:rsidRDefault="005B5E0B" w:rsidP="003D39E0">
            <w:pPr>
              <w:ind w:left="142"/>
              <w:jc w:val="center"/>
              <w:rPr>
                <w:rFonts w:cs="Calibri"/>
                <w:color w:val="FFFFFF"/>
                <w:sz w:val="18"/>
                <w:szCs w:val="18"/>
              </w:rPr>
            </w:pPr>
          </w:p>
        </w:tc>
        <w:tc>
          <w:tcPr>
            <w:tcW w:w="8511" w:type="dxa"/>
            <w:shd w:val="clear" w:color="auto" w:fill="D9D9D9" w:themeFill="background1" w:themeFillShade="D9"/>
            <w:vAlign w:val="center"/>
          </w:tcPr>
          <w:p w:rsidR="005B5E0B" w:rsidRPr="00D47F27" w:rsidRDefault="005B5E0B" w:rsidP="00D47F27">
            <w:pPr>
              <w:spacing w:after="200" w:line="276" w:lineRule="auto"/>
              <w:ind w:left="142"/>
              <w:cnfStyle w:val="000000000000"/>
              <w:rPr>
                <w:rFonts w:cs="Calibri"/>
                <w:b/>
                <w:i/>
                <w:sz w:val="18"/>
                <w:szCs w:val="18"/>
                <w:u w:val="single"/>
              </w:rPr>
            </w:pPr>
            <w:r w:rsidRPr="005522F7">
              <w:rPr>
                <w:rFonts w:cs="Calibri"/>
                <w:b/>
                <w:i/>
                <w:sz w:val="18"/>
                <w:szCs w:val="18"/>
                <w:u w:val="single"/>
              </w:rPr>
              <w:t>Capacidad del Proyecto de Lograr su Propósito:</w:t>
            </w:r>
            <w:r>
              <w:rPr>
                <w:rFonts w:cs="Calibri"/>
                <w:sz w:val="18"/>
                <w:szCs w:val="18"/>
              </w:rPr>
              <w:t xml:space="preserve"> </w:t>
            </w:r>
            <w:r w:rsidRPr="0093746E">
              <w:rPr>
                <w:rFonts w:cs="Calibri"/>
                <w:sz w:val="18"/>
                <w:szCs w:val="18"/>
              </w:rPr>
              <w:t>fortalecer en el corto plazo (2001-2006) las capacidades de gobernabilidad ambiental dentro de México.</w:t>
            </w:r>
          </w:p>
        </w:tc>
        <w:tc>
          <w:tcPr>
            <w:tcW w:w="2126" w:type="dxa"/>
            <w:vMerge/>
            <w:vAlign w:val="center"/>
          </w:tcPr>
          <w:p w:rsidR="005B5E0B" w:rsidRPr="009A16BC" w:rsidRDefault="005B5E0B" w:rsidP="003D39E0">
            <w:pPr>
              <w:ind w:left="142"/>
              <w:cnfStyle w:val="000000000000"/>
              <w:rPr>
                <w:rFonts w:cs="Calibri"/>
                <w:b/>
                <w:i/>
                <w:sz w:val="18"/>
                <w:szCs w:val="18"/>
                <w:u w:val="single"/>
              </w:rPr>
            </w:pPr>
          </w:p>
        </w:tc>
      </w:tr>
      <w:tr w:rsidR="005B5E0B" w:rsidTr="003D39E0">
        <w:trPr>
          <w:cnfStyle w:val="000000100000"/>
          <w:trHeight w:val="291"/>
        </w:trPr>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100000"/>
              <w:rPr>
                <w:rFonts w:cs="Calibri"/>
                <w:sz w:val="18"/>
                <w:szCs w:val="18"/>
              </w:rPr>
            </w:pPr>
            <w:r w:rsidRPr="00604354">
              <w:rPr>
                <w:rFonts w:cs="Calibri"/>
                <w:b/>
                <w:i/>
                <w:sz w:val="18"/>
                <w:szCs w:val="18"/>
                <w:u w:val="single"/>
              </w:rPr>
              <w:t>Sostenibilidad</w:t>
            </w:r>
            <w:r>
              <w:rPr>
                <w:rFonts w:cs="Calibri"/>
                <w:sz w:val="18"/>
                <w:szCs w:val="18"/>
              </w:rPr>
              <w:t>, riesgos sostenibilidad (socio-política, financiera, institucional, gobernabilidad, ambiental).</w:t>
            </w:r>
          </w:p>
        </w:tc>
        <w:tc>
          <w:tcPr>
            <w:tcW w:w="2126" w:type="dxa"/>
            <w:vMerge/>
            <w:vAlign w:val="center"/>
          </w:tcPr>
          <w:p w:rsidR="005B5E0B" w:rsidRDefault="005B5E0B" w:rsidP="003D39E0">
            <w:pPr>
              <w:ind w:left="142"/>
              <w:cnfStyle w:val="000000100000"/>
              <w:rPr>
                <w:rFonts w:cs="Calibri"/>
                <w:sz w:val="18"/>
                <w:szCs w:val="18"/>
              </w:rPr>
            </w:pPr>
          </w:p>
        </w:tc>
      </w:tr>
      <w:tr w:rsidR="005B5E0B" w:rsidTr="003D39E0">
        <w:trPr>
          <w:trHeight w:val="281"/>
        </w:trPr>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2E6509">
            <w:pPr>
              <w:ind w:left="142"/>
              <w:cnfStyle w:val="000000000000"/>
              <w:rPr>
                <w:rFonts w:cs="Calibri"/>
                <w:sz w:val="18"/>
                <w:szCs w:val="18"/>
              </w:rPr>
            </w:pPr>
            <w:r>
              <w:rPr>
                <w:rFonts w:cs="Calibri"/>
                <w:sz w:val="18"/>
                <w:szCs w:val="18"/>
              </w:rPr>
              <w:t>Capacidad del Proyecto para lograr sus 3 resultados parciales</w:t>
            </w:r>
          </w:p>
        </w:tc>
        <w:tc>
          <w:tcPr>
            <w:tcW w:w="2126" w:type="dxa"/>
            <w:vAlign w:val="center"/>
          </w:tcPr>
          <w:p w:rsidR="005B5E0B" w:rsidRPr="00604354" w:rsidRDefault="005B5E0B" w:rsidP="003D39E0">
            <w:pPr>
              <w:ind w:left="142"/>
              <w:cnfStyle w:val="000000000000"/>
              <w:rPr>
                <w:rFonts w:cs="Calibri"/>
                <w:sz w:val="18"/>
                <w:szCs w:val="18"/>
              </w:rPr>
            </w:pPr>
            <w:r w:rsidRPr="00604354">
              <w:rPr>
                <w:rFonts w:cs="Calibri"/>
                <w:sz w:val="18"/>
                <w:szCs w:val="18"/>
              </w:rPr>
              <w:t>Sí</w:t>
            </w:r>
          </w:p>
        </w:tc>
      </w:tr>
      <w:tr w:rsidR="005B5E0B" w:rsidTr="003D39E0">
        <w:trPr>
          <w:cnfStyle w:val="000000100000"/>
          <w:trHeight w:val="546"/>
        </w:trPr>
        <w:tc>
          <w:tcPr>
            <w:cnfStyle w:val="001000000000"/>
            <w:tcW w:w="1554" w:type="dxa"/>
            <w:vAlign w:val="center"/>
          </w:tcPr>
          <w:p w:rsidR="005B5E0B" w:rsidRDefault="005B5E0B" w:rsidP="003D39E0">
            <w:pPr>
              <w:ind w:left="142"/>
              <w:rPr>
                <w:rFonts w:cs="Calibri"/>
                <w:b w:val="0"/>
                <w:bCs w:val="0"/>
                <w:color w:val="FFFFFF"/>
                <w:sz w:val="18"/>
                <w:szCs w:val="18"/>
              </w:rPr>
            </w:pPr>
            <w:r>
              <w:rPr>
                <w:rFonts w:cs="Calibri"/>
                <w:b w:val="0"/>
                <w:bCs w:val="0"/>
                <w:color w:val="FFFFFF"/>
                <w:sz w:val="18"/>
                <w:szCs w:val="18"/>
              </w:rPr>
              <w:t>Productos  y  Actividades</w:t>
            </w:r>
          </w:p>
        </w:tc>
        <w:tc>
          <w:tcPr>
            <w:tcW w:w="8511" w:type="dxa"/>
            <w:vAlign w:val="center"/>
          </w:tcPr>
          <w:p w:rsidR="005B5E0B" w:rsidRDefault="005B5E0B" w:rsidP="003D39E0">
            <w:pPr>
              <w:ind w:left="142"/>
              <w:cnfStyle w:val="000000100000"/>
              <w:rPr>
                <w:rFonts w:cs="Calibri"/>
                <w:sz w:val="18"/>
                <w:szCs w:val="18"/>
              </w:rPr>
            </w:pPr>
            <w:r w:rsidRPr="001E15B5">
              <w:rPr>
                <w:rFonts w:cs="Calibri"/>
                <w:sz w:val="18"/>
                <w:szCs w:val="18"/>
              </w:rPr>
              <w:t xml:space="preserve">Capacidad del Proyecto para lograr sus </w:t>
            </w:r>
            <w:r>
              <w:rPr>
                <w:rFonts w:cs="Calibri"/>
                <w:sz w:val="18"/>
                <w:szCs w:val="18"/>
              </w:rPr>
              <w:t>3 productos y actividades principales</w:t>
            </w:r>
          </w:p>
        </w:tc>
        <w:tc>
          <w:tcPr>
            <w:tcW w:w="2126" w:type="dxa"/>
            <w:vAlign w:val="center"/>
          </w:tcPr>
          <w:p w:rsidR="005B5E0B" w:rsidRPr="00604354" w:rsidRDefault="005B5E0B" w:rsidP="003D39E0">
            <w:pPr>
              <w:ind w:left="142"/>
              <w:cnfStyle w:val="000000100000"/>
              <w:rPr>
                <w:rFonts w:cs="Calibri"/>
                <w:sz w:val="18"/>
                <w:szCs w:val="18"/>
              </w:rPr>
            </w:pPr>
            <w:r w:rsidRPr="00604354">
              <w:rPr>
                <w:rFonts w:cs="Calibri"/>
                <w:sz w:val="18"/>
                <w:szCs w:val="18"/>
              </w:rPr>
              <w:t>Sí</w:t>
            </w:r>
          </w:p>
        </w:tc>
      </w:tr>
      <w:tr w:rsidR="005B5E0B" w:rsidTr="003D39E0">
        <w:tc>
          <w:tcPr>
            <w:cnfStyle w:val="001000000000"/>
            <w:tcW w:w="1554" w:type="dxa"/>
            <w:vMerge w:val="restart"/>
            <w:vAlign w:val="center"/>
          </w:tcPr>
          <w:p w:rsidR="005B5E0B" w:rsidRDefault="005B5E0B" w:rsidP="003D39E0">
            <w:pPr>
              <w:ind w:left="142"/>
              <w:rPr>
                <w:rFonts w:cs="Calibri"/>
                <w:b w:val="0"/>
                <w:bCs w:val="0"/>
                <w:color w:val="FFFFFF"/>
                <w:sz w:val="18"/>
                <w:szCs w:val="18"/>
              </w:rPr>
            </w:pPr>
            <w:r>
              <w:rPr>
                <w:rFonts w:cs="Calibri"/>
                <w:b w:val="0"/>
                <w:bCs w:val="0"/>
                <w:color w:val="FFFFFF"/>
                <w:sz w:val="18"/>
                <w:szCs w:val="18"/>
              </w:rPr>
              <w:t>Diseño</w:t>
            </w:r>
          </w:p>
        </w:tc>
        <w:tc>
          <w:tcPr>
            <w:tcW w:w="8511" w:type="dxa"/>
            <w:vAlign w:val="center"/>
          </w:tcPr>
          <w:p w:rsidR="005B5E0B" w:rsidRDefault="005B5E0B" w:rsidP="003D39E0">
            <w:pPr>
              <w:ind w:left="142"/>
              <w:cnfStyle w:val="000000000000"/>
              <w:rPr>
                <w:rFonts w:cs="Calibri"/>
                <w:sz w:val="18"/>
                <w:szCs w:val="18"/>
              </w:rPr>
            </w:pPr>
            <w:r>
              <w:rPr>
                <w:rFonts w:cs="Calibri"/>
                <w:sz w:val="18"/>
                <w:szCs w:val="18"/>
              </w:rPr>
              <w:t>Estrategia para enfrentar el problema</w:t>
            </w:r>
          </w:p>
        </w:tc>
        <w:tc>
          <w:tcPr>
            <w:tcW w:w="2126" w:type="dxa"/>
            <w:vAlign w:val="center"/>
          </w:tcPr>
          <w:p w:rsidR="005B5E0B" w:rsidRDefault="005B5E0B" w:rsidP="003D39E0">
            <w:pPr>
              <w:ind w:left="142"/>
              <w:cnfStyle w:val="000000000000"/>
              <w:rPr>
                <w:rFonts w:cs="Calibri"/>
                <w:sz w:val="18"/>
                <w:szCs w:val="18"/>
              </w:rPr>
            </w:pPr>
            <w:r>
              <w:rPr>
                <w:rFonts w:cs="Calibri"/>
                <w:sz w:val="18"/>
                <w:szCs w:val="18"/>
              </w:rPr>
              <w:t>Sí</w:t>
            </w:r>
          </w:p>
        </w:tc>
      </w:tr>
      <w:tr w:rsidR="005B5E0B" w:rsidTr="003D39E0">
        <w:trPr>
          <w:cnfStyle w:val="000000100000"/>
        </w:trPr>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100000"/>
              <w:rPr>
                <w:rFonts w:cs="Calibri"/>
                <w:sz w:val="18"/>
                <w:szCs w:val="18"/>
              </w:rPr>
            </w:pPr>
            <w:r>
              <w:rPr>
                <w:rFonts w:cs="Calibri"/>
                <w:sz w:val="18"/>
                <w:szCs w:val="18"/>
              </w:rPr>
              <w:t>Conceptualización del problema</w:t>
            </w:r>
          </w:p>
        </w:tc>
        <w:tc>
          <w:tcPr>
            <w:tcW w:w="2126" w:type="dxa"/>
            <w:vAlign w:val="center"/>
          </w:tcPr>
          <w:p w:rsidR="005B5E0B" w:rsidRDefault="005B5E0B" w:rsidP="003D39E0">
            <w:pPr>
              <w:ind w:left="142"/>
              <w:cnfStyle w:val="000000100000"/>
              <w:rPr>
                <w:rFonts w:cs="Calibri"/>
                <w:sz w:val="18"/>
                <w:szCs w:val="18"/>
              </w:rPr>
            </w:pPr>
            <w:r>
              <w:rPr>
                <w:rFonts w:cs="Calibri"/>
                <w:sz w:val="18"/>
                <w:szCs w:val="18"/>
              </w:rPr>
              <w:t>Sí</w:t>
            </w:r>
          </w:p>
        </w:tc>
      </w:tr>
      <w:tr w:rsidR="005B5E0B" w:rsidTr="003D39E0">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000000"/>
              <w:rPr>
                <w:rFonts w:cs="Calibri"/>
                <w:sz w:val="18"/>
                <w:szCs w:val="18"/>
              </w:rPr>
            </w:pPr>
            <w:r>
              <w:rPr>
                <w:rFonts w:cs="Calibri"/>
                <w:sz w:val="18"/>
                <w:szCs w:val="18"/>
              </w:rPr>
              <w:t>Marco Lógico</w:t>
            </w:r>
          </w:p>
        </w:tc>
        <w:tc>
          <w:tcPr>
            <w:tcW w:w="2126" w:type="dxa"/>
            <w:vAlign w:val="center"/>
          </w:tcPr>
          <w:p w:rsidR="005B5E0B" w:rsidRDefault="005B5E0B" w:rsidP="003D39E0">
            <w:pPr>
              <w:ind w:left="175" w:hanging="142"/>
              <w:cnfStyle w:val="000000000000"/>
              <w:rPr>
                <w:rFonts w:cs="Calibri"/>
                <w:sz w:val="18"/>
                <w:szCs w:val="18"/>
              </w:rPr>
            </w:pPr>
            <w:r>
              <w:rPr>
                <w:rFonts w:cs="Calibri"/>
                <w:sz w:val="18"/>
                <w:szCs w:val="18"/>
              </w:rPr>
              <w:t xml:space="preserve">  No</w:t>
            </w:r>
          </w:p>
        </w:tc>
      </w:tr>
      <w:tr w:rsidR="005B5E0B" w:rsidTr="003D39E0">
        <w:trPr>
          <w:cnfStyle w:val="000000100000"/>
        </w:trPr>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100000"/>
              <w:rPr>
                <w:rFonts w:cs="Calibri"/>
                <w:sz w:val="18"/>
                <w:szCs w:val="18"/>
              </w:rPr>
            </w:pPr>
            <w:r>
              <w:rPr>
                <w:rFonts w:cs="Calibri"/>
                <w:sz w:val="18"/>
                <w:szCs w:val="18"/>
              </w:rPr>
              <w:t>Apropiación Nacional</w:t>
            </w:r>
          </w:p>
        </w:tc>
        <w:tc>
          <w:tcPr>
            <w:tcW w:w="2126" w:type="dxa"/>
            <w:vAlign w:val="center"/>
          </w:tcPr>
          <w:p w:rsidR="005B5E0B" w:rsidRDefault="005B5E0B" w:rsidP="003D39E0">
            <w:pPr>
              <w:ind w:left="142"/>
              <w:cnfStyle w:val="000000100000"/>
              <w:rPr>
                <w:rFonts w:cs="Calibri"/>
                <w:sz w:val="18"/>
                <w:szCs w:val="18"/>
              </w:rPr>
            </w:pPr>
            <w:r>
              <w:rPr>
                <w:rFonts w:cs="Calibri"/>
                <w:sz w:val="18"/>
                <w:szCs w:val="18"/>
              </w:rPr>
              <w:t>No</w:t>
            </w:r>
          </w:p>
        </w:tc>
      </w:tr>
      <w:tr w:rsidR="005B5E0B" w:rsidTr="003D39E0">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000000"/>
              <w:rPr>
                <w:rFonts w:cs="Calibri"/>
                <w:sz w:val="18"/>
                <w:szCs w:val="18"/>
              </w:rPr>
            </w:pPr>
            <w:r>
              <w:rPr>
                <w:rFonts w:cs="Calibri"/>
                <w:sz w:val="18"/>
                <w:szCs w:val="18"/>
              </w:rPr>
              <w:t>Participación de Actores</w:t>
            </w:r>
          </w:p>
        </w:tc>
        <w:tc>
          <w:tcPr>
            <w:tcW w:w="2126" w:type="dxa"/>
            <w:vAlign w:val="center"/>
          </w:tcPr>
          <w:p w:rsidR="005B5E0B" w:rsidRDefault="005B5E0B" w:rsidP="003D39E0">
            <w:pPr>
              <w:ind w:left="142"/>
              <w:cnfStyle w:val="000000000000"/>
              <w:rPr>
                <w:rFonts w:cs="Calibri"/>
                <w:sz w:val="18"/>
                <w:szCs w:val="18"/>
              </w:rPr>
            </w:pPr>
            <w:r>
              <w:rPr>
                <w:rFonts w:cs="Calibri"/>
                <w:sz w:val="18"/>
                <w:szCs w:val="18"/>
              </w:rPr>
              <w:t>Sí</w:t>
            </w:r>
          </w:p>
        </w:tc>
      </w:tr>
      <w:tr w:rsidR="005B5E0B" w:rsidTr="003D39E0">
        <w:trPr>
          <w:cnfStyle w:val="000000100000"/>
        </w:trPr>
        <w:tc>
          <w:tcPr>
            <w:cnfStyle w:val="001000000000"/>
            <w:tcW w:w="1554" w:type="dxa"/>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100000"/>
              <w:rPr>
                <w:rFonts w:cs="Calibri"/>
                <w:sz w:val="18"/>
                <w:szCs w:val="18"/>
              </w:rPr>
            </w:pPr>
            <w:proofErr w:type="spellStart"/>
            <w:r>
              <w:rPr>
                <w:rFonts w:cs="Calibri"/>
                <w:sz w:val="18"/>
                <w:szCs w:val="18"/>
              </w:rPr>
              <w:t>Replicabilidad</w:t>
            </w:r>
            <w:proofErr w:type="spellEnd"/>
          </w:p>
        </w:tc>
        <w:tc>
          <w:tcPr>
            <w:tcW w:w="2126" w:type="dxa"/>
            <w:vAlign w:val="center"/>
          </w:tcPr>
          <w:p w:rsidR="005B5E0B" w:rsidRDefault="005B5E0B" w:rsidP="003D39E0">
            <w:pPr>
              <w:ind w:left="142"/>
              <w:cnfStyle w:val="000000100000"/>
              <w:rPr>
                <w:rFonts w:cs="Calibri"/>
                <w:sz w:val="18"/>
                <w:szCs w:val="18"/>
              </w:rPr>
            </w:pPr>
            <w:r>
              <w:rPr>
                <w:rFonts w:cs="Calibri"/>
                <w:sz w:val="18"/>
                <w:szCs w:val="18"/>
              </w:rPr>
              <w:t>No</w:t>
            </w:r>
          </w:p>
        </w:tc>
      </w:tr>
      <w:tr w:rsidR="005B5E0B" w:rsidTr="003D39E0">
        <w:tc>
          <w:tcPr>
            <w:cnfStyle w:val="001000000000"/>
            <w:tcW w:w="1554" w:type="dxa"/>
            <w:vMerge w:val="restart"/>
            <w:vAlign w:val="center"/>
          </w:tcPr>
          <w:p w:rsidR="005B5E0B" w:rsidRDefault="005B5E0B" w:rsidP="003D39E0">
            <w:pPr>
              <w:ind w:left="142"/>
              <w:rPr>
                <w:rFonts w:cs="Calibri"/>
                <w:b w:val="0"/>
                <w:bCs w:val="0"/>
                <w:color w:val="FFFFFF"/>
                <w:sz w:val="18"/>
                <w:szCs w:val="18"/>
              </w:rPr>
            </w:pPr>
            <w:r>
              <w:rPr>
                <w:rFonts w:cs="Calibri"/>
                <w:b w:val="0"/>
                <w:bCs w:val="0"/>
                <w:color w:val="FFFFFF"/>
                <w:sz w:val="18"/>
                <w:szCs w:val="18"/>
              </w:rPr>
              <w:t>Implementación</w:t>
            </w:r>
          </w:p>
        </w:tc>
        <w:tc>
          <w:tcPr>
            <w:tcW w:w="8511" w:type="dxa"/>
            <w:vAlign w:val="center"/>
          </w:tcPr>
          <w:p w:rsidR="005B5E0B" w:rsidRDefault="005B5E0B" w:rsidP="003D39E0">
            <w:pPr>
              <w:ind w:left="142"/>
              <w:cnfStyle w:val="000000000000"/>
              <w:rPr>
                <w:rFonts w:cs="Calibri"/>
                <w:sz w:val="18"/>
                <w:szCs w:val="18"/>
              </w:rPr>
            </w:pPr>
            <w:r>
              <w:rPr>
                <w:rFonts w:cs="Calibri"/>
                <w:sz w:val="18"/>
                <w:szCs w:val="18"/>
              </w:rPr>
              <w:t>Enfoque</w:t>
            </w:r>
          </w:p>
        </w:tc>
        <w:tc>
          <w:tcPr>
            <w:tcW w:w="2126" w:type="dxa"/>
            <w:vAlign w:val="center"/>
          </w:tcPr>
          <w:p w:rsidR="005B5E0B" w:rsidRDefault="005B5E0B" w:rsidP="003D39E0">
            <w:pPr>
              <w:ind w:left="142"/>
              <w:cnfStyle w:val="000000000000"/>
              <w:rPr>
                <w:rFonts w:cs="Calibri"/>
                <w:sz w:val="18"/>
                <w:szCs w:val="18"/>
              </w:rPr>
            </w:pPr>
            <w:r>
              <w:rPr>
                <w:rFonts w:cs="Calibri"/>
                <w:sz w:val="18"/>
                <w:szCs w:val="18"/>
              </w:rPr>
              <w:t>Sí</w:t>
            </w:r>
          </w:p>
        </w:tc>
      </w:tr>
      <w:tr w:rsidR="005B5E0B" w:rsidTr="003D39E0">
        <w:trPr>
          <w:cnfStyle w:val="000000100000"/>
        </w:trPr>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100000"/>
              <w:rPr>
                <w:rFonts w:cs="Calibri"/>
                <w:sz w:val="18"/>
                <w:szCs w:val="18"/>
              </w:rPr>
            </w:pPr>
            <w:r>
              <w:rPr>
                <w:rFonts w:cs="Calibri"/>
                <w:sz w:val="18"/>
                <w:szCs w:val="18"/>
              </w:rPr>
              <w:t>Uso Marco Lógico</w:t>
            </w:r>
          </w:p>
        </w:tc>
        <w:tc>
          <w:tcPr>
            <w:tcW w:w="2126" w:type="dxa"/>
            <w:vAlign w:val="center"/>
          </w:tcPr>
          <w:p w:rsidR="005B5E0B" w:rsidRDefault="005B5E0B" w:rsidP="003D39E0">
            <w:pPr>
              <w:ind w:left="142"/>
              <w:cnfStyle w:val="000000100000"/>
              <w:rPr>
                <w:rFonts w:cs="Calibri"/>
                <w:sz w:val="18"/>
                <w:szCs w:val="18"/>
              </w:rPr>
            </w:pPr>
            <w:r>
              <w:rPr>
                <w:rFonts w:cs="Calibri"/>
                <w:sz w:val="18"/>
                <w:szCs w:val="18"/>
              </w:rPr>
              <w:t>Sí</w:t>
            </w:r>
          </w:p>
        </w:tc>
      </w:tr>
      <w:tr w:rsidR="005B5E0B" w:rsidTr="003D39E0">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000000"/>
              <w:rPr>
                <w:rFonts w:cs="Calibri"/>
                <w:sz w:val="18"/>
                <w:szCs w:val="18"/>
              </w:rPr>
            </w:pPr>
            <w:r>
              <w:rPr>
                <w:rFonts w:cs="Calibri"/>
                <w:sz w:val="18"/>
                <w:szCs w:val="18"/>
              </w:rPr>
              <w:t>Manejo Adaptativo</w:t>
            </w:r>
          </w:p>
        </w:tc>
        <w:tc>
          <w:tcPr>
            <w:tcW w:w="2126" w:type="dxa"/>
            <w:vAlign w:val="center"/>
          </w:tcPr>
          <w:p w:rsidR="005B5E0B" w:rsidRDefault="005B5E0B" w:rsidP="003D39E0">
            <w:pPr>
              <w:ind w:left="142"/>
              <w:cnfStyle w:val="000000000000"/>
              <w:rPr>
                <w:rFonts w:cs="Calibri"/>
                <w:sz w:val="18"/>
                <w:szCs w:val="18"/>
              </w:rPr>
            </w:pPr>
            <w:r>
              <w:rPr>
                <w:rFonts w:cs="Calibri"/>
                <w:sz w:val="18"/>
                <w:szCs w:val="18"/>
              </w:rPr>
              <w:t>Sí</w:t>
            </w:r>
          </w:p>
        </w:tc>
      </w:tr>
      <w:tr w:rsidR="005B5E0B" w:rsidTr="003D39E0">
        <w:trPr>
          <w:cnfStyle w:val="000000100000"/>
        </w:trPr>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100000"/>
              <w:rPr>
                <w:rFonts w:cs="Calibri"/>
                <w:sz w:val="18"/>
                <w:szCs w:val="18"/>
              </w:rPr>
            </w:pPr>
            <w:r>
              <w:rPr>
                <w:rFonts w:cs="Calibri"/>
                <w:sz w:val="18"/>
                <w:szCs w:val="18"/>
              </w:rPr>
              <w:t>Uso de TI</w:t>
            </w:r>
          </w:p>
        </w:tc>
        <w:tc>
          <w:tcPr>
            <w:tcW w:w="2126" w:type="dxa"/>
            <w:vAlign w:val="center"/>
          </w:tcPr>
          <w:p w:rsidR="005B5E0B" w:rsidRDefault="005B5E0B" w:rsidP="003D39E0">
            <w:pPr>
              <w:ind w:left="142"/>
              <w:cnfStyle w:val="000000100000"/>
              <w:rPr>
                <w:rFonts w:cs="Calibri"/>
                <w:sz w:val="18"/>
                <w:szCs w:val="18"/>
              </w:rPr>
            </w:pPr>
            <w:r>
              <w:rPr>
                <w:rFonts w:cs="Calibri"/>
                <w:sz w:val="18"/>
                <w:szCs w:val="18"/>
              </w:rPr>
              <w:t>Sí</w:t>
            </w:r>
          </w:p>
        </w:tc>
      </w:tr>
      <w:tr w:rsidR="005B5E0B" w:rsidTr="003D39E0">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000000"/>
              <w:rPr>
                <w:rFonts w:cs="Calibri"/>
                <w:sz w:val="18"/>
                <w:szCs w:val="18"/>
              </w:rPr>
            </w:pPr>
            <w:r>
              <w:rPr>
                <w:rFonts w:cs="Calibri"/>
                <w:sz w:val="18"/>
                <w:szCs w:val="18"/>
              </w:rPr>
              <w:t>Relaciones entre las instituciones participantes</w:t>
            </w:r>
          </w:p>
        </w:tc>
        <w:tc>
          <w:tcPr>
            <w:tcW w:w="2126" w:type="dxa"/>
            <w:vAlign w:val="center"/>
          </w:tcPr>
          <w:p w:rsidR="005B5E0B" w:rsidRDefault="005B5E0B" w:rsidP="003D39E0">
            <w:pPr>
              <w:ind w:left="142"/>
              <w:cnfStyle w:val="000000000000"/>
              <w:rPr>
                <w:rFonts w:cs="Calibri"/>
                <w:sz w:val="18"/>
                <w:szCs w:val="18"/>
              </w:rPr>
            </w:pPr>
            <w:r>
              <w:rPr>
                <w:rFonts w:cs="Calibri"/>
                <w:sz w:val="18"/>
                <w:szCs w:val="18"/>
              </w:rPr>
              <w:t>Sí</w:t>
            </w:r>
          </w:p>
        </w:tc>
      </w:tr>
      <w:tr w:rsidR="005B5E0B" w:rsidTr="003D39E0">
        <w:trPr>
          <w:cnfStyle w:val="000000100000"/>
        </w:trPr>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100000"/>
              <w:rPr>
                <w:rFonts w:cs="Calibri"/>
                <w:sz w:val="18"/>
                <w:szCs w:val="18"/>
              </w:rPr>
            </w:pPr>
            <w:r>
              <w:rPr>
                <w:rFonts w:cs="Calibri"/>
                <w:sz w:val="18"/>
                <w:szCs w:val="18"/>
              </w:rPr>
              <w:t>Capacidades Técnicas asociadas con el proyecto.</w:t>
            </w:r>
          </w:p>
        </w:tc>
        <w:tc>
          <w:tcPr>
            <w:tcW w:w="2126" w:type="dxa"/>
            <w:vAlign w:val="center"/>
          </w:tcPr>
          <w:p w:rsidR="005B5E0B" w:rsidRDefault="005B5E0B" w:rsidP="003D39E0">
            <w:pPr>
              <w:ind w:left="142"/>
              <w:cnfStyle w:val="000000100000"/>
              <w:rPr>
                <w:rFonts w:cs="Calibri"/>
                <w:sz w:val="18"/>
                <w:szCs w:val="18"/>
              </w:rPr>
            </w:pPr>
            <w:r>
              <w:rPr>
                <w:rFonts w:cs="Calibri"/>
                <w:sz w:val="18"/>
                <w:szCs w:val="18"/>
              </w:rPr>
              <w:t>Sí</w:t>
            </w:r>
          </w:p>
        </w:tc>
      </w:tr>
      <w:tr w:rsidR="005B5E0B" w:rsidTr="003D39E0">
        <w:tc>
          <w:tcPr>
            <w:cnfStyle w:val="001000000000"/>
            <w:tcW w:w="1554" w:type="dxa"/>
            <w:vMerge w:val="restart"/>
            <w:vAlign w:val="center"/>
          </w:tcPr>
          <w:p w:rsidR="005B5E0B" w:rsidRDefault="005B5E0B" w:rsidP="003D39E0">
            <w:pPr>
              <w:ind w:left="142"/>
              <w:rPr>
                <w:rFonts w:cs="Calibri"/>
                <w:b w:val="0"/>
                <w:bCs w:val="0"/>
                <w:color w:val="FFFFFF"/>
                <w:sz w:val="18"/>
                <w:szCs w:val="18"/>
              </w:rPr>
            </w:pPr>
            <w:r>
              <w:rPr>
                <w:rFonts w:cs="Calibri"/>
                <w:b w:val="0"/>
                <w:bCs w:val="0"/>
                <w:color w:val="FFFFFF"/>
                <w:sz w:val="18"/>
                <w:szCs w:val="18"/>
              </w:rPr>
              <w:t>Monitoreo y Evaluación</w:t>
            </w:r>
          </w:p>
        </w:tc>
        <w:tc>
          <w:tcPr>
            <w:tcW w:w="8511" w:type="dxa"/>
            <w:vAlign w:val="center"/>
          </w:tcPr>
          <w:p w:rsidR="005B5E0B" w:rsidRDefault="009220A4" w:rsidP="003D39E0">
            <w:pPr>
              <w:ind w:left="142"/>
              <w:cnfStyle w:val="000000000000"/>
              <w:rPr>
                <w:rFonts w:cs="Calibri"/>
                <w:sz w:val="18"/>
                <w:szCs w:val="18"/>
              </w:rPr>
            </w:pPr>
            <w:r>
              <w:rPr>
                <w:rFonts w:cs="Calibri"/>
                <w:sz w:val="18"/>
                <w:szCs w:val="18"/>
              </w:rPr>
              <w:t>¿</w:t>
            </w:r>
            <w:r w:rsidR="005B5E0B">
              <w:rPr>
                <w:rFonts w:cs="Calibri"/>
                <w:sz w:val="18"/>
                <w:szCs w:val="18"/>
              </w:rPr>
              <w:t>Existe un sistema de M&amp;E?</w:t>
            </w:r>
          </w:p>
        </w:tc>
        <w:tc>
          <w:tcPr>
            <w:tcW w:w="2126" w:type="dxa"/>
            <w:vAlign w:val="center"/>
          </w:tcPr>
          <w:p w:rsidR="005B5E0B" w:rsidRDefault="005B5E0B" w:rsidP="003D39E0">
            <w:pPr>
              <w:cnfStyle w:val="000000000000"/>
              <w:rPr>
                <w:rFonts w:cs="Calibri"/>
                <w:sz w:val="18"/>
                <w:szCs w:val="18"/>
              </w:rPr>
            </w:pPr>
            <w:r>
              <w:rPr>
                <w:rFonts w:cs="Calibri"/>
                <w:sz w:val="18"/>
                <w:szCs w:val="18"/>
              </w:rPr>
              <w:t xml:space="preserve">   Sí</w:t>
            </w:r>
          </w:p>
        </w:tc>
      </w:tr>
      <w:tr w:rsidR="005B5E0B" w:rsidTr="003D39E0">
        <w:trPr>
          <w:cnfStyle w:val="000000100000"/>
        </w:trPr>
        <w:tc>
          <w:tcPr>
            <w:cnfStyle w:val="001000000000"/>
            <w:tcW w:w="1554" w:type="dxa"/>
            <w:vMerge/>
          </w:tcPr>
          <w:p w:rsidR="005B5E0B" w:rsidRDefault="005B5E0B" w:rsidP="003D39E0">
            <w:pPr>
              <w:ind w:left="142"/>
              <w:jc w:val="center"/>
              <w:rPr>
                <w:rFonts w:cs="Calibri"/>
                <w:b w:val="0"/>
                <w:bCs w:val="0"/>
                <w:color w:val="FFFFFF"/>
                <w:sz w:val="18"/>
                <w:szCs w:val="18"/>
              </w:rPr>
            </w:pPr>
          </w:p>
        </w:tc>
        <w:tc>
          <w:tcPr>
            <w:tcW w:w="8511" w:type="dxa"/>
            <w:vAlign w:val="center"/>
          </w:tcPr>
          <w:p w:rsidR="005B5E0B" w:rsidRDefault="005B5E0B" w:rsidP="003D39E0">
            <w:pPr>
              <w:ind w:left="142"/>
              <w:cnfStyle w:val="000000100000"/>
              <w:rPr>
                <w:rFonts w:cs="Calibri"/>
                <w:sz w:val="18"/>
                <w:szCs w:val="18"/>
              </w:rPr>
            </w:pPr>
            <w:r>
              <w:rPr>
                <w:rFonts w:cs="Calibri"/>
                <w:sz w:val="18"/>
                <w:szCs w:val="18"/>
              </w:rPr>
              <w:t>Se han utilizado herramientas de M&amp;E (línea de base, indicadores, análisis de datos, estudios) para evaluar los resultados esperados.</w:t>
            </w:r>
          </w:p>
        </w:tc>
        <w:tc>
          <w:tcPr>
            <w:tcW w:w="2126" w:type="dxa"/>
            <w:vAlign w:val="center"/>
          </w:tcPr>
          <w:p w:rsidR="005B5E0B" w:rsidRDefault="005B5E0B" w:rsidP="003D39E0">
            <w:pPr>
              <w:ind w:left="142"/>
              <w:cnfStyle w:val="000000100000"/>
              <w:rPr>
                <w:rFonts w:cs="Calibri"/>
                <w:sz w:val="18"/>
                <w:szCs w:val="18"/>
              </w:rPr>
            </w:pPr>
            <w:r>
              <w:rPr>
                <w:rFonts w:cs="Calibri"/>
                <w:sz w:val="18"/>
                <w:szCs w:val="18"/>
              </w:rPr>
              <w:t>Sí</w:t>
            </w:r>
          </w:p>
        </w:tc>
      </w:tr>
      <w:tr w:rsidR="005B5E0B" w:rsidTr="003D39E0">
        <w:trPr>
          <w:trHeight w:val="503"/>
        </w:trPr>
        <w:tc>
          <w:tcPr>
            <w:cnfStyle w:val="001000000000"/>
            <w:tcW w:w="1554" w:type="dxa"/>
            <w:vAlign w:val="center"/>
          </w:tcPr>
          <w:p w:rsidR="005B5E0B" w:rsidRDefault="005B5E0B" w:rsidP="003D39E0">
            <w:pPr>
              <w:ind w:left="142"/>
              <w:rPr>
                <w:rFonts w:cs="Calibri"/>
                <w:b w:val="0"/>
                <w:bCs w:val="0"/>
                <w:color w:val="FFFFFF"/>
                <w:sz w:val="18"/>
                <w:szCs w:val="18"/>
              </w:rPr>
            </w:pPr>
            <w:r>
              <w:rPr>
                <w:rFonts w:cs="Calibri"/>
                <w:b w:val="0"/>
                <w:bCs w:val="0"/>
                <w:color w:val="FFFFFF"/>
                <w:sz w:val="18"/>
                <w:szCs w:val="18"/>
              </w:rPr>
              <w:t>Participación de Actores</w:t>
            </w:r>
          </w:p>
        </w:tc>
        <w:tc>
          <w:tcPr>
            <w:tcW w:w="8511" w:type="dxa"/>
            <w:vAlign w:val="center"/>
          </w:tcPr>
          <w:p w:rsidR="005B5E0B" w:rsidRDefault="005B5E0B" w:rsidP="009220A4">
            <w:pPr>
              <w:ind w:left="142"/>
              <w:cnfStyle w:val="000000000000"/>
              <w:rPr>
                <w:rFonts w:cs="Calibri"/>
                <w:sz w:val="18"/>
                <w:szCs w:val="18"/>
              </w:rPr>
            </w:pPr>
            <w:r>
              <w:rPr>
                <w:rFonts w:cs="Calibri"/>
                <w:sz w:val="18"/>
                <w:szCs w:val="18"/>
              </w:rPr>
              <w:t>Mecanismos de difusión, usuarios locales y ONG, establecimiento de alianzas, participación de entidades gubernamentales.</w:t>
            </w:r>
          </w:p>
        </w:tc>
        <w:tc>
          <w:tcPr>
            <w:tcW w:w="2126" w:type="dxa"/>
            <w:vAlign w:val="center"/>
          </w:tcPr>
          <w:p w:rsidR="005B5E0B" w:rsidRDefault="005B5E0B" w:rsidP="003D39E0">
            <w:pPr>
              <w:ind w:left="142"/>
              <w:cnfStyle w:val="000000000000"/>
              <w:rPr>
                <w:rFonts w:cs="Calibri"/>
                <w:sz w:val="18"/>
                <w:szCs w:val="18"/>
              </w:rPr>
            </w:pPr>
            <w:r>
              <w:rPr>
                <w:rFonts w:cs="Calibri"/>
                <w:sz w:val="18"/>
                <w:szCs w:val="18"/>
              </w:rPr>
              <w:t>Sí</w:t>
            </w:r>
          </w:p>
        </w:tc>
      </w:tr>
      <w:tr w:rsidR="005B5E0B" w:rsidTr="003D39E0">
        <w:trPr>
          <w:cnfStyle w:val="000000100000"/>
        </w:trPr>
        <w:tc>
          <w:tcPr>
            <w:cnfStyle w:val="001000000000"/>
            <w:tcW w:w="1554" w:type="dxa"/>
            <w:vAlign w:val="center"/>
          </w:tcPr>
          <w:p w:rsidR="005B5E0B" w:rsidRDefault="005B5E0B" w:rsidP="003D39E0">
            <w:pPr>
              <w:ind w:left="142"/>
              <w:rPr>
                <w:rFonts w:cs="Calibri"/>
                <w:b w:val="0"/>
                <w:bCs w:val="0"/>
                <w:color w:val="FFFFFF"/>
                <w:sz w:val="18"/>
                <w:szCs w:val="18"/>
              </w:rPr>
            </w:pPr>
            <w:r>
              <w:rPr>
                <w:rFonts w:cs="Calibri"/>
                <w:b w:val="0"/>
                <w:bCs w:val="0"/>
                <w:color w:val="FFFFFF"/>
                <w:sz w:val="18"/>
                <w:szCs w:val="18"/>
              </w:rPr>
              <w:t>Modalidad de Ejecución</w:t>
            </w:r>
          </w:p>
        </w:tc>
        <w:tc>
          <w:tcPr>
            <w:tcW w:w="8511" w:type="dxa"/>
            <w:vAlign w:val="center"/>
          </w:tcPr>
          <w:p w:rsidR="005B5E0B" w:rsidRDefault="005B5E0B" w:rsidP="003D39E0">
            <w:pPr>
              <w:ind w:left="142"/>
              <w:cnfStyle w:val="000000100000"/>
              <w:rPr>
                <w:rFonts w:cs="Calibri"/>
                <w:sz w:val="18"/>
                <w:szCs w:val="18"/>
              </w:rPr>
            </w:pPr>
            <w:r>
              <w:rPr>
                <w:rFonts w:cs="Calibri"/>
                <w:sz w:val="18"/>
                <w:szCs w:val="18"/>
              </w:rPr>
              <w:t>Efectividad de PNUD y  en procesos de reclutamiento de expertos, definición de roles y funciones, calidad y oportunidad de insumos, efectos de la legislación y presupuesto que afectaron la implementación del proyecto.</w:t>
            </w:r>
          </w:p>
          <w:p w:rsidR="005B5E0B" w:rsidRDefault="009220A4" w:rsidP="009220A4">
            <w:pPr>
              <w:ind w:left="142"/>
              <w:cnfStyle w:val="000000100000"/>
              <w:rPr>
                <w:rFonts w:cs="Calibri"/>
                <w:sz w:val="18"/>
                <w:szCs w:val="18"/>
              </w:rPr>
            </w:pPr>
            <w:r>
              <w:rPr>
                <w:rFonts w:cs="Calibri"/>
                <w:sz w:val="18"/>
                <w:szCs w:val="18"/>
              </w:rPr>
              <w:t>¿La m</w:t>
            </w:r>
            <w:r w:rsidR="005B5E0B">
              <w:rPr>
                <w:rFonts w:cs="Calibri"/>
                <w:sz w:val="18"/>
                <w:szCs w:val="18"/>
              </w:rPr>
              <w:t xml:space="preserve">odalidad fue eficiente/efectiva?, </w:t>
            </w:r>
            <w:r>
              <w:rPr>
                <w:rFonts w:cs="Calibri"/>
                <w:sz w:val="18"/>
                <w:szCs w:val="18"/>
              </w:rPr>
              <w:t>¿La c</w:t>
            </w:r>
            <w:r w:rsidR="005B5E0B">
              <w:rPr>
                <w:rFonts w:cs="Calibri"/>
                <w:sz w:val="18"/>
                <w:szCs w:val="18"/>
              </w:rPr>
              <w:t xml:space="preserve">omunicación con actores fue efectiva?, </w:t>
            </w:r>
            <w:r>
              <w:rPr>
                <w:rFonts w:cs="Calibri"/>
                <w:sz w:val="18"/>
                <w:szCs w:val="18"/>
              </w:rPr>
              <w:t xml:space="preserve">¿Los </w:t>
            </w:r>
            <w:r w:rsidR="005B5E0B">
              <w:rPr>
                <w:rFonts w:cs="Calibri"/>
                <w:sz w:val="18"/>
                <w:szCs w:val="18"/>
              </w:rPr>
              <w:t xml:space="preserve">costos de administración </w:t>
            </w:r>
            <w:r>
              <w:rPr>
                <w:rFonts w:cs="Calibri"/>
                <w:sz w:val="18"/>
                <w:szCs w:val="18"/>
              </w:rPr>
              <w:t xml:space="preserve">fueron </w:t>
            </w:r>
            <w:r w:rsidR="005B5E0B">
              <w:rPr>
                <w:rFonts w:cs="Calibri"/>
                <w:sz w:val="18"/>
                <w:szCs w:val="18"/>
              </w:rPr>
              <w:t>razonables?</w:t>
            </w:r>
          </w:p>
        </w:tc>
        <w:tc>
          <w:tcPr>
            <w:tcW w:w="2126" w:type="dxa"/>
            <w:vAlign w:val="center"/>
          </w:tcPr>
          <w:p w:rsidR="005B5E0B" w:rsidRDefault="005B5E0B" w:rsidP="003D39E0">
            <w:pPr>
              <w:ind w:left="142"/>
              <w:cnfStyle w:val="000000100000"/>
              <w:rPr>
                <w:rFonts w:cs="Calibri"/>
                <w:sz w:val="18"/>
                <w:szCs w:val="18"/>
              </w:rPr>
            </w:pPr>
            <w:r>
              <w:rPr>
                <w:rFonts w:cs="Calibri"/>
                <w:sz w:val="18"/>
                <w:szCs w:val="18"/>
              </w:rPr>
              <w:t>No</w:t>
            </w:r>
          </w:p>
        </w:tc>
      </w:tr>
      <w:tr w:rsidR="005B5E0B" w:rsidTr="003D39E0">
        <w:tc>
          <w:tcPr>
            <w:cnfStyle w:val="001000000000"/>
            <w:tcW w:w="1554" w:type="dxa"/>
            <w:vAlign w:val="center"/>
          </w:tcPr>
          <w:p w:rsidR="005B5E0B" w:rsidRDefault="005B5E0B" w:rsidP="003D39E0">
            <w:pPr>
              <w:ind w:left="142"/>
              <w:rPr>
                <w:rFonts w:cs="Calibri"/>
                <w:b w:val="0"/>
                <w:bCs w:val="0"/>
                <w:color w:val="FFFFFF"/>
                <w:sz w:val="18"/>
                <w:szCs w:val="18"/>
              </w:rPr>
            </w:pPr>
            <w:r>
              <w:rPr>
                <w:rFonts w:cs="Calibri"/>
                <w:b w:val="0"/>
                <w:bCs w:val="0"/>
                <w:color w:val="FFFFFF"/>
                <w:sz w:val="18"/>
                <w:szCs w:val="18"/>
              </w:rPr>
              <w:t>Planificación Financiera</w:t>
            </w:r>
          </w:p>
        </w:tc>
        <w:tc>
          <w:tcPr>
            <w:tcW w:w="8511" w:type="dxa"/>
            <w:vAlign w:val="center"/>
          </w:tcPr>
          <w:p w:rsidR="005B5E0B" w:rsidRDefault="005B5E0B" w:rsidP="003D39E0">
            <w:pPr>
              <w:ind w:left="142"/>
              <w:cnfStyle w:val="000000000000"/>
              <w:rPr>
                <w:rFonts w:cs="Calibri"/>
                <w:sz w:val="18"/>
                <w:szCs w:val="18"/>
              </w:rPr>
            </w:pPr>
            <w:r>
              <w:rPr>
                <w:rFonts w:cs="Calibri"/>
                <w:sz w:val="18"/>
                <w:szCs w:val="18"/>
              </w:rPr>
              <w:t>Costos por componentes y actividades, costo eficiencia de resultados, manejo, estado contrapartidas.</w:t>
            </w:r>
          </w:p>
        </w:tc>
        <w:tc>
          <w:tcPr>
            <w:tcW w:w="2126" w:type="dxa"/>
            <w:vAlign w:val="center"/>
          </w:tcPr>
          <w:p w:rsidR="005B5E0B" w:rsidRDefault="005B5E0B" w:rsidP="003D39E0">
            <w:pPr>
              <w:ind w:left="142"/>
              <w:cnfStyle w:val="000000000000"/>
              <w:rPr>
                <w:rFonts w:cs="Calibri"/>
                <w:sz w:val="18"/>
                <w:szCs w:val="18"/>
              </w:rPr>
            </w:pPr>
            <w:r>
              <w:rPr>
                <w:rFonts w:cs="Calibri"/>
                <w:sz w:val="18"/>
                <w:szCs w:val="18"/>
              </w:rPr>
              <w:t>No</w:t>
            </w:r>
          </w:p>
        </w:tc>
      </w:tr>
    </w:tbl>
    <w:p w:rsidR="005B5E0B" w:rsidRPr="004A7F6E" w:rsidRDefault="005B5E0B" w:rsidP="005B5E0B">
      <w:pPr>
        <w:jc w:val="both"/>
        <w:rPr>
          <w:sz w:val="24"/>
        </w:rPr>
        <w:sectPr w:rsidR="005B5E0B" w:rsidRPr="004A7F6E" w:rsidSect="00B4041F">
          <w:pgSz w:w="15840" w:h="12240" w:orient="landscape" w:code="1"/>
          <w:pgMar w:top="1701" w:right="1417" w:bottom="1701" w:left="1417" w:header="708" w:footer="708" w:gutter="0"/>
          <w:cols w:space="708"/>
          <w:docGrid w:linePitch="360"/>
        </w:sectPr>
      </w:pPr>
    </w:p>
    <w:p w:rsidR="00F50CAD" w:rsidRPr="00F50CAD" w:rsidRDefault="00E572EE" w:rsidP="00F50CAD">
      <w:pPr>
        <w:spacing w:after="60"/>
        <w:rPr>
          <w:i/>
          <w:sz w:val="20"/>
        </w:rPr>
      </w:pPr>
      <w:r>
        <w:rPr>
          <w:noProof/>
          <w:lang w:val="en-US" w:eastAsia="ja-JP"/>
        </w:rPr>
        <w:lastRenderedPageBreak/>
        <w:drawing>
          <wp:anchor distT="0" distB="0" distL="114300" distR="114300" simplePos="0" relativeHeight="251664384" behindDoc="0" locked="0" layoutInCell="1" allowOverlap="1">
            <wp:simplePos x="0" y="0"/>
            <wp:positionH relativeFrom="column">
              <wp:posOffset>-418219</wp:posOffset>
            </wp:positionH>
            <wp:positionV relativeFrom="paragraph">
              <wp:posOffset>157905</wp:posOffset>
            </wp:positionV>
            <wp:extent cx="6832520" cy="1705971"/>
            <wp:effectExtent l="0" t="0" r="6985"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31565" cy="1705733"/>
                    </a:xfrm>
                    <a:prstGeom prst="rect">
                      <a:avLst/>
                    </a:prstGeom>
                  </pic:spPr>
                </pic:pic>
              </a:graphicData>
            </a:graphic>
          </wp:anchor>
        </w:drawing>
      </w:r>
      <w:r w:rsidR="00F50CAD" w:rsidRPr="00F50CAD">
        <w:rPr>
          <w:i/>
          <w:sz w:val="20"/>
        </w:rPr>
        <w:t>Cuadro Nº</w:t>
      </w:r>
      <w:r w:rsidR="005B5E0B">
        <w:rPr>
          <w:i/>
          <w:sz w:val="20"/>
        </w:rPr>
        <w:t>2</w:t>
      </w:r>
      <w:r w:rsidR="00F50CAD" w:rsidRPr="00F50CAD">
        <w:rPr>
          <w:i/>
          <w:sz w:val="20"/>
        </w:rPr>
        <w:t>: Plan de Trabajo tentativo para la consultoría</w:t>
      </w:r>
      <w:r w:rsidR="00F50CAD" w:rsidRPr="005E38BA">
        <w:rPr>
          <w:b/>
          <w:i/>
          <w:sz w:val="20"/>
        </w:rPr>
        <w:t>.</w:t>
      </w:r>
      <w:r w:rsidR="00333B63" w:rsidRPr="005E38BA">
        <w:rPr>
          <w:b/>
          <w:i/>
          <w:sz w:val="20"/>
        </w:rPr>
        <w:t xml:space="preserve"> </w:t>
      </w:r>
    </w:p>
    <w:p w:rsidR="007132F2" w:rsidRPr="00F50CAD" w:rsidRDefault="007132F2" w:rsidP="00F50CAD">
      <w:pPr>
        <w:jc w:val="both"/>
        <w:rPr>
          <w:sz w:val="24"/>
        </w:rPr>
      </w:pPr>
    </w:p>
    <w:p w:rsidR="007132F2" w:rsidRDefault="007132F2" w:rsidP="007132F2">
      <w:pPr>
        <w:jc w:val="both"/>
        <w:rPr>
          <w:sz w:val="24"/>
        </w:rPr>
      </w:pPr>
    </w:p>
    <w:p w:rsidR="009F5159" w:rsidRDefault="009F5159" w:rsidP="007132F2">
      <w:pPr>
        <w:jc w:val="both"/>
        <w:rPr>
          <w:color w:val="FF0000"/>
          <w:sz w:val="24"/>
        </w:rPr>
      </w:pPr>
    </w:p>
    <w:p w:rsidR="004443A6" w:rsidRDefault="004443A6" w:rsidP="007132F2">
      <w:pPr>
        <w:jc w:val="both"/>
        <w:rPr>
          <w:color w:val="FF0000"/>
          <w:sz w:val="24"/>
        </w:rPr>
      </w:pPr>
    </w:p>
    <w:p w:rsidR="004443A6" w:rsidRDefault="004443A6" w:rsidP="007132F2">
      <w:pPr>
        <w:jc w:val="both"/>
        <w:rPr>
          <w:color w:val="FF0000"/>
          <w:sz w:val="24"/>
        </w:rPr>
      </w:pPr>
    </w:p>
    <w:p w:rsidR="004443A6" w:rsidRPr="00184081" w:rsidRDefault="004443A6" w:rsidP="007132F2">
      <w:pPr>
        <w:jc w:val="both"/>
        <w:rPr>
          <w:color w:val="FF0000"/>
          <w:sz w:val="24"/>
        </w:rPr>
        <w:sectPr w:rsidR="004443A6" w:rsidRPr="00184081" w:rsidSect="004443A6">
          <w:pgSz w:w="12240" w:h="15840" w:code="1"/>
          <w:pgMar w:top="1417" w:right="1701" w:bottom="1417" w:left="1701" w:header="708" w:footer="708" w:gutter="0"/>
          <w:cols w:space="708"/>
          <w:docGrid w:linePitch="360"/>
        </w:sectPr>
      </w:pPr>
    </w:p>
    <w:p w:rsidR="003850FC" w:rsidRPr="003850FC" w:rsidRDefault="003850FC" w:rsidP="00825E0D">
      <w:pPr>
        <w:pStyle w:val="ListParagraph"/>
        <w:numPr>
          <w:ilvl w:val="0"/>
          <w:numId w:val="3"/>
        </w:numPr>
        <w:shd w:val="clear" w:color="auto" w:fill="92D050"/>
        <w:ind w:left="567" w:hanging="567"/>
        <w:contextualSpacing w:val="0"/>
        <w:rPr>
          <w:b/>
          <w:i/>
          <w:sz w:val="24"/>
          <w:u w:val="single"/>
        </w:rPr>
      </w:pPr>
      <w:r w:rsidRPr="003850FC">
        <w:rPr>
          <w:b/>
          <w:i/>
          <w:sz w:val="24"/>
          <w:u w:val="single"/>
        </w:rPr>
        <w:lastRenderedPageBreak/>
        <w:t>El Proyecto y su Contexto de Desarrollo</w:t>
      </w:r>
    </w:p>
    <w:p w:rsidR="001617B4" w:rsidRDefault="001617B4" w:rsidP="00F50CAD">
      <w:pPr>
        <w:pStyle w:val="ListParagraph"/>
        <w:numPr>
          <w:ilvl w:val="0"/>
          <w:numId w:val="5"/>
        </w:numPr>
        <w:ind w:left="567" w:hanging="567"/>
        <w:jc w:val="both"/>
        <w:rPr>
          <w:sz w:val="24"/>
        </w:rPr>
      </w:pPr>
      <w:r>
        <w:rPr>
          <w:sz w:val="24"/>
        </w:rPr>
        <w:t xml:space="preserve">México es uno de los 12 países </w:t>
      </w:r>
      <w:proofErr w:type="spellStart"/>
      <w:r>
        <w:rPr>
          <w:sz w:val="24"/>
        </w:rPr>
        <w:t>megadiversos</w:t>
      </w:r>
      <w:proofErr w:type="spellEnd"/>
      <w:r>
        <w:rPr>
          <w:sz w:val="24"/>
        </w:rPr>
        <w:t xml:space="preserve">,  </w:t>
      </w:r>
      <w:r w:rsidR="005C6A4B">
        <w:rPr>
          <w:sz w:val="24"/>
        </w:rPr>
        <w:t>constituyendo un ecosistema que alberga a m</w:t>
      </w:r>
      <w:r>
        <w:rPr>
          <w:sz w:val="24"/>
        </w:rPr>
        <w:t>ás del 10% de las especies del planeta. Dentro del contexto hemisférico, México es el ecosis</w:t>
      </w:r>
      <w:r w:rsidR="005C6A4B">
        <w:rPr>
          <w:sz w:val="24"/>
        </w:rPr>
        <w:t>tema más alto, encontrándose una</w:t>
      </w:r>
      <w:r>
        <w:rPr>
          <w:sz w:val="24"/>
        </w:rPr>
        <w:t xml:space="preserve"> de las mayores cantidades de especies y de endemismo.</w:t>
      </w:r>
    </w:p>
    <w:p w:rsidR="001617B4" w:rsidRDefault="001617B4" w:rsidP="00F50CAD">
      <w:pPr>
        <w:pStyle w:val="ListParagraph"/>
        <w:numPr>
          <w:ilvl w:val="0"/>
          <w:numId w:val="5"/>
        </w:numPr>
        <w:ind w:left="567" w:hanging="567"/>
        <w:jc w:val="both"/>
        <w:rPr>
          <w:sz w:val="24"/>
        </w:rPr>
      </w:pPr>
      <w:r>
        <w:rPr>
          <w:sz w:val="24"/>
        </w:rPr>
        <w:t xml:space="preserve">Este alto nivel de endemismo y biodiversidad está actualmente bajo serias amenazas, </w:t>
      </w:r>
      <w:r w:rsidR="001C7384">
        <w:rPr>
          <w:sz w:val="24"/>
        </w:rPr>
        <w:t xml:space="preserve">debido principalmente a la </w:t>
      </w:r>
      <w:r>
        <w:rPr>
          <w:sz w:val="24"/>
        </w:rPr>
        <w:t>alta tasa de deforestación, prácticas no sustentables en el uso de los recursos naturales, sobre-pastoreo, la tala y la quema en agricultura. También se debe mencionar los serios problemas de escasez de agua en diferentes regiones de México, especialmente en su capital federal.</w:t>
      </w:r>
    </w:p>
    <w:p w:rsidR="008A4554" w:rsidRDefault="001617B4" w:rsidP="00F50CAD">
      <w:pPr>
        <w:pStyle w:val="ListParagraph"/>
        <w:numPr>
          <w:ilvl w:val="0"/>
          <w:numId w:val="5"/>
        </w:numPr>
        <w:ind w:left="567" w:hanging="567"/>
        <w:jc w:val="both"/>
        <w:rPr>
          <w:sz w:val="24"/>
        </w:rPr>
      </w:pPr>
      <w:r>
        <w:rPr>
          <w:sz w:val="24"/>
        </w:rPr>
        <w:t xml:space="preserve">Por estas razones, el Gobierno de México anunció </w:t>
      </w:r>
      <w:r w:rsidR="002C7A7D">
        <w:rPr>
          <w:sz w:val="24"/>
        </w:rPr>
        <w:t>-</w:t>
      </w:r>
      <w:r>
        <w:rPr>
          <w:sz w:val="24"/>
        </w:rPr>
        <w:t>en el año 2000</w:t>
      </w:r>
      <w:r w:rsidR="002C7A7D">
        <w:rPr>
          <w:sz w:val="24"/>
        </w:rPr>
        <w:t>-</w:t>
      </w:r>
      <w:r>
        <w:rPr>
          <w:sz w:val="24"/>
        </w:rPr>
        <w:t xml:space="preserve"> una serie de acciones de carácter ambiental para proteger </w:t>
      </w:r>
      <w:r w:rsidR="008A4554">
        <w:rPr>
          <w:sz w:val="24"/>
        </w:rPr>
        <w:t>los recursos forestales y el agua, el que es uno de los elementos del Programa Nacional de Seguridad de México.</w:t>
      </w:r>
    </w:p>
    <w:p w:rsidR="005D45E9" w:rsidRDefault="00036901" w:rsidP="00F50CAD">
      <w:pPr>
        <w:pStyle w:val="ListParagraph"/>
        <w:numPr>
          <w:ilvl w:val="0"/>
          <w:numId w:val="5"/>
        </w:numPr>
        <w:ind w:left="567" w:hanging="567"/>
        <w:jc w:val="both"/>
        <w:rPr>
          <w:sz w:val="24"/>
        </w:rPr>
      </w:pPr>
      <w:r>
        <w:rPr>
          <w:sz w:val="24"/>
        </w:rPr>
        <w:t>México además, contribuye con el 1,6% de las emisiones mundiales de CO</w:t>
      </w:r>
      <w:r>
        <w:rPr>
          <w:sz w:val="24"/>
          <w:vertAlign w:val="subscript"/>
        </w:rPr>
        <w:t>2</w:t>
      </w:r>
      <w:r w:rsidR="005D45E9">
        <w:rPr>
          <w:sz w:val="24"/>
        </w:rPr>
        <w:t>, teniendo emisiones per-cápita de 6,</w:t>
      </w:r>
      <w:r w:rsidR="00297F04">
        <w:rPr>
          <w:sz w:val="24"/>
        </w:rPr>
        <w:t>2</w:t>
      </w:r>
      <w:r w:rsidR="005D45E9">
        <w:rPr>
          <w:sz w:val="24"/>
        </w:rPr>
        <w:t xml:space="preserve"> </w:t>
      </w:r>
      <w:proofErr w:type="gramStart"/>
      <w:r w:rsidR="005D45E9">
        <w:rPr>
          <w:sz w:val="24"/>
        </w:rPr>
        <w:t>ton</w:t>
      </w:r>
      <w:proofErr w:type="gramEnd"/>
      <w:r w:rsidR="005D45E9">
        <w:rPr>
          <w:sz w:val="24"/>
        </w:rPr>
        <w:t xml:space="preserve"> de CO</w:t>
      </w:r>
      <w:r w:rsidR="005D45E9">
        <w:rPr>
          <w:sz w:val="24"/>
          <w:vertAlign w:val="subscript"/>
        </w:rPr>
        <w:t>2</w:t>
      </w:r>
      <w:r w:rsidR="005D45E9">
        <w:rPr>
          <w:sz w:val="24"/>
        </w:rPr>
        <w:t>.</w:t>
      </w:r>
      <w:r w:rsidR="00297F04">
        <w:rPr>
          <w:sz w:val="24"/>
        </w:rPr>
        <w:t xml:space="preserve"> Los costos</w:t>
      </w:r>
      <w:r w:rsidR="00547B09">
        <w:rPr>
          <w:sz w:val="24"/>
        </w:rPr>
        <w:t xml:space="preserve"> estimados </w:t>
      </w:r>
      <w:r w:rsidR="00297F04">
        <w:rPr>
          <w:sz w:val="24"/>
        </w:rPr>
        <w:t xml:space="preserve">en </w:t>
      </w:r>
      <w:r w:rsidR="00547B09">
        <w:rPr>
          <w:sz w:val="24"/>
        </w:rPr>
        <w:t xml:space="preserve">pérdidas de </w:t>
      </w:r>
      <w:r w:rsidR="00297F04">
        <w:rPr>
          <w:sz w:val="24"/>
        </w:rPr>
        <w:t xml:space="preserve">biodiversidad </w:t>
      </w:r>
      <w:r w:rsidR="00547B09">
        <w:rPr>
          <w:sz w:val="24"/>
        </w:rPr>
        <w:t>y de mitigación, han hecho que México se haya trazado una meta de reducción de un 50% de sus emisiones de gases  efecto invernadero (GEI) para el año 2050, lo que acarreará un costo estimado del 0,56% del PIB del país, cifra muy inferior a los costos estimados que se tendrían que pagar en caso de que México no tomara medidas para combatir el cambio climático</w:t>
      </w:r>
      <w:r w:rsidR="00547B09">
        <w:rPr>
          <w:rStyle w:val="FootnoteReference"/>
          <w:sz w:val="24"/>
        </w:rPr>
        <w:footnoteReference w:id="1"/>
      </w:r>
      <w:r w:rsidR="00547B09">
        <w:rPr>
          <w:sz w:val="24"/>
        </w:rPr>
        <w:t>.</w:t>
      </w:r>
    </w:p>
    <w:p w:rsidR="0000604C" w:rsidRDefault="00FD357E" w:rsidP="00F50CAD">
      <w:pPr>
        <w:pStyle w:val="ListParagraph"/>
        <w:numPr>
          <w:ilvl w:val="0"/>
          <w:numId w:val="5"/>
        </w:numPr>
        <w:ind w:left="567" w:hanging="567"/>
        <w:jc w:val="both"/>
        <w:rPr>
          <w:sz w:val="24"/>
        </w:rPr>
      </w:pPr>
      <w:r>
        <w:rPr>
          <w:sz w:val="24"/>
        </w:rPr>
        <w:t xml:space="preserve">La entrada de México </w:t>
      </w:r>
      <w:r w:rsidR="00075A59">
        <w:rPr>
          <w:sz w:val="24"/>
        </w:rPr>
        <w:t xml:space="preserve">a la Organización para </w:t>
      </w:r>
      <w:r w:rsidR="0000604C">
        <w:rPr>
          <w:sz w:val="24"/>
        </w:rPr>
        <w:t xml:space="preserve">la Cooperación Económica y </w:t>
      </w:r>
      <w:r w:rsidR="0020296C">
        <w:rPr>
          <w:sz w:val="24"/>
        </w:rPr>
        <w:t xml:space="preserve">el </w:t>
      </w:r>
      <w:r w:rsidR="0000604C">
        <w:rPr>
          <w:sz w:val="24"/>
        </w:rPr>
        <w:t>Desarrollo</w:t>
      </w:r>
      <w:r w:rsidR="00075A59">
        <w:rPr>
          <w:sz w:val="24"/>
        </w:rPr>
        <w:t xml:space="preserve"> (OCDE)</w:t>
      </w:r>
      <w:r w:rsidR="0000604C">
        <w:rPr>
          <w:sz w:val="24"/>
        </w:rPr>
        <w:t xml:space="preserve"> en 1994, impuso numerosos desafíos para el desarrollo de una política </w:t>
      </w:r>
      <w:r w:rsidR="0020296C">
        <w:rPr>
          <w:sz w:val="24"/>
        </w:rPr>
        <w:t>d</w:t>
      </w:r>
      <w:r w:rsidR="0000604C">
        <w:rPr>
          <w:sz w:val="24"/>
        </w:rPr>
        <w:t xml:space="preserve">e institucionalidad ambiental en México, acorde a los lineamientos de la OCDE. </w:t>
      </w:r>
    </w:p>
    <w:p w:rsidR="00547B09" w:rsidRDefault="0000604C" w:rsidP="001104B4">
      <w:pPr>
        <w:pStyle w:val="ListParagraph"/>
        <w:numPr>
          <w:ilvl w:val="0"/>
          <w:numId w:val="5"/>
        </w:numPr>
        <w:ind w:left="567" w:hanging="567"/>
        <w:jc w:val="both"/>
        <w:rPr>
          <w:sz w:val="24"/>
        </w:rPr>
      </w:pPr>
      <w:r w:rsidRPr="001104B4">
        <w:rPr>
          <w:sz w:val="24"/>
        </w:rPr>
        <w:t xml:space="preserve">Desde el punto de vista institucional, el país formó </w:t>
      </w:r>
      <w:r w:rsidR="0020296C">
        <w:rPr>
          <w:sz w:val="24"/>
        </w:rPr>
        <w:t xml:space="preserve">en 1994 </w:t>
      </w:r>
      <w:r w:rsidRPr="001104B4">
        <w:rPr>
          <w:sz w:val="24"/>
        </w:rPr>
        <w:t>la Secretaría de Medio Ambiente</w:t>
      </w:r>
      <w:r w:rsidR="0020296C">
        <w:rPr>
          <w:sz w:val="24"/>
        </w:rPr>
        <w:t>,</w:t>
      </w:r>
      <w:r w:rsidRPr="001104B4">
        <w:rPr>
          <w:sz w:val="24"/>
        </w:rPr>
        <w:t xml:space="preserve"> Recursos Naturales </w:t>
      </w:r>
      <w:r w:rsidR="0020296C">
        <w:rPr>
          <w:sz w:val="24"/>
        </w:rPr>
        <w:t xml:space="preserve">y Pesca </w:t>
      </w:r>
      <w:r w:rsidRPr="001104B4">
        <w:rPr>
          <w:sz w:val="24"/>
        </w:rPr>
        <w:t>(</w:t>
      </w:r>
      <w:r w:rsidR="0041769A">
        <w:rPr>
          <w:sz w:val="24"/>
        </w:rPr>
        <w:t>SEMARNA</w:t>
      </w:r>
      <w:r w:rsidR="0020296C">
        <w:rPr>
          <w:sz w:val="24"/>
        </w:rPr>
        <w:t>P</w:t>
      </w:r>
      <w:r w:rsidRPr="001104B4">
        <w:rPr>
          <w:sz w:val="24"/>
        </w:rPr>
        <w:t>)</w:t>
      </w:r>
      <w:r w:rsidR="0020296C">
        <w:rPr>
          <w:sz w:val="24"/>
        </w:rPr>
        <w:t xml:space="preserve">, </w:t>
      </w:r>
      <w:r w:rsidR="0020296C" w:rsidRPr="001104B4">
        <w:rPr>
          <w:sz w:val="24"/>
        </w:rPr>
        <w:t xml:space="preserve">producto de la fusión de organismos </w:t>
      </w:r>
      <w:r w:rsidR="0020296C">
        <w:rPr>
          <w:sz w:val="24"/>
        </w:rPr>
        <w:t xml:space="preserve">preexistentes </w:t>
      </w:r>
      <w:r w:rsidR="0020296C" w:rsidRPr="001104B4">
        <w:rPr>
          <w:sz w:val="24"/>
        </w:rPr>
        <w:t xml:space="preserve">como </w:t>
      </w:r>
      <w:r w:rsidR="0020296C">
        <w:rPr>
          <w:sz w:val="24"/>
        </w:rPr>
        <w:t xml:space="preserve">la Secretaría de Pesca, </w:t>
      </w:r>
      <w:r w:rsidR="0020296C" w:rsidRPr="001104B4">
        <w:rPr>
          <w:sz w:val="24"/>
        </w:rPr>
        <w:t>el Instituto Nacional de Ecología (INE)</w:t>
      </w:r>
      <w:r w:rsidR="00A25A68">
        <w:rPr>
          <w:sz w:val="24"/>
        </w:rPr>
        <w:t xml:space="preserve"> y la Comisión Nacional del Agua (</w:t>
      </w:r>
      <w:proofErr w:type="spellStart"/>
      <w:r w:rsidR="00A25A68">
        <w:rPr>
          <w:sz w:val="24"/>
        </w:rPr>
        <w:t>Conagua</w:t>
      </w:r>
      <w:proofErr w:type="spellEnd"/>
      <w:r w:rsidR="00A25A68">
        <w:rPr>
          <w:sz w:val="24"/>
        </w:rPr>
        <w:t>)</w:t>
      </w:r>
      <w:r w:rsidR="0020296C" w:rsidRPr="001104B4">
        <w:rPr>
          <w:sz w:val="24"/>
        </w:rPr>
        <w:t xml:space="preserve"> y </w:t>
      </w:r>
      <w:r w:rsidR="0020296C">
        <w:rPr>
          <w:sz w:val="24"/>
        </w:rPr>
        <w:t xml:space="preserve">la creación de </w:t>
      </w:r>
      <w:r w:rsidR="0020296C" w:rsidRPr="001104B4">
        <w:rPr>
          <w:sz w:val="24"/>
        </w:rPr>
        <w:t>otras agencias como la Procuraduría Federal de Protección al Ambiente (PROFEPA).</w:t>
      </w:r>
      <w:r w:rsidR="0020296C">
        <w:rPr>
          <w:sz w:val="24"/>
        </w:rPr>
        <w:t xml:space="preserve"> La SEMARNAP se reestructuró </w:t>
      </w:r>
      <w:r w:rsidRPr="001104B4">
        <w:rPr>
          <w:sz w:val="24"/>
        </w:rPr>
        <w:t>en el año 2000</w:t>
      </w:r>
      <w:r w:rsidR="0020296C">
        <w:rPr>
          <w:sz w:val="24"/>
        </w:rPr>
        <w:t xml:space="preserve">, </w:t>
      </w:r>
      <w:r w:rsidR="00A25A68" w:rsidRPr="001104B4">
        <w:rPr>
          <w:sz w:val="24"/>
        </w:rPr>
        <w:t>,</w:t>
      </w:r>
      <w:r w:rsidR="00A25A68">
        <w:rPr>
          <w:sz w:val="24"/>
        </w:rPr>
        <w:t xml:space="preserve"> con la entrada de un nuevo gobierno de signo político diferente al que había gobernado el país en las últimos 70 años, </w:t>
      </w:r>
      <w:r w:rsidR="0020296C">
        <w:rPr>
          <w:sz w:val="24"/>
        </w:rPr>
        <w:t>se formó la Secretaría de Medio Ambiente y Recursos Naturales ()</w:t>
      </w:r>
      <w:r w:rsidR="00A25A68">
        <w:rPr>
          <w:sz w:val="24"/>
        </w:rPr>
        <w:t xml:space="preserve"> mediante la re</w:t>
      </w:r>
      <w:r w:rsidR="0020296C">
        <w:rPr>
          <w:sz w:val="24"/>
        </w:rPr>
        <w:t xml:space="preserve">orientación de su enfoque antes </w:t>
      </w:r>
      <w:r w:rsidR="00A25A68">
        <w:rPr>
          <w:sz w:val="24"/>
        </w:rPr>
        <w:t>centrado en agendas ambientales, para organizarse conforme a funciones.</w:t>
      </w:r>
      <w:r w:rsidR="00D47F27">
        <w:rPr>
          <w:sz w:val="24"/>
        </w:rPr>
        <w:t xml:space="preserve"> </w:t>
      </w:r>
      <w:r w:rsidR="001104B4" w:rsidRPr="001104B4">
        <w:rPr>
          <w:sz w:val="24"/>
        </w:rPr>
        <w:t xml:space="preserve">También  tiene organismos sectorizados tales como la Comisión Nacional Forestal, la Comisión Nacional de Áreas </w:t>
      </w:r>
      <w:r w:rsidR="00A25A68">
        <w:rPr>
          <w:sz w:val="24"/>
        </w:rPr>
        <w:t xml:space="preserve">Naturales </w:t>
      </w:r>
      <w:r w:rsidR="001104B4" w:rsidRPr="001104B4">
        <w:rPr>
          <w:sz w:val="24"/>
        </w:rPr>
        <w:t>Protegidas y la Comisión Nacional de Biodiversidad</w:t>
      </w:r>
      <w:r w:rsidR="001104B4">
        <w:rPr>
          <w:sz w:val="24"/>
        </w:rPr>
        <w:t>.</w:t>
      </w:r>
    </w:p>
    <w:p w:rsidR="001104B4" w:rsidRDefault="00656E61" w:rsidP="007B4E4E">
      <w:pPr>
        <w:pStyle w:val="ListParagraph"/>
        <w:numPr>
          <w:ilvl w:val="0"/>
          <w:numId w:val="5"/>
        </w:numPr>
        <w:ind w:left="567" w:hanging="567"/>
        <w:jc w:val="both"/>
        <w:rPr>
          <w:sz w:val="24"/>
        </w:rPr>
      </w:pPr>
      <w:r>
        <w:rPr>
          <w:sz w:val="24"/>
        </w:rPr>
        <w:lastRenderedPageBreak/>
        <w:t>El marco jurídico ambiental está dado por la Ley General del Equilibrio Ecológico y  Protección al Ambiente (LG</w:t>
      </w:r>
      <w:r w:rsidR="007B4E4E">
        <w:rPr>
          <w:sz w:val="24"/>
        </w:rPr>
        <w:t xml:space="preserve">EEPA), dictada en 1996 y vigente a la fecha, así como también </w:t>
      </w:r>
      <w:r w:rsidR="00A25A68">
        <w:rPr>
          <w:sz w:val="24"/>
        </w:rPr>
        <w:t>l</w:t>
      </w:r>
      <w:r w:rsidR="007B4E4E">
        <w:rPr>
          <w:sz w:val="24"/>
        </w:rPr>
        <w:t>a Ley Forestal (</w:t>
      </w:r>
      <w:r w:rsidR="007B4E4E" w:rsidRPr="007B4E4E">
        <w:rPr>
          <w:sz w:val="24"/>
        </w:rPr>
        <w:t>1997</w:t>
      </w:r>
      <w:r w:rsidR="007B4E4E">
        <w:rPr>
          <w:sz w:val="24"/>
        </w:rPr>
        <w:t>)</w:t>
      </w:r>
      <w:r w:rsidR="007958F7">
        <w:rPr>
          <w:sz w:val="24"/>
        </w:rPr>
        <w:t>,</w:t>
      </w:r>
      <w:r w:rsidR="007B4E4E" w:rsidRPr="007B4E4E">
        <w:rPr>
          <w:sz w:val="24"/>
        </w:rPr>
        <w:t xml:space="preserve"> </w:t>
      </w:r>
      <w:r w:rsidR="00A25A68">
        <w:rPr>
          <w:sz w:val="24"/>
        </w:rPr>
        <w:t>l</w:t>
      </w:r>
      <w:r w:rsidR="007B4E4E" w:rsidRPr="007B4E4E">
        <w:rPr>
          <w:sz w:val="24"/>
        </w:rPr>
        <w:t>a Ley de Aguas Nacionales</w:t>
      </w:r>
      <w:r w:rsidR="007958F7">
        <w:rPr>
          <w:sz w:val="24"/>
        </w:rPr>
        <w:t xml:space="preserve"> y la Ley de Desarrollo Rural Sustentable</w:t>
      </w:r>
      <w:r w:rsidR="007B4E4E">
        <w:rPr>
          <w:sz w:val="24"/>
        </w:rPr>
        <w:t>, entre la</w:t>
      </w:r>
      <w:r w:rsidR="007B4E4E" w:rsidRPr="007B4E4E">
        <w:rPr>
          <w:sz w:val="24"/>
        </w:rPr>
        <w:t>s más importantes</w:t>
      </w:r>
      <w:r w:rsidR="007B4E4E">
        <w:rPr>
          <w:sz w:val="24"/>
        </w:rPr>
        <w:t>.</w:t>
      </w:r>
    </w:p>
    <w:p w:rsidR="007B4E4E" w:rsidRDefault="007B4E4E" w:rsidP="00A51301">
      <w:pPr>
        <w:pStyle w:val="ListParagraph"/>
        <w:numPr>
          <w:ilvl w:val="0"/>
          <w:numId w:val="5"/>
        </w:numPr>
        <w:ind w:left="567" w:hanging="567"/>
        <w:jc w:val="both"/>
        <w:rPr>
          <w:sz w:val="24"/>
        </w:rPr>
      </w:pPr>
      <w:r>
        <w:rPr>
          <w:sz w:val="24"/>
        </w:rPr>
        <w:t xml:space="preserve">Dentro de este contexto, de singular importancia es la Ley de Planeación, la cual obliga al Gobierno Federal a confeccionar </w:t>
      </w:r>
      <w:r w:rsidR="007958F7">
        <w:rPr>
          <w:sz w:val="24"/>
        </w:rPr>
        <w:t>un</w:t>
      </w:r>
      <w:r>
        <w:rPr>
          <w:sz w:val="24"/>
        </w:rPr>
        <w:t xml:space="preserve"> P</w:t>
      </w:r>
      <w:r w:rsidR="007958F7">
        <w:rPr>
          <w:sz w:val="24"/>
        </w:rPr>
        <w:t>lan</w:t>
      </w:r>
      <w:r>
        <w:rPr>
          <w:sz w:val="24"/>
        </w:rPr>
        <w:t xml:space="preserve"> Nacional de Desarrollo (PND) para cada sexenio de gobierno, con sus respectivos Programas Sectoriales, lo que incluye al sector de medio ambiente dirigido por SEMANART.</w:t>
      </w:r>
    </w:p>
    <w:p w:rsidR="003B60E0" w:rsidRDefault="00A51301" w:rsidP="003B60E0">
      <w:pPr>
        <w:pStyle w:val="ListParagraph"/>
        <w:numPr>
          <w:ilvl w:val="0"/>
          <w:numId w:val="5"/>
        </w:numPr>
        <w:ind w:left="567" w:hanging="567"/>
        <w:jc w:val="both"/>
        <w:rPr>
          <w:sz w:val="24"/>
        </w:rPr>
      </w:pPr>
      <w:r>
        <w:rPr>
          <w:sz w:val="24"/>
        </w:rPr>
        <w:t xml:space="preserve">La naturaleza transversal de la temática ambiental, ha introducido cambios en la gestión ambiental del gobierno federal, lográndose a través </w:t>
      </w:r>
      <w:r w:rsidR="007958F7">
        <w:rPr>
          <w:sz w:val="24"/>
        </w:rPr>
        <w:t xml:space="preserve">de </w:t>
      </w:r>
      <w:r w:rsidR="003B60E0" w:rsidRPr="003B60E0">
        <w:rPr>
          <w:sz w:val="24"/>
        </w:rPr>
        <w:t xml:space="preserve">la estrategia de transversalidad de la variable ambiental en las políticas públicas, la cual </w:t>
      </w:r>
      <w:r w:rsidR="003B60E0">
        <w:rPr>
          <w:sz w:val="24"/>
        </w:rPr>
        <w:t>está integrada en el PND</w:t>
      </w:r>
      <w:r w:rsidR="00516B0C">
        <w:rPr>
          <w:sz w:val="24"/>
        </w:rPr>
        <w:t xml:space="preserve"> 2007-2012</w:t>
      </w:r>
      <w:r w:rsidR="009C5DCA">
        <w:rPr>
          <w:sz w:val="24"/>
        </w:rPr>
        <w:t xml:space="preserve"> y que diera lugar a la Agenda de Transversalidad, la que incluye los temas y compromisos adquiridos por los distintos sectores en materia ambiental.</w:t>
      </w:r>
    </w:p>
    <w:p w:rsidR="009C5DCA" w:rsidRDefault="00E957D5" w:rsidP="003B60E0">
      <w:pPr>
        <w:pStyle w:val="ListParagraph"/>
        <w:numPr>
          <w:ilvl w:val="0"/>
          <w:numId w:val="5"/>
        </w:numPr>
        <w:ind w:left="567" w:hanging="567"/>
        <w:jc w:val="both"/>
        <w:rPr>
          <w:sz w:val="24"/>
        </w:rPr>
      </w:pPr>
      <w:r>
        <w:rPr>
          <w:sz w:val="24"/>
        </w:rPr>
        <w:t xml:space="preserve">Referente al sistema de planeación, México está realizando esfuerzos por integrar el tema ambiental en los distintos sectores y además está realizando planes </w:t>
      </w:r>
      <w:r w:rsidR="007958F7">
        <w:rPr>
          <w:sz w:val="24"/>
        </w:rPr>
        <w:t xml:space="preserve">indicativos </w:t>
      </w:r>
      <w:r>
        <w:rPr>
          <w:sz w:val="24"/>
        </w:rPr>
        <w:t>de largo plazo, donde está identificando acciones y objetivos específicos a alcanzar</w:t>
      </w:r>
      <w:r w:rsidR="005C6A4B">
        <w:rPr>
          <w:sz w:val="24"/>
        </w:rPr>
        <w:t xml:space="preserve"> en</w:t>
      </w:r>
      <w:r>
        <w:rPr>
          <w:sz w:val="24"/>
        </w:rPr>
        <w:t xml:space="preserve"> horizontes de 25 años. Dentro de este contexto, se  intentó el Plan de Desarrollo 2001-2025 y en la actualidad se está trabajando en el Plan 2005-2030.</w:t>
      </w:r>
    </w:p>
    <w:p w:rsidR="00E957D5" w:rsidRDefault="00E957D5" w:rsidP="003B60E0">
      <w:pPr>
        <w:pStyle w:val="ListParagraph"/>
        <w:numPr>
          <w:ilvl w:val="0"/>
          <w:numId w:val="5"/>
        </w:numPr>
        <w:ind w:left="567" w:hanging="567"/>
        <w:jc w:val="both"/>
        <w:rPr>
          <w:sz w:val="24"/>
        </w:rPr>
      </w:pPr>
      <w:r>
        <w:rPr>
          <w:sz w:val="24"/>
        </w:rPr>
        <w:t xml:space="preserve">La planeación de objetivos y metas ambientales es un tema urgente en México, </w:t>
      </w:r>
      <w:r w:rsidR="00020A4D">
        <w:rPr>
          <w:sz w:val="24"/>
        </w:rPr>
        <w:t xml:space="preserve">así como en muchos países en desarrollo, </w:t>
      </w:r>
      <w:r>
        <w:rPr>
          <w:sz w:val="24"/>
        </w:rPr>
        <w:t xml:space="preserve">debido a la complejidad de los temas ambientales globales y a la necesidad de tener estabilidad </w:t>
      </w:r>
      <w:r w:rsidR="00020A4D">
        <w:rPr>
          <w:sz w:val="24"/>
        </w:rPr>
        <w:t xml:space="preserve">y perseverancia </w:t>
      </w:r>
      <w:r>
        <w:rPr>
          <w:sz w:val="24"/>
        </w:rPr>
        <w:t>en políticas que s</w:t>
      </w:r>
      <w:r w:rsidR="007958F7">
        <w:rPr>
          <w:sz w:val="24"/>
        </w:rPr>
        <w:t>ó</w:t>
      </w:r>
      <w:r>
        <w:rPr>
          <w:sz w:val="24"/>
        </w:rPr>
        <w:t>lo darán sus frutos en el largo plazo.</w:t>
      </w:r>
    </w:p>
    <w:p w:rsidR="00E957D5" w:rsidRDefault="004815B8" w:rsidP="008856B0">
      <w:pPr>
        <w:pStyle w:val="ListParagraph"/>
        <w:numPr>
          <w:ilvl w:val="0"/>
          <w:numId w:val="5"/>
        </w:numPr>
        <w:ind w:left="567" w:hanging="567"/>
        <w:jc w:val="both"/>
        <w:rPr>
          <w:sz w:val="24"/>
        </w:rPr>
      </w:pPr>
      <w:r>
        <w:rPr>
          <w:sz w:val="24"/>
        </w:rPr>
        <w:t xml:space="preserve">Dentro de este contexto se desarrolló el proyecto que hoy se </w:t>
      </w:r>
      <w:r w:rsidR="008F4A4D">
        <w:rPr>
          <w:sz w:val="24"/>
        </w:rPr>
        <w:t>está evaluando</w:t>
      </w:r>
      <w:r>
        <w:rPr>
          <w:sz w:val="24"/>
        </w:rPr>
        <w:t xml:space="preserve">. Este proyecto fue uno de los primeros esfuerzos en la planeación con un horizonte mayor a los 6 años que impone la Ley de Planeación. Asimismo, se ejecutó en paralelo con varias otras </w:t>
      </w:r>
      <w:r w:rsidR="006B0048">
        <w:rPr>
          <w:sz w:val="24"/>
        </w:rPr>
        <w:t xml:space="preserve">iniciativas que se desarrollaron durante la década de los 2000, tales como la Estrategia y la Agenda de Transversalidad, la reestructuración del sector ambiental que dio origen a la creación de  y </w:t>
      </w:r>
      <w:r w:rsidR="008856B0">
        <w:rPr>
          <w:sz w:val="24"/>
        </w:rPr>
        <w:t>el impulso a la transversalidad dado por el proyecto del Banco Mundial llamado “</w:t>
      </w:r>
      <w:r w:rsidR="008856B0" w:rsidRPr="008856B0">
        <w:rPr>
          <w:sz w:val="24"/>
        </w:rPr>
        <w:t>Préstamo  de Ajuste Estructural Ambiental I</w:t>
      </w:r>
      <w:r w:rsidR="008856B0">
        <w:rPr>
          <w:sz w:val="24"/>
        </w:rPr>
        <w:t>”.</w:t>
      </w:r>
    </w:p>
    <w:p w:rsidR="008856B0" w:rsidRDefault="008F4A4D" w:rsidP="002705EA">
      <w:pPr>
        <w:pStyle w:val="ListParagraph"/>
        <w:numPr>
          <w:ilvl w:val="0"/>
          <w:numId w:val="5"/>
        </w:numPr>
        <w:ind w:left="567" w:hanging="567"/>
        <w:jc w:val="both"/>
        <w:rPr>
          <w:sz w:val="24"/>
        </w:rPr>
      </w:pPr>
      <w:r>
        <w:rPr>
          <w:sz w:val="24"/>
        </w:rPr>
        <w:t xml:space="preserve">Durante su período de ejecución, el proyecto también debió experimentar una serie de </w:t>
      </w:r>
      <w:r w:rsidR="006B49AB">
        <w:rPr>
          <w:sz w:val="24"/>
        </w:rPr>
        <w:t>modificaciones</w:t>
      </w:r>
      <w:r>
        <w:rPr>
          <w:sz w:val="24"/>
        </w:rPr>
        <w:t xml:space="preserve">, debido principalmente a los cambios de gobierno </w:t>
      </w:r>
      <w:r w:rsidR="006B49AB">
        <w:rPr>
          <w:sz w:val="24"/>
        </w:rPr>
        <w:t xml:space="preserve">(dos </w:t>
      </w:r>
      <w:r w:rsidR="00715D93">
        <w:rPr>
          <w:sz w:val="24"/>
        </w:rPr>
        <w:t>a</w:t>
      </w:r>
      <w:r w:rsidR="006B49AB">
        <w:rPr>
          <w:sz w:val="24"/>
        </w:rPr>
        <w:t xml:space="preserve">dministraciones federales en el transcurso de 10 años) </w:t>
      </w:r>
      <w:r>
        <w:rPr>
          <w:sz w:val="24"/>
        </w:rPr>
        <w:t>y a las varias autoridades que comandaron SERMANART durante la década de ejecución del proyecto, lo que redundó en nuevas prioridades, énfasis y formas de ejecutar las políticas públicas</w:t>
      </w:r>
      <w:r w:rsidR="002705EA">
        <w:rPr>
          <w:sz w:val="24"/>
        </w:rPr>
        <w:t xml:space="preserve"> ambientales del país</w:t>
      </w:r>
      <w:r>
        <w:rPr>
          <w:sz w:val="24"/>
        </w:rPr>
        <w:t>.</w:t>
      </w:r>
    </w:p>
    <w:p w:rsidR="005F62F2" w:rsidRPr="005F62F2" w:rsidRDefault="005F62F2" w:rsidP="005F62F2">
      <w:pPr>
        <w:jc w:val="both"/>
        <w:rPr>
          <w:sz w:val="24"/>
        </w:rPr>
      </w:pPr>
    </w:p>
    <w:p w:rsidR="00AA5B2A" w:rsidRPr="007E7E3F" w:rsidRDefault="00AA5B2A" w:rsidP="00825E0D">
      <w:pPr>
        <w:pStyle w:val="ListParagraph"/>
        <w:numPr>
          <w:ilvl w:val="0"/>
          <w:numId w:val="3"/>
        </w:numPr>
        <w:shd w:val="clear" w:color="auto" w:fill="92D050"/>
        <w:spacing w:before="360" w:after="360" w:line="240" w:lineRule="auto"/>
        <w:ind w:left="567" w:hanging="567"/>
        <w:contextualSpacing w:val="0"/>
        <w:rPr>
          <w:b/>
          <w:i/>
          <w:sz w:val="24"/>
          <w:u w:val="single"/>
        </w:rPr>
      </w:pPr>
      <w:r w:rsidRPr="007E7E3F">
        <w:rPr>
          <w:b/>
          <w:i/>
          <w:sz w:val="24"/>
          <w:u w:val="single"/>
        </w:rPr>
        <w:lastRenderedPageBreak/>
        <w:t>Resultados y Conclusiones</w:t>
      </w:r>
      <w:r w:rsidR="002C1FE2" w:rsidRPr="007E7E3F">
        <w:rPr>
          <w:b/>
          <w:i/>
          <w:sz w:val="24"/>
          <w:u w:val="single"/>
        </w:rPr>
        <w:t xml:space="preserve"> de la Evaluación</w:t>
      </w:r>
    </w:p>
    <w:p w:rsidR="00AA5B2A" w:rsidRPr="007E7E3F" w:rsidRDefault="00AA5B2A" w:rsidP="00E309D9">
      <w:pPr>
        <w:pStyle w:val="ListParagraph"/>
        <w:numPr>
          <w:ilvl w:val="1"/>
          <w:numId w:val="3"/>
        </w:numPr>
        <w:ind w:left="567" w:hanging="567"/>
        <w:rPr>
          <w:b/>
          <w:i/>
          <w:sz w:val="24"/>
          <w:u w:val="single"/>
        </w:rPr>
      </w:pPr>
      <w:r w:rsidRPr="007E7E3F">
        <w:rPr>
          <w:b/>
          <w:i/>
          <w:sz w:val="24"/>
          <w:u w:val="single"/>
        </w:rPr>
        <w:t>Concepto y Diseño del Proyecto</w:t>
      </w:r>
    </w:p>
    <w:p w:rsidR="00146932" w:rsidRDefault="009A2F63" w:rsidP="00E309D9">
      <w:pPr>
        <w:pStyle w:val="ListParagraph"/>
        <w:numPr>
          <w:ilvl w:val="0"/>
          <w:numId w:val="5"/>
        </w:numPr>
        <w:ind w:left="567" w:hanging="567"/>
        <w:jc w:val="both"/>
        <w:rPr>
          <w:sz w:val="24"/>
        </w:rPr>
      </w:pPr>
      <w:r w:rsidRPr="005E38BA">
        <w:rPr>
          <w:b/>
          <w:i/>
          <w:sz w:val="24"/>
          <w:u w:val="single"/>
        </w:rPr>
        <w:t>El objetivo declarado</w:t>
      </w:r>
      <w:r w:rsidRPr="009A2F63">
        <w:rPr>
          <w:sz w:val="24"/>
        </w:rPr>
        <w:t xml:space="preserve"> del proyecto </w:t>
      </w:r>
      <w:r w:rsidR="00A312F9">
        <w:rPr>
          <w:sz w:val="24"/>
        </w:rPr>
        <w:t xml:space="preserve">pretendía aportar </w:t>
      </w:r>
      <w:r w:rsidRPr="009A2F63">
        <w:rPr>
          <w:sz w:val="24"/>
        </w:rPr>
        <w:t xml:space="preserve">un apoyo </w:t>
      </w:r>
      <w:r w:rsidR="005C6A4B">
        <w:rPr>
          <w:sz w:val="24"/>
        </w:rPr>
        <w:t xml:space="preserve">puntual </w:t>
      </w:r>
      <w:r w:rsidRPr="009A2F63">
        <w:rPr>
          <w:sz w:val="24"/>
        </w:rPr>
        <w:t>al nuevo gobierno mexicano, el que poseía un signo político distinto del de los gobiernos anteriores, por lo que se requería una asesoría urgente por parte del GEF para fortalecer en el corto plazo (2001-2006), las capacidades de gobernabilidad ambiental dentro de México y realizar una planificación ambiental transversal de largo plazo, más allá de las planificaciones existentes a la fecha, que se realizaba mediante sexenios.</w:t>
      </w:r>
      <w:r w:rsidR="00146932" w:rsidRPr="00146932">
        <w:rPr>
          <w:sz w:val="24"/>
        </w:rPr>
        <w:t xml:space="preserve"> </w:t>
      </w:r>
      <w:r w:rsidR="00146932" w:rsidRPr="00AB5A14">
        <w:rPr>
          <w:sz w:val="24"/>
        </w:rPr>
        <w:t xml:space="preserve">Por lo tanto, el principal objetivo del apoyo de corto plazo era fortalecer a los funcionarios del gobierno entrante en la elaboración de programas y planificación ambiental. Se suponía </w:t>
      </w:r>
      <w:r w:rsidR="00146932">
        <w:rPr>
          <w:sz w:val="24"/>
        </w:rPr>
        <w:t>que el nuevo gobierno d</w:t>
      </w:r>
      <w:r w:rsidR="000362B5">
        <w:rPr>
          <w:sz w:val="24"/>
        </w:rPr>
        <w:t xml:space="preserve">esconocía los procedimientos existentes en el Estado mexicano, debido </w:t>
      </w:r>
      <w:r w:rsidR="005C6A4B">
        <w:rPr>
          <w:sz w:val="24"/>
        </w:rPr>
        <w:t xml:space="preserve">a </w:t>
      </w:r>
      <w:r w:rsidR="000362B5">
        <w:rPr>
          <w:sz w:val="24"/>
        </w:rPr>
        <w:t xml:space="preserve">la </w:t>
      </w:r>
      <w:r w:rsidR="00146932" w:rsidRPr="00AB5A14">
        <w:rPr>
          <w:sz w:val="24"/>
        </w:rPr>
        <w:t>poca experiencia</w:t>
      </w:r>
      <w:r w:rsidR="005C6A4B">
        <w:rPr>
          <w:sz w:val="24"/>
        </w:rPr>
        <w:t xml:space="preserve"> en</w:t>
      </w:r>
      <w:r w:rsidR="00146932" w:rsidRPr="00AB5A14">
        <w:rPr>
          <w:sz w:val="24"/>
        </w:rPr>
        <w:t xml:space="preserve"> la gestión pública de las nuevas autoridades.</w:t>
      </w:r>
      <w:r w:rsidR="00146932">
        <w:rPr>
          <w:sz w:val="24"/>
        </w:rPr>
        <w:t xml:space="preserve"> </w:t>
      </w:r>
    </w:p>
    <w:p w:rsidR="009A2F63" w:rsidRPr="009A2F63" w:rsidRDefault="009A2F63" w:rsidP="00E309D9">
      <w:pPr>
        <w:pStyle w:val="ListParagraph"/>
        <w:numPr>
          <w:ilvl w:val="0"/>
          <w:numId w:val="5"/>
        </w:numPr>
        <w:ind w:left="567" w:hanging="567"/>
        <w:contextualSpacing w:val="0"/>
        <w:jc w:val="both"/>
        <w:rPr>
          <w:sz w:val="24"/>
        </w:rPr>
      </w:pPr>
      <w:r w:rsidRPr="009A2F63">
        <w:rPr>
          <w:sz w:val="24"/>
        </w:rPr>
        <w:t>Esta planificación ambiental transversal, estaría incluida en el Plan Nacional de Desarrollo de México (2001-2025). Los sectores principales a abordar serían:</w:t>
      </w:r>
    </w:p>
    <w:p w:rsidR="00124561" w:rsidRDefault="009A2F63" w:rsidP="00E309D9">
      <w:pPr>
        <w:pStyle w:val="ListParagraph"/>
        <w:numPr>
          <w:ilvl w:val="0"/>
          <w:numId w:val="5"/>
        </w:numPr>
        <w:ind w:left="567" w:hanging="567"/>
        <w:jc w:val="both"/>
        <w:rPr>
          <w:sz w:val="24"/>
        </w:rPr>
      </w:pPr>
      <w:r w:rsidRPr="009A2F63">
        <w:rPr>
          <w:sz w:val="24"/>
        </w:rPr>
        <w:t>i)</w:t>
      </w:r>
      <w:r w:rsidRPr="009A2F63">
        <w:rPr>
          <w:sz w:val="24"/>
        </w:rPr>
        <w:tab/>
      </w:r>
      <w:r w:rsidR="005E38BA">
        <w:rPr>
          <w:sz w:val="24"/>
        </w:rPr>
        <w:tab/>
      </w:r>
      <w:r w:rsidRPr="009A2F63">
        <w:rPr>
          <w:sz w:val="24"/>
        </w:rPr>
        <w:t>biodiversidad de importancia mundial y;</w:t>
      </w:r>
    </w:p>
    <w:p w:rsidR="009A2F63" w:rsidRPr="009A2F63" w:rsidRDefault="009A2F63" w:rsidP="00E309D9">
      <w:pPr>
        <w:pStyle w:val="ListParagraph"/>
        <w:numPr>
          <w:ilvl w:val="0"/>
          <w:numId w:val="5"/>
        </w:numPr>
        <w:ind w:left="567" w:hanging="567"/>
        <w:contextualSpacing w:val="0"/>
        <w:jc w:val="both"/>
        <w:rPr>
          <w:sz w:val="24"/>
        </w:rPr>
      </w:pPr>
      <w:r w:rsidRPr="009A2F63">
        <w:rPr>
          <w:sz w:val="24"/>
        </w:rPr>
        <w:t>ii)</w:t>
      </w:r>
      <w:r w:rsidRPr="009A2F63">
        <w:rPr>
          <w:sz w:val="24"/>
        </w:rPr>
        <w:tab/>
        <w:t xml:space="preserve">reducción de </w:t>
      </w:r>
      <w:r w:rsidR="00A312F9">
        <w:rPr>
          <w:sz w:val="24"/>
        </w:rPr>
        <w:t>Gases de Efecto Invernadero (</w:t>
      </w:r>
      <w:r w:rsidRPr="009A2F63">
        <w:rPr>
          <w:sz w:val="24"/>
        </w:rPr>
        <w:t>GHG</w:t>
      </w:r>
      <w:r w:rsidR="00A312F9">
        <w:rPr>
          <w:sz w:val="24"/>
        </w:rPr>
        <w:t>)</w:t>
      </w:r>
      <w:r w:rsidRPr="009A2F63">
        <w:rPr>
          <w:sz w:val="24"/>
        </w:rPr>
        <w:t>.</w:t>
      </w:r>
    </w:p>
    <w:p w:rsidR="009A2F63" w:rsidRPr="009A2F63" w:rsidRDefault="009A2F63" w:rsidP="00E309D9">
      <w:pPr>
        <w:pStyle w:val="ListParagraph"/>
        <w:numPr>
          <w:ilvl w:val="0"/>
          <w:numId w:val="5"/>
        </w:numPr>
        <w:ind w:left="567" w:hanging="567"/>
        <w:jc w:val="both"/>
        <w:rPr>
          <w:sz w:val="24"/>
        </w:rPr>
      </w:pPr>
      <w:r w:rsidRPr="005E38BA">
        <w:rPr>
          <w:b/>
          <w:i/>
          <w:sz w:val="24"/>
          <w:u w:val="single"/>
        </w:rPr>
        <w:t>El Objetivo de Desarrollo</w:t>
      </w:r>
      <w:r w:rsidRPr="009A2F63">
        <w:rPr>
          <w:sz w:val="24"/>
        </w:rPr>
        <w:t xml:space="preserve"> o de largo plazo del proyecto, </w:t>
      </w:r>
      <w:r w:rsidR="003351DC">
        <w:rPr>
          <w:sz w:val="24"/>
        </w:rPr>
        <w:t xml:space="preserve">era </w:t>
      </w:r>
      <w:r w:rsidRPr="009A2F63">
        <w:rPr>
          <w:sz w:val="24"/>
        </w:rPr>
        <w:t xml:space="preserve">establecer políticas medioambientales transversales y totalmente integradas en un marco de planificación de largo plazo, tanto nacional como local. </w:t>
      </w:r>
    </w:p>
    <w:p w:rsidR="009A2F63" w:rsidRPr="009A2F63" w:rsidRDefault="009A2F63" w:rsidP="00E309D9">
      <w:pPr>
        <w:pStyle w:val="ListParagraph"/>
        <w:numPr>
          <w:ilvl w:val="0"/>
          <w:numId w:val="5"/>
        </w:numPr>
        <w:ind w:left="567" w:hanging="567"/>
        <w:contextualSpacing w:val="0"/>
        <w:jc w:val="both"/>
        <w:rPr>
          <w:sz w:val="24"/>
        </w:rPr>
      </w:pPr>
      <w:r w:rsidRPr="009A2F63">
        <w:rPr>
          <w:sz w:val="24"/>
        </w:rPr>
        <w:t>Los instrumentos a utilizar  eran:</w:t>
      </w:r>
    </w:p>
    <w:p w:rsidR="009A2F63" w:rsidRPr="009A2F63" w:rsidRDefault="009A2F63" w:rsidP="00E309D9">
      <w:pPr>
        <w:pStyle w:val="ListParagraph"/>
        <w:numPr>
          <w:ilvl w:val="0"/>
          <w:numId w:val="5"/>
        </w:numPr>
        <w:tabs>
          <w:tab w:val="left" w:pos="567"/>
        </w:tabs>
        <w:ind w:left="993" w:hanging="993"/>
        <w:jc w:val="both"/>
        <w:rPr>
          <w:sz w:val="24"/>
        </w:rPr>
      </w:pPr>
      <w:r w:rsidRPr="009A2F63">
        <w:rPr>
          <w:sz w:val="24"/>
        </w:rPr>
        <w:t>i)</w:t>
      </w:r>
      <w:r w:rsidRPr="009A2F63">
        <w:rPr>
          <w:sz w:val="24"/>
        </w:rPr>
        <w:tab/>
        <w:t>planificación estratégica de desarrollo verde;</w:t>
      </w:r>
    </w:p>
    <w:p w:rsidR="009A2F63" w:rsidRPr="009A2F63" w:rsidRDefault="009A2F63" w:rsidP="00E309D9">
      <w:pPr>
        <w:pStyle w:val="ListParagraph"/>
        <w:numPr>
          <w:ilvl w:val="0"/>
          <w:numId w:val="5"/>
        </w:numPr>
        <w:tabs>
          <w:tab w:val="left" w:pos="567"/>
        </w:tabs>
        <w:ind w:left="993" w:hanging="993"/>
        <w:jc w:val="both"/>
        <w:rPr>
          <w:sz w:val="24"/>
        </w:rPr>
      </w:pPr>
      <w:r w:rsidRPr="009A2F63">
        <w:rPr>
          <w:sz w:val="24"/>
        </w:rPr>
        <w:t>ii)</w:t>
      </w:r>
      <w:r w:rsidRPr="009A2F63">
        <w:rPr>
          <w:sz w:val="24"/>
        </w:rPr>
        <w:tab/>
        <w:t>intervenciones programadas;</w:t>
      </w:r>
    </w:p>
    <w:p w:rsidR="00124561" w:rsidRDefault="009A2F63" w:rsidP="005C6A4B">
      <w:pPr>
        <w:pStyle w:val="ListParagraph"/>
        <w:numPr>
          <w:ilvl w:val="0"/>
          <w:numId w:val="5"/>
        </w:numPr>
        <w:tabs>
          <w:tab w:val="left" w:pos="567"/>
        </w:tabs>
        <w:ind w:left="992" w:hanging="992"/>
        <w:contextualSpacing w:val="0"/>
        <w:jc w:val="both"/>
        <w:rPr>
          <w:sz w:val="24"/>
        </w:rPr>
      </w:pPr>
      <w:r w:rsidRPr="009A2F63">
        <w:rPr>
          <w:sz w:val="24"/>
        </w:rPr>
        <w:t>iii)</w:t>
      </w:r>
      <w:r w:rsidRPr="009A2F63">
        <w:rPr>
          <w:sz w:val="24"/>
        </w:rPr>
        <w:tab/>
        <w:t>internalización de prácticas de manejo y protección adecuadas en ministerios y agencias claves.</w:t>
      </w:r>
    </w:p>
    <w:p w:rsidR="009A2F63" w:rsidRPr="009A2F63" w:rsidRDefault="009A2F63" w:rsidP="00E309D9">
      <w:pPr>
        <w:pStyle w:val="ListParagraph"/>
        <w:numPr>
          <w:ilvl w:val="0"/>
          <w:numId w:val="5"/>
        </w:numPr>
        <w:ind w:left="567" w:hanging="567"/>
        <w:contextualSpacing w:val="0"/>
        <w:jc w:val="both"/>
        <w:rPr>
          <w:sz w:val="24"/>
        </w:rPr>
      </w:pPr>
      <w:r w:rsidRPr="009A2F63">
        <w:rPr>
          <w:sz w:val="24"/>
        </w:rPr>
        <w:t>Los productos originales a obtener eran 3:</w:t>
      </w:r>
    </w:p>
    <w:p w:rsidR="00124561" w:rsidRDefault="009A2F63" w:rsidP="00BC2B85">
      <w:pPr>
        <w:pStyle w:val="ListParagraph"/>
        <w:numPr>
          <w:ilvl w:val="0"/>
          <w:numId w:val="5"/>
        </w:numPr>
        <w:tabs>
          <w:tab w:val="left" w:pos="567"/>
        </w:tabs>
        <w:ind w:left="993" w:hanging="993"/>
        <w:jc w:val="both"/>
        <w:rPr>
          <w:sz w:val="24"/>
        </w:rPr>
      </w:pPr>
      <w:r w:rsidRPr="009A2F63">
        <w:rPr>
          <w:sz w:val="24"/>
        </w:rPr>
        <w:t>i)</w:t>
      </w:r>
      <w:r w:rsidRPr="009A2F63">
        <w:rPr>
          <w:sz w:val="24"/>
        </w:rPr>
        <w:tab/>
        <w:t>Unidades de Desarrollo Sustentable con planes de acción asociados se encuentran integradas y operando dentro de las agencias de gobierno.</w:t>
      </w:r>
    </w:p>
    <w:p w:rsidR="00124561" w:rsidRDefault="009A2F63" w:rsidP="00BC2B85">
      <w:pPr>
        <w:pStyle w:val="ListParagraph"/>
        <w:numPr>
          <w:ilvl w:val="0"/>
          <w:numId w:val="5"/>
        </w:numPr>
        <w:tabs>
          <w:tab w:val="left" w:pos="567"/>
        </w:tabs>
        <w:ind w:left="993" w:hanging="993"/>
        <w:jc w:val="both"/>
        <w:rPr>
          <w:sz w:val="24"/>
        </w:rPr>
      </w:pPr>
      <w:r w:rsidRPr="009A2F63">
        <w:rPr>
          <w:sz w:val="24"/>
        </w:rPr>
        <w:t>ii)</w:t>
      </w:r>
      <w:r w:rsidRPr="009A2F63">
        <w:rPr>
          <w:sz w:val="24"/>
        </w:rPr>
        <w:tab/>
        <w:t>Diseño y negociación de un marco programático-financiero entre el gobierno, el GEF y otros donantes</w:t>
      </w:r>
      <w:r w:rsidR="005C6A4B">
        <w:rPr>
          <w:sz w:val="24"/>
        </w:rPr>
        <w:t>,</w:t>
      </w:r>
      <w:r w:rsidRPr="009A2F63">
        <w:rPr>
          <w:sz w:val="24"/>
        </w:rPr>
        <w:t xml:space="preserve"> para explotar las </w:t>
      </w:r>
      <w:r w:rsidR="001C7384" w:rsidRPr="009A2F63">
        <w:rPr>
          <w:sz w:val="24"/>
        </w:rPr>
        <w:t>sinergias</w:t>
      </w:r>
      <w:r w:rsidRPr="009A2F63">
        <w:rPr>
          <w:sz w:val="24"/>
        </w:rPr>
        <w:t xml:space="preserve"> y tr</w:t>
      </w:r>
      <w:r w:rsidR="00434CD0">
        <w:rPr>
          <w:sz w:val="24"/>
        </w:rPr>
        <w:t>a</w:t>
      </w:r>
      <w:r w:rsidRPr="009A2F63">
        <w:rPr>
          <w:sz w:val="24"/>
        </w:rPr>
        <w:t>nsversalidades en actividades y financiamiento.</w:t>
      </w:r>
    </w:p>
    <w:p w:rsidR="00124561" w:rsidRDefault="009A2F63" w:rsidP="005C6A4B">
      <w:pPr>
        <w:pStyle w:val="ListParagraph"/>
        <w:numPr>
          <w:ilvl w:val="0"/>
          <w:numId w:val="5"/>
        </w:numPr>
        <w:tabs>
          <w:tab w:val="left" w:pos="567"/>
        </w:tabs>
        <w:ind w:left="992" w:hanging="992"/>
        <w:contextualSpacing w:val="0"/>
        <w:jc w:val="both"/>
        <w:rPr>
          <w:sz w:val="24"/>
        </w:rPr>
      </w:pPr>
      <w:r w:rsidRPr="009A2F63">
        <w:rPr>
          <w:sz w:val="24"/>
        </w:rPr>
        <w:t>iii)</w:t>
      </w:r>
      <w:r w:rsidRPr="009A2F63">
        <w:rPr>
          <w:sz w:val="24"/>
        </w:rPr>
        <w:tab/>
        <w:t>Documento final de</w:t>
      </w:r>
      <w:r w:rsidR="005C6A4B">
        <w:rPr>
          <w:sz w:val="24"/>
        </w:rPr>
        <w:t>l</w:t>
      </w:r>
      <w:r w:rsidRPr="009A2F63">
        <w:rPr>
          <w:sz w:val="24"/>
        </w:rPr>
        <w:t xml:space="preserve"> Plan Verde</w:t>
      </w:r>
      <w:r w:rsidR="005C6A4B">
        <w:rPr>
          <w:sz w:val="24"/>
        </w:rPr>
        <w:t>,</w:t>
      </w:r>
      <w:r w:rsidRPr="009A2F63">
        <w:rPr>
          <w:sz w:val="24"/>
        </w:rPr>
        <w:t xml:space="preserve"> integrado dentro del Plan Nacional de Desarrollo 2001-2025.</w:t>
      </w:r>
    </w:p>
    <w:p w:rsidR="00264EFA" w:rsidRDefault="00264EFA" w:rsidP="00E309D9">
      <w:pPr>
        <w:pStyle w:val="ListParagraph"/>
        <w:numPr>
          <w:ilvl w:val="0"/>
          <w:numId w:val="5"/>
        </w:numPr>
        <w:ind w:left="567" w:hanging="567"/>
        <w:jc w:val="both"/>
        <w:rPr>
          <w:sz w:val="24"/>
        </w:rPr>
      </w:pPr>
      <w:r>
        <w:rPr>
          <w:sz w:val="24"/>
        </w:rPr>
        <w:lastRenderedPageBreak/>
        <w:t>Los resultados del proyecto se lograrían en 2 etapas, donde se contemplaba una planificación medioambiental participativa</w:t>
      </w:r>
      <w:r w:rsidR="00FA2179">
        <w:rPr>
          <w:sz w:val="24"/>
        </w:rPr>
        <w:t xml:space="preserve"> en que </w:t>
      </w:r>
      <w:r>
        <w:rPr>
          <w:sz w:val="24"/>
        </w:rPr>
        <w:t>los actores relevantes serían convocados a talleres de trabajo</w:t>
      </w:r>
      <w:r w:rsidR="00A312F9">
        <w:rPr>
          <w:sz w:val="24"/>
        </w:rPr>
        <w:t>;</w:t>
      </w:r>
      <w:r>
        <w:rPr>
          <w:sz w:val="24"/>
        </w:rPr>
        <w:t xml:space="preserve"> los estudios técnicos y los insumos proporcionados por los actores claves, definirían una planificación y formulación de políticas estratégicas de largo plazo y cambios institucionales asociados. </w:t>
      </w:r>
    </w:p>
    <w:p w:rsidR="0050459A" w:rsidRDefault="0050459A" w:rsidP="00E309D9">
      <w:pPr>
        <w:pStyle w:val="ListParagraph"/>
        <w:numPr>
          <w:ilvl w:val="0"/>
          <w:numId w:val="5"/>
        </w:numPr>
        <w:ind w:left="567" w:hanging="567"/>
        <w:jc w:val="both"/>
        <w:rPr>
          <w:sz w:val="24"/>
        </w:rPr>
      </w:pPr>
      <w:r>
        <w:rPr>
          <w:sz w:val="24"/>
        </w:rPr>
        <w:t>Los beneficios del plan verde serían difundidos a través de campañas de sensibilización a nivel federal, estatal y municipal.</w:t>
      </w:r>
    </w:p>
    <w:p w:rsidR="0050459A" w:rsidRPr="009A2F63" w:rsidRDefault="0050459A" w:rsidP="00E309D9">
      <w:pPr>
        <w:pStyle w:val="ListParagraph"/>
        <w:numPr>
          <w:ilvl w:val="0"/>
          <w:numId w:val="5"/>
        </w:numPr>
        <w:ind w:left="567" w:hanging="567"/>
        <w:jc w:val="both"/>
        <w:rPr>
          <w:sz w:val="24"/>
        </w:rPr>
      </w:pPr>
      <w:r>
        <w:rPr>
          <w:sz w:val="24"/>
        </w:rPr>
        <w:t>Finalmente, el proyecto establecería un sistema de evaluación y monitoreo para el Plan Verde.</w:t>
      </w:r>
    </w:p>
    <w:p w:rsidR="009A2F63" w:rsidRDefault="009A2F63" w:rsidP="00E309D9">
      <w:pPr>
        <w:pStyle w:val="ListParagraph"/>
        <w:numPr>
          <w:ilvl w:val="0"/>
          <w:numId w:val="5"/>
        </w:numPr>
        <w:ind w:left="567" w:hanging="567"/>
        <w:jc w:val="both"/>
        <w:rPr>
          <w:sz w:val="24"/>
        </w:rPr>
      </w:pPr>
      <w:r w:rsidRPr="009A2F63">
        <w:rPr>
          <w:sz w:val="24"/>
        </w:rPr>
        <w:t>El Indicador para evaluar el éxito del proyecto era: un sistema de planificación, monitoreo y evaluación en operación, que considere un sello de desarrollo sustentable de indicadores de política.</w:t>
      </w:r>
      <w:r w:rsidR="005C6A4B">
        <w:rPr>
          <w:sz w:val="24"/>
        </w:rPr>
        <w:t xml:space="preserve"> El Cuadro Nº3</w:t>
      </w:r>
      <w:r w:rsidR="00434CD0">
        <w:rPr>
          <w:sz w:val="24"/>
        </w:rPr>
        <w:t xml:space="preserve"> muestra con más detalle los resultados y objetivos </w:t>
      </w:r>
      <w:r w:rsidR="00821FB9">
        <w:rPr>
          <w:sz w:val="24"/>
        </w:rPr>
        <w:t xml:space="preserve">originales </w:t>
      </w:r>
      <w:r w:rsidR="00434CD0">
        <w:rPr>
          <w:sz w:val="24"/>
        </w:rPr>
        <w:t>del proyecto.</w:t>
      </w:r>
    </w:p>
    <w:p w:rsidR="002C5541" w:rsidRDefault="009A2F63" w:rsidP="00E309D9">
      <w:pPr>
        <w:pStyle w:val="ListParagraph"/>
        <w:numPr>
          <w:ilvl w:val="0"/>
          <w:numId w:val="5"/>
        </w:numPr>
        <w:ind w:left="567" w:hanging="567"/>
        <w:jc w:val="both"/>
        <w:rPr>
          <w:sz w:val="24"/>
        </w:rPr>
      </w:pPr>
      <w:r w:rsidRPr="009A2F63">
        <w:rPr>
          <w:sz w:val="24"/>
        </w:rPr>
        <w:t xml:space="preserve">Inicialmente, el proyecto tenía una duración de solo un año, pero fue extendido a medida que se fueron detectando nuevas necesidades por parte del gobierno mexicano. </w:t>
      </w:r>
      <w:r w:rsidR="00557F47">
        <w:rPr>
          <w:sz w:val="24"/>
        </w:rPr>
        <w:t xml:space="preserve">En Julio del año 2003, los integrantes del </w:t>
      </w:r>
      <w:r w:rsidR="00821FB9">
        <w:rPr>
          <w:sz w:val="24"/>
        </w:rPr>
        <w:t>Comité de Dirección del Proyecto (</w:t>
      </w:r>
      <w:r w:rsidR="00557F47">
        <w:rPr>
          <w:sz w:val="24"/>
        </w:rPr>
        <w:t>CDP</w:t>
      </w:r>
      <w:r w:rsidR="00821FB9">
        <w:rPr>
          <w:sz w:val="24"/>
        </w:rPr>
        <w:t>)</w:t>
      </w:r>
      <w:r w:rsidR="00557F47">
        <w:rPr>
          <w:sz w:val="24"/>
        </w:rPr>
        <w:t xml:space="preserve"> realizaron una revisión de los resultados </w:t>
      </w:r>
      <w:r w:rsidR="00821FB9">
        <w:rPr>
          <w:sz w:val="24"/>
        </w:rPr>
        <w:t xml:space="preserve">obtenidos hasta ese momento </w:t>
      </w:r>
      <w:r w:rsidR="00557F47">
        <w:rPr>
          <w:sz w:val="24"/>
        </w:rPr>
        <w:t>y acordaron ajustar los objetivos y resultados del proyecto a la realidad de</w:t>
      </w:r>
      <w:r w:rsidR="002C5541">
        <w:rPr>
          <w:sz w:val="24"/>
        </w:rPr>
        <w:t>l gobierno mexicano y a las necesidades que presentaba el nuevo Plan Nacional de Desarrollo (PND)</w:t>
      </w:r>
      <w:r w:rsidR="005C6A4B">
        <w:rPr>
          <w:sz w:val="24"/>
        </w:rPr>
        <w:t>,</w:t>
      </w:r>
      <w:r w:rsidR="002C5541">
        <w:rPr>
          <w:sz w:val="24"/>
        </w:rPr>
        <w:t xml:space="preserve"> que </w:t>
      </w:r>
      <w:r w:rsidR="005C6A4B">
        <w:rPr>
          <w:sz w:val="24"/>
        </w:rPr>
        <w:t xml:space="preserve">ya </w:t>
      </w:r>
      <w:r w:rsidR="002C5541">
        <w:rPr>
          <w:sz w:val="24"/>
        </w:rPr>
        <w:t>se había formulado para el período 2000-2006.</w:t>
      </w:r>
    </w:p>
    <w:p w:rsidR="00146932" w:rsidRDefault="00B60880" w:rsidP="00E309D9">
      <w:pPr>
        <w:pStyle w:val="ListParagraph"/>
        <w:numPr>
          <w:ilvl w:val="0"/>
          <w:numId w:val="5"/>
        </w:numPr>
        <w:ind w:left="567" w:hanging="567"/>
        <w:jc w:val="both"/>
        <w:rPr>
          <w:sz w:val="24"/>
        </w:rPr>
      </w:pPr>
      <w:r>
        <w:rPr>
          <w:sz w:val="24"/>
        </w:rPr>
        <w:t>L</w:t>
      </w:r>
      <w:r w:rsidR="009A2F63" w:rsidRPr="009A2F63">
        <w:rPr>
          <w:sz w:val="24"/>
        </w:rPr>
        <w:t xml:space="preserve">a documentación entregada por PNUD a los evaluadores, muestra que se elaboraron </w:t>
      </w:r>
      <w:r w:rsidR="009A2F63">
        <w:rPr>
          <w:sz w:val="24"/>
        </w:rPr>
        <w:t xml:space="preserve">11 </w:t>
      </w:r>
      <w:r w:rsidR="009A2F63" w:rsidRPr="009A2F63">
        <w:rPr>
          <w:sz w:val="24"/>
        </w:rPr>
        <w:t xml:space="preserve">productos diferentes en el marco del proyecto, consistentes principalmente en estudios que serían insumos para el desarrollo de la planificación de políticas </w:t>
      </w:r>
      <w:r w:rsidR="005C6A4B">
        <w:rPr>
          <w:sz w:val="24"/>
        </w:rPr>
        <w:t>de largo plazo del gobierno</w:t>
      </w:r>
      <w:r w:rsidR="009A2F63" w:rsidRPr="009A2F63">
        <w:rPr>
          <w:sz w:val="24"/>
        </w:rPr>
        <w:t>.</w:t>
      </w:r>
      <w:r w:rsidR="00146932" w:rsidRPr="00146932">
        <w:rPr>
          <w:sz w:val="24"/>
        </w:rPr>
        <w:t xml:space="preserve"> </w:t>
      </w:r>
    </w:p>
    <w:p w:rsidR="00B10115" w:rsidRDefault="00FB4848" w:rsidP="00BC2B85">
      <w:pPr>
        <w:pStyle w:val="ListParagraph"/>
        <w:numPr>
          <w:ilvl w:val="0"/>
          <w:numId w:val="5"/>
        </w:numPr>
        <w:ind w:left="567" w:hanging="567"/>
        <w:jc w:val="both"/>
        <w:rPr>
          <w:sz w:val="24"/>
        </w:rPr>
      </w:pPr>
      <w:r w:rsidRPr="00B10115">
        <w:rPr>
          <w:sz w:val="24"/>
        </w:rPr>
        <w:t>Como primer comentario desde el punto de vista conceptual, este proyecto no tiene relación con la naturaleza de una ayuda de “emergencia” o de “corto plazo” de solamente un año de duración, con los objetivos declarados y resultados del proyecto. En este aspecto, los resultados a obtener y los objetivos declarados, se encuentran en línea con resultados de mediano y largo plazo, como por ejemplo, la creación de unidades ambientales en las distintas secretarías involucra un esfuerzo mayor por parte de las instituciones</w:t>
      </w:r>
      <w:r w:rsidR="00B60880">
        <w:rPr>
          <w:sz w:val="24"/>
        </w:rPr>
        <w:t>, donde se deben reformular presupuestos para incorporar unidades ambientales permanente</w:t>
      </w:r>
      <w:r w:rsidR="00746812">
        <w:rPr>
          <w:sz w:val="24"/>
        </w:rPr>
        <w:t>s</w:t>
      </w:r>
      <w:r w:rsidR="00B60880">
        <w:rPr>
          <w:sz w:val="24"/>
        </w:rPr>
        <w:t>, situación que debía ser refrendada por el Secretaría de Hacienda</w:t>
      </w:r>
      <w:r w:rsidR="00821FB9">
        <w:rPr>
          <w:sz w:val="24"/>
        </w:rPr>
        <w:t xml:space="preserve"> y Crédito Público (SHCP)</w:t>
      </w:r>
      <w:r w:rsidR="00B60880">
        <w:rPr>
          <w:sz w:val="24"/>
        </w:rPr>
        <w:t>, la que finalmente no dio los recursos necesarios para este tipo de estructura</w:t>
      </w:r>
      <w:r w:rsidRPr="00B10115">
        <w:rPr>
          <w:sz w:val="24"/>
        </w:rPr>
        <w:t>. De forma similar, la obtención de un Plan Verde de largo plazo, también involucra un esfuerzo de varios años y además</w:t>
      </w:r>
      <w:r w:rsidR="00B60880">
        <w:rPr>
          <w:sz w:val="24"/>
        </w:rPr>
        <w:t>,</w:t>
      </w:r>
      <w:r w:rsidRPr="00B10115">
        <w:rPr>
          <w:sz w:val="24"/>
        </w:rPr>
        <w:t xml:space="preserve"> habría que tomar en cuenta que en el país existe una Ley de Planeación que obliga a los gobiernos y a los ministerios sectoriales a planificar en sexenios y a elaborar presupuestos de forma anual. </w:t>
      </w:r>
      <w:r w:rsidR="00B60880">
        <w:rPr>
          <w:sz w:val="24"/>
        </w:rPr>
        <w:t xml:space="preserve">La elaboración de una estrategia </w:t>
      </w:r>
      <w:r w:rsidR="00B60880">
        <w:rPr>
          <w:sz w:val="24"/>
        </w:rPr>
        <w:lastRenderedPageBreak/>
        <w:t xml:space="preserve">participativa que involucre a actores a todo nivel del país (federal, estatal y municipal), </w:t>
      </w:r>
      <w:r w:rsidR="005C6A4B">
        <w:rPr>
          <w:sz w:val="24"/>
        </w:rPr>
        <w:t xml:space="preserve">también </w:t>
      </w:r>
      <w:r w:rsidR="00B60880">
        <w:rPr>
          <w:sz w:val="24"/>
        </w:rPr>
        <w:t xml:space="preserve">significa un esfuerzo de varios años, ya que la </w:t>
      </w:r>
      <w:r w:rsidR="00821FB9">
        <w:rPr>
          <w:sz w:val="24"/>
        </w:rPr>
        <w:t>L</w:t>
      </w:r>
      <w:r w:rsidR="00B60880">
        <w:rPr>
          <w:sz w:val="24"/>
        </w:rPr>
        <w:t xml:space="preserve">ey </w:t>
      </w:r>
      <w:r w:rsidR="00821FB9">
        <w:rPr>
          <w:sz w:val="24"/>
        </w:rPr>
        <w:t xml:space="preserve">de Planeación </w:t>
      </w:r>
      <w:r w:rsidR="00B60880" w:rsidRPr="00396816">
        <w:rPr>
          <w:strike/>
          <w:sz w:val="24"/>
        </w:rPr>
        <w:t>no</w:t>
      </w:r>
      <w:r w:rsidR="00B60880">
        <w:rPr>
          <w:sz w:val="24"/>
        </w:rPr>
        <w:t xml:space="preserve"> obliga a los estados y municipios a </w:t>
      </w:r>
      <w:r w:rsidR="00821FB9">
        <w:rPr>
          <w:sz w:val="24"/>
        </w:rPr>
        <w:t xml:space="preserve">coordinar sus propios planes estatales de desarrollo con el Plan Nacional y con </w:t>
      </w:r>
      <w:r w:rsidR="00B60880">
        <w:rPr>
          <w:sz w:val="24"/>
        </w:rPr>
        <w:t xml:space="preserve">los </w:t>
      </w:r>
      <w:r w:rsidR="00821FB9">
        <w:rPr>
          <w:sz w:val="24"/>
        </w:rPr>
        <w:t xml:space="preserve">respectivos </w:t>
      </w:r>
      <w:r w:rsidR="00B60880">
        <w:rPr>
          <w:sz w:val="24"/>
        </w:rPr>
        <w:t>programas federales</w:t>
      </w:r>
      <w:r w:rsidR="00821FB9">
        <w:rPr>
          <w:sz w:val="24"/>
        </w:rPr>
        <w:t xml:space="preserve"> en el marco de Pacto </w:t>
      </w:r>
      <w:proofErr w:type="spellStart"/>
      <w:r w:rsidR="00821FB9">
        <w:rPr>
          <w:sz w:val="24"/>
        </w:rPr>
        <w:t>Federal.Por</w:t>
      </w:r>
      <w:proofErr w:type="spellEnd"/>
      <w:r w:rsidR="00821FB9">
        <w:rPr>
          <w:sz w:val="24"/>
        </w:rPr>
        <w:t xml:space="preserve"> otra parte</w:t>
      </w:r>
      <w:r w:rsidR="00B60880">
        <w:rPr>
          <w:sz w:val="24"/>
        </w:rPr>
        <w:t xml:space="preserve">, los </w:t>
      </w:r>
      <w:r w:rsidR="00821FB9">
        <w:rPr>
          <w:sz w:val="24"/>
        </w:rPr>
        <w:t xml:space="preserve">Planes y programas </w:t>
      </w:r>
      <w:r w:rsidR="00B60880">
        <w:rPr>
          <w:sz w:val="24"/>
        </w:rPr>
        <w:t>son s</w:t>
      </w:r>
      <w:r w:rsidR="00821FB9">
        <w:rPr>
          <w:sz w:val="24"/>
        </w:rPr>
        <w:t>ó</w:t>
      </w:r>
      <w:r w:rsidR="00B60880">
        <w:rPr>
          <w:sz w:val="24"/>
        </w:rPr>
        <w:t xml:space="preserve">lo indicativos para </w:t>
      </w:r>
      <w:r w:rsidR="00821FB9">
        <w:rPr>
          <w:sz w:val="24"/>
        </w:rPr>
        <w:t xml:space="preserve">los </w:t>
      </w:r>
      <w:r w:rsidR="00B60880">
        <w:rPr>
          <w:sz w:val="24"/>
        </w:rPr>
        <w:t>actores</w:t>
      </w:r>
      <w:r w:rsidR="00821FB9">
        <w:rPr>
          <w:sz w:val="24"/>
        </w:rPr>
        <w:t xml:space="preserve"> del sector privado y social</w:t>
      </w:r>
      <w:r w:rsidR="00B60880">
        <w:rPr>
          <w:sz w:val="24"/>
        </w:rPr>
        <w:t>. Por otro lado, si esta estrategia no se incorpora a la Ley de Planeación, tampoco sería obligatoria para el gobierno federal.</w:t>
      </w:r>
    </w:p>
    <w:p w:rsidR="00B10115" w:rsidRDefault="00FB4848" w:rsidP="00E309D9">
      <w:pPr>
        <w:pStyle w:val="ListParagraph"/>
        <w:numPr>
          <w:ilvl w:val="0"/>
          <w:numId w:val="5"/>
        </w:numPr>
        <w:ind w:left="567" w:hanging="567"/>
        <w:jc w:val="both"/>
        <w:rPr>
          <w:sz w:val="24"/>
        </w:rPr>
      </w:pPr>
      <w:r w:rsidRPr="00B10115">
        <w:rPr>
          <w:sz w:val="24"/>
        </w:rPr>
        <w:t xml:space="preserve">Aunque el objetivo de desarrollo de largo plazo del proyecto es atingente a la situación actual y pasada del sector ambiental, choca con la realidad legal y operativa del país comentada en el párrafo anterior, situaciones que </w:t>
      </w:r>
      <w:r w:rsidR="00434CD0" w:rsidRPr="00B10115">
        <w:rPr>
          <w:sz w:val="24"/>
        </w:rPr>
        <w:t xml:space="preserve">le </w:t>
      </w:r>
      <w:r w:rsidRPr="00B10115">
        <w:rPr>
          <w:sz w:val="24"/>
        </w:rPr>
        <w:t>restaron</w:t>
      </w:r>
      <w:r w:rsidR="00B10115">
        <w:rPr>
          <w:sz w:val="24"/>
        </w:rPr>
        <w:t xml:space="preserve"> desde un</w:t>
      </w:r>
      <w:r w:rsidRPr="00B10115">
        <w:rPr>
          <w:sz w:val="24"/>
        </w:rPr>
        <w:t xml:space="preserve"> comienzo</w:t>
      </w:r>
      <w:r w:rsidR="00434CD0" w:rsidRPr="00B10115">
        <w:rPr>
          <w:sz w:val="24"/>
        </w:rPr>
        <w:t xml:space="preserve">, </w:t>
      </w:r>
      <w:r w:rsidRPr="00B10115">
        <w:rPr>
          <w:sz w:val="24"/>
        </w:rPr>
        <w:t>posibilidades de éxito para esta iniciativa de corto plazo.</w:t>
      </w:r>
    </w:p>
    <w:p w:rsidR="00B60880" w:rsidRDefault="00B60880" w:rsidP="00E309D9">
      <w:pPr>
        <w:pStyle w:val="ListParagraph"/>
        <w:numPr>
          <w:ilvl w:val="0"/>
          <w:numId w:val="5"/>
        </w:numPr>
        <w:ind w:left="567" w:hanging="567"/>
        <w:jc w:val="both"/>
        <w:rPr>
          <w:sz w:val="24"/>
        </w:rPr>
      </w:pPr>
      <w:r>
        <w:rPr>
          <w:sz w:val="24"/>
        </w:rPr>
        <w:t xml:space="preserve">Como en otros proyectos vistos con anterioridad por los consultores, en el diseño del presente proyecto no se consideran los tiempos necesarios para que el GEF apruebe el proyecto, así como tampoco los tiempos administrativos de PNUD para formalizar la cooperación con el país ni tampoco los tiempos institucionales de  para aprobar esta iniciativa. Esta situación es muy contraproducente para una ayuda de corto plazo y muy focalizada en una coyuntura por la que atravesaba el </w:t>
      </w:r>
      <w:r w:rsidR="009E0B61">
        <w:rPr>
          <w:sz w:val="24"/>
        </w:rPr>
        <w:t>E</w:t>
      </w:r>
      <w:r>
        <w:rPr>
          <w:sz w:val="24"/>
        </w:rPr>
        <w:t xml:space="preserve">stado </w:t>
      </w:r>
      <w:r w:rsidR="009E0B61">
        <w:rPr>
          <w:sz w:val="24"/>
        </w:rPr>
        <w:t>M</w:t>
      </w:r>
      <w:r>
        <w:rPr>
          <w:sz w:val="24"/>
        </w:rPr>
        <w:t>exicano.</w:t>
      </w:r>
    </w:p>
    <w:p w:rsidR="00746812" w:rsidRDefault="00746812" w:rsidP="00E309D9">
      <w:pPr>
        <w:pStyle w:val="ListParagraph"/>
        <w:numPr>
          <w:ilvl w:val="0"/>
          <w:numId w:val="5"/>
        </w:numPr>
        <w:ind w:left="567" w:hanging="567"/>
        <w:jc w:val="both"/>
        <w:rPr>
          <w:sz w:val="24"/>
        </w:rPr>
      </w:pPr>
      <w:r>
        <w:rPr>
          <w:sz w:val="24"/>
        </w:rPr>
        <w:t>Por lo tanto, conceptualmente, este es un proyecto equivocado desde su concepción, debido a que los resultados esperados son atingentes para el mediano y largo plazo, no para un apoyo de carácter de emergencia y de muy corto plazo.</w:t>
      </w:r>
    </w:p>
    <w:p w:rsidR="00746812" w:rsidRDefault="00746812" w:rsidP="00E309D9">
      <w:pPr>
        <w:pStyle w:val="ListParagraph"/>
        <w:numPr>
          <w:ilvl w:val="0"/>
          <w:numId w:val="5"/>
        </w:numPr>
        <w:ind w:left="567" w:hanging="567"/>
        <w:jc w:val="both"/>
        <w:rPr>
          <w:sz w:val="24"/>
        </w:rPr>
      </w:pPr>
      <w:r>
        <w:rPr>
          <w:sz w:val="24"/>
        </w:rPr>
        <w:t xml:space="preserve">Esta concepción errónea del proyecto, sumado a la larga espera entre la solicitud y ejecución del proyecto, obligó a los actores del gobierno y PNUD, a cambiar su naturaleza, objetivos y productos, debido a la pérdida de vigencia de las actividades originales y la poca viabilidad de concreción de ellas. </w:t>
      </w:r>
    </w:p>
    <w:p w:rsidR="00C52819" w:rsidRDefault="00C52819" w:rsidP="00E309D9">
      <w:pPr>
        <w:pStyle w:val="ListParagraph"/>
        <w:numPr>
          <w:ilvl w:val="0"/>
          <w:numId w:val="5"/>
        </w:numPr>
        <w:ind w:left="567" w:hanging="567"/>
        <w:jc w:val="both"/>
        <w:rPr>
          <w:sz w:val="24"/>
        </w:rPr>
      </w:pPr>
      <w:r>
        <w:rPr>
          <w:sz w:val="24"/>
        </w:rPr>
        <w:t>Respecto a la</w:t>
      </w:r>
      <w:r w:rsidR="00F20838">
        <w:rPr>
          <w:sz w:val="24"/>
        </w:rPr>
        <w:t xml:space="preserve"> modalidad </w:t>
      </w:r>
      <w:r>
        <w:rPr>
          <w:sz w:val="24"/>
        </w:rPr>
        <w:t xml:space="preserve">de aprobación, </w:t>
      </w:r>
      <w:r w:rsidR="00725815">
        <w:rPr>
          <w:sz w:val="24"/>
        </w:rPr>
        <w:t xml:space="preserve">en el </w:t>
      </w:r>
      <w:proofErr w:type="spellStart"/>
      <w:r w:rsidR="00725815">
        <w:rPr>
          <w:sz w:val="24"/>
        </w:rPr>
        <w:t>prodoc</w:t>
      </w:r>
      <w:proofErr w:type="spellEnd"/>
      <w:r w:rsidR="00725815">
        <w:rPr>
          <w:sz w:val="24"/>
        </w:rPr>
        <w:t xml:space="preserve"> </w:t>
      </w:r>
      <w:r>
        <w:rPr>
          <w:sz w:val="24"/>
        </w:rPr>
        <w:t xml:space="preserve">no se observan los comentarios de los miembros del Consejo del GEF respecto a lo planteado en el proyecto. Esta revisión, consistente normalmente en una tabla con comentarios que son respondidos por los gobiernos y que forman parte del proyecto, hubiera sido muy importante tenerla, ya que a la fecha no se </w:t>
      </w:r>
      <w:r w:rsidR="009E0B61">
        <w:rPr>
          <w:sz w:val="24"/>
        </w:rPr>
        <w:t xml:space="preserve">conoce </w:t>
      </w:r>
      <w:r>
        <w:rPr>
          <w:sz w:val="24"/>
        </w:rPr>
        <w:t>la argumentación que tuvo el GEF para aprobar este tipo de ayuda de corto plazo.</w:t>
      </w:r>
    </w:p>
    <w:p w:rsidR="00434CD0" w:rsidRDefault="00434CD0" w:rsidP="00084801">
      <w:pPr>
        <w:pStyle w:val="ListParagraph"/>
        <w:ind w:left="567"/>
        <w:jc w:val="both"/>
        <w:rPr>
          <w:sz w:val="24"/>
        </w:rPr>
      </w:pPr>
    </w:p>
    <w:p w:rsidR="00C52819" w:rsidRDefault="00C52819" w:rsidP="00084801">
      <w:pPr>
        <w:pStyle w:val="ListParagraph"/>
        <w:ind w:left="567"/>
        <w:jc w:val="both"/>
        <w:rPr>
          <w:sz w:val="24"/>
        </w:rPr>
        <w:sectPr w:rsidR="00C52819" w:rsidSect="00B4041F">
          <w:pgSz w:w="12240" w:h="15840" w:code="1"/>
          <w:pgMar w:top="1417" w:right="1701" w:bottom="1417" w:left="1701" w:header="708" w:footer="708" w:gutter="0"/>
          <w:cols w:space="708"/>
          <w:docGrid w:linePitch="360"/>
        </w:sectPr>
      </w:pPr>
    </w:p>
    <w:p w:rsidR="00084801" w:rsidRPr="00084801" w:rsidRDefault="005C6A4B" w:rsidP="00084801">
      <w:pPr>
        <w:spacing w:after="0" w:line="240" w:lineRule="auto"/>
        <w:jc w:val="both"/>
        <w:rPr>
          <w:i/>
        </w:rPr>
      </w:pPr>
      <w:r>
        <w:rPr>
          <w:i/>
        </w:rPr>
        <w:lastRenderedPageBreak/>
        <w:t>Cuadro Nº3</w:t>
      </w:r>
      <w:r w:rsidR="00084801" w:rsidRPr="00084801">
        <w:rPr>
          <w:i/>
        </w:rPr>
        <w:t>: Resultados y productos esperados del proyecto</w:t>
      </w:r>
      <w:r w:rsidR="008A0FD4">
        <w:rPr>
          <w:i/>
        </w:rPr>
        <w:t xml:space="preserve">, de acuerdo a la versión en inglés del </w:t>
      </w:r>
      <w:proofErr w:type="spellStart"/>
      <w:r w:rsidR="008A0FD4">
        <w:rPr>
          <w:i/>
        </w:rPr>
        <w:t>prodoc</w:t>
      </w:r>
      <w:proofErr w:type="spellEnd"/>
      <w:r w:rsidR="00BE6079">
        <w:rPr>
          <w:i/>
        </w:rPr>
        <w:t>.</w:t>
      </w:r>
    </w:p>
    <w:tbl>
      <w:tblPr>
        <w:tblStyle w:val="MediumShading2-Accent3"/>
        <w:tblW w:w="12724" w:type="dxa"/>
        <w:tblLayout w:type="fixed"/>
        <w:tblLook w:val="04A0"/>
      </w:tblPr>
      <w:tblGrid>
        <w:gridCol w:w="534"/>
        <w:gridCol w:w="5386"/>
        <w:gridCol w:w="6804"/>
      </w:tblGrid>
      <w:tr w:rsidR="00084801" w:rsidRPr="00374615" w:rsidTr="00084801">
        <w:trPr>
          <w:cnfStyle w:val="100000000000"/>
        </w:trPr>
        <w:tc>
          <w:tcPr>
            <w:cnfStyle w:val="001000000100"/>
            <w:tcW w:w="534" w:type="dxa"/>
            <w:vAlign w:val="center"/>
          </w:tcPr>
          <w:p w:rsidR="00084801" w:rsidRPr="00374615" w:rsidRDefault="00084801" w:rsidP="00B52E90">
            <w:pPr>
              <w:jc w:val="center"/>
              <w:rPr>
                <w:b w:val="0"/>
                <w:i/>
                <w:sz w:val="20"/>
              </w:rPr>
            </w:pPr>
            <w:r w:rsidRPr="00374615">
              <w:rPr>
                <w:b w:val="0"/>
                <w:i/>
                <w:sz w:val="20"/>
              </w:rPr>
              <w:t>Nº</w:t>
            </w:r>
          </w:p>
        </w:tc>
        <w:tc>
          <w:tcPr>
            <w:tcW w:w="5386" w:type="dxa"/>
            <w:vAlign w:val="center"/>
          </w:tcPr>
          <w:p w:rsidR="00084801" w:rsidRPr="00374615" w:rsidRDefault="00084801" w:rsidP="00B52E90">
            <w:pPr>
              <w:jc w:val="center"/>
              <w:cnfStyle w:val="100000000000"/>
              <w:rPr>
                <w:b w:val="0"/>
                <w:i/>
                <w:sz w:val="20"/>
              </w:rPr>
            </w:pPr>
            <w:r w:rsidRPr="00374615">
              <w:rPr>
                <w:b w:val="0"/>
                <w:i/>
                <w:sz w:val="20"/>
              </w:rPr>
              <w:t>Resultado</w:t>
            </w:r>
          </w:p>
        </w:tc>
        <w:tc>
          <w:tcPr>
            <w:tcW w:w="6804" w:type="dxa"/>
            <w:vAlign w:val="center"/>
          </w:tcPr>
          <w:p w:rsidR="00084801" w:rsidRPr="00374615" w:rsidRDefault="000E7917" w:rsidP="00BC2B85">
            <w:pPr>
              <w:jc w:val="center"/>
              <w:cnfStyle w:val="100000000000"/>
              <w:rPr>
                <w:b w:val="0"/>
                <w:bCs w:val="0"/>
                <w:i/>
                <w:color w:val="auto"/>
                <w:sz w:val="20"/>
              </w:rPr>
            </w:pPr>
            <w:r>
              <w:rPr>
                <w:b w:val="0"/>
                <w:i/>
                <w:sz w:val="20"/>
              </w:rPr>
              <w:t xml:space="preserve">Actividades </w:t>
            </w:r>
            <w:r w:rsidR="00084801" w:rsidRPr="00374615">
              <w:rPr>
                <w:b w:val="0"/>
                <w:i/>
                <w:sz w:val="20"/>
              </w:rPr>
              <w:t xml:space="preserve"> Asociados</w:t>
            </w:r>
          </w:p>
        </w:tc>
      </w:tr>
      <w:tr w:rsidR="00084801" w:rsidRPr="00374615" w:rsidTr="00084801">
        <w:trPr>
          <w:cnfStyle w:val="000000100000"/>
        </w:trPr>
        <w:tc>
          <w:tcPr>
            <w:cnfStyle w:val="001000000000"/>
            <w:tcW w:w="534" w:type="dxa"/>
            <w:vAlign w:val="center"/>
          </w:tcPr>
          <w:p w:rsidR="00084801" w:rsidRPr="00374615" w:rsidRDefault="00084801" w:rsidP="00B52E90">
            <w:pPr>
              <w:jc w:val="center"/>
              <w:rPr>
                <w:sz w:val="20"/>
              </w:rPr>
            </w:pPr>
            <w:r w:rsidRPr="00374615">
              <w:rPr>
                <w:sz w:val="20"/>
              </w:rPr>
              <w:t>1</w:t>
            </w:r>
          </w:p>
        </w:tc>
        <w:tc>
          <w:tcPr>
            <w:tcW w:w="5386" w:type="dxa"/>
            <w:vAlign w:val="center"/>
          </w:tcPr>
          <w:p w:rsidR="00084801" w:rsidRPr="00374615" w:rsidRDefault="00C10896" w:rsidP="004D7FB3">
            <w:pPr>
              <w:jc w:val="both"/>
              <w:cnfStyle w:val="000000100000"/>
              <w:rPr>
                <w:sz w:val="20"/>
              </w:rPr>
            </w:pPr>
            <w:r>
              <w:rPr>
                <w:sz w:val="20"/>
              </w:rPr>
              <w:t>Un</w:t>
            </w:r>
            <w:r w:rsidR="000E7917">
              <w:rPr>
                <w:sz w:val="20"/>
              </w:rPr>
              <w:t xml:space="preserve">idades de Desarrollo Sustentable integradas y operando en las agencias de gobierno involucradas. </w:t>
            </w:r>
          </w:p>
        </w:tc>
        <w:tc>
          <w:tcPr>
            <w:tcW w:w="6804" w:type="dxa"/>
            <w:shd w:val="clear" w:color="auto" w:fill="D9D9D9" w:themeFill="background1" w:themeFillShade="D9"/>
            <w:vAlign w:val="center"/>
          </w:tcPr>
          <w:p w:rsidR="00C10896" w:rsidRDefault="000E7917" w:rsidP="00B52E90">
            <w:pPr>
              <w:pStyle w:val="ListParagraph"/>
              <w:numPr>
                <w:ilvl w:val="0"/>
                <w:numId w:val="6"/>
              </w:numPr>
              <w:ind w:left="317" w:hanging="284"/>
              <w:jc w:val="both"/>
              <w:cnfStyle w:val="000000100000"/>
              <w:rPr>
                <w:sz w:val="20"/>
              </w:rPr>
            </w:pPr>
            <w:r>
              <w:rPr>
                <w:sz w:val="20"/>
              </w:rPr>
              <w:t>Desarrollo de una agenda ambiental estratégica para el gobierno federal y evaluación para un período de 6 años de gobierno.</w:t>
            </w:r>
          </w:p>
          <w:p w:rsidR="00C10896" w:rsidRDefault="00C10896" w:rsidP="00B52E90">
            <w:pPr>
              <w:pStyle w:val="ListParagraph"/>
              <w:numPr>
                <w:ilvl w:val="0"/>
                <w:numId w:val="6"/>
              </w:numPr>
              <w:ind w:left="317" w:hanging="284"/>
              <w:jc w:val="both"/>
              <w:cnfStyle w:val="000000100000"/>
              <w:rPr>
                <w:sz w:val="20"/>
              </w:rPr>
            </w:pPr>
            <w:r>
              <w:rPr>
                <w:sz w:val="20"/>
              </w:rPr>
              <w:t xml:space="preserve">Creación de un grupo de planeación dentro </w:t>
            </w:r>
            <w:proofErr w:type="gramStart"/>
            <w:r>
              <w:rPr>
                <w:sz w:val="20"/>
              </w:rPr>
              <w:t>de .</w:t>
            </w:r>
            <w:proofErr w:type="gramEnd"/>
          </w:p>
          <w:p w:rsidR="00C10896" w:rsidRDefault="00C10896" w:rsidP="00B52E90">
            <w:pPr>
              <w:pStyle w:val="ListParagraph"/>
              <w:numPr>
                <w:ilvl w:val="0"/>
                <w:numId w:val="6"/>
              </w:numPr>
              <w:ind w:left="317" w:hanging="284"/>
              <w:jc w:val="both"/>
              <w:cnfStyle w:val="000000100000"/>
              <w:rPr>
                <w:sz w:val="20"/>
              </w:rPr>
            </w:pPr>
            <w:r>
              <w:rPr>
                <w:sz w:val="20"/>
              </w:rPr>
              <w:t>Identifica</w:t>
            </w:r>
            <w:r w:rsidR="00E97E36">
              <w:rPr>
                <w:sz w:val="20"/>
              </w:rPr>
              <w:t>ción</w:t>
            </w:r>
            <w:r>
              <w:rPr>
                <w:sz w:val="20"/>
              </w:rPr>
              <w:t xml:space="preserve"> y </w:t>
            </w:r>
            <w:r w:rsidR="00E97E36">
              <w:rPr>
                <w:sz w:val="20"/>
              </w:rPr>
              <w:t>aplicación de</w:t>
            </w:r>
            <w:r>
              <w:rPr>
                <w:sz w:val="20"/>
              </w:rPr>
              <w:t xml:space="preserve"> metodologías para la integración de paquetes ambientales sectoriales (SEP).</w:t>
            </w:r>
          </w:p>
          <w:p w:rsidR="00C10896" w:rsidRDefault="00C10896" w:rsidP="00B52E90">
            <w:pPr>
              <w:pStyle w:val="ListParagraph"/>
              <w:numPr>
                <w:ilvl w:val="0"/>
                <w:numId w:val="6"/>
              </w:numPr>
              <w:ind w:left="317" w:hanging="284"/>
              <w:jc w:val="both"/>
              <w:cnfStyle w:val="000000100000"/>
              <w:rPr>
                <w:sz w:val="20"/>
              </w:rPr>
            </w:pPr>
            <w:r>
              <w:rPr>
                <w:sz w:val="20"/>
              </w:rPr>
              <w:t>Realización de talleres consultivos a nivel federal, estatal, municipal y regional para la elaboración de propuestas específicas para la integración de los SEP.</w:t>
            </w:r>
          </w:p>
          <w:p w:rsidR="00C10896" w:rsidRDefault="00C10896" w:rsidP="00B52E90">
            <w:pPr>
              <w:pStyle w:val="ListParagraph"/>
              <w:numPr>
                <w:ilvl w:val="0"/>
                <w:numId w:val="6"/>
              </w:numPr>
              <w:ind w:left="317" w:hanging="284"/>
              <w:jc w:val="both"/>
              <w:cnfStyle w:val="000000100000"/>
              <w:rPr>
                <w:sz w:val="20"/>
              </w:rPr>
            </w:pPr>
            <w:r>
              <w:rPr>
                <w:sz w:val="20"/>
              </w:rPr>
              <w:t xml:space="preserve">Elaboración </w:t>
            </w:r>
            <w:r w:rsidR="00E97E36">
              <w:rPr>
                <w:sz w:val="20"/>
              </w:rPr>
              <w:t xml:space="preserve">de un </w:t>
            </w:r>
            <w:r>
              <w:rPr>
                <w:sz w:val="20"/>
              </w:rPr>
              <w:t>documento borrador para la integración de los SEP.</w:t>
            </w:r>
          </w:p>
          <w:p w:rsidR="00C10896" w:rsidRDefault="00C10896" w:rsidP="00B52E90">
            <w:pPr>
              <w:pStyle w:val="ListParagraph"/>
              <w:numPr>
                <w:ilvl w:val="0"/>
                <w:numId w:val="6"/>
              </w:numPr>
              <w:ind w:left="317" w:hanging="284"/>
              <w:jc w:val="both"/>
              <w:cnfStyle w:val="000000100000"/>
              <w:rPr>
                <w:sz w:val="20"/>
              </w:rPr>
            </w:pPr>
            <w:r>
              <w:rPr>
                <w:sz w:val="20"/>
              </w:rPr>
              <w:t>Establecimiento de un sistema de monitoreo y evaluación.</w:t>
            </w:r>
          </w:p>
          <w:p w:rsidR="00084801" w:rsidRPr="00397AED" w:rsidRDefault="00C10896" w:rsidP="00B52E90">
            <w:pPr>
              <w:pStyle w:val="ListParagraph"/>
              <w:numPr>
                <w:ilvl w:val="0"/>
                <w:numId w:val="6"/>
              </w:numPr>
              <w:ind w:left="317" w:hanging="284"/>
              <w:jc w:val="both"/>
              <w:cnfStyle w:val="000000100000"/>
              <w:rPr>
                <w:sz w:val="20"/>
              </w:rPr>
            </w:pPr>
            <w:r>
              <w:rPr>
                <w:sz w:val="20"/>
              </w:rPr>
              <w:t>Realización de campañas de sensibilización pública a nivel federal, estatal y municipal.</w:t>
            </w:r>
          </w:p>
        </w:tc>
      </w:tr>
      <w:tr w:rsidR="00084801" w:rsidRPr="00374615" w:rsidTr="00084801">
        <w:tc>
          <w:tcPr>
            <w:cnfStyle w:val="001000000000"/>
            <w:tcW w:w="534" w:type="dxa"/>
            <w:vAlign w:val="center"/>
          </w:tcPr>
          <w:p w:rsidR="00084801" w:rsidRPr="00374615" w:rsidRDefault="00084801" w:rsidP="00B52E90">
            <w:pPr>
              <w:jc w:val="center"/>
              <w:rPr>
                <w:sz w:val="20"/>
              </w:rPr>
            </w:pPr>
            <w:r w:rsidRPr="00374615">
              <w:rPr>
                <w:sz w:val="20"/>
              </w:rPr>
              <w:t>2</w:t>
            </w:r>
          </w:p>
        </w:tc>
        <w:tc>
          <w:tcPr>
            <w:tcW w:w="5386" w:type="dxa"/>
            <w:shd w:val="clear" w:color="auto" w:fill="auto"/>
            <w:vAlign w:val="center"/>
          </w:tcPr>
          <w:p w:rsidR="00084801" w:rsidRDefault="00C10896" w:rsidP="00BC2B85">
            <w:pPr>
              <w:jc w:val="both"/>
              <w:cnfStyle w:val="000000000000"/>
              <w:rPr>
                <w:sz w:val="20"/>
              </w:rPr>
            </w:pPr>
            <w:r>
              <w:rPr>
                <w:sz w:val="20"/>
              </w:rPr>
              <w:t>Un Marco Programático Financiero para proveer sinergias y actividades transversales entre GEF y otros donantes.</w:t>
            </w:r>
          </w:p>
          <w:p w:rsidR="00C10896" w:rsidRPr="00374615" w:rsidRDefault="00C10896" w:rsidP="00BC2B85">
            <w:pPr>
              <w:jc w:val="both"/>
              <w:cnfStyle w:val="000000000000"/>
              <w:rPr>
                <w:sz w:val="20"/>
              </w:rPr>
            </w:pPr>
          </w:p>
        </w:tc>
        <w:tc>
          <w:tcPr>
            <w:tcW w:w="6804" w:type="dxa"/>
            <w:shd w:val="clear" w:color="auto" w:fill="auto"/>
            <w:vAlign w:val="center"/>
          </w:tcPr>
          <w:p w:rsidR="00084801" w:rsidRDefault="00C10896" w:rsidP="00B52E90">
            <w:pPr>
              <w:pStyle w:val="ListParagraph"/>
              <w:numPr>
                <w:ilvl w:val="0"/>
                <w:numId w:val="6"/>
              </w:numPr>
              <w:ind w:left="317" w:hanging="284"/>
              <w:jc w:val="both"/>
              <w:cnfStyle w:val="000000000000"/>
              <w:rPr>
                <w:sz w:val="20"/>
              </w:rPr>
            </w:pPr>
            <w:r>
              <w:rPr>
                <w:sz w:val="20"/>
              </w:rPr>
              <w:t>Desarrollo y negociación de un portafolio de US$ 30 millones entre el gobierno mexicano y donantes, incluido el GEF. Esta cartera apoyará los beneficios ambientales globales dentro del contexto de planeación nacional de México.</w:t>
            </w:r>
          </w:p>
          <w:p w:rsidR="006E7FEC" w:rsidRDefault="006E7FEC" w:rsidP="00B52E90">
            <w:pPr>
              <w:pStyle w:val="ListParagraph"/>
              <w:numPr>
                <w:ilvl w:val="0"/>
                <w:numId w:val="6"/>
              </w:numPr>
              <w:ind w:left="317" w:hanging="284"/>
              <w:jc w:val="both"/>
              <w:cnfStyle w:val="000000000000"/>
              <w:rPr>
                <w:sz w:val="20"/>
              </w:rPr>
            </w:pPr>
            <w:r>
              <w:rPr>
                <w:sz w:val="20"/>
              </w:rPr>
              <w:t>Evalua</w:t>
            </w:r>
            <w:r w:rsidR="00E97E36">
              <w:rPr>
                <w:sz w:val="20"/>
              </w:rPr>
              <w:t>ción de</w:t>
            </w:r>
            <w:r>
              <w:rPr>
                <w:sz w:val="20"/>
              </w:rPr>
              <w:t xml:space="preserve"> la información existente de los marcos programáticos.</w:t>
            </w:r>
          </w:p>
          <w:p w:rsidR="006E7FEC" w:rsidRDefault="006E7FEC" w:rsidP="00B52E90">
            <w:pPr>
              <w:pStyle w:val="ListParagraph"/>
              <w:numPr>
                <w:ilvl w:val="0"/>
                <w:numId w:val="6"/>
              </w:numPr>
              <w:ind w:left="317" w:hanging="284"/>
              <w:jc w:val="both"/>
              <w:cnfStyle w:val="000000000000"/>
              <w:rPr>
                <w:sz w:val="20"/>
              </w:rPr>
            </w:pPr>
            <w:r>
              <w:rPr>
                <w:sz w:val="20"/>
              </w:rPr>
              <w:t>Incorporación de Matriz de Marco Lógico, con estimaciones detalladas de costos.</w:t>
            </w:r>
          </w:p>
          <w:p w:rsidR="006E7FEC" w:rsidRDefault="006E7FEC" w:rsidP="00B52E90">
            <w:pPr>
              <w:pStyle w:val="ListParagraph"/>
              <w:numPr>
                <w:ilvl w:val="0"/>
                <w:numId w:val="6"/>
              </w:numPr>
              <w:ind w:left="317" w:hanging="284"/>
              <w:jc w:val="both"/>
              <w:cnfStyle w:val="000000000000"/>
              <w:rPr>
                <w:sz w:val="20"/>
              </w:rPr>
            </w:pPr>
            <w:r>
              <w:rPr>
                <w:sz w:val="20"/>
              </w:rPr>
              <w:t>Realización de consultas amplias sobre la estrategia y beneficios del marco programático financiero.</w:t>
            </w:r>
          </w:p>
          <w:p w:rsidR="006E7FEC" w:rsidRPr="00397AED" w:rsidRDefault="006E7FEC" w:rsidP="00B52E90">
            <w:pPr>
              <w:pStyle w:val="ListParagraph"/>
              <w:numPr>
                <w:ilvl w:val="0"/>
                <w:numId w:val="6"/>
              </w:numPr>
              <w:ind w:left="317" w:hanging="284"/>
              <w:jc w:val="both"/>
              <w:cnfStyle w:val="000000000000"/>
              <w:rPr>
                <w:sz w:val="20"/>
              </w:rPr>
            </w:pPr>
            <w:r>
              <w:rPr>
                <w:sz w:val="20"/>
              </w:rPr>
              <w:t xml:space="preserve">Elaboración de proyecto de marco programático financiero </w:t>
            </w:r>
          </w:p>
        </w:tc>
      </w:tr>
      <w:tr w:rsidR="00084801" w:rsidRPr="00374615" w:rsidTr="00084801">
        <w:trPr>
          <w:cnfStyle w:val="000000100000"/>
        </w:trPr>
        <w:tc>
          <w:tcPr>
            <w:cnfStyle w:val="001000000000"/>
            <w:tcW w:w="534" w:type="dxa"/>
            <w:vMerge w:val="restart"/>
            <w:vAlign w:val="center"/>
          </w:tcPr>
          <w:p w:rsidR="00084801" w:rsidRPr="00374615" w:rsidRDefault="00084801" w:rsidP="00B52E90">
            <w:pPr>
              <w:jc w:val="center"/>
              <w:rPr>
                <w:sz w:val="20"/>
              </w:rPr>
            </w:pPr>
            <w:r w:rsidRPr="00374615">
              <w:rPr>
                <w:sz w:val="20"/>
              </w:rPr>
              <w:t>3</w:t>
            </w:r>
          </w:p>
        </w:tc>
        <w:tc>
          <w:tcPr>
            <w:tcW w:w="5386" w:type="dxa"/>
            <w:vMerge w:val="restart"/>
            <w:shd w:val="clear" w:color="auto" w:fill="D9D9D9" w:themeFill="background1" w:themeFillShade="D9"/>
            <w:vAlign w:val="center"/>
          </w:tcPr>
          <w:p w:rsidR="00084801" w:rsidRPr="00374615" w:rsidRDefault="006E7FEC" w:rsidP="00B52E90">
            <w:pPr>
              <w:jc w:val="both"/>
              <w:cnfStyle w:val="000000100000"/>
              <w:rPr>
                <w:sz w:val="20"/>
              </w:rPr>
            </w:pPr>
            <w:r>
              <w:rPr>
                <w:sz w:val="20"/>
              </w:rPr>
              <w:t xml:space="preserve">Un Plan Verde nacional para 2001-2025,  integrado dentro de un plan de desarrollo de largo plazo </w:t>
            </w:r>
          </w:p>
        </w:tc>
        <w:tc>
          <w:tcPr>
            <w:tcW w:w="6804" w:type="dxa"/>
            <w:shd w:val="clear" w:color="auto" w:fill="D9D9D9" w:themeFill="background1" w:themeFillShade="D9"/>
            <w:vAlign w:val="center"/>
          </w:tcPr>
          <w:p w:rsidR="006E7FEC" w:rsidRDefault="006E7FEC" w:rsidP="00B52E90">
            <w:pPr>
              <w:pStyle w:val="ListParagraph"/>
              <w:numPr>
                <w:ilvl w:val="0"/>
                <w:numId w:val="6"/>
              </w:numPr>
              <w:ind w:left="317" w:hanging="284"/>
              <w:jc w:val="both"/>
              <w:cnfStyle w:val="000000100000"/>
              <w:rPr>
                <w:sz w:val="20"/>
              </w:rPr>
            </w:pPr>
            <w:r>
              <w:rPr>
                <w:sz w:val="20"/>
              </w:rPr>
              <w:t>Análisis e intercambio de experiencias internacionales en la elaboración de planes verdes.</w:t>
            </w:r>
          </w:p>
          <w:p w:rsidR="00084801" w:rsidRDefault="006E7FEC" w:rsidP="00B52E90">
            <w:pPr>
              <w:pStyle w:val="ListParagraph"/>
              <w:numPr>
                <w:ilvl w:val="0"/>
                <w:numId w:val="6"/>
              </w:numPr>
              <w:ind w:left="317" w:hanging="284"/>
              <w:jc w:val="both"/>
              <w:cnfStyle w:val="000000100000"/>
              <w:rPr>
                <w:sz w:val="20"/>
              </w:rPr>
            </w:pPr>
            <w:r>
              <w:rPr>
                <w:sz w:val="20"/>
              </w:rPr>
              <w:t>Establec</w:t>
            </w:r>
            <w:r w:rsidR="00E97E36">
              <w:rPr>
                <w:sz w:val="20"/>
              </w:rPr>
              <w:t xml:space="preserve">imiento de </w:t>
            </w:r>
            <w:r>
              <w:rPr>
                <w:sz w:val="20"/>
              </w:rPr>
              <w:t>la estrategia de  México para la elaboración del Plan Verde.</w:t>
            </w:r>
          </w:p>
          <w:p w:rsidR="006E7FEC" w:rsidRPr="00397AED" w:rsidRDefault="006E7FEC" w:rsidP="00E97E36">
            <w:pPr>
              <w:pStyle w:val="ListParagraph"/>
              <w:numPr>
                <w:ilvl w:val="0"/>
                <w:numId w:val="6"/>
              </w:numPr>
              <w:ind w:left="317" w:hanging="284"/>
              <w:jc w:val="both"/>
              <w:cnfStyle w:val="000000100000"/>
              <w:rPr>
                <w:sz w:val="20"/>
              </w:rPr>
            </w:pPr>
            <w:r>
              <w:rPr>
                <w:sz w:val="20"/>
              </w:rPr>
              <w:t>Realiza</w:t>
            </w:r>
            <w:r w:rsidR="00E97E36">
              <w:rPr>
                <w:sz w:val="20"/>
              </w:rPr>
              <w:t>ción de</w:t>
            </w:r>
            <w:r>
              <w:rPr>
                <w:sz w:val="20"/>
              </w:rPr>
              <w:t xml:space="preserve"> consultas amplias con los actores claves para buscar consensos y establecer los compromisos financieros y políticos para la elaboración del Plan Verde. </w:t>
            </w:r>
          </w:p>
        </w:tc>
      </w:tr>
      <w:tr w:rsidR="00084801" w:rsidRPr="00374615" w:rsidTr="00084801">
        <w:tc>
          <w:tcPr>
            <w:cnfStyle w:val="001000000000"/>
            <w:tcW w:w="534" w:type="dxa"/>
            <w:vMerge/>
            <w:vAlign w:val="center"/>
          </w:tcPr>
          <w:p w:rsidR="00084801" w:rsidRPr="00374615" w:rsidRDefault="00084801" w:rsidP="00B52E90">
            <w:pPr>
              <w:jc w:val="center"/>
              <w:rPr>
                <w:sz w:val="20"/>
              </w:rPr>
            </w:pPr>
          </w:p>
        </w:tc>
        <w:tc>
          <w:tcPr>
            <w:tcW w:w="5386" w:type="dxa"/>
            <w:vMerge/>
            <w:shd w:val="clear" w:color="auto" w:fill="D9D9D9" w:themeFill="background1" w:themeFillShade="D9"/>
            <w:vAlign w:val="center"/>
          </w:tcPr>
          <w:p w:rsidR="00084801" w:rsidRPr="00374615" w:rsidRDefault="00084801" w:rsidP="00B52E90">
            <w:pPr>
              <w:jc w:val="both"/>
              <w:cnfStyle w:val="000000000000"/>
              <w:rPr>
                <w:sz w:val="20"/>
              </w:rPr>
            </w:pPr>
          </w:p>
        </w:tc>
        <w:tc>
          <w:tcPr>
            <w:tcW w:w="6804" w:type="dxa"/>
            <w:shd w:val="clear" w:color="auto" w:fill="D9D9D9" w:themeFill="background1" w:themeFillShade="D9"/>
            <w:vAlign w:val="center"/>
          </w:tcPr>
          <w:p w:rsidR="006E7FEC" w:rsidRDefault="006E7FEC" w:rsidP="00B52E90">
            <w:pPr>
              <w:pStyle w:val="ListParagraph"/>
              <w:numPr>
                <w:ilvl w:val="0"/>
                <w:numId w:val="6"/>
              </w:numPr>
              <w:ind w:left="317" w:hanging="284"/>
              <w:jc w:val="both"/>
              <w:cnfStyle w:val="000000000000"/>
              <w:rPr>
                <w:sz w:val="20"/>
              </w:rPr>
            </w:pPr>
            <w:r>
              <w:rPr>
                <w:sz w:val="20"/>
              </w:rPr>
              <w:t>Realización de campañas de sensibilización</w:t>
            </w:r>
          </w:p>
          <w:p w:rsidR="006E7FEC" w:rsidRDefault="006E7FEC" w:rsidP="00B52E90">
            <w:pPr>
              <w:pStyle w:val="ListParagraph"/>
              <w:numPr>
                <w:ilvl w:val="0"/>
                <w:numId w:val="6"/>
              </w:numPr>
              <w:ind w:left="317" w:hanging="284"/>
              <w:jc w:val="both"/>
              <w:cnfStyle w:val="000000000000"/>
              <w:rPr>
                <w:sz w:val="20"/>
              </w:rPr>
            </w:pPr>
            <w:r>
              <w:rPr>
                <w:sz w:val="20"/>
              </w:rPr>
              <w:t>Establec</w:t>
            </w:r>
            <w:r w:rsidR="00E97E36">
              <w:rPr>
                <w:sz w:val="20"/>
              </w:rPr>
              <w:t>imiento de</w:t>
            </w:r>
            <w:r>
              <w:rPr>
                <w:sz w:val="20"/>
              </w:rPr>
              <w:t xml:space="preserve"> un sistema de evaluación y monitoreo del Plan Verde.</w:t>
            </w:r>
          </w:p>
          <w:p w:rsidR="00084801" w:rsidRPr="00397AED" w:rsidRDefault="006E7FEC" w:rsidP="00BC2B85">
            <w:pPr>
              <w:pStyle w:val="ListParagraph"/>
              <w:numPr>
                <w:ilvl w:val="0"/>
                <w:numId w:val="6"/>
              </w:numPr>
              <w:ind w:left="317" w:hanging="284"/>
              <w:jc w:val="both"/>
              <w:cnfStyle w:val="000000000000"/>
              <w:rPr>
                <w:sz w:val="20"/>
              </w:rPr>
            </w:pPr>
            <w:r>
              <w:rPr>
                <w:sz w:val="20"/>
              </w:rPr>
              <w:t xml:space="preserve">Aprobación y adhesión de México al Plan Verde. </w:t>
            </w:r>
          </w:p>
        </w:tc>
      </w:tr>
    </w:tbl>
    <w:p w:rsidR="00084801" w:rsidRDefault="00084801" w:rsidP="00084801">
      <w:pPr>
        <w:pStyle w:val="ListParagraph"/>
        <w:ind w:left="567"/>
        <w:jc w:val="both"/>
        <w:rPr>
          <w:sz w:val="24"/>
        </w:rPr>
        <w:sectPr w:rsidR="00084801" w:rsidSect="00B4041F">
          <w:pgSz w:w="15840" w:h="12240" w:orient="landscape" w:code="1"/>
          <w:pgMar w:top="1531" w:right="1418" w:bottom="1531" w:left="1418" w:header="709" w:footer="709" w:gutter="0"/>
          <w:cols w:space="708"/>
          <w:docGrid w:linePitch="360"/>
        </w:sectPr>
      </w:pPr>
    </w:p>
    <w:p w:rsidR="000F0B75" w:rsidRPr="000F0B75" w:rsidRDefault="000F0B75" w:rsidP="00BC2B85">
      <w:pPr>
        <w:pStyle w:val="ListParagraph"/>
        <w:numPr>
          <w:ilvl w:val="1"/>
          <w:numId w:val="8"/>
        </w:numPr>
        <w:ind w:left="567" w:hanging="567"/>
        <w:jc w:val="both"/>
        <w:rPr>
          <w:b/>
          <w:i/>
          <w:sz w:val="24"/>
          <w:u w:val="single"/>
        </w:rPr>
      </w:pPr>
      <w:r w:rsidRPr="000F0B75">
        <w:rPr>
          <w:b/>
          <w:i/>
          <w:sz w:val="24"/>
          <w:u w:val="single"/>
        </w:rPr>
        <w:lastRenderedPageBreak/>
        <w:t>Implementación del Proyecto</w:t>
      </w:r>
    </w:p>
    <w:p w:rsidR="00D970D8" w:rsidRPr="00D970D8" w:rsidRDefault="00D970D8" w:rsidP="00825E0D">
      <w:pPr>
        <w:shd w:val="clear" w:color="auto" w:fill="DDD9C3" w:themeFill="background2" w:themeFillShade="E6"/>
        <w:spacing w:before="120"/>
        <w:jc w:val="both"/>
        <w:rPr>
          <w:sz w:val="24"/>
        </w:rPr>
      </w:pPr>
      <w:r>
        <w:rPr>
          <w:sz w:val="24"/>
        </w:rPr>
        <w:t>Enfoque de Implementación</w:t>
      </w:r>
    </w:p>
    <w:p w:rsidR="00401FA2" w:rsidRDefault="00593C34" w:rsidP="00BC2B85">
      <w:pPr>
        <w:pStyle w:val="ListParagraph"/>
        <w:numPr>
          <w:ilvl w:val="0"/>
          <w:numId w:val="9"/>
        </w:numPr>
        <w:ind w:left="567" w:hanging="567"/>
        <w:jc w:val="both"/>
        <w:rPr>
          <w:sz w:val="24"/>
        </w:rPr>
      </w:pPr>
      <w:r w:rsidRPr="00401FA2">
        <w:rPr>
          <w:sz w:val="24"/>
        </w:rPr>
        <w:t xml:space="preserve">La solicitud de apoyo del gobierno mexicano al GEF se produjo en Enero del 2000. </w:t>
      </w:r>
      <w:r w:rsidR="00ED5E36" w:rsidRPr="00401FA2">
        <w:rPr>
          <w:sz w:val="24"/>
        </w:rPr>
        <w:t xml:space="preserve">El proyecto fue aprobado por el GEF en </w:t>
      </w:r>
      <w:r w:rsidRPr="00401FA2">
        <w:rPr>
          <w:sz w:val="24"/>
        </w:rPr>
        <w:t xml:space="preserve">Julio del 2001 y la aprobación por parte de PNUD se concretó en Mayo </w:t>
      </w:r>
      <w:r w:rsidR="001E44A2">
        <w:rPr>
          <w:sz w:val="24"/>
        </w:rPr>
        <w:t xml:space="preserve">del </w:t>
      </w:r>
      <w:r w:rsidRPr="00401FA2">
        <w:rPr>
          <w:sz w:val="24"/>
        </w:rPr>
        <w:t>2002, mientras que el primer desembolso se realizó en Diciembre del 2002. En resumen, el apoyo de corto plazo brindad</w:t>
      </w:r>
      <w:r w:rsidR="00E6752B" w:rsidRPr="00401FA2">
        <w:rPr>
          <w:sz w:val="24"/>
        </w:rPr>
        <w:t>o</w:t>
      </w:r>
      <w:r w:rsidRPr="00401FA2">
        <w:rPr>
          <w:sz w:val="24"/>
        </w:rPr>
        <w:t xml:space="preserve"> al gobierno mexicano, s</w:t>
      </w:r>
      <w:r w:rsidR="001E44A2">
        <w:rPr>
          <w:sz w:val="24"/>
        </w:rPr>
        <w:t>ó</w:t>
      </w:r>
      <w:r w:rsidRPr="00401FA2">
        <w:rPr>
          <w:sz w:val="24"/>
        </w:rPr>
        <w:t xml:space="preserve">lo pudo comenzar a implementarse casi </w:t>
      </w:r>
      <w:r w:rsidR="00CB6828" w:rsidRPr="00401FA2">
        <w:rPr>
          <w:sz w:val="24"/>
        </w:rPr>
        <w:t>3 años después de ser solicitado</w:t>
      </w:r>
      <w:r w:rsidRPr="00401FA2">
        <w:rPr>
          <w:sz w:val="24"/>
        </w:rPr>
        <w:t>, lo que significó un gran impacto para la ejecución del proyecto.</w:t>
      </w:r>
    </w:p>
    <w:p w:rsidR="00C10E75" w:rsidRPr="00401FA2" w:rsidRDefault="00593C34" w:rsidP="00BC2B85">
      <w:pPr>
        <w:pStyle w:val="ListParagraph"/>
        <w:numPr>
          <w:ilvl w:val="0"/>
          <w:numId w:val="9"/>
        </w:numPr>
        <w:ind w:left="567" w:hanging="567"/>
        <w:jc w:val="both"/>
        <w:rPr>
          <w:sz w:val="24"/>
        </w:rPr>
      </w:pPr>
      <w:r w:rsidRPr="00401FA2">
        <w:rPr>
          <w:sz w:val="24"/>
        </w:rPr>
        <w:t>En efecto, al comenzar a implementa</w:t>
      </w:r>
      <w:r w:rsidR="00E6752B" w:rsidRPr="00401FA2">
        <w:rPr>
          <w:sz w:val="24"/>
        </w:rPr>
        <w:t>rse el proyecto, la naturaleza de un apoyo urgente de c</w:t>
      </w:r>
      <w:r w:rsidRPr="00401FA2">
        <w:rPr>
          <w:sz w:val="24"/>
        </w:rPr>
        <w:t>orto plazo</w:t>
      </w:r>
      <w:r w:rsidR="00E6752B" w:rsidRPr="00401FA2">
        <w:rPr>
          <w:sz w:val="24"/>
        </w:rPr>
        <w:t xml:space="preserve"> que hizo</w:t>
      </w:r>
      <w:r w:rsidR="00C10E75" w:rsidRPr="00401FA2">
        <w:rPr>
          <w:sz w:val="24"/>
        </w:rPr>
        <w:t xml:space="preserve"> necesaria la presentación del proyecto al GEF, ya había perdido su vigencia, puesto que el nuevo gobierno ya estaba casi en la mitad de su mandato y además, el Pl</w:t>
      </w:r>
      <w:r w:rsidR="00AE7321" w:rsidRPr="00401FA2">
        <w:rPr>
          <w:sz w:val="24"/>
        </w:rPr>
        <w:t>an Nacional de Desarrollo (PND)</w:t>
      </w:r>
      <w:r w:rsidR="00C10E75" w:rsidRPr="00401FA2">
        <w:rPr>
          <w:sz w:val="24"/>
        </w:rPr>
        <w:t xml:space="preserve"> ya había </w:t>
      </w:r>
      <w:r w:rsidR="00AE7321" w:rsidRPr="00401FA2">
        <w:rPr>
          <w:sz w:val="24"/>
        </w:rPr>
        <w:t xml:space="preserve">sido </w:t>
      </w:r>
      <w:r w:rsidR="00C10E75" w:rsidRPr="00401FA2">
        <w:rPr>
          <w:sz w:val="24"/>
        </w:rPr>
        <w:t>elaborado</w:t>
      </w:r>
      <w:r w:rsidR="00AE7321" w:rsidRPr="00401FA2">
        <w:rPr>
          <w:sz w:val="24"/>
        </w:rPr>
        <w:t xml:space="preserve"> por el gobierno mexicano</w:t>
      </w:r>
      <w:r w:rsidR="00C10E75" w:rsidRPr="00401FA2">
        <w:rPr>
          <w:sz w:val="24"/>
        </w:rPr>
        <w:t>, debido a las exigencias de la Ley de Planeación.</w:t>
      </w:r>
    </w:p>
    <w:p w:rsidR="00CB6828" w:rsidRDefault="00CB6828" w:rsidP="00BC2B85">
      <w:pPr>
        <w:pStyle w:val="ListParagraph"/>
        <w:numPr>
          <w:ilvl w:val="0"/>
          <w:numId w:val="9"/>
        </w:numPr>
        <w:ind w:left="567" w:hanging="567"/>
        <w:jc w:val="both"/>
        <w:rPr>
          <w:sz w:val="24"/>
        </w:rPr>
      </w:pPr>
      <w:r>
        <w:rPr>
          <w:sz w:val="24"/>
        </w:rPr>
        <w:t xml:space="preserve">Otro aspecto que es necesario mencionar, es la rotación de autoridades en  y el cambio de gobierno en el 2006, situaciones </w:t>
      </w:r>
      <w:r w:rsidR="005B36B1">
        <w:rPr>
          <w:sz w:val="24"/>
        </w:rPr>
        <w:t>que han significado cambios importantes en las prioridades a</w:t>
      </w:r>
      <w:r w:rsidR="00A4330D">
        <w:rPr>
          <w:sz w:val="24"/>
        </w:rPr>
        <w:t>mbientales de estas autoridades, teniendo como consecuencia cambios importantes, extensiones y atrasos en la ejecución del proyecto.</w:t>
      </w:r>
    </w:p>
    <w:p w:rsidR="00393865" w:rsidRDefault="005B36B1" w:rsidP="00BC2B85">
      <w:pPr>
        <w:pStyle w:val="ListParagraph"/>
        <w:numPr>
          <w:ilvl w:val="0"/>
          <w:numId w:val="9"/>
        </w:numPr>
        <w:ind w:left="567" w:hanging="567"/>
        <w:jc w:val="both"/>
        <w:rPr>
          <w:sz w:val="24"/>
        </w:rPr>
      </w:pPr>
      <w:r w:rsidRPr="00393865">
        <w:rPr>
          <w:sz w:val="24"/>
        </w:rPr>
        <w:t>Durante el año 2003, se produjo un cambio fundamental en el proyecto, que redundó en la eliminac</w:t>
      </w:r>
      <w:r w:rsidR="00570C08">
        <w:rPr>
          <w:sz w:val="24"/>
        </w:rPr>
        <w:t xml:space="preserve">ión del coordinador de proyecto y la no formación de las unidades ambientales en los ministerios claves. Se acordó además, </w:t>
      </w:r>
      <w:r w:rsidRPr="00393865">
        <w:rPr>
          <w:sz w:val="24"/>
        </w:rPr>
        <w:t>la elaboración de estudios que sirvieran de insumos para la formu</w:t>
      </w:r>
      <w:r w:rsidR="008E65E9">
        <w:rPr>
          <w:sz w:val="24"/>
        </w:rPr>
        <w:t>lación de políticas ambientales y</w:t>
      </w:r>
      <w:r w:rsidRPr="00393865">
        <w:rPr>
          <w:sz w:val="24"/>
        </w:rPr>
        <w:t xml:space="preserve"> la eliminación </w:t>
      </w:r>
      <w:r w:rsidR="00570C08">
        <w:rPr>
          <w:sz w:val="24"/>
        </w:rPr>
        <w:t xml:space="preserve">de </w:t>
      </w:r>
      <w:r w:rsidRPr="00393865">
        <w:rPr>
          <w:sz w:val="24"/>
        </w:rPr>
        <w:t>los talleres de planeación participativa.</w:t>
      </w:r>
    </w:p>
    <w:p w:rsidR="005B36B1" w:rsidRPr="00393865" w:rsidRDefault="005B36B1" w:rsidP="00BC2B85">
      <w:pPr>
        <w:pStyle w:val="ListParagraph"/>
        <w:numPr>
          <w:ilvl w:val="0"/>
          <w:numId w:val="9"/>
        </w:numPr>
        <w:ind w:left="567" w:hanging="567"/>
        <w:jc w:val="both"/>
        <w:rPr>
          <w:sz w:val="24"/>
        </w:rPr>
      </w:pPr>
      <w:r w:rsidRPr="00393865">
        <w:rPr>
          <w:sz w:val="24"/>
        </w:rPr>
        <w:t>La decisión de eliminar las actividades/resultados antes descritos, está fundamentada en que la Ley de Planeación es el único instrumento de planificación obligatorio para el gobierno mexicano, junto a que los talleres participativos no serían necesarios debido al hecho de que cuando el proyecto comenzó en el año 2002, ya se habían formulado los planes sectoriales y, por lo tanto</w:t>
      </w:r>
      <w:r w:rsidR="00A4330D">
        <w:rPr>
          <w:sz w:val="24"/>
        </w:rPr>
        <w:t>,</w:t>
      </w:r>
      <w:r w:rsidRPr="00393865">
        <w:rPr>
          <w:sz w:val="24"/>
        </w:rPr>
        <w:t xml:space="preserve"> se necesitaba actualizar el proyecto para que estuviera en línea con la situación actual de las prioridades del gobierno mexicano.</w:t>
      </w:r>
    </w:p>
    <w:p w:rsidR="008E65E9" w:rsidRDefault="007D4E2F" w:rsidP="008E65E9">
      <w:pPr>
        <w:pStyle w:val="ListParagraph"/>
        <w:numPr>
          <w:ilvl w:val="0"/>
          <w:numId w:val="9"/>
        </w:numPr>
        <w:ind w:left="567" w:hanging="567"/>
        <w:jc w:val="both"/>
        <w:rPr>
          <w:sz w:val="24"/>
        </w:rPr>
      </w:pPr>
      <w:r>
        <w:rPr>
          <w:sz w:val="24"/>
        </w:rPr>
        <w:t xml:space="preserve">Los cambios antes descritos fueron acordados por el Comité Directivo del Proyecto (CDP), </w:t>
      </w:r>
      <w:r w:rsidR="003079FD">
        <w:rPr>
          <w:sz w:val="24"/>
        </w:rPr>
        <w:t xml:space="preserve">formado por </w:t>
      </w:r>
      <w:r w:rsidR="00840067">
        <w:rPr>
          <w:sz w:val="24"/>
        </w:rPr>
        <w:t>SEMARNAT</w:t>
      </w:r>
      <w:r w:rsidR="007C4783">
        <w:rPr>
          <w:sz w:val="24"/>
        </w:rPr>
        <w:t>,</w:t>
      </w:r>
      <w:r w:rsidR="00840067">
        <w:rPr>
          <w:sz w:val="24"/>
        </w:rPr>
        <w:t xml:space="preserve"> </w:t>
      </w:r>
      <w:r w:rsidR="003079FD">
        <w:rPr>
          <w:sz w:val="24"/>
        </w:rPr>
        <w:t xml:space="preserve"> PNUD México</w:t>
      </w:r>
      <w:r w:rsidR="007C4783">
        <w:rPr>
          <w:sz w:val="24"/>
        </w:rPr>
        <w:t xml:space="preserve"> y la  </w:t>
      </w:r>
      <w:proofErr w:type="spellStart"/>
      <w:r w:rsidR="007C4783">
        <w:rPr>
          <w:sz w:val="24"/>
        </w:rPr>
        <w:t>la</w:t>
      </w:r>
      <w:proofErr w:type="spellEnd"/>
      <w:r w:rsidR="007C4783">
        <w:rPr>
          <w:sz w:val="24"/>
        </w:rPr>
        <w:t xml:space="preserve"> coordinación del proyecto.</w:t>
      </w:r>
      <w:r w:rsidR="00A4330D">
        <w:rPr>
          <w:sz w:val="24"/>
        </w:rPr>
        <w:t xml:space="preserve"> </w:t>
      </w:r>
    </w:p>
    <w:p w:rsidR="008E65E9" w:rsidRPr="00FF7031" w:rsidRDefault="008E65E9" w:rsidP="008E65E9">
      <w:pPr>
        <w:pStyle w:val="ListParagraph"/>
        <w:numPr>
          <w:ilvl w:val="0"/>
          <w:numId w:val="9"/>
        </w:numPr>
        <w:ind w:left="567" w:hanging="567"/>
        <w:jc w:val="both"/>
        <w:rPr>
          <w:sz w:val="24"/>
        </w:rPr>
      </w:pPr>
      <w:r w:rsidRPr="00FF7031">
        <w:rPr>
          <w:sz w:val="24"/>
        </w:rPr>
        <w:t xml:space="preserve">Los cambios introducidos en el 2003, se enfocan claramente a dar prioridad al tema de cambio climático, mientras que la problemática en biodiversidad quedó muy rezagada y en segundo plano. Las nuevas definiciones del proyecto se enfocan a la realización de estudios que apoyen la toma de decisiones y para la formulación de </w:t>
      </w:r>
      <w:r w:rsidRPr="00FF7031">
        <w:rPr>
          <w:sz w:val="24"/>
        </w:rPr>
        <w:lastRenderedPageBreak/>
        <w:t>políticas ambientales del país.</w:t>
      </w:r>
      <w:r>
        <w:rPr>
          <w:sz w:val="24"/>
        </w:rPr>
        <w:t xml:space="preserve"> </w:t>
      </w:r>
      <w:r w:rsidRPr="00FF7031">
        <w:rPr>
          <w:sz w:val="24"/>
        </w:rPr>
        <w:t>Durante el año 2004, se cancela definitivamente la elaboración del Plan Verde</w:t>
      </w:r>
      <w:r>
        <w:rPr>
          <w:rStyle w:val="FootnoteReference"/>
          <w:sz w:val="24"/>
        </w:rPr>
        <w:footnoteReference w:id="2"/>
      </w:r>
      <w:r w:rsidRPr="00FF7031">
        <w:rPr>
          <w:sz w:val="24"/>
        </w:rPr>
        <w:t>.</w:t>
      </w:r>
    </w:p>
    <w:p w:rsidR="00A4330D" w:rsidRDefault="00A4330D" w:rsidP="00E309D9">
      <w:pPr>
        <w:pStyle w:val="ListParagraph"/>
        <w:numPr>
          <w:ilvl w:val="0"/>
          <w:numId w:val="9"/>
        </w:numPr>
        <w:ind w:left="567" w:hanging="567"/>
        <w:jc w:val="both"/>
        <w:rPr>
          <w:sz w:val="24"/>
        </w:rPr>
      </w:pPr>
      <w:r>
        <w:rPr>
          <w:sz w:val="24"/>
        </w:rPr>
        <w:t xml:space="preserve">También se decidió realizar el ajuste correspondiente a la Matriz de Marco Lógico, la cual se aprecia en el </w:t>
      </w:r>
      <w:r w:rsidR="004B0C33">
        <w:rPr>
          <w:sz w:val="24"/>
        </w:rPr>
        <w:t>Anexo III</w:t>
      </w:r>
      <w:r>
        <w:rPr>
          <w:sz w:val="24"/>
        </w:rPr>
        <w:t>.</w:t>
      </w:r>
    </w:p>
    <w:p w:rsidR="003338C8" w:rsidRDefault="008E65E9" w:rsidP="008E65E9">
      <w:pPr>
        <w:pStyle w:val="ListParagraph"/>
        <w:numPr>
          <w:ilvl w:val="0"/>
          <w:numId w:val="9"/>
        </w:numPr>
        <w:ind w:left="567" w:hanging="567"/>
        <w:jc w:val="both"/>
        <w:rPr>
          <w:sz w:val="24"/>
        </w:rPr>
      </w:pPr>
      <w:r>
        <w:rPr>
          <w:sz w:val="24"/>
        </w:rPr>
        <w:t xml:space="preserve">Por lo tanto, para la nueva etapa del proyecto, se acordó </w:t>
      </w:r>
      <w:r w:rsidR="003338C8">
        <w:rPr>
          <w:sz w:val="24"/>
        </w:rPr>
        <w:t xml:space="preserve">la obtención de </w:t>
      </w:r>
      <w:r w:rsidR="0042309E">
        <w:rPr>
          <w:sz w:val="24"/>
        </w:rPr>
        <w:t>7</w:t>
      </w:r>
      <w:r w:rsidR="003338C8">
        <w:rPr>
          <w:sz w:val="24"/>
        </w:rPr>
        <w:t xml:space="preserve"> resultados:</w:t>
      </w:r>
    </w:p>
    <w:p w:rsidR="003338C8" w:rsidRPr="00BC2B85" w:rsidRDefault="003338C8" w:rsidP="008E65E9">
      <w:pPr>
        <w:pStyle w:val="ListParagraph"/>
        <w:numPr>
          <w:ilvl w:val="0"/>
          <w:numId w:val="14"/>
        </w:numPr>
        <w:spacing w:line="240" w:lineRule="auto"/>
        <w:ind w:leftChars="257" w:left="848" w:hangingChars="118" w:hanging="283"/>
        <w:jc w:val="both"/>
        <w:rPr>
          <w:sz w:val="24"/>
        </w:rPr>
      </w:pPr>
      <w:r w:rsidRPr="00BC2B85">
        <w:rPr>
          <w:sz w:val="24"/>
        </w:rPr>
        <w:t>Un marco financiero programático para medio ambiente</w:t>
      </w:r>
      <w:r w:rsidR="0028517E">
        <w:rPr>
          <w:sz w:val="24"/>
        </w:rPr>
        <w:t>;</w:t>
      </w:r>
    </w:p>
    <w:p w:rsidR="003338C8" w:rsidRPr="00BC2B85" w:rsidRDefault="003338C8" w:rsidP="008E65E9">
      <w:pPr>
        <w:pStyle w:val="ListParagraph"/>
        <w:numPr>
          <w:ilvl w:val="0"/>
          <w:numId w:val="14"/>
        </w:numPr>
        <w:spacing w:line="240" w:lineRule="auto"/>
        <w:ind w:leftChars="257" w:left="848" w:hangingChars="118" w:hanging="283"/>
        <w:jc w:val="both"/>
        <w:rPr>
          <w:sz w:val="24"/>
        </w:rPr>
      </w:pPr>
      <w:r w:rsidRPr="00BC2B85">
        <w:rPr>
          <w:sz w:val="24"/>
        </w:rPr>
        <w:t>Escenarios de largo plazo para sectores económicos (producción y consumo) y pol</w:t>
      </w:r>
      <w:r w:rsidR="0028517E">
        <w:rPr>
          <w:sz w:val="24"/>
        </w:rPr>
        <w:t>íticas asociadas de largo plazo;</w:t>
      </w:r>
    </w:p>
    <w:p w:rsidR="003338C8" w:rsidRPr="00BC2B85" w:rsidRDefault="003338C8" w:rsidP="008E65E9">
      <w:pPr>
        <w:pStyle w:val="ListParagraph"/>
        <w:numPr>
          <w:ilvl w:val="0"/>
          <w:numId w:val="14"/>
        </w:numPr>
        <w:spacing w:line="240" w:lineRule="auto"/>
        <w:ind w:leftChars="257" w:left="848" w:hangingChars="118" w:hanging="283"/>
        <w:jc w:val="both"/>
        <w:rPr>
          <w:sz w:val="24"/>
        </w:rPr>
      </w:pPr>
      <w:r w:rsidRPr="00BC2B85">
        <w:rPr>
          <w:sz w:val="24"/>
        </w:rPr>
        <w:t xml:space="preserve">Revisión del Programa Nacional </w:t>
      </w:r>
      <w:r w:rsidR="001E44A2">
        <w:rPr>
          <w:sz w:val="24"/>
        </w:rPr>
        <w:t xml:space="preserve">de Medio </w:t>
      </w:r>
      <w:r w:rsidRPr="00BC2B85">
        <w:rPr>
          <w:sz w:val="24"/>
        </w:rPr>
        <w:t xml:space="preserve">Ambiente y Recursos Naturales 2001-2006 (PNMARN) y propuesta para </w:t>
      </w:r>
      <w:r w:rsidR="0028517E">
        <w:rPr>
          <w:sz w:val="24"/>
        </w:rPr>
        <w:t>su actualización;</w:t>
      </w:r>
    </w:p>
    <w:p w:rsidR="003338C8" w:rsidRPr="00BC2B85" w:rsidRDefault="003338C8" w:rsidP="008E65E9">
      <w:pPr>
        <w:pStyle w:val="ListParagraph"/>
        <w:numPr>
          <w:ilvl w:val="0"/>
          <w:numId w:val="14"/>
        </w:numPr>
        <w:spacing w:line="240" w:lineRule="auto"/>
        <w:ind w:leftChars="257" w:left="848" w:hangingChars="118" w:hanging="283"/>
        <w:jc w:val="both"/>
        <w:rPr>
          <w:sz w:val="24"/>
        </w:rPr>
      </w:pPr>
      <w:r w:rsidRPr="00BC2B85">
        <w:rPr>
          <w:sz w:val="24"/>
        </w:rPr>
        <w:t>Un set de indica</w:t>
      </w:r>
      <w:r w:rsidR="0028517E">
        <w:rPr>
          <w:sz w:val="24"/>
        </w:rPr>
        <w:t>dores de desarrollo sustentable;</w:t>
      </w:r>
    </w:p>
    <w:p w:rsidR="003338C8" w:rsidRPr="00BC2B85" w:rsidRDefault="003338C8" w:rsidP="008E65E9">
      <w:pPr>
        <w:pStyle w:val="ListParagraph"/>
        <w:numPr>
          <w:ilvl w:val="0"/>
          <w:numId w:val="14"/>
        </w:numPr>
        <w:spacing w:line="240" w:lineRule="auto"/>
        <w:ind w:leftChars="257" w:left="848" w:hangingChars="118" w:hanging="283"/>
        <w:jc w:val="both"/>
        <w:rPr>
          <w:sz w:val="24"/>
        </w:rPr>
      </w:pPr>
      <w:r w:rsidRPr="00BC2B85">
        <w:rPr>
          <w:sz w:val="24"/>
        </w:rPr>
        <w:t xml:space="preserve">Instrumentos de </w:t>
      </w:r>
      <w:r w:rsidR="0028517E">
        <w:rPr>
          <w:sz w:val="24"/>
        </w:rPr>
        <w:t>Política Ambiental y propuestas;</w:t>
      </w:r>
    </w:p>
    <w:p w:rsidR="003338C8" w:rsidRDefault="003338C8" w:rsidP="0042309E">
      <w:pPr>
        <w:pStyle w:val="ListParagraph"/>
        <w:numPr>
          <w:ilvl w:val="0"/>
          <w:numId w:val="14"/>
        </w:numPr>
        <w:spacing w:after="0" w:line="240" w:lineRule="auto"/>
        <w:ind w:leftChars="257" w:left="848" w:hangingChars="118" w:hanging="283"/>
        <w:contextualSpacing w:val="0"/>
        <w:jc w:val="both"/>
        <w:rPr>
          <w:sz w:val="24"/>
        </w:rPr>
      </w:pPr>
      <w:r w:rsidRPr="00BC2B85">
        <w:rPr>
          <w:sz w:val="24"/>
        </w:rPr>
        <w:t>Elaboración del Plan Verde</w:t>
      </w:r>
      <w:r w:rsidR="0028517E">
        <w:rPr>
          <w:sz w:val="24"/>
        </w:rPr>
        <w:t>.</w:t>
      </w:r>
    </w:p>
    <w:p w:rsidR="0042309E" w:rsidRPr="00BC2B85" w:rsidRDefault="0042309E" w:rsidP="008E65E9">
      <w:pPr>
        <w:pStyle w:val="ListParagraph"/>
        <w:numPr>
          <w:ilvl w:val="0"/>
          <w:numId w:val="14"/>
        </w:numPr>
        <w:spacing w:line="240" w:lineRule="auto"/>
        <w:ind w:leftChars="257" w:left="848" w:hangingChars="118" w:hanging="283"/>
        <w:contextualSpacing w:val="0"/>
        <w:jc w:val="both"/>
        <w:rPr>
          <w:sz w:val="24"/>
        </w:rPr>
      </w:pPr>
      <w:r>
        <w:rPr>
          <w:sz w:val="24"/>
        </w:rPr>
        <w:t>Subsidios Dañinos al Medio Ambiente</w:t>
      </w:r>
    </w:p>
    <w:p w:rsidR="00393865" w:rsidRDefault="009114DD" w:rsidP="00BC2B85">
      <w:pPr>
        <w:pStyle w:val="ListParagraph"/>
        <w:numPr>
          <w:ilvl w:val="0"/>
          <w:numId w:val="9"/>
        </w:numPr>
        <w:spacing w:line="240" w:lineRule="auto"/>
        <w:ind w:left="425" w:hanging="425"/>
        <w:contextualSpacing w:val="0"/>
        <w:jc w:val="both"/>
        <w:rPr>
          <w:sz w:val="24"/>
        </w:rPr>
      </w:pPr>
      <w:r>
        <w:rPr>
          <w:sz w:val="24"/>
        </w:rPr>
        <w:t xml:space="preserve">Para alcanzar los resultados antes descritos, se elaboraron </w:t>
      </w:r>
      <w:r w:rsidR="00162010" w:rsidRPr="00162010">
        <w:rPr>
          <w:sz w:val="24"/>
        </w:rPr>
        <w:t xml:space="preserve">11 </w:t>
      </w:r>
      <w:r w:rsidR="00B57452">
        <w:rPr>
          <w:sz w:val="24"/>
        </w:rPr>
        <w:t>es</w:t>
      </w:r>
      <w:r w:rsidR="00162010" w:rsidRPr="00162010">
        <w:rPr>
          <w:sz w:val="24"/>
        </w:rPr>
        <w:t xml:space="preserve">tudios de diversa índole, los cuales se enumeran a continuación: </w:t>
      </w:r>
    </w:p>
    <w:p w:rsidR="00745821" w:rsidRPr="008E65E9" w:rsidRDefault="00745821" w:rsidP="00BC2B85">
      <w:pPr>
        <w:spacing w:after="60" w:line="240" w:lineRule="auto"/>
        <w:jc w:val="both"/>
        <w:rPr>
          <w:i/>
          <w:sz w:val="20"/>
        </w:rPr>
      </w:pPr>
      <w:r w:rsidRPr="008E65E9">
        <w:rPr>
          <w:i/>
          <w:sz w:val="20"/>
        </w:rPr>
        <w:t>Cuadro Nº</w:t>
      </w:r>
      <w:r w:rsidR="005C6A4B" w:rsidRPr="008E65E9">
        <w:rPr>
          <w:i/>
          <w:sz w:val="20"/>
        </w:rPr>
        <w:t>4</w:t>
      </w:r>
      <w:r w:rsidRPr="008E65E9">
        <w:rPr>
          <w:i/>
          <w:sz w:val="20"/>
        </w:rPr>
        <w:t xml:space="preserve">: Estudios realizados durante la ejecución del Proyecto </w:t>
      </w:r>
    </w:p>
    <w:tbl>
      <w:tblPr>
        <w:tblStyle w:val="MediumShading2-Accent3"/>
        <w:tblW w:w="0" w:type="auto"/>
        <w:tblInd w:w="108" w:type="dxa"/>
        <w:tblLook w:val="04A0"/>
      </w:tblPr>
      <w:tblGrid>
        <w:gridCol w:w="435"/>
        <w:gridCol w:w="5802"/>
        <w:gridCol w:w="1985"/>
        <w:gridCol w:w="724"/>
      </w:tblGrid>
      <w:tr w:rsidR="00745821" w:rsidRPr="000E34D8" w:rsidTr="00BC2B85">
        <w:trPr>
          <w:cnfStyle w:val="100000000000"/>
        </w:trPr>
        <w:tc>
          <w:tcPr>
            <w:cnfStyle w:val="001000000100"/>
            <w:tcW w:w="435" w:type="dxa"/>
            <w:vAlign w:val="center"/>
          </w:tcPr>
          <w:p w:rsidR="00B108E8" w:rsidRPr="00BC2B85" w:rsidRDefault="00B108E8" w:rsidP="00BC2B85">
            <w:pPr>
              <w:spacing w:after="40"/>
              <w:jc w:val="center"/>
              <w:rPr>
                <w:rFonts w:asciiTheme="minorHAnsi" w:hAnsiTheme="minorHAnsi" w:cstheme="minorHAnsi"/>
                <w:sz w:val="18"/>
                <w:szCs w:val="18"/>
              </w:rPr>
            </w:pPr>
            <w:r w:rsidRPr="00BC2B85">
              <w:rPr>
                <w:rFonts w:asciiTheme="minorHAnsi" w:hAnsiTheme="minorHAnsi" w:cstheme="minorHAnsi"/>
                <w:sz w:val="18"/>
                <w:szCs w:val="18"/>
              </w:rPr>
              <w:t>Nº</w:t>
            </w:r>
          </w:p>
        </w:tc>
        <w:tc>
          <w:tcPr>
            <w:tcW w:w="5802" w:type="dxa"/>
            <w:vAlign w:val="center"/>
          </w:tcPr>
          <w:p w:rsidR="00B108E8" w:rsidRPr="00BC2B85" w:rsidRDefault="00B108E8" w:rsidP="00BC2B85">
            <w:pPr>
              <w:spacing w:after="40"/>
              <w:jc w:val="center"/>
              <w:cnfStyle w:val="100000000000"/>
              <w:rPr>
                <w:rFonts w:asciiTheme="minorHAnsi" w:hAnsiTheme="minorHAnsi" w:cstheme="minorHAnsi"/>
                <w:sz w:val="18"/>
                <w:szCs w:val="18"/>
              </w:rPr>
            </w:pPr>
            <w:r w:rsidRPr="00BC2B85">
              <w:rPr>
                <w:rFonts w:asciiTheme="minorHAnsi" w:hAnsiTheme="minorHAnsi" w:cstheme="minorHAnsi"/>
                <w:sz w:val="18"/>
                <w:szCs w:val="18"/>
              </w:rPr>
              <w:t>Nombre Estudio</w:t>
            </w:r>
          </w:p>
        </w:tc>
        <w:tc>
          <w:tcPr>
            <w:tcW w:w="1985" w:type="dxa"/>
            <w:vAlign w:val="center"/>
          </w:tcPr>
          <w:p w:rsidR="00B108E8" w:rsidRPr="00BC2B85" w:rsidRDefault="00585149" w:rsidP="00BC2B85">
            <w:pPr>
              <w:spacing w:after="40"/>
              <w:jc w:val="center"/>
              <w:cnfStyle w:val="100000000000"/>
              <w:rPr>
                <w:rFonts w:asciiTheme="minorHAnsi" w:hAnsiTheme="minorHAnsi" w:cstheme="minorHAnsi"/>
                <w:sz w:val="18"/>
                <w:szCs w:val="18"/>
              </w:rPr>
            </w:pPr>
            <w:r w:rsidRPr="00BC2B85">
              <w:rPr>
                <w:rFonts w:asciiTheme="minorHAnsi" w:hAnsiTheme="minorHAnsi" w:cstheme="minorHAnsi"/>
                <w:sz w:val="18"/>
                <w:szCs w:val="18"/>
              </w:rPr>
              <w:t>Autor</w:t>
            </w:r>
            <w:r w:rsidR="009856A0" w:rsidRPr="00BC2B85">
              <w:rPr>
                <w:rFonts w:asciiTheme="minorHAnsi" w:hAnsiTheme="minorHAnsi" w:cstheme="minorHAnsi"/>
                <w:sz w:val="18"/>
                <w:szCs w:val="18"/>
              </w:rPr>
              <w:t>/Entidad</w:t>
            </w:r>
          </w:p>
        </w:tc>
        <w:tc>
          <w:tcPr>
            <w:tcW w:w="724" w:type="dxa"/>
            <w:vAlign w:val="center"/>
          </w:tcPr>
          <w:p w:rsidR="00B108E8" w:rsidRPr="00BC2B85" w:rsidRDefault="00B108E8" w:rsidP="00BC2B85">
            <w:pPr>
              <w:spacing w:after="40"/>
              <w:jc w:val="center"/>
              <w:cnfStyle w:val="100000000000"/>
              <w:rPr>
                <w:rFonts w:asciiTheme="minorHAnsi" w:hAnsiTheme="minorHAnsi" w:cstheme="minorHAnsi"/>
                <w:sz w:val="18"/>
                <w:szCs w:val="18"/>
              </w:rPr>
            </w:pPr>
            <w:r w:rsidRPr="00BC2B85">
              <w:rPr>
                <w:rFonts w:asciiTheme="minorHAnsi" w:hAnsiTheme="minorHAnsi" w:cstheme="minorHAnsi"/>
                <w:sz w:val="18"/>
                <w:szCs w:val="18"/>
              </w:rPr>
              <w:t>Año</w:t>
            </w:r>
          </w:p>
        </w:tc>
      </w:tr>
      <w:tr w:rsidR="00745821" w:rsidRPr="000E34D8" w:rsidTr="00BC2B85">
        <w:trPr>
          <w:cnfStyle w:val="000000100000"/>
        </w:trPr>
        <w:tc>
          <w:tcPr>
            <w:cnfStyle w:val="001000000000"/>
            <w:tcW w:w="435" w:type="dxa"/>
            <w:vAlign w:val="center"/>
          </w:tcPr>
          <w:p w:rsidR="00B108E8" w:rsidRPr="00BC2B85" w:rsidRDefault="00B108E8" w:rsidP="00BC2B85">
            <w:pPr>
              <w:spacing w:after="40"/>
              <w:jc w:val="center"/>
              <w:rPr>
                <w:rFonts w:asciiTheme="minorHAnsi" w:hAnsiTheme="minorHAnsi" w:cstheme="minorHAnsi"/>
                <w:sz w:val="18"/>
                <w:szCs w:val="18"/>
              </w:rPr>
            </w:pPr>
            <w:r w:rsidRPr="00BC2B85">
              <w:rPr>
                <w:rFonts w:asciiTheme="minorHAnsi" w:hAnsiTheme="minorHAnsi" w:cstheme="minorHAnsi"/>
                <w:sz w:val="18"/>
                <w:szCs w:val="18"/>
              </w:rPr>
              <w:t>1</w:t>
            </w:r>
          </w:p>
        </w:tc>
        <w:tc>
          <w:tcPr>
            <w:tcW w:w="5802" w:type="dxa"/>
            <w:vAlign w:val="center"/>
          </w:tcPr>
          <w:p w:rsidR="00B108E8" w:rsidRPr="00BC2B85" w:rsidRDefault="00B108E8" w:rsidP="00BC2B85">
            <w:pPr>
              <w:spacing w:after="40"/>
              <w:cnfStyle w:val="000000100000"/>
              <w:rPr>
                <w:rFonts w:asciiTheme="minorHAnsi" w:hAnsiTheme="minorHAnsi" w:cstheme="minorHAnsi"/>
                <w:sz w:val="18"/>
                <w:szCs w:val="18"/>
              </w:rPr>
            </w:pPr>
            <w:r w:rsidRPr="00BC2B85">
              <w:rPr>
                <w:rFonts w:asciiTheme="minorHAnsi" w:hAnsiTheme="minorHAnsi" w:cstheme="minorHAnsi"/>
                <w:sz w:val="18"/>
                <w:szCs w:val="18"/>
              </w:rPr>
              <w:t>Escenarios económicos (consumo y producción) sectoriales de largo plazo y política de desarrollo sustentable</w:t>
            </w:r>
          </w:p>
        </w:tc>
        <w:tc>
          <w:tcPr>
            <w:tcW w:w="1985" w:type="dxa"/>
            <w:vAlign w:val="center"/>
          </w:tcPr>
          <w:p w:rsidR="00B108E8" w:rsidRPr="00BC2B85" w:rsidRDefault="00B108E8" w:rsidP="00BC2B85">
            <w:pPr>
              <w:spacing w:after="40"/>
              <w:cnfStyle w:val="000000100000"/>
              <w:rPr>
                <w:rFonts w:asciiTheme="minorHAnsi" w:hAnsiTheme="minorHAnsi" w:cstheme="minorHAnsi"/>
                <w:sz w:val="18"/>
                <w:szCs w:val="18"/>
              </w:rPr>
            </w:pPr>
            <w:r w:rsidRPr="00BC2B85">
              <w:rPr>
                <w:rFonts w:asciiTheme="minorHAnsi" w:hAnsiTheme="minorHAnsi" w:cstheme="minorHAnsi"/>
                <w:sz w:val="18"/>
                <w:szCs w:val="18"/>
              </w:rPr>
              <w:t>Luis Miguel Galindo.</w:t>
            </w:r>
          </w:p>
        </w:tc>
        <w:tc>
          <w:tcPr>
            <w:tcW w:w="724" w:type="dxa"/>
            <w:vAlign w:val="center"/>
          </w:tcPr>
          <w:p w:rsidR="00B108E8" w:rsidRPr="00BC2B85" w:rsidRDefault="00B108E8" w:rsidP="00BC2B85">
            <w:pPr>
              <w:spacing w:after="40"/>
              <w:cnfStyle w:val="000000100000"/>
              <w:rPr>
                <w:rFonts w:asciiTheme="minorHAnsi" w:hAnsiTheme="minorHAnsi" w:cstheme="minorHAnsi"/>
                <w:sz w:val="18"/>
                <w:szCs w:val="18"/>
              </w:rPr>
            </w:pPr>
            <w:r w:rsidRPr="00BC2B85">
              <w:rPr>
                <w:rFonts w:asciiTheme="minorHAnsi" w:hAnsiTheme="minorHAnsi" w:cstheme="minorHAnsi"/>
                <w:sz w:val="18"/>
                <w:szCs w:val="18"/>
              </w:rPr>
              <w:t>2004</w:t>
            </w:r>
          </w:p>
        </w:tc>
      </w:tr>
      <w:tr w:rsidR="00745821" w:rsidRPr="000E34D8" w:rsidTr="00BC2B85">
        <w:tc>
          <w:tcPr>
            <w:cnfStyle w:val="001000000000"/>
            <w:tcW w:w="435" w:type="dxa"/>
            <w:vAlign w:val="center"/>
          </w:tcPr>
          <w:p w:rsidR="00B108E8" w:rsidRPr="00BC2B85" w:rsidRDefault="00B108E8" w:rsidP="00BC2B85">
            <w:pPr>
              <w:jc w:val="center"/>
              <w:rPr>
                <w:rFonts w:asciiTheme="minorHAnsi" w:hAnsiTheme="minorHAnsi" w:cstheme="minorHAnsi"/>
                <w:sz w:val="18"/>
                <w:szCs w:val="18"/>
              </w:rPr>
            </w:pPr>
            <w:r w:rsidRPr="00BC2B85">
              <w:rPr>
                <w:rFonts w:asciiTheme="minorHAnsi" w:hAnsiTheme="minorHAnsi" w:cstheme="minorHAnsi"/>
                <w:sz w:val="18"/>
                <w:szCs w:val="18"/>
              </w:rPr>
              <w:t>2</w:t>
            </w:r>
          </w:p>
        </w:tc>
        <w:tc>
          <w:tcPr>
            <w:tcW w:w="5802" w:type="dxa"/>
          </w:tcPr>
          <w:p w:rsidR="00B108E8" w:rsidRPr="00BC2B85" w:rsidRDefault="00B108E8" w:rsidP="00BC2B85">
            <w:pPr>
              <w:jc w:val="both"/>
              <w:cnfStyle w:val="000000000000"/>
              <w:rPr>
                <w:rFonts w:asciiTheme="minorHAnsi" w:hAnsiTheme="minorHAnsi" w:cstheme="minorHAnsi"/>
                <w:sz w:val="18"/>
                <w:szCs w:val="18"/>
              </w:rPr>
            </w:pPr>
            <w:r w:rsidRPr="00BC2B85">
              <w:rPr>
                <w:rFonts w:asciiTheme="minorHAnsi" w:hAnsiTheme="minorHAnsi" w:cstheme="minorHAnsi"/>
                <w:sz w:val="18"/>
                <w:szCs w:val="18"/>
              </w:rPr>
              <w:t>Evaluación del impacto de las políticas ambientales y formulación de nuevas propuestas e instrumentos.</w:t>
            </w:r>
          </w:p>
        </w:tc>
        <w:tc>
          <w:tcPr>
            <w:tcW w:w="1985" w:type="dxa"/>
            <w:vAlign w:val="center"/>
          </w:tcPr>
          <w:p w:rsidR="00B108E8" w:rsidRPr="00BC2B85" w:rsidRDefault="00B108E8" w:rsidP="00BC2B85">
            <w:pPr>
              <w:cnfStyle w:val="000000000000"/>
              <w:rPr>
                <w:rFonts w:asciiTheme="minorHAnsi" w:hAnsiTheme="minorHAnsi" w:cstheme="minorHAnsi"/>
                <w:sz w:val="18"/>
                <w:szCs w:val="18"/>
              </w:rPr>
            </w:pPr>
            <w:r w:rsidRPr="00BC2B85">
              <w:rPr>
                <w:rFonts w:asciiTheme="minorHAnsi" w:hAnsiTheme="minorHAnsi" w:cstheme="minorHAnsi"/>
                <w:sz w:val="18"/>
                <w:szCs w:val="18"/>
              </w:rPr>
              <w:t>Gerencia Publica</w:t>
            </w:r>
          </w:p>
        </w:tc>
        <w:tc>
          <w:tcPr>
            <w:tcW w:w="724" w:type="dxa"/>
            <w:vAlign w:val="center"/>
          </w:tcPr>
          <w:p w:rsidR="00B108E8" w:rsidRPr="00BC2B85" w:rsidRDefault="00B108E8" w:rsidP="00BC2B85">
            <w:pPr>
              <w:cnfStyle w:val="000000000000"/>
              <w:rPr>
                <w:rFonts w:asciiTheme="minorHAnsi" w:hAnsiTheme="minorHAnsi" w:cstheme="minorHAnsi"/>
                <w:sz w:val="18"/>
                <w:szCs w:val="18"/>
              </w:rPr>
            </w:pPr>
            <w:r w:rsidRPr="00BC2B85">
              <w:rPr>
                <w:rFonts w:asciiTheme="minorHAnsi" w:hAnsiTheme="minorHAnsi" w:cstheme="minorHAnsi"/>
                <w:sz w:val="18"/>
                <w:szCs w:val="18"/>
              </w:rPr>
              <w:t>2004</w:t>
            </w:r>
          </w:p>
        </w:tc>
      </w:tr>
      <w:tr w:rsidR="00745821" w:rsidRPr="000E34D8" w:rsidTr="00BC2B85">
        <w:trPr>
          <w:cnfStyle w:val="000000100000"/>
        </w:trPr>
        <w:tc>
          <w:tcPr>
            <w:cnfStyle w:val="001000000000"/>
            <w:tcW w:w="435" w:type="dxa"/>
            <w:vAlign w:val="center"/>
          </w:tcPr>
          <w:p w:rsidR="00B108E8" w:rsidRPr="00BC2B85" w:rsidRDefault="00B108E8" w:rsidP="00BC2B85">
            <w:pPr>
              <w:jc w:val="center"/>
              <w:rPr>
                <w:rFonts w:asciiTheme="minorHAnsi" w:hAnsiTheme="minorHAnsi" w:cstheme="minorHAnsi"/>
                <w:sz w:val="18"/>
                <w:szCs w:val="18"/>
              </w:rPr>
            </w:pPr>
            <w:r w:rsidRPr="00BC2B85">
              <w:rPr>
                <w:rFonts w:asciiTheme="minorHAnsi" w:hAnsiTheme="minorHAnsi" w:cstheme="minorHAnsi"/>
                <w:sz w:val="18"/>
                <w:szCs w:val="18"/>
              </w:rPr>
              <w:t>3</w:t>
            </w:r>
          </w:p>
        </w:tc>
        <w:tc>
          <w:tcPr>
            <w:tcW w:w="5802" w:type="dxa"/>
          </w:tcPr>
          <w:p w:rsidR="00B108E8" w:rsidRPr="00BC2B85" w:rsidRDefault="00B108E8" w:rsidP="00BC2B85">
            <w:pPr>
              <w:jc w:val="both"/>
              <w:cnfStyle w:val="000000100000"/>
              <w:rPr>
                <w:rFonts w:asciiTheme="minorHAnsi" w:hAnsiTheme="minorHAnsi" w:cstheme="minorHAnsi"/>
                <w:sz w:val="18"/>
                <w:szCs w:val="18"/>
              </w:rPr>
            </w:pPr>
            <w:r w:rsidRPr="00BC2B85">
              <w:rPr>
                <w:rFonts w:asciiTheme="minorHAnsi" w:hAnsiTheme="minorHAnsi" w:cstheme="minorHAnsi"/>
                <w:sz w:val="18"/>
                <w:szCs w:val="18"/>
              </w:rPr>
              <w:t>Indicadores de Desarrollo Sustentable.</w:t>
            </w:r>
          </w:p>
        </w:tc>
        <w:tc>
          <w:tcPr>
            <w:tcW w:w="1985" w:type="dxa"/>
            <w:vAlign w:val="center"/>
          </w:tcPr>
          <w:p w:rsidR="00B108E8" w:rsidRPr="00BC2B85" w:rsidRDefault="00B108E8" w:rsidP="00BC2B85">
            <w:pPr>
              <w:cnfStyle w:val="000000100000"/>
              <w:rPr>
                <w:rFonts w:asciiTheme="minorHAnsi" w:hAnsiTheme="minorHAnsi" w:cstheme="minorHAnsi"/>
                <w:sz w:val="18"/>
                <w:szCs w:val="18"/>
              </w:rPr>
            </w:pPr>
            <w:r w:rsidRPr="00BC2B85">
              <w:rPr>
                <w:rFonts w:asciiTheme="minorHAnsi" w:hAnsiTheme="minorHAnsi" w:cstheme="minorHAnsi"/>
                <w:sz w:val="18"/>
                <w:szCs w:val="18"/>
              </w:rPr>
              <w:t>SIGEA</w:t>
            </w:r>
          </w:p>
        </w:tc>
        <w:tc>
          <w:tcPr>
            <w:tcW w:w="724" w:type="dxa"/>
            <w:vAlign w:val="center"/>
          </w:tcPr>
          <w:p w:rsidR="00B108E8" w:rsidRPr="00BC2B85" w:rsidRDefault="00B108E8" w:rsidP="00BC2B85">
            <w:pPr>
              <w:cnfStyle w:val="000000100000"/>
              <w:rPr>
                <w:rFonts w:asciiTheme="minorHAnsi" w:hAnsiTheme="minorHAnsi" w:cstheme="minorHAnsi"/>
                <w:sz w:val="18"/>
                <w:szCs w:val="18"/>
              </w:rPr>
            </w:pPr>
            <w:r w:rsidRPr="00BC2B85">
              <w:rPr>
                <w:rFonts w:asciiTheme="minorHAnsi" w:hAnsiTheme="minorHAnsi" w:cstheme="minorHAnsi"/>
                <w:sz w:val="18"/>
                <w:szCs w:val="18"/>
              </w:rPr>
              <w:t>2005</w:t>
            </w:r>
          </w:p>
        </w:tc>
      </w:tr>
      <w:tr w:rsidR="00745821" w:rsidRPr="000E34D8" w:rsidTr="00BC2B85">
        <w:tc>
          <w:tcPr>
            <w:cnfStyle w:val="001000000000"/>
            <w:tcW w:w="435" w:type="dxa"/>
            <w:vAlign w:val="center"/>
          </w:tcPr>
          <w:p w:rsidR="00B108E8" w:rsidRPr="00BC2B85" w:rsidRDefault="00B108E8" w:rsidP="00BC2B85">
            <w:pPr>
              <w:jc w:val="center"/>
              <w:rPr>
                <w:rFonts w:asciiTheme="minorHAnsi" w:hAnsiTheme="minorHAnsi" w:cstheme="minorHAnsi"/>
                <w:sz w:val="18"/>
                <w:szCs w:val="18"/>
              </w:rPr>
            </w:pPr>
            <w:r w:rsidRPr="00BC2B85">
              <w:rPr>
                <w:rFonts w:asciiTheme="minorHAnsi" w:hAnsiTheme="minorHAnsi" w:cstheme="minorHAnsi"/>
                <w:sz w:val="18"/>
                <w:szCs w:val="18"/>
              </w:rPr>
              <w:t>4</w:t>
            </w:r>
          </w:p>
        </w:tc>
        <w:tc>
          <w:tcPr>
            <w:tcW w:w="5802" w:type="dxa"/>
          </w:tcPr>
          <w:p w:rsidR="00B108E8" w:rsidRPr="00BC2B85" w:rsidRDefault="00B108E8" w:rsidP="00BC2B85">
            <w:pPr>
              <w:jc w:val="both"/>
              <w:cnfStyle w:val="000000000000"/>
              <w:rPr>
                <w:rFonts w:asciiTheme="minorHAnsi" w:hAnsiTheme="minorHAnsi" w:cstheme="minorHAnsi"/>
                <w:sz w:val="18"/>
                <w:szCs w:val="18"/>
              </w:rPr>
            </w:pPr>
            <w:r w:rsidRPr="00BC2B85">
              <w:rPr>
                <w:rFonts w:asciiTheme="minorHAnsi" w:hAnsiTheme="minorHAnsi" w:cstheme="minorHAnsi"/>
                <w:sz w:val="18"/>
                <w:szCs w:val="18"/>
              </w:rPr>
              <w:t>Análisis de subsidios dañinos al ambiente y evaluación de su posible remoción.</w:t>
            </w:r>
          </w:p>
        </w:tc>
        <w:tc>
          <w:tcPr>
            <w:tcW w:w="1985" w:type="dxa"/>
            <w:vAlign w:val="center"/>
          </w:tcPr>
          <w:p w:rsidR="00B108E8" w:rsidRPr="00BC2B85" w:rsidRDefault="00B108E8" w:rsidP="00BC2B85">
            <w:pPr>
              <w:cnfStyle w:val="000000000000"/>
              <w:rPr>
                <w:rFonts w:asciiTheme="minorHAnsi" w:hAnsiTheme="minorHAnsi" w:cstheme="minorHAnsi"/>
                <w:sz w:val="18"/>
                <w:szCs w:val="18"/>
              </w:rPr>
            </w:pPr>
            <w:r w:rsidRPr="00BC2B85">
              <w:rPr>
                <w:rFonts w:asciiTheme="minorHAnsi" w:hAnsiTheme="minorHAnsi" w:cstheme="minorHAnsi"/>
                <w:sz w:val="18"/>
                <w:szCs w:val="18"/>
              </w:rPr>
              <w:t>COESNA</w:t>
            </w:r>
          </w:p>
        </w:tc>
        <w:tc>
          <w:tcPr>
            <w:tcW w:w="724" w:type="dxa"/>
            <w:vAlign w:val="center"/>
          </w:tcPr>
          <w:p w:rsidR="00B108E8" w:rsidRPr="00BC2B85" w:rsidRDefault="00B108E8" w:rsidP="00BC2B85">
            <w:pPr>
              <w:cnfStyle w:val="000000000000"/>
              <w:rPr>
                <w:rFonts w:asciiTheme="minorHAnsi" w:hAnsiTheme="minorHAnsi" w:cstheme="minorHAnsi"/>
                <w:sz w:val="18"/>
                <w:szCs w:val="18"/>
              </w:rPr>
            </w:pPr>
            <w:r w:rsidRPr="00BC2B85">
              <w:rPr>
                <w:rFonts w:asciiTheme="minorHAnsi" w:hAnsiTheme="minorHAnsi" w:cstheme="minorHAnsi"/>
                <w:sz w:val="18"/>
                <w:szCs w:val="18"/>
              </w:rPr>
              <w:t>2005</w:t>
            </w:r>
          </w:p>
        </w:tc>
      </w:tr>
      <w:tr w:rsidR="00745821" w:rsidRPr="000E34D8" w:rsidTr="00BC2B85">
        <w:trPr>
          <w:cnfStyle w:val="000000100000"/>
        </w:trPr>
        <w:tc>
          <w:tcPr>
            <w:cnfStyle w:val="001000000000"/>
            <w:tcW w:w="435" w:type="dxa"/>
            <w:vAlign w:val="center"/>
          </w:tcPr>
          <w:p w:rsidR="00B108E8" w:rsidRPr="00BC2B85" w:rsidRDefault="00585149" w:rsidP="00BC2B85">
            <w:pPr>
              <w:jc w:val="center"/>
              <w:rPr>
                <w:rFonts w:asciiTheme="minorHAnsi" w:hAnsiTheme="minorHAnsi" w:cstheme="minorHAnsi"/>
                <w:sz w:val="18"/>
                <w:szCs w:val="18"/>
              </w:rPr>
            </w:pPr>
            <w:r w:rsidRPr="00BC2B85">
              <w:rPr>
                <w:rFonts w:asciiTheme="minorHAnsi" w:hAnsiTheme="minorHAnsi" w:cstheme="minorHAnsi"/>
                <w:sz w:val="18"/>
                <w:szCs w:val="18"/>
              </w:rPr>
              <w:t>5</w:t>
            </w:r>
          </w:p>
        </w:tc>
        <w:tc>
          <w:tcPr>
            <w:tcW w:w="5802" w:type="dxa"/>
          </w:tcPr>
          <w:p w:rsidR="00B108E8" w:rsidRPr="00BC2B85" w:rsidRDefault="00585149" w:rsidP="00BC2B85">
            <w:pPr>
              <w:jc w:val="both"/>
              <w:cnfStyle w:val="000000100000"/>
              <w:rPr>
                <w:rFonts w:asciiTheme="minorHAnsi" w:hAnsiTheme="minorHAnsi" w:cstheme="minorHAnsi"/>
                <w:sz w:val="18"/>
                <w:szCs w:val="18"/>
              </w:rPr>
            </w:pPr>
            <w:r w:rsidRPr="00BC2B85">
              <w:rPr>
                <w:rFonts w:asciiTheme="minorHAnsi" w:hAnsiTheme="minorHAnsi" w:cstheme="minorHAnsi"/>
                <w:sz w:val="18"/>
                <w:szCs w:val="18"/>
              </w:rPr>
              <w:t>Integración del Plan Verde en el contexto de la Gestión  Ambiental 2000-2006.</w:t>
            </w:r>
          </w:p>
        </w:tc>
        <w:tc>
          <w:tcPr>
            <w:tcW w:w="1985" w:type="dxa"/>
            <w:vAlign w:val="center"/>
          </w:tcPr>
          <w:p w:rsidR="00B108E8" w:rsidRPr="00BC2B85" w:rsidRDefault="00585149" w:rsidP="00BC2B85">
            <w:pPr>
              <w:cnfStyle w:val="000000100000"/>
              <w:rPr>
                <w:rFonts w:asciiTheme="minorHAnsi" w:hAnsiTheme="minorHAnsi" w:cstheme="minorHAnsi"/>
                <w:sz w:val="18"/>
                <w:szCs w:val="18"/>
              </w:rPr>
            </w:pPr>
            <w:r w:rsidRPr="00BC2B85">
              <w:rPr>
                <w:rFonts w:asciiTheme="minorHAnsi" w:hAnsiTheme="minorHAnsi" w:cstheme="minorHAnsi"/>
                <w:sz w:val="18"/>
                <w:szCs w:val="18"/>
              </w:rPr>
              <w:t>Fernando Aragón</w:t>
            </w:r>
          </w:p>
        </w:tc>
        <w:tc>
          <w:tcPr>
            <w:tcW w:w="724" w:type="dxa"/>
            <w:vAlign w:val="center"/>
          </w:tcPr>
          <w:p w:rsidR="00B108E8" w:rsidRPr="00BC2B85" w:rsidRDefault="00585149" w:rsidP="00BC2B85">
            <w:pPr>
              <w:cnfStyle w:val="000000100000"/>
              <w:rPr>
                <w:rFonts w:asciiTheme="minorHAnsi" w:hAnsiTheme="minorHAnsi" w:cstheme="minorHAnsi"/>
                <w:sz w:val="18"/>
                <w:szCs w:val="18"/>
              </w:rPr>
            </w:pPr>
            <w:r w:rsidRPr="00BC2B85">
              <w:rPr>
                <w:rFonts w:asciiTheme="minorHAnsi" w:hAnsiTheme="minorHAnsi" w:cstheme="minorHAnsi"/>
                <w:sz w:val="18"/>
                <w:szCs w:val="18"/>
              </w:rPr>
              <w:t>2006</w:t>
            </w:r>
          </w:p>
        </w:tc>
      </w:tr>
      <w:tr w:rsidR="00745821" w:rsidRPr="000E34D8" w:rsidTr="00BC2B85">
        <w:tc>
          <w:tcPr>
            <w:cnfStyle w:val="001000000000"/>
            <w:tcW w:w="435" w:type="dxa"/>
            <w:vAlign w:val="center"/>
          </w:tcPr>
          <w:p w:rsidR="00B108E8" w:rsidRPr="00BC2B85" w:rsidRDefault="00585149" w:rsidP="00BC2B85">
            <w:pPr>
              <w:jc w:val="center"/>
              <w:rPr>
                <w:rFonts w:asciiTheme="minorHAnsi" w:hAnsiTheme="minorHAnsi" w:cstheme="minorHAnsi"/>
                <w:sz w:val="18"/>
                <w:szCs w:val="18"/>
              </w:rPr>
            </w:pPr>
            <w:r w:rsidRPr="00BC2B85">
              <w:rPr>
                <w:rFonts w:asciiTheme="minorHAnsi" w:hAnsiTheme="minorHAnsi" w:cstheme="minorHAnsi"/>
                <w:sz w:val="18"/>
                <w:szCs w:val="18"/>
              </w:rPr>
              <w:t>6</w:t>
            </w:r>
          </w:p>
        </w:tc>
        <w:tc>
          <w:tcPr>
            <w:tcW w:w="5802" w:type="dxa"/>
          </w:tcPr>
          <w:p w:rsidR="00B108E8" w:rsidRPr="00BC2B85" w:rsidRDefault="00585149" w:rsidP="00BC2B85">
            <w:pPr>
              <w:jc w:val="both"/>
              <w:cnfStyle w:val="000000000000"/>
              <w:rPr>
                <w:rFonts w:asciiTheme="minorHAnsi" w:hAnsiTheme="minorHAnsi" w:cstheme="minorHAnsi"/>
                <w:sz w:val="18"/>
                <w:szCs w:val="18"/>
              </w:rPr>
            </w:pPr>
            <w:r w:rsidRPr="00BC2B85">
              <w:rPr>
                <w:rFonts w:asciiTheme="minorHAnsi" w:hAnsiTheme="minorHAnsi" w:cstheme="minorHAnsi"/>
                <w:sz w:val="18"/>
                <w:szCs w:val="18"/>
              </w:rPr>
              <w:t>Análisis de la Gestión Ambiental 2000-2006 y perspectivas de planeación estratégica al 2025.</w:t>
            </w:r>
          </w:p>
        </w:tc>
        <w:tc>
          <w:tcPr>
            <w:tcW w:w="1985" w:type="dxa"/>
            <w:vAlign w:val="center"/>
          </w:tcPr>
          <w:p w:rsidR="00B108E8" w:rsidRPr="00BC2B85" w:rsidRDefault="00585149" w:rsidP="00BC2B85">
            <w:pPr>
              <w:cnfStyle w:val="000000000000"/>
              <w:rPr>
                <w:rFonts w:asciiTheme="minorHAnsi" w:hAnsiTheme="minorHAnsi" w:cstheme="minorHAnsi"/>
                <w:sz w:val="18"/>
                <w:szCs w:val="18"/>
              </w:rPr>
            </w:pPr>
            <w:r w:rsidRPr="00BC2B85">
              <w:rPr>
                <w:rFonts w:asciiTheme="minorHAnsi" w:hAnsiTheme="minorHAnsi" w:cstheme="minorHAnsi"/>
                <w:sz w:val="18"/>
                <w:szCs w:val="18"/>
              </w:rPr>
              <w:t>Rafael Robles</w:t>
            </w:r>
          </w:p>
        </w:tc>
        <w:tc>
          <w:tcPr>
            <w:tcW w:w="724" w:type="dxa"/>
            <w:vAlign w:val="center"/>
          </w:tcPr>
          <w:p w:rsidR="00B108E8" w:rsidRPr="00BC2B85" w:rsidRDefault="00585149" w:rsidP="00BC2B85">
            <w:pPr>
              <w:cnfStyle w:val="000000000000"/>
              <w:rPr>
                <w:rFonts w:asciiTheme="minorHAnsi" w:hAnsiTheme="minorHAnsi" w:cstheme="minorHAnsi"/>
                <w:sz w:val="18"/>
                <w:szCs w:val="18"/>
              </w:rPr>
            </w:pPr>
            <w:r w:rsidRPr="00BC2B85">
              <w:rPr>
                <w:rFonts w:asciiTheme="minorHAnsi" w:hAnsiTheme="minorHAnsi" w:cstheme="minorHAnsi"/>
                <w:sz w:val="18"/>
                <w:szCs w:val="18"/>
              </w:rPr>
              <w:t>2006</w:t>
            </w:r>
          </w:p>
        </w:tc>
      </w:tr>
      <w:tr w:rsidR="00745821" w:rsidRPr="000E34D8" w:rsidTr="00BC2B85">
        <w:trPr>
          <w:cnfStyle w:val="000000100000"/>
        </w:trPr>
        <w:tc>
          <w:tcPr>
            <w:cnfStyle w:val="001000000000"/>
            <w:tcW w:w="435" w:type="dxa"/>
            <w:vAlign w:val="center"/>
          </w:tcPr>
          <w:p w:rsidR="00B108E8" w:rsidRPr="00BC2B85" w:rsidRDefault="00585149" w:rsidP="00BC2B85">
            <w:pPr>
              <w:jc w:val="center"/>
              <w:rPr>
                <w:rFonts w:asciiTheme="minorHAnsi" w:hAnsiTheme="minorHAnsi" w:cstheme="minorHAnsi"/>
                <w:sz w:val="18"/>
                <w:szCs w:val="18"/>
              </w:rPr>
            </w:pPr>
            <w:r w:rsidRPr="00BC2B85">
              <w:rPr>
                <w:rFonts w:asciiTheme="minorHAnsi" w:hAnsiTheme="minorHAnsi" w:cstheme="minorHAnsi"/>
                <w:sz w:val="18"/>
                <w:szCs w:val="18"/>
              </w:rPr>
              <w:t>7</w:t>
            </w:r>
          </w:p>
        </w:tc>
        <w:tc>
          <w:tcPr>
            <w:tcW w:w="5802" w:type="dxa"/>
          </w:tcPr>
          <w:p w:rsidR="00B108E8" w:rsidRPr="00BC2B85" w:rsidRDefault="00585149" w:rsidP="00BC2B85">
            <w:pPr>
              <w:jc w:val="both"/>
              <w:cnfStyle w:val="000000100000"/>
              <w:rPr>
                <w:rFonts w:asciiTheme="minorHAnsi" w:hAnsiTheme="minorHAnsi" w:cstheme="minorHAnsi"/>
                <w:sz w:val="18"/>
                <w:szCs w:val="18"/>
              </w:rPr>
            </w:pPr>
            <w:r w:rsidRPr="00BC2B85">
              <w:rPr>
                <w:rFonts w:asciiTheme="minorHAnsi" w:hAnsiTheme="minorHAnsi" w:cstheme="minorHAnsi"/>
                <w:sz w:val="18"/>
                <w:szCs w:val="18"/>
              </w:rPr>
              <w:t>Evaluación Comparativa de México en el contexto mundial, con base en Indicadores de desempeño en materia de Cambio Climático.</w:t>
            </w:r>
          </w:p>
        </w:tc>
        <w:tc>
          <w:tcPr>
            <w:tcW w:w="1985" w:type="dxa"/>
            <w:vAlign w:val="center"/>
          </w:tcPr>
          <w:p w:rsidR="00B108E8" w:rsidRPr="00BC2B85" w:rsidRDefault="00585149" w:rsidP="00BC2B85">
            <w:pPr>
              <w:cnfStyle w:val="000000100000"/>
              <w:rPr>
                <w:rFonts w:asciiTheme="minorHAnsi" w:hAnsiTheme="minorHAnsi" w:cstheme="minorHAnsi"/>
                <w:sz w:val="18"/>
                <w:szCs w:val="18"/>
              </w:rPr>
            </w:pPr>
            <w:r w:rsidRPr="00BC2B85">
              <w:rPr>
                <w:rFonts w:asciiTheme="minorHAnsi" w:hAnsiTheme="minorHAnsi" w:cstheme="minorHAnsi"/>
                <w:sz w:val="18"/>
                <w:szCs w:val="18"/>
              </w:rPr>
              <w:t>Centro Mario Molina</w:t>
            </w:r>
          </w:p>
        </w:tc>
        <w:tc>
          <w:tcPr>
            <w:tcW w:w="724" w:type="dxa"/>
            <w:vAlign w:val="center"/>
          </w:tcPr>
          <w:p w:rsidR="00B108E8" w:rsidRPr="00BC2B85" w:rsidRDefault="00585149" w:rsidP="00BC2B85">
            <w:pPr>
              <w:cnfStyle w:val="000000100000"/>
              <w:rPr>
                <w:rFonts w:asciiTheme="minorHAnsi" w:hAnsiTheme="minorHAnsi" w:cstheme="minorHAnsi"/>
                <w:sz w:val="18"/>
                <w:szCs w:val="18"/>
              </w:rPr>
            </w:pPr>
            <w:r w:rsidRPr="00BC2B85">
              <w:rPr>
                <w:rFonts w:asciiTheme="minorHAnsi" w:hAnsiTheme="minorHAnsi" w:cstheme="minorHAnsi"/>
                <w:sz w:val="18"/>
                <w:szCs w:val="18"/>
              </w:rPr>
              <w:t>2006</w:t>
            </w:r>
          </w:p>
        </w:tc>
      </w:tr>
      <w:tr w:rsidR="00745821" w:rsidRPr="000E34D8" w:rsidTr="00BC2B85">
        <w:tc>
          <w:tcPr>
            <w:cnfStyle w:val="001000000000"/>
            <w:tcW w:w="435" w:type="dxa"/>
            <w:vAlign w:val="center"/>
          </w:tcPr>
          <w:p w:rsidR="00B108E8" w:rsidRPr="00BC2B85" w:rsidRDefault="00585149" w:rsidP="00BC2B85">
            <w:pPr>
              <w:jc w:val="center"/>
              <w:rPr>
                <w:rFonts w:asciiTheme="minorHAnsi" w:hAnsiTheme="minorHAnsi" w:cstheme="minorHAnsi"/>
                <w:sz w:val="18"/>
                <w:szCs w:val="18"/>
              </w:rPr>
            </w:pPr>
            <w:r w:rsidRPr="00BC2B85">
              <w:rPr>
                <w:rFonts w:asciiTheme="minorHAnsi" w:hAnsiTheme="minorHAnsi" w:cstheme="minorHAnsi"/>
                <w:sz w:val="18"/>
                <w:szCs w:val="18"/>
              </w:rPr>
              <w:t>8</w:t>
            </w:r>
          </w:p>
        </w:tc>
        <w:tc>
          <w:tcPr>
            <w:tcW w:w="5802" w:type="dxa"/>
          </w:tcPr>
          <w:p w:rsidR="00B108E8" w:rsidRPr="00BC2B85" w:rsidRDefault="00585149" w:rsidP="00BC2B85">
            <w:pPr>
              <w:jc w:val="both"/>
              <w:cnfStyle w:val="000000000000"/>
              <w:rPr>
                <w:rFonts w:asciiTheme="minorHAnsi" w:hAnsiTheme="minorHAnsi" w:cstheme="minorHAnsi"/>
                <w:sz w:val="18"/>
                <w:szCs w:val="18"/>
              </w:rPr>
            </w:pPr>
            <w:r w:rsidRPr="00BC2B85">
              <w:rPr>
                <w:rFonts w:asciiTheme="minorHAnsi" w:hAnsiTheme="minorHAnsi" w:cstheme="minorHAnsi"/>
                <w:sz w:val="18"/>
                <w:szCs w:val="18"/>
              </w:rPr>
              <w:t>Información de Cambio Climático a escala estatal: Tendencias climáticas, Escenarios de vulnerabilidad y Potenciales Estrategias de Adaptación al Cambio Climático.</w:t>
            </w:r>
          </w:p>
        </w:tc>
        <w:tc>
          <w:tcPr>
            <w:tcW w:w="1985" w:type="dxa"/>
            <w:vAlign w:val="center"/>
          </w:tcPr>
          <w:p w:rsidR="00B108E8" w:rsidRPr="00BC2B85" w:rsidRDefault="00585149" w:rsidP="00BC2B85">
            <w:pPr>
              <w:cnfStyle w:val="000000000000"/>
              <w:rPr>
                <w:rFonts w:asciiTheme="minorHAnsi" w:hAnsiTheme="minorHAnsi" w:cstheme="minorHAnsi"/>
                <w:sz w:val="18"/>
                <w:szCs w:val="18"/>
              </w:rPr>
            </w:pPr>
            <w:r w:rsidRPr="00BC2B85">
              <w:rPr>
                <w:rFonts w:asciiTheme="minorHAnsi" w:hAnsiTheme="minorHAnsi" w:cstheme="minorHAnsi"/>
                <w:sz w:val="18"/>
                <w:szCs w:val="18"/>
              </w:rPr>
              <w:t>Guillermo Ortega Gil</w:t>
            </w:r>
          </w:p>
        </w:tc>
        <w:tc>
          <w:tcPr>
            <w:tcW w:w="724" w:type="dxa"/>
            <w:vAlign w:val="center"/>
          </w:tcPr>
          <w:p w:rsidR="00B108E8" w:rsidRPr="00BC2B85" w:rsidRDefault="00585149" w:rsidP="00BC2B85">
            <w:pPr>
              <w:cnfStyle w:val="000000000000"/>
              <w:rPr>
                <w:rFonts w:asciiTheme="minorHAnsi" w:hAnsiTheme="minorHAnsi" w:cstheme="minorHAnsi"/>
                <w:sz w:val="18"/>
                <w:szCs w:val="18"/>
              </w:rPr>
            </w:pPr>
            <w:r w:rsidRPr="00BC2B85">
              <w:rPr>
                <w:rFonts w:asciiTheme="minorHAnsi" w:hAnsiTheme="minorHAnsi" w:cstheme="minorHAnsi"/>
                <w:sz w:val="18"/>
                <w:szCs w:val="18"/>
              </w:rPr>
              <w:t>2006</w:t>
            </w:r>
          </w:p>
        </w:tc>
      </w:tr>
      <w:tr w:rsidR="00745821" w:rsidRPr="000E34D8" w:rsidTr="00BC2B85">
        <w:trPr>
          <w:cnfStyle w:val="000000100000"/>
        </w:trPr>
        <w:tc>
          <w:tcPr>
            <w:cnfStyle w:val="001000000000"/>
            <w:tcW w:w="435" w:type="dxa"/>
            <w:vAlign w:val="center"/>
          </w:tcPr>
          <w:p w:rsidR="00B108E8" w:rsidRPr="00BC2B85" w:rsidRDefault="00585149" w:rsidP="00BC2B85">
            <w:pPr>
              <w:jc w:val="center"/>
              <w:rPr>
                <w:rFonts w:asciiTheme="minorHAnsi" w:hAnsiTheme="minorHAnsi" w:cstheme="minorHAnsi"/>
                <w:sz w:val="18"/>
                <w:szCs w:val="18"/>
              </w:rPr>
            </w:pPr>
            <w:r w:rsidRPr="00BC2B85">
              <w:rPr>
                <w:rFonts w:asciiTheme="minorHAnsi" w:hAnsiTheme="minorHAnsi" w:cstheme="minorHAnsi"/>
                <w:sz w:val="18"/>
                <w:szCs w:val="18"/>
              </w:rPr>
              <w:t>9</w:t>
            </w:r>
          </w:p>
        </w:tc>
        <w:tc>
          <w:tcPr>
            <w:tcW w:w="5802" w:type="dxa"/>
          </w:tcPr>
          <w:p w:rsidR="00B108E8" w:rsidRPr="00BC2B85" w:rsidRDefault="000A1464" w:rsidP="00BC2B85">
            <w:pPr>
              <w:jc w:val="both"/>
              <w:cnfStyle w:val="000000100000"/>
              <w:rPr>
                <w:rFonts w:asciiTheme="minorHAnsi" w:hAnsiTheme="minorHAnsi" w:cstheme="minorHAnsi"/>
                <w:sz w:val="18"/>
                <w:szCs w:val="18"/>
              </w:rPr>
            </w:pPr>
            <w:r w:rsidRPr="00BC2B85">
              <w:rPr>
                <w:rFonts w:asciiTheme="minorHAnsi" w:hAnsiTheme="minorHAnsi" w:cstheme="minorHAnsi"/>
                <w:sz w:val="18"/>
                <w:szCs w:val="18"/>
              </w:rPr>
              <w:t>Plan de financiamiento para las prioridades de planeación ambiental)</w:t>
            </w:r>
          </w:p>
        </w:tc>
        <w:tc>
          <w:tcPr>
            <w:tcW w:w="1985" w:type="dxa"/>
            <w:vAlign w:val="center"/>
          </w:tcPr>
          <w:p w:rsidR="00B108E8" w:rsidRPr="00BC2B85" w:rsidRDefault="000A1464" w:rsidP="00BC2B85">
            <w:pPr>
              <w:cnfStyle w:val="000000100000"/>
              <w:rPr>
                <w:rFonts w:asciiTheme="minorHAnsi" w:hAnsiTheme="minorHAnsi" w:cstheme="minorHAnsi"/>
                <w:sz w:val="18"/>
                <w:szCs w:val="18"/>
              </w:rPr>
            </w:pPr>
            <w:r w:rsidRPr="00BC2B85">
              <w:rPr>
                <w:rFonts w:asciiTheme="minorHAnsi" w:hAnsiTheme="minorHAnsi" w:cstheme="minorHAnsi"/>
                <w:sz w:val="18"/>
                <w:szCs w:val="18"/>
              </w:rPr>
              <w:t>U</w:t>
            </w:r>
            <w:r w:rsidR="001E44A2">
              <w:rPr>
                <w:rFonts w:asciiTheme="minorHAnsi" w:hAnsiTheme="minorHAnsi" w:cstheme="minorHAnsi"/>
                <w:sz w:val="18"/>
                <w:szCs w:val="18"/>
              </w:rPr>
              <w:t xml:space="preserve">niversidad </w:t>
            </w:r>
            <w:r w:rsidRPr="00BC2B85">
              <w:rPr>
                <w:rFonts w:asciiTheme="minorHAnsi" w:hAnsiTheme="minorHAnsi" w:cstheme="minorHAnsi"/>
                <w:sz w:val="18"/>
                <w:szCs w:val="18"/>
              </w:rPr>
              <w:t>A</w:t>
            </w:r>
            <w:r w:rsidR="001E44A2">
              <w:rPr>
                <w:rFonts w:asciiTheme="minorHAnsi" w:hAnsiTheme="minorHAnsi" w:cstheme="minorHAnsi"/>
                <w:sz w:val="18"/>
                <w:szCs w:val="18"/>
              </w:rPr>
              <w:t xml:space="preserve">náhuac del </w:t>
            </w:r>
            <w:r w:rsidRPr="00BC2B85">
              <w:rPr>
                <w:rFonts w:asciiTheme="minorHAnsi" w:hAnsiTheme="minorHAnsi" w:cstheme="minorHAnsi"/>
                <w:sz w:val="18"/>
                <w:szCs w:val="18"/>
              </w:rPr>
              <w:t>S</w:t>
            </w:r>
            <w:r w:rsidR="001E44A2">
              <w:rPr>
                <w:rFonts w:asciiTheme="minorHAnsi" w:hAnsiTheme="minorHAnsi" w:cstheme="minorHAnsi"/>
                <w:sz w:val="18"/>
                <w:szCs w:val="18"/>
              </w:rPr>
              <w:t>ur</w:t>
            </w:r>
          </w:p>
        </w:tc>
        <w:tc>
          <w:tcPr>
            <w:tcW w:w="724" w:type="dxa"/>
            <w:vAlign w:val="center"/>
          </w:tcPr>
          <w:p w:rsidR="00B108E8" w:rsidRPr="00BC2B85" w:rsidRDefault="000A1464" w:rsidP="00BC2B85">
            <w:pPr>
              <w:cnfStyle w:val="000000100000"/>
              <w:rPr>
                <w:rFonts w:asciiTheme="minorHAnsi" w:hAnsiTheme="minorHAnsi" w:cstheme="minorHAnsi"/>
                <w:sz w:val="18"/>
                <w:szCs w:val="18"/>
              </w:rPr>
            </w:pPr>
            <w:r w:rsidRPr="00BC2B85">
              <w:rPr>
                <w:rFonts w:asciiTheme="minorHAnsi" w:hAnsiTheme="minorHAnsi" w:cstheme="minorHAnsi"/>
                <w:sz w:val="18"/>
                <w:szCs w:val="18"/>
              </w:rPr>
              <w:t>2007</w:t>
            </w:r>
          </w:p>
        </w:tc>
      </w:tr>
      <w:tr w:rsidR="00745821" w:rsidRPr="000E34D8" w:rsidTr="00BC2B85">
        <w:tc>
          <w:tcPr>
            <w:cnfStyle w:val="001000000000"/>
            <w:tcW w:w="435" w:type="dxa"/>
            <w:vAlign w:val="center"/>
          </w:tcPr>
          <w:p w:rsidR="00585149" w:rsidRPr="00BC2B85" w:rsidRDefault="00585149" w:rsidP="00BC2B85">
            <w:pPr>
              <w:jc w:val="center"/>
              <w:rPr>
                <w:rFonts w:asciiTheme="minorHAnsi" w:hAnsiTheme="minorHAnsi" w:cstheme="minorHAnsi"/>
                <w:sz w:val="18"/>
                <w:szCs w:val="18"/>
              </w:rPr>
            </w:pPr>
            <w:r w:rsidRPr="00BC2B85">
              <w:rPr>
                <w:rFonts w:asciiTheme="minorHAnsi" w:hAnsiTheme="minorHAnsi" w:cstheme="minorHAnsi"/>
                <w:sz w:val="18"/>
                <w:szCs w:val="18"/>
              </w:rPr>
              <w:t>10</w:t>
            </w:r>
          </w:p>
        </w:tc>
        <w:tc>
          <w:tcPr>
            <w:tcW w:w="5802" w:type="dxa"/>
          </w:tcPr>
          <w:p w:rsidR="00585149" w:rsidRPr="00BC2B85" w:rsidRDefault="000A1464" w:rsidP="00BC2B85">
            <w:pPr>
              <w:jc w:val="both"/>
              <w:cnfStyle w:val="000000000000"/>
              <w:rPr>
                <w:rFonts w:asciiTheme="minorHAnsi" w:hAnsiTheme="minorHAnsi" w:cstheme="minorHAnsi"/>
                <w:sz w:val="18"/>
                <w:szCs w:val="18"/>
              </w:rPr>
            </w:pPr>
            <w:r w:rsidRPr="00BC2B85">
              <w:rPr>
                <w:rFonts w:asciiTheme="minorHAnsi" w:hAnsiTheme="minorHAnsi" w:cstheme="minorHAnsi"/>
                <w:sz w:val="18"/>
                <w:szCs w:val="18"/>
              </w:rPr>
              <w:t>Mapa tecnológico para la generación micro-hidroeléctrica.</w:t>
            </w:r>
          </w:p>
        </w:tc>
        <w:tc>
          <w:tcPr>
            <w:tcW w:w="1985" w:type="dxa"/>
            <w:vAlign w:val="center"/>
          </w:tcPr>
          <w:p w:rsidR="00585149" w:rsidRPr="00BC2B85" w:rsidRDefault="000A1464" w:rsidP="00BC2B85">
            <w:pPr>
              <w:cnfStyle w:val="000000000000"/>
              <w:rPr>
                <w:rFonts w:asciiTheme="minorHAnsi" w:hAnsiTheme="minorHAnsi" w:cstheme="minorHAnsi"/>
                <w:sz w:val="18"/>
                <w:szCs w:val="18"/>
              </w:rPr>
            </w:pPr>
            <w:r w:rsidRPr="00BC2B85">
              <w:rPr>
                <w:rFonts w:asciiTheme="minorHAnsi" w:hAnsiTheme="minorHAnsi" w:cstheme="minorHAnsi"/>
                <w:sz w:val="18"/>
                <w:szCs w:val="18"/>
              </w:rPr>
              <w:t>CDT-ITAM</w:t>
            </w:r>
          </w:p>
        </w:tc>
        <w:tc>
          <w:tcPr>
            <w:tcW w:w="724" w:type="dxa"/>
            <w:vAlign w:val="center"/>
          </w:tcPr>
          <w:p w:rsidR="00585149" w:rsidRPr="00BC2B85" w:rsidRDefault="000A1464" w:rsidP="00BC2B85">
            <w:pPr>
              <w:cnfStyle w:val="000000000000"/>
              <w:rPr>
                <w:rFonts w:asciiTheme="minorHAnsi" w:hAnsiTheme="minorHAnsi" w:cstheme="minorHAnsi"/>
                <w:sz w:val="18"/>
                <w:szCs w:val="18"/>
              </w:rPr>
            </w:pPr>
            <w:r w:rsidRPr="00BC2B85">
              <w:rPr>
                <w:rFonts w:asciiTheme="minorHAnsi" w:hAnsiTheme="minorHAnsi" w:cstheme="minorHAnsi"/>
                <w:sz w:val="18"/>
                <w:szCs w:val="18"/>
              </w:rPr>
              <w:t>2007</w:t>
            </w:r>
          </w:p>
        </w:tc>
      </w:tr>
      <w:tr w:rsidR="00745821" w:rsidRPr="000E34D8" w:rsidTr="00BC2B85">
        <w:trPr>
          <w:cnfStyle w:val="000000100000"/>
        </w:trPr>
        <w:tc>
          <w:tcPr>
            <w:cnfStyle w:val="001000000000"/>
            <w:tcW w:w="435" w:type="dxa"/>
            <w:vAlign w:val="center"/>
          </w:tcPr>
          <w:p w:rsidR="00585149" w:rsidRPr="00BC2B85" w:rsidRDefault="00585149" w:rsidP="00BC2B85">
            <w:pPr>
              <w:jc w:val="center"/>
              <w:rPr>
                <w:rFonts w:asciiTheme="minorHAnsi" w:hAnsiTheme="minorHAnsi" w:cstheme="minorHAnsi"/>
                <w:sz w:val="18"/>
                <w:szCs w:val="18"/>
              </w:rPr>
            </w:pPr>
            <w:r w:rsidRPr="00BC2B85">
              <w:rPr>
                <w:rFonts w:asciiTheme="minorHAnsi" w:hAnsiTheme="minorHAnsi" w:cstheme="minorHAnsi"/>
                <w:sz w:val="18"/>
                <w:szCs w:val="18"/>
              </w:rPr>
              <w:t>11</w:t>
            </w:r>
          </w:p>
        </w:tc>
        <w:tc>
          <w:tcPr>
            <w:tcW w:w="5802" w:type="dxa"/>
          </w:tcPr>
          <w:p w:rsidR="00585149" w:rsidRPr="00BC2B85" w:rsidRDefault="000A1464" w:rsidP="00BC2B85">
            <w:pPr>
              <w:jc w:val="both"/>
              <w:cnfStyle w:val="000000100000"/>
              <w:rPr>
                <w:rFonts w:asciiTheme="minorHAnsi" w:hAnsiTheme="minorHAnsi" w:cstheme="minorHAnsi"/>
                <w:sz w:val="18"/>
                <w:szCs w:val="18"/>
              </w:rPr>
            </w:pPr>
            <w:r w:rsidRPr="00BC2B85">
              <w:rPr>
                <w:rFonts w:asciiTheme="minorHAnsi" w:hAnsiTheme="minorHAnsi" w:cstheme="minorHAnsi"/>
                <w:sz w:val="18"/>
                <w:szCs w:val="18"/>
              </w:rPr>
              <w:t>El Plan Verde en la integración del Programa de Medio Ambiente y Recursos Naturales 2007-2012.</w:t>
            </w:r>
          </w:p>
        </w:tc>
        <w:tc>
          <w:tcPr>
            <w:tcW w:w="1985" w:type="dxa"/>
            <w:vAlign w:val="center"/>
          </w:tcPr>
          <w:p w:rsidR="00585149" w:rsidRPr="00BC2B85" w:rsidRDefault="000A1464" w:rsidP="00BC2B85">
            <w:pPr>
              <w:cnfStyle w:val="000000100000"/>
              <w:rPr>
                <w:rFonts w:asciiTheme="minorHAnsi" w:hAnsiTheme="minorHAnsi" w:cstheme="minorHAnsi"/>
                <w:sz w:val="18"/>
                <w:szCs w:val="18"/>
              </w:rPr>
            </w:pPr>
            <w:r w:rsidRPr="00BC2B85">
              <w:rPr>
                <w:rFonts w:asciiTheme="minorHAnsi" w:hAnsiTheme="minorHAnsi" w:cstheme="minorHAnsi"/>
                <w:sz w:val="18"/>
                <w:szCs w:val="18"/>
              </w:rPr>
              <w:t xml:space="preserve">Enrique </w:t>
            </w:r>
            <w:proofErr w:type="spellStart"/>
            <w:r w:rsidRPr="00BC2B85">
              <w:rPr>
                <w:rFonts w:asciiTheme="minorHAnsi" w:hAnsiTheme="minorHAnsi" w:cstheme="minorHAnsi"/>
                <w:sz w:val="18"/>
                <w:szCs w:val="18"/>
              </w:rPr>
              <w:t>Provencio</w:t>
            </w:r>
            <w:proofErr w:type="spellEnd"/>
          </w:p>
        </w:tc>
        <w:tc>
          <w:tcPr>
            <w:tcW w:w="724" w:type="dxa"/>
            <w:vAlign w:val="center"/>
          </w:tcPr>
          <w:p w:rsidR="00585149" w:rsidRPr="00BC2B85" w:rsidRDefault="000A1464" w:rsidP="00BC2B85">
            <w:pPr>
              <w:cnfStyle w:val="000000100000"/>
              <w:rPr>
                <w:rFonts w:asciiTheme="minorHAnsi" w:hAnsiTheme="minorHAnsi" w:cstheme="minorHAnsi"/>
                <w:sz w:val="18"/>
                <w:szCs w:val="18"/>
              </w:rPr>
            </w:pPr>
            <w:r w:rsidRPr="00BC2B85">
              <w:rPr>
                <w:rFonts w:asciiTheme="minorHAnsi" w:hAnsiTheme="minorHAnsi" w:cstheme="minorHAnsi"/>
                <w:sz w:val="18"/>
                <w:szCs w:val="18"/>
              </w:rPr>
              <w:t>2007</w:t>
            </w:r>
          </w:p>
        </w:tc>
      </w:tr>
    </w:tbl>
    <w:p w:rsidR="00433C7B" w:rsidRDefault="00D706E5" w:rsidP="00BC2B85">
      <w:pPr>
        <w:pStyle w:val="ListParagraph"/>
        <w:numPr>
          <w:ilvl w:val="0"/>
          <w:numId w:val="9"/>
        </w:numPr>
        <w:spacing w:before="240" w:after="0"/>
        <w:ind w:left="567" w:hanging="567"/>
        <w:contextualSpacing w:val="0"/>
        <w:jc w:val="both"/>
        <w:rPr>
          <w:sz w:val="24"/>
        </w:rPr>
      </w:pPr>
      <w:r>
        <w:rPr>
          <w:sz w:val="24"/>
        </w:rPr>
        <w:t>Aunque todos los estudios tienen como objetivos generar insumos para el diseño de políticas de largo plazo, la importancia e incorporación de tales insumos en el quehacer de las instituciones han sido disímiles</w:t>
      </w:r>
      <w:r w:rsidR="00FF7031">
        <w:rPr>
          <w:sz w:val="24"/>
        </w:rPr>
        <w:t xml:space="preserve"> y difíciles de identificar, debido principalmente a la falta de referencias específicas a estos estudios en los diferentes </w:t>
      </w:r>
      <w:r w:rsidR="00FF7031">
        <w:rPr>
          <w:sz w:val="24"/>
        </w:rPr>
        <w:lastRenderedPageBreak/>
        <w:t>documentos de política y planeación que los consultores han tenido a la vista</w:t>
      </w:r>
      <w:r>
        <w:rPr>
          <w:sz w:val="24"/>
        </w:rPr>
        <w:t xml:space="preserve">. Las instituciones beneficiadas han sido </w:t>
      </w:r>
      <w:proofErr w:type="gramStart"/>
      <w:r>
        <w:rPr>
          <w:sz w:val="24"/>
        </w:rPr>
        <w:t>principalmente ,</w:t>
      </w:r>
      <w:proofErr w:type="gramEnd"/>
      <w:r>
        <w:rPr>
          <w:sz w:val="24"/>
        </w:rPr>
        <w:t xml:space="preserve"> </w:t>
      </w:r>
      <w:r w:rsidR="00EE3580">
        <w:rPr>
          <w:sz w:val="24"/>
        </w:rPr>
        <w:t>el Instituto Nacional de Ecología (</w:t>
      </w:r>
      <w:r>
        <w:rPr>
          <w:sz w:val="24"/>
        </w:rPr>
        <w:t>INE</w:t>
      </w:r>
      <w:r w:rsidR="00EE3580">
        <w:rPr>
          <w:sz w:val="24"/>
        </w:rPr>
        <w:t>)</w:t>
      </w:r>
      <w:r>
        <w:rPr>
          <w:sz w:val="24"/>
        </w:rPr>
        <w:t xml:space="preserve"> y el Ministerio de Hacienda. </w:t>
      </w:r>
    </w:p>
    <w:p w:rsidR="00E006C4" w:rsidRDefault="00E006C4" w:rsidP="00BC2B85">
      <w:pPr>
        <w:pStyle w:val="ListParagraph"/>
        <w:numPr>
          <w:ilvl w:val="0"/>
          <w:numId w:val="9"/>
        </w:numPr>
        <w:ind w:left="567" w:hanging="567"/>
        <w:jc w:val="both"/>
        <w:rPr>
          <w:sz w:val="24"/>
        </w:rPr>
      </w:pPr>
      <w:r>
        <w:rPr>
          <w:sz w:val="24"/>
        </w:rPr>
        <w:t>De los estudios antes descritos, solo dos presentan claros indicios de su incorporación en políticas y planeación de largo plazo: el de “</w:t>
      </w:r>
      <w:r w:rsidRPr="00E006C4">
        <w:rPr>
          <w:sz w:val="24"/>
        </w:rPr>
        <w:t>Escenarios económicos (consumo y producción) sectoriales de largo plazo y política de desarrollo sustentable</w:t>
      </w:r>
      <w:r>
        <w:rPr>
          <w:sz w:val="24"/>
        </w:rPr>
        <w:t>” y otro de “</w:t>
      </w:r>
      <w:r w:rsidRPr="00E006C4">
        <w:rPr>
          <w:sz w:val="24"/>
        </w:rPr>
        <w:t>Información de Cambio Climático a escala estatal: Tendencias climáticas, Escenarios de vulnerabilidad y Potenciales Estrategias de Adaptación al Cambio Climático</w:t>
      </w:r>
      <w:r>
        <w:rPr>
          <w:sz w:val="24"/>
        </w:rPr>
        <w:t>”</w:t>
      </w:r>
      <w:r w:rsidRPr="00E006C4">
        <w:rPr>
          <w:sz w:val="24"/>
        </w:rPr>
        <w:t>.</w:t>
      </w:r>
      <w:r>
        <w:rPr>
          <w:sz w:val="24"/>
        </w:rPr>
        <w:t xml:space="preserve"> El primero dio origen al estudio de la economía del cambio climático, el cual es ampliamente usado por los actores para planificación de políticas públicas, mientras que el segundo dio paso a la elaboración de los programas estatales de</w:t>
      </w:r>
      <w:r w:rsidR="001E44A2">
        <w:rPr>
          <w:sz w:val="24"/>
        </w:rPr>
        <w:t xml:space="preserve"> acción climática</w:t>
      </w:r>
      <w:r>
        <w:rPr>
          <w:sz w:val="24"/>
        </w:rPr>
        <w:t>. Este</w:t>
      </w:r>
      <w:r w:rsidR="008E65E9">
        <w:rPr>
          <w:sz w:val="24"/>
        </w:rPr>
        <w:t xml:space="preserve"> último </w:t>
      </w:r>
      <w:r>
        <w:rPr>
          <w:sz w:val="24"/>
        </w:rPr>
        <w:t xml:space="preserve"> estudio, junto con el de economía para el cambio climático, es utilizado por </w:t>
      </w:r>
      <w:r w:rsidR="00EE3580">
        <w:rPr>
          <w:sz w:val="24"/>
        </w:rPr>
        <w:t xml:space="preserve">el </w:t>
      </w:r>
      <w:r>
        <w:rPr>
          <w:sz w:val="24"/>
        </w:rPr>
        <w:t xml:space="preserve">INE en la formulación de la 5ª </w:t>
      </w:r>
      <w:r w:rsidR="00EE3580">
        <w:rPr>
          <w:sz w:val="24"/>
        </w:rPr>
        <w:t>C</w:t>
      </w:r>
      <w:r>
        <w:rPr>
          <w:sz w:val="24"/>
        </w:rPr>
        <w:t xml:space="preserve">omunicación </w:t>
      </w:r>
      <w:r w:rsidR="00EE3580">
        <w:rPr>
          <w:sz w:val="24"/>
        </w:rPr>
        <w:t>N</w:t>
      </w:r>
      <w:r>
        <w:rPr>
          <w:sz w:val="24"/>
        </w:rPr>
        <w:t xml:space="preserve">acional de México en Cambio Climático y además, realiza el seguimiento del avance en </w:t>
      </w:r>
      <w:r w:rsidR="00A41524">
        <w:rPr>
          <w:sz w:val="24"/>
        </w:rPr>
        <w:t xml:space="preserve">los progresos de los </w:t>
      </w:r>
      <w:r w:rsidR="00EE3580">
        <w:rPr>
          <w:sz w:val="24"/>
        </w:rPr>
        <w:t xml:space="preserve">programas </w:t>
      </w:r>
      <w:r w:rsidR="00A41524">
        <w:rPr>
          <w:sz w:val="24"/>
        </w:rPr>
        <w:t>estatales, por medio de la página web de la institución.</w:t>
      </w:r>
      <w:r>
        <w:rPr>
          <w:sz w:val="24"/>
        </w:rPr>
        <w:t xml:space="preserve"> </w:t>
      </w:r>
    </w:p>
    <w:p w:rsidR="00FA0963" w:rsidRDefault="00FA0963" w:rsidP="000E34D8">
      <w:pPr>
        <w:pStyle w:val="ListParagraph"/>
        <w:numPr>
          <w:ilvl w:val="0"/>
          <w:numId w:val="9"/>
        </w:numPr>
        <w:ind w:left="567" w:hanging="567"/>
        <w:jc w:val="both"/>
        <w:rPr>
          <w:sz w:val="24"/>
        </w:rPr>
      </w:pPr>
      <w:r>
        <w:rPr>
          <w:sz w:val="24"/>
        </w:rPr>
        <w:t>Siguiendo en importancia relativa, el estudio  “</w:t>
      </w:r>
      <w:r w:rsidRPr="00A41524">
        <w:rPr>
          <w:sz w:val="24"/>
        </w:rPr>
        <w:t>Evaluación del impacto de las políticas ambientales y formulación de nuevas propuestas e instrumentos</w:t>
      </w:r>
      <w:r>
        <w:rPr>
          <w:sz w:val="24"/>
        </w:rPr>
        <w:t>”, tuvo como principal fin realizar una revisión de la pertinencia e impacto de 17 programas gubernamentales, de manera de realizar los ajustes necesarios para que tuvieran un mejor desempeño y alinearlos con las prioridades nacionales del gobierno mexicano</w:t>
      </w:r>
      <w:r w:rsidRPr="00A41524">
        <w:rPr>
          <w:sz w:val="24"/>
        </w:rPr>
        <w:t>.</w:t>
      </w:r>
    </w:p>
    <w:p w:rsidR="00FA0963" w:rsidRDefault="00FA0963" w:rsidP="000E34D8">
      <w:pPr>
        <w:pStyle w:val="ListParagraph"/>
        <w:numPr>
          <w:ilvl w:val="0"/>
          <w:numId w:val="9"/>
        </w:numPr>
        <w:ind w:left="567" w:hanging="567"/>
        <w:jc w:val="both"/>
        <w:rPr>
          <w:sz w:val="24"/>
        </w:rPr>
      </w:pPr>
      <w:r>
        <w:rPr>
          <w:sz w:val="24"/>
        </w:rPr>
        <w:t>El resto de los estudios han tenido importancia coyuntural, como responder la evaluación sobre desempeño ambiental de México realizada por la OCD</w:t>
      </w:r>
      <w:r w:rsidR="00EE3580">
        <w:rPr>
          <w:sz w:val="24"/>
        </w:rPr>
        <w:t>E</w:t>
      </w:r>
      <w:r>
        <w:rPr>
          <w:sz w:val="24"/>
        </w:rPr>
        <w:t xml:space="preserve"> o han sido muy específicos, tales como el estudio sobre la generación micro-hidroeléctrica.</w:t>
      </w:r>
    </w:p>
    <w:p w:rsidR="00FA0963" w:rsidRPr="000E34D8" w:rsidRDefault="00FA0963" w:rsidP="00BC2B85">
      <w:pPr>
        <w:pStyle w:val="ListParagraph"/>
        <w:numPr>
          <w:ilvl w:val="0"/>
          <w:numId w:val="9"/>
        </w:numPr>
        <w:ind w:left="567" w:hanging="567"/>
        <w:jc w:val="both"/>
        <w:rPr>
          <w:sz w:val="24"/>
        </w:rPr>
      </w:pPr>
      <w:r w:rsidRPr="000E34D8">
        <w:rPr>
          <w:sz w:val="24"/>
        </w:rPr>
        <w:t>Otros estudios han tenido muy poco uso y no han aportado mucho a la planificación de largo plazo en materia ambiental.</w:t>
      </w:r>
      <w:r w:rsidR="000E34D8">
        <w:rPr>
          <w:sz w:val="24"/>
        </w:rPr>
        <w:t xml:space="preserve"> </w:t>
      </w:r>
      <w:r w:rsidRPr="000E34D8">
        <w:rPr>
          <w:sz w:val="24"/>
        </w:rPr>
        <w:t>El Cuadro Nº</w:t>
      </w:r>
      <w:r w:rsidR="008E65E9">
        <w:rPr>
          <w:sz w:val="24"/>
        </w:rPr>
        <w:t>5</w:t>
      </w:r>
      <w:r w:rsidRPr="000E34D8">
        <w:rPr>
          <w:sz w:val="24"/>
        </w:rPr>
        <w:t>, muestra una percepción de los actores entrevistados sobre la importancia e impacto de los distintos estudios para la definición de políticas, planes y programas a nivel federal y estatal.</w:t>
      </w:r>
    </w:p>
    <w:p w:rsidR="00B57452" w:rsidRDefault="00B57452" w:rsidP="00BC2B85">
      <w:pPr>
        <w:pStyle w:val="ListParagraph"/>
        <w:numPr>
          <w:ilvl w:val="0"/>
          <w:numId w:val="9"/>
        </w:numPr>
        <w:ind w:left="567" w:hanging="567"/>
        <w:jc w:val="both"/>
        <w:rPr>
          <w:sz w:val="24"/>
        </w:rPr>
      </w:pPr>
      <w:r>
        <w:rPr>
          <w:sz w:val="24"/>
        </w:rPr>
        <w:t>De esta forma y dadas las continuas extensiones del proyecto, se pasó de un “apoyo coyuntural y de corto plazo” a una suerte de “asistencia técnica” casi permanente, donde el proyecto apoyó las actividades del gobierno en el tema de cambio climático, el cual había elevado su importancia debido a la decisión presidencial de relevar este tema a mediados del 2007.</w:t>
      </w:r>
    </w:p>
    <w:p w:rsidR="004152EF" w:rsidRDefault="00B57452" w:rsidP="00BC2B85">
      <w:pPr>
        <w:pStyle w:val="ListParagraph"/>
        <w:numPr>
          <w:ilvl w:val="0"/>
          <w:numId w:val="9"/>
        </w:numPr>
        <w:ind w:left="567" w:hanging="567"/>
        <w:jc w:val="both"/>
        <w:rPr>
          <w:sz w:val="24"/>
        </w:rPr>
      </w:pPr>
      <w:r>
        <w:rPr>
          <w:sz w:val="24"/>
        </w:rPr>
        <w:t>La situación anterior significó una incomodidad para todos los ac</w:t>
      </w:r>
      <w:r w:rsidR="004152EF">
        <w:rPr>
          <w:sz w:val="24"/>
        </w:rPr>
        <w:t>tores involucrados, debido a la distorsión producida en los términos y objetivos del proyecto, lo que llevó a que un apoyo de solamente un año, finalmente durara casi 10 años, sin que ningún actor tomara la decisión de cerrar este proyecto y solicitar uno nuevo, más estándar del GEF y que  respondiera a las necesidades del gobierno mexicano con vistas al mediano y largo plazo.</w:t>
      </w:r>
      <w:r w:rsidR="00B84903">
        <w:rPr>
          <w:sz w:val="24"/>
        </w:rPr>
        <w:t xml:space="preserve"> La documentación analizada por los evaluadores, </w:t>
      </w:r>
      <w:r w:rsidR="00B84903">
        <w:rPr>
          <w:sz w:val="24"/>
        </w:rPr>
        <w:lastRenderedPageBreak/>
        <w:t>muestra que hubo una gran cantidad de comunicaciones entre los actores (PNUD</w:t>
      </w:r>
      <w:proofErr w:type="gramStart"/>
      <w:r w:rsidR="00B84903">
        <w:rPr>
          <w:sz w:val="24"/>
        </w:rPr>
        <w:t>, ,</w:t>
      </w:r>
      <w:proofErr w:type="gramEnd"/>
      <w:r w:rsidR="00B84903">
        <w:rPr>
          <w:sz w:val="24"/>
        </w:rPr>
        <w:t xml:space="preserve"> Unidad GEF de ), donde se expresa la preocupación y la necesidad de cerrar el proyecto</w:t>
      </w:r>
      <w:r w:rsidR="00AA4774">
        <w:rPr>
          <w:sz w:val="24"/>
        </w:rPr>
        <w:t>, pero lamentablemente estas comunicaciones no significaron un cierre oportuno, debido a las solicitudes de  de realizar</w:t>
      </w:r>
      <w:r w:rsidR="00CE11F5">
        <w:rPr>
          <w:sz w:val="24"/>
        </w:rPr>
        <w:t xml:space="preserve"> </w:t>
      </w:r>
      <w:r w:rsidR="00AA4774">
        <w:rPr>
          <w:sz w:val="24"/>
        </w:rPr>
        <w:t xml:space="preserve">nuevas </w:t>
      </w:r>
      <w:r w:rsidR="00CE11F5">
        <w:rPr>
          <w:sz w:val="24"/>
        </w:rPr>
        <w:t xml:space="preserve">actividades </w:t>
      </w:r>
      <w:r w:rsidR="00AA4774">
        <w:rPr>
          <w:sz w:val="24"/>
        </w:rPr>
        <w:t>en cambio climático.</w:t>
      </w:r>
    </w:p>
    <w:p w:rsidR="006E13C4" w:rsidRDefault="006E13C4" w:rsidP="00BC2B85">
      <w:pPr>
        <w:jc w:val="both"/>
        <w:rPr>
          <w:sz w:val="24"/>
        </w:rPr>
      </w:pPr>
    </w:p>
    <w:p w:rsidR="00CE11F5" w:rsidRPr="00BC2B85" w:rsidRDefault="00CE11F5" w:rsidP="00CE11F5">
      <w:pPr>
        <w:tabs>
          <w:tab w:val="left" w:pos="284"/>
        </w:tabs>
        <w:spacing w:after="60" w:line="240" w:lineRule="auto"/>
        <w:ind w:left="1276" w:hanging="1276"/>
        <w:jc w:val="both"/>
        <w:rPr>
          <w:i/>
          <w:sz w:val="20"/>
          <w:lang w:val="es-MX"/>
        </w:rPr>
      </w:pPr>
      <w:r w:rsidRPr="00BC2B85">
        <w:rPr>
          <w:i/>
          <w:sz w:val="20"/>
          <w:lang w:val="es-MX"/>
        </w:rPr>
        <w:t>Cuadro Nº</w:t>
      </w:r>
      <w:r>
        <w:rPr>
          <w:i/>
          <w:sz w:val="20"/>
          <w:lang w:val="es-MX"/>
        </w:rPr>
        <w:t>5</w:t>
      </w:r>
      <w:r w:rsidRPr="00BC2B85">
        <w:rPr>
          <w:i/>
          <w:sz w:val="20"/>
          <w:lang w:val="es-MX"/>
        </w:rPr>
        <w:t>: Ranking de importancia otorgado a los distintos estudios realizados, basado en la percepción de los entrevistados referente al grado de inclusión de los resultados en el proceso de planificación de largo plazo y toma de decisiones.</w:t>
      </w:r>
    </w:p>
    <w:tbl>
      <w:tblPr>
        <w:tblStyle w:val="MediumShading2-Accent3"/>
        <w:tblW w:w="0" w:type="auto"/>
        <w:tblInd w:w="108" w:type="dxa"/>
        <w:tblLook w:val="04A0"/>
      </w:tblPr>
      <w:tblGrid>
        <w:gridCol w:w="885"/>
        <w:gridCol w:w="1701"/>
        <w:gridCol w:w="6176"/>
      </w:tblGrid>
      <w:tr w:rsidR="00CE11F5" w:rsidRPr="00172C5B" w:rsidTr="00CE11F5">
        <w:trPr>
          <w:cnfStyle w:val="100000000000"/>
          <w:trHeight w:val="499"/>
        </w:trPr>
        <w:tc>
          <w:tcPr>
            <w:cnfStyle w:val="001000000100"/>
            <w:tcW w:w="885" w:type="dxa"/>
            <w:vAlign w:val="center"/>
          </w:tcPr>
          <w:p w:rsidR="00CE11F5" w:rsidRPr="00BC2B85" w:rsidRDefault="00CE11F5" w:rsidP="00840067">
            <w:pPr>
              <w:jc w:val="center"/>
              <w:rPr>
                <w:i/>
                <w:sz w:val="18"/>
                <w:szCs w:val="18"/>
              </w:rPr>
            </w:pPr>
            <w:r w:rsidRPr="00BC2B85">
              <w:rPr>
                <w:i/>
                <w:sz w:val="18"/>
                <w:szCs w:val="18"/>
              </w:rPr>
              <w:t>Nº Estudio</w:t>
            </w:r>
          </w:p>
        </w:tc>
        <w:tc>
          <w:tcPr>
            <w:tcW w:w="1701" w:type="dxa"/>
            <w:vAlign w:val="center"/>
          </w:tcPr>
          <w:p w:rsidR="00CE11F5" w:rsidRPr="00BC2B85" w:rsidRDefault="00CE11F5" w:rsidP="00840067">
            <w:pPr>
              <w:cnfStyle w:val="100000000000"/>
              <w:rPr>
                <w:i/>
                <w:sz w:val="18"/>
                <w:szCs w:val="18"/>
              </w:rPr>
            </w:pPr>
            <w:r w:rsidRPr="00BC2B85">
              <w:rPr>
                <w:i/>
                <w:sz w:val="18"/>
                <w:szCs w:val="18"/>
              </w:rPr>
              <w:t>Ranking</w:t>
            </w:r>
            <w:r>
              <w:rPr>
                <w:b w:val="0"/>
                <w:i/>
                <w:sz w:val="18"/>
                <w:szCs w:val="18"/>
              </w:rPr>
              <w:t xml:space="preserve"> (máx. 5</w:t>
            </w:r>
            <w:r w:rsidR="00AF298E">
              <w:rPr>
                <w:i/>
                <w:noProof/>
                <w:sz w:val="18"/>
                <w:szCs w:val="18"/>
                <w:lang w:val="en-US" w:eastAsia="ja-JP"/>
              </w:rPr>
              <w:drawing>
                <wp:inline distT="0" distB="0" distL="0" distR="0">
                  <wp:extent cx="115191" cy="1239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68" cy="126718"/>
                          </a:xfrm>
                          <a:prstGeom prst="rect">
                            <a:avLst/>
                          </a:prstGeom>
                          <a:noFill/>
                        </pic:spPr>
                      </pic:pic>
                    </a:graphicData>
                  </a:graphic>
                </wp:inline>
              </w:drawing>
            </w:r>
            <w:r>
              <w:rPr>
                <w:b w:val="0"/>
                <w:i/>
                <w:sz w:val="18"/>
                <w:szCs w:val="18"/>
              </w:rPr>
              <w:t>)</w:t>
            </w:r>
          </w:p>
        </w:tc>
        <w:tc>
          <w:tcPr>
            <w:tcW w:w="6176" w:type="dxa"/>
            <w:vAlign w:val="center"/>
          </w:tcPr>
          <w:p w:rsidR="00CE11F5" w:rsidRPr="00BC2B85" w:rsidRDefault="00CE11F5" w:rsidP="00840067">
            <w:pPr>
              <w:jc w:val="center"/>
              <w:cnfStyle w:val="100000000000"/>
              <w:rPr>
                <w:i/>
                <w:sz w:val="18"/>
                <w:szCs w:val="18"/>
              </w:rPr>
            </w:pPr>
            <w:r w:rsidRPr="00BC2B85">
              <w:rPr>
                <w:i/>
                <w:sz w:val="18"/>
                <w:szCs w:val="18"/>
              </w:rPr>
              <w:t>Impacto</w:t>
            </w:r>
          </w:p>
        </w:tc>
      </w:tr>
      <w:tr w:rsidR="00CE11F5" w:rsidRPr="00172C5B" w:rsidTr="00CE11F5">
        <w:trPr>
          <w:cnfStyle w:val="000000100000"/>
        </w:trPr>
        <w:tc>
          <w:tcPr>
            <w:cnfStyle w:val="001000000000"/>
            <w:tcW w:w="885" w:type="dxa"/>
            <w:vAlign w:val="center"/>
          </w:tcPr>
          <w:p w:rsidR="00CE11F5" w:rsidRPr="00BC2B85" w:rsidRDefault="00CE11F5" w:rsidP="00840067">
            <w:pPr>
              <w:jc w:val="center"/>
              <w:rPr>
                <w:sz w:val="18"/>
                <w:szCs w:val="18"/>
              </w:rPr>
            </w:pPr>
            <w:r>
              <w:rPr>
                <w:sz w:val="18"/>
                <w:szCs w:val="18"/>
              </w:rPr>
              <w:t>1</w:t>
            </w:r>
          </w:p>
        </w:tc>
        <w:tc>
          <w:tcPr>
            <w:tcW w:w="1701" w:type="dxa"/>
            <w:vAlign w:val="center"/>
          </w:tcPr>
          <w:p w:rsidR="00CE11F5" w:rsidRPr="00BC2B85" w:rsidRDefault="00AF298E" w:rsidP="00840067">
            <w:pPr>
              <w:cnfStyle w:val="000000100000"/>
              <w:rPr>
                <w:sz w:val="18"/>
                <w:szCs w:val="18"/>
              </w:rPr>
            </w:pPr>
            <w:r>
              <w:rPr>
                <w:noProof/>
                <w:sz w:val="18"/>
                <w:szCs w:val="18"/>
                <w:lang w:val="en-US" w:eastAsia="ja-JP"/>
              </w:rPr>
              <w:drawing>
                <wp:inline distT="0" distB="0" distL="0" distR="0">
                  <wp:extent cx="158250" cy="16997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53" cy="172123"/>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p>
        </w:tc>
        <w:tc>
          <w:tcPr>
            <w:tcW w:w="6176" w:type="dxa"/>
            <w:vAlign w:val="center"/>
          </w:tcPr>
          <w:p w:rsidR="00CE11F5" w:rsidRPr="00BC2B85" w:rsidRDefault="00CE11F5" w:rsidP="00840067">
            <w:pPr>
              <w:jc w:val="both"/>
              <w:cnfStyle w:val="000000100000"/>
              <w:rPr>
                <w:sz w:val="18"/>
                <w:szCs w:val="18"/>
              </w:rPr>
            </w:pPr>
            <w:r>
              <w:rPr>
                <w:sz w:val="18"/>
                <w:szCs w:val="18"/>
              </w:rPr>
              <w:t>Por primera vez se analizaron los impactos de la economía sobre el medio ambiente y fue la antesala para la definición y elaboración del estudio “La Economía del Cambio Climático en México”, el que constituye un documento de largo plazo para definición de políticas ambientales. El estudio “La Economía…..”, fue realizado por el mismo autor y equipo del estudio Nº1.</w:t>
            </w:r>
          </w:p>
        </w:tc>
      </w:tr>
      <w:tr w:rsidR="00CE11F5" w:rsidRPr="00172C5B" w:rsidTr="00CE11F5">
        <w:tc>
          <w:tcPr>
            <w:cnfStyle w:val="001000000000"/>
            <w:tcW w:w="885" w:type="dxa"/>
            <w:vAlign w:val="center"/>
          </w:tcPr>
          <w:p w:rsidR="00CE11F5" w:rsidRPr="00BC2B85" w:rsidRDefault="00CE11F5" w:rsidP="00840067">
            <w:pPr>
              <w:jc w:val="center"/>
              <w:rPr>
                <w:sz w:val="18"/>
                <w:szCs w:val="18"/>
              </w:rPr>
            </w:pPr>
            <w:r>
              <w:rPr>
                <w:sz w:val="18"/>
                <w:szCs w:val="18"/>
              </w:rPr>
              <w:t>8</w:t>
            </w:r>
          </w:p>
        </w:tc>
        <w:tc>
          <w:tcPr>
            <w:tcW w:w="1701" w:type="dxa"/>
            <w:vAlign w:val="center"/>
          </w:tcPr>
          <w:p w:rsidR="00CE11F5" w:rsidRPr="00BC2B85" w:rsidRDefault="00AF298E" w:rsidP="00840067">
            <w:pPr>
              <w:cnfStyle w:val="000000000000"/>
              <w:rPr>
                <w:sz w:val="18"/>
                <w:szCs w:val="18"/>
              </w:rPr>
            </w:pPr>
            <w:r>
              <w:rPr>
                <w:noProof/>
                <w:sz w:val="18"/>
                <w:szCs w:val="18"/>
                <w:lang w:val="en-US" w:eastAsia="ja-JP"/>
              </w:rPr>
              <w:drawing>
                <wp:inline distT="0" distB="0" distL="0" distR="0">
                  <wp:extent cx="158750" cy="1708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p>
        </w:tc>
        <w:tc>
          <w:tcPr>
            <w:tcW w:w="6176" w:type="dxa"/>
            <w:vAlign w:val="center"/>
          </w:tcPr>
          <w:p w:rsidR="00CE11F5" w:rsidRPr="00BC2B85" w:rsidRDefault="00CE11F5" w:rsidP="00840067">
            <w:pPr>
              <w:jc w:val="both"/>
              <w:cnfStyle w:val="000000000000"/>
              <w:rPr>
                <w:sz w:val="18"/>
                <w:szCs w:val="18"/>
              </w:rPr>
            </w:pPr>
            <w:r>
              <w:rPr>
                <w:sz w:val="18"/>
                <w:szCs w:val="18"/>
              </w:rPr>
              <w:t>Este estudio fue el primer paso e insumo para la elaboración de los programas estatales de adaptación y mitigación al cambio climático. En la actualidad, el INE aún lo utiliza y sus insumos estarán incluidos en la 5ª Comunicación Nacional de Cambio Climático de México.</w:t>
            </w:r>
          </w:p>
        </w:tc>
      </w:tr>
      <w:tr w:rsidR="00CE11F5" w:rsidRPr="00172C5B" w:rsidTr="00CE11F5">
        <w:trPr>
          <w:cnfStyle w:val="000000100000"/>
        </w:trPr>
        <w:tc>
          <w:tcPr>
            <w:cnfStyle w:val="001000000000"/>
            <w:tcW w:w="885" w:type="dxa"/>
            <w:vAlign w:val="center"/>
          </w:tcPr>
          <w:p w:rsidR="00CE11F5" w:rsidRPr="00BC2B85" w:rsidRDefault="00CE11F5" w:rsidP="00840067">
            <w:pPr>
              <w:spacing w:after="40"/>
              <w:jc w:val="center"/>
              <w:rPr>
                <w:sz w:val="18"/>
                <w:szCs w:val="18"/>
              </w:rPr>
            </w:pPr>
            <w:r>
              <w:rPr>
                <w:sz w:val="18"/>
                <w:szCs w:val="18"/>
              </w:rPr>
              <w:t>2</w:t>
            </w:r>
          </w:p>
        </w:tc>
        <w:tc>
          <w:tcPr>
            <w:tcW w:w="1701" w:type="dxa"/>
            <w:vAlign w:val="center"/>
          </w:tcPr>
          <w:p w:rsidR="00CE11F5" w:rsidRPr="00BC2B85" w:rsidRDefault="00AF298E" w:rsidP="00840067">
            <w:pPr>
              <w:spacing w:after="40"/>
              <w:cnfStyle w:val="000000100000"/>
              <w:rPr>
                <w:sz w:val="18"/>
                <w:szCs w:val="18"/>
              </w:rPr>
            </w:pPr>
            <w:r>
              <w:rPr>
                <w:noProof/>
                <w:sz w:val="18"/>
                <w:szCs w:val="18"/>
                <w:lang w:val="en-US" w:eastAsia="ja-JP"/>
              </w:rPr>
              <w:drawing>
                <wp:inline distT="0" distB="0" distL="0" distR="0">
                  <wp:extent cx="158750" cy="17081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p>
        </w:tc>
        <w:tc>
          <w:tcPr>
            <w:tcW w:w="6176" w:type="dxa"/>
            <w:vAlign w:val="center"/>
          </w:tcPr>
          <w:p w:rsidR="00CE11F5" w:rsidRPr="00BC2B85" w:rsidRDefault="00CE11F5" w:rsidP="00840067">
            <w:pPr>
              <w:spacing w:after="40"/>
              <w:jc w:val="both"/>
              <w:cnfStyle w:val="000000100000"/>
              <w:rPr>
                <w:sz w:val="18"/>
                <w:szCs w:val="18"/>
              </w:rPr>
            </w:pPr>
            <w:r>
              <w:rPr>
                <w:sz w:val="18"/>
                <w:szCs w:val="18"/>
              </w:rPr>
              <w:t>Se realizó una evaluación de 17 programas ambientales implementados por el gobierno de México, desde el punto de su pertinencia jurídica, metas prioritarias en medio-ambiente, capacidad institucional y su carácter estratégico dentro del sector ambiental. Aunque no se pueden identificar las decisiones tomadas a partir de estos insumos, ha sido útil para que  tenga una visión sobre el desempeño de sus programas y logro de sus objetivos en áreas claves.</w:t>
            </w:r>
          </w:p>
        </w:tc>
      </w:tr>
      <w:tr w:rsidR="00CE11F5" w:rsidRPr="00172C5B" w:rsidTr="00CE11F5">
        <w:trPr>
          <w:trHeight w:val="1010"/>
        </w:trPr>
        <w:tc>
          <w:tcPr>
            <w:cnfStyle w:val="001000000000"/>
            <w:tcW w:w="885" w:type="dxa"/>
            <w:vAlign w:val="center"/>
          </w:tcPr>
          <w:p w:rsidR="00CE11F5" w:rsidRPr="00BC2B85" w:rsidRDefault="00CE11F5" w:rsidP="00840067">
            <w:pPr>
              <w:spacing w:after="40"/>
              <w:jc w:val="center"/>
              <w:rPr>
                <w:sz w:val="18"/>
                <w:szCs w:val="18"/>
              </w:rPr>
            </w:pPr>
            <w:r>
              <w:rPr>
                <w:sz w:val="18"/>
                <w:szCs w:val="18"/>
              </w:rPr>
              <w:t>7</w:t>
            </w:r>
          </w:p>
        </w:tc>
        <w:tc>
          <w:tcPr>
            <w:tcW w:w="1701" w:type="dxa"/>
            <w:vAlign w:val="center"/>
          </w:tcPr>
          <w:p w:rsidR="00CE11F5" w:rsidRPr="00BC2B85" w:rsidRDefault="00AF298E" w:rsidP="00840067">
            <w:pPr>
              <w:spacing w:after="40"/>
              <w:cnfStyle w:val="000000000000"/>
              <w:rPr>
                <w:sz w:val="18"/>
                <w:szCs w:val="18"/>
              </w:rPr>
            </w:pPr>
            <w:r>
              <w:rPr>
                <w:noProof/>
                <w:sz w:val="18"/>
                <w:szCs w:val="18"/>
                <w:lang w:val="en-US" w:eastAsia="ja-JP"/>
              </w:rPr>
              <w:drawing>
                <wp:inline distT="0" distB="0" distL="0" distR="0">
                  <wp:extent cx="158750" cy="17081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p>
        </w:tc>
        <w:tc>
          <w:tcPr>
            <w:tcW w:w="6176" w:type="dxa"/>
            <w:vAlign w:val="center"/>
          </w:tcPr>
          <w:p w:rsidR="00CE11F5" w:rsidRPr="00BC2B85" w:rsidRDefault="00CE11F5" w:rsidP="00840067">
            <w:pPr>
              <w:spacing w:after="40"/>
              <w:jc w:val="both"/>
              <w:cnfStyle w:val="000000000000"/>
              <w:rPr>
                <w:sz w:val="18"/>
                <w:szCs w:val="18"/>
              </w:rPr>
            </w:pPr>
            <w:r>
              <w:rPr>
                <w:sz w:val="18"/>
                <w:szCs w:val="18"/>
              </w:rPr>
              <w:t>Se utilizó como insumo para la respuesta de México a la evaluación de desempeño ambiental de México realizada por la OCDE. No se conoce que haya tenido influencia en la definición de políticas y programas de mediano o largo plazo.</w:t>
            </w:r>
          </w:p>
        </w:tc>
      </w:tr>
      <w:tr w:rsidR="00CE11F5" w:rsidRPr="00172C5B" w:rsidTr="00CE11F5">
        <w:trPr>
          <w:cnfStyle w:val="000000100000"/>
        </w:trPr>
        <w:tc>
          <w:tcPr>
            <w:cnfStyle w:val="001000000000"/>
            <w:tcW w:w="885" w:type="dxa"/>
            <w:vAlign w:val="center"/>
          </w:tcPr>
          <w:p w:rsidR="00CE11F5" w:rsidRPr="00BC2B85" w:rsidRDefault="00CE11F5" w:rsidP="00840067">
            <w:pPr>
              <w:spacing w:after="40"/>
              <w:jc w:val="center"/>
              <w:rPr>
                <w:sz w:val="18"/>
                <w:szCs w:val="18"/>
              </w:rPr>
            </w:pPr>
            <w:r>
              <w:rPr>
                <w:sz w:val="18"/>
                <w:szCs w:val="18"/>
              </w:rPr>
              <w:t>11</w:t>
            </w:r>
          </w:p>
        </w:tc>
        <w:tc>
          <w:tcPr>
            <w:tcW w:w="1701" w:type="dxa"/>
            <w:vAlign w:val="center"/>
          </w:tcPr>
          <w:p w:rsidR="00CE11F5" w:rsidRPr="00BC2B85" w:rsidRDefault="00AF298E" w:rsidP="00840067">
            <w:pPr>
              <w:spacing w:after="40"/>
              <w:cnfStyle w:val="000000100000"/>
              <w:rPr>
                <w:sz w:val="18"/>
                <w:szCs w:val="18"/>
              </w:rPr>
            </w:pPr>
            <w:r>
              <w:rPr>
                <w:noProof/>
                <w:sz w:val="18"/>
                <w:szCs w:val="18"/>
                <w:lang w:val="en-US" w:eastAsia="ja-JP"/>
              </w:rPr>
              <w:drawing>
                <wp:inline distT="0" distB="0" distL="0" distR="0">
                  <wp:extent cx="158750" cy="17081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p>
        </w:tc>
        <w:tc>
          <w:tcPr>
            <w:tcW w:w="6176" w:type="dxa"/>
            <w:vAlign w:val="center"/>
          </w:tcPr>
          <w:p w:rsidR="00CE11F5" w:rsidRPr="00BC2B85" w:rsidRDefault="00CE11F5" w:rsidP="00840067">
            <w:pPr>
              <w:spacing w:after="40"/>
              <w:jc w:val="both"/>
              <w:cnfStyle w:val="000000100000"/>
              <w:rPr>
                <w:sz w:val="18"/>
                <w:szCs w:val="18"/>
              </w:rPr>
            </w:pPr>
            <w:r>
              <w:rPr>
                <w:sz w:val="18"/>
                <w:szCs w:val="18"/>
              </w:rPr>
              <w:t>Sirvió como insumo para la confección del Libro Blanco sobre Medio Ambiente del gobierno de Vicente Fox. Se le indica como un estudio importante para la transición entre el gobierno de Fox y el de Calderón (2006-2007).</w:t>
            </w:r>
          </w:p>
        </w:tc>
      </w:tr>
      <w:tr w:rsidR="00CE11F5" w:rsidRPr="00172C5B" w:rsidTr="00CE11F5">
        <w:tc>
          <w:tcPr>
            <w:cnfStyle w:val="001000000000"/>
            <w:tcW w:w="885" w:type="dxa"/>
            <w:vAlign w:val="center"/>
          </w:tcPr>
          <w:p w:rsidR="00CE11F5" w:rsidRPr="00BC2B85" w:rsidRDefault="00CE11F5" w:rsidP="00840067">
            <w:pPr>
              <w:spacing w:after="40"/>
              <w:jc w:val="center"/>
              <w:rPr>
                <w:sz w:val="18"/>
                <w:szCs w:val="18"/>
              </w:rPr>
            </w:pPr>
            <w:r>
              <w:rPr>
                <w:sz w:val="18"/>
                <w:szCs w:val="18"/>
              </w:rPr>
              <w:t>3</w:t>
            </w:r>
          </w:p>
        </w:tc>
        <w:tc>
          <w:tcPr>
            <w:tcW w:w="1701" w:type="dxa"/>
            <w:vAlign w:val="center"/>
          </w:tcPr>
          <w:p w:rsidR="00CE11F5" w:rsidRPr="00BC2B85" w:rsidRDefault="00AF298E" w:rsidP="00840067">
            <w:pPr>
              <w:spacing w:after="40"/>
              <w:cnfStyle w:val="000000000000"/>
              <w:rPr>
                <w:sz w:val="18"/>
                <w:szCs w:val="18"/>
              </w:rPr>
            </w:pPr>
            <w:r>
              <w:rPr>
                <w:noProof/>
                <w:sz w:val="18"/>
                <w:szCs w:val="18"/>
                <w:lang w:val="en-US" w:eastAsia="ja-JP"/>
              </w:rPr>
              <w:drawing>
                <wp:inline distT="0" distB="0" distL="0" distR="0">
                  <wp:extent cx="158750" cy="1708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r>
              <w:rPr>
                <w:noProof/>
                <w:sz w:val="18"/>
                <w:szCs w:val="18"/>
                <w:lang w:val="en-US" w:eastAsia="ja-JP"/>
              </w:rPr>
              <w:drawing>
                <wp:inline distT="0" distB="0" distL="0" distR="0">
                  <wp:extent cx="158750" cy="1708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p>
        </w:tc>
        <w:tc>
          <w:tcPr>
            <w:tcW w:w="6176" w:type="dxa"/>
            <w:vAlign w:val="center"/>
          </w:tcPr>
          <w:p w:rsidR="00CE11F5" w:rsidRPr="00BC2B85" w:rsidRDefault="00CE11F5" w:rsidP="00840067">
            <w:pPr>
              <w:spacing w:after="40"/>
              <w:jc w:val="both"/>
              <w:cnfStyle w:val="000000000000"/>
              <w:rPr>
                <w:sz w:val="18"/>
                <w:szCs w:val="18"/>
              </w:rPr>
            </w:pPr>
            <w:r>
              <w:rPr>
                <w:sz w:val="18"/>
                <w:szCs w:val="18"/>
              </w:rPr>
              <w:t>Es utilizado por funcionarios que realizan planeación, pero el estudio no aportó un set de indicadores que pudieran ser utilizables, sino que aumentó el número de indicadores existentes. No se le otorga mucha aplicación a este estudio.</w:t>
            </w:r>
          </w:p>
        </w:tc>
      </w:tr>
      <w:tr w:rsidR="00CE11F5" w:rsidRPr="00172C5B" w:rsidTr="00CE11F5">
        <w:trPr>
          <w:cnfStyle w:val="000000100000"/>
        </w:trPr>
        <w:tc>
          <w:tcPr>
            <w:cnfStyle w:val="001000000000"/>
            <w:tcW w:w="885" w:type="dxa"/>
            <w:vAlign w:val="center"/>
          </w:tcPr>
          <w:p w:rsidR="00CE11F5" w:rsidRPr="00BC2B85" w:rsidRDefault="00CE11F5" w:rsidP="00840067">
            <w:pPr>
              <w:spacing w:after="40"/>
              <w:jc w:val="center"/>
              <w:rPr>
                <w:sz w:val="18"/>
                <w:szCs w:val="18"/>
              </w:rPr>
            </w:pPr>
            <w:r>
              <w:rPr>
                <w:sz w:val="18"/>
                <w:szCs w:val="18"/>
              </w:rPr>
              <w:t>5</w:t>
            </w:r>
          </w:p>
        </w:tc>
        <w:tc>
          <w:tcPr>
            <w:tcW w:w="1701" w:type="dxa"/>
            <w:vAlign w:val="center"/>
          </w:tcPr>
          <w:p w:rsidR="00CE11F5" w:rsidRPr="00BC2B85" w:rsidRDefault="00AF298E" w:rsidP="00840067">
            <w:pPr>
              <w:spacing w:after="40"/>
              <w:cnfStyle w:val="000000100000"/>
              <w:rPr>
                <w:sz w:val="18"/>
                <w:szCs w:val="18"/>
              </w:rPr>
            </w:pPr>
            <w:r>
              <w:rPr>
                <w:noProof/>
                <w:sz w:val="18"/>
                <w:szCs w:val="18"/>
                <w:lang w:val="en-US" w:eastAsia="ja-JP"/>
              </w:rPr>
              <w:drawing>
                <wp:inline distT="0" distB="0" distL="0" distR="0">
                  <wp:extent cx="158750" cy="17081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p>
        </w:tc>
        <w:tc>
          <w:tcPr>
            <w:tcW w:w="6176" w:type="dxa"/>
            <w:vAlign w:val="center"/>
          </w:tcPr>
          <w:p w:rsidR="00CE11F5" w:rsidRPr="00BC2B85" w:rsidRDefault="00CE11F5" w:rsidP="00840067">
            <w:pPr>
              <w:spacing w:after="40"/>
              <w:jc w:val="both"/>
              <w:cnfStyle w:val="000000100000"/>
              <w:rPr>
                <w:sz w:val="18"/>
                <w:szCs w:val="18"/>
              </w:rPr>
            </w:pPr>
            <w:r>
              <w:rPr>
                <w:sz w:val="18"/>
                <w:szCs w:val="18"/>
              </w:rPr>
              <w:t>No se utiliza mucho, estaba en el contexto de la gestión ambiental 2000-2006.</w:t>
            </w:r>
          </w:p>
        </w:tc>
      </w:tr>
      <w:tr w:rsidR="00CE11F5" w:rsidRPr="00172C5B" w:rsidTr="00CE11F5">
        <w:tc>
          <w:tcPr>
            <w:cnfStyle w:val="001000000000"/>
            <w:tcW w:w="885" w:type="dxa"/>
            <w:vAlign w:val="center"/>
          </w:tcPr>
          <w:p w:rsidR="00CE11F5" w:rsidRPr="00BC2B85" w:rsidRDefault="00CE11F5" w:rsidP="00840067">
            <w:pPr>
              <w:spacing w:after="40"/>
              <w:jc w:val="center"/>
              <w:rPr>
                <w:sz w:val="18"/>
                <w:szCs w:val="18"/>
              </w:rPr>
            </w:pPr>
            <w:r>
              <w:rPr>
                <w:sz w:val="18"/>
                <w:szCs w:val="18"/>
              </w:rPr>
              <w:t>4</w:t>
            </w:r>
          </w:p>
        </w:tc>
        <w:tc>
          <w:tcPr>
            <w:tcW w:w="1701" w:type="dxa"/>
            <w:vAlign w:val="center"/>
          </w:tcPr>
          <w:p w:rsidR="00CE11F5" w:rsidRPr="00BC2B85" w:rsidRDefault="00AF298E" w:rsidP="00840067">
            <w:pPr>
              <w:spacing w:after="40"/>
              <w:cnfStyle w:val="000000000000"/>
              <w:rPr>
                <w:sz w:val="18"/>
                <w:szCs w:val="18"/>
              </w:rPr>
            </w:pPr>
            <w:r>
              <w:rPr>
                <w:noProof/>
                <w:sz w:val="18"/>
                <w:szCs w:val="18"/>
                <w:lang w:val="en-US" w:eastAsia="ja-JP"/>
              </w:rPr>
              <w:drawing>
                <wp:inline distT="0" distB="0" distL="0" distR="0">
                  <wp:extent cx="158750" cy="17081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p>
        </w:tc>
        <w:tc>
          <w:tcPr>
            <w:tcW w:w="6176" w:type="dxa"/>
            <w:vAlign w:val="center"/>
          </w:tcPr>
          <w:p w:rsidR="00CE11F5" w:rsidRPr="00BC2B85" w:rsidRDefault="00CE11F5" w:rsidP="00840067">
            <w:pPr>
              <w:spacing w:after="40"/>
              <w:jc w:val="both"/>
              <w:cnfStyle w:val="000000000000"/>
              <w:rPr>
                <w:sz w:val="18"/>
                <w:szCs w:val="18"/>
              </w:rPr>
            </w:pPr>
            <w:r>
              <w:rPr>
                <w:sz w:val="18"/>
                <w:szCs w:val="18"/>
              </w:rPr>
              <w:t>Se usa esporádicamente en economía ambiental, pero sus resultados no fueron un gran aporte, ya que se centran en subsidios que ya estaban largamente identificados y discutidos con anterioridad.</w:t>
            </w:r>
          </w:p>
        </w:tc>
      </w:tr>
      <w:tr w:rsidR="00CE11F5" w:rsidRPr="00172C5B" w:rsidTr="00CE11F5">
        <w:trPr>
          <w:cnfStyle w:val="000000100000"/>
        </w:trPr>
        <w:tc>
          <w:tcPr>
            <w:cnfStyle w:val="001000000000"/>
            <w:tcW w:w="885" w:type="dxa"/>
            <w:vAlign w:val="center"/>
          </w:tcPr>
          <w:p w:rsidR="00CE11F5" w:rsidRPr="00BC2B85" w:rsidRDefault="00CE11F5" w:rsidP="00840067">
            <w:pPr>
              <w:spacing w:after="40"/>
              <w:jc w:val="center"/>
              <w:rPr>
                <w:sz w:val="18"/>
                <w:szCs w:val="18"/>
              </w:rPr>
            </w:pPr>
            <w:r>
              <w:rPr>
                <w:sz w:val="18"/>
                <w:szCs w:val="18"/>
              </w:rPr>
              <w:t>9</w:t>
            </w:r>
          </w:p>
        </w:tc>
        <w:tc>
          <w:tcPr>
            <w:tcW w:w="1701" w:type="dxa"/>
            <w:vAlign w:val="center"/>
          </w:tcPr>
          <w:p w:rsidR="00CE11F5" w:rsidRPr="00BC2B85" w:rsidRDefault="00AF298E" w:rsidP="00840067">
            <w:pPr>
              <w:spacing w:after="40"/>
              <w:cnfStyle w:val="000000100000"/>
              <w:rPr>
                <w:sz w:val="18"/>
                <w:szCs w:val="18"/>
              </w:rPr>
            </w:pPr>
            <w:r>
              <w:rPr>
                <w:noProof/>
                <w:sz w:val="18"/>
                <w:szCs w:val="18"/>
                <w:lang w:val="en-US" w:eastAsia="ja-JP"/>
              </w:rPr>
              <w:drawing>
                <wp:inline distT="0" distB="0" distL="0" distR="0">
                  <wp:extent cx="158750" cy="17081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p>
        </w:tc>
        <w:tc>
          <w:tcPr>
            <w:tcW w:w="6176" w:type="dxa"/>
            <w:vAlign w:val="center"/>
          </w:tcPr>
          <w:p w:rsidR="00CE11F5" w:rsidRPr="00BC2B85" w:rsidRDefault="00CE11F5" w:rsidP="00840067">
            <w:pPr>
              <w:spacing w:after="40"/>
              <w:cnfStyle w:val="000000100000"/>
              <w:rPr>
                <w:sz w:val="18"/>
                <w:szCs w:val="18"/>
              </w:rPr>
            </w:pPr>
            <w:r>
              <w:rPr>
                <w:sz w:val="18"/>
                <w:szCs w:val="18"/>
              </w:rPr>
              <w:t>No se identificó mayor uso de este estudio.</w:t>
            </w:r>
          </w:p>
        </w:tc>
      </w:tr>
      <w:tr w:rsidR="00CE11F5" w:rsidRPr="00172C5B" w:rsidTr="00CE11F5">
        <w:tc>
          <w:tcPr>
            <w:cnfStyle w:val="001000000000"/>
            <w:tcW w:w="885" w:type="dxa"/>
            <w:vAlign w:val="center"/>
          </w:tcPr>
          <w:p w:rsidR="00CE11F5" w:rsidRPr="00BC2B85" w:rsidRDefault="00CE11F5" w:rsidP="00840067">
            <w:pPr>
              <w:spacing w:after="40"/>
              <w:jc w:val="center"/>
              <w:rPr>
                <w:sz w:val="18"/>
                <w:szCs w:val="18"/>
              </w:rPr>
            </w:pPr>
            <w:r>
              <w:rPr>
                <w:sz w:val="18"/>
                <w:szCs w:val="18"/>
              </w:rPr>
              <w:t>6</w:t>
            </w:r>
          </w:p>
        </w:tc>
        <w:tc>
          <w:tcPr>
            <w:tcW w:w="1701" w:type="dxa"/>
            <w:vAlign w:val="center"/>
          </w:tcPr>
          <w:p w:rsidR="00CE11F5" w:rsidRPr="00BC2B85" w:rsidRDefault="00AF298E" w:rsidP="00840067">
            <w:pPr>
              <w:spacing w:after="40"/>
              <w:cnfStyle w:val="000000000000"/>
              <w:rPr>
                <w:sz w:val="18"/>
                <w:szCs w:val="18"/>
              </w:rPr>
            </w:pPr>
            <w:r>
              <w:rPr>
                <w:noProof/>
                <w:sz w:val="18"/>
                <w:szCs w:val="18"/>
                <w:lang w:val="en-US" w:eastAsia="ja-JP"/>
              </w:rPr>
              <w:drawing>
                <wp:inline distT="0" distB="0" distL="0" distR="0">
                  <wp:extent cx="158750" cy="1708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p>
        </w:tc>
        <w:tc>
          <w:tcPr>
            <w:tcW w:w="6176" w:type="dxa"/>
            <w:vAlign w:val="center"/>
          </w:tcPr>
          <w:p w:rsidR="00CE11F5" w:rsidRPr="00BC2B85" w:rsidRDefault="00CE11F5" w:rsidP="00840067">
            <w:pPr>
              <w:spacing w:after="40"/>
              <w:jc w:val="both"/>
              <w:cnfStyle w:val="000000000000"/>
              <w:rPr>
                <w:sz w:val="18"/>
                <w:szCs w:val="18"/>
              </w:rPr>
            </w:pPr>
            <w:r>
              <w:rPr>
                <w:sz w:val="18"/>
                <w:szCs w:val="18"/>
              </w:rPr>
              <w:t>No se pudo identificar mayor uso de este estudio</w:t>
            </w:r>
          </w:p>
        </w:tc>
      </w:tr>
      <w:tr w:rsidR="00CE11F5" w:rsidRPr="00172C5B" w:rsidTr="00CE11F5">
        <w:trPr>
          <w:cnfStyle w:val="000000100000"/>
        </w:trPr>
        <w:tc>
          <w:tcPr>
            <w:cnfStyle w:val="001000000000"/>
            <w:tcW w:w="885" w:type="dxa"/>
            <w:vAlign w:val="center"/>
          </w:tcPr>
          <w:p w:rsidR="00CE11F5" w:rsidRPr="00BC2B85" w:rsidRDefault="00CE11F5" w:rsidP="00840067">
            <w:pPr>
              <w:spacing w:after="40"/>
              <w:jc w:val="center"/>
              <w:rPr>
                <w:sz w:val="18"/>
                <w:szCs w:val="18"/>
              </w:rPr>
            </w:pPr>
            <w:r>
              <w:rPr>
                <w:sz w:val="18"/>
                <w:szCs w:val="18"/>
              </w:rPr>
              <w:t>10</w:t>
            </w:r>
          </w:p>
        </w:tc>
        <w:tc>
          <w:tcPr>
            <w:tcW w:w="1701" w:type="dxa"/>
            <w:vAlign w:val="center"/>
          </w:tcPr>
          <w:p w:rsidR="00CE11F5" w:rsidRPr="00BC2B85" w:rsidRDefault="00AF298E" w:rsidP="00840067">
            <w:pPr>
              <w:spacing w:after="40"/>
              <w:cnfStyle w:val="000000100000"/>
              <w:rPr>
                <w:sz w:val="18"/>
                <w:szCs w:val="18"/>
              </w:rPr>
            </w:pPr>
            <w:r>
              <w:rPr>
                <w:noProof/>
                <w:sz w:val="18"/>
                <w:szCs w:val="18"/>
                <w:lang w:val="en-US" w:eastAsia="ja-JP"/>
              </w:rPr>
              <w:drawing>
                <wp:inline distT="0" distB="0" distL="0" distR="0">
                  <wp:extent cx="158750" cy="17081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70815"/>
                          </a:xfrm>
                          <a:prstGeom prst="rect">
                            <a:avLst/>
                          </a:prstGeom>
                          <a:noFill/>
                        </pic:spPr>
                      </pic:pic>
                    </a:graphicData>
                  </a:graphic>
                </wp:inline>
              </w:drawing>
            </w:r>
          </w:p>
        </w:tc>
        <w:tc>
          <w:tcPr>
            <w:tcW w:w="6176" w:type="dxa"/>
            <w:vAlign w:val="center"/>
          </w:tcPr>
          <w:p w:rsidR="00CE11F5" w:rsidRPr="00BC2B85" w:rsidRDefault="00CE11F5" w:rsidP="00840067">
            <w:pPr>
              <w:spacing w:after="40"/>
              <w:jc w:val="both"/>
              <w:cnfStyle w:val="000000100000"/>
              <w:rPr>
                <w:sz w:val="18"/>
                <w:szCs w:val="18"/>
              </w:rPr>
            </w:pPr>
            <w:r>
              <w:rPr>
                <w:sz w:val="18"/>
                <w:szCs w:val="18"/>
              </w:rPr>
              <w:t>No se pudo identificar mayor uso de este estudio.</w:t>
            </w:r>
          </w:p>
        </w:tc>
      </w:tr>
    </w:tbl>
    <w:p w:rsidR="00CE11F5" w:rsidRPr="00BC2B85" w:rsidRDefault="00CE11F5" w:rsidP="00BC2B85">
      <w:pPr>
        <w:jc w:val="both"/>
        <w:rPr>
          <w:sz w:val="24"/>
        </w:rPr>
        <w:sectPr w:rsidR="00CE11F5" w:rsidRPr="00BC2B85" w:rsidSect="00B4041F">
          <w:pgSz w:w="12240" w:h="15840" w:code="1"/>
          <w:pgMar w:top="1304" w:right="1701" w:bottom="1361" w:left="1701" w:header="709" w:footer="709" w:gutter="0"/>
          <w:cols w:space="708"/>
          <w:docGrid w:linePitch="360"/>
        </w:sectPr>
      </w:pPr>
    </w:p>
    <w:p w:rsidR="006E6A0D" w:rsidRPr="00DD1841" w:rsidRDefault="00FD11F5" w:rsidP="00DD1841">
      <w:pPr>
        <w:shd w:val="clear" w:color="auto" w:fill="BFBFBF" w:themeFill="background1" w:themeFillShade="BF"/>
        <w:jc w:val="both"/>
        <w:rPr>
          <w:sz w:val="24"/>
        </w:rPr>
      </w:pPr>
      <w:r w:rsidRPr="00DD1841">
        <w:rPr>
          <w:sz w:val="24"/>
        </w:rPr>
        <w:lastRenderedPageBreak/>
        <w:t xml:space="preserve">Participación de Actores  </w:t>
      </w:r>
    </w:p>
    <w:p w:rsidR="00D2281F" w:rsidRDefault="00D2281F" w:rsidP="00D2281F">
      <w:pPr>
        <w:pStyle w:val="ListParagraph"/>
        <w:numPr>
          <w:ilvl w:val="0"/>
          <w:numId w:val="9"/>
        </w:numPr>
        <w:ind w:left="426" w:hanging="426"/>
        <w:jc w:val="both"/>
        <w:rPr>
          <w:sz w:val="24"/>
        </w:rPr>
      </w:pPr>
      <w:r>
        <w:rPr>
          <w:sz w:val="24"/>
        </w:rPr>
        <w:t xml:space="preserve">Se debe mencionar que las consultas a tomadores de decisiones se limitaron a las entidades gubernamentales federales, no viéndose claramente un proceso de consultas estatales. Con respecto a la ciudadanía, no se observa un rol activo de ésta en el proyecto, así como tampoco se aprecia que haya habido actividades por parte del proyecto para realizar consultas a organizaciones ciudadanas para fortalecer el proceso de planeación ambiental en México.  </w:t>
      </w:r>
    </w:p>
    <w:p w:rsidR="00EA6E84" w:rsidRDefault="00D2281F" w:rsidP="00BC2B85">
      <w:pPr>
        <w:pStyle w:val="ListParagraph"/>
        <w:numPr>
          <w:ilvl w:val="0"/>
          <w:numId w:val="9"/>
        </w:numPr>
        <w:ind w:left="426" w:hanging="426"/>
        <w:jc w:val="both"/>
        <w:rPr>
          <w:sz w:val="24"/>
        </w:rPr>
      </w:pPr>
      <w:r>
        <w:rPr>
          <w:sz w:val="24"/>
        </w:rPr>
        <w:t xml:space="preserve">Durante la primera fase del proyecto (2002-2003), se realizó una serie de talleres de consulta, los cuales no dieron los resultados e insumos esperados, debido en parte a las expectativas que tenían los actores en cuanto al proyecto y sus objetivos. Como consecuencia de lo anterior, </w:t>
      </w:r>
      <w:r w:rsidR="00D05A3D">
        <w:rPr>
          <w:sz w:val="24"/>
        </w:rPr>
        <w:t>se</w:t>
      </w:r>
      <w:r>
        <w:rPr>
          <w:sz w:val="24"/>
        </w:rPr>
        <w:t xml:space="preserve"> decidió eliminar este tipo de actividad.</w:t>
      </w:r>
    </w:p>
    <w:p w:rsidR="00D2281F" w:rsidRDefault="00682925" w:rsidP="00BC2B85">
      <w:pPr>
        <w:pStyle w:val="ListParagraph"/>
        <w:numPr>
          <w:ilvl w:val="0"/>
          <w:numId w:val="9"/>
        </w:numPr>
        <w:ind w:left="426" w:hanging="426"/>
        <w:jc w:val="both"/>
        <w:rPr>
          <w:sz w:val="24"/>
        </w:rPr>
      </w:pPr>
      <w:r>
        <w:rPr>
          <w:sz w:val="24"/>
        </w:rPr>
        <w:t xml:space="preserve">Aunque el </w:t>
      </w:r>
      <w:proofErr w:type="spellStart"/>
      <w:r>
        <w:rPr>
          <w:sz w:val="24"/>
        </w:rPr>
        <w:t>prodoc</w:t>
      </w:r>
      <w:proofErr w:type="spellEnd"/>
      <w:r>
        <w:rPr>
          <w:sz w:val="24"/>
        </w:rPr>
        <w:t xml:space="preserve"> especifica un Comité de Dirección del proyecto, éste es muy limitado en la participación de actores, pues s</w:t>
      </w:r>
      <w:r w:rsidR="00897522">
        <w:rPr>
          <w:sz w:val="24"/>
        </w:rPr>
        <w:t>ó</w:t>
      </w:r>
      <w:r>
        <w:rPr>
          <w:sz w:val="24"/>
        </w:rPr>
        <w:t>lo consideró a la oficina de PNUD-México,  y al coordinador del proyecto dentro de sus integrantes.</w:t>
      </w:r>
      <w:r w:rsidR="00AA4774">
        <w:rPr>
          <w:sz w:val="24"/>
        </w:rPr>
        <w:t xml:space="preserve"> Esta orgánica responde más a una modalidad de revisión tripartita de un proyecto, más que a una de un comité de dirección. Hubiera sido deseable la incorporación de una mayor cantidad de actores dentro del comité de dirección, considerando que uno de los objetivos del proyecto era fortalecer la institucionalidad ambiental e introducir transversalmente la temática ambiental dentro de la institucionalidad de los actores relevantes.</w:t>
      </w:r>
    </w:p>
    <w:p w:rsidR="00BE6079" w:rsidRDefault="00BE6079" w:rsidP="00BC2B85">
      <w:pPr>
        <w:pStyle w:val="ListParagraph"/>
        <w:numPr>
          <w:ilvl w:val="0"/>
          <w:numId w:val="9"/>
        </w:numPr>
        <w:ind w:left="426" w:hanging="426"/>
        <w:jc w:val="both"/>
        <w:rPr>
          <w:sz w:val="24"/>
        </w:rPr>
      </w:pPr>
      <w:r>
        <w:rPr>
          <w:sz w:val="24"/>
        </w:rPr>
        <w:t>De acuerdo a los antecedentes recopilados por los consultores, durante la ejecución del proyecto, se amplió la participación de actores gubernamentales, donde un logro importante fue el involucramiento de la Secretaría de Hacienda en la elaboración del estudio clave de la economía del cambio climático.</w:t>
      </w:r>
    </w:p>
    <w:p w:rsidR="007F2BB9" w:rsidRDefault="00BE6079" w:rsidP="00BC2B85">
      <w:pPr>
        <w:pStyle w:val="ListParagraph"/>
        <w:numPr>
          <w:ilvl w:val="0"/>
          <w:numId w:val="9"/>
        </w:numPr>
        <w:ind w:left="426" w:hanging="426"/>
        <w:jc w:val="both"/>
        <w:rPr>
          <w:sz w:val="24"/>
        </w:rPr>
      </w:pPr>
      <w:r>
        <w:rPr>
          <w:sz w:val="24"/>
        </w:rPr>
        <w:t>También se involucró al Instituto Nacional de Ecología (</w:t>
      </w:r>
      <w:r w:rsidR="00DD1841">
        <w:rPr>
          <w:sz w:val="24"/>
        </w:rPr>
        <w:t xml:space="preserve">INE, </w:t>
      </w:r>
      <w:r>
        <w:rPr>
          <w:sz w:val="24"/>
        </w:rPr>
        <w:t xml:space="preserve">dependiente </w:t>
      </w:r>
      <w:proofErr w:type="gramStart"/>
      <w:r>
        <w:rPr>
          <w:sz w:val="24"/>
        </w:rPr>
        <w:t>de )</w:t>
      </w:r>
      <w:proofErr w:type="gramEnd"/>
      <w:r>
        <w:rPr>
          <w:sz w:val="24"/>
        </w:rPr>
        <w:t xml:space="preserve">, la </w:t>
      </w:r>
      <w:r w:rsidR="00897522">
        <w:rPr>
          <w:sz w:val="24"/>
        </w:rPr>
        <w:t>C</w:t>
      </w:r>
      <w:r>
        <w:rPr>
          <w:sz w:val="24"/>
        </w:rPr>
        <w:t xml:space="preserve">omisión </w:t>
      </w:r>
      <w:r w:rsidR="00897522">
        <w:rPr>
          <w:sz w:val="24"/>
        </w:rPr>
        <w:t xml:space="preserve">Nacional </w:t>
      </w:r>
      <w:r>
        <w:rPr>
          <w:sz w:val="24"/>
        </w:rPr>
        <w:t xml:space="preserve">del </w:t>
      </w:r>
      <w:r w:rsidR="00897522">
        <w:rPr>
          <w:sz w:val="24"/>
        </w:rPr>
        <w:t>A</w:t>
      </w:r>
      <w:r>
        <w:rPr>
          <w:sz w:val="24"/>
        </w:rPr>
        <w:t xml:space="preserve">gua, la </w:t>
      </w:r>
      <w:r w:rsidR="00897522">
        <w:rPr>
          <w:sz w:val="24"/>
        </w:rPr>
        <w:t>S</w:t>
      </w:r>
      <w:r>
        <w:rPr>
          <w:sz w:val="24"/>
        </w:rPr>
        <w:t xml:space="preserve">ecretaría de </w:t>
      </w:r>
      <w:r w:rsidR="00897522">
        <w:rPr>
          <w:sz w:val="24"/>
        </w:rPr>
        <w:t>E</w:t>
      </w:r>
      <w:r>
        <w:rPr>
          <w:sz w:val="24"/>
        </w:rPr>
        <w:t xml:space="preserve">nergía y </w:t>
      </w:r>
      <w:r w:rsidR="00897522">
        <w:rPr>
          <w:sz w:val="24"/>
        </w:rPr>
        <w:t>l</w:t>
      </w:r>
      <w:r>
        <w:rPr>
          <w:sz w:val="24"/>
        </w:rPr>
        <w:t xml:space="preserve">a </w:t>
      </w:r>
      <w:r w:rsidR="00897522">
        <w:rPr>
          <w:sz w:val="24"/>
        </w:rPr>
        <w:t>Secretaría de A</w:t>
      </w:r>
      <w:r>
        <w:rPr>
          <w:sz w:val="24"/>
        </w:rPr>
        <w:t>gricultura</w:t>
      </w:r>
      <w:r w:rsidR="00897522">
        <w:rPr>
          <w:sz w:val="24"/>
        </w:rPr>
        <w:t>, Ganadería, Pesca y Alimentación</w:t>
      </w:r>
      <w:r>
        <w:rPr>
          <w:sz w:val="24"/>
        </w:rPr>
        <w:t>, dentro de los más relevantes.</w:t>
      </w:r>
    </w:p>
    <w:p w:rsidR="007110D9" w:rsidRPr="005917E0" w:rsidRDefault="005917E0" w:rsidP="00DD1841">
      <w:pPr>
        <w:shd w:val="clear" w:color="auto" w:fill="BFBFBF" w:themeFill="background1" w:themeFillShade="BF"/>
        <w:jc w:val="both"/>
        <w:rPr>
          <w:sz w:val="24"/>
        </w:rPr>
      </w:pPr>
      <w:r>
        <w:rPr>
          <w:sz w:val="24"/>
        </w:rPr>
        <w:t>Manejo Adaptativo</w:t>
      </w:r>
    </w:p>
    <w:p w:rsidR="00A957AD" w:rsidRDefault="008E12E3" w:rsidP="00BC2B85">
      <w:pPr>
        <w:pStyle w:val="ListParagraph"/>
        <w:numPr>
          <w:ilvl w:val="0"/>
          <w:numId w:val="9"/>
        </w:numPr>
        <w:ind w:left="567" w:hanging="567"/>
        <w:jc w:val="both"/>
        <w:rPr>
          <w:sz w:val="24"/>
        </w:rPr>
      </w:pPr>
      <w:r>
        <w:rPr>
          <w:sz w:val="24"/>
        </w:rPr>
        <w:t xml:space="preserve">Durante la ejecución del proyecto, se prepararon </w:t>
      </w:r>
      <w:r w:rsidR="00A957AD">
        <w:rPr>
          <w:sz w:val="24"/>
        </w:rPr>
        <w:t xml:space="preserve">los Informes Anuales de Proyecto (APR), los Informes Anuales de Implementación (PIR), Planes Operativos Anuales (POA), </w:t>
      </w:r>
      <w:r w:rsidR="00570C08">
        <w:rPr>
          <w:sz w:val="24"/>
        </w:rPr>
        <w:t xml:space="preserve">la </w:t>
      </w:r>
      <w:r w:rsidR="00A957AD">
        <w:rPr>
          <w:sz w:val="24"/>
        </w:rPr>
        <w:t>formulación de presupuestos anuales y diversas minutas de reuniones del equipo de proyecto y del Comité de Dirección del Proyecto.</w:t>
      </w:r>
    </w:p>
    <w:p w:rsidR="00570C08" w:rsidRDefault="0005027C" w:rsidP="00BC2B85">
      <w:pPr>
        <w:pStyle w:val="ListParagraph"/>
        <w:numPr>
          <w:ilvl w:val="0"/>
          <w:numId w:val="9"/>
        </w:numPr>
        <w:ind w:left="567" w:hanging="567"/>
        <w:jc w:val="both"/>
        <w:rPr>
          <w:sz w:val="24"/>
        </w:rPr>
      </w:pPr>
      <w:r>
        <w:rPr>
          <w:sz w:val="24"/>
        </w:rPr>
        <w:t xml:space="preserve">Utilizando las herramientas de gestión antes mencionada, se realizaron una serie de cambios al proyecto, principalmente debido a que </w:t>
      </w:r>
      <w:r w:rsidR="00EF774A">
        <w:rPr>
          <w:sz w:val="24"/>
        </w:rPr>
        <w:t>sus</w:t>
      </w:r>
      <w:r>
        <w:rPr>
          <w:sz w:val="24"/>
        </w:rPr>
        <w:t xml:space="preserve"> principales productos resultaron obsoletos al poco tiempo de iniciado, debido a la naturaleza de corto plazo de esta iniciativa GEF.</w:t>
      </w:r>
      <w:r w:rsidR="007A1D30">
        <w:rPr>
          <w:sz w:val="24"/>
        </w:rPr>
        <w:t xml:space="preserve">  </w:t>
      </w:r>
    </w:p>
    <w:p w:rsidR="0005027C" w:rsidRDefault="0005027C" w:rsidP="00BC2B85">
      <w:pPr>
        <w:pStyle w:val="ListParagraph"/>
        <w:numPr>
          <w:ilvl w:val="0"/>
          <w:numId w:val="9"/>
        </w:numPr>
        <w:ind w:left="567" w:hanging="567"/>
        <w:jc w:val="both"/>
        <w:rPr>
          <w:sz w:val="24"/>
        </w:rPr>
      </w:pPr>
      <w:r>
        <w:rPr>
          <w:sz w:val="24"/>
        </w:rPr>
        <w:lastRenderedPageBreak/>
        <w:t xml:space="preserve">Una de las decisiones claves tomadas por el </w:t>
      </w:r>
      <w:r w:rsidR="00EF774A">
        <w:rPr>
          <w:sz w:val="24"/>
        </w:rPr>
        <w:t>C</w:t>
      </w:r>
      <w:r>
        <w:rPr>
          <w:sz w:val="24"/>
        </w:rPr>
        <w:t xml:space="preserve">omité de </w:t>
      </w:r>
      <w:r w:rsidR="00EF774A">
        <w:rPr>
          <w:sz w:val="24"/>
        </w:rPr>
        <w:t>D</w:t>
      </w:r>
      <w:r>
        <w:rPr>
          <w:sz w:val="24"/>
        </w:rPr>
        <w:t xml:space="preserve">irección, fue la de eliminar el cargo de coordinador del proyecto, </w:t>
      </w:r>
      <w:r w:rsidR="00EF774A">
        <w:rPr>
          <w:sz w:val="24"/>
        </w:rPr>
        <w:t xml:space="preserve">vistos </w:t>
      </w:r>
      <w:proofErr w:type="spellStart"/>
      <w:r w:rsidR="00EF774A">
        <w:rPr>
          <w:sz w:val="24"/>
        </w:rPr>
        <w:t>lo</w:t>
      </w:r>
      <w:proofErr w:type="spellEnd"/>
      <w:r w:rsidR="00EF774A">
        <w:rPr>
          <w:sz w:val="24"/>
        </w:rPr>
        <w:t xml:space="preserve"> resultados de los talleres efectuados, los gastos incurridos (principalmente destinados al pago de la Coordinación del proyecto) y </w:t>
      </w:r>
      <w:r>
        <w:rPr>
          <w:sz w:val="24"/>
        </w:rPr>
        <w:t>bajo el supuesto de que</w:t>
      </w:r>
      <w:r w:rsidR="00EF774A">
        <w:rPr>
          <w:sz w:val="24"/>
        </w:rPr>
        <w:t xml:space="preserve"> al incorporarse como principal acción la elaboración de estudios </w:t>
      </w:r>
      <w:r>
        <w:rPr>
          <w:sz w:val="24"/>
        </w:rPr>
        <w:t>la gestión necesaria correspondía solamente a administrar contratos de consultores.</w:t>
      </w:r>
    </w:p>
    <w:p w:rsidR="0005027C" w:rsidRDefault="0005027C" w:rsidP="00BC2B85">
      <w:pPr>
        <w:pStyle w:val="ListParagraph"/>
        <w:numPr>
          <w:ilvl w:val="0"/>
          <w:numId w:val="9"/>
        </w:numPr>
        <w:ind w:left="567" w:hanging="567"/>
        <w:jc w:val="both"/>
        <w:rPr>
          <w:sz w:val="24"/>
        </w:rPr>
      </w:pPr>
      <w:r>
        <w:rPr>
          <w:sz w:val="24"/>
        </w:rPr>
        <w:t xml:space="preserve">La eliminación del coordinador, redundó en que se perdió orientación y la capacidad de gestión y seguimiento diario de los resultados del proyecto. También tuvo como efecto que las responsabilidades propias de un coordinador, se tornaran difusas en la figuras del </w:t>
      </w:r>
      <w:r w:rsidR="00826F21">
        <w:rPr>
          <w:sz w:val="24"/>
        </w:rPr>
        <w:t>C</w:t>
      </w:r>
      <w:r>
        <w:rPr>
          <w:sz w:val="24"/>
        </w:rPr>
        <w:t xml:space="preserve">omité de </w:t>
      </w:r>
      <w:r w:rsidR="00826F21">
        <w:rPr>
          <w:sz w:val="24"/>
        </w:rPr>
        <w:t>D</w:t>
      </w:r>
      <w:r>
        <w:rPr>
          <w:sz w:val="24"/>
        </w:rPr>
        <w:t xml:space="preserve">irección y </w:t>
      </w:r>
      <w:proofErr w:type="gramStart"/>
      <w:r>
        <w:rPr>
          <w:sz w:val="24"/>
        </w:rPr>
        <w:t>en .</w:t>
      </w:r>
      <w:proofErr w:type="gramEnd"/>
    </w:p>
    <w:p w:rsidR="0005027C" w:rsidRDefault="0005027C" w:rsidP="00BC2B85">
      <w:pPr>
        <w:pStyle w:val="ListParagraph"/>
        <w:numPr>
          <w:ilvl w:val="0"/>
          <w:numId w:val="9"/>
        </w:numPr>
        <w:ind w:left="567" w:hanging="567"/>
        <w:jc w:val="both"/>
        <w:rPr>
          <w:sz w:val="24"/>
        </w:rPr>
      </w:pPr>
      <w:r>
        <w:rPr>
          <w:sz w:val="24"/>
        </w:rPr>
        <w:t xml:space="preserve">La gestión administrativa </w:t>
      </w:r>
      <w:r w:rsidR="00AA4774">
        <w:rPr>
          <w:sz w:val="24"/>
        </w:rPr>
        <w:t xml:space="preserve">interina </w:t>
      </w:r>
      <w:r>
        <w:rPr>
          <w:sz w:val="24"/>
        </w:rPr>
        <w:t xml:space="preserve">del proyecto quedó en manos de la Unidad GEF </w:t>
      </w:r>
      <w:r w:rsidR="00246ADC">
        <w:rPr>
          <w:sz w:val="24"/>
        </w:rPr>
        <w:t>localizada en SEMARNAT</w:t>
      </w:r>
      <w:r>
        <w:rPr>
          <w:sz w:val="24"/>
        </w:rPr>
        <w:t>, la cual tampoco poseía atribuciones suficientes para tomar decisiones, como por ejemplo, proponer el cierre del proyecto o cambiar actividades. En este sentido, la gestión de la Unidad GEF fue s</w:t>
      </w:r>
      <w:r w:rsidR="00826F21">
        <w:rPr>
          <w:sz w:val="24"/>
        </w:rPr>
        <w:t>ó</w:t>
      </w:r>
      <w:r>
        <w:rPr>
          <w:sz w:val="24"/>
        </w:rPr>
        <w:t xml:space="preserve">lo parcial y no tuvo impactos mayores en la </w:t>
      </w:r>
      <w:r w:rsidR="00C7475C">
        <w:rPr>
          <w:sz w:val="24"/>
        </w:rPr>
        <w:t>dirección</w:t>
      </w:r>
      <w:r>
        <w:rPr>
          <w:sz w:val="24"/>
        </w:rPr>
        <w:t xml:space="preserve"> del proyecto, debido al mandato limitado de sus funciones </w:t>
      </w:r>
      <w:r w:rsidR="00C7475C">
        <w:rPr>
          <w:sz w:val="24"/>
        </w:rPr>
        <w:t xml:space="preserve">de seguimiento </w:t>
      </w:r>
      <w:r>
        <w:rPr>
          <w:sz w:val="24"/>
        </w:rPr>
        <w:t>administrativ</w:t>
      </w:r>
      <w:r w:rsidR="00C7475C">
        <w:rPr>
          <w:sz w:val="24"/>
        </w:rPr>
        <w:t>o de las actividades del proyecto</w:t>
      </w:r>
      <w:r>
        <w:rPr>
          <w:sz w:val="24"/>
        </w:rPr>
        <w:t xml:space="preserve">. </w:t>
      </w:r>
      <w:r w:rsidR="00AA4774">
        <w:rPr>
          <w:sz w:val="24"/>
        </w:rPr>
        <w:t xml:space="preserve">Cabe mencionar que la Unidad GEF localizada en SEMARNAT, es un proyecto PNUD/SEMARNAT cuyo objetivo es </w:t>
      </w:r>
      <w:r w:rsidR="00C7475C">
        <w:rPr>
          <w:sz w:val="24"/>
        </w:rPr>
        <w:t xml:space="preserve">buscar y explotar las sinergias de </w:t>
      </w:r>
      <w:r w:rsidR="00AA4774">
        <w:rPr>
          <w:sz w:val="24"/>
        </w:rPr>
        <w:t>los distintos proyectos GEF que se ejecutan en México.</w:t>
      </w:r>
      <w:r>
        <w:rPr>
          <w:sz w:val="24"/>
        </w:rPr>
        <w:t xml:space="preserve"> </w:t>
      </w:r>
    </w:p>
    <w:p w:rsidR="00A957AD" w:rsidRDefault="00A81E2F" w:rsidP="00BC2B85">
      <w:pPr>
        <w:pStyle w:val="ListParagraph"/>
        <w:numPr>
          <w:ilvl w:val="0"/>
          <w:numId w:val="9"/>
        </w:numPr>
        <w:ind w:left="567" w:hanging="567"/>
        <w:jc w:val="both"/>
        <w:rPr>
          <w:sz w:val="24"/>
        </w:rPr>
      </w:pPr>
      <w:r>
        <w:rPr>
          <w:sz w:val="24"/>
        </w:rPr>
        <w:t xml:space="preserve">El proyecto de corto plazo fue extendido en numerosas ocasiones, debido a que las necesidades cambiantes del entorno político-institucional demandaban nuevas actividades y prioridades que eran cubiertas por el proyecto. Sin embargo, a mediados del año 2007, las actividades del proyecto se estancaron a la espera de un nuevo requerimiento </w:t>
      </w:r>
      <w:r w:rsidR="00826F21">
        <w:rPr>
          <w:sz w:val="24"/>
        </w:rPr>
        <w:t>en apoyo a las actividades relacionadas con la instrument</w:t>
      </w:r>
      <w:r w:rsidR="00FA7A66">
        <w:rPr>
          <w:sz w:val="24"/>
        </w:rPr>
        <w:t>ación del Programa Especial de C</w:t>
      </w:r>
      <w:r w:rsidR="00826F21">
        <w:rPr>
          <w:sz w:val="24"/>
        </w:rPr>
        <w:t>ambio Climático</w:t>
      </w:r>
      <w:r>
        <w:rPr>
          <w:sz w:val="24"/>
        </w:rPr>
        <w:t xml:space="preserve">, </w:t>
      </w:r>
      <w:r w:rsidR="00826F21">
        <w:rPr>
          <w:sz w:val="24"/>
        </w:rPr>
        <w:t xml:space="preserve">las cuales </w:t>
      </w:r>
      <w:r>
        <w:rPr>
          <w:sz w:val="24"/>
        </w:rPr>
        <w:t>nunca se concret</w:t>
      </w:r>
      <w:r w:rsidR="00826F21">
        <w:rPr>
          <w:sz w:val="24"/>
        </w:rPr>
        <w:t>aron</w:t>
      </w:r>
      <w:r>
        <w:rPr>
          <w:sz w:val="24"/>
        </w:rPr>
        <w:t>, debido a</w:t>
      </w:r>
      <w:r w:rsidR="00826F21">
        <w:rPr>
          <w:sz w:val="24"/>
        </w:rPr>
        <w:t xml:space="preserve">l retraso en la publicación oficial del Programa Especial lo que redundó en </w:t>
      </w:r>
      <w:r>
        <w:rPr>
          <w:sz w:val="24"/>
        </w:rPr>
        <w:t xml:space="preserve">que </w:t>
      </w:r>
      <w:r w:rsidR="00DD1841">
        <w:rPr>
          <w:sz w:val="24"/>
        </w:rPr>
        <w:t>no</w:t>
      </w:r>
      <w:r>
        <w:rPr>
          <w:sz w:val="24"/>
        </w:rPr>
        <w:t xml:space="preserve"> se </w:t>
      </w:r>
      <w:r w:rsidR="00826F21">
        <w:rPr>
          <w:sz w:val="24"/>
        </w:rPr>
        <w:t xml:space="preserve">pudiera </w:t>
      </w:r>
      <w:r>
        <w:rPr>
          <w:sz w:val="24"/>
        </w:rPr>
        <w:t>clarificar el sentido y alcance de la</w:t>
      </w:r>
      <w:r w:rsidR="00826F21">
        <w:rPr>
          <w:sz w:val="24"/>
        </w:rPr>
        <w:t>s</w:t>
      </w:r>
      <w:r>
        <w:rPr>
          <w:sz w:val="24"/>
        </w:rPr>
        <w:t xml:space="preserve"> actividad</w:t>
      </w:r>
      <w:r w:rsidR="00826F21">
        <w:rPr>
          <w:sz w:val="24"/>
        </w:rPr>
        <w:t>es</w:t>
      </w:r>
      <w:r>
        <w:rPr>
          <w:sz w:val="24"/>
        </w:rPr>
        <w:t>, lo que implicó que el proyecto se mantuviera abierto y sin actividad durante casi 3 años</w:t>
      </w:r>
      <w:r w:rsidR="00DD1841">
        <w:rPr>
          <w:sz w:val="24"/>
        </w:rPr>
        <w:t xml:space="preserve"> más</w:t>
      </w:r>
      <w:r>
        <w:rPr>
          <w:sz w:val="24"/>
        </w:rPr>
        <w:t>.</w:t>
      </w:r>
    </w:p>
    <w:p w:rsidR="009A0CE9" w:rsidRPr="00AA33F1" w:rsidRDefault="00A81E2F" w:rsidP="00AA33F1">
      <w:pPr>
        <w:pStyle w:val="ListParagraph"/>
        <w:numPr>
          <w:ilvl w:val="0"/>
          <w:numId w:val="9"/>
        </w:numPr>
        <w:ind w:left="567" w:hanging="567"/>
        <w:jc w:val="both"/>
        <w:rPr>
          <w:sz w:val="24"/>
        </w:rPr>
      </w:pPr>
      <w:r w:rsidRPr="00AA33F1">
        <w:rPr>
          <w:sz w:val="24"/>
        </w:rPr>
        <w:t xml:space="preserve">La principal observación sobre el manejo adaptativo del proyecto, se refiere a la poca capacidad de todos los actores (PNUD y </w:t>
      </w:r>
      <w:r w:rsidR="0041769A" w:rsidRPr="00AA33F1">
        <w:rPr>
          <w:sz w:val="24"/>
        </w:rPr>
        <w:t>SEMARNAT</w:t>
      </w:r>
      <w:r w:rsidR="00DD1841" w:rsidRPr="00AA33F1">
        <w:rPr>
          <w:sz w:val="24"/>
        </w:rPr>
        <w:t xml:space="preserve"> principalmente</w:t>
      </w:r>
      <w:r w:rsidRPr="00AA33F1">
        <w:rPr>
          <w:sz w:val="24"/>
        </w:rPr>
        <w:t xml:space="preserve">), de tomar la decisión de cerrar este proyecto de buena forma en el </w:t>
      </w:r>
      <w:r w:rsidR="00DD1841" w:rsidRPr="00AA33F1">
        <w:rPr>
          <w:sz w:val="24"/>
        </w:rPr>
        <w:t xml:space="preserve">año </w:t>
      </w:r>
      <w:r w:rsidRPr="00AA33F1">
        <w:rPr>
          <w:sz w:val="24"/>
        </w:rPr>
        <w:t xml:space="preserve">2007 y </w:t>
      </w:r>
      <w:r w:rsidR="009A0CE9" w:rsidRPr="00AA33F1">
        <w:rPr>
          <w:sz w:val="24"/>
        </w:rPr>
        <w:t xml:space="preserve">preparar la formulación de un nuevo proyecto, más en línea con las necesidades de México y con los lineamientos actuales del GEF. </w:t>
      </w:r>
      <w:r w:rsidR="00AA33F1" w:rsidRPr="00AA33F1">
        <w:rPr>
          <w:sz w:val="24"/>
        </w:rPr>
        <w:t>Ad</w:t>
      </w:r>
      <w:r w:rsidR="00AA33F1" w:rsidRPr="00246ADC">
        <w:rPr>
          <w:sz w:val="24"/>
        </w:rPr>
        <w:t xml:space="preserve">emás, </w:t>
      </w:r>
      <w:r w:rsidR="00AA33F1" w:rsidRPr="00AA33F1">
        <w:rPr>
          <w:sz w:val="24"/>
        </w:rPr>
        <w:t xml:space="preserve">existe </w:t>
      </w:r>
      <w:r w:rsidR="009A0CE9" w:rsidRPr="00AA33F1">
        <w:rPr>
          <w:sz w:val="24"/>
        </w:rPr>
        <w:t xml:space="preserve">dificultad para medir los impactos del proyecto, debido a que </w:t>
      </w:r>
      <w:r w:rsidR="00E83AF4" w:rsidRPr="00AA33F1">
        <w:rPr>
          <w:sz w:val="24"/>
        </w:rPr>
        <w:t xml:space="preserve">no ha sido posible identificar claramente </w:t>
      </w:r>
      <w:r w:rsidR="00DD1841" w:rsidRPr="00AA33F1">
        <w:rPr>
          <w:sz w:val="24"/>
        </w:rPr>
        <w:t xml:space="preserve">su influencia </w:t>
      </w:r>
      <w:r w:rsidR="009A0CE9" w:rsidRPr="00AA33F1">
        <w:rPr>
          <w:sz w:val="24"/>
        </w:rPr>
        <w:t>en la toma de decisiones y en la elaboración de políticas ambientales de largo plazo, a excepción de un par de casos.</w:t>
      </w:r>
    </w:p>
    <w:p w:rsidR="009A0CE9" w:rsidRDefault="009A0CE9" w:rsidP="00BC2B85">
      <w:pPr>
        <w:pStyle w:val="ListParagraph"/>
        <w:numPr>
          <w:ilvl w:val="0"/>
          <w:numId w:val="9"/>
        </w:numPr>
        <w:ind w:left="567" w:hanging="567"/>
        <w:jc w:val="both"/>
        <w:rPr>
          <w:sz w:val="24"/>
        </w:rPr>
      </w:pPr>
      <w:r>
        <w:rPr>
          <w:sz w:val="24"/>
        </w:rPr>
        <w:t xml:space="preserve">A lo anterior, habría que sumar la mala percepción creada por las continuas extensiones del proyecto, lo que ha opacado el logro de algunos resultados </w:t>
      </w:r>
      <w:r>
        <w:rPr>
          <w:sz w:val="24"/>
        </w:rPr>
        <w:lastRenderedPageBreak/>
        <w:t>importantes, tales como lo p</w:t>
      </w:r>
      <w:r w:rsidR="005A3D30">
        <w:rPr>
          <w:sz w:val="24"/>
        </w:rPr>
        <w:t>rogramas</w:t>
      </w:r>
      <w:r>
        <w:rPr>
          <w:sz w:val="24"/>
        </w:rPr>
        <w:t xml:space="preserve"> estatales en cambio climático y el estudio sobre la economía del cambio climático.</w:t>
      </w:r>
    </w:p>
    <w:p w:rsidR="00363797" w:rsidRPr="00363797" w:rsidRDefault="00363797" w:rsidP="00924CF4">
      <w:pPr>
        <w:shd w:val="clear" w:color="auto" w:fill="C4BC96" w:themeFill="background2" w:themeFillShade="BF"/>
        <w:spacing w:after="120" w:line="240" w:lineRule="auto"/>
        <w:jc w:val="both"/>
        <w:rPr>
          <w:sz w:val="24"/>
        </w:rPr>
      </w:pPr>
      <w:r w:rsidRPr="00363797">
        <w:rPr>
          <w:sz w:val="24"/>
        </w:rPr>
        <w:t xml:space="preserve">Planificación </w:t>
      </w:r>
      <w:r>
        <w:rPr>
          <w:sz w:val="24"/>
        </w:rPr>
        <w:t xml:space="preserve">y Ejecución </w:t>
      </w:r>
      <w:r w:rsidRPr="00363797">
        <w:rPr>
          <w:sz w:val="24"/>
        </w:rPr>
        <w:t>Financiera</w:t>
      </w:r>
    </w:p>
    <w:p w:rsidR="00000000" w:rsidRDefault="00C61651">
      <w:pPr>
        <w:pStyle w:val="ListParagraph"/>
        <w:numPr>
          <w:ilvl w:val="0"/>
          <w:numId w:val="9"/>
        </w:numPr>
        <w:ind w:left="567" w:hanging="567"/>
        <w:jc w:val="both"/>
        <w:rPr>
          <w:sz w:val="24"/>
        </w:rPr>
      </w:pPr>
      <w:r w:rsidRPr="00C61651">
        <w:rPr>
          <w:sz w:val="24"/>
        </w:rPr>
        <w:t xml:space="preserve">El </w:t>
      </w:r>
      <w:proofErr w:type="spellStart"/>
      <w:r w:rsidRPr="00C61651">
        <w:rPr>
          <w:sz w:val="24"/>
        </w:rPr>
        <w:t>Prodoc</w:t>
      </w:r>
      <w:proofErr w:type="spellEnd"/>
      <w:r w:rsidR="003640DC">
        <w:rPr>
          <w:rStyle w:val="FootnoteReference"/>
          <w:sz w:val="24"/>
        </w:rPr>
        <w:footnoteReference w:id="3"/>
      </w:r>
      <w:r w:rsidRPr="00C61651">
        <w:rPr>
          <w:sz w:val="24"/>
        </w:rPr>
        <w:t xml:space="preserve">  contenía una estimación de gastos del proyecto, donde los fondos del GEF ascendían a US$ 652,800, mientras que la contrapartida del Gobierno de México, a través de la Secretaría de Medio Ambiente y Recursos Naturales (S</w:t>
      </w:r>
      <w:r w:rsidR="0084011A">
        <w:rPr>
          <w:sz w:val="24"/>
        </w:rPr>
        <w:t>EMARNAT</w:t>
      </w:r>
      <w:r w:rsidRPr="00C61651">
        <w:rPr>
          <w:sz w:val="24"/>
        </w:rPr>
        <w:t>) ascendía a US$ 640,000, esencialmente en especie. El gasto estimado a realizar y su distribución por resultado durante la ejecución del proyecto, se muestra en el Cuadro N°</w:t>
      </w:r>
      <w:r w:rsidR="00DD1841">
        <w:rPr>
          <w:sz w:val="24"/>
        </w:rPr>
        <w:t>6</w:t>
      </w:r>
      <w:r w:rsidRPr="00C61651">
        <w:rPr>
          <w:sz w:val="24"/>
        </w:rPr>
        <w:t>.</w:t>
      </w:r>
    </w:p>
    <w:p w:rsidR="00C61651" w:rsidRPr="00BC2B85" w:rsidRDefault="00C61651" w:rsidP="00BC2B85">
      <w:pPr>
        <w:spacing w:before="200" w:after="0" w:line="240" w:lineRule="auto"/>
        <w:ind w:firstLine="142"/>
        <w:rPr>
          <w:i/>
          <w:sz w:val="20"/>
        </w:rPr>
      </w:pPr>
      <w:r w:rsidRPr="00BC2B85">
        <w:rPr>
          <w:i/>
          <w:sz w:val="20"/>
        </w:rPr>
        <w:t>Cuadro Nº</w:t>
      </w:r>
      <w:r w:rsidR="00DD1841">
        <w:rPr>
          <w:i/>
          <w:sz w:val="20"/>
        </w:rPr>
        <w:t>6</w:t>
      </w:r>
      <w:r w:rsidRPr="00BC2B85">
        <w:rPr>
          <w:i/>
          <w:sz w:val="20"/>
        </w:rPr>
        <w:t xml:space="preserve">: Gastos estimados de acuerdo al </w:t>
      </w:r>
      <w:proofErr w:type="spellStart"/>
      <w:r w:rsidRPr="00BC2B85">
        <w:rPr>
          <w:i/>
          <w:sz w:val="20"/>
        </w:rPr>
        <w:t>prodoc</w:t>
      </w:r>
      <w:proofErr w:type="spellEnd"/>
      <w:r w:rsidRPr="00BC2B85">
        <w:rPr>
          <w:i/>
          <w:sz w:val="20"/>
        </w:rPr>
        <w:t>.</w:t>
      </w:r>
      <w:r>
        <w:rPr>
          <w:i/>
          <w:sz w:val="20"/>
        </w:rPr>
        <w:t xml:space="preserve"> Todos los valores en US$</w:t>
      </w:r>
    </w:p>
    <w:tbl>
      <w:tblPr>
        <w:tblStyle w:val="MediumShading2-Accent3"/>
        <w:tblW w:w="8432" w:type="dxa"/>
        <w:tblInd w:w="108" w:type="dxa"/>
        <w:tblLook w:val="04A0"/>
      </w:tblPr>
      <w:tblGrid>
        <w:gridCol w:w="2472"/>
        <w:gridCol w:w="920"/>
        <w:gridCol w:w="940"/>
        <w:gridCol w:w="980"/>
        <w:gridCol w:w="1080"/>
        <w:gridCol w:w="1100"/>
        <w:gridCol w:w="940"/>
      </w:tblGrid>
      <w:tr w:rsidR="00C61651" w:rsidRPr="004A70AA" w:rsidTr="00DD1841">
        <w:trPr>
          <w:cnfStyle w:val="100000000000"/>
          <w:trHeight w:val="510"/>
        </w:trPr>
        <w:tc>
          <w:tcPr>
            <w:cnfStyle w:val="001000000100"/>
            <w:tcW w:w="2472" w:type="dxa"/>
            <w:vAlign w:val="center"/>
            <w:hideMark/>
          </w:tcPr>
          <w:p w:rsidR="00C61651" w:rsidRPr="004A70AA" w:rsidRDefault="00C61651" w:rsidP="00BC2B85">
            <w:pPr>
              <w:jc w:val="center"/>
              <w:rPr>
                <w:rFonts w:asciiTheme="minorHAnsi" w:eastAsia="Times New Roman" w:hAnsiTheme="minorHAnsi" w:cstheme="minorHAnsi"/>
                <w:b w:val="0"/>
                <w:bCs w:val="0"/>
                <w:color w:val="000000"/>
                <w:sz w:val="18"/>
                <w:szCs w:val="18"/>
              </w:rPr>
            </w:pPr>
            <w:r w:rsidRPr="004A70AA">
              <w:rPr>
                <w:rFonts w:asciiTheme="minorHAnsi" w:eastAsia="Times New Roman" w:hAnsiTheme="minorHAnsi" w:cstheme="minorHAnsi"/>
                <w:color w:val="000000"/>
                <w:sz w:val="18"/>
                <w:szCs w:val="18"/>
              </w:rPr>
              <w:t>Concepto</w:t>
            </w:r>
          </w:p>
        </w:tc>
        <w:tc>
          <w:tcPr>
            <w:tcW w:w="920" w:type="dxa"/>
            <w:vAlign w:val="center"/>
            <w:hideMark/>
          </w:tcPr>
          <w:p w:rsidR="00C61651" w:rsidRPr="004A70AA" w:rsidRDefault="00C61651" w:rsidP="00BC2B85">
            <w:pPr>
              <w:jc w:val="center"/>
              <w:cnfStyle w:val="100000000000"/>
              <w:rPr>
                <w:rFonts w:asciiTheme="minorHAnsi" w:eastAsia="Times New Roman" w:hAnsiTheme="minorHAnsi" w:cstheme="minorHAnsi"/>
                <w:b w:val="0"/>
                <w:bCs w:val="0"/>
                <w:color w:val="000000"/>
                <w:sz w:val="18"/>
                <w:szCs w:val="18"/>
              </w:rPr>
            </w:pPr>
            <w:r w:rsidRPr="004A70AA">
              <w:rPr>
                <w:rFonts w:asciiTheme="minorHAnsi" w:eastAsia="Times New Roman" w:hAnsiTheme="minorHAnsi" w:cstheme="minorHAnsi"/>
                <w:color w:val="000000"/>
                <w:sz w:val="18"/>
                <w:szCs w:val="18"/>
              </w:rPr>
              <w:t>GEF</w:t>
            </w:r>
          </w:p>
        </w:tc>
        <w:tc>
          <w:tcPr>
            <w:tcW w:w="940" w:type="dxa"/>
            <w:vAlign w:val="center"/>
            <w:hideMark/>
          </w:tcPr>
          <w:p w:rsidR="00C61651" w:rsidRPr="004A70AA" w:rsidRDefault="00C61651" w:rsidP="00BC2B85">
            <w:pPr>
              <w:jc w:val="center"/>
              <w:cnfStyle w:val="100000000000"/>
              <w:rPr>
                <w:rFonts w:asciiTheme="minorHAnsi" w:eastAsia="Times New Roman" w:hAnsiTheme="minorHAnsi" w:cstheme="minorHAnsi"/>
                <w:b w:val="0"/>
                <w:bCs w:val="0"/>
                <w:color w:val="000000"/>
                <w:sz w:val="18"/>
                <w:szCs w:val="18"/>
              </w:rPr>
            </w:pPr>
            <w:r w:rsidRPr="004A70AA">
              <w:rPr>
                <w:rFonts w:asciiTheme="minorHAnsi" w:eastAsia="Times New Roman" w:hAnsiTheme="minorHAnsi" w:cstheme="minorHAnsi"/>
                <w:color w:val="000000"/>
                <w:sz w:val="18"/>
                <w:szCs w:val="18"/>
              </w:rPr>
              <w:t>% del total GEF</w:t>
            </w:r>
          </w:p>
        </w:tc>
        <w:tc>
          <w:tcPr>
            <w:tcW w:w="980" w:type="dxa"/>
            <w:vAlign w:val="center"/>
            <w:hideMark/>
          </w:tcPr>
          <w:p w:rsidR="00C61651" w:rsidRPr="004A70AA" w:rsidRDefault="00C61651" w:rsidP="00BC2B85">
            <w:pPr>
              <w:jc w:val="center"/>
              <w:cnfStyle w:val="100000000000"/>
              <w:rPr>
                <w:rFonts w:asciiTheme="minorHAnsi" w:eastAsia="Times New Roman" w:hAnsiTheme="minorHAnsi" w:cstheme="minorHAnsi"/>
                <w:b w:val="0"/>
                <w:bCs w:val="0"/>
                <w:color w:val="000000"/>
                <w:sz w:val="18"/>
                <w:szCs w:val="18"/>
              </w:rPr>
            </w:pPr>
            <w:proofErr w:type="spellStart"/>
            <w:r w:rsidRPr="004A70AA">
              <w:rPr>
                <w:rFonts w:asciiTheme="minorHAnsi" w:eastAsia="Times New Roman" w:hAnsiTheme="minorHAnsi" w:cstheme="minorHAnsi"/>
                <w:color w:val="000000"/>
                <w:sz w:val="18"/>
                <w:szCs w:val="18"/>
              </w:rPr>
              <w:t>Semarnat</w:t>
            </w:r>
            <w:proofErr w:type="spellEnd"/>
          </w:p>
        </w:tc>
        <w:tc>
          <w:tcPr>
            <w:tcW w:w="1080" w:type="dxa"/>
            <w:vAlign w:val="center"/>
            <w:hideMark/>
          </w:tcPr>
          <w:p w:rsidR="00C61651" w:rsidRPr="004A70AA" w:rsidRDefault="00C61651" w:rsidP="00BC2B85">
            <w:pPr>
              <w:jc w:val="center"/>
              <w:cnfStyle w:val="100000000000"/>
              <w:rPr>
                <w:rFonts w:asciiTheme="minorHAnsi" w:eastAsia="Times New Roman" w:hAnsiTheme="minorHAnsi" w:cstheme="minorHAnsi"/>
                <w:b w:val="0"/>
                <w:bCs w:val="0"/>
                <w:color w:val="000000"/>
                <w:sz w:val="18"/>
                <w:szCs w:val="18"/>
              </w:rPr>
            </w:pPr>
            <w:r w:rsidRPr="004A70AA">
              <w:rPr>
                <w:rFonts w:asciiTheme="minorHAnsi" w:eastAsia="Times New Roman" w:hAnsiTheme="minorHAnsi" w:cstheme="minorHAnsi"/>
                <w:color w:val="000000"/>
                <w:sz w:val="18"/>
                <w:szCs w:val="18"/>
              </w:rPr>
              <w:t xml:space="preserve">% del total </w:t>
            </w:r>
            <w:proofErr w:type="spellStart"/>
            <w:r w:rsidRPr="004A70AA">
              <w:rPr>
                <w:rFonts w:asciiTheme="minorHAnsi" w:eastAsia="Times New Roman" w:hAnsiTheme="minorHAnsi" w:cstheme="minorHAnsi"/>
                <w:color w:val="000000"/>
                <w:sz w:val="18"/>
                <w:szCs w:val="18"/>
              </w:rPr>
              <w:t>Semarnat</w:t>
            </w:r>
            <w:proofErr w:type="spellEnd"/>
          </w:p>
        </w:tc>
        <w:tc>
          <w:tcPr>
            <w:tcW w:w="1100" w:type="dxa"/>
            <w:vAlign w:val="center"/>
            <w:hideMark/>
          </w:tcPr>
          <w:p w:rsidR="00C61651" w:rsidRPr="004A70AA" w:rsidRDefault="00C61651" w:rsidP="00BC2B85">
            <w:pPr>
              <w:jc w:val="center"/>
              <w:cnfStyle w:val="100000000000"/>
              <w:rPr>
                <w:rFonts w:asciiTheme="minorHAnsi" w:eastAsia="Times New Roman" w:hAnsiTheme="minorHAnsi" w:cstheme="minorHAnsi"/>
                <w:b w:val="0"/>
                <w:bCs w:val="0"/>
                <w:color w:val="000000"/>
                <w:sz w:val="18"/>
                <w:szCs w:val="18"/>
              </w:rPr>
            </w:pPr>
            <w:r w:rsidRPr="004A70AA">
              <w:rPr>
                <w:rFonts w:asciiTheme="minorHAnsi" w:eastAsia="Times New Roman" w:hAnsiTheme="minorHAnsi" w:cstheme="minorHAnsi"/>
                <w:color w:val="000000"/>
                <w:sz w:val="18"/>
                <w:szCs w:val="18"/>
              </w:rPr>
              <w:t>Total del Proyecto</w:t>
            </w:r>
          </w:p>
        </w:tc>
        <w:tc>
          <w:tcPr>
            <w:tcW w:w="940" w:type="dxa"/>
            <w:vAlign w:val="center"/>
            <w:hideMark/>
          </w:tcPr>
          <w:p w:rsidR="00C61651" w:rsidRPr="004A70AA" w:rsidRDefault="00C61651" w:rsidP="00BC2B85">
            <w:pPr>
              <w:jc w:val="center"/>
              <w:cnfStyle w:val="100000000000"/>
              <w:rPr>
                <w:rFonts w:asciiTheme="minorHAnsi" w:eastAsia="Times New Roman" w:hAnsiTheme="minorHAnsi" w:cstheme="minorHAnsi"/>
                <w:b w:val="0"/>
                <w:bCs w:val="0"/>
                <w:color w:val="000000"/>
                <w:sz w:val="18"/>
                <w:szCs w:val="18"/>
              </w:rPr>
            </w:pPr>
            <w:r w:rsidRPr="004A70AA">
              <w:rPr>
                <w:rFonts w:asciiTheme="minorHAnsi" w:eastAsia="Times New Roman" w:hAnsiTheme="minorHAnsi" w:cstheme="minorHAnsi"/>
                <w:color w:val="000000"/>
                <w:sz w:val="18"/>
                <w:szCs w:val="18"/>
              </w:rPr>
              <w:t>% del Total</w:t>
            </w:r>
          </w:p>
        </w:tc>
      </w:tr>
      <w:tr w:rsidR="00C61651" w:rsidRPr="00C61651" w:rsidTr="00DD1841">
        <w:trPr>
          <w:cnfStyle w:val="000000100000"/>
          <w:trHeight w:val="30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Unidad de Coordinación del Proyecto</w:t>
            </w:r>
          </w:p>
        </w:tc>
        <w:tc>
          <w:tcPr>
            <w:tcW w:w="92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100,000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w:t>
            </w:r>
          </w:p>
        </w:tc>
        <w:tc>
          <w:tcPr>
            <w:tcW w:w="9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10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110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100,000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w:t>
            </w:r>
          </w:p>
        </w:tc>
      </w:tr>
      <w:tr w:rsidR="00C61651" w:rsidRPr="00C61651" w:rsidTr="00DD1841">
        <w:trPr>
          <w:trHeight w:val="51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Unidad de Marcos Programáticos</w:t>
            </w:r>
          </w:p>
        </w:tc>
        <w:tc>
          <w:tcPr>
            <w:tcW w:w="92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90,000</w:t>
            </w: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14%</w:t>
            </w:r>
          </w:p>
        </w:tc>
        <w:tc>
          <w:tcPr>
            <w:tcW w:w="9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10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110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90,000</w:t>
            </w: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7%</w:t>
            </w:r>
          </w:p>
        </w:tc>
      </w:tr>
      <w:tr w:rsidR="00C61651" w:rsidRPr="00C61651" w:rsidTr="00DD1841">
        <w:trPr>
          <w:cnfStyle w:val="000000100000"/>
          <w:trHeight w:val="51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Consultores internacionales de corto plazo</w:t>
            </w:r>
          </w:p>
        </w:tc>
        <w:tc>
          <w:tcPr>
            <w:tcW w:w="92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100,000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w:t>
            </w:r>
          </w:p>
        </w:tc>
        <w:tc>
          <w:tcPr>
            <w:tcW w:w="9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10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110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100,000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w:t>
            </w:r>
          </w:p>
        </w:tc>
      </w:tr>
      <w:tr w:rsidR="00C61651" w:rsidRPr="00C61651" w:rsidTr="00DD1841">
        <w:trPr>
          <w:trHeight w:val="102"/>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p>
        </w:tc>
        <w:tc>
          <w:tcPr>
            <w:tcW w:w="92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10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110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r>
      <w:tr w:rsidR="00C61651" w:rsidRPr="00C61651" w:rsidTr="00DD1841">
        <w:trPr>
          <w:cnfStyle w:val="000000100000"/>
          <w:trHeight w:val="51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Personal técnico de SEMARNAT</w:t>
            </w:r>
          </w:p>
        </w:tc>
        <w:tc>
          <w:tcPr>
            <w:tcW w:w="92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9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210,000</w:t>
            </w:r>
          </w:p>
        </w:tc>
        <w:tc>
          <w:tcPr>
            <w:tcW w:w="10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33%</w:t>
            </w:r>
          </w:p>
        </w:tc>
        <w:tc>
          <w:tcPr>
            <w:tcW w:w="110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210,000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16%</w:t>
            </w:r>
          </w:p>
        </w:tc>
      </w:tr>
      <w:tr w:rsidR="00C61651" w:rsidRPr="00C61651" w:rsidTr="00DD1841">
        <w:trPr>
          <w:trHeight w:val="51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Asesores técnicos de otras secretarías</w:t>
            </w:r>
          </w:p>
        </w:tc>
        <w:tc>
          <w:tcPr>
            <w:tcW w:w="92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315,000</w:t>
            </w:r>
          </w:p>
        </w:tc>
        <w:tc>
          <w:tcPr>
            <w:tcW w:w="10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49%</w:t>
            </w:r>
          </w:p>
        </w:tc>
        <w:tc>
          <w:tcPr>
            <w:tcW w:w="110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315,000</w:t>
            </w: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24%</w:t>
            </w:r>
          </w:p>
        </w:tc>
      </w:tr>
      <w:tr w:rsidR="00C61651" w:rsidRPr="00C61651" w:rsidTr="00DD1841">
        <w:trPr>
          <w:cnfStyle w:val="000000100000"/>
          <w:trHeight w:val="51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Consultores nacionales de corto plazo</w:t>
            </w:r>
          </w:p>
        </w:tc>
        <w:tc>
          <w:tcPr>
            <w:tcW w:w="92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200,000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31%</w:t>
            </w:r>
          </w:p>
        </w:tc>
        <w:tc>
          <w:tcPr>
            <w:tcW w:w="9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10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110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200,000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w:t>
            </w:r>
          </w:p>
        </w:tc>
      </w:tr>
      <w:tr w:rsidR="00C61651" w:rsidRPr="00C61651" w:rsidTr="00DD1841">
        <w:trPr>
          <w:trHeight w:val="102"/>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p>
        </w:tc>
        <w:tc>
          <w:tcPr>
            <w:tcW w:w="92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10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110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r>
      <w:tr w:rsidR="00C61651" w:rsidRPr="00C61651" w:rsidTr="00DD1841">
        <w:trPr>
          <w:cnfStyle w:val="000000100000"/>
          <w:trHeight w:val="30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Pasajes</w:t>
            </w:r>
          </w:p>
        </w:tc>
        <w:tc>
          <w:tcPr>
            <w:tcW w:w="92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30,000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w:t>
            </w:r>
          </w:p>
        </w:tc>
        <w:tc>
          <w:tcPr>
            <w:tcW w:w="9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10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110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30,000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w:t>
            </w:r>
          </w:p>
        </w:tc>
      </w:tr>
      <w:tr w:rsidR="00C61651" w:rsidRPr="00C61651" w:rsidTr="00DD1841">
        <w:trPr>
          <w:trHeight w:val="51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Talleres de consulta federal, estatal y local</w:t>
            </w:r>
          </w:p>
        </w:tc>
        <w:tc>
          <w:tcPr>
            <w:tcW w:w="92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67,360</w:t>
            </w: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w:t>
            </w:r>
          </w:p>
        </w:tc>
        <w:tc>
          <w:tcPr>
            <w:tcW w:w="9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0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w:t>
            </w:r>
          </w:p>
        </w:tc>
        <w:tc>
          <w:tcPr>
            <w:tcW w:w="110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127,360</w:t>
            </w: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w:t>
            </w:r>
          </w:p>
        </w:tc>
      </w:tr>
      <w:tr w:rsidR="00C61651" w:rsidRPr="00C61651" w:rsidTr="00DD1841">
        <w:trPr>
          <w:cnfStyle w:val="000000100000"/>
          <w:trHeight w:val="30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Apoyo de infraestructura</w:t>
            </w:r>
          </w:p>
        </w:tc>
        <w:tc>
          <w:tcPr>
            <w:tcW w:w="92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9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25,000</w:t>
            </w:r>
          </w:p>
        </w:tc>
        <w:tc>
          <w:tcPr>
            <w:tcW w:w="10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w:t>
            </w:r>
          </w:p>
        </w:tc>
        <w:tc>
          <w:tcPr>
            <w:tcW w:w="110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25,000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w:t>
            </w:r>
          </w:p>
        </w:tc>
      </w:tr>
      <w:tr w:rsidR="00C61651" w:rsidRPr="00C61651" w:rsidTr="00DD1841">
        <w:trPr>
          <w:trHeight w:val="51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Misceláneos (publicaciones, comunicaciones, etc.)</w:t>
            </w:r>
          </w:p>
        </w:tc>
        <w:tc>
          <w:tcPr>
            <w:tcW w:w="92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17,800</w:t>
            </w: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w:t>
            </w:r>
          </w:p>
        </w:tc>
        <w:tc>
          <w:tcPr>
            <w:tcW w:w="9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30,000</w:t>
            </w:r>
          </w:p>
        </w:tc>
        <w:tc>
          <w:tcPr>
            <w:tcW w:w="10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w:t>
            </w:r>
          </w:p>
        </w:tc>
        <w:tc>
          <w:tcPr>
            <w:tcW w:w="110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47,800</w:t>
            </w: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w:t>
            </w:r>
          </w:p>
        </w:tc>
      </w:tr>
      <w:tr w:rsidR="00C61651" w:rsidRPr="00C61651" w:rsidTr="00DD1841">
        <w:trPr>
          <w:cnfStyle w:val="000000100000"/>
          <w:trHeight w:val="30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Equipamiento</w:t>
            </w:r>
          </w:p>
        </w:tc>
        <w:tc>
          <w:tcPr>
            <w:tcW w:w="92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47,640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7%</w:t>
            </w:r>
          </w:p>
        </w:tc>
        <w:tc>
          <w:tcPr>
            <w:tcW w:w="9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108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p>
        </w:tc>
        <w:tc>
          <w:tcPr>
            <w:tcW w:w="110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47,640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w:t>
            </w:r>
          </w:p>
        </w:tc>
      </w:tr>
      <w:tr w:rsidR="00C61651" w:rsidRPr="00C61651" w:rsidTr="00DD1841">
        <w:trPr>
          <w:trHeight w:val="102"/>
        </w:trPr>
        <w:tc>
          <w:tcPr>
            <w:cnfStyle w:val="001000000000"/>
            <w:tcW w:w="2472" w:type="dxa"/>
            <w:vAlign w:val="center"/>
            <w:hideMark/>
          </w:tcPr>
          <w:p w:rsidR="00C61651" w:rsidRPr="00BC2B85" w:rsidRDefault="00C61651" w:rsidP="00BC2B85">
            <w:pPr>
              <w:rPr>
                <w:rFonts w:asciiTheme="minorHAnsi" w:eastAsia="Times New Roman" w:hAnsiTheme="minorHAnsi" w:cstheme="minorHAnsi"/>
                <w:color w:val="000000"/>
                <w:sz w:val="18"/>
                <w:szCs w:val="18"/>
              </w:rPr>
            </w:pPr>
          </w:p>
        </w:tc>
        <w:tc>
          <w:tcPr>
            <w:tcW w:w="92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10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110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r>
      <w:tr w:rsidR="00C61651" w:rsidRPr="00C61651" w:rsidTr="00DD1841">
        <w:trPr>
          <w:cnfStyle w:val="000000100000"/>
          <w:trHeight w:val="300"/>
        </w:trPr>
        <w:tc>
          <w:tcPr>
            <w:cnfStyle w:val="001000000000"/>
            <w:tcW w:w="2472" w:type="dxa"/>
            <w:vAlign w:val="center"/>
            <w:hideMark/>
          </w:tcPr>
          <w:p w:rsidR="00C61651" w:rsidRPr="00BC2B85" w:rsidRDefault="00C61651"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TOTAL</w:t>
            </w:r>
          </w:p>
        </w:tc>
        <w:tc>
          <w:tcPr>
            <w:tcW w:w="920" w:type="dxa"/>
            <w:noWrap/>
            <w:vAlign w:val="center"/>
            <w:hideMark/>
          </w:tcPr>
          <w:p w:rsidR="00C61651" w:rsidRPr="00BC2B85" w:rsidRDefault="00C61651" w:rsidP="00BC2B85">
            <w:pPr>
              <w:jc w:val="right"/>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652,800</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100%</w:t>
            </w:r>
          </w:p>
        </w:tc>
        <w:tc>
          <w:tcPr>
            <w:tcW w:w="980" w:type="dxa"/>
            <w:noWrap/>
            <w:vAlign w:val="center"/>
            <w:hideMark/>
          </w:tcPr>
          <w:p w:rsidR="00C61651" w:rsidRPr="00BC2B85" w:rsidRDefault="00C61651" w:rsidP="00BC2B85">
            <w:pPr>
              <w:jc w:val="right"/>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640,000</w:t>
            </w:r>
          </w:p>
        </w:tc>
        <w:tc>
          <w:tcPr>
            <w:tcW w:w="1080" w:type="dxa"/>
            <w:noWrap/>
            <w:vAlign w:val="center"/>
            <w:hideMark/>
          </w:tcPr>
          <w:p w:rsidR="00C61651" w:rsidRPr="00BC2B85" w:rsidRDefault="00C61651" w:rsidP="00BC2B85">
            <w:pPr>
              <w:jc w:val="right"/>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100%</w:t>
            </w:r>
          </w:p>
        </w:tc>
        <w:tc>
          <w:tcPr>
            <w:tcW w:w="1100" w:type="dxa"/>
            <w:noWrap/>
            <w:vAlign w:val="center"/>
            <w:hideMark/>
          </w:tcPr>
          <w:p w:rsidR="00C61651" w:rsidRPr="00BC2B85" w:rsidRDefault="00C61651" w:rsidP="00BC2B85">
            <w:pPr>
              <w:jc w:val="right"/>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1,292,801</w:t>
            </w:r>
          </w:p>
        </w:tc>
        <w:tc>
          <w:tcPr>
            <w:tcW w:w="940" w:type="dxa"/>
            <w:noWrap/>
            <w:vAlign w:val="center"/>
            <w:hideMark/>
          </w:tcPr>
          <w:p w:rsidR="00C61651" w:rsidRPr="00BC2B85" w:rsidRDefault="00C61651" w:rsidP="00BC2B85">
            <w:pPr>
              <w:jc w:val="right"/>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100%</w:t>
            </w:r>
          </w:p>
        </w:tc>
      </w:tr>
      <w:tr w:rsidR="00C61651" w:rsidRPr="00C61651" w:rsidTr="00DD1841">
        <w:trPr>
          <w:trHeight w:val="315"/>
        </w:trPr>
        <w:tc>
          <w:tcPr>
            <w:cnfStyle w:val="001000000000"/>
            <w:tcW w:w="2472" w:type="dxa"/>
            <w:vAlign w:val="center"/>
            <w:hideMark/>
          </w:tcPr>
          <w:p w:rsidR="00C61651" w:rsidRPr="00BC2B85" w:rsidRDefault="00C61651"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 del Total por aportante</w:t>
            </w:r>
          </w:p>
        </w:tc>
        <w:tc>
          <w:tcPr>
            <w:tcW w:w="920" w:type="dxa"/>
            <w:noWrap/>
            <w:vAlign w:val="center"/>
            <w:hideMark/>
          </w:tcPr>
          <w:p w:rsidR="00C61651" w:rsidRPr="00BC2B85" w:rsidRDefault="00C61651"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50.5%</w:t>
            </w: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b/>
                <w:bCs/>
                <w:color w:val="000000"/>
                <w:sz w:val="18"/>
                <w:szCs w:val="18"/>
              </w:rPr>
            </w:pPr>
          </w:p>
        </w:tc>
        <w:tc>
          <w:tcPr>
            <w:tcW w:w="980" w:type="dxa"/>
            <w:noWrap/>
            <w:vAlign w:val="center"/>
            <w:hideMark/>
          </w:tcPr>
          <w:p w:rsidR="00C61651" w:rsidRPr="00BC2B85" w:rsidRDefault="00C61651"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49.5%</w:t>
            </w:r>
          </w:p>
        </w:tc>
        <w:tc>
          <w:tcPr>
            <w:tcW w:w="108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110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c>
          <w:tcPr>
            <w:tcW w:w="940" w:type="dxa"/>
            <w:noWrap/>
            <w:vAlign w:val="center"/>
            <w:hideMark/>
          </w:tcPr>
          <w:p w:rsidR="00C61651" w:rsidRPr="00BC2B85" w:rsidRDefault="00C61651" w:rsidP="00BC2B85">
            <w:pPr>
              <w:jc w:val="right"/>
              <w:cnfStyle w:val="000000000000"/>
              <w:rPr>
                <w:rFonts w:asciiTheme="minorHAnsi" w:eastAsia="Times New Roman" w:hAnsiTheme="minorHAnsi" w:cstheme="minorHAnsi"/>
                <w:color w:val="000000"/>
                <w:sz w:val="18"/>
                <w:szCs w:val="18"/>
              </w:rPr>
            </w:pPr>
          </w:p>
        </w:tc>
      </w:tr>
    </w:tbl>
    <w:p w:rsidR="00000000" w:rsidRDefault="00057488">
      <w:pPr>
        <w:pStyle w:val="ListParagraph"/>
        <w:numPr>
          <w:ilvl w:val="0"/>
          <w:numId w:val="9"/>
        </w:numPr>
        <w:spacing w:before="240" w:after="120"/>
        <w:ind w:left="567" w:hanging="567"/>
        <w:contextualSpacing w:val="0"/>
        <w:jc w:val="both"/>
        <w:rPr>
          <w:sz w:val="24"/>
        </w:rPr>
      </w:pPr>
      <w:r w:rsidRPr="00057488">
        <w:rPr>
          <w:sz w:val="24"/>
        </w:rPr>
        <w:t>Como se puede apreciar, los mayores esfuerzos que se realizarían con fondos GEF, se destinarían originalmente a la contratación de consultores nacionales e internacionales (46%), seguido de los gastos administrativos del Proyecto (25%). En estos resultados se concentraría cerca del 71% de los recursos GEF.</w:t>
      </w:r>
    </w:p>
    <w:p w:rsidR="00057488" w:rsidRPr="00057488" w:rsidRDefault="00057488" w:rsidP="00DD1841">
      <w:pPr>
        <w:pStyle w:val="ListParagraph"/>
        <w:numPr>
          <w:ilvl w:val="0"/>
          <w:numId w:val="9"/>
        </w:numPr>
        <w:ind w:left="567" w:hanging="567"/>
        <w:jc w:val="both"/>
        <w:rPr>
          <w:sz w:val="24"/>
        </w:rPr>
      </w:pPr>
      <w:r w:rsidRPr="00057488">
        <w:rPr>
          <w:sz w:val="24"/>
        </w:rPr>
        <w:lastRenderedPageBreak/>
        <w:t xml:space="preserve">Se contempla un presupuesto separado para la unidad de administración del proyecto que incluye salarios, equivalentes al 36% del total de las aportaciones del GEF (ver Cuadro </w:t>
      </w:r>
      <w:r>
        <w:rPr>
          <w:sz w:val="24"/>
        </w:rPr>
        <w:t>Nº</w:t>
      </w:r>
      <w:r w:rsidR="00DD1841">
        <w:rPr>
          <w:sz w:val="24"/>
        </w:rPr>
        <w:t>7</w:t>
      </w:r>
      <w:r>
        <w:rPr>
          <w:sz w:val="24"/>
        </w:rPr>
        <w:t xml:space="preserve">, </w:t>
      </w:r>
      <w:r w:rsidRPr="00057488">
        <w:rPr>
          <w:sz w:val="24"/>
        </w:rPr>
        <w:t>de la página siguiente).</w:t>
      </w:r>
    </w:p>
    <w:p w:rsidR="00057488" w:rsidRDefault="00057488" w:rsidP="00DD1841">
      <w:pPr>
        <w:pStyle w:val="ListParagraph"/>
        <w:numPr>
          <w:ilvl w:val="0"/>
          <w:numId w:val="9"/>
        </w:numPr>
        <w:ind w:left="567" w:hanging="567"/>
        <w:jc w:val="both"/>
        <w:rPr>
          <w:sz w:val="24"/>
        </w:rPr>
      </w:pPr>
      <w:r w:rsidRPr="00057488">
        <w:rPr>
          <w:sz w:val="24"/>
        </w:rPr>
        <w:t xml:space="preserve">Referente a la contrapartida del Gobierno de México, esta correspondería al 49.5% del costo total del proyecto, asociada principalmente a costos en horas profesionales y aporte de oficinas e insumos. </w:t>
      </w:r>
    </w:p>
    <w:p w:rsidR="00DD1841" w:rsidRDefault="00DD1841" w:rsidP="00BC2B85">
      <w:pPr>
        <w:spacing w:after="40" w:line="240" w:lineRule="auto"/>
        <w:rPr>
          <w:i/>
          <w:sz w:val="20"/>
          <w:szCs w:val="20"/>
        </w:rPr>
      </w:pPr>
    </w:p>
    <w:p w:rsidR="00DF7623" w:rsidRPr="00BC2B85" w:rsidRDefault="00057488" w:rsidP="00BC2B85">
      <w:pPr>
        <w:spacing w:after="40" w:line="240" w:lineRule="auto"/>
        <w:rPr>
          <w:i/>
          <w:sz w:val="20"/>
          <w:szCs w:val="20"/>
        </w:rPr>
      </w:pPr>
      <w:r w:rsidRPr="00BC2B85">
        <w:rPr>
          <w:i/>
          <w:sz w:val="20"/>
          <w:szCs w:val="20"/>
        </w:rPr>
        <w:t>Cuadro Nº</w:t>
      </w:r>
      <w:r w:rsidR="00DD1841">
        <w:rPr>
          <w:i/>
          <w:sz w:val="20"/>
          <w:szCs w:val="20"/>
        </w:rPr>
        <w:t>7</w:t>
      </w:r>
      <w:r w:rsidRPr="00BC2B85">
        <w:rPr>
          <w:i/>
          <w:sz w:val="20"/>
          <w:szCs w:val="20"/>
        </w:rPr>
        <w:t xml:space="preserve">: Gastos de recursos GEF contemplados en el </w:t>
      </w:r>
      <w:proofErr w:type="spellStart"/>
      <w:r>
        <w:rPr>
          <w:i/>
          <w:sz w:val="20"/>
          <w:szCs w:val="20"/>
        </w:rPr>
        <w:t>Prodoc</w:t>
      </w:r>
      <w:proofErr w:type="spellEnd"/>
      <w:r>
        <w:rPr>
          <w:i/>
          <w:sz w:val="20"/>
          <w:szCs w:val="20"/>
        </w:rPr>
        <w:t xml:space="preserve"> del p</w:t>
      </w:r>
      <w:r w:rsidRPr="00BC2B85">
        <w:rPr>
          <w:i/>
          <w:sz w:val="20"/>
          <w:szCs w:val="20"/>
        </w:rPr>
        <w:t>royecto (en US$)</w:t>
      </w:r>
      <w:r w:rsidR="00DF7623" w:rsidRPr="00BC2B85">
        <w:rPr>
          <w:i/>
          <w:sz w:val="20"/>
          <w:szCs w:val="20"/>
        </w:rPr>
        <w:t xml:space="preserve"> </w:t>
      </w:r>
    </w:p>
    <w:tbl>
      <w:tblPr>
        <w:tblStyle w:val="MediumShading2-Accent3"/>
        <w:tblW w:w="7165" w:type="dxa"/>
        <w:tblInd w:w="108" w:type="dxa"/>
        <w:tblLook w:val="04A0"/>
      </w:tblPr>
      <w:tblGrid>
        <w:gridCol w:w="3720"/>
        <w:gridCol w:w="1195"/>
        <w:gridCol w:w="1207"/>
        <w:gridCol w:w="1043"/>
      </w:tblGrid>
      <w:tr w:rsidR="00057488" w:rsidRPr="00057488" w:rsidTr="0042309E">
        <w:trPr>
          <w:cnfStyle w:val="100000000000"/>
          <w:trHeight w:val="300"/>
        </w:trPr>
        <w:tc>
          <w:tcPr>
            <w:cnfStyle w:val="001000000100"/>
            <w:tcW w:w="3720" w:type="dxa"/>
            <w:noWrap/>
            <w:vAlign w:val="center"/>
            <w:hideMark/>
          </w:tcPr>
          <w:p w:rsidR="00057488" w:rsidRPr="00BC2B85" w:rsidRDefault="00057488" w:rsidP="00BC2B85">
            <w:pPr>
              <w:jc w:val="cente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Concepto</w:t>
            </w:r>
          </w:p>
        </w:tc>
        <w:tc>
          <w:tcPr>
            <w:tcW w:w="1195" w:type="dxa"/>
            <w:noWrap/>
            <w:vAlign w:val="center"/>
            <w:hideMark/>
          </w:tcPr>
          <w:p w:rsidR="00057488" w:rsidRPr="00BC2B85" w:rsidRDefault="00057488"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Total</w:t>
            </w:r>
          </w:p>
        </w:tc>
        <w:tc>
          <w:tcPr>
            <w:tcW w:w="1207" w:type="dxa"/>
            <w:noWrap/>
            <w:vAlign w:val="center"/>
            <w:hideMark/>
          </w:tcPr>
          <w:p w:rsidR="00057488" w:rsidRPr="00BC2B85" w:rsidRDefault="00057488"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2002</w:t>
            </w:r>
          </w:p>
        </w:tc>
        <w:tc>
          <w:tcPr>
            <w:tcW w:w="1043" w:type="dxa"/>
            <w:noWrap/>
            <w:vAlign w:val="center"/>
            <w:hideMark/>
          </w:tcPr>
          <w:p w:rsidR="00057488" w:rsidRPr="00BC2B85" w:rsidRDefault="00057488"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 del Total</w:t>
            </w:r>
          </w:p>
        </w:tc>
      </w:tr>
      <w:tr w:rsidR="00057488" w:rsidRPr="00057488" w:rsidTr="0042309E">
        <w:trPr>
          <w:cnfStyle w:val="000000100000"/>
          <w:trHeight w:val="300"/>
        </w:trPr>
        <w:tc>
          <w:tcPr>
            <w:cnfStyle w:val="001000000000"/>
            <w:tcW w:w="7165" w:type="dxa"/>
            <w:gridSpan w:val="4"/>
            <w:noWrap/>
            <w:vAlign w:val="center"/>
            <w:hideMark/>
          </w:tcPr>
          <w:p w:rsidR="00057488" w:rsidRPr="00BC2B85" w:rsidRDefault="00057488"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Personal</w:t>
            </w:r>
          </w:p>
        </w:tc>
      </w:tr>
      <w:tr w:rsidR="00057488" w:rsidRPr="00057488" w:rsidTr="0042309E">
        <w:trPr>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Unidad de Coordinación del Proyecto (UCP)</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15,000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15,000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15,000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15,000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w:t>
            </w:r>
          </w:p>
        </w:tc>
      </w:tr>
      <w:tr w:rsidR="00057488" w:rsidRPr="00057488" w:rsidTr="0042309E">
        <w:trPr>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Monitoreo y Evaluación</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Pasajes</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30,000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30,000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p>
        </w:tc>
      </w:tr>
      <w:tr w:rsidR="00057488" w:rsidRPr="00057488" w:rsidTr="0042309E">
        <w:trPr>
          <w:trHeight w:val="300"/>
        </w:trPr>
        <w:tc>
          <w:tcPr>
            <w:cnfStyle w:val="001000000000"/>
            <w:tcW w:w="3720" w:type="dxa"/>
            <w:noWrap/>
            <w:vAlign w:val="center"/>
            <w:hideMark/>
          </w:tcPr>
          <w:p w:rsidR="00057488" w:rsidRPr="00BC2B85" w:rsidRDefault="00057488"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30,000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30,000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w:t>
            </w: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Consultores nacionales</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p>
        </w:tc>
      </w:tr>
      <w:tr w:rsidR="00057488" w:rsidRPr="00057488" w:rsidTr="0042309E">
        <w:trPr>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Coordinador de Proyecto (UCP)</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Asistente de Proyecto (UCP)</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25,000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25,000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p>
        </w:tc>
      </w:tr>
      <w:tr w:rsidR="00057488" w:rsidRPr="00057488" w:rsidTr="0042309E">
        <w:trPr>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Coordinador de Marco Programático</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Asistente de Marco Programático</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30,000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30,000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p>
        </w:tc>
      </w:tr>
      <w:tr w:rsidR="00057488" w:rsidRPr="00057488" w:rsidTr="0042309E">
        <w:trPr>
          <w:trHeight w:val="300"/>
        </w:trPr>
        <w:tc>
          <w:tcPr>
            <w:cnfStyle w:val="001000000000"/>
            <w:tcW w:w="3720" w:type="dxa"/>
            <w:noWrap/>
            <w:vAlign w:val="center"/>
            <w:hideMark/>
          </w:tcPr>
          <w:p w:rsidR="00057488" w:rsidRPr="00BC2B85" w:rsidRDefault="00057488"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175,000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175,000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 PERSONAL DEL PROYECTO</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220,000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220,000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34%</w:t>
            </w:r>
          </w:p>
        </w:tc>
      </w:tr>
      <w:tr w:rsidR="00057488" w:rsidRPr="00057488" w:rsidTr="0042309E">
        <w:trPr>
          <w:trHeight w:val="300"/>
        </w:trPr>
        <w:tc>
          <w:tcPr>
            <w:cnfStyle w:val="001000000000"/>
            <w:tcW w:w="7165" w:type="dxa"/>
            <w:gridSpan w:val="4"/>
            <w:noWrap/>
            <w:vAlign w:val="center"/>
            <w:hideMark/>
          </w:tcPr>
          <w:p w:rsidR="00057488" w:rsidRPr="00BC2B85" w:rsidRDefault="00057488"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Contratos</w:t>
            </w: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Unidades de Desarrollo Sustentable</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p>
        </w:tc>
      </w:tr>
      <w:tr w:rsidR="00057488" w:rsidRPr="00057488" w:rsidTr="0042309E">
        <w:trPr>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Programa de Financiamiento</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Plan Verde</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80,000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80,000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p>
        </w:tc>
      </w:tr>
      <w:tr w:rsidR="00057488" w:rsidRPr="00057488" w:rsidTr="0042309E">
        <w:trPr>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Consultores Internacionales de corto plazo</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100,000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100,000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 CONTRATOS</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300,000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300,000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46%</w:t>
            </w:r>
          </w:p>
        </w:tc>
      </w:tr>
      <w:tr w:rsidR="00057488" w:rsidRPr="00057488" w:rsidTr="0042309E">
        <w:trPr>
          <w:trHeight w:val="300"/>
        </w:trPr>
        <w:tc>
          <w:tcPr>
            <w:cnfStyle w:val="001000000000"/>
            <w:tcW w:w="7165" w:type="dxa"/>
            <w:gridSpan w:val="4"/>
            <w:noWrap/>
            <w:vAlign w:val="center"/>
            <w:hideMark/>
          </w:tcPr>
          <w:p w:rsidR="00057488" w:rsidRPr="00BC2B85" w:rsidRDefault="00057488"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Capacitación</w:t>
            </w: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Talleres</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67,360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67,360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p>
        </w:tc>
      </w:tr>
      <w:tr w:rsidR="00057488" w:rsidRPr="00057488" w:rsidTr="0042309E">
        <w:trPr>
          <w:trHeight w:val="300"/>
        </w:trPr>
        <w:tc>
          <w:tcPr>
            <w:cnfStyle w:val="001000000000"/>
            <w:tcW w:w="3720" w:type="dxa"/>
            <w:noWrap/>
            <w:vAlign w:val="center"/>
            <w:hideMark/>
          </w:tcPr>
          <w:p w:rsidR="00057488" w:rsidRPr="00BC2B85" w:rsidRDefault="00057488"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 CAPACITACIÓN</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67,360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67,360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w:t>
            </w:r>
          </w:p>
        </w:tc>
      </w:tr>
      <w:tr w:rsidR="00057488" w:rsidRPr="00057488" w:rsidTr="0042309E">
        <w:trPr>
          <w:cnfStyle w:val="000000100000"/>
          <w:trHeight w:val="300"/>
        </w:trPr>
        <w:tc>
          <w:tcPr>
            <w:cnfStyle w:val="001000000000"/>
            <w:tcW w:w="7165" w:type="dxa"/>
            <w:gridSpan w:val="4"/>
            <w:noWrap/>
            <w:vAlign w:val="center"/>
            <w:hideMark/>
          </w:tcPr>
          <w:p w:rsidR="00057488" w:rsidRPr="00BC2B85" w:rsidRDefault="00057488"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Equipamiento</w:t>
            </w:r>
          </w:p>
        </w:tc>
      </w:tr>
      <w:tr w:rsidR="00057488" w:rsidRPr="00057488" w:rsidTr="0042309E">
        <w:trPr>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Equipamiento</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15,000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15,000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Operaciones</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32,640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32,640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p>
        </w:tc>
      </w:tr>
      <w:tr w:rsidR="00057488" w:rsidRPr="00057488" w:rsidTr="0042309E">
        <w:trPr>
          <w:trHeight w:val="300"/>
        </w:trPr>
        <w:tc>
          <w:tcPr>
            <w:cnfStyle w:val="001000000000"/>
            <w:tcW w:w="3720" w:type="dxa"/>
            <w:noWrap/>
            <w:vAlign w:val="center"/>
            <w:hideMark/>
          </w:tcPr>
          <w:p w:rsidR="00057488" w:rsidRPr="00BC2B85" w:rsidRDefault="00057488"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 EQUIPAMIENTO</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47,640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47,640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7%</w:t>
            </w:r>
          </w:p>
        </w:tc>
      </w:tr>
      <w:tr w:rsidR="00057488" w:rsidRPr="00057488" w:rsidTr="0042309E">
        <w:trPr>
          <w:cnfStyle w:val="000000100000"/>
          <w:trHeight w:val="300"/>
        </w:trPr>
        <w:tc>
          <w:tcPr>
            <w:cnfStyle w:val="001000000000"/>
            <w:tcW w:w="7165" w:type="dxa"/>
            <w:gridSpan w:val="4"/>
            <w:noWrap/>
            <w:vAlign w:val="center"/>
            <w:hideMark/>
          </w:tcPr>
          <w:p w:rsidR="00057488" w:rsidRPr="00BC2B85" w:rsidRDefault="00057488"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Misceláneos</w:t>
            </w:r>
          </w:p>
        </w:tc>
      </w:tr>
      <w:tr w:rsidR="00057488" w:rsidRPr="00057488" w:rsidTr="0042309E">
        <w:trPr>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Auditoría</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2,800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2,800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p>
        </w:tc>
      </w:tr>
      <w:tr w:rsidR="00057488" w:rsidRPr="00057488" w:rsidTr="0042309E">
        <w:trPr>
          <w:cnfStyle w:val="000000100000"/>
          <w:trHeight w:val="300"/>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Otros gastos</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15,000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15,000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color w:val="000000"/>
                <w:sz w:val="18"/>
                <w:szCs w:val="18"/>
              </w:rPr>
            </w:pPr>
          </w:p>
        </w:tc>
      </w:tr>
      <w:tr w:rsidR="00057488" w:rsidRPr="00057488" w:rsidTr="0042309E">
        <w:trPr>
          <w:trHeight w:val="300"/>
        </w:trPr>
        <w:tc>
          <w:tcPr>
            <w:cnfStyle w:val="001000000000"/>
            <w:tcW w:w="3720" w:type="dxa"/>
            <w:noWrap/>
            <w:vAlign w:val="center"/>
            <w:hideMark/>
          </w:tcPr>
          <w:p w:rsidR="00057488" w:rsidRPr="00BC2B85" w:rsidRDefault="00057488"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 MISCELÁNEOS</w:t>
            </w:r>
          </w:p>
        </w:tc>
        <w:tc>
          <w:tcPr>
            <w:tcW w:w="1195"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17,800</w:t>
            </w:r>
          </w:p>
        </w:tc>
        <w:tc>
          <w:tcPr>
            <w:tcW w:w="1207"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17,800</w:t>
            </w:r>
          </w:p>
        </w:tc>
        <w:tc>
          <w:tcPr>
            <w:tcW w:w="1043" w:type="dxa"/>
            <w:noWrap/>
            <w:vAlign w:val="center"/>
            <w:hideMark/>
          </w:tcPr>
          <w:p w:rsidR="00057488" w:rsidRPr="00BC2B85" w:rsidRDefault="00057488"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w:t>
            </w:r>
          </w:p>
        </w:tc>
      </w:tr>
      <w:tr w:rsidR="00057488" w:rsidRPr="00057488" w:rsidTr="0042309E">
        <w:trPr>
          <w:cnfStyle w:val="000000100000"/>
          <w:trHeight w:val="315"/>
        </w:trPr>
        <w:tc>
          <w:tcPr>
            <w:cnfStyle w:val="001000000000"/>
            <w:tcW w:w="3720" w:type="dxa"/>
            <w:noWrap/>
            <w:vAlign w:val="center"/>
            <w:hideMark/>
          </w:tcPr>
          <w:p w:rsidR="00057488" w:rsidRPr="00BC2B85" w:rsidRDefault="00057488"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PRESUPUESTO TOTAL</w:t>
            </w:r>
          </w:p>
        </w:tc>
        <w:tc>
          <w:tcPr>
            <w:tcW w:w="1195" w:type="dxa"/>
            <w:noWrap/>
            <w:vAlign w:val="center"/>
            <w:hideMark/>
          </w:tcPr>
          <w:p w:rsidR="00057488" w:rsidRPr="00BC2B85" w:rsidRDefault="00057488"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652,800</w:t>
            </w:r>
          </w:p>
        </w:tc>
        <w:tc>
          <w:tcPr>
            <w:tcW w:w="1207" w:type="dxa"/>
            <w:noWrap/>
            <w:vAlign w:val="center"/>
            <w:hideMark/>
          </w:tcPr>
          <w:p w:rsidR="00057488" w:rsidRPr="00BC2B85" w:rsidRDefault="00057488"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652,800</w:t>
            </w:r>
          </w:p>
        </w:tc>
        <w:tc>
          <w:tcPr>
            <w:tcW w:w="1043" w:type="dxa"/>
            <w:noWrap/>
            <w:vAlign w:val="center"/>
            <w:hideMark/>
          </w:tcPr>
          <w:p w:rsidR="00057488" w:rsidRPr="00BC2B85" w:rsidRDefault="00057488"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100%</w:t>
            </w:r>
          </w:p>
        </w:tc>
      </w:tr>
    </w:tbl>
    <w:p w:rsidR="00057488" w:rsidRDefault="00057488" w:rsidP="00BC2B85">
      <w:pPr>
        <w:jc w:val="both"/>
        <w:rPr>
          <w:sz w:val="24"/>
        </w:rPr>
      </w:pPr>
    </w:p>
    <w:p w:rsidR="00A25ECD" w:rsidRPr="00A25ECD" w:rsidRDefault="00A25ECD" w:rsidP="00A25ECD">
      <w:pPr>
        <w:pStyle w:val="ListParagraph"/>
        <w:numPr>
          <w:ilvl w:val="0"/>
          <w:numId w:val="9"/>
        </w:numPr>
        <w:ind w:left="567" w:hanging="567"/>
        <w:jc w:val="both"/>
        <w:rPr>
          <w:sz w:val="24"/>
        </w:rPr>
      </w:pPr>
      <w:r w:rsidRPr="00A25ECD">
        <w:rPr>
          <w:sz w:val="24"/>
        </w:rPr>
        <w:lastRenderedPageBreak/>
        <w:t>Los aportes en efectivo estarían concentrados en el pago al personal técnico de la S</w:t>
      </w:r>
      <w:r w:rsidR="0084011A">
        <w:rPr>
          <w:sz w:val="24"/>
        </w:rPr>
        <w:t>EMARNAT</w:t>
      </w:r>
      <w:r w:rsidRPr="00A25ECD">
        <w:rPr>
          <w:sz w:val="24"/>
        </w:rPr>
        <w:t xml:space="preserve"> y asesores de otras dependencias (US$ 525,000) (Cuadro N°</w:t>
      </w:r>
      <w:r w:rsidR="00DD1841">
        <w:rPr>
          <w:sz w:val="24"/>
        </w:rPr>
        <w:t>8</w:t>
      </w:r>
      <w:r w:rsidRPr="00A25ECD">
        <w:rPr>
          <w:sz w:val="24"/>
        </w:rPr>
        <w:t>).</w:t>
      </w:r>
    </w:p>
    <w:p w:rsidR="00A25ECD" w:rsidRDefault="00A25ECD" w:rsidP="00A25ECD">
      <w:pPr>
        <w:pStyle w:val="ListParagraph"/>
        <w:numPr>
          <w:ilvl w:val="0"/>
          <w:numId w:val="9"/>
        </w:numPr>
        <w:ind w:left="567" w:hanging="567"/>
        <w:jc w:val="both"/>
        <w:rPr>
          <w:sz w:val="24"/>
        </w:rPr>
      </w:pPr>
      <w:r w:rsidRPr="00A25ECD">
        <w:rPr>
          <w:sz w:val="24"/>
        </w:rPr>
        <w:t xml:space="preserve">Con respecto a la velocidad del gasto a realizar, originalmente se contemplaba que en el lapso de un año (marzo de 2002 a marzo de 2003) se aplicaría la totalidad de los recursos GEF. </w:t>
      </w:r>
    </w:p>
    <w:p w:rsidR="00A25ECD" w:rsidRPr="00BC2B85" w:rsidRDefault="00A25ECD" w:rsidP="00BC2B85">
      <w:pPr>
        <w:spacing w:after="40" w:line="240" w:lineRule="auto"/>
        <w:jc w:val="both"/>
        <w:rPr>
          <w:sz w:val="20"/>
        </w:rPr>
      </w:pPr>
      <w:r w:rsidRPr="00BC2B85">
        <w:rPr>
          <w:sz w:val="20"/>
        </w:rPr>
        <w:t>Cuadro Nº</w:t>
      </w:r>
      <w:r w:rsidR="00DD1841">
        <w:rPr>
          <w:sz w:val="20"/>
        </w:rPr>
        <w:t>8</w:t>
      </w:r>
      <w:r w:rsidRPr="00BC2B85">
        <w:rPr>
          <w:sz w:val="20"/>
        </w:rPr>
        <w:t xml:space="preserve">: </w:t>
      </w:r>
      <w:r w:rsidR="00DD1841">
        <w:rPr>
          <w:sz w:val="20"/>
        </w:rPr>
        <w:t xml:space="preserve">Aportes </w:t>
      </w:r>
      <w:r w:rsidRPr="00BC2B85">
        <w:rPr>
          <w:sz w:val="20"/>
        </w:rPr>
        <w:t xml:space="preserve">de </w:t>
      </w:r>
      <w:r w:rsidR="00C81B8A" w:rsidRPr="00BC2B85">
        <w:rPr>
          <w:sz w:val="20"/>
        </w:rPr>
        <w:t>c</w:t>
      </w:r>
      <w:r w:rsidRPr="00BC2B85">
        <w:rPr>
          <w:sz w:val="20"/>
        </w:rPr>
        <w:t xml:space="preserve">ontrapartida </w:t>
      </w:r>
      <w:r w:rsidR="00C81B8A" w:rsidRPr="00BC2B85">
        <w:rPr>
          <w:sz w:val="20"/>
        </w:rPr>
        <w:t xml:space="preserve">original </w:t>
      </w:r>
      <w:r w:rsidRPr="00BC2B85">
        <w:rPr>
          <w:sz w:val="20"/>
        </w:rPr>
        <w:t xml:space="preserve">contemplados en el </w:t>
      </w:r>
      <w:proofErr w:type="spellStart"/>
      <w:r w:rsidRPr="00BC2B85">
        <w:rPr>
          <w:sz w:val="20"/>
        </w:rPr>
        <w:t>Prodoc</w:t>
      </w:r>
      <w:proofErr w:type="spellEnd"/>
      <w:r w:rsidRPr="00BC2B85">
        <w:rPr>
          <w:sz w:val="20"/>
        </w:rPr>
        <w:t xml:space="preserve">, </w:t>
      </w:r>
      <w:r w:rsidR="00C81B8A" w:rsidRPr="00BC2B85">
        <w:rPr>
          <w:sz w:val="20"/>
        </w:rPr>
        <w:t>con</w:t>
      </w:r>
      <w:r w:rsidR="0084011A">
        <w:rPr>
          <w:sz w:val="20"/>
        </w:rPr>
        <w:t>siderados</w:t>
      </w:r>
      <w:r w:rsidR="00C81B8A" w:rsidRPr="00BC2B85">
        <w:rPr>
          <w:sz w:val="20"/>
        </w:rPr>
        <w:t xml:space="preserve"> por </w:t>
      </w:r>
      <w:r w:rsidR="0041769A">
        <w:rPr>
          <w:sz w:val="20"/>
        </w:rPr>
        <w:t>SEMARNAT</w:t>
      </w:r>
      <w:r w:rsidR="00C81B8A" w:rsidRPr="00BC2B85">
        <w:rPr>
          <w:sz w:val="20"/>
        </w:rPr>
        <w:t>.</w:t>
      </w:r>
    </w:p>
    <w:tbl>
      <w:tblPr>
        <w:tblStyle w:val="MediumShading2-Accent3"/>
        <w:tblW w:w="6967" w:type="dxa"/>
        <w:jc w:val="center"/>
        <w:tblLook w:val="04A0"/>
      </w:tblPr>
      <w:tblGrid>
        <w:gridCol w:w="3261"/>
        <w:gridCol w:w="1294"/>
        <w:gridCol w:w="1294"/>
        <w:gridCol w:w="1118"/>
      </w:tblGrid>
      <w:tr w:rsidR="00A25ECD" w:rsidRPr="00A25ECD" w:rsidTr="00396816">
        <w:trPr>
          <w:cnfStyle w:val="100000000000"/>
          <w:trHeight w:val="300"/>
          <w:jc w:val="center"/>
        </w:trPr>
        <w:tc>
          <w:tcPr>
            <w:cnfStyle w:val="001000000100"/>
            <w:tcW w:w="3261" w:type="dxa"/>
            <w:noWrap/>
            <w:vAlign w:val="center"/>
            <w:hideMark/>
          </w:tcPr>
          <w:p w:rsidR="00A25ECD" w:rsidRPr="00BC2B85" w:rsidRDefault="00A25ECD"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Concepto</w:t>
            </w:r>
          </w:p>
        </w:tc>
        <w:tc>
          <w:tcPr>
            <w:tcW w:w="1294" w:type="dxa"/>
            <w:noWrap/>
            <w:vAlign w:val="center"/>
            <w:hideMark/>
          </w:tcPr>
          <w:p w:rsidR="00A25ECD" w:rsidRPr="00BC2B85" w:rsidRDefault="00A25ECD"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Total</w:t>
            </w:r>
          </w:p>
        </w:tc>
        <w:tc>
          <w:tcPr>
            <w:tcW w:w="1294" w:type="dxa"/>
            <w:noWrap/>
            <w:vAlign w:val="center"/>
            <w:hideMark/>
          </w:tcPr>
          <w:p w:rsidR="00A25ECD" w:rsidRPr="00BC2B85" w:rsidRDefault="00A25ECD"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2002</w:t>
            </w:r>
          </w:p>
        </w:tc>
        <w:tc>
          <w:tcPr>
            <w:tcW w:w="1118" w:type="dxa"/>
            <w:noWrap/>
            <w:vAlign w:val="center"/>
            <w:hideMark/>
          </w:tcPr>
          <w:p w:rsidR="00A25ECD" w:rsidRPr="00BC2B85" w:rsidRDefault="00A25ECD"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 del Total</w:t>
            </w:r>
          </w:p>
        </w:tc>
      </w:tr>
      <w:tr w:rsidR="00A25ECD" w:rsidRPr="00A25ECD" w:rsidTr="00396816">
        <w:trPr>
          <w:cnfStyle w:val="000000100000"/>
          <w:trHeight w:val="300"/>
          <w:jc w:val="center"/>
        </w:trPr>
        <w:tc>
          <w:tcPr>
            <w:cnfStyle w:val="001000000000"/>
            <w:tcW w:w="6967" w:type="dxa"/>
            <w:gridSpan w:val="4"/>
            <w:noWrap/>
            <w:vAlign w:val="center"/>
            <w:hideMark/>
          </w:tcPr>
          <w:p w:rsidR="00A25ECD" w:rsidRPr="00BC2B85" w:rsidRDefault="00A25ECD" w:rsidP="00BC2B85">
            <w:pPr>
              <w:jc w:val="center"/>
              <w:rPr>
                <w:rFonts w:asciiTheme="minorHAnsi" w:eastAsia="Times New Roman" w:hAnsiTheme="minorHAnsi" w:cstheme="minorHAnsi"/>
                <w:bCs w:val="0"/>
                <w:color w:val="000000"/>
                <w:sz w:val="18"/>
                <w:szCs w:val="18"/>
              </w:rPr>
            </w:pPr>
            <w:r w:rsidRPr="00BC2B85">
              <w:rPr>
                <w:rFonts w:asciiTheme="minorHAnsi" w:eastAsia="Times New Roman" w:hAnsiTheme="minorHAnsi" w:cstheme="minorHAnsi"/>
                <w:color w:val="000000"/>
                <w:sz w:val="18"/>
                <w:szCs w:val="18"/>
              </w:rPr>
              <w:t>Personal</w:t>
            </w:r>
          </w:p>
        </w:tc>
      </w:tr>
      <w:tr w:rsidR="00A25ECD" w:rsidRPr="00A25ECD" w:rsidTr="00396816">
        <w:trPr>
          <w:trHeight w:val="300"/>
          <w:jc w:val="center"/>
        </w:trPr>
        <w:tc>
          <w:tcPr>
            <w:cnfStyle w:val="001000000000"/>
            <w:tcW w:w="3261" w:type="dxa"/>
            <w:noWrap/>
            <w:vAlign w:val="center"/>
            <w:hideMark/>
          </w:tcPr>
          <w:p w:rsidR="00A25ECD" w:rsidRPr="00BC2B85" w:rsidRDefault="00A25ECD"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 xml:space="preserve">Personal Técnico </w:t>
            </w:r>
            <w:proofErr w:type="spellStart"/>
            <w:r w:rsidRPr="00BC2B85">
              <w:rPr>
                <w:rFonts w:asciiTheme="minorHAnsi" w:eastAsia="Times New Roman" w:hAnsiTheme="minorHAnsi" w:cstheme="minorHAnsi"/>
                <w:color w:val="000000"/>
                <w:sz w:val="18"/>
                <w:szCs w:val="18"/>
              </w:rPr>
              <w:t>Semarnat</w:t>
            </w:r>
            <w:proofErr w:type="spellEnd"/>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210,000</w:t>
            </w:r>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210,000</w:t>
            </w:r>
          </w:p>
        </w:tc>
        <w:tc>
          <w:tcPr>
            <w:tcW w:w="1118"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p>
        </w:tc>
      </w:tr>
      <w:tr w:rsidR="00C81B8A" w:rsidRPr="00A25ECD" w:rsidTr="00396816">
        <w:trPr>
          <w:cnfStyle w:val="000000100000"/>
          <w:trHeight w:val="300"/>
          <w:jc w:val="center"/>
        </w:trPr>
        <w:tc>
          <w:tcPr>
            <w:cnfStyle w:val="001000000000"/>
            <w:tcW w:w="3261" w:type="dxa"/>
            <w:noWrap/>
            <w:vAlign w:val="center"/>
            <w:hideMark/>
          </w:tcPr>
          <w:p w:rsidR="00A25ECD" w:rsidRPr="00BC2B85" w:rsidRDefault="00A25ECD" w:rsidP="00BC2B85">
            <w:pPr>
              <w:jc w:val="right"/>
              <w:rPr>
                <w:rFonts w:asciiTheme="minorHAnsi" w:eastAsia="Times New Roman" w:hAnsiTheme="minorHAnsi" w:cstheme="minorHAnsi"/>
                <w:iCs/>
                <w:color w:val="000000"/>
                <w:sz w:val="18"/>
                <w:szCs w:val="18"/>
              </w:rPr>
            </w:pPr>
            <w:r w:rsidRPr="00BC2B85">
              <w:rPr>
                <w:rFonts w:asciiTheme="minorHAnsi" w:eastAsia="Times New Roman" w:hAnsiTheme="minorHAnsi" w:cstheme="minorHAnsi"/>
                <w:iCs/>
                <w:color w:val="000000"/>
                <w:sz w:val="18"/>
                <w:szCs w:val="18"/>
              </w:rPr>
              <w:t>SUBTOTAL PERSONAL DEL PROYECTO</w:t>
            </w:r>
          </w:p>
        </w:tc>
        <w:tc>
          <w:tcPr>
            <w:tcW w:w="1294"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210,000</w:t>
            </w:r>
          </w:p>
        </w:tc>
        <w:tc>
          <w:tcPr>
            <w:tcW w:w="1294"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210,000</w:t>
            </w:r>
          </w:p>
        </w:tc>
        <w:tc>
          <w:tcPr>
            <w:tcW w:w="1118"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33%</w:t>
            </w:r>
          </w:p>
        </w:tc>
      </w:tr>
      <w:tr w:rsidR="00A25ECD" w:rsidRPr="00A25ECD" w:rsidTr="00396816">
        <w:trPr>
          <w:trHeight w:val="300"/>
          <w:jc w:val="center"/>
        </w:trPr>
        <w:tc>
          <w:tcPr>
            <w:cnfStyle w:val="001000000000"/>
            <w:tcW w:w="6967" w:type="dxa"/>
            <w:gridSpan w:val="4"/>
            <w:noWrap/>
            <w:vAlign w:val="center"/>
            <w:hideMark/>
          </w:tcPr>
          <w:p w:rsidR="00A25ECD" w:rsidRPr="00BC2B85" w:rsidRDefault="00A25ECD" w:rsidP="00BC2B85">
            <w:pPr>
              <w:jc w:val="cente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Contratos</w:t>
            </w:r>
          </w:p>
        </w:tc>
      </w:tr>
      <w:tr w:rsidR="00A25ECD" w:rsidRPr="00A25ECD" w:rsidTr="00396816">
        <w:trPr>
          <w:cnfStyle w:val="000000100000"/>
          <w:trHeight w:val="300"/>
          <w:jc w:val="center"/>
        </w:trPr>
        <w:tc>
          <w:tcPr>
            <w:cnfStyle w:val="001000000000"/>
            <w:tcW w:w="3261" w:type="dxa"/>
            <w:noWrap/>
            <w:vAlign w:val="center"/>
            <w:hideMark/>
          </w:tcPr>
          <w:p w:rsidR="00A25ECD" w:rsidRPr="00BC2B85" w:rsidRDefault="00A25ECD"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Asesores técnicos de otras secretarías</w:t>
            </w:r>
          </w:p>
        </w:tc>
        <w:tc>
          <w:tcPr>
            <w:tcW w:w="1294"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315,000</w:t>
            </w:r>
          </w:p>
        </w:tc>
        <w:tc>
          <w:tcPr>
            <w:tcW w:w="1294"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315,000</w:t>
            </w:r>
          </w:p>
        </w:tc>
        <w:tc>
          <w:tcPr>
            <w:tcW w:w="1118"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p>
        </w:tc>
      </w:tr>
      <w:tr w:rsidR="00A25ECD" w:rsidRPr="00A25ECD" w:rsidTr="00396816">
        <w:trPr>
          <w:trHeight w:val="300"/>
          <w:jc w:val="center"/>
        </w:trPr>
        <w:tc>
          <w:tcPr>
            <w:cnfStyle w:val="001000000000"/>
            <w:tcW w:w="3261" w:type="dxa"/>
            <w:noWrap/>
            <w:vAlign w:val="center"/>
            <w:hideMark/>
          </w:tcPr>
          <w:p w:rsidR="00A25ECD" w:rsidRPr="00BC2B85" w:rsidRDefault="00A25ECD" w:rsidP="00BC2B85">
            <w:pPr>
              <w:jc w:val="right"/>
              <w:rPr>
                <w:rFonts w:asciiTheme="minorHAnsi" w:eastAsia="Times New Roman" w:hAnsiTheme="minorHAnsi" w:cstheme="minorHAnsi"/>
                <w:iCs/>
                <w:color w:val="000000"/>
                <w:sz w:val="18"/>
                <w:szCs w:val="18"/>
              </w:rPr>
            </w:pPr>
            <w:r w:rsidRPr="00BC2B85">
              <w:rPr>
                <w:rFonts w:asciiTheme="minorHAnsi" w:eastAsia="Times New Roman" w:hAnsiTheme="minorHAnsi" w:cstheme="minorHAnsi"/>
                <w:iCs/>
                <w:color w:val="000000"/>
                <w:sz w:val="18"/>
                <w:szCs w:val="18"/>
              </w:rPr>
              <w:t>SUBTOTAL CONTRATOS</w:t>
            </w:r>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315,000</w:t>
            </w:r>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315,000</w:t>
            </w:r>
          </w:p>
        </w:tc>
        <w:tc>
          <w:tcPr>
            <w:tcW w:w="1118"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49%</w:t>
            </w:r>
          </w:p>
        </w:tc>
      </w:tr>
      <w:tr w:rsidR="00A25ECD" w:rsidRPr="00A25ECD" w:rsidTr="00396816">
        <w:trPr>
          <w:cnfStyle w:val="000000100000"/>
          <w:trHeight w:val="300"/>
          <w:jc w:val="center"/>
        </w:trPr>
        <w:tc>
          <w:tcPr>
            <w:cnfStyle w:val="001000000000"/>
            <w:tcW w:w="6967" w:type="dxa"/>
            <w:gridSpan w:val="4"/>
            <w:noWrap/>
            <w:vAlign w:val="center"/>
            <w:hideMark/>
          </w:tcPr>
          <w:p w:rsidR="00A25ECD" w:rsidRPr="00BC2B85" w:rsidRDefault="00A25ECD" w:rsidP="00BC2B85">
            <w:pPr>
              <w:jc w:val="center"/>
              <w:rPr>
                <w:rFonts w:asciiTheme="minorHAnsi" w:eastAsia="Times New Roman" w:hAnsiTheme="minorHAnsi" w:cstheme="minorHAnsi"/>
                <w:bCs w:val="0"/>
                <w:color w:val="000000"/>
                <w:sz w:val="18"/>
                <w:szCs w:val="18"/>
              </w:rPr>
            </w:pPr>
            <w:r w:rsidRPr="00BC2B85">
              <w:rPr>
                <w:rFonts w:asciiTheme="minorHAnsi" w:eastAsia="Times New Roman" w:hAnsiTheme="minorHAnsi" w:cstheme="minorHAnsi"/>
                <w:color w:val="000000"/>
                <w:sz w:val="18"/>
                <w:szCs w:val="18"/>
              </w:rPr>
              <w:t>Capacitación</w:t>
            </w:r>
          </w:p>
        </w:tc>
      </w:tr>
      <w:tr w:rsidR="00A25ECD" w:rsidRPr="00A25ECD" w:rsidTr="00396816">
        <w:trPr>
          <w:trHeight w:val="300"/>
          <w:jc w:val="center"/>
        </w:trPr>
        <w:tc>
          <w:tcPr>
            <w:cnfStyle w:val="001000000000"/>
            <w:tcW w:w="3261" w:type="dxa"/>
            <w:noWrap/>
            <w:vAlign w:val="center"/>
            <w:hideMark/>
          </w:tcPr>
          <w:p w:rsidR="00A25ECD" w:rsidRPr="00BC2B85" w:rsidRDefault="00A25ECD"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Talleres</w:t>
            </w:r>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118"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p>
        </w:tc>
      </w:tr>
      <w:tr w:rsidR="00C81B8A" w:rsidRPr="00A25ECD" w:rsidTr="00396816">
        <w:trPr>
          <w:cnfStyle w:val="000000100000"/>
          <w:trHeight w:val="300"/>
          <w:jc w:val="center"/>
        </w:trPr>
        <w:tc>
          <w:tcPr>
            <w:cnfStyle w:val="001000000000"/>
            <w:tcW w:w="3261" w:type="dxa"/>
            <w:noWrap/>
            <w:vAlign w:val="center"/>
            <w:hideMark/>
          </w:tcPr>
          <w:p w:rsidR="00A25ECD" w:rsidRPr="00BC2B85" w:rsidRDefault="00A25ECD" w:rsidP="00BC2B85">
            <w:pPr>
              <w:jc w:val="right"/>
              <w:rPr>
                <w:rFonts w:asciiTheme="minorHAnsi" w:eastAsia="Times New Roman" w:hAnsiTheme="minorHAnsi" w:cstheme="minorHAnsi"/>
                <w:iCs/>
                <w:color w:val="000000"/>
                <w:sz w:val="18"/>
                <w:szCs w:val="18"/>
              </w:rPr>
            </w:pPr>
            <w:r w:rsidRPr="00BC2B85">
              <w:rPr>
                <w:rFonts w:asciiTheme="minorHAnsi" w:eastAsia="Times New Roman" w:hAnsiTheme="minorHAnsi" w:cstheme="minorHAnsi"/>
                <w:iCs/>
                <w:color w:val="000000"/>
                <w:sz w:val="18"/>
                <w:szCs w:val="18"/>
              </w:rPr>
              <w:t>SUBTOTAL CAPACITACIÓN</w:t>
            </w:r>
          </w:p>
        </w:tc>
        <w:tc>
          <w:tcPr>
            <w:tcW w:w="1294"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294"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60,000</w:t>
            </w:r>
          </w:p>
        </w:tc>
        <w:tc>
          <w:tcPr>
            <w:tcW w:w="1118"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w:t>
            </w:r>
          </w:p>
        </w:tc>
      </w:tr>
      <w:tr w:rsidR="00A25ECD" w:rsidRPr="00A25ECD" w:rsidTr="00396816">
        <w:trPr>
          <w:trHeight w:val="300"/>
          <w:jc w:val="center"/>
        </w:trPr>
        <w:tc>
          <w:tcPr>
            <w:cnfStyle w:val="001000000000"/>
            <w:tcW w:w="6967" w:type="dxa"/>
            <w:gridSpan w:val="4"/>
            <w:noWrap/>
            <w:vAlign w:val="center"/>
            <w:hideMark/>
          </w:tcPr>
          <w:p w:rsidR="00A25ECD" w:rsidRPr="00BC2B85" w:rsidRDefault="00A25ECD" w:rsidP="00BC2B85">
            <w:pPr>
              <w:jc w:val="center"/>
              <w:rPr>
                <w:rFonts w:asciiTheme="minorHAnsi" w:eastAsia="Times New Roman" w:hAnsiTheme="minorHAnsi" w:cstheme="minorHAnsi"/>
                <w:bCs w:val="0"/>
                <w:color w:val="000000"/>
                <w:sz w:val="18"/>
                <w:szCs w:val="18"/>
              </w:rPr>
            </w:pPr>
            <w:r w:rsidRPr="00BC2B85">
              <w:rPr>
                <w:rFonts w:asciiTheme="minorHAnsi" w:eastAsia="Times New Roman" w:hAnsiTheme="minorHAnsi" w:cstheme="minorHAnsi"/>
                <w:color w:val="000000"/>
                <w:sz w:val="18"/>
                <w:szCs w:val="18"/>
              </w:rPr>
              <w:t>Equipamiento</w:t>
            </w:r>
          </w:p>
        </w:tc>
      </w:tr>
      <w:tr w:rsidR="00A25ECD" w:rsidRPr="00A25ECD" w:rsidTr="00396816">
        <w:trPr>
          <w:cnfStyle w:val="000000100000"/>
          <w:trHeight w:val="300"/>
          <w:jc w:val="center"/>
        </w:trPr>
        <w:tc>
          <w:tcPr>
            <w:cnfStyle w:val="001000000000"/>
            <w:tcW w:w="3261" w:type="dxa"/>
            <w:noWrap/>
            <w:vAlign w:val="center"/>
            <w:hideMark/>
          </w:tcPr>
          <w:p w:rsidR="00A25ECD" w:rsidRPr="00BC2B85" w:rsidRDefault="00A25ECD"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Equipamiento</w:t>
            </w:r>
          </w:p>
        </w:tc>
        <w:tc>
          <w:tcPr>
            <w:tcW w:w="1294"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35,000</w:t>
            </w:r>
          </w:p>
        </w:tc>
        <w:tc>
          <w:tcPr>
            <w:tcW w:w="1294"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35,000</w:t>
            </w:r>
          </w:p>
        </w:tc>
        <w:tc>
          <w:tcPr>
            <w:tcW w:w="1118"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p>
        </w:tc>
      </w:tr>
      <w:tr w:rsidR="00A25ECD" w:rsidRPr="00A25ECD" w:rsidTr="00396816">
        <w:trPr>
          <w:trHeight w:val="300"/>
          <w:jc w:val="center"/>
        </w:trPr>
        <w:tc>
          <w:tcPr>
            <w:cnfStyle w:val="001000000000"/>
            <w:tcW w:w="3261" w:type="dxa"/>
            <w:noWrap/>
            <w:vAlign w:val="center"/>
            <w:hideMark/>
          </w:tcPr>
          <w:p w:rsidR="00A25ECD" w:rsidRPr="00BC2B85" w:rsidRDefault="00A25ECD" w:rsidP="00BC2B85">
            <w:pPr>
              <w:jc w:val="right"/>
              <w:rPr>
                <w:rFonts w:asciiTheme="minorHAnsi" w:eastAsia="Times New Roman" w:hAnsiTheme="minorHAnsi" w:cstheme="minorHAnsi"/>
                <w:bCs w:val="0"/>
                <w:color w:val="000000"/>
                <w:sz w:val="18"/>
                <w:szCs w:val="18"/>
              </w:rPr>
            </w:pPr>
            <w:r w:rsidRPr="00BC2B85">
              <w:rPr>
                <w:rFonts w:asciiTheme="minorHAnsi" w:eastAsia="Times New Roman" w:hAnsiTheme="minorHAnsi" w:cstheme="minorHAnsi"/>
                <w:color w:val="000000"/>
                <w:sz w:val="18"/>
                <w:szCs w:val="18"/>
              </w:rPr>
              <w:t>SUBTOTAL EQUIPAMIENTO</w:t>
            </w:r>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35,000</w:t>
            </w:r>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35,000</w:t>
            </w:r>
          </w:p>
        </w:tc>
        <w:tc>
          <w:tcPr>
            <w:tcW w:w="1118"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w:t>
            </w:r>
          </w:p>
        </w:tc>
      </w:tr>
      <w:tr w:rsidR="00A25ECD" w:rsidRPr="00A25ECD" w:rsidTr="00396816">
        <w:trPr>
          <w:cnfStyle w:val="000000100000"/>
          <w:trHeight w:val="300"/>
          <w:jc w:val="center"/>
        </w:trPr>
        <w:tc>
          <w:tcPr>
            <w:cnfStyle w:val="001000000000"/>
            <w:tcW w:w="6967" w:type="dxa"/>
            <w:gridSpan w:val="4"/>
            <w:noWrap/>
            <w:vAlign w:val="center"/>
            <w:hideMark/>
          </w:tcPr>
          <w:p w:rsidR="00A25ECD" w:rsidRPr="00BC2B85" w:rsidRDefault="00A25ECD" w:rsidP="00BC2B85">
            <w:pPr>
              <w:jc w:val="center"/>
              <w:rPr>
                <w:rFonts w:asciiTheme="minorHAnsi" w:eastAsia="Times New Roman" w:hAnsiTheme="minorHAnsi" w:cstheme="minorHAnsi"/>
                <w:bCs w:val="0"/>
                <w:color w:val="000000"/>
                <w:sz w:val="18"/>
                <w:szCs w:val="18"/>
              </w:rPr>
            </w:pPr>
            <w:r w:rsidRPr="00BC2B85">
              <w:rPr>
                <w:rFonts w:asciiTheme="minorHAnsi" w:eastAsia="Times New Roman" w:hAnsiTheme="minorHAnsi" w:cstheme="minorHAnsi"/>
                <w:color w:val="000000"/>
                <w:sz w:val="18"/>
                <w:szCs w:val="18"/>
              </w:rPr>
              <w:t>Misceláneos</w:t>
            </w:r>
          </w:p>
        </w:tc>
      </w:tr>
      <w:tr w:rsidR="00A25ECD" w:rsidRPr="00A25ECD" w:rsidTr="00396816">
        <w:trPr>
          <w:trHeight w:val="300"/>
          <w:jc w:val="center"/>
        </w:trPr>
        <w:tc>
          <w:tcPr>
            <w:cnfStyle w:val="001000000000"/>
            <w:tcW w:w="3261" w:type="dxa"/>
            <w:noWrap/>
            <w:vAlign w:val="center"/>
            <w:hideMark/>
          </w:tcPr>
          <w:p w:rsidR="00A25ECD" w:rsidRPr="00BC2B85" w:rsidRDefault="00A25ECD"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Otros gastos</w:t>
            </w:r>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20,000</w:t>
            </w:r>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20,000</w:t>
            </w:r>
          </w:p>
        </w:tc>
        <w:tc>
          <w:tcPr>
            <w:tcW w:w="1118" w:type="dxa"/>
            <w:noWrap/>
            <w:vAlign w:val="center"/>
            <w:hideMark/>
          </w:tcPr>
          <w:p w:rsidR="00A25ECD" w:rsidRPr="00BC2B85" w:rsidRDefault="00A25ECD" w:rsidP="00BC2B85">
            <w:pPr>
              <w:jc w:val="center"/>
              <w:cnfStyle w:val="000000000000"/>
              <w:rPr>
                <w:rFonts w:asciiTheme="minorHAnsi" w:eastAsia="Times New Roman" w:hAnsiTheme="minorHAnsi" w:cstheme="minorHAnsi"/>
                <w:color w:val="000000"/>
                <w:sz w:val="18"/>
                <w:szCs w:val="18"/>
              </w:rPr>
            </w:pPr>
          </w:p>
        </w:tc>
      </w:tr>
      <w:tr w:rsidR="00C81B8A" w:rsidRPr="00A25ECD" w:rsidTr="00396816">
        <w:trPr>
          <w:cnfStyle w:val="000000100000"/>
          <w:trHeight w:val="300"/>
          <w:jc w:val="center"/>
        </w:trPr>
        <w:tc>
          <w:tcPr>
            <w:cnfStyle w:val="001000000000"/>
            <w:tcW w:w="3261" w:type="dxa"/>
            <w:noWrap/>
            <w:vAlign w:val="center"/>
            <w:hideMark/>
          </w:tcPr>
          <w:p w:rsidR="00A25ECD" w:rsidRPr="00BC2B85" w:rsidRDefault="00A25ECD" w:rsidP="00BC2B85">
            <w:pPr>
              <w:jc w:val="right"/>
              <w:rPr>
                <w:rFonts w:asciiTheme="minorHAnsi" w:eastAsia="Times New Roman" w:hAnsiTheme="minorHAnsi" w:cstheme="minorHAnsi"/>
                <w:iCs/>
                <w:color w:val="000000"/>
                <w:sz w:val="18"/>
                <w:szCs w:val="18"/>
              </w:rPr>
            </w:pPr>
            <w:r w:rsidRPr="00BC2B85">
              <w:rPr>
                <w:rFonts w:asciiTheme="minorHAnsi" w:eastAsia="Times New Roman" w:hAnsiTheme="minorHAnsi" w:cstheme="minorHAnsi"/>
                <w:iCs/>
                <w:color w:val="000000"/>
                <w:sz w:val="18"/>
                <w:szCs w:val="18"/>
              </w:rPr>
              <w:t>SUBTOTAL MISCELÁNEOS</w:t>
            </w:r>
          </w:p>
        </w:tc>
        <w:tc>
          <w:tcPr>
            <w:tcW w:w="1294"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20,000</w:t>
            </w:r>
          </w:p>
        </w:tc>
        <w:tc>
          <w:tcPr>
            <w:tcW w:w="1294"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20,000</w:t>
            </w:r>
          </w:p>
        </w:tc>
        <w:tc>
          <w:tcPr>
            <w:tcW w:w="1118" w:type="dxa"/>
            <w:noWrap/>
            <w:vAlign w:val="center"/>
            <w:hideMark/>
          </w:tcPr>
          <w:p w:rsidR="00A25ECD" w:rsidRPr="00BC2B85" w:rsidRDefault="00A25ECD"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w:t>
            </w:r>
          </w:p>
        </w:tc>
      </w:tr>
      <w:tr w:rsidR="00A25ECD" w:rsidRPr="00A25ECD" w:rsidTr="00396816">
        <w:trPr>
          <w:trHeight w:val="315"/>
          <w:jc w:val="center"/>
        </w:trPr>
        <w:tc>
          <w:tcPr>
            <w:cnfStyle w:val="001000000000"/>
            <w:tcW w:w="3261" w:type="dxa"/>
            <w:noWrap/>
            <w:vAlign w:val="center"/>
            <w:hideMark/>
          </w:tcPr>
          <w:p w:rsidR="00A25ECD" w:rsidRPr="00BC2B85" w:rsidRDefault="00A25ECD" w:rsidP="00BC2B85">
            <w:pPr>
              <w:rPr>
                <w:rFonts w:asciiTheme="minorHAnsi" w:eastAsia="Times New Roman" w:hAnsiTheme="minorHAnsi" w:cstheme="minorHAnsi"/>
                <w:bCs w:val="0"/>
                <w:color w:val="000000"/>
                <w:sz w:val="18"/>
                <w:szCs w:val="18"/>
              </w:rPr>
            </w:pPr>
            <w:r w:rsidRPr="00BC2B85">
              <w:rPr>
                <w:rFonts w:asciiTheme="minorHAnsi" w:eastAsia="Times New Roman" w:hAnsiTheme="minorHAnsi" w:cstheme="minorHAnsi"/>
                <w:color w:val="000000"/>
                <w:sz w:val="18"/>
                <w:szCs w:val="18"/>
              </w:rPr>
              <w:t>PRESUPUESTO TOTAL</w:t>
            </w:r>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640,000</w:t>
            </w:r>
          </w:p>
        </w:tc>
        <w:tc>
          <w:tcPr>
            <w:tcW w:w="1294" w:type="dxa"/>
            <w:noWrap/>
            <w:vAlign w:val="center"/>
            <w:hideMark/>
          </w:tcPr>
          <w:p w:rsidR="00A25ECD" w:rsidRPr="00BC2B85" w:rsidRDefault="00A25ECD"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640,000</w:t>
            </w:r>
          </w:p>
        </w:tc>
        <w:tc>
          <w:tcPr>
            <w:tcW w:w="1118" w:type="dxa"/>
            <w:noWrap/>
            <w:vAlign w:val="center"/>
            <w:hideMark/>
          </w:tcPr>
          <w:p w:rsidR="00A25ECD" w:rsidRPr="00BC2B85" w:rsidRDefault="00A25ECD"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100%</w:t>
            </w:r>
          </w:p>
        </w:tc>
      </w:tr>
    </w:tbl>
    <w:p w:rsidR="00A4135F" w:rsidRPr="00A4135F" w:rsidRDefault="00A4135F" w:rsidP="00BC2B85">
      <w:pPr>
        <w:pStyle w:val="ListParagraph"/>
        <w:numPr>
          <w:ilvl w:val="0"/>
          <w:numId w:val="9"/>
        </w:numPr>
        <w:tabs>
          <w:tab w:val="left" w:pos="-426"/>
        </w:tabs>
        <w:spacing w:before="240"/>
        <w:ind w:left="567" w:hanging="567"/>
        <w:contextualSpacing w:val="0"/>
        <w:jc w:val="both"/>
        <w:rPr>
          <w:sz w:val="24"/>
        </w:rPr>
      </w:pPr>
      <w:r w:rsidRPr="00A4135F">
        <w:rPr>
          <w:sz w:val="24"/>
        </w:rPr>
        <w:t xml:space="preserve">Cabe destacar que durante el lapso transcurrido entre la aprobación e inicio del proyecto, transcurrieron 13 meses como consecuencia de la necesidad de la </w:t>
      </w:r>
      <w:proofErr w:type="spellStart"/>
      <w:r w:rsidRPr="00A4135F">
        <w:rPr>
          <w:sz w:val="24"/>
        </w:rPr>
        <w:t>Semarnat</w:t>
      </w:r>
      <w:proofErr w:type="spellEnd"/>
      <w:r w:rsidRPr="00A4135F">
        <w:rPr>
          <w:sz w:val="24"/>
        </w:rPr>
        <w:t xml:space="preserve"> de hacer frente a los problemas de planificación en el inicio del nuevo gobierno y de la obtención de la Delegación de Autoridad por parte de la oficina del PNUD-México.</w:t>
      </w:r>
    </w:p>
    <w:p w:rsidR="00A4135F" w:rsidRPr="00A4135F" w:rsidRDefault="00A4135F" w:rsidP="00A4135F">
      <w:pPr>
        <w:pStyle w:val="ListParagraph"/>
        <w:numPr>
          <w:ilvl w:val="0"/>
          <w:numId w:val="9"/>
        </w:numPr>
        <w:tabs>
          <w:tab w:val="left" w:pos="-426"/>
        </w:tabs>
        <w:ind w:left="567" w:hanging="567"/>
        <w:jc w:val="both"/>
        <w:rPr>
          <w:sz w:val="24"/>
        </w:rPr>
      </w:pPr>
      <w:r w:rsidRPr="00A4135F">
        <w:rPr>
          <w:sz w:val="24"/>
        </w:rPr>
        <w:t xml:space="preserve">En octubre de 2002 fue contratado un Coordinador del Proyecto y el 5 de noviembre de 2002 se estableció el plan de trabajo durante la primera reunión del Comité de Dirección del Proyecto. El plan de trabajo consistió en el diseño y realización de talleres temáticos para: </w:t>
      </w:r>
    </w:p>
    <w:p w:rsidR="00A4135F" w:rsidRPr="00A4135F" w:rsidRDefault="00A4135F" w:rsidP="00BC2B85">
      <w:pPr>
        <w:pStyle w:val="ListParagraph"/>
        <w:numPr>
          <w:ilvl w:val="0"/>
          <w:numId w:val="19"/>
        </w:numPr>
        <w:tabs>
          <w:tab w:val="left" w:pos="-426"/>
        </w:tabs>
        <w:ind w:left="993" w:hanging="426"/>
        <w:jc w:val="both"/>
        <w:rPr>
          <w:sz w:val="24"/>
        </w:rPr>
      </w:pPr>
      <w:r w:rsidRPr="00A4135F">
        <w:rPr>
          <w:sz w:val="24"/>
        </w:rPr>
        <w:t>Definir  elementos para políticas ambientales;</w:t>
      </w:r>
    </w:p>
    <w:p w:rsidR="00A4135F" w:rsidRPr="00A4135F" w:rsidRDefault="00A4135F" w:rsidP="00BC2B85">
      <w:pPr>
        <w:pStyle w:val="ListParagraph"/>
        <w:numPr>
          <w:ilvl w:val="0"/>
          <w:numId w:val="19"/>
        </w:numPr>
        <w:tabs>
          <w:tab w:val="left" w:pos="-426"/>
        </w:tabs>
        <w:ind w:left="993" w:hanging="426"/>
        <w:jc w:val="both"/>
        <w:rPr>
          <w:sz w:val="24"/>
        </w:rPr>
      </w:pPr>
      <w:r w:rsidRPr="00A4135F">
        <w:rPr>
          <w:sz w:val="24"/>
        </w:rPr>
        <w:t xml:space="preserve">Identificar oportunidades para modificar/adaptar el marco legal y regulatorio en el sector del medio ambiente </w:t>
      </w:r>
      <w:r w:rsidR="0084011A">
        <w:rPr>
          <w:sz w:val="24"/>
        </w:rPr>
        <w:t>e</w:t>
      </w:r>
      <w:r w:rsidRPr="00A4135F">
        <w:rPr>
          <w:sz w:val="24"/>
        </w:rPr>
        <w:t>,</w:t>
      </w:r>
    </w:p>
    <w:p w:rsidR="00A4135F" w:rsidRPr="00A4135F" w:rsidRDefault="00A4135F" w:rsidP="00BC2B85">
      <w:pPr>
        <w:pStyle w:val="ListParagraph"/>
        <w:numPr>
          <w:ilvl w:val="0"/>
          <w:numId w:val="19"/>
        </w:numPr>
        <w:tabs>
          <w:tab w:val="left" w:pos="-426"/>
        </w:tabs>
        <w:ind w:left="992" w:hanging="425"/>
        <w:contextualSpacing w:val="0"/>
        <w:jc w:val="both"/>
        <w:rPr>
          <w:sz w:val="24"/>
        </w:rPr>
      </w:pPr>
      <w:r w:rsidRPr="00A4135F">
        <w:rPr>
          <w:sz w:val="24"/>
        </w:rPr>
        <w:t>Identificar nuevos acuerdos y arreglos institucionales para el sector.</w:t>
      </w:r>
    </w:p>
    <w:p w:rsidR="00A4135F" w:rsidRPr="00A4135F" w:rsidRDefault="00A4135F" w:rsidP="00BC2B85">
      <w:pPr>
        <w:pStyle w:val="ListParagraph"/>
        <w:numPr>
          <w:ilvl w:val="0"/>
          <w:numId w:val="9"/>
        </w:numPr>
        <w:tabs>
          <w:tab w:val="left" w:pos="-426"/>
        </w:tabs>
        <w:spacing w:after="120"/>
        <w:ind w:left="567" w:hanging="567"/>
        <w:contextualSpacing w:val="0"/>
        <w:jc w:val="both"/>
        <w:rPr>
          <w:sz w:val="24"/>
        </w:rPr>
      </w:pPr>
      <w:r w:rsidRPr="00A4135F">
        <w:rPr>
          <w:sz w:val="24"/>
        </w:rPr>
        <w:t>Debe señalarse que en julio de 2003, la SEMARNAT llevó a cabo una evaluación interna del proyecto donde fueron identificados siete nuevos productos:</w:t>
      </w:r>
    </w:p>
    <w:p w:rsidR="00A4135F" w:rsidRPr="00A4135F" w:rsidRDefault="00A4135F" w:rsidP="00BC2B85">
      <w:pPr>
        <w:pStyle w:val="ListParagraph"/>
        <w:numPr>
          <w:ilvl w:val="0"/>
          <w:numId w:val="20"/>
        </w:numPr>
        <w:tabs>
          <w:tab w:val="left" w:pos="-426"/>
        </w:tabs>
        <w:spacing w:before="120" w:after="120"/>
        <w:ind w:left="992" w:hanging="425"/>
        <w:contextualSpacing w:val="0"/>
        <w:jc w:val="both"/>
        <w:rPr>
          <w:sz w:val="24"/>
        </w:rPr>
      </w:pPr>
      <w:r w:rsidRPr="00A4135F">
        <w:rPr>
          <w:sz w:val="24"/>
        </w:rPr>
        <w:lastRenderedPageBreak/>
        <w:t xml:space="preserve">Escenarios económicos e indicadores de presión/respuesta sobre los recursos naturales en los sectores turístico, energético, agrícola y de agua, incluyendo la vulnerabilidad y la adaptación de ecosistemas prioritarios. </w:t>
      </w:r>
    </w:p>
    <w:p w:rsidR="00A4135F" w:rsidRPr="00A4135F" w:rsidRDefault="00A4135F" w:rsidP="00BC2B85">
      <w:pPr>
        <w:pStyle w:val="ListParagraph"/>
        <w:numPr>
          <w:ilvl w:val="0"/>
          <w:numId w:val="20"/>
        </w:numPr>
        <w:tabs>
          <w:tab w:val="left" w:pos="-426"/>
        </w:tabs>
        <w:ind w:left="993" w:hanging="426"/>
        <w:jc w:val="both"/>
        <w:rPr>
          <w:sz w:val="24"/>
        </w:rPr>
      </w:pPr>
      <w:r w:rsidRPr="00A4135F">
        <w:rPr>
          <w:sz w:val="24"/>
        </w:rPr>
        <w:t xml:space="preserve">Una evaluación intermedia del Programa Sectorial 2001-2006 del Medio Ambiente, con recomendaciones para su actualización y modificación y un análisis de brechas. </w:t>
      </w:r>
    </w:p>
    <w:p w:rsidR="00A4135F" w:rsidRPr="00A4135F" w:rsidRDefault="00A4135F" w:rsidP="00BC2B85">
      <w:pPr>
        <w:pStyle w:val="ListParagraph"/>
        <w:numPr>
          <w:ilvl w:val="0"/>
          <w:numId w:val="20"/>
        </w:numPr>
        <w:tabs>
          <w:tab w:val="left" w:pos="-426"/>
        </w:tabs>
        <w:ind w:left="993" w:hanging="426"/>
        <w:jc w:val="both"/>
        <w:rPr>
          <w:sz w:val="24"/>
        </w:rPr>
      </w:pPr>
      <w:r w:rsidRPr="00A4135F">
        <w:rPr>
          <w:sz w:val="24"/>
        </w:rPr>
        <w:t>Un análisis del impacto y la efectividad de las políticas y estrategias para proteger la biodiversidad de importancia mundial y para ayudar a reducir las emisiones atmosféricas.</w:t>
      </w:r>
    </w:p>
    <w:p w:rsidR="00A4135F" w:rsidRPr="00A4135F" w:rsidRDefault="00A4135F" w:rsidP="00BC2B85">
      <w:pPr>
        <w:pStyle w:val="ListParagraph"/>
        <w:numPr>
          <w:ilvl w:val="0"/>
          <w:numId w:val="20"/>
        </w:numPr>
        <w:tabs>
          <w:tab w:val="left" w:pos="-426"/>
        </w:tabs>
        <w:ind w:left="993" w:hanging="426"/>
        <w:jc w:val="both"/>
        <w:rPr>
          <w:sz w:val="24"/>
        </w:rPr>
      </w:pPr>
      <w:r w:rsidRPr="00A4135F">
        <w:rPr>
          <w:sz w:val="24"/>
        </w:rPr>
        <w:t xml:space="preserve">Un mapa tecnológico de una de las cinco energías renovables principales (biomasa, hidrógeno, energía eólica, solar fotovoltaica y solar térmica) (pretende ser un contrato de una sola fuente con el Instituto de México de Investigaciones Eléctricas). </w:t>
      </w:r>
    </w:p>
    <w:p w:rsidR="00A4135F" w:rsidRPr="00A4135F" w:rsidRDefault="00A4135F" w:rsidP="00BC2B85">
      <w:pPr>
        <w:pStyle w:val="ListParagraph"/>
        <w:numPr>
          <w:ilvl w:val="0"/>
          <w:numId w:val="20"/>
        </w:numPr>
        <w:tabs>
          <w:tab w:val="left" w:pos="-426"/>
        </w:tabs>
        <w:ind w:left="993" w:hanging="426"/>
        <w:jc w:val="both"/>
        <w:rPr>
          <w:sz w:val="24"/>
        </w:rPr>
      </w:pPr>
      <w:r w:rsidRPr="00A4135F">
        <w:rPr>
          <w:sz w:val="24"/>
        </w:rPr>
        <w:t xml:space="preserve">Desarrollo de indicadores de impacto para el desarrollo sostenible, con un sistema de monitoreo y evaluación. </w:t>
      </w:r>
    </w:p>
    <w:p w:rsidR="00A4135F" w:rsidRPr="00A4135F" w:rsidRDefault="00A4135F" w:rsidP="00BC2B85">
      <w:pPr>
        <w:pStyle w:val="ListParagraph"/>
        <w:numPr>
          <w:ilvl w:val="0"/>
          <w:numId w:val="20"/>
        </w:numPr>
        <w:tabs>
          <w:tab w:val="left" w:pos="-426"/>
        </w:tabs>
        <w:ind w:left="993" w:hanging="426"/>
        <w:jc w:val="both"/>
        <w:rPr>
          <w:sz w:val="24"/>
        </w:rPr>
      </w:pPr>
      <w:r w:rsidRPr="00A4135F">
        <w:rPr>
          <w:sz w:val="24"/>
        </w:rPr>
        <w:t xml:space="preserve">Un plan de financiamiento de las prioridades a largo plazo de la planificación ambiental a nivel federal, estatal y municipal. </w:t>
      </w:r>
    </w:p>
    <w:p w:rsidR="00A4135F" w:rsidRPr="00A4135F" w:rsidRDefault="00A4135F" w:rsidP="00BC2B85">
      <w:pPr>
        <w:pStyle w:val="ListParagraph"/>
        <w:numPr>
          <w:ilvl w:val="0"/>
          <w:numId w:val="20"/>
        </w:numPr>
        <w:tabs>
          <w:tab w:val="left" w:pos="-426"/>
        </w:tabs>
        <w:ind w:left="992" w:hanging="425"/>
        <w:contextualSpacing w:val="0"/>
        <w:jc w:val="both"/>
        <w:rPr>
          <w:sz w:val="24"/>
        </w:rPr>
      </w:pPr>
      <w:r w:rsidRPr="00A4135F">
        <w:rPr>
          <w:sz w:val="24"/>
        </w:rPr>
        <w:t>Un documento integrado para la difusión del proyecto.</w:t>
      </w:r>
    </w:p>
    <w:p w:rsidR="00A4135F" w:rsidRPr="00A4135F" w:rsidRDefault="00DD1841" w:rsidP="00A4135F">
      <w:pPr>
        <w:pStyle w:val="ListParagraph"/>
        <w:numPr>
          <w:ilvl w:val="0"/>
          <w:numId w:val="9"/>
        </w:numPr>
        <w:tabs>
          <w:tab w:val="left" w:pos="-426"/>
        </w:tabs>
        <w:ind w:left="567" w:hanging="567"/>
        <w:jc w:val="both"/>
        <w:rPr>
          <w:sz w:val="24"/>
        </w:rPr>
      </w:pPr>
      <w:r>
        <w:rPr>
          <w:sz w:val="24"/>
        </w:rPr>
        <w:t xml:space="preserve">El Cuadro N°9, </w:t>
      </w:r>
      <w:r w:rsidR="00A4135F" w:rsidRPr="00A4135F">
        <w:rPr>
          <w:sz w:val="24"/>
        </w:rPr>
        <w:t>muestra los gastos anuales efectivamente realizados por el proyecto, en función de cada resultado esperado, considerando incluso los cambios operados en los resultados esperados del Proyecto en julio de 2003. Los recursos aplicados a la elaboración de los estudios designados ascendieron a US$ 264 mil (47% del total).</w:t>
      </w:r>
    </w:p>
    <w:p w:rsidR="00A4135F" w:rsidRPr="00A4135F" w:rsidRDefault="00A4135F" w:rsidP="00A4135F">
      <w:pPr>
        <w:pStyle w:val="ListParagraph"/>
        <w:numPr>
          <w:ilvl w:val="0"/>
          <w:numId w:val="9"/>
        </w:numPr>
        <w:tabs>
          <w:tab w:val="left" w:pos="-426"/>
        </w:tabs>
        <w:ind w:left="567" w:hanging="567"/>
        <w:jc w:val="both"/>
        <w:rPr>
          <w:sz w:val="24"/>
        </w:rPr>
      </w:pPr>
      <w:r w:rsidRPr="00A4135F">
        <w:rPr>
          <w:sz w:val="24"/>
        </w:rPr>
        <w:t xml:space="preserve">Conforme a las cifras reportadas, durante la primera etapa  del proyecto (octubre de 2002 a julio de 2003) el gasto estuvo muy por debajo de lo </w:t>
      </w:r>
      <w:r w:rsidR="0084011A">
        <w:rPr>
          <w:sz w:val="24"/>
        </w:rPr>
        <w:t xml:space="preserve">esperado </w:t>
      </w:r>
      <w:r w:rsidRPr="00A4135F">
        <w:rPr>
          <w:sz w:val="24"/>
        </w:rPr>
        <w:t xml:space="preserve">(aproximadamente 16%), ocupándose principalmente en sufragar la Coordinación del proyecto y la organización de los primeros talleres. La razón de deficiente ejercicio de gasto se debió a los continuos retrasos en la ejecución del Proyecto; a los escasos avances del Coordinador; a que en septiembre de 2003 el </w:t>
      </w:r>
      <w:r w:rsidR="0084011A">
        <w:rPr>
          <w:sz w:val="24"/>
        </w:rPr>
        <w:t>Secretario</w:t>
      </w:r>
      <w:r w:rsidR="0084011A" w:rsidRPr="00A4135F">
        <w:rPr>
          <w:sz w:val="24"/>
        </w:rPr>
        <w:t xml:space="preserve"> </w:t>
      </w:r>
      <w:r w:rsidRPr="00A4135F">
        <w:rPr>
          <w:sz w:val="24"/>
        </w:rPr>
        <w:t>de Medio Ambiente fue reemplazado al igual que los tres subsecretarios de la S</w:t>
      </w:r>
      <w:r w:rsidR="0084011A">
        <w:rPr>
          <w:sz w:val="24"/>
        </w:rPr>
        <w:t>EMARNAT</w:t>
      </w:r>
      <w:r w:rsidRPr="00A4135F">
        <w:rPr>
          <w:sz w:val="24"/>
        </w:rPr>
        <w:t xml:space="preserve">, y a la designación de un nuevo Secretario de Medio Ambiente y Recursos Naturales, por lo que de octubre a diciembre de 2003, todos los proyectos existentes quedaron en suspenso hasta que la nueva administración definiera sus estrategias y prioridades. </w:t>
      </w:r>
    </w:p>
    <w:p w:rsidR="00A4135F" w:rsidRPr="00A4135F" w:rsidRDefault="00A4135F" w:rsidP="00A4135F">
      <w:pPr>
        <w:pStyle w:val="ListParagraph"/>
        <w:numPr>
          <w:ilvl w:val="0"/>
          <w:numId w:val="9"/>
        </w:numPr>
        <w:tabs>
          <w:tab w:val="left" w:pos="-426"/>
        </w:tabs>
        <w:ind w:left="567" w:hanging="567"/>
        <w:jc w:val="both"/>
        <w:rPr>
          <w:sz w:val="24"/>
        </w:rPr>
      </w:pPr>
      <w:r w:rsidRPr="00A4135F">
        <w:rPr>
          <w:sz w:val="24"/>
        </w:rPr>
        <w:t>La continua rotación de autoridades afectó la marcha del proyecto y por lo tanto los desembolsos, ya que se debió sensibilizar a esas autoridades cada vez que se producía un cambio</w:t>
      </w:r>
      <w:r>
        <w:rPr>
          <w:rStyle w:val="FootnoteReference"/>
          <w:sz w:val="24"/>
        </w:rPr>
        <w:footnoteReference w:id="4"/>
      </w:r>
      <w:r w:rsidRPr="00A4135F">
        <w:rPr>
          <w:sz w:val="24"/>
        </w:rPr>
        <w:t xml:space="preserve">. </w:t>
      </w:r>
    </w:p>
    <w:p w:rsidR="00A4135F" w:rsidRPr="00A4135F" w:rsidRDefault="00A4135F" w:rsidP="00A4135F">
      <w:pPr>
        <w:pStyle w:val="ListParagraph"/>
        <w:numPr>
          <w:ilvl w:val="0"/>
          <w:numId w:val="9"/>
        </w:numPr>
        <w:tabs>
          <w:tab w:val="left" w:pos="-426"/>
        </w:tabs>
        <w:ind w:left="567" w:hanging="567"/>
        <w:jc w:val="both"/>
        <w:rPr>
          <w:sz w:val="24"/>
        </w:rPr>
      </w:pPr>
      <w:r w:rsidRPr="00A4135F">
        <w:rPr>
          <w:sz w:val="24"/>
        </w:rPr>
        <w:lastRenderedPageBreak/>
        <w:t xml:space="preserve">En febrero de 2004, de acuerdo con las reglas y regulaciones del PNUD los términos de referencia </w:t>
      </w:r>
      <w:r w:rsidR="0084011A">
        <w:rPr>
          <w:sz w:val="24"/>
        </w:rPr>
        <w:t xml:space="preserve">(TOR) </w:t>
      </w:r>
      <w:r w:rsidRPr="00A4135F">
        <w:rPr>
          <w:sz w:val="24"/>
        </w:rPr>
        <w:t xml:space="preserve">de cinco de los productos propuestos (con excepción del mapa tecnológico) se publicaron en el sitio web del PNUD y </w:t>
      </w:r>
      <w:r w:rsidR="0084011A">
        <w:rPr>
          <w:sz w:val="24"/>
        </w:rPr>
        <w:t xml:space="preserve">fueron </w:t>
      </w:r>
      <w:r w:rsidRPr="00A4135F">
        <w:rPr>
          <w:sz w:val="24"/>
        </w:rPr>
        <w:t xml:space="preserve">enviados a consultores individuales, grupos de consultores y universidades. De los cinco estudios, sólo dos cumplieron el requisito de una lista corta de al menos tres candidatos y se procedió a contratarlos en mayo de 2004 (Escenarios Económicos y Análisis de las repercusiones de políticas). </w:t>
      </w:r>
    </w:p>
    <w:p w:rsidR="00A4135F" w:rsidRPr="00A4135F" w:rsidRDefault="00A4135F" w:rsidP="00A4135F">
      <w:pPr>
        <w:pStyle w:val="ListParagraph"/>
        <w:numPr>
          <w:ilvl w:val="0"/>
          <w:numId w:val="9"/>
        </w:numPr>
        <w:tabs>
          <w:tab w:val="left" w:pos="-426"/>
        </w:tabs>
        <w:ind w:left="567" w:hanging="567"/>
        <w:jc w:val="both"/>
        <w:rPr>
          <w:sz w:val="24"/>
        </w:rPr>
      </w:pPr>
      <w:r w:rsidRPr="00A4135F">
        <w:rPr>
          <w:sz w:val="24"/>
        </w:rPr>
        <w:t>A la luz de los avances en la identificación de indicadores de impacto y los ejercicios de establecimiento de prioridades llevados a cabo por la S</w:t>
      </w:r>
      <w:r w:rsidR="0084011A">
        <w:rPr>
          <w:sz w:val="24"/>
        </w:rPr>
        <w:t>EMARNAT</w:t>
      </w:r>
      <w:r w:rsidRPr="00A4135F">
        <w:rPr>
          <w:sz w:val="24"/>
        </w:rPr>
        <w:t>, en agosto de 2004 dos de los productos propuestos (evaluación intermedia del programa sectorial y la integración definitiva), fueron cancelados y uno de los tres restantes (indicadores) se reestructuró integrándose nuevos TOR para una serie de estudios sobre los efectos de los subsidios sobre los  recursos naturales en tres sectores (agua, agricultura y energía), y los términos de referencia para el mapa tecnológico fueron validados por la SEMARNAT.</w:t>
      </w:r>
    </w:p>
    <w:p w:rsidR="00A4135F" w:rsidRPr="00A4135F" w:rsidRDefault="00A4135F" w:rsidP="00A4135F">
      <w:pPr>
        <w:pStyle w:val="ListParagraph"/>
        <w:numPr>
          <w:ilvl w:val="0"/>
          <w:numId w:val="9"/>
        </w:numPr>
        <w:tabs>
          <w:tab w:val="left" w:pos="-426"/>
        </w:tabs>
        <w:ind w:left="567" w:hanging="567"/>
        <w:jc w:val="both"/>
        <w:rPr>
          <w:sz w:val="24"/>
        </w:rPr>
      </w:pPr>
      <w:r w:rsidRPr="00A4135F">
        <w:rPr>
          <w:sz w:val="24"/>
        </w:rPr>
        <w:t xml:space="preserve">Las consultorías realizadas en la segunda etapa del Proyecto (2004-2007) aumentaron el desembolso del proyecto hasta alcanzar el 79% del total de los recursos aportados, lo que significó una recuperación parcial del atraso producido en la primera etapa (ver Cuadro N° </w:t>
      </w:r>
      <w:r w:rsidR="00DD1841">
        <w:rPr>
          <w:sz w:val="24"/>
        </w:rPr>
        <w:t>10</w:t>
      </w:r>
      <w:r w:rsidRPr="00A4135F">
        <w:rPr>
          <w:sz w:val="24"/>
        </w:rPr>
        <w:t>).</w:t>
      </w:r>
    </w:p>
    <w:p w:rsidR="00644468" w:rsidRDefault="00644468" w:rsidP="00BC2B85">
      <w:pPr>
        <w:pStyle w:val="ListParagraph"/>
        <w:sectPr w:rsidR="00644468" w:rsidSect="00B4041F">
          <w:pgSz w:w="12240" w:h="15840" w:code="1"/>
          <w:pgMar w:top="1304" w:right="1701" w:bottom="1361" w:left="1701" w:header="709" w:footer="709" w:gutter="0"/>
          <w:cols w:space="708"/>
          <w:docGrid w:linePitch="360"/>
        </w:sectPr>
      </w:pPr>
    </w:p>
    <w:p w:rsidR="009135E9" w:rsidRPr="00BC2B85" w:rsidRDefault="00B35BE5" w:rsidP="008043CA">
      <w:pPr>
        <w:spacing w:after="20" w:line="240" w:lineRule="auto"/>
        <w:jc w:val="both"/>
        <w:rPr>
          <w:i/>
          <w:sz w:val="20"/>
        </w:rPr>
      </w:pPr>
      <w:r w:rsidRPr="00BC2B85">
        <w:rPr>
          <w:i/>
          <w:sz w:val="20"/>
        </w:rPr>
        <w:lastRenderedPageBreak/>
        <w:t>Cuadro Nº</w:t>
      </w:r>
      <w:r w:rsidR="00DD1841">
        <w:rPr>
          <w:i/>
          <w:sz w:val="20"/>
        </w:rPr>
        <w:t>9</w:t>
      </w:r>
      <w:r w:rsidRPr="00BC2B85">
        <w:rPr>
          <w:i/>
          <w:sz w:val="20"/>
        </w:rPr>
        <w:t xml:space="preserve">: </w:t>
      </w:r>
      <w:r w:rsidR="0092190B" w:rsidRPr="00BC2B85">
        <w:rPr>
          <w:i/>
          <w:sz w:val="20"/>
        </w:rPr>
        <w:t>Desembolsos</w:t>
      </w:r>
      <w:r w:rsidR="003B6AB7" w:rsidRPr="00BC2B85">
        <w:rPr>
          <w:i/>
          <w:sz w:val="20"/>
        </w:rPr>
        <w:t xml:space="preserve"> efectivos</w:t>
      </w:r>
      <w:r w:rsidR="0092190B" w:rsidRPr="00BC2B85">
        <w:rPr>
          <w:i/>
          <w:sz w:val="20"/>
        </w:rPr>
        <w:t xml:space="preserve"> por actividad realizados durante la ejecución del proyecto (en US$)</w:t>
      </w:r>
      <w:r w:rsidR="008043CA" w:rsidRPr="00BC2B85">
        <w:rPr>
          <w:rStyle w:val="FootnoteReference"/>
          <w:i/>
          <w:sz w:val="20"/>
        </w:rPr>
        <w:footnoteReference w:id="5"/>
      </w:r>
      <w:r w:rsidR="005B5BAA" w:rsidRPr="00BC2B85">
        <w:rPr>
          <w:i/>
          <w:sz w:val="20"/>
        </w:rPr>
        <w:t>.</w:t>
      </w:r>
    </w:p>
    <w:tbl>
      <w:tblPr>
        <w:tblStyle w:val="MediumShading2-Accent3"/>
        <w:tblW w:w="13400" w:type="dxa"/>
        <w:tblLook w:val="04A0"/>
      </w:tblPr>
      <w:tblGrid>
        <w:gridCol w:w="2174"/>
        <w:gridCol w:w="1261"/>
        <w:gridCol w:w="1261"/>
        <w:gridCol w:w="1273"/>
        <w:gridCol w:w="1273"/>
        <w:gridCol w:w="1273"/>
        <w:gridCol w:w="1260"/>
        <w:gridCol w:w="588"/>
        <w:gridCol w:w="588"/>
        <w:gridCol w:w="588"/>
        <w:gridCol w:w="588"/>
        <w:gridCol w:w="1273"/>
      </w:tblGrid>
      <w:tr w:rsidR="0045172E" w:rsidRPr="0045172E" w:rsidTr="00BC2B85">
        <w:trPr>
          <w:cnfStyle w:val="100000000000"/>
          <w:trHeight w:val="300"/>
          <w:tblHeader/>
        </w:trPr>
        <w:tc>
          <w:tcPr>
            <w:cnfStyle w:val="001000000100"/>
            <w:tcW w:w="2174" w:type="dxa"/>
            <w:noWrap/>
            <w:vAlign w:val="center"/>
            <w:hideMark/>
          </w:tcPr>
          <w:p w:rsidR="0045172E" w:rsidRPr="00BC2B85" w:rsidRDefault="0045172E"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Concepto</w:t>
            </w:r>
          </w:p>
        </w:tc>
        <w:tc>
          <w:tcPr>
            <w:tcW w:w="1261" w:type="dxa"/>
            <w:noWrap/>
            <w:vAlign w:val="center"/>
            <w:hideMark/>
          </w:tcPr>
          <w:p w:rsidR="0045172E" w:rsidRPr="00BC2B85" w:rsidRDefault="0045172E"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2002</w:t>
            </w:r>
          </w:p>
        </w:tc>
        <w:tc>
          <w:tcPr>
            <w:tcW w:w="1261" w:type="dxa"/>
            <w:noWrap/>
            <w:vAlign w:val="center"/>
            <w:hideMark/>
          </w:tcPr>
          <w:p w:rsidR="0045172E" w:rsidRPr="00BC2B85" w:rsidRDefault="0045172E"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2003</w:t>
            </w:r>
          </w:p>
        </w:tc>
        <w:tc>
          <w:tcPr>
            <w:tcW w:w="1273" w:type="dxa"/>
            <w:noWrap/>
            <w:vAlign w:val="center"/>
            <w:hideMark/>
          </w:tcPr>
          <w:p w:rsidR="0045172E" w:rsidRPr="00BC2B85" w:rsidRDefault="0045172E"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2004</w:t>
            </w:r>
          </w:p>
        </w:tc>
        <w:tc>
          <w:tcPr>
            <w:tcW w:w="1273" w:type="dxa"/>
            <w:noWrap/>
            <w:vAlign w:val="center"/>
            <w:hideMark/>
          </w:tcPr>
          <w:p w:rsidR="0045172E" w:rsidRPr="00BC2B85" w:rsidRDefault="0045172E"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2005</w:t>
            </w:r>
          </w:p>
        </w:tc>
        <w:tc>
          <w:tcPr>
            <w:tcW w:w="1273" w:type="dxa"/>
            <w:noWrap/>
            <w:vAlign w:val="center"/>
            <w:hideMark/>
          </w:tcPr>
          <w:p w:rsidR="0045172E" w:rsidRPr="00BC2B85" w:rsidRDefault="0045172E"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2006</w:t>
            </w:r>
          </w:p>
        </w:tc>
        <w:tc>
          <w:tcPr>
            <w:tcW w:w="1260" w:type="dxa"/>
            <w:noWrap/>
            <w:vAlign w:val="center"/>
            <w:hideMark/>
          </w:tcPr>
          <w:p w:rsidR="0045172E" w:rsidRPr="00BC2B85" w:rsidRDefault="0045172E"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2007</w:t>
            </w:r>
          </w:p>
        </w:tc>
        <w:tc>
          <w:tcPr>
            <w:tcW w:w="588" w:type="dxa"/>
            <w:noWrap/>
            <w:vAlign w:val="center"/>
            <w:hideMark/>
          </w:tcPr>
          <w:p w:rsidR="0045172E" w:rsidRPr="00BC2B85" w:rsidRDefault="0045172E"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2008</w:t>
            </w:r>
          </w:p>
        </w:tc>
        <w:tc>
          <w:tcPr>
            <w:tcW w:w="588" w:type="dxa"/>
            <w:noWrap/>
            <w:vAlign w:val="center"/>
            <w:hideMark/>
          </w:tcPr>
          <w:p w:rsidR="0045172E" w:rsidRPr="00BC2B85" w:rsidRDefault="0045172E"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2009</w:t>
            </w:r>
          </w:p>
        </w:tc>
        <w:tc>
          <w:tcPr>
            <w:tcW w:w="588" w:type="dxa"/>
            <w:noWrap/>
            <w:vAlign w:val="center"/>
            <w:hideMark/>
          </w:tcPr>
          <w:p w:rsidR="0045172E" w:rsidRPr="00BC2B85" w:rsidRDefault="0045172E"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2010</w:t>
            </w:r>
          </w:p>
        </w:tc>
        <w:tc>
          <w:tcPr>
            <w:tcW w:w="588" w:type="dxa"/>
            <w:noWrap/>
            <w:vAlign w:val="center"/>
            <w:hideMark/>
          </w:tcPr>
          <w:p w:rsidR="0045172E" w:rsidRPr="00BC2B85" w:rsidRDefault="0045172E"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2011</w:t>
            </w:r>
          </w:p>
        </w:tc>
        <w:tc>
          <w:tcPr>
            <w:tcW w:w="1273" w:type="dxa"/>
            <w:noWrap/>
            <w:vAlign w:val="center"/>
            <w:hideMark/>
          </w:tcPr>
          <w:p w:rsidR="0045172E" w:rsidRPr="00BC2B85" w:rsidRDefault="0045172E"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TOTAL</w:t>
            </w:r>
          </w:p>
        </w:tc>
      </w:tr>
      <w:tr w:rsidR="0045172E" w:rsidRPr="0045172E" w:rsidTr="00BC2B85">
        <w:trPr>
          <w:cnfStyle w:val="000000100000"/>
          <w:trHeight w:val="300"/>
        </w:trPr>
        <w:tc>
          <w:tcPr>
            <w:cnfStyle w:val="001000000000"/>
            <w:tcW w:w="2174" w:type="dxa"/>
            <w:noWrap/>
            <w:vAlign w:val="center"/>
            <w:hideMark/>
          </w:tcPr>
          <w:p w:rsidR="0045172E" w:rsidRPr="00BC2B85" w:rsidRDefault="0045172E"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Personal</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r>
      <w:tr w:rsidR="00847BE2" w:rsidRPr="0045172E" w:rsidTr="0045172E">
        <w:trPr>
          <w:trHeight w:val="48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Unidad de Coordinación del Proyecto (UCP)</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w:t>
            </w:r>
          </w:p>
        </w:tc>
        <w:tc>
          <w:tcPr>
            <w:tcW w:w="1261" w:type="dxa"/>
            <w:noWrap/>
            <w:vAlign w:val="center"/>
            <w:hideMark/>
          </w:tcPr>
          <w:p w:rsidR="0045172E" w:rsidRPr="00BC2B85" w:rsidRDefault="0045172E" w:rsidP="00BC2B85">
            <w:pPr>
              <w:jc w:val="right"/>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right"/>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right"/>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right"/>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right"/>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right"/>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right"/>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right"/>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right"/>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right"/>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right"/>
              <w:cnfStyle w:val="000000100000"/>
              <w:rPr>
                <w:rFonts w:asciiTheme="minorHAnsi" w:eastAsia="Times New Roman" w:hAnsiTheme="minorHAnsi" w:cstheme="minorHAnsi"/>
                <w:color w:val="000000"/>
                <w:sz w:val="18"/>
                <w:szCs w:val="18"/>
              </w:rPr>
            </w:pPr>
          </w:p>
        </w:tc>
      </w:tr>
      <w:tr w:rsidR="00847BE2" w:rsidRPr="0045172E" w:rsidTr="0045172E">
        <w:trPr>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Monitoreo y Evaluación</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Pasajes</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r>
      <w:tr w:rsidR="00847BE2" w:rsidRPr="0045172E" w:rsidTr="0045172E">
        <w:trPr>
          <w:trHeight w:val="282"/>
        </w:trPr>
        <w:tc>
          <w:tcPr>
            <w:cnfStyle w:val="001000000000"/>
            <w:tcW w:w="2174" w:type="dxa"/>
            <w:vAlign w:val="center"/>
            <w:hideMark/>
          </w:tcPr>
          <w:p w:rsidR="0045172E" w:rsidRPr="00BC2B85" w:rsidRDefault="0045172E"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w:t>
            </w:r>
          </w:p>
        </w:tc>
        <w:tc>
          <w:tcPr>
            <w:tcW w:w="1261" w:type="dxa"/>
            <w:shd w:val="clear" w:color="auto" w:fill="auto"/>
            <w:noWrap/>
            <w:vAlign w:val="center"/>
            <w:hideMark/>
          </w:tcPr>
          <w:p w:rsidR="0045172E" w:rsidRPr="00BC2B85" w:rsidRDefault="0045172E" w:rsidP="00BC2B85">
            <w:pPr>
              <w:jc w:val="right"/>
              <w:cnfStyle w:val="000000000000"/>
              <w:rPr>
                <w:rFonts w:asciiTheme="minorHAnsi" w:eastAsia="Times New Roman" w:hAnsiTheme="minorHAnsi" w:cstheme="minorHAnsi"/>
                <w:color w:val="000000"/>
                <w:sz w:val="18"/>
                <w:szCs w:val="18"/>
              </w:rPr>
            </w:pPr>
          </w:p>
        </w:tc>
        <w:tc>
          <w:tcPr>
            <w:tcW w:w="1261" w:type="dxa"/>
            <w:shd w:val="clear" w:color="auto" w:fill="auto"/>
            <w:noWrap/>
            <w:vAlign w:val="center"/>
            <w:hideMark/>
          </w:tcPr>
          <w:p w:rsidR="0045172E" w:rsidRPr="00BC2B85" w:rsidRDefault="0045172E" w:rsidP="00BC2B85">
            <w:pPr>
              <w:jc w:val="right"/>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right"/>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right"/>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right"/>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right"/>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right"/>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right"/>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right"/>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right"/>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right"/>
              <w:cnfStyle w:val="000000000000"/>
              <w:rPr>
                <w:rFonts w:asciiTheme="minorHAnsi" w:eastAsia="Times New Roman" w:hAnsiTheme="minorHAnsi" w:cstheme="minorHAnsi"/>
                <w:color w:val="000000"/>
                <w:sz w:val="18"/>
                <w:szCs w:val="18"/>
              </w:rPr>
            </w:pP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Consultores nacionales</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r>
      <w:tr w:rsidR="00847BE2" w:rsidRPr="0045172E" w:rsidTr="0045172E">
        <w:trPr>
          <w:trHeight w:val="48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Coordinador de Proyecto (UCP)</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19,049.00</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54,561.47</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73,610.47</w:t>
            </w:r>
          </w:p>
        </w:tc>
      </w:tr>
      <w:tr w:rsidR="0045172E" w:rsidRPr="0045172E" w:rsidTr="00BC2B85">
        <w:trPr>
          <w:cnfStyle w:val="000000100000"/>
          <w:trHeight w:val="48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Asistente de Proyecto (UCP)</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14,777.64</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14,777.64</w:t>
            </w:r>
          </w:p>
        </w:tc>
      </w:tr>
      <w:tr w:rsidR="00847BE2" w:rsidRPr="0045172E" w:rsidTr="0045172E">
        <w:trPr>
          <w:trHeight w:val="48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Coordinador de Marco Programático</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r>
      <w:tr w:rsidR="0045172E" w:rsidRPr="0045172E" w:rsidTr="00BC2B85">
        <w:trPr>
          <w:cnfStyle w:val="000000100000"/>
          <w:trHeight w:val="48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Asistente de Marco Programático</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r>
      <w:tr w:rsidR="00847BE2" w:rsidRPr="0045172E" w:rsidTr="0045172E">
        <w:trPr>
          <w:trHeight w:val="282"/>
        </w:trPr>
        <w:tc>
          <w:tcPr>
            <w:cnfStyle w:val="001000000000"/>
            <w:tcW w:w="2174" w:type="dxa"/>
            <w:vAlign w:val="center"/>
            <w:hideMark/>
          </w:tcPr>
          <w:p w:rsidR="0045172E" w:rsidRPr="00BC2B85" w:rsidRDefault="0045172E"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r>
      <w:tr w:rsidR="0045172E" w:rsidRPr="0045172E" w:rsidTr="00BC2B85">
        <w:trPr>
          <w:cnfStyle w:val="000000100000"/>
          <w:trHeight w:val="480"/>
        </w:trPr>
        <w:tc>
          <w:tcPr>
            <w:cnfStyle w:val="001000000000"/>
            <w:tcW w:w="2174" w:type="dxa"/>
            <w:vAlign w:val="center"/>
            <w:hideMark/>
          </w:tcPr>
          <w:p w:rsidR="0045172E" w:rsidRPr="00BC2B85" w:rsidRDefault="0045172E"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 PERSONAL DEL PROYECTO</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19,049.00</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69,339.11</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88,388.11</w:t>
            </w:r>
          </w:p>
        </w:tc>
      </w:tr>
      <w:tr w:rsidR="00847BE2" w:rsidRPr="0045172E" w:rsidTr="0045172E">
        <w:trPr>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Contratos</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r>
      <w:tr w:rsidR="0045172E" w:rsidRPr="0045172E" w:rsidTr="00BC2B85">
        <w:trPr>
          <w:cnfStyle w:val="000000100000"/>
          <w:trHeight w:val="48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Escenarios económicos y sectoriales a 2005</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98,898.62</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17,700.98</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116,599.60</w:t>
            </w:r>
          </w:p>
        </w:tc>
      </w:tr>
      <w:tr w:rsidR="00BC2B85" w:rsidRPr="0045172E" w:rsidTr="00BC2B85">
        <w:trPr>
          <w:trHeight w:val="48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Instrumentos de política ambiental</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49,579.55</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Plan de Financiamiento</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9,896.32</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-7.76</w:t>
            </w: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37,760.65</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47,649.21</w:t>
            </w:r>
          </w:p>
        </w:tc>
      </w:tr>
      <w:tr w:rsidR="00BC2B85" w:rsidRPr="0045172E" w:rsidTr="00BC2B85">
        <w:trPr>
          <w:trHeight w:val="48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Indicadores de Desarrollo Sustentable</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60,296.79</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60,296.79</w:t>
            </w:r>
          </w:p>
        </w:tc>
      </w:tr>
      <w:tr w:rsidR="0045172E" w:rsidRPr="0045172E" w:rsidTr="00BC2B85">
        <w:trPr>
          <w:cnfStyle w:val="000000100000"/>
          <w:trHeight w:val="48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Análisis de subsidios dañinos</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53,860.98</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53,860.98</w:t>
            </w:r>
          </w:p>
        </w:tc>
      </w:tr>
      <w:tr w:rsidR="00BC2B85" w:rsidRPr="0045172E" w:rsidTr="00BC2B85">
        <w:trPr>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Integración Plan Verde</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72,795.28</w:t>
            </w: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72,795.28</w:t>
            </w:r>
          </w:p>
        </w:tc>
      </w:tr>
      <w:tr w:rsidR="0045172E" w:rsidRPr="0045172E" w:rsidTr="00BC2B85">
        <w:trPr>
          <w:cnfStyle w:val="000000100000"/>
          <w:trHeight w:val="48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lastRenderedPageBreak/>
              <w:t>Plan Nacional de Desarrollo</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148,478.17</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29,972.83</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178,451.00</w:t>
            </w:r>
          </w:p>
        </w:tc>
      </w:tr>
      <w:tr w:rsidR="00BC2B85" w:rsidRPr="0045172E" w:rsidTr="00BC2B85">
        <w:trPr>
          <w:trHeight w:val="282"/>
        </w:trPr>
        <w:tc>
          <w:tcPr>
            <w:cnfStyle w:val="001000000000"/>
            <w:tcW w:w="2174" w:type="dxa"/>
            <w:vAlign w:val="center"/>
            <w:hideMark/>
          </w:tcPr>
          <w:p w:rsidR="0045172E" w:rsidRPr="00BC2B85" w:rsidRDefault="0045172E"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 CONTRATOS</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124,054.09</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72,795.28</w:t>
            </w: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67,733.48</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264,582.85</w:t>
            </w: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Capacitación</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r>
      <w:tr w:rsidR="00BC2B85" w:rsidRPr="0045172E" w:rsidTr="00BC2B85">
        <w:trPr>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Talleres</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19,870.18</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19,870.18</w:t>
            </w: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 CAPACITACIÓN</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19,870.18</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19,870.18</w:t>
            </w:r>
          </w:p>
        </w:tc>
      </w:tr>
      <w:tr w:rsidR="00847BE2" w:rsidRPr="0045172E" w:rsidTr="0045172E">
        <w:trPr>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Equipamiento</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Equipamiento</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r>
      <w:tr w:rsidR="00BC2B85" w:rsidRPr="0045172E" w:rsidTr="00BC2B85">
        <w:trPr>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Operaciones</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969.00</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4,493.88</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5,462.88</w:t>
            </w: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 EQUIPAMIENTO</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969.00</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4,493.88</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5,462.88</w:t>
            </w:r>
          </w:p>
        </w:tc>
      </w:tr>
      <w:tr w:rsidR="00847BE2" w:rsidRPr="0045172E" w:rsidTr="0045172E">
        <w:trPr>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Misceláneos</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Auditoría</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810.08</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811.38</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492.29</w:t>
            </w: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1,002.72</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3,116.47</w:t>
            </w:r>
          </w:p>
        </w:tc>
      </w:tr>
      <w:tr w:rsidR="00BC2B85" w:rsidRPr="0045172E" w:rsidTr="00BC2B85">
        <w:trPr>
          <w:trHeight w:val="48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Evaluación de capacidades</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525.10</w:t>
            </w: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525.10</w:t>
            </w: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Otros gastos</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334.00</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597.14</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27,203.00</w:t>
            </w: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28,134.14</w:t>
            </w:r>
          </w:p>
        </w:tc>
      </w:tr>
      <w:tr w:rsidR="00BC2B85" w:rsidRPr="0045172E" w:rsidTr="00BC2B85">
        <w:trPr>
          <w:trHeight w:val="282"/>
        </w:trPr>
        <w:tc>
          <w:tcPr>
            <w:cnfStyle w:val="001000000000"/>
            <w:tcW w:w="2174" w:type="dxa"/>
            <w:vAlign w:val="center"/>
            <w:hideMark/>
          </w:tcPr>
          <w:p w:rsidR="0045172E" w:rsidRPr="00BC2B85" w:rsidRDefault="0045172E"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 MISCELÁNEOS</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334.00</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597.14</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810.08</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811.38</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28,220.39</w:t>
            </w: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1,002.72</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31,775.71</w:t>
            </w: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Varios</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r>
      <w:tr w:rsidR="00BC2B85" w:rsidRPr="0045172E" w:rsidTr="00BC2B85">
        <w:trPr>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Pérdida contable</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252.58</w:t>
            </w: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252.58</w:t>
            </w: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color w:val="000000"/>
                <w:sz w:val="18"/>
                <w:szCs w:val="18"/>
              </w:rPr>
            </w:pPr>
            <w:r w:rsidRPr="00BC2B85">
              <w:rPr>
                <w:rFonts w:asciiTheme="minorHAnsi" w:eastAsia="Times New Roman" w:hAnsiTheme="minorHAnsi" w:cstheme="minorHAnsi"/>
                <w:color w:val="000000"/>
                <w:sz w:val="18"/>
                <w:szCs w:val="18"/>
              </w:rPr>
              <w:t>Ganancia contable</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-0.96</w:t>
            </w: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            0.96</w:t>
            </w:r>
          </w:p>
        </w:tc>
      </w:tr>
      <w:tr w:rsidR="00BC2B85" w:rsidRPr="0045172E" w:rsidTr="00BC2B85">
        <w:trPr>
          <w:trHeight w:val="282"/>
        </w:trPr>
        <w:tc>
          <w:tcPr>
            <w:cnfStyle w:val="001000000000"/>
            <w:tcW w:w="2174" w:type="dxa"/>
            <w:vAlign w:val="center"/>
            <w:hideMark/>
          </w:tcPr>
          <w:p w:rsidR="0045172E" w:rsidRPr="00BC2B85" w:rsidRDefault="0045172E" w:rsidP="00BC2B85">
            <w:pPr>
              <w:jc w:val="right"/>
              <w:rPr>
                <w:rFonts w:asciiTheme="minorHAnsi" w:eastAsia="Times New Roman" w:hAnsiTheme="minorHAnsi" w:cstheme="minorHAnsi"/>
                <w:i/>
                <w:iCs/>
                <w:color w:val="000000"/>
                <w:sz w:val="18"/>
                <w:szCs w:val="18"/>
              </w:rPr>
            </w:pPr>
            <w:r w:rsidRPr="00BC2B85">
              <w:rPr>
                <w:rFonts w:asciiTheme="minorHAnsi" w:eastAsia="Times New Roman" w:hAnsiTheme="minorHAnsi" w:cstheme="minorHAnsi"/>
                <w:i/>
                <w:iCs/>
                <w:color w:val="000000"/>
                <w:sz w:val="18"/>
                <w:szCs w:val="18"/>
              </w:rPr>
              <w:t>SUBTOTAL VARIOS</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251.62</w:t>
            </w: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251.62</w:t>
            </w:r>
          </w:p>
        </w:tc>
      </w:tr>
      <w:tr w:rsidR="0045172E" w:rsidRPr="0045172E" w:rsidTr="00BC2B85">
        <w:trPr>
          <w:cnfStyle w:val="000000100000"/>
          <w:trHeight w:val="282"/>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PRESUPUESTO TOTAL</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20,352.00</w:t>
            </w:r>
          </w:p>
        </w:tc>
        <w:tc>
          <w:tcPr>
            <w:tcW w:w="1261"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94,300.31</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149,288.25</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124,865.47</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101,259.53</w:t>
            </w:r>
          </w:p>
        </w:tc>
        <w:tc>
          <w:tcPr>
            <w:tcW w:w="1260"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68,736.20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588"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1273" w:type="dxa"/>
            <w:noWrap/>
            <w:vAlign w:val="center"/>
            <w:hideMark/>
          </w:tcPr>
          <w:p w:rsidR="0045172E" w:rsidRPr="00BC2B85" w:rsidRDefault="0045172E"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558,801.76</w:t>
            </w:r>
          </w:p>
        </w:tc>
      </w:tr>
      <w:tr w:rsidR="00BC2B85" w:rsidRPr="0045172E" w:rsidTr="00BC2B85">
        <w:trPr>
          <w:trHeight w:val="510"/>
        </w:trPr>
        <w:tc>
          <w:tcPr>
            <w:cnfStyle w:val="001000000000"/>
            <w:tcW w:w="2174" w:type="dxa"/>
            <w:vAlign w:val="center"/>
            <w:hideMark/>
          </w:tcPr>
          <w:p w:rsidR="0045172E" w:rsidRPr="00BC2B85" w:rsidRDefault="0045172E" w:rsidP="00BC2B85">
            <w:pPr>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 Respecto al Total del Proyecto</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4%</w:t>
            </w:r>
          </w:p>
        </w:tc>
        <w:tc>
          <w:tcPr>
            <w:tcW w:w="1261"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17%</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27%</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22%</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18%</w:t>
            </w:r>
          </w:p>
        </w:tc>
        <w:tc>
          <w:tcPr>
            <w:tcW w:w="1260"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12%</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588"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1273" w:type="dxa"/>
            <w:shd w:val="clear" w:color="auto" w:fill="auto"/>
            <w:noWrap/>
            <w:vAlign w:val="center"/>
            <w:hideMark/>
          </w:tcPr>
          <w:p w:rsidR="0045172E" w:rsidRPr="00BC2B85" w:rsidRDefault="0045172E" w:rsidP="00BC2B85">
            <w:pPr>
              <w:jc w:val="cente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100%</w:t>
            </w:r>
          </w:p>
        </w:tc>
      </w:tr>
    </w:tbl>
    <w:p w:rsidR="00644468" w:rsidRPr="00B35BE5" w:rsidRDefault="000516D4" w:rsidP="008043CA">
      <w:pPr>
        <w:spacing w:after="20" w:line="240" w:lineRule="auto"/>
        <w:jc w:val="both"/>
        <w:rPr>
          <w:rFonts w:asciiTheme="minorHAnsi" w:eastAsiaTheme="minorHAnsi" w:hAnsiTheme="minorHAnsi" w:cstheme="minorBidi"/>
          <w:sz w:val="20"/>
          <w:lang w:val="es-MX"/>
        </w:rPr>
      </w:pPr>
      <w:r w:rsidRPr="00B35BE5">
        <w:fldChar w:fldCharType="begin"/>
      </w:r>
      <w:r w:rsidR="00644468" w:rsidRPr="00B35BE5">
        <w:instrText xml:space="preserve"> LINK </w:instrText>
      </w:r>
      <w:r w:rsidR="003E1BB1">
        <w:instrText xml:space="preserve">Excel.Sheet.12 "F:\\Zona de Proyectos en Ejecución\\Eval México\\presupuesto_prodoc_cantillana.xlsx" "Presupuestado prodoc!R1C1:R12C17" </w:instrText>
      </w:r>
      <w:r w:rsidR="00644468" w:rsidRPr="00B35BE5">
        <w:instrText xml:space="preserve">\a \f 5 \h  \* MERGEFORMAT </w:instrText>
      </w:r>
      <w:r w:rsidRPr="00B35BE5">
        <w:fldChar w:fldCharType="separate"/>
      </w:r>
    </w:p>
    <w:p w:rsidR="00644468" w:rsidRDefault="000516D4" w:rsidP="008043CA">
      <w:pPr>
        <w:spacing w:after="20" w:line="240" w:lineRule="auto"/>
        <w:jc w:val="both"/>
        <w:rPr>
          <w:sz w:val="24"/>
        </w:rPr>
      </w:pPr>
      <w:r w:rsidRPr="00B35BE5">
        <w:fldChar w:fldCharType="end"/>
      </w:r>
    </w:p>
    <w:p w:rsidR="00644468" w:rsidRDefault="00644468" w:rsidP="00363797">
      <w:pPr>
        <w:jc w:val="both"/>
        <w:rPr>
          <w:sz w:val="24"/>
        </w:rPr>
        <w:sectPr w:rsidR="00644468" w:rsidSect="00B4041F">
          <w:pgSz w:w="15840" w:h="12240" w:orient="landscape" w:code="1"/>
          <w:pgMar w:top="1701" w:right="1417" w:bottom="1701" w:left="1417" w:header="708" w:footer="708" w:gutter="0"/>
          <w:cols w:space="708"/>
          <w:docGrid w:linePitch="360"/>
        </w:sectPr>
      </w:pPr>
    </w:p>
    <w:p w:rsidR="000661A7" w:rsidRDefault="000661A7" w:rsidP="00BC2B85">
      <w:pPr>
        <w:pStyle w:val="ListParagraph"/>
        <w:numPr>
          <w:ilvl w:val="0"/>
          <w:numId w:val="9"/>
        </w:numPr>
        <w:ind w:left="567" w:hanging="567"/>
        <w:jc w:val="both"/>
        <w:rPr>
          <w:sz w:val="24"/>
        </w:rPr>
      </w:pPr>
      <w:r w:rsidRPr="000661A7">
        <w:rPr>
          <w:sz w:val="24"/>
        </w:rPr>
        <w:lastRenderedPageBreak/>
        <w:t xml:space="preserve">De acuerdo a los datos reportados, los consultores elaboraron una categorización de gastos por tipo de servicios, para visualizar los principales ítems de gastos como administración (coordinador y apoyo), estudios y consultorías, resultado que se muestra en el Cuadro N° </w:t>
      </w:r>
      <w:r w:rsidR="00DD1841">
        <w:rPr>
          <w:sz w:val="24"/>
        </w:rPr>
        <w:t>10.</w:t>
      </w:r>
      <w:r w:rsidRPr="000661A7">
        <w:rPr>
          <w:sz w:val="24"/>
        </w:rPr>
        <w:t xml:space="preserve"> Cabe destacar que las cifras son aproximadas, pues la forma de presentación de los datos del ATLAS no permite saber exactamente el tipo de estudio actividad realizada por cada entidad o persona natural.</w:t>
      </w:r>
    </w:p>
    <w:p w:rsidR="000661A7" w:rsidRDefault="000661A7" w:rsidP="00BC2B85">
      <w:pPr>
        <w:pStyle w:val="ListParagraph"/>
        <w:numPr>
          <w:ilvl w:val="0"/>
          <w:numId w:val="9"/>
        </w:numPr>
        <w:ind w:left="567" w:hanging="567"/>
        <w:jc w:val="both"/>
        <w:rPr>
          <w:sz w:val="24"/>
        </w:rPr>
      </w:pPr>
      <w:r w:rsidRPr="00BC2B85">
        <w:rPr>
          <w:sz w:val="24"/>
        </w:rPr>
        <w:t>Dado que el Proyecto se extendió durante 10 años, los gastos de los cuatro últimos ejercicios fueron nulos debido a la falta de actividades. El remanente de fondos a julio de 2011 se estima en US$ 76 mil (11.7% del total de recursos), antes del desembolso para la Evaluación Final.</w:t>
      </w:r>
    </w:p>
    <w:p w:rsidR="00CE1C9F" w:rsidRDefault="000661A7" w:rsidP="00CE1C9F">
      <w:pPr>
        <w:pStyle w:val="ListParagraph"/>
        <w:numPr>
          <w:ilvl w:val="0"/>
          <w:numId w:val="9"/>
        </w:numPr>
        <w:ind w:left="567" w:hanging="567"/>
        <w:jc w:val="both"/>
        <w:rPr>
          <w:sz w:val="24"/>
        </w:rPr>
      </w:pPr>
      <w:r w:rsidRPr="000661A7">
        <w:rPr>
          <w:sz w:val="24"/>
        </w:rPr>
        <w:t xml:space="preserve">La diferencia para el año 2007 entre el Cuadro </w:t>
      </w:r>
      <w:r w:rsidR="00DD1841">
        <w:rPr>
          <w:sz w:val="24"/>
        </w:rPr>
        <w:t>Nº9</w:t>
      </w:r>
      <w:r w:rsidRPr="000661A7">
        <w:rPr>
          <w:sz w:val="24"/>
        </w:rPr>
        <w:t>, elaborado con datos proporcionados por la Unidad GEF-S</w:t>
      </w:r>
      <w:r w:rsidR="0084011A">
        <w:rPr>
          <w:sz w:val="24"/>
        </w:rPr>
        <w:t>EMARNAT</w:t>
      </w:r>
      <w:r w:rsidRPr="000661A7">
        <w:rPr>
          <w:sz w:val="24"/>
        </w:rPr>
        <w:t xml:space="preserve"> y el Cuadro </w:t>
      </w:r>
      <w:r w:rsidR="00CE1C9F">
        <w:rPr>
          <w:sz w:val="24"/>
        </w:rPr>
        <w:t>Nº</w:t>
      </w:r>
      <w:r w:rsidR="00DD1841">
        <w:rPr>
          <w:sz w:val="24"/>
        </w:rPr>
        <w:t>10</w:t>
      </w:r>
      <w:r w:rsidRPr="000661A7">
        <w:rPr>
          <w:sz w:val="24"/>
        </w:rPr>
        <w:t xml:space="preserve">, elaborado con información aportada por la Oficina </w:t>
      </w:r>
      <w:r w:rsidR="0084011A">
        <w:rPr>
          <w:sz w:val="24"/>
        </w:rPr>
        <w:t>R</w:t>
      </w:r>
      <w:r w:rsidRPr="000661A7">
        <w:rPr>
          <w:sz w:val="24"/>
        </w:rPr>
        <w:t>egional del PNUD, se debe al registro de US$ 38 mil destinados al rubro de Construcción e Ingeniería que no aparece en la primera fuente.</w:t>
      </w:r>
      <w:r w:rsidR="00CE1C9F" w:rsidRPr="00CE1C9F">
        <w:rPr>
          <w:sz w:val="24"/>
        </w:rPr>
        <w:t xml:space="preserve"> </w:t>
      </w:r>
    </w:p>
    <w:p w:rsidR="00CE1C9F" w:rsidRPr="00CE1C9F" w:rsidRDefault="00CE1C9F" w:rsidP="00CE1C9F">
      <w:pPr>
        <w:pStyle w:val="ListParagraph"/>
        <w:numPr>
          <w:ilvl w:val="0"/>
          <w:numId w:val="9"/>
        </w:numPr>
        <w:ind w:left="567" w:hanging="567"/>
        <w:jc w:val="both"/>
        <w:rPr>
          <w:sz w:val="24"/>
        </w:rPr>
      </w:pPr>
      <w:r w:rsidRPr="00CE1C9F">
        <w:rPr>
          <w:sz w:val="24"/>
        </w:rPr>
        <w:t>Se puede apreciar que los gastos de coordinación del proyecto serían del orden del 20% del total de los recursos GEF para todo el periodo de ejecución, cifra que en la primera etapa del Proyecto resulta bastante elevada (US$ 114 mil aproximadamente), para después descender aceleradamente en razón de los cambios efectuados en 2003, cuando se decidió que el contrato del Coordinador del Proyecto debía expirar en septiembre de ese año y, estimando que no era necesario contratar a una persona exclusivamente para supervisar los contratos, se propuso que el proyecto fuera coordinado por los responsables de la Unidad del GEF en la SEMARNAT.</w:t>
      </w:r>
    </w:p>
    <w:p w:rsidR="00CE1C9F" w:rsidRPr="00CE1C9F" w:rsidRDefault="00CE1C9F" w:rsidP="00CE1C9F">
      <w:pPr>
        <w:pStyle w:val="ListParagraph"/>
        <w:numPr>
          <w:ilvl w:val="0"/>
          <w:numId w:val="9"/>
        </w:numPr>
        <w:ind w:left="567" w:hanging="567"/>
        <w:jc w:val="both"/>
        <w:rPr>
          <w:sz w:val="24"/>
        </w:rPr>
      </w:pPr>
      <w:r w:rsidRPr="00CE1C9F">
        <w:rPr>
          <w:sz w:val="24"/>
        </w:rPr>
        <w:t xml:space="preserve">Como fue señalado párrafos arriba, los estudios y la contratación de consultores locales siguen en importancia (62%), los fondos fueron utilizados para la formulación de los 11 estudios que han servido como base e insumo para el diseño de políticas públicas ambientales, como </w:t>
      </w:r>
      <w:r w:rsidR="0064050D">
        <w:rPr>
          <w:sz w:val="24"/>
        </w:rPr>
        <w:t>s</w:t>
      </w:r>
      <w:r w:rsidRPr="00CE1C9F">
        <w:rPr>
          <w:sz w:val="24"/>
        </w:rPr>
        <w:t xml:space="preserve">e informa en el apartado de Resultados del Proyecto. </w:t>
      </w:r>
    </w:p>
    <w:p w:rsidR="00CE1C9F" w:rsidRPr="00CE1C9F" w:rsidRDefault="00CE1C9F" w:rsidP="00CE1C9F">
      <w:pPr>
        <w:pStyle w:val="ListParagraph"/>
        <w:numPr>
          <w:ilvl w:val="0"/>
          <w:numId w:val="9"/>
        </w:numPr>
        <w:ind w:left="567" w:hanging="567"/>
        <w:jc w:val="both"/>
        <w:rPr>
          <w:sz w:val="24"/>
        </w:rPr>
      </w:pPr>
      <w:r w:rsidRPr="00CE1C9F">
        <w:rPr>
          <w:sz w:val="24"/>
        </w:rPr>
        <w:t>Para resumir esta sección, se puede afirmar que el equipo de proyecto y la oficina del PNUD-México elaboraron sus presupuestos anuales y además realizaron el ejercicio de ajustar las actividades y productos para satisfacer las demandas que surgían al interior de la S</w:t>
      </w:r>
      <w:r w:rsidR="0084011A">
        <w:rPr>
          <w:sz w:val="24"/>
        </w:rPr>
        <w:t>EMARNAT</w:t>
      </w:r>
      <w:r w:rsidRPr="00CE1C9F">
        <w:rPr>
          <w:sz w:val="24"/>
        </w:rPr>
        <w:t xml:space="preserve"> y los costos reales de los estudios. </w:t>
      </w:r>
    </w:p>
    <w:p w:rsidR="00CE1C9F" w:rsidRPr="00BC2B85" w:rsidRDefault="00CE1C9F" w:rsidP="00BC2B85">
      <w:pPr>
        <w:jc w:val="both"/>
        <w:rPr>
          <w:sz w:val="24"/>
        </w:rPr>
      </w:pPr>
    </w:p>
    <w:p w:rsidR="000661A7" w:rsidRDefault="000661A7" w:rsidP="0005725D">
      <w:pPr>
        <w:spacing w:after="60" w:line="240" w:lineRule="auto"/>
        <w:jc w:val="both"/>
        <w:rPr>
          <w:sz w:val="24"/>
        </w:rPr>
      </w:pPr>
    </w:p>
    <w:p w:rsidR="00CE1C9F" w:rsidRDefault="00CE1C9F" w:rsidP="0005725D">
      <w:pPr>
        <w:spacing w:after="60" w:line="240" w:lineRule="auto"/>
        <w:jc w:val="both"/>
        <w:rPr>
          <w:sz w:val="24"/>
        </w:rPr>
        <w:sectPr w:rsidR="00CE1C9F" w:rsidSect="008F132F">
          <w:pgSz w:w="12240" w:h="15840" w:code="1"/>
          <w:pgMar w:top="1417" w:right="1701" w:bottom="1417" w:left="1701" w:header="708" w:footer="708" w:gutter="0"/>
          <w:cols w:space="708"/>
          <w:docGrid w:linePitch="360"/>
        </w:sectPr>
      </w:pPr>
    </w:p>
    <w:p w:rsidR="000661A7" w:rsidRPr="00BC2B85" w:rsidRDefault="00A16D7D" w:rsidP="0005725D">
      <w:pPr>
        <w:spacing w:after="60" w:line="240" w:lineRule="auto"/>
        <w:jc w:val="both"/>
        <w:rPr>
          <w:i/>
          <w:sz w:val="20"/>
        </w:rPr>
      </w:pPr>
      <w:r w:rsidRPr="00BC2B85">
        <w:rPr>
          <w:i/>
          <w:sz w:val="20"/>
        </w:rPr>
        <w:lastRenderedPageBreak/>
        <w:t>Cuadro Nº</w:t>
      </w:r>
      <w:r w:rsidR="00DD1841">
        <w:rPr>
          <w:i/>
          <w:sz w:val="20"/>
        </w:rPr>
        <w:t>10</w:t>
      </w:r>
      <w:r w:rsidRPr="00BC2B85">
        <w:rPr>
          <w:i/>
          <w:sz w:val="20"/>
        </w:rPr>
        <w:t xml:space="preserve">: Contribuciones del GEF al financiamiento del Proyecto </w:t>
      </w:r>
      <w:r w:rsidR="0067208C">
        <w:rPr>
          <w:i/>
          <w:sz w:val="20"/>
        </w:rPr>
        <w:t>de acuerdo a los PIMS</w:t>
      </w:r>
      <w:r w:rsidR="0084011A">
        <w:rPr>
          <w:i/>
          <w:sz w:val="20"/>
        </w:rPr>
        <w:t xml:space="preserve"> </w:t>
      </w:r>
      <w:proofErr w:type="gramStart"/>
      <w:r w:rsidRPr="00BC2B85">
        <w:rPr>
          <w:i/>
          <w:sz w:val="20"/>
        </w:rPr>
        <w:t>( en</w:t>
      </w:r>
      <w:proofErr w:type="gramEnd"/>
      <w:r w:rsidRPr="00BC2B85">
        <w:rPr>
          <w:i/>
          <w:sz w:val="20"/>
        </w:rPr>
        <w:t xml:space="preserve"> US$)</w:t>
      </w:r>
      <w:r>
        <w:rPr>
          <w:rStyle w:val="FootnoteReference"/>
          <w:i/>
          <w:sz w:val="20"/>
        </w:rPr>
        <w:footnoteReference w:id="6"/>
      </w:r>
    </w:p>
    <w:tbl>
      <w:tblPr>
        <w:tblStyle w:val="MediumShading2-Accent3"/>
        <w:tblW w:w="13220" w:type="dxa"/>
        <w:tblLook w:val="04A0"/>
      </w:tblPr>
      <w:tblGrid>
        <w:gridCol w:w="1180"/>
        <w:gridCol w:w="1400"/>
        <w:gridCol w:w="1500"/>
        <w:gridCol w:w="1160"/>
        <w:gridCol w:w="1160"/>
        <w:gridCol w:w="1160"/>
        <w:gridCol w:w="1160"/>
        <w:gridCol w:w="820"/>
        <w:gridCol w:w="820"/>
        <w:gridCol w:w="820"/>
        <w:gridCol w:w="820"/>
        <w:gridCol w:w="1220"/>
      </w:tblGrid>
      <w:tr w:rsidR="000661A7" w:rsidRPr="000661A7" w:rsidTr="00BC2B85">
        <w:trPr>
          <w:cnfStyle w:val="100000000000"/>
          <w:trHeight w:val="300"/>
        </w:trPr>
        <w:tc>
          <w:tcPr>
            <w:cnfStyle w:val="001000000100"/>
            <w:tcW w:w="1180" w:type="dxa"/>
            <w:vMerge w:val="restart"/>
            <w:noWrap/>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Propuesto</w:t>
            </w:r>
          </w:p>
        </w:tc>
        <w:tc>
          <w:tcPr>
            <w:tcW w:w="1400" w:type="dxa"/>
            <w:vMerge w:val="restart"/>
            <w:noWrap/>
            <w:vAlign w:val="center"/>
            <w:hideMark/>
          </w:tcPr>
          <w:p w:rsidR="000661A7" w:rsidRPr="00BC2B85" w:rsidRDefault="000661A7" w:rsidP="00BC2B85">
            <w:pPr>
              <w:cnfStyle w:val="1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Concepto</w:t>
            </w:r>
          </w:p>
        </w:tc>
        <w:tc>
          <w:tcPr>
            <w:tcW w:w="9420" w:type="dxa"/>
            <w:gridSpan w:val="9"/>
            <w:vAlign w:val="center"/>
            <w:hideMark/>
          </w:tcPr>
          <w:p w:rsidR="000661A7" w:rsidRPr="00BC2B85" w:rsidRDefault="000661A7" w:rsidP="00BC2B85">
            <w:pPr>
              <w:jc w:val="center"/>
              <w:cnfStyle w:val="1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Ejecutado enero-diciembre de cada año</w:t>
            </w:r>
            <w:r w:rsidR="00A16D7D">
              <w:rPr>
                <w:rFonts w:asciiTheme="minorHAnsi" w:eastAsia="Times New Roman" w:hAnsiTheme="minorHAnsi" w:cstheme="minorHAnsi"/>
                <w:color w:val="000000"/>
                <w:sz w:val="18"/>
                <w:szCs w:val="18"/>
              </w:rPr>
              <w:t xml:space="preserve"> (US$)</w:t>
            </w:r>
          </w:p>
        </w:tc>
        <w:tc>
          <w:tcPr>
            <w:tcW w:w="1220" w:type="dxa"/>
            <w:vMerge w:val="restart"/>
            <w:noWrap/>
            <w:vAlign w:val="center"/>
            <w:hideMark/>
          </w:tcPr>
          <w:p w:rsidR="000661A7" w:rsidRPr="00BC2B85" w:rsidRDefault="000661A7" w:rsidP="00BC2B85">
            <w:pPr>
              <w:jc w:val="center"/>
              <w:cnfStyle w:val="100000000000"/>
              <w:rPr>
                <w:rFonts w:asciiTheme="minorHAnsi" w:eastAsia="Times New Roman" w:hAnsiTheme="minorHAnsi" w:cstheme="minorHAnsi"/>
                <w:b w:val="0"/>
                <w:bCs w:val="0"/>
                <w:color w:val="000000"/>
                <w:sz w:val="18"/>
                <w:szCs w:val="18"/>
              </w:rPr>
            </w:pPr>
            <w:r w:rsidRPr="00BC2B85">
              <w:rPr>
                <w:rFonts w:asciiTheme="minorHAnsi" w:eastAsia="Times New Roman" w:hAnsiTheme="minorHAnsi" w:cstheme="minorHAnsi"/>
                <w:color w:val="000000"/>
                <w:sz w:val="18"/>
                <w:szCs w:val="18"/>
              </w:rPr>
              <w:t>TOTAL</w:t>
            </w:r>
          </w:p>
        </w:tc>
      </w:tr>
      <w:tr w:rsidR="000661A7" w:rsidRPr="000661A7" w:rsidTr="00BC2B85">
        <w:trPr>
          <w:cnfStyle w:val="000000100000"/>
          <w:trHeight w:val="300"/>
        </w:trPr>
        <w:tc>
          <w:tcPr>
            <w:cnfStyle w:val="001000000000"/>
            <w:tcW w:w="1180" w:type="dxa"/>
            <w:vMerge/>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vMerge/>
            <w:vAlign w:val="center"/>
            <w:hideMark/>
          </w:tcPr>
          <w:p w:rsidR="000661A7" w:rsidRPr="00BC2B85" w:rsidRDefault="000661A7" w:rsidP="00BC2B85">
            <w:pPr>
              <w:cnfStyle w:val="000000100000"/>
              <w:rPr>
                <w:rFonts w:asciiTheme="minorHAnsi" w:eastAsia="Times New Roman" w:hAnsiTheme="minorHAnsi" w:cstheme="minorHAnsi"/>
                <w:color w:val="000000"/>
                <w:sz w:val="18"/>
                <w:szCs w:val="18"/>
              </w:rPr>
            </w:pPr>
          </w:p>
        </w:tc>
        <w:tc>
          <w:tcPr>
            <w:tcW w:w="150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antes de 2004</w:t>
            </w:r>
          </w:p>
        </w:tc>
        <w:tc>
          <w:tcPr>
            <w:tcW w:w="116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2004</w:t>
            </w:r>
          </w:p>
        </w:tc>
        <w:tc>
          <w:tcPr>
            <w:tcW w:w="116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2005</w:t>
            </w:r>
          </w:p>
        </w:tc>
        <w:tc>
          <w:tcPr>
            <w:tcW w:w="116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2006</w:t>
            </w:r>
          </w:p>
        </w:tc>
        <w:tc>
          <w:tcPr>
            <w:tcW w:w="116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2007</w:t>
            </w:r>
          </w:p>
        </w:tc>
        <w:tc>
          <w:tcPr>
            <w:tcW w:w="82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2008</w:t>
            </w:r>
          </w:p>
        </w:tc>
        <w:tc>
          <w:tcPr>
            <w:tcW w:w="82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2009</w:t>
            </w:r>
          </w:p>
        </w:tc>
        <w:tc>
          <w:tcPr>
            <w:tcW w:w="82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2010</w:t>
            </w:r>
          </w:p>
        </w:tc>
        <w:tc>
          <w:tcPr>
            <w:tcW w:w="82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2011</w:t>
            </w:r>
          </w:p>
        </w:tc>
        <w:tc>
          <w:tcPr>
            <w:tcW w:w="1220" w:type="dxa"/>
            <w:vMerge/>
            <w:vAlign w:val="center"/>
            <w:hideMark/>
          </w:tcPr>
          <w:p w:rsidR="000661A7" w:rsidRPr="00BC2B85" w:rsidRDefault="000661A7" w:rsidP="00BC2B85">
            <w:pPr>
              <w:jc w:val="center"/>
              <w:cnfStyle w:val="000000100000"/>
              <w:rPr>
                <w:rFonts w:asciiTheme="minorHAnsi" w:eastAsia="Times New Roman" w:hAnsiTheme="minorHAnsi" w:cstheme="minorHAnsi"/>
                <w:b/>
                <w:bCs/>
                <w:color w:val="000000"/>
                <w:sz w:val="18"/>
                <w:szCs w:val="18"/>
              </w:rPr>
            </w:pPr>
          </w:p>
        </w:tc>
      </w:tr>
      <w:tr w:rsidR="000661A7" w:rsidRPr="000661A7" w:rsidTr="00BC2B85">
        <w:trPr>
          <w:trHeight w:val="510"/>
        </w:trPr>
        <w:tc>
          <w:tcPr>
            <w:cnfStyle w:val="001000000000"/>
            <w:tcW w:w="1180" w:type="dxa"/>
            <w:noWrap/>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652,800.00</w:t>
            </w:r>
          </w:p>
        </w:tc>
        <w:tc>
          <w:tcPr>
            <w:tcW w:w="1400" w:type="dxa"/>
            <w:vAlign w:val="center"/>
            <w:hideMark/>
          </w:tcPr>
          <w:p w:rsidR="000661A7" w:rsidRPr="00BC2B85" w:rsidRDefault="000661A7"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Talleres y Coordinación</w:t>
            </w:r>
          </w:p>
        </w:tc>
        <w:tc>
          <w:tcPr>
            <w:tcW w:w="1500" w:type="dxa"/>
            <w:noWrap/>
            <w:vAlign w:val="center"/>
            <w:hideMark/>
          </w:tcPr>
          <w:p w:rsidR="000661A7" w:rsidRPr="00BC2B85" w:rsidRDefault="000661A7" w:rsidP="00BC2B85">
            <w:pPr>
              <w:ind w:right="36"/>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114,652.00</w:t>
            </w: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22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114,652.00</w:t>
            </w:r>
          </w:p>
        </w:tc>
      </w:tr>
      <w:tr w:rsidR="000661A7" w:rsidRPr="000661A7" w:rsidTr="00BC2B85">
        <w:trPr>
          <w:cnfStyle w:val="000000100000"/>
          <w:trHeight w:val="510"/>
        </w:trPr>
        <w:tc>
          <w:tcPr>
            <w:cnfStyle w:val="001000000000"/>
            <w:tcW w:w="1180" w:type="dxa"/>
            <w:noWrap/>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vAlign w:val="center"/>
            <w:hideMark/>
          </w:tcPr>
          <w:p w:rsidR="000661A7" w:rsidRPr="00BC2B85" w:rsidRDefault="000661A7"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Consultores locales</w:t>
            </w:r>
          </w:p>
        </w:tc>
        <w:tc>
          <w:tcPr>
            <w:tcW w:w="1500" w:type="dxa"/>
            <w:noWrap/>
            <w:vAlign w:val="center"/>
            <w:hideMark/>
          </w:tcPr>
          <w:p w:rsidR="000661A7" w:rsidRPr="00BC2B85" w:rsidRDefault="000661A7" w:rsidP="00BC2B85">
            <w:pPr>
              <w:jc w:val="right"/>
              <w:cnfStyle w:val="000000100000"/>
              <w:rPr>
                <w:rFonts w:asciiTheme="minorHAnsi" w:eastAsia="Times New Roman" w:hAnsiTheme="minorHAnsi" w:cstheme="minorHAnsi"/>
                <w:b/>
                <w:bCs/>
                <w:color w:val="FF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98,898.62</w:t>
            </w: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220" w:type="dxa"/>
            <w:noWrap/>
            <w:vAlign w:val="center"/>
            <w:hideMark/>
          </w:tcPr>
          <w:p w:rsidR="000661A7" w:rsidRPr="00BC2B85" w:rsidRDefault="000661A7" w:rsidP="00BC2B85">
            <w:pPr>
              <w:jc w:val="right"/>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98,898.62</w:t>
            </w:r>
          </w:p>
        </w:tc>
      </w:tr>
      <w:tr w:rsidR="000661A7" w:rsidRPr="000661A7" w:rsidTr="00BC2B85">
        <w:trPr>
          <w:trHeight w:val="300"/>
        </w:trPr>
        <w:tc>
          <w:tcPr>
            <w:cnfStyle w:val="001000000000"/>
            <w:tcW w:w="1180" w:type="dxa"/>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vAlign w:val="center"/>
            <w:hideMark/>
          </w:tcPr>
          <w:p w:rsidR="000661A7" w:rsidRPr="00BC2B85" w:rsidRDefault="000661A7"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Proyecto</w:t>
            </w:r>
          </w:p>
        </w:tc>
        <w:tc>
          <w:tcPr>
            <w:tcW w:w="150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49,579.55</w:t>
            </w: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sz w:val="18"/>
                <w:szCs w:val="18"/>
              </w:rPr>
            </w:pPr>
            <w:r w:rsidRPr="00BC2B85">
              <w:rPr>
                <w:rFonts w:asciiTheme="minorHAnsi" w:eastAsia="Times New Roman" w:hAnsiTheme="minorHAnsi" w:cstheme="minorHAnsi"/>
                <w:sz w:val="18"/>
                <w:szCs w:val="18"/>
              </w:rPr>
              <w:t>124,054.09</w:t>
            </w: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27,138.39</w:t>
            </w: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55,461.63</w:t>
            </w: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22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256,233.66</w:t>
            </w:r>
          </w:p>
        </w:tc>
      </w:tr>
      <w:tr w:rsidR="000661A7" w:rsidRPr="000661A7" w:rsidTr="00BC2B85">
        <w:trPr>
          <w:cnfStyle w:val="000000100000"/>
          <w:trHeight w:val="510"/>
        </w:trPr>
        <w:tc>
          <w:tcPr>
            <w:cnfStyle w:val="001000000000"/>
            <w:tcW w:w="1180" w:type="dxa"/>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vAlign w:val="center"/>
            <w:hideMark/>
          </w:tcPr>
          <w:p w:rsidR="000661A7" w:rsidRPr="00BC2B85" w:rsidRDefault="000661A7"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Gastos de auditoría</w:t>
            </w:r>
          </w:p>
        </w:tc>
        <w:tc>
          <w:tcPr>
            <w:tcW w:w="150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810.08</w:t>
            </w: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811.38</w:t>
            </w: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492.29</w:t>
            </w: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1,002.72</w:t>
            </w: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220" w:type="dxa"/>
            <w:noWrap/>
            <w:vAlign w:val="center"/>
            <w:hideMark/>
          </w:tcPr>
          <w:p w:rsidR="000661A7" w:rsidRPr="00BC2B85" w:rsidRDefault="000661A7" w:rsidP="00BC2B85">
            <w:pPr>
              <w:jc w:val="right"/>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3,116.47</w:t>
            </w:r>
          </w:p>
        </w:tc>
      </w:tr>
      <w:tr w:rsidR="000661A7" w:rsidRPr="000661A7" w:rsidTr="00BC2B85">
        <w:trPr>
          <w:trHeight w:val="510"/>
        </w:trPr>
        <w:tc>
          <w:tcPr>
            <w:cnfStyle w:val="001000000000"/>
            <w:tcW w:w="1180" w:type="dxa"/>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vAlign w:val="center"/>
            <w:hideMark/>
          </w:tcPr>
          <w:p w:rsidR="000661A7" w:rsidRPr="00BC2B85" w:rsidRDefault="000661A7"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Construcción e Ingeniería</w:t>
            </w:r>
          </w:p>
        </w:tc>
        <w:tc>
          <w:tcPr>
            <w:tcW w:w="150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38,907.40</w:t>
            </w: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29,972.83</w:t>
            </w: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22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68,880.23</w:t>
            </w:r>
          </w:p>
        </w:tc>
      </w:tr>
      <w:tr w:rsidR="000661A7" w:rsidRPr="000661A7" w:rsidTr="00BC2B85">
        <w:trPr>
          <w:cnfStyle w:val="000000100000"/>
          <w:trHeight w:val="765"/>
        </w:trPr>
        <w:tc>
          <w:tcPr>
            <w:cnfStyle w:val="001000000000"/>
            <w:tcW w:w="1180" w:type="dxa"/>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vAlign w:val="center"/>
            <w:hideMark/>
          </w:tcPr>
          <w:p w:rsidR="000661A7" w:rsidRPr="00BC2B85" w:rsidRDefault="000661A7"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Adquisición de equipo de cómputo</w:t>
            </w:r>
          </w:p>
        </w:tc>
        <w:tc>
          <w:tcPr>
            <w:tcW w:w="150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6,338.53</w:t>
            </w: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220" w:type="dxa"/>
            <w:noWrap/>
            <w:vAlign w:val="center"/>
            <w:hideMark/>
          </w:tcPr>
          <w:p w:rsidR="000661A7" w:rsidRPr="00BC2B85" w:rsidRDefault="000661A7" w:rsidP="00BC2B85">
            <w:pPr>
              <w:jc w:val="right"/>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6,338.53</w:t>
            </w:r>
          </w:p>
        </w:tc>
      </w:tr>
      <w:tr w:rsidR="000661A7" w:rsidRPr="000661A7" w:rsidTr="00BC2B85">
        <w:trPr>
          <w:trHeight w:val="510"/>
        </w:trPr>
        <w:tc>
          <w:tcPr>
            <w:cnfStyle w:val="001000000000"/>
            <w:tcW w:w="1180" w:type="dxa"/>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vAlign w:val="center"/>
            <w:hideMark/>
          </w:tcPr>
          <w:p w:rsidR="000661A7" w:rsidRPr="00BC2B85" w:rsidRDefault="000661A7"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Evaluación de capacidad</w:t>
            </w:r>
          </w:p>
        </w:tc>
        <w:tc>
          <w:tcPr>
            <w:tcW w:w="150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525.10</w:t>
            </w: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22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525.10</w:t>
            </w:r>
          </w:p>
        </w:tc>
      </w:tr>
      <w:tr w:rsidR="000661A7" w:rsidRPr="000661A7" w:rsidTr="00BC2B85">
        <w:trPr>
          <w:cnfStyle w:val="000000100000"/>
          <w:trHeight w:val="510"/>
        </w:trPr>
        <w:tc>
          <w:tcPr>
            <w:cnfStyle w:val="001000000000"/>
            <w:tcW w:w="1180" w:type="dxa"/>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vAlign w:val="center"/>
            <w:hideMark/>
          </w:tcPr>
          <w:p w:rsidR="000661A7" w:rsidRPr="00BC2B85" w:rsidRDefault="000661A7"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Gastos diversos</w:t>
            </w:r>
          </w:p>
        </w:tc>
        <w:tc>
          <w:tcPr>
            <w:tcW w:w="1500" w:type="dxa"/>
            <w:noWrap/>
            <w:vAlign w:val="center"/>
            <w:hideMark/>
          </w:tcPr>
          <w:p w:rsidR="000661A7" w:rsidRPr="00BC2B85" w:rsidRDefault="000661A7" w:rsidP="00BC2B85">
            <w:pPr>
              <w:jc w:val="right"/>
              <w:cnfStyle w:val="000000100000"/>
              <w:rPr>
                <w:rFonts w:asciiTheme="minorHAnsi" w:eastAsia="Times New Roman" w:hAnsiTheme="minorHAnsi" w:cstheme="minorHAnsi"/>
                <w:b/>
                <w:bCs/>
                <w:color w:val="FF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b/>
                <w:bCs/>
                <w:color w:val="FF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27,606.20</w:t>
            </w: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220" w:type="dxa"/>
            <w:noWrap/>
            <w:vAlign w:val="center"/>
            <w:hideMark/>
          </w:tcPr>
          <w:p w:rsidR="000661A7" w:rsidRPr="00BC2B85" w:rsidRDefault="000661A7" w:rsidP="00BC2B85">
            <w:pPr>
              <w:jc w:val="right"/>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27,606.20</w:t>
            </w:r>
          </w:p>
        </w:tc>
      </w:tr>
      <w:tr w:rsidR="000661A7" w:rsidRPr="000661A7" w:rsidTr="00BC2B85">
        <w:trPr>
          <w:trHeight w:val="510"/>
        </w:trPr>
        <w:tc>
          <w:tcPr>
            <w:cnfStyle w:val="001000000000"/>
            <w:tcW w:w="1180" w:type="dxa"/>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vAlign w:val="center"/>
            <w:hideMark/>
          </w:tcPr>
          <w:p w:rsidR="000661A7" w:rsidRPr="00BC2B85" w:rsidRDefault="000661A7"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Pérdida contable</w:t>
            </w:r>
          </w:p>
        </w:tc>
        <w:tc>
          <w:tcPr>
            <w:tcW w:w="150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252.58</w:t>
            </w: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color w:val="000000"/>
                <w:sz w:val="18"/>
                <w:szCs w:val="18"/>
              </w:rPr>
            </w:pPr>
          </w:p>
        </w:tc>
        <w:tc>
          <w:tcPr>
            <w:tcW w:w="122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252.58</w:t>
            </w:r>
          </w:p>
        </w:tc>
      </w:tr>
      <w:tr w:rsidR="000661A7" w:rsidRPr="000661A7" w:rsidTr="00BC2B85">
        <w:trPr>
          <w:cnfStyle w:val="000000100000"/>
          <w:trHeight w:val="510"/>
        </w:trPr>
        <w:tc>
          <w:tcPr>
            <w:cnfStyle w:val="001000000000"/>
            <w:tcW w:w="1180" w:type="dxa"/>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vAlign w:val="center"/>
            <w:hideMark/>
          </w:tcPr>
          <w:p w:rsidR="000661A7" w:rsidRPr="00BC2B85" w:rsidRDefault="000661A7"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Ganancia contable</w:t>
            </w:r>
          </w:p>
        </w:tc>
        <w:tc>
          <w:tcPr>
            <w:tcW w:w="150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-0.96</w:t>
            </w:r>
          </w:p>
        </w:tc>
        <w:tc>
          <w:tcPr>
            <w:tcW w:w="116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b/>
                <w:bCs/>
                <w:color w:val="FF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right"/>
              <w:cnfStyle w:val="000000100000"/>
              <w:rPr>
                <w:rFonts w:asciiTheme="minorHAnsi" w:eastAsia="Times New Roman" w:hAnsiTheme="minorHAnsi" w:cstheme="minorHAnsi"/>
                <w:color w:val="000000"/>
                <w:sz w:val="18"/>
                <w:szCs w:val="18"/>
              </w:rPr>
            </w:pPr>
          </w:p>
        </w:tc>
        <w:tc>
          <w:tcPr>
            <w:tcW w:w="1220" w:type="dxa"/>
            <w:noWrap/>
            <w:vAlign w:val="center"/>
            <w:hideMark/>
          </w:tcPr>
          <w:p w:rsidR="000661A7" w:rsidRPr="00BC2B85" w:rsidRDefault="000661A7" w:rsidP="00BC2B85">
            <w:pPr>
              <w:jc w:val="right"/>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-0.96</w:t>
            </w:r>
          </w:p>
        </w:tc>
      </w:tr>
      <w:tr w:rsidR="000661A7" w:rsidRPr="000661A7" w:rsidTr="00BC2B85">
        <w:trPr>
          <w:trHeight w:val="315"/>
        </w:trPr>
        <w:tc>
          <w:tcPr>
            <w:cnfStyle w:val="001000000000"/>
            <w:tcW w:w="1180" w:type="dxa"/>
            <w:noWrap/>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vAlign w:val="center"/>
            <w:hideMark/>
          </w:tcPr>
          <w:p w:rsidR="000661A7" w:rsidRPr="00BC2B85" w:rsidRDefault="000661A7" w:rsidP="00BC2B85">
            <w:pPr>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TOTAL</w:t>
            </w:r>
          </w:p>
        </w:tc>
        <w:tc>
          <w:tcPr>
            <w:tcW w:w="150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114,652.00</w:t>
            </w: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149,288.25</w:t>
            </w: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124,865.47</w:t>
            </w: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101,259.53</w:t>
            </w:r>
          </w:p>
        </w:tc>
        <w:tc>
          <w:tcPr>
            <w:tcW w:w="116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86,437.18</w:t>
            </w: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82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0.00</w:t>
            </w:r>
          </w:p>
        </w:tc>
        <w:tc>
          <w:tcPr>
            <w:tcW w:w="1220" w:type="dxa"/>
            <w:noWrap/>
            <w:vAlign w:val="center"/>
            <w:hideMark/>
          </w:tcPr>
          <w:p w:rsidR="000661A7" w:rsidRPr="00BC2B85" w:rsidRDefault="000661A7" w:rsidP="00BC2B85">
            <w:pPr>
              <w:jc w:val="right"/>
              <w:cnfStyle w:val="0000000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576,502.43</w:t>
            </w:r>
          </w:p>
        </w:tc>
      </w:tr>
      <w:tr w:rsidR="000661A7" w:rsidRPr="000661A7" w:rsidTr="00BC2B85">
        <w:trPr>
          <w:cnfStyle w:val="000000100000"/>
          <w:trHeight w:val="315"/>
        </w:trPr>
        <w:tc>
          <w:tcPr>
            <w:cnfStyle w:val="001000000000"/>
            <w:tcW w:w="1180" w:type="dxa"/>
            <w:noWrap/>
            <w:vAlign w:val="center"/>
            <w:hideMark/>
          </w:tcPr>
          <w:p w:rsidR="000661A7" w:rsidRPr="00BC2B85" w:rsidRDefault="000661A7" w:rsidP="00BC2B85">
            <w:pPr>
              <w:jc w:val="center"/>
              <w:rPr>
                <w:rFonts w:asciiTheme="minorHAnsi" w:eastAsia="Times New Roman" w:hAnsiTheme="minorHAnsi" w:cstheme="minorHAnsi"/>
                <w:color w:val="000000"/>
                <w:sz w:val="18"/>
                <w:szCs w:val="18"/>
              </w:rPr>
            </w:pPr>
          </w:p>
        </w:tc>
        <w:tc>
          <w:tcPr>
            <w:tcW w:w="1400" w:type="dxa"/>
            <w:noWrap/>
            <w:vAlign w:val="center"/>
            <w:hideMark/>
          </w:tcPr>
          <w:p w:rsidR="000661A7" w:rsidRPr="00BC2B85" w:rsidRDefault="000661A7" w:rsidP="00BC2B85">
            <w:pP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Remanente</w:t>
            </w:r>
          </w:p>
        </w:tc>
        <w:tc>
          <w:tcPr>
            <w:tcW w:w="1500" w:type="dxa"/>
            <w:vAlign w:val="center"/>
            <w:hideMark/>
          </w:tcPr>
          <w:p w:rsidR="000661A7" w:rsidRPr="00BC2B85" w:rsidRDefault="000661A7" w:rsidP="00BC2B85">
            <w:pPr>
              <w:jc w:val="center"/>
              <w:cnfStyle w:val="000000100000"/>
              <w:rPr>
                <w:rFonts w:asciiTheme="minorHAnsi" w:eastAsia="Times New Roman" w:hAnsiTheme="minorHAnsi" w:cstheme="minorHAnsi"/>
                <w:b/>
                <w:bCs/>
                <w:color w:val="000000"/>
                <w:sz w:val="18"/>
                <w:szCs w:val="18"/>
              </w:rPr>
            </w:pPr>
            <w:r w:rsidRPr="00BC2B85">
              <w:rPr>
                <w:rFonts w:asciiTheme="minorHAnsi" w:eastAsia="Times New Roman" w:hAnsiTheme="minorHAnsi" w:cstheme="minorHAnsi"/>
                <w:b/>
                <w:bCs/>
                <w:color w:val="000000"/>
                <w:sz w:val="18"/>
                <w:szCs w:val="18"/>
              </w:rPr>
              <w:t>76,297.57</w:t>
            </w:r>
          </w:p>
        </w:tc>
        <w:tc>
          <w:tcPr>
            <w:tcW w:w="116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p>
        </w:tc>
        <w:tc>
          <w:tcPr>
            <w:tcW w:w="116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p>
        </w:tc>
        <w:tc>
          <w:tcPr>
            <w:tcW w:w="82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p>
        </w:tc>
        <w:tc>
          <w:tcPr>
            <w:tcW w:w="1220" w:type="dxa"/>
            <w:noWrap/>
            <w:vAlign w:val="center"/>
            <w:hideMark/>
          </w:tcPr>
          <w:p w:rsidR="000661A7" w:rsidRPr="00BC2B85" w:rsidRDefault="000661A7" w:rsidP="00BC2B85">
            <w:pPr>
              <w:jc w:val="center"/>
              <w:cnfStyle w:val="000000100000"/>
              <w:rPr>
                <w:rFonts w:asciiTheme="minorHAnsi" w:eastAsia="Times New Roman" w:hAnsiTheme="minorHAnsi" w:cstheme="minorHAnsi"/>
                <w:color w:val="000000"/>
                <w:sz w:val="18"/>
                <w:szCs w:val="18"/>
              </w:rPr>
            </w:pPr>
          </w:p>
        </w:tc>
      </w:tr>
    </w:tbl>
    <w:p w:rsidR="000661A7" w:rsidRDefault="000661A7" w:rsidP="0005725D">
      <w:pPr>
        <w:spacing w:after="60" w:line="240" w:lineRule="auto"/>
        <w:jc w:val="both"/>
        <w:rPr>
          <w:sz w:val="24"/>
        </w:rPr>
      </w:pPr>
    </w:p>
    <w:p w:rsidR="000661A7" w:rsidRDefault="000661A7" w:rsidP="0005725D">
      <w:pPr>
        <w:spacing w:after="60" w:line="240" w:lineRule="auto"/>
        <w:jc w:val="both"/>
        <w:rPr>
          <w:sz w:val="24"/>
        </w:rPr>
      </w:pPr>
    </w:p>
    <w:p w:rsidR="000661A7" w:rsidRDefault="000661A7" w:rsidP="0005725D">
      <w:pPr>
        <w:spacing w:after="60" w:line="240" w:lineRule="auto"/>
        <w:jc w:val="both"/>
        <w:rPr>
          <w:sz w:val="24"/>
        </w:rPr>
        <w:sectPr w:rsidR="000661A7" w:rsidSect="00BC2B85">
          <w:pgSz w:w="15840" w:h="12240" w:orient="landscape" w:code="1"/>
          <w:pgMar w:top="1701" w:right="1417" w:bottom="1701" w:left="1417" w:header="708" w:footer="708" w:gutter="0"/>
          <w:cols w:space="708"/>
          <w:docGrid w:linePitch="360"/>
        </w:sectPr>
      </w:pPr>
    </w:p>
    <w:p w:rsidR="0005725D" w:rsidRPr="0005725D" w:rsidRDefault="0005725D" w:rsidP="0005725D">
      <w:pPr>
        <w:spacing w:after="60" w:line="240" w:lineRule="auto"/>
        <w:jc w:val="both"/>
        <w:rPr>
          <w:sz w:val="20"/>
        </w:rPr>
      </w:pPr>
    </w:p>
    <w:p w:rsidR="00722316" w:rsidRPr="009F0BA4" w:rsidRDefault="00722316" w:rsidP="00722316">
      <w:pPr>
        <w:shd w:val="clear" w:color="auto" w:fill="C4BC96" w:themeFill="background2" w:themeFillShade="BF"/>
        <w:tabs>
          <w:tab w:val="left" w:pos="567"/>
        </w:tabs>
        <w:jc w:val="both"/>
        <w:rPr>
          <w:sz w:val="24"/>
        </w:rPr>
      </w:pPr>
      <w:r>
        <w:rPr>
          <w:sz w:val="24"/>
        </w:rPr>
        <w:t>Contrapartida</w:t>
      </w:r>
    </w:p>
    <w:p w:rsidR="00EE2BE1" w:rsidRPr="00EE2BE1" w:rsidRDefault="00EE2BE1" w:rsidP="00BC2B85">
      <w:pPr>
        <w:pStyle w:val="ListParagraph"/>
        <w:numPr>
          <w:ilvl w:val="0"/>
          <w:numId w:val="9"/>
        </w:numPr>
        <w:spacing w:after="60"/>
        <w:ind w:left="567" w:hanging="567"/>
        <w:contextualSpacing w:val="0"/>
        <w:jc w:val="both"/>
        <w:rPr>
          <w:sz w:val="24"/>
        </w:rPr>
      </w:pPr>
      <w:r w:rsidRPr="00EE2BE1">
        <w:rPr>
          <w:sz w:val="24"/>
        </w:rPr>
        <w:t xml:space="preserve">De acuerdo al </w:t>
      </w:r>
      <w:proofErr w:type="spellStart"/>
      <w:r w:rsidRPr="00EE2BE1">
        <w:rPr>
          <w:sz w:val="24"/>
        </w:rPr>
        <w:t>Prodoc</w:t>
      </w:r>
      <w:proofErr w:type="spellEnd"/>
      <w:r w:rsidRPr="00EE2BE1">
        <w:rPr>
          <w:sz w:val="24"/>
        </w:rPr>
        <w:t>, el cofinanciamiento del Gobierno de México debía ascender a  US$ 640,000 (49.5% del total del Proyecto).</w:t>
      </w:r>
    </w:p>
    <w:p w:rsidR="00EE2BE1" w:rsidRPr="00EE2BE1" w:rsidRDefault="00EE2BE1" w:rsidP="00BC2B85">
      <w:pPr>
        <w:pStyle w:val="ListParagraph"/>
        <w:numPr>
          <w:ilvl w:val="0"/>
          <w:numId w:val="9"/>
        </w:numPr>
        <w:spacing w:after="60"/>
        <w:ind w:left="567" w:hanging="567"/>
        <w:contextualSpacing w:val="0"/>
        <w:jc w:val="both"/>
        <w:rPr>
          <w:sz w:val="24"/>
        </w:rPr>
      </w:pPr>
      <w:r w:rsidRPr="00EE2BE1">
        <w:rPr>
          <w:sz w:val="24"/>
        </w:rPr>
        <w:t>La S</w:t>
      </w:r>
      <w:r w:rsidR="0084011A">
        <w:rPr>
          <w:sz w:val="24"/>
        </w:rPr>
        <w:t>EMARNAT</w:t>
      </w:r>
      <w:r w:rsidRPr="00EE2BE1">
        <w:rPr>
          <w:sz w:val="24"/>
        </w:rPr>
        <w:t xml:space="preserve"> fue la </w:t>
      </w:r>
      <w:proofErr w:type="spellStart"/>
      <w:r w:rsidRPr="00EE2BE1">
        <w:rPr>
          <w:sz w:val="24"/>
        </w:rPr>
        <w:t>cofinanciadora</w:t>
      </w:r>
      <w:proofErr w:type="spellEnd"/>
      <w:r w:rsidRPr="00EE2BE1">
        <w:rPr>
          <w:sz w:val="24"/>
        </w:rPr>
        <w:t xml:space="preserve"> del proyecto. A 20</w:t>
      </w:r>
      <w:r w:rsidR="0064050D">
        <w:rPr>
          <w:sz w:val="24"/>
        </w:rPr>
        <w:t>1</w:t>
      </w:r>
      <w:r w:rsidRPr="00EE2BE1">
        <w:rPr>
          <w:sz w:val="24"/>
        </w:rPr>
        <w:t>1 los desembolsos totales por concepto de cofinanciamiento (Cuadro N°</w:t>
      </w:r>
      <w:r w:rsidR="008274DC">
        <w:rPr>
          <w:sz w:val="24"/>
        </w:rPr>
        <w:t>11</w:t>
      </w:r>
      <w:r w:rsidRPr="00EE2BE1">
        <w:rPr>
          <w:sz w:val="24"/>
        </w:rPr>
        <w:t>) ascendieron a 97% de lo comprometido (US$ 620,000) lo que expresa un desempeño satisfactorio, derivado particularmente de la instrumentación de la segunda etapa del Proyecto, pero empañado por el pobre desempeño financiero del último periodo donde los desembolsos fueron prácticamente nulos (2008-2011).</w:t>
      </w:r>
    </w:p>
    <w:p w:rsidR="00EE2BE1" w:rsidRDefault="00EE2BE1" w:rsidP="00BC2B85">
      <w:pPr>
        <w:pStyle w:val="ListParagraph"/>
        <w:numPr>
          <w:ilvl w:val="0"/>
          <w:numId w:val="9"/>
        </w:numPr>
        <w:spacing w:after="60"/>
        <w:ind w:left="567" w:hanging="567"/>
        <w:contextualSpacing w:val="0"/>
        <w:jc w:val="both"/>
        <w:rPr>
          <w:sz w:val="24"/>
        </w:rPr>
      </w:pPr>
      <w:r w:rsidRPr="00EE2BE1">
        <w:rPr>
          <w:sz w:val="24"/>
        </w:rPr>
        <w:t>Los aportes consistieron principalmente en especie, valorados como horas profesionales y uso de infraestructura propia de la institución. De acuerdo a lo reportado por el Proyecto, no ha sido posible realizar una estimación exacta de los aportes en especie.</w:t>
      </w:r>
    </w:p>
    <w:p w:rsidR="00EE2BE1" w:rsidRDefault="00EE2BE1" w:rsidP="00BC2B85">
      <w:pPr>
        <w:pStyle w:val="ListParagraph"/>
        <w:numPr>
          <w:ilvl w:val="0"/>
          <w:numId w:val="9"/>
        </w:numPr>
        <w:spacing w:after="60"/>
        <w:ind w:left="567" w:hanging="567"/>
        <w:contextualSpacing w:val="0"/>
        <w:jc w:val="both"/>
        <w:rPr>
          <w:sz w:val="24"/>
        </w:rPr>
      </w:pPr>
      <w:r w:rsidRPr="00EE2BE1">
        <w:rPr>
          <w:sz w:val="24"/>
        </w:rPr>
        <w:t>En conclusión, el total de la contrapartida considerando aportaciones en especie y efectivo, correspondería al 97% de lo comprometido por el Gobierno de México en el documento del Proyecto.</w:t>
      </w:r>
    </w:p>
    <w:p w:rsidR="00EE2BE1" w:rsidRDefault="00EE2BE1" w:rsidP="00BC2B85">
      <w:pPr>
        <w:pStyle w:val="ListParagraph"/>
        <w:numPr>
          <w:ilvl w:val="0"/>
          <w:numId w:val="9"/>
        </w:numPr>
        <w:spacing w:after="60"/>
        <w:ind w:left="567" w:hanging="567"/>
        <w:contextualSpacing w:val="0"/>
        <w:jc w:val="both"/>
        <w:rPr>
          <w:sz w:val="24"/>
        </w:rPr>
        <w:sectPr w:rsidR="00EE2BE1" w:rsidSect="008F132F">
          <w:pgSz w:w="12240" w:h="15840" w:code="1"/>
          <w:pgMar w:top="1417" w:right="1701" w:bottom="1417" w:left="1701" w:header="708" w:footer="708" w:gutter="0"/>
          <w:cols w:space="708"/>
          <w:docGrid w:linePitch="360"/>
        </w:sectPr>
      </w:pPr>
    </w:p>
    <w:p w:rsidR="00EE2BE1" w:rsidRPr="00BC2B85" w:rsidRDefault="00EE2BE1" w:rsidP="00EE2BE1">
      <w:pPr>
        <w:spacing w:after="0"/>
        <w:jc w:val="both"/>
        <w:rPr>
          <w:i/>
          <w:sz w:val="20"/>
        </w:rPr>
      </w:pPr>
      <w:r w:rsidRPr="00BC2B85">
        <w:rPr>
          <w:i/>
          <w:sz w:val="20"/>
        </w:rPr>
        <w:lastRenderedPageBreak/>
        <w:t xml:space="preserve">Cuadro </w:t>
      </w:r>
      <w:r w:rsidR="005727D4">
        <w:rPr>
          <w:i/>
          <w:sz w:val="20"/>
        </w:rPr>
        <w:t>N</w:t>
      </w:r>
      <w:r w:rsidRPr="00BC2B85">
        <w:rPr>
          <w:i/>
          <w:sz w:val="20"/>
        </w:rPr>
        <w:t>º</w:t>
      </w:r>
      <w:r w:rsidR="008274DC">
        <w:rPr>
          <w:i/>
          <w:sz w:val="20"/>
        </w:rPr>
        <w:t>11</w:t>
      </w:r>
      <w:r w:rsidRPr="00BC2B85">
        <w:rPr>
          <w:i/>
          <w:sz w:val="20"/>
        </w:rPr>
        <w:t>:</w:t>
      </w:r>
      <w:r w:rsidR="005727D4">
        <w:rPr>
          <w:i/>
          <w:sz w:val="20"/>
        </w:rPr>
        <w:t xml:space="preserve"> A</w:t>
      </w:r>
      <w:r w:rsidR="00A22440" w:rsidRPr="00BC2B85">
        <w:rPr>
          <w:i/>
          <w:sz w:val="20"/>
        </w:rPr>
        <w:t xml:space="preserve">portes de Cofinanciamiento realizados por el Gobierno de México para el </w:t>
      </w:r>
      <w:r w:rsidR="005727D4" w:rsidRPr="00BC2B85">
        <w:rPr>
          <w:i/>
          <w:sz w:val="20"/>
        </w:rPr>
        <w:t>período 2002-2011</w:t>
      </w:r>
      <w:r w:rsidR="00F54701">
        <w:rPr>
          <w:i/>
          <w:sz w:val="20"/>
        </w:rPr>
        <w:t xml:space="preserve"> (en US</w:t>
      </w:r>
      <w:proofErr w:type="gramStart"/>
      <w:r w:rsidR="00F54701">
        <w:rPr>
          <w:i/>
          <w:sz w:val="20"/>
        </w:rPr>
        <w:t xml:space="preserve">$ </w:t>
      </w:r>
      <w:r w:rsidR="00F54C3C">
        <w:rPr>
          <w:i/>
          <w:sz w:val="20"/>
        </w:rPr>
        <w:t>)</w:t>
      </w:r>
      <w:proofErr w:type="gramEnd"/>
      <w:r w:rsidR="005727D4">
        <w:rPr>
          <w:rStyle w:val="FootnoteReference"/>
          <w:i/>
          <w:sz w:val="20"/>
        </w:rPr>
        <w:footnoteReference w:id="7"/>
      </w:r>
      <w:r w:rsidR="005727D4" w:rsidRPr="00BC2B85">
        <w:rPr>
          <w:i/>
          <w:sz w:val="20"/>
        </w:rPr>
        <w:t>.</w:t>
      </w:r>
    </w:p>
    <w:tbl>
      <w:tblPr>
        <w:tblStyle w:val="MediumShading2-Accent3"/>
        <w:tblW w:w="13860" w:type="dxa"/>
        <w:tblLook w:val="04A0"/>
      </w:tblPr>
      <w:tblGrid>
        <w:gridCol w:w="1074"/>
        <w:gridCol w:w="1100"/>
        <w:gridCol w:w="2086"/>
        <w:gridCol w:w="1120"/>
        <w:gridCol w:w="1120"/>
        <w:gridCol w:w="1120"/>
        <w:gridCol w:w="1120"/>
        <w:gridCol w:w="1120"/>
        <w:gridCol w:w="1120"/>
        <w:gridCol w:w="1120"/>
        <w:gridCol w:w="880"/>
        <w:gridCol w:w="880"/>
      </w:tblGrid>
      <w:tr w:rsidR="00EE2BE1" w:rsidRPr="00EE2BE1" w:rsidTr="00BC2B85">
        <w:trPr>
          <w:cnfStyle w:val="100000000000"/>
          <w:trHeight w:val="300"/>
        </w:trPr>
        <w:tc>
          <w:tcPr>
            <w:cnfStyle w:val="001000000100"/>
            <w:tcW w:w="2168" w:type="dxa"/>
            <w:gridSpan w:val="2"/>
            <w:vMerge w:val="restart"/>
            <w:noWrap/>
            <w:vAlign w:val="center"/>
            <w:hideMark/>
          </w:tcPr>
          <w:p w:rsidR="00EE2BE1" w:rsidRPr="00BC2B85" w:rsidRDefault="00EE2BE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Propuesto</w:t>
            </w:r>
          </w:p>
        </w:tc>
        <w:tc>
          <w:tcPr>
            <w:tcW w:w="11692" w:type="dxa"/>
            <w:gridSpan w:val="10"/>
            <w:vAlign w:val="center"/>
            <w:hideMark/>
          </w:tcPr>
          <w:p w:rsidR="00EE2BE1" w:rsidRPr="00BC2B85" w:rsidRDefault="00EE2BE1" w:rsidP="00BC2B85">
            <w:pPr>
              <w:jc w:val="center"/>
              <w:cnfStyle w:val="1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Ejecutado</w:t>
            </w:r>
          </w:p>
        </w:tc>
      </w:tr>
      <w:tr w:rsidR="00EE2BE1" w:rsidRPr="00EE2BE1" w:rsidTr="00BC2B85">
        <w:trPr>
          <w:cnfStyle w:val="000000100000"/>
          <w:trHeight w:val="300"/>
        </w:trPr>
        <w:tc>
          <w:tcPr>
            <w:cnfStyle w:val="001000000000"/>
            <w:tcW w:w="2168" w:type="dxa"/>
            <w:gridSpan w:val="2"/>
            <w:vMerge/>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2092" w:type="dxa"/>
            <w:vMerge w:val="restart"/>
            <w:hideMark/>
          </w:tcPr>
          <w:p w:rsidR="00EE2BE1" w:rsidRPr="00BC2B85" w:rsidRDefault="00EE2BE1" w:rsidP="00BC2B85">
            <w:pPr>
              <w:spacing w:before="30"/>
              <w:jc w:val="center"/>
              <w:cnfStyle w:val="000000100000"/>
              <w:rPr>
                <w:rFonts w:asciiTheme="minorHAnsi" w:eastAsia="Times New Roman" w:hAnsiTheme="minorHAnsi" w:cstheme="minorHAnsi"/>
                <w:b/>
                <w:color w:val="000000"/>
                <w:sz w:val="18"/>
                <w:szCs w:val="18"/>
              </w:rPr>
            </w:pPr>
            <w:r w:rsidRPr="00BC2B85">
              <w:rPr>
                <w:rFonts w:asciiTheme="minorHAnsi" w:eastAsia="Times New Roman" w:hAnsiTheme="minorHAnsi" w:cstheme="minorHAnsi"/>
                <w:b/>
                <w:color w:val="000000"/>
                <w:sz w:val="18"/>
                <w:szCs w:val="18"/>
              </w:rPr>
              <w:t>Fecha de reporte</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b/>
                <w:color w:val="000000"/>
                <w:sz w:val="18"/>
                <w:szCs w:val="18"/>
              </w:rPr>
            </w:pPr>
            <w:r w:rsidRPr="00BC2B85">
              <w:rPr>
                <w:rFonts w:asciiTheme="minorHAnsi" w:eastAsia="Times New Roman" w:hAnsiTheme="minorHAnsi" w:cstheme="minorHAnsi"/>
                <w:b/>
                <w:color w:val="000000"/>
                <w:sz w:val="18"/>
                <w:szCs w:val="18"/>
              </w:rPr>
              <w:t>2004</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b/>
                <w:color w:val="000000"/>
                <w:sz w:val="18"/>
                <w:szCs w:val="18"/>
              </w:rPr>
            </w:pPr>
            <w:r w:rsidRPr="00BC2B85">
              <w:rPr>
                <w:rFonts w:asciiTheme="minorHAnsi" w:eastAsia="Times New Roman" w:hAnsiTheme="minorHAnsi" w:cstheme="minorHAnsi"/>
                <w:b/>
                <w:color w:val="000000"/>
                <w:sz w:val="18"/>
                <w:szCs w:val="18"/>
              </w:rPr>
              <w:t>2005</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b/>
                <w:color w:val="000000"/>
                <w:sz w:val="18"/>
                <w:szCs w:val="18"/>
              </w:rPr>
            </w:pPr>
            <w:r w:rsidRPr="00BC2B85">
              <w:rPr>
                <w:rFonts w:asciiTheme="minorHAnsi" w:eastAsia="Times New Roman" w:hAnsiTheme="minorHAnsi" w:cstheme="minorHAnsi"/>
                <w:b/>
                <w:color w:val="000000"/>
                <w:sz w:val="18"/>
                <w:szCs w:val="18"/>
              </w:rPr>
              <w:t>2006</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b/>
                <w:color w:val="000000"/>
                <w:sz w:val="18"/>
                <w:szCs w:val="18"/>
              </w:rPr>
            </w:pPr>
            <w:r w:rsidRPr="00BC2B85">
              <w:rPr>
                <w:rFonts w:asciiTheme="minorHAnsi" w:eastAsia="Times New Roman" w:hAnsiTheme="minorHAnsi" w:cstheme="minorHAnsi"/>
                <w:b/>
                <w:color w:val="000000"/>
                <w:sz w:val="18"/>
                <w:szCs w:val="18"/>
              </w:rPr>
              <w:t>2007</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b/>
                <w:color w:val="000000"/>
                <w:sz w:val="18"/>
                <w:szCs w:val="18"/>
              </w:rPr>
            </w:pPr>
            <w:r w:rsidRPr="00BC2B85">
              <w:rPr>
                <w:rFonts w:asciiTheme="minorHAnsi" w:eastAsia="Times New Roman" w:hAnsiTheme="minorHAnsi" w:cstheme="minorHAnsi"/>
                <w:b/>
                <w:color w:val="000000"/>
                <w:sz w:val="18"/>
                <w:szCs w:val="18"/>
              </w:rPr>
              <w:t>2008</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b/>
                <w:color w:val="000000"/>
                <w:sz w:val="18"/>
                <w:szCs w:val="18"/>
              </w:rPr>
            </w:pPr>
            <w:r w:rsidRPr="00BC2B85">
              <w:rPr>
                <w:rFonts w:asciiTheme="minorHAnsi" w:eastAsia="Times New Roman" w:hAnsiTheme="minorHAnsi" w:cstheme="minorHAnsi"/>
                <w:b/>
                <w:color w:val="000000"/>
                <w:sz w:val="18"/>
                <w:szCs w:val="18"/>
              </w:rPr>
              <w:t>2009</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b/>
                <w:color w:val="000000"/>
                <w:sz w:val="18"/>
                <w:szCs w:val="18"/>
              </w:rPr>
            </w:pPr>
            <w:r w:rsidRPr="00BC2B85">
              <w:rPr>
                <w:rFonts w:asciiTheme="minorHAnsi" w:eastAsia="Times New Roman" w:hAnsiTheme="minorHAnsi" w:cstheme="minorHAnsi"/>
                <w:b/>
                <w:color w:val="000000"/>
                <w:sz w:val="18"/>
                <w:szCs w:val="18"/>
              </w:rPr>
              <w:t>2010</w:t>
            </w:r>
          </w:p>
        </w:tc>
        <w:tc>
          <w:tcPr>
            <w:tcW w:w="1760" w:type="dxa"/>
            <w:gridSpan w:val="2"/>
            <w:vMerge w:val="restart"/>
            <w:noWrap/>
            <w:hideMark/>
          </w:tcPr>
          <w:p w:rsidR="00EE2BE1" w:rsidRPr="00BC2B85" w:rsidRDefault="00EE2BE1" w:rsidP="00BC2B85">
            <w:pPr>
              <w:spacing w:before="30"/>
              <w:jc w:val="center"/>
              <w:cnfStyle w:val="000000100000"/>
              <w:rPr>
                <w:rFonts w:asciiTheme="minorHAnsi" w:eastAsia="Times New Roman" w:hAnsiTheme="minorHAnsi" w:cstheme="minorHAnsi"/>
                <w:b/>
                <w:color w:val="000000"/>
                <w:sz w:val="18"/>
                <w:szCs w:val="18"/>
              </w:rPr>
            </w:pPr>
            <w:r w:rsidRPr="00BC2B85">
              <w:rPr>
                <w:rFonts w:asciiTheme="minorHAnsi" w:eastAsia="Times New Roman" w:hAnsiTheme="minorHAnsi" w:cstheme="minorHAnsi"/>
                <w:b/>
                <w:color w:val="000000"/>
                <w:sz w:val="18"/>
                <w:szCs w:val="18"/>
              </w:rPr>
              <w:t>TOTALES</w:t>
            </w:r>
          </w:p>
        </w:tc>
      </w:tr>
      <w:tr w:rsidR="00EE2BE1" w:rsidRPr="00EE2BE1" w:rsidTr="00BC2B85">
        <w:trPr>
          <w:trHeight w:val="300"/>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GEF</w:t>
            </w:r>
          </w:p>
        </w:tc>
        <w:tc>
          <w:tcPr>
            <w:tcW w:w="1100" w:type="dxa"/>
            <w:noWrap/>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0.652</w:t>
            </w:r>
          </w:p>
        </w:tc>
        <w:tc>
          <w:tcPr>
            <w:tcW w:w="2092" w:type="dxa"/>
            <w:vMerge/>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15 de julio</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21 de julio</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 de junio</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 de junio</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 de junio</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roofErr w:type="spellStart"/>
            <w:r w:rsidRPr="00BC2B85">
              <w:rPr>
                <w:rFonts w:asciiTheme="minorHAnsi" w:eastAsia="Times New Roman" w:hAnsiTheme="minorHAnsi" w:cstheme="minorHAnsi"/>
                <w:color w:val="000000"/>
                <w:sz w:val="18"/>
                <w:szCs w:val="18"/>
              </w:rPr>
              <w:t>n.d.</w:t>
            </w:r>
            <w:proofErr w:type="spellEnd"/>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30 de junio</w:t>
            </w:r>
          </w:p>
        </w:tc>
        <w:tc>
          <w:tcPr>
            <w:tcW w:w="1760" w:type="dxa"/>
            <w:gridSpan w:val="2"/>
            <w:vMerge/>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r>
      <w:tr w:rsidR="00EE2BE1" w:rsidRPr="00EE2BE1" w:rsidTr="00BC2B85">
        <w:trPr>
          <w:cnfStyle w:val="000000100000"/>
          <w:trHeight w:val="300"/>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SEMARNAT</w:t>
            </w:r>
          </w:p>
        </w:tc>
        <w:tc>
          <w:tcPr>
            <w:tcW w:w="1100" w:type="dxa"/>
            <w:noWrap/>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0.640</w:t>
            </w:r>
          </w:p>
        </w:tc>
        <w:tc>
          <w:tcPr>
            <w:tcW w:w="2092" w:type="dxa"/>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GEF (desembolso neto)</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b/>
                <w:bCs/>
                <w:color w:val="FF0000"/>
                <w:sz w:val="18"/>
                <w:szCs w:val="18"/>
              </w:rPr>
            </w:pPr>
            <w:r w:rsidRPr="00BC2B85">
              <w:rPr>
                <w:rFonts w:asciiTheme="minorHAnsi" w:eastAsia="Times New Roman" w:hAnsiTheme="minorHAnsi" w:cstheme="minorHAnsi"/>
                <w:b/>
                <w:bCs/>
                <w:color w:val="FF0000"/>
                <w:sz w:val="18"/>
                <w:szCs w:val="18"/>
              </w:rPr>
              <w:t>0.265</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b/>
                <w:bCs/>
                <w:color w:val="FF0000"/>
                <w:sz w:val="18"/>
                <w:szCs w:val="18"/>
              </w:rPr>
            </w:pPr>
            <w:r w:rsidRPr="00BC2B85">
              <w:rPr>
                <w:rFonts w:asciiTheme="minorHAnsi" w:eastAsia="Times New Roman" w:hAnsiTheme="minorHAnsi" w:cstheme="minorHAnsi"/>
                <w:b/>
                <w:bCs/>
                <w:color w:val="FF0000"/>
                <w:sz w:val="18"/>
                <w:szCs w:val="18"/>
              </w:rPr>
              <w:t>0.306</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0.400</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0.152</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0.024</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roofErr w:type="spellStart"/>
            <w:r w:rsidRPr="00BC2B85">
              <w:rPr>
                <w:rFonts w:asciiTheme="minorHAnsi" w:eastAsia="Times New Roman" w:hAnsiTheme="minorHAnsi" w:cstheme="minorHAnsi"/>
                <w:color w:val="000000"/>
                <w:sz w:val="18"/>
                <w:szCs w:val="18"/>
              </w:rPr>
              <w:t>n.d.</w:t>
            </w:r>
            <w:proofErr w:type="spellEnd"/>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0.02</w:t>
            </w: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0.600</w:t>
            </w:r>
          </w:p>
        </w:tc>
      </w:tr>
      <w:tr w:rsidR="00EE2BE1" w:rsidRPr="00EE2BE1" w:rsidTr="00BC2B85">
        <w:trPr>
          <w:trHeight w:val="510"/>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TOTAL</w:t>
            </w:r>
          </w:p>
        </w:tc>
        <w:tc>
          <w:tcPr>
            <w:tcW w:w="1100" w:type="dxa"/>
            <w:noWrap/>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1.292</w:t>
            </w:r>
          </w:p>
        </w:tc>
        <w:tc>
          <w:tcPr>
            <w:tcW w:w="2092" w:type="dxa"/>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GEF (acumulado)</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0.265</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0.571</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0.400</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0.552</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0.576</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roofErr w:type="spellStart"/>
            <w:r w:rsidRPr="00BC2B85">
              <w:rPr>
                <w:rFonts w:asciiTheme="minorHAnsi" w:eastAsia="Times New Roman" w:hAnsiTheme="minorHAnsi" w:cstheme="minorHAnsi"/>
                <w:color w:val="000000"/>
                <w:sz w:val="18"/>
                <w:szCs w:val="18"/>
              </w:rPr>
              <w:t>n.d.</w:t>
            </w:r>
            <w:proofErr w:type="spellEnd"/>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0.600</w:t>
            </w: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r>
      <w:tr w:rsidR="00EE2BE1" w:rsidRPr="00EE2BE1" w:rsidTr="00BC2B85">
        <w:trPr>
          <w:cnfStyle w:val="000000100000"/>
          <w:trHeight w:val="690"/>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1100" w:type="dxa"/>
            <w:noWrap/>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p>
        </w:tc>
        <w:tc>
          <w:tcPr>
            <w:tcW w:w="2092" w:type="dxa"/>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 respecto al total de la fuente (acumulado)</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40.64%</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87.58%</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61.35%</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84.66%</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88.34%</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roofErr w:type="spellStart"/>
            <w:r w:rsidRPr="00BC2B85">
              <w:rPr>
                <w:rFonts w:asciiTheme="minorHAnsi" w:eastAsia="Times New Roman" w:hAnsiTheme="minorHAnsi" w:cstheme="minorHAnsi"/>
                <w:color w:val="000000"/>
                <w:sz w:val="18"/>
                <w:szCs w:val="18"/>
              </w:rPr>
              <w:t>n.d.</w:t>
            </w:r>
            <w:proofErr w:type="spellEnd"/>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92.02%</w:t>
            </w: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r>
      <w:tr w:rsidR="00EE2BE1" w:rsidRPr="00EE2BE1" w:rsidTr="00BC2B85">
        <w:trPr>
          <w:trHeight w:val="675"/>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1100" w:type="dxa"/>
            <w:noWrap/>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p>
        </w:tc>
        <w:tc>
          <w:tcPr>
            <w:tcW w:w="2092" w:type="dxa"/>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SEMARNAT (desembolso neto)</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0.450</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0.050</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0.080</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0.020</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roofErr w:type="spellStart"/>
            <w:r w:rsidRPr="00BC2B85">
              <w:rPr>
                <w:rFonts w:asciiTheme="minorHAnsi" w:eastAsia="Times New Roman" w:hAnsiTheme="minorHAnsi" w:cstheme="minorHAnsi"/>
                <w:color w:val="000000"/>
                <w:sz w:val="18"/>
                <w:szCs w:val="18"/>
              </w:rPr>
              <w:t>n.d.</w:t>
            </w:r>
            <w:proofErr w:type="spellEnd"/>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0.020</w:t>
            </w: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0.620</w:t>
            </w:r>
          </w:p>
        </w:tc>
      </w:tr>
      <w:tr w:rsidR="00EE2BE1" w:rsidRPr="00EE2BE1" w:rsidTr="00BC2B85">
        <w:trPr>
          <w:cnfStyle w:val="000000100000"/>
          <w:trHeight w:val="510"/>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1100" w:type="dxa"/>
            <w:noWrap/>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p>
        </w:tc>
        <w:tc>
          <w:tcPr>
            <w:tcW w:w="2092" w:type="dxa"/>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SEMARNAT (acumulado)</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0.450</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0.500</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0.580</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0.600</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roofErr w:type="spellStart"/>
            <w:r w:rsidRPr="00BC2B85">
              <w:rPr>
                <w:rFonts w:asciiTheme="minorHAnsi" w:eastAsia="Times New Roman" w:hAnsiTheme="minorHAnsi" w:cstheme="minorHAnsi"/>
                <w:color w:val="000000"/>
                <w:sz w:val="18"/>
                <w:szCs w:val="18"/>
              </w:rPr>
              <w:t>n.d.</w:t>
            </w:r>
            <w:proofErr w:type="spellEnd"/>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0.620</w:t>
            </w: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r>
      <w:tr w:rsidR="00EE2BE1" w:rsidRPr="00EE2BE1" w:rsidTr="00BC2B85">
        <w:trPr>
          <w:trHeight w:val="660"/>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1100" w:type="dxa"/>
            <w:noWrap/>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p>
        </w:tc>
        <w:tc>
          <w:tcPr>
            <w:tcW w:w="2092" w:type="dxa"/>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 respecto al total de la fuente (acumulado)</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0.00%</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70.31%</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78.13%</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90.63%</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93.75%</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roofErr w:type="spellStart"/>
            <w:r w:rsidRPr="00BC2B85">
              <w:rPr>
                <w:rFonts w:asciiTheme="minorHAnsi" w:eastAsia="Times New Roman" w:hAnsiTheme="minorHAnsi" w:cstheme="minorHAnsi"/>
                <w:color w:val="000000"/>
                <w:sz w:val="18"/>
                <w:szCs w:val="18"/>
              </w:rPr>
              <w:t>n.d.</w:t>
            </w:r>
            <w:proofErr w:type="spellEnd"/>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96.88%</w:t>
            </w: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r>
      <w:tr w:rsidR="00EE2BE1" w:rsidRPr="00EE2BE1" w:rsidTr="00BC2B85">
        <w:trPr>
          <w:cnfStyle w:val="000000100000"/>
          <w:trHeight w:val="600"/>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1100" w:type="dxa"/>
            <w:noWrap/>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p>
        </w:tc>
        <w:tc>
          <w:tcPr>
            <w:tcW w:w="2092" w:type="dxa"/>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TOTAL (desembolso neto)</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b/>
                <w:bCs/>
                <w:color w:val="FF0000"/>
                <w:sz w:val="18"/>
                <w:szCs w:val="18"/>
              </w:rPr>
            </w:pPr>
            <w:r w:rsidRPr="00BC2B85">
              <w:rPr>
                <w:rFonts w:asciiTheme="minorHAnsi" w:eastAsia="Times New Roman" w:hAnsiTheme="minorHAnsi" w:cstheme="minorHAnsi"/>
                <w:b/>
                <w:bCs/>
                <w:color w:val="FF0000"/>
                <w:sz w:val="18"/>
                <w:szCs w:val="18"/>
              </w:rPr>
              <w:t>0.265</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b/>
                <w:bCs/>
                <w:color w:val="FF0000"/>
                <w:sz w:val="18"/>
                <w:szCs w:val="18"/>
              </w:rPr>
            </w:pPr>
            <w:r w:rsidRPr="00BC2B85">
              <w:rPr>
                <w:rFonts w:asciiTheme="minorHAnsi" w:eastAsia="Times New Roman" w:hAnsiTheme="minorHAnsi" w:cstheme="minorHAnsi"/>
                <w:b/>
                <w:bCs/>
                <w:color w:val="FF0000"/>
                <w:sz w:val="18"/>
                <w:szCs w:val="18"/>
              </w:rPr>
              <w:t>0.756</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0.450</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0.232</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0.044</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roofErr w:type="spellStart"/>
            <w:r w:rsidRPr="00BC2B85">
              <w:rPr>
                <w:rFonts w:asciiTheme="minorHAnsi" w:eastAsia="Times New Roman" w:hAnsiTheme="minorHAnsi" w:cstheme="minorHAnsi"/>
                <w:color w:val="000000"/>
                <w:sz w:val="18"/>
                <w:szCs w:val="18"/>
              </w:rPr>
              <w:t>n.d.</w:t>
            </w:r>
            <w:proofErr w:type="spellEnd"/>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0.044</w:t>
            </w: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1.791</w:t>
            </w:r>
          </w:p>
        </w:tc>
        <w:tc>
          <w:tcPr>
            <w:tcW w:w="880" w:type="dxa"/>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r>
      <w:tr w:rsidR="00EE2BE1" w:rsidRPr="00EE2BE1" w:rsidTr="00BC2B85">
        <w:trPr>
          <w:trHeight w:val="510"/>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1100" w:type="dxa"/>
            <w:noWrap/>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p>
        </w:tc>
        <w:tc>
          <w:tcPr>
            <w:tcW w:w="2092" w:type="dxa"/>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TOTAL (acumulado)</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1.220</w:t>
            </w:r>
          </w:p>
        </w:tc>
      </w:tr>
      <w:tr w:rsidR="00EE2BE1" w:rsidRPr="00EE2BE1" w:rsidTr="00BC2B85">
        <w:trPr>
          <w:cnfStyle w:val="000000100000"/>
          <w:trHeight w:val="600"/>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1100" w:type="dxa"/>
            <w:noWrap/>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p>
        </w:tc>
        <w:tc>
          <w:tcPr>
            <w:tcW w:w="2092" w:type="dxa"/>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Diferencia entre los totales</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b/>
                <w:bCs/>
                <w:color w:val="FF0000"/>
                <w:sz w:val="18"/>
                <w:szCs w:val="18"/>
              </w:rPr>
            </w:pPr>
            <w:r w:rsidRPr="00BC2B85">
              <w:rPr>
                <w:rFonts w:asciiTheme="minorHAnsi" w:eastAsia="Times New Roman" w:hAnsiTheme="minorHAnsi" w:cstheme="minorHAnsi"/>
                <w:b/>
                <w:bCs/>
                <w:color w:val="FF0000"/>
                <w:sz w:val="18"/>
                <w:szCs w:val="18"/>
              </w:rPr>
              <w:t>-0.571</w:t>
            </w: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r>
      <w:tr w:rsidR="00EE2BE1" w:rsidRPr="00EE2BE1" w:rsidTr="00BC2B85">
        <w:trPr>
          <w:trHeight w:val="675"/>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1100" w:type="dxa"/>
            <w:noWrap/>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p>
        </w:tc>
        <w:tc>
          <w:tcPr>
            <w:tcW w:w="2092" w:type="dxa"/>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Diferencia respecto a lo propuesto</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r>
      <w:tr w:rsidR="00EE2BE1" w:rsidRPr="00EE2BE1" w:rsidTr="00BC2B85">
        <w:trPr>
          <w:cnfStyle w:val="000000100000"/>
          <w:trHeight w:val="345"/>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1100" w:type="dxa"/>
            <w:vMerge w:val="restart"/>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Diferencia</w:t>
            </w:r>
          </w:p>
        </w:tc>
        <w:tc>
          <w:tcPr>
            <w:tcW w:w="2092" w:type="dxa"/>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GEF</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Neto</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0.052</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-7.98%</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r>
      <w:tr w:rsidR="00EE2BE1" w:rsidRPr="00EE2BE1" w:rsidTr="00BC2B85">
        <w:trPr>
          <w:trHeight w:val="345"/>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1100" w:type="dxa"/>
            <w:vMerge/>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p>
        </w:tc>
        <w:tc>
          <w:tcPr>
            <w:tcW w:w="2092" w:type="dxa"/>
            <w:vAlign w:val="center"/>
            <w:hideMark/>
          </w:tcPr>
          <w:p w:rsidR="00EE2BE1" w:rsidRPr="00BC2B85" w:rsidRDefault="00EE2BE1" w:rsidP="00BC2B85">
            <w:pP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SEMARNAT</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Neto</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0.020</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-3.13%</w:t>
            </w: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000000"/>
              <w:rPr>
                <w:rFonts w:asciiTheme="minorHAnsi" w:eastAsia="Times New Roman" w:hAnsiTheme="minorHAnsi" w:cstheme="minorHAnsi"/>
                <w:color w:val="000000"/>
                <w:sz w:val="18"/>
                <w:szCs w:val="18"/>
              </w:rPr>
            </w:pPr>
          </w:p>
        </w:tc>
      </w:tr>
      <w:tr w:rsidR="00EE2BE1" w:rsidRPr="00EE2BE1" w:rsidTr="00BC2B85">
        <w:trPr>
          <w:cnfStyle w:val="000000100000"/>
          <w:trHeight w:val="315"/>
        </w:trPr>
        <w:tc>
          <w:tcPr>
            <w:cnfStyle w:val="001000000000"/>
            <w:tcW w:w="1068" w:type="dxa"/>
            <w:noWrap/>
            <w:vAlign w:val="center"/>
            <w:hideMark/>
          </w:tcPr>
          <w:p w:rsidR="00EE2BE1" w:rsidRPr="00BC2B85" w:rsidRDefault="00EE2BE1" w:rsidP="00BC2B85">
            <w:pPr>
              <w:rPr>
                <w:rFonts w:asciiTheme="minorHAnsi" w:eastAsia="Times New Roman" w:hAnsiTheme="minorHAnsi" w:cstheme="minorHAnsi"/>
                <w:color w:val="000000"/>
                <w:sz w:val="18"/>
                <w:szCs w:val="18"/>
              </w:rPr>
            </w:pPr>
          </w:p>
        </w:tc>
        <w:tc>
          <w:tcPr>
            <w:tcW w:w="1100" w:type="dxa"/>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Remanente</w:t>
            </w:r>
          </w:p>
        </w:tc>
        <w:tc>
          <w:tcPr>
            <w:tcW w:w="2092" w:type="dxa"/>
            <w:vAlign w:val="center"/>
            <w:hideMark/>
          </w:tcPr>
          <w:p w:rsidR="00EE2BE1" w:rsidRPr="00BC2B85" w:rsidRDefault="00EE2BE1" w:rsidP="00BC2B85">
            <w:pPr>
              <w:cnfStyle w:val="000000100000"/>
              <w:rPr>
                <w:rFonts w:asciiTheme="minorHAnsi" w:eastAsia="Times New Roman" w:hAnsiTheme="minorHAnsi" w:cstheme="minorHAnsi"/>
                <w:color w:val="000000"/>
                <w:sz w:val="18"/>
                <w:szCs w:val="18"/>
              </w:rPr>
            </w:pPr>
            <w:r w:rsidRPr="00BC2B85">
              <w:rPr>
                <w:rFonts w:asciiTheme="minorHAnsi" w:eastAsia="Times New Roman" w:hAnsiTheme="minorHAnsi" w:cstheme="minorHAnsi"/>
                <w:color w:val="000000"/>
                <w:sz w:val="18"/>
                <w:szCs w:val="18"/>
              </w:rPr>
              <w:t>0.052</w:t>
            </w: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112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c>
          <w:tcPr>
            <w:tcW w:w="880" w:type="dxa"/>
            <w:noWrap/>
            <w:vAlign w:val="center"/>
            <w:hideMark/>
          </w:tcPr>
          <w:p w:rsidR="00EE2BE1" w:rsidRPr="00BC2B85" w:rsidRDefault="00EE2BE1" w:rsidP="00BC2B85">
            <w:pPr>
              <w:jc w:val="center"/>
              <w:cnfStyle w:val="000000100000"/>
              <w:rPr>
                <w:rFonts w:asciiTheme="minorHAnsi" w:eastAsia="Times New Roman" w:hAnsiTheme="minorHAnsi" w:cstheme="minorHAnsi"/>
                <w:color w:val="000000"/>
                <w:sz w:val="18"/>
                <w:szCs w:val="18"/>
              </w:rPr>
            </w:pPr>
          </w:p>
        </w:tc>
      </w:tr>
    </w:tbl>
    <w:p w:rsidR="00EE2BE1" w:rsidRDefault="00EE2BE1" w:rsidP="00EE2BE1">
      <w:pPr>
        <w:spacing w:after="0"/>
        <w:jc w:val="both"/>
        <w:rPr>
          <w:sz w:val="24"/>
        </w:rPr>
        <w:sectPr w:rsidR="00EE2BE1" w:rsidSect="00BC2B85">
          <w:pgSz w:w="15840" w:h="12240" w:orient="landscape" w:code="1"/>
          <w:pgMar w:top="1701" w:right="1417" w:bottom="1701" w:left="1417" w:header="708" w:footer="708" w:gutter="0"/>
          <w:cols w:space="708"/>
          <w:docGrid w:linePitch="360"/>
        </w:sectPr>
      </w:pPr>
    </w:p>
    <w:p w:rsidR="00932396" w:rsidRPr="00610631" w:rsidRDefault="00E309D9" w:rsidP="006351AE">
      <w:pPr>
        <w:pStyle w:val="ListParagraph"/>
        <w:numPr>
          <w:ilvl w:val="1"/>
          <w:numId w:val="24"/>
        </w:numPr>
        <w:shd w:val="clear" w:color="auto" w:fill="92D050"/>
        <w:spacing w:before="240" w:after="120"/>
        <w:ind w:left="567" w:hanging="567"/>
        <w:contextualSpacing w:val="0"/>
        <w:rPr>
          <w:b/>
          <w:i/>
          <w:sz w:val="24"/>
          <w:u w:val="single"/>
        </w:rPr>
      </w:pPr>
      <w:r>
        <w:rPr>
          <w:b/>
          <w:i/>
          <w:sz w:val="24"/>
          <w:u w:val="single"/>
        </w:rPr>
        <w:lastRenderedPageBreak/>
        <w:t>R</w:t>
      </w:r>
      <w:r w:rsidR="00AA5B2A" w:rsidRPr="00610631">
        <w:rPr>
          <w:b/>
          <w:i/>
          <w:sz w:val="24"/>
          <w:u w:val="single"/>
        </w:rPr>
        <w:t>esultados del Proyecto</w:t>
      </w:r>
    </w:p>
    <w:p w:rsidR="00610631" w:rsidRPr="00825E0D" w:rsidRDefault="00923EA7" w:rsidP="00825E0D">
      <w:pPr>
        <w:shd w:val="clear" w:color="auto" w:fill="C4BC96" w:themeFill="background2" w:themeFillShade="BF"/>
        <w:jc w:val="both"/>
        <w:rPr>
          <w:sz w:val="24"/>
        </w:rPr>
      </w:pPr>
      <w:r w:rsidRPr="00825E0D">
        <w:rPr>
          <w:sz w:val="24"/>
        </w:rPr>
        <w:t>Avance hacia el logro de objetivos del proyecto.</w:t>
      </w:r>
      <w:r w:rsidR="00610631" w:rsidRPr="00825E0D">
        <w:rPr>
          <w:sz w:val="24"/>
        </w:rPr>
        <w:t xml:space="preserve">  </w:t>
      </w:r>
    </w:p>
    <w:p w:rsidR="00815289" w:rsidRDefault="00815289" w:rsidP="00BC2B85">
      <w:pPr>
        <w:pStyle w:val="ListParagraph"/>
        <w:numPr>
          <w:ilvl w:val="0"/>
          <w:numId w:val="9"/>
        </w:numPr>
        <w:ind w:left="567" w:hanging="567"/>
        <w:jc w:val="both"/>
        <w:rPr>
          <w:sz w:val="24"/>
        </w:rPr>
      </w:pPr>
      <w:r>
        <w:rPr>
          <w:sz w:val="24"/>
        </w:rPr>
        <w:t>Tal como se explicó en las secciones anteriores, el principal objetivo del proyecto era prestar un apoyo de un año a las nuevas autoridades del país, para que pudieran realizar planificación de largo plazo en los temas ambientales, principalmente en cambio climático y biodiversidad.</w:t>
      </w:r>
      <w:r w:rsidR="006F4C19">
        <w:rPr>
          <w:sz w:val="24"/>
        </w:rPr>
        <w:t xml:space="preserve"> Todo lo anterior, llevaría a una planificación transversal de los distintos sectores, lo que tendría como resultado final, la elaboración y puesta en práctica de un </w:t>
      </w:r>
      <w:r w:rsidR="0066032B">
        <w:rPr>
          <w:sz w:val="24"/>
        </w:rPr>
        <w:t>P</w:t>
      </w:r>
      <w:r w:rsidR="006F4C19">
        <w:rPr>
          <w:sz w:val="24"/>
        </w:rPr>
        <w:t xml:space="preserve">lan </w:t>
      </w:r>
      <w:r w:rsidR="0066032B">
        <w:rPr>
          <w:sz w:val="24"/>
        </w:rPr>
        <w:t>V</w:t>
      </w:r>
      <w:r w:rsidR="006F4C19">
        <w:rPr>
          <w:sz w:val="24"/>
        </w:rPr>
        <w:t>erde 2001-2025 y un sistema de monitoreo y evaluación de los progresos de este plan.</w:t>
      </w:r>
    </w:p>
    <w:p w:rsidR="00815289" w:rsidRDefault="00815289" w:rsidP="00BC2B85">
      <w:pPr>
        <w:pStyle w:val="ListParagraph"/>
        <w:numPr>
          <w:ilvl w:val="0"/>
          <w:numId w:val="9"/>
        </w:numPr>
        <w:ind w:left="567" w:hanging="567"/>
        <w:jc w:val="both"/>
        <w:rPr>
          <w:sz w:val="24"/>
        </w:rPr>
      </w:pPr>
      <w:r>
        <w:rPr>
          <w:sz w:val="24"/>
        </w:rPr>
        <w:t xml:space="preserve">Con los </w:t>
      </w:r>
      <w:r w:rsidR="009E09E3">
        <w:rPr>
          <w:sz w:val="24"/>
        </w:rPr>
        <w:t xml:space="preserve">ajustes </w:t>
      </w:r>
      <w:r>
        <w:rPr>
          <w:sz w:val="24"/>
        </w:rPr>
        <w:t>introducidos durante el año 2003, se cambiaron los resultados del proyecto, de forma de realizar actividades y estudios que constituyeran insumos para la formulación de políticas de medio ambiente y para la toma de decisiones de corto plazo.</w:t>
      </w:r>
    </w:p>
    <w:p w:rsidR="008C10EC" w:rsidRDefault="008C10EC" w:rsidP="00BC2B85">
      <w:pPr>
        <w:pStyle w:val="ListParagraph"/>
        <w:numPr>
          <w:ilvl w:val="0"/>
          <w:numId w:val="9"/>
        </w:numPr>
        <w:ind w:left="567" w:hanging="567"/>
        <w:jc w:val="both"/>
        <w:rPr>
          <w:sz w:val="24"/>
        </w:rPr>
      </w:pPr>
      <w:r>
        <w:rPr>
          <w:sz w:val="24"/>
        </w:rPr>
        <w:t xml:space="preserve">Como primera aproximación al tema, se puede afirmar que el proyecto no alcanzó los objetivos primarios que se había propuesto, esto es, desarrollar un sistema de planificación ambiental transversal que abarcara los ministerios claves en el tema ambiental. Tampoco se puede decir que durante su primera etapa, este proyecto haya servido de apoyo a la nueva administración que asumió el </w:t>
      </w:r>
      <w:r w:rsidR="0066032B">
        <w:rPr>
          <w:sz w:val="24"/>
        </w:rPr>
        <w:t xml:space="preserve">gobierno en el </w:t>
      </w:r>
      <w:r>
        <w:rPr>
          <w:sz w:val="24"/>
        </w:rPr>
        <w:t xml:space="preserve">año 2000, ya que al comenzar </w:t>
      </w:r>
      <w:r w:rsidR="008274DC">
        <w:rPr>
          <w:sz w:val="24"/>
        </w:rPr>
        <w:t>su</w:t>
      </w:r>
      <w:r>
        <w:rPr>
          <w:sz w:val="24"/>
        </w:rPr>
        <w:t xml:space="preserve"> ejecución, la nueva administración llevaba prácticamente 3 años de gobierno y ya había formulado su </w:t>
      </w:r>
      <w:r w:rsidR="0066032B">
        <w:rPr>
          <w:sz w:val="24"/>
        </w:rPr>
        <w:t>P</w:t>
      </w:r>
      <w:r>
        <w:rPr>
          <w:sz w:val="24"/>
        </w:rPr>
        <w:t xml:space="preserve">lan </w:t>
      </w:r>
      <w:r w:rsidR="0066032B">
        <w:rPr>
          <w:sz w:val="24"/>
        </w:rPr>
        <w:t>N</w:t>
      </w:r>
      <w:r>
        <w:rPr>
          <w:sz w:val="24"/>
        </w:rPr>
        <w:t xml:space="preserve">acional de </w:t>
      </w:r>
      <w:r w:rsidR="0066032B">
        <w:rPr>
          <w:sz w:val="24"/>
        </w:rPr>
        <w:t>D</w:t>
      </w:r>
      <w:r>
        <w:rPr>
          <w:sz w:val="24"/>
        </w:rPr>
        <w:t>esarrollo y los planes sectoriales para el sexenio, por lo que el proyecto comenzó desfasado o llegó tarde para realizar el apoyo de corto plazo para el cual había sido diseñado.</w:t>
      </w:r>
    </w:p>
    <w:p w:rsidR="00270D43" w:rsidRDefault="00270D43" w:rsidP="00BC2B85">
      <w:pPr>
        <w:pStyle w:val="ListParagraph"/>
        <w:numPr>
          <w:ilvl w:val="0"/>
          <w:numId w:val="9"/>
        </w:numPr>
        <w:ind w:left="567" w:hanging="567"/>
        <w:jc w:val="both"/>
        <w:rPr>
          <w:sz w:val="24"/>
        </w:rPr>
      </w:pPr>
      <w:r>
        <w:rPr>
          <w:sz w:val="24"/>
        </w:rPr>
        <w:t>En su segunda etapa, el proyecto sirvió de apoyo para la transición de la administración del presidente Fox al nuevo gobierno del presidente electo Calderón (2006-2007). En este aspecto, el proyecto apoyó las nuevas prioridades ambientales del nuevo gobierno y también apoyó la formulación del PND y de los planes sectoriales 2007-2012. Especial mención debe hacerse sobre el apoyo del proyecto al tema de cambio climático, debido a la importancia que otorgó el gobierno de</w:t>
      </w:r>
      <w:r w:rsidR="008274DC">
        <w:rPr>
          <w:sz w:val="24"/>
        </w:rPr>
        <w:t>l presidente</w:t>
      </w:r>
      <w:r>
        <w:rPr>
          <w:sz w:val="24"/>
        </w:rPr>
        <w:t xml:space="preserve"> Calderón a este tema. Los estudios de escenarios económicos y el apoyo </w:t>
      </w:r>
      <w:r w:rsidR="0066032B">
        <w:rPr>
          <w:sz w:val="24"/>
        </w:rPr>
        <w:t>par</w:t>
      </w:r>
      <w:r>
        <w:rPr>
          <w:sz w:val="24"/>
        </w:rPr>
        <w:t>a los p</w:t>
      </w:r>
      <w:r w:rsidR="0066032B">
        <w:rPr>
          <w:sz w:val="24"/>
        </w:rPr>
        <w:t>rogramas</w:t>
      </w:r>
      <w:r>
        <w:rPr>
          <w:sz w:val="24"/>
        </w:rPr>
        <w:t xml:space="preserve"> estatales para mitigación y adaptación al cambio climático, son los dos aspectos más palpables del proyecto en su contribución a la planificación de largo plazo en cambio climático y en la elaboración de las </w:t>
      </w:r>
      <w:r w:rsidR="0066032B">
        <w:rPr>
          <w:sz w:val="24"/>
        </w:rPr>
        <w:t>C</w:t>
      </w:r>
      <w:r>
        <w:rPr>
          <w:sz w:val="24"/>
        </w:rPr>
        <w:t xml:space="preserve">omunicaciones </w:t>
      </w:r>
      <w:r w:rsidR="0066032B">
        <w:rPr>
          <w:sz w:val="24"/>
        </w:rPr>
        <w:t>N</w:t>
      </w:r>
      <w:r>
        <w:rPr>
          <w:sz w:val="24"/>
        </w:rPr>
        <w:t>acionales de México.</w:t>
      </w:r>
    </w:p>
    <w:p w:rsidR="003E5BB0" w:rsidRDefault="00ED5670" w:rsidP="000943D2">
      <w:pPr>
        <w:pStyle w:val="ListParagraph"/>
        <w:numPr>
          <w:ilvl w:val="0"/>
          <w:numId w:val="9"/>
        </w:numPr>
        <w:ind w:left="567" w:hanging="567"/>
        <w:jc w:val="both"/>
        <w:rPr>
          <w:sz w:val="24"/>
        </w:rPr>
      </w:pPr>
      <w:r w:rsidRPr="00FF13DA">
        <w:rPr>
          <w:sz w:val="24"/>
        </w:rPr>
        <w:t xml:space="preserve">Con respecto a la transversalidad que se deseaba lograr en la planificación ambiental, es difícil detectar la influencia específica del proyecto, debido a que la transversalidad ya había sido puesta en el tapete desde mediados de la década de </w:t>
      </w:r>
      <w:r w:rsidRPr="00FF13DA">
        <w:rPr>
          <w:sz w:val="24"/>
        </w:rPr>
        <w:lastRenderedPageBreak/>
        <w:t>los 90 y fue impulsada por el Banco Mundial, a través de un</w:t>
      </w:r>
      <w:r w:rsidR="00847BE2" w:rsidRPr="00FF13DA">
        <w:rPr>
          <w:sz w:val="24"/>
        </w:rPr>
        <w:t xml:space="preserve">a operación de préstamo denominada “Préstamo  de Ajuste Estructural Ambiental I”, cuyos objetivos principales eran incorporar los aspectos ambientales en los planes de desarrollo sectoriales y mejorar </w:t>
      </w:r>
      <w:r w:rsidR="00FF13DA" w:rsidRPr="00FF13DA">
        <w:rPr>
          <w:sz w:val="24"/>
        </w:rPr>
        <w:t xml:space="preserve"> la eficiencia y la efectividad  de los</w:t>
      </w:r>
      <w:r w:rsidR="00FF13DA">
        <w:rPr>
          <w:sz w:val="24"/>
        </w:rPr>
        <w:t xml:space="preserve"> </w:t>
      </w:r>
      <w:r w:rsidR="00FF13DA" w:rsidRPr="00FF13DA">
        <w:rPr>
          <w:sz w:val="24"/>
        </w:rPr>
        <w:t>procesos  locales  de gestión  ambiental  en México</w:t>
      </w:r>
      <w:r w:rsidR="003E5BB0">
        <w:rPr>
          <w:sz w:val="24"/>
        </w:rPr>
        <w:t>.</w:t>
      </w:r>
      <w:r w:rsidR="003E5BB0">
        <w:rPr>
          <w:rStyle w:val="FootnoteReference"/>
          <w:sz w:val="24"/>
        </w:rPr>
        <w:footnoteReference w:id="8"/>
      </w:r>
    </w:p>
    <w:p w:rsidR="00FF13DA" w:rsidRDefault="00351ECE" w:rsidP="00BC2B85">
      <w:pPr>
        <w:pStyle w:val="ListParagraph"/>
        <w:numPr>
          <w:ilvl w:val="0"/>
          <w:numId w:val="9"/>
        </w:numPr>
        <w:ind w:left="567" w:hanging="567"/>
        <w:jc w:val="both"/>
        <w:rPr>
          <w:sz w:val="24"/>
        </w:rPr>
      </w:pPr>
      <w:r>
        <w:rPr>
          <w:sz w:val="24"/>
        </w:rPr>
        <w:t xml:space="preserve">Por otro lado, el gobierno de México había impulsado la agenda de transversalidad en materias ambientales, con lo que cada agencia gubernamental constituyó un profesional de “enlace” con </w:t>
      </w:r>
      <w:r w:rsidR="0041769A">
        <w:rPr>
          <w:sz w:val="24"/>
        </w:rPr>
        <w:t>SEMARNAT</w:t>
      </w:r>
      <w:r>
        <w:rPr>
          <w:sz w:val="24"/>
        </w:rPr>
        <w:t xml:space="preserve">, de manera que los planes sectoriales específicos incorporaran los temas ambientales. </w:t>
      </w:r>
    </w:p>
    <w:p w:rsidR="00351ECE" w:rsidRDefault="00351ECE" w:rsidP="00BC2B85">
      <w:pPr>
        <w:pStyle w:val="ListParagraph"/>
        <w:numPr>
          <w:ilvl w:val="0"/>
          <w:numId w:val="9"/>
        </w:numPr>
        <w:ind w:left="567" w:hanging="567"/>
        <w:jc w:val="both"/>
        <w:rPr>
          <w:sz w:val="24"/>
        </w:rPr>
      </w:pPr>
      <w:r>
        <w:rPr>
          <w:sz w:val="24"/>
        </w:rPr>
        <w:t>Por  lo tanto, el aporte del proyecto en incorporar transversalmente los temas ambientales en la planificación de políticas es difuso, a excepción de los dos estudios de cambio climático, donde existe consenso entre los actores sobre su utilidad en la definición de políticas sectoriales y de largo plazo.</w:t>
      </w:r>
    </w:p>
    <w:p w:rsidR="00351ECE" w:rsidRDefault="00351ECE" w:rsidP="00BC2B85">
      <w:pPr>
        <w:pStyle w:val="ListParagraph"/>
        <w:numPr>
          <w:ilvl w:val="0"/>
          <w:numId w:val="9"/>
        </w:numPr>
        <w:ind w:left="567" w:hanging="567"/>
        <w:jc w:val="both"/>
        <w:rPr>
          <w:sz w:val="24"/>
        </w:rPr>
      </w:pPr>
      <w:r>
        <w:rPr>
          <w:sz w:val="24"/>
        </w:rPr>
        <w:t>Los otros estudios han sido útiles para la toma de decisiones de índole coyuntural, más que de planificación.</w:t>
      </w:r>
    </w:p>
    <w:p w:rsidR="00610631" w:rsidRPr="00BC2B85" w:rsidRDefault="00923EA7">
      <w:pPr>
        <w:shd w:val="clear" w:color="auto" w:fill="C4BC96" w:themeFill="background2" w:themeFillShade="BF"/>
        <w:jc w:val="both"/>
        <w:rPr>
          <w:sz w:val="24"/>
        </w:rPr>
      </w:pPr>
      <w:r w:rsidRPr="00BC2B85">
        <w:rPr>
          <w:sz w:val="24"/>
        </w:rPr>
        <w:t>Avance hacia el logro de resultados del Proyecto.</w:t>
      </w:r>
    </w:p>
    <w:p w:rsidR="00E05E73" w:rsidRDefault="00A55EF6" w:rsidP="00BC2B85">
      <w:pPr>
        <w:pStyle w:val="ListParagraph"/>
        <w:numPr>
          <w:ilvl w:val="0"/>
          <w:numId w:val="23"/>
        </w:numPr>
        <w:ind w:left="567" w:hanging="567"/>
        <w:jc w:val="both"/>
        <w:rPr>
          <w:sz w:val="24"/>
        </w:rPr>
      </w:pPr>
      <w:r w:rsidRPr="00BC2B85">
        <w:rPr>
          <w:sz w:val="24"/>
        </w:rPr>
        <w:t xml:space="preserve">De acuerdo al </w:t>
      </w:r>
      <w:proofErr w:type="spellStart"/>
      <w:r w:rsidRPr="00BC2B85">
        <w:rPr>
          <w:sz w:val="24"/>
        </w:rPr>
        <w:t>prodoc</w:t>
      </w:r>
      <w:proofErr w:type="spellEnd"/>
      <w:r w:rsidR="00E05E73">
        <w:rPr>
          <w:sz w:val="24"/>
        </w:rPr>
        <w:t xml:space="preserve"> original</w:t>
      </w:r>
      <w:r w:rsidRPr="00BC2B85">
        <w:rPr>
          <w:sz w:val="24"/>
        </w:rPr>
        <w:t>,</w:t>
      </w:r>
      <w:r w:rsidR="00E05E73">
        <w:rPr>
          <w:sz w:val="24"/>
        </w:rPr>
        <w:t xml:space="preserve"> se deseaba lograr la formación de unidades ambientales en sectores claves, para lograr la inclusión de la temática ambiental en cada plan sectorial. Este resultado demostró ser poco viable debido a las restricciones presupuestarias de las respectivas entidades de gobierno, por lo que debió ser eliminado.</w:t>
      </w:r>
    </w:p>
    <w:p w:rsidR="00794AAC" w:rsidRDefault="00794AAC" w:rsidP="00BC2B85">
      <w:pPr>
        <w:pStyle w:val="ListParagraph"/>
        <w:numPr>
          <w:ilvl w:val="0"/>
          <w:numId w:val="23"/>
        </w:numPr>
        <w:ind w:left="567" w:hanging="567"/>
        <w:jc w:val="both"/>
        <w:rPr>
          <w:sz w:val="24"/>
        </w:rPr>
      </w:pPr>
      <w:r>
        <w:rPr>
          <w:sz w:val="24"/>
        </w:rPr>
        <w:t xml:space="preserve">La elaboración del marco programático para fortalecer </w:t>
      </w:r>
      <w:r w:rsidR="001C7384">
        <w:rPr>
          <w:sz w:val="24"/>
        </w:rPr>
        <w:t>sinergias</w:t>
      </w:r>
      <w:r>
        <w:rPr>
          <w:sz w:val="24"/>
        </w:rPr>
        <w:t xml:space="preserve"> entre los proyectos GEF y de otros donantes, ha sido s</w:t>
      </w:r>
      <w:r w:rsidR="0066032B">
        <w:rPr>
          <w:sz w:val="24"/>
        </w:rPr>
        <w:t>ó</w:t>
      </w:r>
      <w:r>
        <w:rPr>
          <w:sz w:val="24"/>
        </w:rPr>
        <w:t>lo parcialmente lograda, debido a la realización de un estudio que identificó áreas de interés común. Sin embargo, con la información disponible, no se puede afirmar que exista una planificación y programación entre el gobierno mexicano, GEF y donantes que perdure en el tiempo.</w:t>
      </w:r>
    </w:p>
    <w:p w:rsidR="00794AAC" w:rsidRDefault="00794AAC" w:rsidP="00BC2B85">
      <w:pPr>
        <w:pStyle w:val="ListParagraph"/>
        <w:numPr>
          <w:ilvl w:val="0"/>
          <w:numId w:val="23"/>
        </w:numPr>
        <w:ind w:left="567" w:hanging="567"/>
        <w:jc w:val="both"/>
        <w:rPr>
          <w:sz w:val="24"/>
        </w:rPr>
      </w:pPr>
      <w:r>
        <w:rPr>
          <w:sz w:val="24"/>
        </w:rPr>
        <w:t xml:space="preserve">Con respecto a </w:t>
      </w:r>
      <w:r w:rsidRPr="00BC2B85">
        <w:rPr>
          <w:b/>
          <w:i/>
          <w:sz w:val="24"/>
          <w:u w:val="single"/>
        </w:rPr>
        <w:t>la elaboración del plan verde, éste fue desechado</w:t>
      </w:r>
      <w:r>
        <w:rPr>
          <w:sz w:val="24"/>
        </w:rPr>
        <w:t xml:space="preserve">, debido a que no se pudo instaurar una cultura de planificación de largo plazo en los sectores y a que la </w:t>
      </w:r>
      <w:r w:rsidR="0066032B">
        <w:rPr>
          <w:sz w:val="24"/>
        </w:rPr>
        <w:t>L</w:t>
      </w:r>
      <w:r>
        <w:rPr>
          <w:sz w:val="24"/>
        </w:rPr>
        <w:t xml:space="preserve">ey de </w:t>
      </w:r>
      <w:r w:rsidR="0066032B">
        <w:rPr>
          <w:sz w:val="24"/>
        </w:rPr>
        <w:t>P</w:t>
      </w:r>
      <w:r>
        <w:rPr>
          <w:sz w:val="24"/>
        </w:rPr>
        <w:t xml:space="preserve">laneación </w:t>
      </w:r>
      <w:r w:rsidR="0066032B">
        <w:rPr>
          <w:sz w:val="24"/>
        </w:rPr>
        <w:t>vigente que</w:t>
      </w:r>
      <w:r>
        <w:rPr>
          <w:sz w:val="24"/>
        </w:rPr>
        <w:t xml:space="preserve"> s</w:t>
      </w:r>
      <w:r w:rsidR="0066032B">
        <w:rPr>
          <w:sz w:val="24"/>
        </w:rPr>
        <w:t>ó</w:t>
      </w:r>
      <w:r>
        <w:rPr>
          <w:sz w:val="24"/>
        </w:rPr>
        <w:t>lo obliga a realizar planificación sexenal.</w:t>
      </w:r>
    </w:p>
    <w:p w:rsidR="006A4B0D" w:rsidRDefault="00794AAC" w:rsidP="00BC2B85">
      <w:pPr>
        <w:pStyle w:val="ListParagraph"/>
        <w:numPr>
          <w:ilvl w:val="0"/>
          <w:numId w:val="23"/>
        </w:numPr>
        <w:ind w:left="567" w:hanging="567"/>
        <w:jc w:val="both"/>
        <w:rPr>
          <w:sz w:val="24"/>
        </w:rPr>
      </w:pPr>
      <w:r>
        <w:rPr>
          <w:sz w:val="24"/>
        </w:rPr>
        <w:t xml:space="preserve">Con respecto al logro de los resultados </w:t>
      </w:r>
      <w:r w:rsidR="00144104">
        <w:rPr>
          <w:sz w:val="24"/>
        </w:rPr>
        <w:t>modificados en 2003, se puede mencionar lo siguiente</w:t>
      </w:r>
      <w:r w:rsidR="006A4B0D">
        <w:rPr>
          <w:sz w:val="24"/>
        </w:rPr>
        <w:t>:</w:t>
      </w:r>
    </w:p>
    <w:p w:rsidR="001231F5" w:rsidRDefault="001231F5" w:rsidP="001231F5">
      <w:pPr>
        <w:pStyle w:val="ListParagraph"/>
        <w:numPr>
          <w:ilvl w:val="0"/>
          <w:numId w:val="23"/>
        </w:numPr>
        <w:ind w:left="567" w:hanging="567"/>
        <w:jc w:val="both"/>
        <w:rPr>
          <w:sz w:val="24"/>
        </w:rPr>
      </w:pPr>
      <w:r w:rsidRPr="001231F5">
        <w:rPr>
          <w:b/>
          <w:i/>
          <w:sz w:val="24"/>
          <w:u w:val="single"/>
        </w:rPr>
        <w:t>El Resultado Nº1</w:t>
      </w:r>
      <w:r>
        <w:rPr>
          <w:sz w:val="24"/>
        </w:rPr>
        <w:t>,u</w:t>
      </w:r>
      <w:r w:rsidRPr="001231F5">
        <w:rPr>
          <w:sz w:val="24"/>
        </w:rPr>
        <w:t>n marco financiero programático para medio ambiente</w:t>
      </w:r>
      <w:r>
        <w:rPr>
          <w:sz w:val="24"/>
        </w:rPr>
        <w:t xml:space="preserve">, </w:t>
      </w:r>
      <w:r w:rsidRPr="001231F5">
        <w:rPr>
          <w:b/>
          <w:i/>
          <w:sz w:val="24"/>
          <w:u w:val="single"/>
        </w:rPr>
        <w:t>no ha tenido una influencia para comenzar una planificación de largo plazo</w:t>
      </w:r>
      <w:r>
        <w:rPr>
          <w:sz w:val="24"/>
        </w:rPr>
        <w:t xml:space="preserve"> y ha sido más </w:t>
      </w:r>
      <w:r>
        <w:rPr>
          <w:sz w:val="24"/>
        </w:rPr>
        <w:lastRenderedPageBreak/>
        <w:t>bien coyuntural, ya que ha sido útil para obtener una visión de los compromisos ambientales internacionales que México ha suscrito.</w:t>
      </w:r>
    </w:p>
    <w:p w:rsidR="007C2743" w:rsidRDefault="006A4B0D" w:rsidP="00BC2B85">
      <w:pPr>
        <w:pStyle w:val="ListParagraph"/>
        <w:numPr>
          <w:ilvl w:val="0"/>
          <w:numId w:val="23"/>
        </w:numPr>
        <w:ind w:left="567" w:hanging="567"/>
        <w:jc w:val="both"/>
        <w:rPr>
          <w:sz w:val="24"/>
        </w:rPr>
      </w:pPr>
      <w:r w:rsidRPr="00BC2B85">
        <w:rPr>
          <w:b/>
          <w:i/>
          <w:sz w:val="24"/>
          <w:u w:val="single"/>
        </w:rPr>
        <w:t>El Resultado Nº2</w:t>
      </w:r>
      <w:r>
        <w:rPr>
          <w:sz w:val="24"/>
        </w:rPr>
        <w:t xml:space="preserve">: Escenarios Económicos de Largo Plazo, ha sido el resultado mejor logrado y </w:t>
      </w:r>
      <w:r w:rsidR="008274DC">
        <w:rPr>
          <w:sz w:val="24"/>
        </w:rPr>
        <w:t xml:space="preserve">el que </w:t>
      </w:r>
      <w:r>
        <w:rPr>
          <w:sz w:val="24"/>
        </w:rPr>
        <w:t xml:space="preserve">ha tenido </w:t>
      </w:r>
      <w:r w:rsidR="002160AA">
        <w:rPr>
          <w:sz w:val="24"/>
        </w:rPr>
        <w:t xml:space="preserve">mayor impacto </w:t>
      </w:r>
      <w:r>
        <w:rPr>
          <w:sz w:val="24"/>
        </w:rPr>
        <w:t>en la formulación de políticas para cambio climático</w:t>
      </w:r>
      <w:r w:rsidR="002160AA">
        <w:rPr>
          <w:sz w:val="24"/>
        </w:rPr>
        <w:t xml:space="preserve"> de largo plazo</w:t>
      </w:r>
      <w:r>
        <w:rPr>
          <w:sz w:val="24"/>
        </w:rPr>
        <w:t>.</w:t>
      </w:r>
      <w:r w:rsidR="007C2743">
        <w:rPr>
          <w:sz w:val="24"/>
        </w:rPr>
        <w:t xml:space="preserve"> Dentro de estos impactos se puede mencionar el estudio sobre economía del cambio climático en México, donde se analizan los impactos de la economía sobr</w:t>
      </w:r>
      <w:r w:rsidR="007441BD">
        <w:rPr>
          <w:sz w:val="24"/>
        </w:rPr>
        <w:t>e</w:t>
      </w:r>
      <w:r w:rsidR="007C2743">
        <w:rPr>
          <w:sz w:val="24"/>
        </w:rPr>
        <w:t xml:space="preserve"> el medio ambiente y la generación de escenarios de adaptación y mitigación a nivel estatal, lo que daría insumos a la elaboración de los p</w:t>
      </w:r>
      <w:r w:rsidR="0092421F">
        <w:rPr>
          <w:sz w:val="24"/>
        </w:rPr>
        <w:t>rogramas</w:t>
      </w:r>
      <w:r w:rsidR="007C2743">
        <w:rPr>
          <w:sz w:val="24"/>
        </w:rPr>
        <w:t xml:space="preserve"> estatales de a</w:t>
      </w:r>
      <w:r w:rsidR="0092421F">
        <w:rPr>
          <w:sz w:val="24"/>
        </w:rPr>
        <w:t>cción climática</w:t>
      </w:r>
      <w:r w:rsidR="007C2743">
        <w:rPr>
          <w:sz w:val="24"/>
        </w:rPr>
        <w:t>.</w:t>
      </w:r>
    </w:p>
    <w:p w:rsidR="007441BD" w:rsidRDefault="007441BD" w:rsidP="007A5329">
      <w:pPr>
        <w:pStyle w:val="ListParagraph"/>
        <w:numPr>
          <w:ilvl w:val="0"/>
          <w:numId w:val="23"/>
        </w:numPr>
        <w:ind w:left="567" w:hanging="567"/>
        <w:jc w:val="both"/>
        <w:rPr>
          <w:sz w:val="24"/>
        </w:rPr>
      </w:pPr>
      <w:r w:rsidRPr="00BC2B85">
        <w:rPr>
          <w:b/>
          <w:i/>
          <w:sz w:val="24"/>
          <w:u w:val="single"/>
        </w:rPr>
        <w:t>El Resultado Nº3:</w:t>
      </w:r>
      <w:r>
        <w:rPr>
          <w:sz w:val="24"/>
        </w:rPr>
        <w:t xml:space="preserve"> </w:t>
      </w:r>
      <w:r w:rsidR="007A5329" w:rsidRPr="007A5329">
        <w:rPr>
          <w:sz w:val="24"/>
        </w:rPr>
        <w:t xml:space="preserve">Revisión del Programa Nacional para el Ambiente y Recursos Naturales 2001-2006 (PNMARN) y </w:t>
      </w:r>
      <w:r w:rsidR="007A5329">
        <w:rPr>
          <w:sz w:val="24"/>
        </w:rPr>
        <w:t>propuesta para su actualización</w:t>
      </w:r>
      <w:r>
        <w:rPr>
          <w:sz w:val="24"/>
        </w:rPr>
        <w:t xml:space="preserve">, ha tenido un </w:t>
      </w:r>
      <w:r w:rsidRPr="00BC2B85">
        <w:rPr>
          <w:b/>
          <w:i/>
          <w:sz w:val="24"/>
          <w:u w:val="single"/>
        </w:rPr>
        <w:t xml:space="preserve">impacto </w:t>
      </w:r>
      <w:r w:rsidR="007A5329">
        <w:rPr>
          <w:b/>
          <w:i/>
          <w:sz w:val="24"/>
          <w:u w:val="single"/>
        </w:rPr>
        <w:t>para re-organizar las actividades de SEMARNAT</w:t>
      </w:r>
      <w:r>
        <w:rPr>
          <w:sz w:val="24"/>
        </w:rPr>
        <w:t xml:space="preserve">, </w:t>
      </w:r>
      <w:r w:rsidR="007A5329">
        <w:rPr>
          <w:sz w:val="24"/>
        </w:rPr>
        <w:t>gracias a</w:t>
      </w:r>
      <w:r>
        <w:rPr>
          <w:sz w:val="24"/>
        </w:rPr>
        <w:t xml:space="preserve"> la evaluación de los 17 programas gubernamentales </w:t>
      </w:r>
      <w:r w:rsidR="007A5329">
        <w:rPr>
          <w:sz w:val="24"/>
        </w:rPr>
        <w:t xml:space="preserve">que se venían implementando, pero </w:t>
      </w:r>
      <w:r>
        <w:rPr>
          <w:sz w:val="24"/>
        </w:rPr>
        <w:t>no ha generado una planificación de largo plazo clara</w:t>
      </w:r>
      <w:r w:rsidR="007A5329">
        <w:rPr>
          <w:sz w:val="24"/>
        </w:rPr>
        <w:t>.</w:t>
      </w:r>
      <w:r>
        <w:rPr>
          <w:sz w:val="24"/>
        </w:rPr>
        <w:t xml:space="preserve"> </w:t>
      </w:r>
    </w:p>
    <w:p w:rsidR="007A5329" w:rsidRDefault="007A5329" w:rsidP="00BC2B85">
      <w:pPr>
        <w:pStyle w:val="ListParagraph"/>
        <w:numPr>
          <w:ilvl w:val="0"/>
          <w:numId w:val="23"/>
        </w:numPr>
        <w:ind w:left="567" w:hanging="567"/>
        <w:jc w:val="both"/>
        <w:rPr>
          <w:sz w:val="24"/>
        </w:rPr>
      </w:pPr>
      <w:r>
        <w:rPr>
          <w:b/>
          <w:i/>
          <w:sz w:val="24"/>
          <w:u w:val="single"/>
        </w:rPr>
        <w:t xml:space="preserve">El resultado Nº4 </w:t>
      </w:r>
      <w:r w:rsidRPr="007A5329">
        <w:rPr>
          <w:sz w:val="24"/>
        </w:rPr>
        <w:t>indicadores de desarrollo sustentable</w:t>
      </w:r>
      <w:r>
        <w:rPr>
          <w:sz w:val="24"/>
        </w:rPr>
        <w:t>, ha tenido un uso reducido dentro de SEMARNAT.</w:t>
      </w:r>
    </w:p>
    <w:p w:rsidR="007A5329" w:rsidRDefault="007A5329" w:rsidP="007A5329">
      <w:pPr>
        <w:pStyle w:val="ListParagraph"/>
        <w:numPr>
          <w:ilvl w:val="0"/>
          <w:numId w:val="23"/>
        </w:numPr>
        <w:ind w:left="567" w:hanging="567"/>
        <w:jc w:val="both"/>
        <w:rPr>
          <w:sz w:val="24"/>
        </w:rPr>
      </w:pPr>
      <w:r>
        <w:rPr>
          <w:b/>
          <w:i/>
          <w:sz w:val="24"/>
          <w:u w:val="single"/>
        </w:rPr>
        <w:t>El Resultado Nº5</w:t>
      </w:r>
      <w:r>
        <w:rPr>
          <w:sz w:val="24"/>
        </w:rPr>
        <w:t xml:space="preserve">, </w:t>
      </w:r>
      <w:r w:rsidRPr="007A5329">
        <w:rPr>
          <w:sz w:val="24"/>
        </w:rPr>
        <w:t>Instrumentos de Política Ambiental y propuestas</w:t>
      </w:r>
      <w:r>
        <w:rPr>
          <w:sz w:val="24"/>
        </w:rPr>
        <w:t xml:space="preserve">, ha tenido un </w:t>
      </w:r>
      <w:r w:rsidRPr="007A5329">
        <w:rPr>
          <w:b/>
          <w:i/>
          <w:sz w:val="24"/>
          <w:u w:val="single"/>
        </w:rPr>
        <w:t xml:space="preserve">impacto más </w:t>
      </w:r>
      <w:r>
        <w:rPr>
          <w:b/>
          <w:i/>
          <w:sz w:val="24"/>
          <w:u w:val="single"/>
        </w:rPr>
        <w:t xml:space="preserve">bien </w:t>
      </w:r>
      <w:r w:rsidRPr="007A5329">
        <w:rPr>
          <w:b/>
          <w:i/>
          <w:sz w:val="24"/>
          <w:u w:val="single"/>
        </w:rPr>
        <w:t>coyuntural</w:t>
      </w:r>
      <w:r>
        <w:rPr>
          <w:sz w:val="24"/>
        </w:rPr>
        <w:t>, ya que fue útil para responder las observaciones que la OECD ha hecho sobre el desempeño ambiental de México.</w:t>
      </w:r>
    </w:p>
    <w:p w:rsidR="00722B31" w:rsidRPr="00BC2B85" w:rsidDel="00E75042" w:rsidRDefault="00722B31" w:rsidP="00722B31">
      <w:pPr>
        <w:pStyle w:val="ListParagraph"/>
        <w:numPr>
          <w:ilvl w:val="0"/>
          <w:numId w:val="23"/>
        </w:numPr>
        <w:ind w:left="567" w:hanging="567"/>
        <w:jc w:val="both"/>
        <w:rPr>
          <w:sz w:val="24"/>
        </w:rPr>
      </w:pPr>
      <w:r w:rsidRPr="00BC2B85">
        <w:rPr>
          <w:b/>
          <w:i/>
          <w:sz w:val="24"/>
          <w:u w:val="single"/>
        </w:rPr>
        <w:t>El resultado Nº6: Plan Verde, fue eliminado</w:t>
      </w:r>
      <w:r>
        <w:rPr>
          <w:sz w:val="24"/>
        </w:rPr>
        <w:t xml:space="preserve"> por su inviabilidad, explicada en párrafos anteriores.</w:t>
      </w:r>
    </w:p>
    <w:p w:rsidR="00904A05" w:rsidRDefault="00904A05" w:rsidP="00BC2B85">
      <w:pPr>
        <w:pStyle w:val="ListParagraph"/>
        <w:numPr>
          <w:ilvl w:val="0"/>
          <w:numId w:val="23"/>
        </w:numPr>
        <w:ind w:left="567" w:hanging="567"/>
        <w:jc w:val="both"/>
        <w:rPr>
          <w:sz w:val="24"/>
        </w:rPr>
      </w:pPr>
      <w:r w:rsidRPr="00BC2B85">
        <w:rPr>
          <w:b/>
          <w:i/>
          <w:sz w:val="24"/>
          <w:u w:val="single"/>
        </w:rPr>
        <w:t>El Resultado Nº</w:t>
      </w:r>
      <w:r w:rsidR="0042309E">
        <w:rPr>
          <w:b/>
          <w:i/>
          <w:sz w:val="24"/>
          <w:u w:val="single"/>
        </w:rPr>
        <w:t>7</w:t>
      </w:r>
      <w:r w:rsidRPr="00BC2B85">
        <w:rPr>
          <w:b/>
          <w:i/>
          <w:sz w:val="24"/>
          <w:u w:val="single"/>
        </w:rPr>
        <w:t>:</w:t>
      </w:r>
      <w:r>
        <w:rPr>
          <w:sz w:val="24"/>
        </w:rPr>
        <w:t xml:space="preserve"> Subsidios dañinos al ambiente, </w:t>
      </w:r>
      <w:r w:rsidRPr="00BC2B85">
        <w:rPr>
          <w:b/>
          <w:i/>
          <w:sz w:val="24"/>
          <w:u w:val="single"/>
        </w:rPr>
        <w:t>no aportó realmente nuevos antecedentes</w:t>
      </w:r>
      <w:r>
        <w:rPr>
          <w:sz w:val="24"/>
        </w:rPr>
        <w:t xml:space="preserve"> a la discusión, principalmente al sector energía, donde todos los actores ya conocían la problemática sobre los subsidios a las tarifas eléctricas para el bombeo de agua. No está claro su impacto en el diseño de nuevas políticas ambientales.</w:t>
      </w:r>
    </w:p>
    <w:p w:rsidR="00923EA7" w:rsidRPr="00923EA7" w:rsidRDefault="00923EA7" w:rsidP="00923EA7">
      <w:pPr>
        <w:shd w:val="clear" w:color="auto" w:fill="C4BC96" w:themeFill="background2" w:themeFillShade="BF"/>
        <w:jc w:val="both"/>
        <w:rPr>
          <w:sz w:val="24"/>
        </w:rPr>
      </w:pPr>
      <w:r w:rsidRPr="00923EA7">
        <w:rPr>
          <w:sz w:val="24"/>
        </w:rPr>
        <w:t>Sostenibilidad de los Resultados</w:t>
      </w:r>
    </w:p>
    <w:p w:rsidR="00AC7508" w:rsidRDefault="00564F7F" w:rsidP="00BC2B85">
      <w:pPr>
        <w:pStyle w:val="ListParagraph"/>
        <w:numPr>
          <w:ilvl w:val="0"/>
          <w:numId w:val="23"/>
        </w:numPr>
        <w:ind w:left="567" w:hanging="567"/>
        <w:jc w:val="both"/>
        <w:rPr>
          <w:sz w:val="24"/>
        </w:rPr>
      </w:pPr>
      <w:r>
        <w:rPr>
          <w:sz w:val="24"/>
        </w:rPr>
        <w:t xml:space="preserve">El proyecto finalizó sus actividades </w:t>
      </w:r>
      <w:r w:rsidR="009662AE">
        <w:rPr>
          <w:sz w:val="24"/>
        </w:rPr>
        <w:t xml:space="preserve">a mediados del año 2007 y se mantuvo vigente a la espera de </w:t>
      </w:r>
      <w:r w:rsidR="00AC7508">
        <w:rPr>
          <w:sz w:val="24"/>
        </w:rPr>
        <w:t xml:space="preserve">definiciones del </w:t>
      </w:r>
      <w:r w:rsidR="0041769A">
        <w:rPr>
          <w:sz w:val="24"/>
        </w:rPr>
        <w:t>SEMARNAT</w:t>
      </w:r>
      <w:r w:rsidR="00AC7508">
        <w:rPr>
          <w:sz w:val="24"/>
        </w:rPr>
        <w:t xml:space="preserve"> para </w:t>
      </w:r>
      <w:r w:rsidR="00FA7A66">
        <w:rPr>
          <w:sz w:val="24"/>
        </w:rPr>
        <w:t>realizar actividades relacionadas con la instrumentación del Programa Especial de Cambio Climático, las cuales nunca se concretaron</w:t>
      </w:r>
      <w:r w:rsidR="00AC7508">
        <w:rPr>
          <w:sz w:val="24"/>
        </w:rPr>
        <w:t>.</w:t>
      </w:r>
    </w:p>
    <w:p w:rsidR="00AC7508" w:rsidRDefault="00AC7508" w:rsidP="00BC2B85">
      <w:pPr>
        <w:pStyle w:val="ListParagraph"/>
        <w:numPr>
          <w:ilvl w:val="0"/>
          <w:numId w:val="23"/>
        </w:numPr>
        <w:ind w:left="567" w:hanging="567"/>
        <w:jc w:val="both"/>
        <w:rPr>
          <w:sz w:val="24"/>
        </w:rPr>
      </w:pPr>
      <w:r>
        <w:rPr>
          <w:sz w:val="24"/>
        </w:rPr>
        <w:t>El Comité de Dirección del proyecto, no ha sesionado desde el año 2008, debido a la falta de actividades del proyecto.</w:t>
      </w:r>
    </w:p>
    <w:p w:rsidR="00AC7508" w:rsidRDefault="00C0530B" w:rsidP="00BC2B85">
      <w:pPr>
        <w:pStyle w:val="ListParagraph"/>
        <w:numPr>
          <w:ilvl w:val="0"/>
          <w:numId w:val="23"/>
        </w:numPr>
        <w:ind w:left="567" w:hanging="567"/>
        <w:jc w:val="both"/>
        <w:rPr>
          <w:sz w:val="24"/>
        </w:rPr>
      </w:pPr>
      <w:r>
        <w:rPr>
          <w:sz w:val="24"/>
        </w:rPr>
        <w:t>Aunque el proyecto ha conseguido aportes importantes en la elaboración de p</w:t>
      </w:r>
      <w:r w:rsidR="00FA7A66">
        <w:rPr>
          <w:sz w:val="24"/>
        </w:rPr>
        <w:t>rogramas</w:t>
      </w:r>
      <w:r>
        <w:rPr>
          <w:sz w:val="24"/>
        </w:rPr>
        <w:t xml:space="preserve"> y políticas en el campo del cambio climático, la sostenibilidad de los resultados es difícil de asegurar. En primer lugar, el gobierno mexicano se encuentra preparando planes ambientales de largo plazo (2006-2030), pero no se sabe a </w:t>
      </w:r>
      <w:r>
        <w:rPr>
          <w:sz w:val="24"/>
        </w:rPr>
        <w:lastRenderedPageBreak/>
        <w:t xml:space="preserve">ciencia cierta si estos planes sobrevivirán los cambios de gobierno y si las principales líneas de trabajo serán continuadas. Lo único que se puede ver con claridad, es que se continuarán las planificaciones sexenales hasta que no haya un cambio de legislación al respecto. Las planificaciones de largo plazo del gobierno federal solo serán </w:t>
      </w:r>
      <w:r w:rsidR="00FA7A66">
        <w:rPr>
          <w:sz w:val="24"/>
        </w:rPr>
        <w:t xml:space="preserve">motivo de coordinación con los respectivos programas de desarrollo estatales, e </w:t>
      </w:r>
      <w:r>
        <w:rPr>
          <w:sz w:val="24"/>
        </w:rPr>
        <w:t xml:space="preserve">indicativas </w:t>
      </w:r>
      <w:r w:rsidR="00FA7A66">
        <w:rPr>
          <w:sz w:val="24"/>
        </w:rPr>
        <w:t>para los sectores privado y social</w:t>
      </w:r>
      <w:r>
        <w:rPr>
          <w:sz w:val="24"/>
        </w:rPr>
        <w:t xml:space="preserve">. </w:t>
      </w:r>
    </w:p>
    <w:p w:rsidR="00C0530B" w:rsidRDefault="00A00F11" w:rsidP="00BC2B85">
      <w:pPr>
        <w:pStyle w:val="ListParagraph"/>
        <w:numPr>
          <w:ilvl w:val="0"/>
          <w:numId w:val="23"/>
        </w:numPr>
        <w:ind w:left="567" w:hanging="567"/>
        <w:jc w:val="both"/>
        <w:rPr>
          <w:sz w:val="24"/>
        </w:rPr>
      </w:pPr>
      <w:r>
        <w:rPr>
          <w:sz w:val="24"/>
        </w:rPr>
        <w:t>La</w:t>
      </w:r>
      <w:r w:rsidR="00B735A1">
        <w:rPr>
          <w:sz w:val="24"/>
        </w:rPr>
        <w:t xml:space="preserve">s </w:t>
      </w:r>
      <w:r>
        <w:rPr>
          <w:sz w:val="24"/>
        </w:rPr>
        <w:t xml:space="preserve">actividades y </w:t>
      </w:r>
      <w:r w:rsidR="00B735A1">
        <w:rPr>
          <w:sz w:val="24"/>
        </w:rPr>
        <w:t xml:space="preserve">resultados del proyecto se han limitado a un espectro muy reducido de actores (principalmente </w:t>
      </w:r>
      <w:r w:rsidR="0041769A">
        <w:rPr>
          <w:sz w:val="24"/>
        </w:rPr>
        <w:t>SEMARNAT</w:t>
      </w:r>
      <w:r w:rsidR="00B735A1">
        <w:rPr>
          <w:sz w:val="24"/>
        </w:rPr>
        <w:t xml:space="preserve">, </w:t>
      </w:r>
      <w:r w:rsidR="00041FAB">
        <w:rPr>
          <w:sz w:val="24"/>
        </w:rPr>
        <w:t>E</w:t>
      </w:r>
      <w:r w:rsidR="00B735A1">
        <w:rPr>
          <w:sz w:val="24"/>
        </w:rPr>
        <w:t xml:space="preserve">nergía, INE y en alguna medida a Hacienda). La presente evaluación no ha podido identificar claramente si se ha podido permear a otras agencias sectoriales, tales como </w:t>
      </w:r>
      <w:r w:rsidR="00041FAB">
        <w:rPr>
          <w:sz w:val="24"/>
        </w:rPr>
        <w:t>A</w:t>
      </w:r>
      <w:r w:rsidR="00B735A1">
        <w:rPr>
          <w:sz w:val="24"/>
        </w:rPr>
        <w:t xml:space="preserve">gricultura y </w:t>
      </w:r>
      <w:r w:rsidR="00041FAB">
        <w:rPr>
          <w:sz w:val="24"/>
        </w:rPr>
        <w:t>A</w:t>
      </w:r>
      <w:r w:rsidR="00B735A1">
        <w:rPr>
          <w:sz w:val="24"/>
        </w:rPr>
        <w:t>gua.</w:t>
      </w:r>
    </w:p>
    <w:p w:rsidR="00B735A1" w:rsidRDefault="00B735A1" w:rsidP="00BC2B85">
      <w:pPr>
        <w:pStyle w:val="ListParagraph"/>
        <w:numPr>
          <w:ilvl w:val="0"/>
          <w:numId w:val="23"/>
        </w:numPr>
        <w:ind w:left="567" w:hanging="567"/>
        <w:jc w:val="both"/>
        <w:rPr>
          <w:sz w:val="24"/>
        </w:rPr>
      </w:pPr>
      <w:r>
        <w:rPr>
          <w:sz w:val="24"/>
        </w:rPr>
        <w:t xml:space="preserve">Igualmente, la participación de organizaciones ciudadanías ha estado ausente en este proyecto, por lo que los resultados logrados son prácticamente desconocidos </w:t>
      </w:r>
      <w:r w:rsidR="008274DC">
        <w:rPr>
          <w:sz w:val="24"/>
        </w:rPr>
        <w:t>p</w:t>
      </w:r>
      <w:r>
        <w:rPr>
          <w:sz w:val="24"/>
        </w:rPr>
        <w:t>ara la población, e incluso para las otras agencias de gobierno o estatales.</w:t>
      </w:r>
    </w:p>
    <w:p w:rsidR="00B735A1" w:rsidRDefault="006A16DE" w:rsidP="00BC2B85">
      <w:pPr>
        <w:pStyle w:val="ListParagraph"/>
        <w:numPr>
          <w:ilvl w:val="0"/>
          <w:numId w:val="23"/>
        </w:numPr>
        <w:ind w:left="567" w:hanging="567"/>
        <w:jc w:val="both"/>
        <w:rPr>
          <w:sz w:val="24"/>
        </w:rPr>
      </w:pPr>
      <w:r>
        <w:rPr>
          <w:sz w:val="24"/>
        </w:rPr>
        <w:t xml:space="preserve">Por lo tanto, la reducida participación de actores en el proyecto, permite visualizar que las posibilidades de mantención de los resultados y su actualización en el tiempo se vean comprometidas, debido </w:t>
      </w:r>
      <w:r w:rsidR="008274DC">
        <w:rPr>
          <w:sz w:val="24"/>
        </w:rPr>
        <w:t>principalmente a la falta de apropiación</w:t>
      </w:r>
      <w:r w:rsidR="00D50CA6">
        <w:rPr>
          <w:sz w:val="24"/>
        </w:rPr>
        <w:t xml:space="preserve"> de los logros del proyecto. Peor aún, se observa un nivel de </w:t>
      </w:r>
      <w:r w:rsidR="004F7415">
        <w:rPr>
          <w:sz w:val="24"/>
        </w:rPr>
        <w:t>disconformidad</w:t>
      </w:r>
      <w:r w:rsidR="00D50CA6">
        <w:rPr>
          <w:sz w:val="24"/>
        </w:rPr>
        <w:t xml:space="preserve"> debido a las continuas extensiones del proyecto, lo que ha opacado los logros importantes que el proyecto ha tenido.</w:t>
      </w:r>
    </w:p>
    <w:p w:rsidR="00D50CA6" w:rsidRDefault="00D50CA6" w:rsidP="00BC2B85">
      <w:pPr>
        <w:pStyle w:val="ListParagraph"/>
        <w:numPr>
          <w:ilvl w:val="0"/>
          <w:numId w:val="23"/>
        </w:numPr>
        <w:ind w:left="567" w:hanging="567"/>
        <w:jc w:val="both"/>
        <w:rPr>
          <w:sz w:val="24"/>
        </w:rPr>
      </w:pPr>
      <w:r>
        <w:rPr>
          <w:sz w:val="24"/>
        </w:rPr>
        <w:t xml:space="preserve">Relacionado a lo anterior, existe el peligro probable de desconocer los reales alcances del proyecto, en parte por la mala percepción de </w:t>
      </w:r>
      <w:r w:rsidR="00041FAB">
        <w:rPr>
          <w:sz w:val="24"/>
        </w:rPr>
        <w:t>su</w:t>
      </w:r>
      <w:r>
        <w:rPr>
          <w:sz w:val="24"/>
        </w:rPr>
        <w:t xml:space="preserve"> historia.</w:t>
      </w:r>
    </w:p>
    <w:p w:rsidR="006C7FF4" w:rsidRDefault="006C7FF4" w:rsidP="00BC2B85">
      <w:pPr>
        <w:pStyle w:val="ListParagraph"/>
        <w:numPr>
          <w:ilvl w:val="0"/>
          <w:numId w:val="23"/>
        </w:numPr>
        <w:ind w:left="567" w:hanging="567"/>
        <w:jc w:val="both"/>
        <w:rPr>
          <w:sz w:val="24"/>
        </w:rPr>
      </w:pPr>
      <w:r>
        <w:rPr>
          <w:sz w:val="24"/>
        </w:rPr>
        <w:t>Aunque es difícil de cuantificar, el proyecto ha logrado apalancar recursos para actividades del país en cambio climático, principalmente en la elaboración del estudio de la economía del cambio climático, los p</w:t>
      </w:r>
      <w:r w:rsidR="00041FAB">
        <w:rPr>
          <w:sz w:val="24"/>
        </w:rPr>
        <w:t>rogramas</w:t>
      </w:r>
      <w:r>
        <w:rPr>
          <w:sz w:val="24"/>
        </w:rPr>
        <w:t xml:space="preserve"> estatales de adaptación y mitigación y para la confección de las comunicaciones nacionales</w:t>
      </w:r>
      <w:r>
        <w:rPr>
          <w:rStyle w:val="FootnoteReference"/>
          <w:sz w:val="24"/>
        </w:rPr>
        <w:footnoteReference w:id="9"/>
      </w:r>
      <w:r>
        <w:rPr>
          <w:sz w:val="24"/>
        </w:rPr>
        <w:t xml:space="preserve">. </w:t>
      </w:r>
    </w:p>
    <w:p w:rsidR="00D50CA6" w:rsidRDefault="00375BB7" w:rsidP="00BC2B85">
      <w:pPr>
        <w:pStyle w:val="ListParagraph"/>
        <w:numPr>
          <w:ilvl w:val="0"/>
          <w:numId w:val="23"/>
        </w:numPr>
        <w:ind w:left="567" w:hanging="567"/>
        <w:jc w:val="both"/>
        <w:rPr>
          <w:sz w:val="24"/>
        </w:rPr>
      </w:pPr>
      <w:r>
        <w:rPr>
          <w:sz w:val="24"/>
        </w:rPr>
        <w:t>Con respecto al tema de la formación de alianzas estratégicas, la evaluación no ha podido determinar que éstas se hayan producido, al menos formalmente. Las alianzas de largo plazo que existen son las mismas que hace una década atrás (PNUD, BID, IRDB, etc</w:t>
      </w:r>
      <w:r w:rsidR="00041FAB">
        <w:rPr>
          <w:sz w:val="24"/>
        </w:rPr>
        <w:t>.</w:t>
      </w:r>
      <w:r>
        <w:rPr>
          <w:sz w:val="24"/>
        </w:rPr>
        <w:t xml:space="preserve">). No se ha podido establecer que como resultado de este proyecto, se hayan producido alianzas importantes con otros sectores del gobierno, pero si se puede mencionar que se logró incorporar a la Secretaría de Hacienda en las discusiones ambientales, situación poco probable una década atrás. La incorporación de Hacienda provocará una mayor sensibilidad y entendimiento del </w:t>
      </w:r>
      <w:r>
        <w:rPr>
          <w:sz w:val="24"/>
        </w:rPr>
        <w:lastRenderedPageBreak/>
        <w:t xml:space="preserve">tema ambiental de esa </w:t>
      </w:r>
      <w:r w:rsidR="00041FAB">
        <w:rPr>
          <w:sz w:val="24"/>
        </w:rPr>
        <w:t>S</w:t>
      </w:r>
      <w:r>
        <w:rPr>
          <w:sz w:val="24"/>
        </w:rPr>
        <w:t>ecretaría, por lo que la obtención de mayores recursos para futuras actividades podría estar más asegurada que en el pasado</w:t>
      </w:r>
      <w:r>
        <w:rPr>
          <w:rStyle w:val="FootnoteReference"/>
          <w:sz w:val="24"/>
        </w:rPr>
        <w:footnoteReference w:id="10"/>
      </w:r>
      <w:r>
        <w:rPr>
          <w:sz w:val="24"/>
        </w:rPr>
        <w:t xml:space="preserve">.  </w:t>
      </w:r>
      <w:r w:rsidR="00D50CA6">
        <w:rPr>
          <w:sz w:val="24"/>
        </w:rPr>
        <w:t xml:space="preserve"> </w:t>
      </w:r>
    </w:p>
    <w:p w:rsidR="00932396" w:rsidRPr="008B38C5" w:rsidRDefault="00AA5B2A" w:rsidP="006351AE">
      <w:pPr>
        <w:pStyle w:val="ListParagraph"/>
        <w:numPr>
          <w:ilvl w:val="0"/>
          <w:numId w:val="24"/>
        </w:numPr>
        <w:shd w:val="clear" w:color="auto" w:fill="92D050"/>
        <w:spacing w:before="360" w:after="360" w:line="240" w:lineRule="auto"/>
        <w:contextualSpacing w:val="0"/>
        <w:rPr>
          <w:b/>
          <w:i/>
          <w:sz w:val="24"/>
          <w:u w:val="single"/>
        </w:rPr>
      </w:pPr>
      <w:r w:rsidRPr="008B38C5">
        <w:rPr>
          <w:b/>
          <w:i/>
          <w:sz w:val="24"/>
          <w:u w:val="single"/>
        </w:rPr>
        <w:t>Conclusiones</w:t>
      </w:r>
    </w:p>
    <w:p w:rsidR="006351AE" w:rsidRDefault="006351AE" w:rsidP="00BC2B85">
      <w:pPr>
        <w:pStyle w:val="ListParagraph"/>
        <w:numPr>
          <w:ilvl w:val="0"/>
          <w:numId w:val="23"/>
        </w:numPr>
        <w:ind w:left="567" w:hanging="567"/>
        <w:jc w:val="both"/>
        <w:rPr>
          <w:sz w:val="24"/>
        </w:rPr>
      </w:pPr>
      <w:r>
        <w:rPr>
          <w:sz w:val="24"/>
        </w:rPr>
        <w:t xml:space="preserve">La planificación y la elaboración de políticas ambientales transversales y de largo plazo, que puedan proteger los componentes ambientales de importancia global, es un tema totalmente relevante y oportuno para México, por lo que los objetivos de desarrollo del proyecto es totalmente atingente. </w:t>
      </w:r>
    </w:p>
    <w:p w:rsidR="00E061C8" w:rsidRDefault="006351AE" w:rsidP="00BC2B85">
      <w:pPr>
        <w:pStyle w:val="ListParagraph"/>
        <w:numPr>
          <w:ilvl w:val="0"/>
          <w:numId w:val="23"/>
        </w:numPr>
        <w:ind w:left="567" w:hanging="567"/>
        <w:jc w:val="both"/>
        <w:rPr>
          <w:sz w:val="24"/>
        </w:rPr>
      </w:pPr>
      <w:r>
        <w:rPr>
          <w:sz w:val="24"/>
        </w:rPr>
        <w:t>Sin embargo, e</w:t>
      </w:r>
      <w:r w:rsidR="00E061C8">
        <w:rPr>
          <w:sz w:val="24"/>
        </w:rPr>
        <w:t xml:space="preserve">l diseño del proyecto fue equivocado desde un comienzo, puesto que los objetivos y resultados propuestos, no correspondían a </w:t>
      </w:r>
      <w:r w:rsidR="00467E8D">
        <w:rPr>
          <w:sz w:val="24"/>
        </w:rPr>
        <w:t>un apoyo de corto plazo (1 año) y además chocaba con los aspectos de legislación en cuanto a planeación del gobierno.</w:t>
      </w:r>
    </w:p>
    <w:p w:rsidR="00E061C8" w:rsidRDefault="00E061C8" w:rsidP="00BC2B85">
      <w:pPr>
        <w:pStyle w:val="ListParagraph"/>
        <w:numPr>
          <w:ilvl w:val="0"/>
          <w:numId w:val="23"/>
        </w:numPr>
        <w:ind w:left="567" w:hanging="567"/>
        <w:jc w:val="both"/>
        <w:rPr>
          <w:sz w:val="24"/>
        </w:rPr>
      </w:pPr>
      <w:r>
        <w:rPr>
          <w:sz w:val="24"/>
        </w:rPr>
        <w:t>El proyecto, por lo tanto, quedó obsoleto incluso durante su tramitación para aprobación por parte del GEF.</w:t>
      </w:r>
    </w:p>
    <w:p w:rsidR="003541C8" w:rsidRDefault="003541C8" w:rsidP="003541C8">
      <w:pPr>
        <w:pStyle w:val="ListParagraph"/>
        <w:numPr>
          <w:ilvl w:val="0"/>
          <w:numId w:val="23"/>
        </w:numPr>
        <w:ind w:left="567" w:hanging="567"/>
        <w:jc w:val="both"/>
        <w:rPr>
          <w:sz w:val="24"/>
        </w:rPr>
      </w:pPr>
      <w:r>
        <w:rPr>
          <w:sz w:val="24"/>
        </w:rPr>
        <w:t xml:space="preserve">En cuanto a la administración, se debe mencionar que la eliminación del coordinador y la administración parcial entregada a la Unidad GEF en </w:t>
      </w:r>
      <w:r w:rsidR="0041769A">
        <w:rPr>
          <w:sz w:val="24"/>
        </w:rPr>
        <w:t>SEMARNAT</w:t>
      </w:r>
      <w:r>
        <w:rPr>
          <w:sz w:val="24"/>
        </w:rPr>
        <w:t xml:space="preserve"> (s</w:t>
      </w:r>
      <w:r w:rsidR="00AF2276">
        <w:rPr>
          <w:sz w:val="24"/>
        </w:rPr>
        <w:t>ó</w:t>
      </w:r>
      <w:r>
        <w:rPr>
          <w:sz w:val="24"/>
        </w:rPr>
        <w:t>lo administración de contratos), tuvieron un impacto negativo, debido a que las responsabilidades y dirección del proyecto se volvieron difusas.</w:t>
      </w:r>
      <w:r w:rsidR="006A40CF">
        <w:rPr>
          <w:sz w:val="24"/>
        </w:rPr>
        <w:t xml:space="preserve"> Finalmente, </w:t>
      </w:r>
      <w:r w:rsidR="003470A4">
        <w:rPr>
          <w:sz w:val="24"/>
        </w:rPr>
        <w:t xml:space="preserve">aunque existieron variadas comunicaciones entre los actores referentes a la preocupación y la necesidad de finalizar las actividades del proyecto, </w:t>
      </w:r>
      <w:r w:rsidR="006A40CF">
        <w:rPr>
          <w:sz w:val="24"/>
        </w:rPr>
        <w:t xml:space="preserve">faltó </w:t>
      </w:r>
      <w:r w:rsidR="003470A4">
        <w:rPr>
          <w:sz w:val="24"/>
        </w:rPr>
        <w:t xml:space="preserve">una </w:t>
      </w:r>
      <w:r w:rsidR="006A40CF">
        <w:rPr>
          <w:sz w:val="24"/>
        </w:rPr>
        <w:t xml:space="preserve">mayor gestión de PNUD para asesorar a </w:t>
      </w:r>
      <w:r w:rsidR="0041769A">
        <w:rPr>
          <w:sz w:val="24"/>
        </w:rPr>
        <w:t>SEMARNAT</w:t>
      </w:r>
      <w:r w:rsidR="006A40CF">
        <w:rPr>
          <w:sz w:val="24"/>
        </w:rPr>
        <w:t xml:space="preserve"> en cerrar el proyecto, cuando aún existía una percepción </w:t>
      </w:r>
      <w:r w:rsidR="004711AF">
        <w:rPr>
          <w:sz w:val="24"/>
        </w:rPr>
        <w:t xml:space="preserve">razonablemente </w:t>
      </w:r>
      <w:r w:rsidR="006A40CF">
        <w:rPr>
          <w:sz w:val="24"/>
        </w:rPr>
        <w:t xml:space="preserve">positiva (en el 2007).  </w:t>
      </w:r>
    </w:p>
    <w:p w:rsidR="003541C8" w:rsidRDefault="003541C8" w:rsidP="00BC2B85">
      <w:pPr>
        <w:pStyle w:val="ListParagraph"/>
        <w:numPr>
          <w:ilvl w:val="0"/>
          <w:numId w:val="23"/>
        </w:numPr>
        <w:ind w:left="567" w:hanging="567"/>
        <w:jc w:val="both"/>
        <w:rPr>
          <w:sz w:val="24"/>
        </w:rPr>
      </w:pPr>
      <w:r>
        <w:rPr>
          <w:sz w:val="24"/>
        </w:rPr>
        <w:t xml:space="preserve">Los continuos cambios de autoridades en </w:t>
      </w:r>
      <w:r w:rsidR="0041769A">
        <w:rPr>
          <w:sz w:val="24"/>
        </w:rPr>
        <w:t>SEMARNAT</w:t>
      </w:r>
      <w:r>
        <w:rPr>
          <w:sz w:val="24"/>
        </w:rPr>
        <w:t xml:space="preserve"> impactaron negativamente la marcha del proyecto, retrasándolo e impidiendo el cierre oportuno de sus actividades. También se puede mencionar que PNUD también presentó cambios en su equipo de proyectos, lo que redundó también en atrasos.</w:t>
      </w:r>
    </w:p>
    <w:p w:rsidR="003300B9" w:rsidRDefault="003300B9" w:rsidP="00BC2B85">
      <w:pPr>
        <w:pStyle w:val="ListParagraph"/>
        <w:numPr>
          <w:ilvl w:val="0"/>
          <w:numId w:val="23"/>
        </w:numPr>
        <w:ind w:left="567" w:hanging="567"/>
        <w:jc w:val="both"/>
        <w:rPr>
          <w:sz w:val="24"/>
        </w:rPr>
      </w:pPr>
      <w:r>
        <w:rPr>
          <w:sz w:val="24"/>
        </w:rPr>
        <w:t>Con respecto a las contrapartidas, se estima que el gobierno mexicano cumplió su compromiso.</w:t>
      </w:r>
    </w:p>
    <w:p w:rsidR="00970FED" w:rsidRDefault="00970FED" w:rsidP="00BC2B85">
      <w:pPr>
        <w:pStyle w:val="ListParagraph"/>
        <w:numPr>
          <w:ilvl w:val="0"/>
          <w:numId w:val="23"/>
        </w:numPr>
        <w:ind w:left="567" w:hanging="567"/>
        <w:jc w:val="both"/>
        <w:rPr>
          <w:sz w:val="24"/>
        </w:rPr>
      </w:pPr>
      <w:r>
        <w:rPr>
          <w:sz w:val="24"/>
        </w:rPr>
        <w:t>El impacto del proyecto en la elaboración de políticas y programas resultó difícil a estimar, debido a la falta de indicadores apropiados para el propio proyecto. Estos indicadores están centrados más en productos que en resultados.</w:t>
      </w:r>
    </w:p>
    <w:p w:rsidR="00970FED" w:rsidRDefault="00970FED" w:rsidP="00BC2B85">
      <w:pPr>
        <w:pStyle w:val="ListParagraph"/>
        <w:numPr>
          <w:ilvl w:val="0"/>
          <w:numId w:val="23"/>
        </w:numPr>
        <w:ind w:left="567" w:hanging="567"/>
        <w:jc w:val="both"/>
        <w:rPr>
          <w:sz w:val="24"/>
        </w:rPr>
      </w:pPr>
      <w:r>
        <w:rPr>
          <w:sz w:val="24"/>
        </w:rPr>
        <w:t>Otro aspecto que hace difícil estimar la influencia del proyecto en la toma de decisiones y en la elaboración de políticas ambientales de largo plazo, es la falta de referencias al proyecto en los documentos de políticas y p</w:t>
      </w:r>
      <w:r w:rsidR="00AF2276">
        <w:rPr>
          <w:sz w:val="24"/>
        </w:rPr>
        <w:t>rogramas</w:t>
      </w:r>
      <w:r>
        <w:rPr>
          <w:sz w:val="24"/>
        </w:rPr>
        <w:t xml:space="preserve">. Por ejemplo, en </w:t>
      </w:r>
      <w:r>
        <w:rPr>
          <w:sz w:val="24"/>
        </w:rPr>
        <w:lastRenderedPageBreak/>
        <w:t xml:space="preserve">el estudio de la economía del cambio climático o en el </w:t>
      </w:r>
      <w:r w:rsidR="00AF2276">
        <w:rPr>
          <w:sz w:val="24"/>
        </w:rPr>
        <w:t>Programa</w:t>
      </w:r>
      <w:r>
        <w:rPr>
          <w:sz w:val="24"/>
        </w:rPr>
        <w:t xml:space="preserve"> </w:t>
      </w:r>
      <w:r w:rsidR="00AF2276">
        <w:rPr>
          <w:sz w:val="24"/>
        </w:rPr>
        <w:t>E</w:t>
      </w:r>
      <w:r>
        <w:rPr>
          <w:sz w:val="24"/>
        </w:rPr>
        <w:t>special 2007-2012, no existe ninguna referencia a insumos del proyecto (estudios, actividades, etc</w:t>
      </w:r>
      <w:r w:rsidR="004F29C9">
        <w:rPr>
          <w:sz w:val="24"/>
        </w:rPr>
        <w:t>.</w:t>
      </w:r>
      <w:r>
        <w:rPr>
          <w:sz w:val="24"/>
        </w:rPr>
        <w:t xml:space="preserve">), a pesar de que se sabe </w:t>
      </w:r>
      <w:r w:rsidR="006E13C4">
        <w:rPr>
          <w:sz w:val="24"/>
        </w:rPr>
        <w:t xml:space="preserve">estos insumos </w:t>
      </w:r>
      <w:r>
        <w:rPr>
          <w:sz w:val="24"/>
        </w:rPr>
        <w:t>fueron importantes para la elaboración de esos instrumentos de política.</w:t>
      </w:r>
    </w:p>
    <w:p w:rsidR="009E4A44" w:rsidRDefault="008274DC" w:rsidP="00BC2B85">
      <w:pPr>
        <w:pStyle w:val="ListParagraph"/>
        <w:numPr>
          <w:ilvl w:val="0"/>
          <w:numId w:val="23"/>
        </w:numPr>
        <w:ind w:left="567" w:hanging="567"/>
        <w:jc w:val="both"/>
        <w:rPr>
          <w:sz w:val="24"/>
        </w:rPr>
      </w:pPr>
      <w:r>
        <w:rPr>
          <w:sz w:val="24"/>
        </w:rPr>
        <w:t>U</w:t>
      </w:r>
      <w:r w:rsidR="009E4A44">
        <w:rPr>
          <w:sz w:val="24"/>
        </w:rPr>
        <w:t xml:space="preserve">no de los logros importantes del proyecto fue enlazar los temas económicos y los ambientales, involucrando a la </w:t>
      </w:r>
      <w:r w:rsidR="004F29C9">
        <w:rPr>
          <w:sz w:val="24"/>
        </w:rPr>
        <w:t>S</w:t>
      </w:r>
      <w:r w:rsidR="009E4A44">
        <w:rPr>
          <w:sz w:val="24"/>
        </w:rPr>
        <w:t xml:space="preserve">ecretaría de </w:t>
      </w:r>
      <w:r w:rsidR="004F29C9">
        <w:rPr>
          <w:sz w:val="24"/>
        </w:rPr>
        <w:t>H</w:t>
      </w:r>
      <w:r w:rsidR="009E4A44">
        <w:rPr>
          <w:sz w:val="24"/>
        </w:rPr>
        <w:t xml:space="preserve">acienda en la discusión ambiental. </w:t>
      </w:r>
    </w:p>
    <w:p w:rsidR="009E4A44" w:rsidRDefault="009E4A44" w:rsidP="00BC2B85">
      <w:pPr>
        <w:pStyle w:val="ListParagraph"/>
        <w:numPr>
          <w:ilvl w:val="0"/>
          <w:numId w:val="23"/>
        </w:numPr>
        <w:ind w:left="567" w:hanging="567"/>
        <w:jc w:val="both"/>
        <w:rPr>
          <w:sz w:val="24"/>
        </w:rPr>
      </w:pPr>
      <w:r>
        <w:rPr>
          <w:sz w:val="24"/>
        </w:rPr>
        <w:t xml:space="preserve">El proyecto tuvo </w:t>
      </w:r>
      <w:r w:rsidR="0012234F">
        <w:rPr>
          <w:sz w:val="24"/>
        </w:rPr>
        <w:t>2</w:t>
      </w:r>
      <w:r>
        <w:rPr>
          <w:sz w:val="24"/>
        </w:rPr>
        <w:t xml:space="preserve"> estudios que podrían identificarse claramente como originadores de instrumentos de planificación y de políticas de largo plazo: el de escenarios económicos y los escenarios de vulnerabilidad y adaptabilidad. Los otros estudios tuvieron efectos más bien difusos y no se pueden asociar claramente a instrumentos de planificación de largo plazo.</w:t>
      </w:r>
    </w:p>
    <w:p w:rsidR="00152067" w:rsidRDefault="00152067" w:rsidP="00BC2B85">
      <w:pPr>
        <w:pStyle w:val="ListParagraph"/>
        <w:numPr>
          <w:ilvl w:val="0"/>
          <w:numId w:val="23"/>
        </w:numPr>
        <w:ind w:left="567" w:hanging="567"/>
        <w:jc w:val="both"/>
        <w:rPr>
          <w:sz w:val="24"/>
        </w:rPr>
      </w:pPr>
      <w:r>
        <w:rPr>
          <w:sz w:val="24"/>
        </w:rPr>
        <w:t>El Proyecto pudo levantar recursos para diseño de políticas en cambio climático, pero no se puede aseverar que haya producido alianzas estratégicas importantes con donantes, agencias de gobierno</w:t>
      </w:r>
      <w:r w:rsidR="00267709">
        <w:rPr>
          <w:sz w:val="24"/>
        </w:rPr>
        <w:t>, estados</w:t>
      </w:r>
      <w:r>
        <w:rPr>
          <w:sz w:val="24"/>
        </w:rPr>
        <w:t xml:space="preserve"> o con la sociedad civil.</w:t>
      </w:r>
      <w:r w:rsidR="00267709">
        <w:rPr>
          <w:sz w:val="24"/>
        </w:rPr>
        <w:t xml:space="preserve"> Este proyecto convocó a un espectro limitado de actores, restringidos principalmente al gobierno federal.</w:t>
      </w:r>
    </w:p>
    <w:p w:rsidR="00152067" w:rsidRDefault="00152067" w:rsidP="00BC2B85">
      <w:pPr>
        <w:pStyle w:val="ListParagraph"/>
        <w:numPr>
          <w:ilvl w:val="0"/>
          <w:numId w:val="23"/>
        </w:numPr>
        <w:ind w:left="567" w:hanging="567"/>
        <w:jc w:val="both"/>
        <w:rPr>
          <w:sz w:val="24"/>
        </w:rPr>
      </w:pPr>
      <w:r>
        <w:rPr>
          <w:sz w:val="24"/>
        </w:rPr>
        <w:t>Las organizaciones de la sociedad civil estuvieron totalmente ausentes en el diseño y ejecución del proyecto.</w:t>
      </w:r>
    </w:p>
    <w:p w:rsidR="008934A8" w:rsidRDefault="00152067" w:rsidP="00BC2B85">
      <w:pPr>
        <w:pStyle w:val="ListParagraph"/>
        <w:numPr>
          <w:ilvl w:val="0"/>
          <w:numId w:val="23"/>
        </w:numPr>
        <w:ind w:left="567" w:hanging="567"/>
        <w:jc w:val="both"/>
        <w:rPr>
          <w:sz w:val="24"/>
        </w:rPr>
      </w:pPr>
      <w:r>
        <w:rPr>
          <w:sz w:val="24"/>
        </w:rPr>
        <w:t>La sostenibilidad de los resultados del proyecto no se pudo verificar</w:t>
      </w:r>
      <w:r w:rsidR="008934A8">
        <w:rPr>
          <w:sz w:val="24"/>
        </w:rPr>
        <w:t xml:space="preserve"> y es muy probable que los actores </w:t>
      </w:r>
      <w:r w:rsidR="0004347B">
        <w:rPr>
          <w:sz w:val="24"/>
        </w:rPr>
        <w:t>se olviden d</w:t>
      </w:r>
      <w:r w:rsidR="008934A8">
        <w:rPr>
          <w:sz w:val="24"/>
        </w:rPr>
        <w:t>e sus resultados</w:t>
      </w:r>
      <w:r w:rsidR="0004347B">
        <w:rPr>
          <w:sz w:val="24"/>
        </w:rPr>
        <w:t xml:space="preserve"> positivos</w:t>
      </w:r>
      <w:r w:rsidR="008934A8">
        <w:rPr>
          <w:sz w:val="24"/>
        </w:rPr>
        <w:t>, debido a la mala percepción general que existe de la ejecución del proyecto, principalmente por las continuas extensiones.</w:t>
      </w:r>
      <w:r w:rsidR="0004347B">
        <w:rPr>
          <w:sz w:val="24"/>
        </w:rPr>
        <w:t xml:space="preserve"> </w:t>
      </w:r>
      <w:r w:rsidR="0049505B">
        <w:rPr>
          <w:sz w:val="24"/>
        </w:rPr>
        <w:t>Se puede afirmar que falta mucha apropiación de los actores con la mayor parte de los productos y resultados del proyecto.</w:t>
      </w:r>
    </w:p>
    <w:p w:rsidR="0004347B" w:rsidRDefault="0004347B" w:rsidP="00BC2B85">
      <w:pPr>
        <w:pStyle w:val="ListParagraph"/>
        <w:numPr>
          <w:ilvl w:val="0"/>
          <w:numId w:val="23"/>
        </w:numPr>
        <w:ind w:left="567" w:hanging="567"/>
        <w:jc w:val="both"/>
        <w:rPr>
          <w:sz w:val="24"/>
        </w:rPr>
      </w:pPr>
      <w:r>
        <w:rPr>
          <w:sz w:val="24"/>
        </w:rPr>
        <w:t>El mayor riesgo que ahora se podría enfrentar en términos de sostenibilidad, sería la pérdida de vigencia de los estudios, varios de los cuales no se conoce claramente su utilización.</w:t>
      </w:r>
    </w:p>
    <w:p w:rsidR="0004347B" w:rsidRDefault="0004347B" w:rsidP="00BC2B85">
      <w:pPr>
        <w:pStyle w:val="ListParagraph"/>
        <w:numPr>
          <w:ilvl w:val="0"/>
          <w:numId w:val="23"/>
        </w:numPr>
        <w:ind w:left="567" w:hanging="567"/>
        <w:jc w:val="both"/>
        <w:rPr>
          <w:sz w:val="24"/>
        </w:rPr>
      </w:pPr>
      <w:r>
        <w:rPr>
          <w:sz w:val="24"/>
        </w:rPr>
        <w:t>El proyecto no produjo resultados en el tema de biodiversidad.</w:t>
      </w:r>
    </w:p>
    <w:p w:rsidR="0049505B" w:rsidRDefault="00BB2D5F" w:rsidP="00BC2B85">
      <w:pPr>
        <w:pStyle w:val="ListParagraph"/>
        <w:numPr>
          <w:ilvl w:val="0"/>
          <w:numId w:val="23"/>
        </w:numPr>
        <w:ind w:left="567" w:hanging="567"/>
        <w:jc w:val="both"/>
        <w:rPr>
          <w:sz w:val="24"/>
        </w:rPr>
      </w:pPr>
      <w:r>
        <w:rPr>
          <w:sz w:val="24"/>
        </w:rPr>
        <w:t xml:space="preserve">La introducción de una cultura de planificación de largo plazo en México está aún pendiente, a pesar de los esfuerzos del gobierno mexicano por elaborar planes a 20-25 años, éstos no garantizan la continuidad de las políticas ambientales. </w:t>
      </w:r>
    </w:p>
    <w:p w:rsidR="00681B98" w:rsidRPr="00563B58" w:rsidRDefault="0049505B" w:rsidP="00BC2B85">
      <w:pPr>
        <w:pStyle w:val="ListParagraph"/>
        <w:numPr>
          <w:ilvl w:val="0"/>
          <w:numId w:val="23"/>
        </w:numPr>
        <w:ind w:left="567" w:hanging="567"/>
        <w:jc w:val="both"/>
        <w:rPr>
          <w:sz w:val="24"/>
        </w:rPr>
      </w:pPr>
      <w:r w:rsidRPr="00563B58">
        <w:rPr>
          <w:sz w:val="24"/>
        </w:rPr>
        <w:t>Dentro del proceso de planeación de largo plazo, está también pendiente la participación de la sociedad civil y de las autoridades de los estados.</w:t>
      </w:r>
      <w:r w:rsidR="0004347B" w:rsidRPr="00563B58">
        <w:rPr>
          <w:sz w:val="24"/>
        </w:rPr>
        <w:t xml:space="preserve">  </w:t>
      </w:r>
      <w:r w:rsidR="00276186" w:rsidRPr="00563B58">
        <w:rPr>
          <w:sz w:val="24"/>
        </w:rPr>
        <w:t xml:space="preserve"> </w:t>
      </w:r>
    </w:p>
    <w:p w:rsidR="00932396" w:rsidRPr="00A028A9" w:rsidRDefault="00AA5B2A" w:rsidP="006351AE">
      <w:pPr>
        <w:pStyle w:val="ListParagraph"/>
        <w:numPr>
          <w:ilvl w:val="0"/>
          <w:numId w:val="24"/>
        </w:numPr>
        <w:shd w:val="clear" w:color="auto" w:fill="92D050"/>
        <w:spacing w:before="360" w:after="360" w:line="240" w:lineRule="auto"/>
        <w:ind w:left="567" w:hanging="567"/>
        <w:contextualSpacing w:val="0"/>
        <w:rPr>
          <w:b/>
          <w:i/>
          <w:sz w:val="24"/>
          <w:u w:val="single"/>
        </w:rPr>
      </w:pPr>
      <w:r w:rsidRPr="00A028A9">
        <w:rPr>
          <w:b/>
          <w:i/>
          <w:sz w:val="24"/>
          <w:u w:val="single"/>
        </w:rPr>
        <w:t>Recomendaciones</w:t>
      </w:r>
    </w:p>
    <w:p w:rsidR="00563B58" w:rsidRDefault="00563B58" w:rsidP="00563B58">
      <w:pPr>
        <w:pStyle w:val="ListParagraph"/>
        <w:numPr>
          <w:ilvl w:val="0"/>
          <w:numId w:val="23"/>
        </w:numPr>
        <w:ind w:left="567" w:hanging="567"/>
        <w:jc w:val="both"/>
        <w:rPr>
          <w:sz w:val="24"/>
        </w:rPr>
      </w:pPr>
      <w:r>
        <w:rPr>
          <w:sz w:val="24"/>
        </w:rPr>
        <w:t xml:space="preserve">En el futuro, se debería evitar todo lo posible este tipo de asistencia de corto plazo, a menos que se tenga certeza que los tiempos de aprobación y ejecución se encuentren razonablemente dentro de lo denominado “corto plazo” y que además </w:t>
      </w:r>
      <w:r>
        <w:rPr>
          <w:sz w:val="24"/>
        </w:rPr>
        <w:lastRenderedPageBreak/>
        <w:t xml:space="preserve">los objetivos sean concretos y simples, consistentes con el </w:t>
      </w:r>
      <w:r w:rsidR="00831B07">
        <w:rPr>
          <w:sz w:val="24"/>
        </w:rPr>
        <w:t>lapso de ejecución programado</w:t>
      </w:r>
      <w:r>
        <w:rPr>
          <w:sz w:val="24"/>
        </w:rPr>
        <w:t>.</w:t>
      </w:r>
    </w:p>
    <w:p w:rsidR="00563B58" w:rsidRDefault="00563B58" w:rsidP="00563B58">
      <w:pPr>
        <w:pStyle w:val="ListParagraph"/>
        <w:numPr>
          <w:ilvl w:val="0"/>
          <w:numId w:val="23"/>
        </w:numPr>
        <w:ind w:left="567" w:hanging="567"/>
        <w:jc w:val="both"/>
        <w:rPr>
          <w:sz w:val="24"/>
        </w:rPr>
      </w:pPr>
      <w:r>
        <w:rPr>
          <w:sz w:val="24"/>
        </w:rPr>
        <w:t>Es muy importante que en el futuro exista un coordinador que centralice responsabilidades y dirección de los proyectos. Se debiera evitar la gestión “parcial” de componentes de los proyectos sin atribuciones suficientes para enmendar el rumbo cuando sea necesario.</w:t>
      </w:r>
    </w:p>
    <w:p w:rsidR="00563B58" w:rsidRDefault="00563B58" w:rsidP="00563B58">
      <w:pPr>
        <w:pStyle w:val="ListParagraph"/>
        <w:numPr>
          <w:ilvl w:val="0"/>
          <w:numId w:val="23"/>
        </w:numPr>
        <w:ind w:left="567" w:hanging="567"/>
        <w:jc w:val="both"/>
        <w:rPr>
          <w:sz w:val="24"/>
        </w:rPr>
      </w:pPr>
      <w:r>
        <w:rPr>
          <w:sz w:val="24"/>
        </w:rPr>
        <w:t>Para afianzar la sostenibilidad de los resultados del proyecto, se recomienda realizar actividades de participación de las organizaciones de la sociedad civil en la planificación ambiental. Se sugiere comenzar la participación en temas de planificación locales e ir avanzando gradualmente en planificación participativa a nivel estatal y federal.</w:t>
      </w:r>
    </w:p>
    <w:p w:rsidR="00563B58" w:rsidRDefault="00413561" w:rsidP="00563B58">
      <w:pPr>
        <w:pStyle w:val="ListParagraph"/>
        <w:numPr>
          <w:ilvl w:val="0"/>
          <w:numId w:val="23"/>
        </w:numPr>
        <w:ind w:left="567" w:hanging="567"/>
        <w:jc w:val="both"/>
        <w:rPr>
          <w:sz w:val="24"/>
        </w:rPr>
      </w:pPr>
      <w:r>
        <w:rPr>
          <w:sz w:val="24"/>
        </w:rPr>
        <w:t>En el futuro, sería recomendable que los documentos de política ambiental y los p</w:t>
      </w:r>
      <w:r w:rsidR="00831B07">
        <w:rPr>
          <w:sz w:val="24"/>
        </w:rPr>
        <w:t>rogramas</w:t>
      </w:r>
      <w:r>
        <w:rPr>
          <w:sz w:val="24"/>
        </w:rPr>
        <w:t xml:space="preserve"> (aunque sean simples), hagan referencias específicas a los insumos que los distintos proyectos han generado. Esta sería una forma de estimar la influencia de estos proyectos en el diseño de las políticas públicas. </w:t>
      </w:r>
    </w:p>
    <w:p w:rsidR="00681BC4" w:rsidRPr="00681BC4" w:rsidRDefault="00681BC4" w:rsidP="006351AE">
      <w:pPr>
        <w:pStyle w:val="ListParagraph"/>
        <w:numPr>
          <w:ilvl w:val="0"/>
          <w:numId w:val="24"/>
        </w:numPr>
        <w:shd w:val="clear" w:color="auto" w:fill="92D050"/>
        <w:spacing w:before="360" w:after="360" w:line="240" w:lineRule="auto"/>
        <w:ind w:left="567" w:hanging="567"/>
        <w:contextualSpacing w:val="0"/>
        <w:rPr>
          <w:b/>
          <w:i/>
          <w:sz w:val="24"/>
          <w:u w:val="single"/>
        </w:rPr>
      </w:pPr>
      <w:r w:rsidRPr="00681BC4">
        <w:rPr>
          <w:b/>
          <w:i/>
          <w:sz w:val="24"/>
          <w:u w:val="single"/>
        </w:rPr>
        <w:t>Lecciones Aprendidas</w:t>
      </w:r>
    </w:p>
    <w:p w:rsidR="00607415" w:rsidRDefault="00607415" w:rsidP="00B4171B">
      <w:pPr>
        <w:pStyle w:val="ListParagraph"/>
        <w:numPr>
          <w:ilvl w:val="0"/>
          <w:numId w:val="23"/>
        </w:numPr>
        <w:ind w:left="567" w:hanging="567"/>
        <w:jc w:val="both"/>
        <w:rPr>
          <w:sz w:val="24"/>
        </w:rPr>
      </w:pPr>
      <w:r>
        <w:rPr>
          <w:sz w:val="24"/>
        </w:rPr>
        <w:t>Los instrumentos de apoyo de corto plazo que puedan emanar del GEF, serán viables si y s</w:t>
      </w:r>
      <w:r w:rsidR="00831B07">
        <w:rPr>
          <w:sz w:val="24"/>
        </w:rPr>
        <w:t>ó</w:t>
      </w:r>
      <w:r>
        <w:rPr>
          <w:sz w:val="24"/>
        </w:rPr>
        <w:t>lo si existe una certeza de que su aprobación se logrará dentro de los márgenes del corto plazo y que los objetivos sean propios de una ayuda de corto plazo.</w:t>
      </w:r>
    </w:p>
    <w:p w:rsidR="00B4171B" w:rsidRDefault="00B4171B" w:rsidP="00B4171B">
      <w:pPr>
        <w:pStyle w:val="ListParagraph"/>
        <w:numPr>
          <w:ilvl w:val="0"/>
          <w:numId w:val="23"/>
        </w:numPr>
        <w:ind w:left="567" w:hanging="567"/>
        <w:jc w:val="both"/>
        <w:rPr>
          <w:sz w:val="24"/>
        </w:rPr>
      </w:pPr>
      <w:r>
        <w:rPr>
          <w:sz w:val="24"/>
        </w:rPr>
        <w:t>Aunque pueda resultar poco atractivo cerrar un proyecto, esto debiera realizarse cuando ya no se presentan actividades concretas, de forma de no generar percepciones negativas, producto de extensiones de plazos que no arrojan resultados claros.</w:t>
      </w:r>
    </w:p>
    <w:p w:rsidR="00EA2D43" w:rsidRDefault="00EA2D43" w:rsidP="00B4171B">
      <w:pPr>
        <w:pStyle w:val="ListParagraph"/>
        <w:numPr>
          <w:ilvl w:val="0"/>
          <w:numId w:val="23"/>
        </w:numPr>
        <w:ind w:left="567" w:hanging="567"/>
        <w:jc w:val="both"/>
        <w:rPr>
          <w:sz w:val="24"/>
        </w:rPr>
      </w:pPr>
      <w:r>
        <w:rPr>
          <w:sz w:val="24"/>
        </w:rPr>
        <w:t>En general, los proyectos no debieran durar más de un período presidencial.</w:t>
      </w:r>
    </w:p>
    <w:p w:rsidR="00BC15CD" w:rsidRDefault="008E5655" w:rsidP="00C115AF">
      <w:pPr>
        <w:pStyle w:val="ListParagraph"/>
        <w:numPr>
          <w:ilvl w:val="0"/>
          <w:numId w:val="23"/>
        </w:numPr>
        <w:ind w:left="567" w:hanging="567"/>
        <w:jc w:val="both"/>
        <w:rPr>
          <w:sz w:val="24"/>
        </w:rPr>
      </w:pPr>
      <w:r w:rsidRPr="00C115AF">
        <w:rPr>
          <w:sz w:val="24"/>
        </w:rPr>
        <w:t xml:space="preserve">Aunque existan órganos colegiados en los proyectos GEF, no debiera renunciarse a </w:t>
      </w:r>
      <w:r w:rsidR="00BC15CD">
        <w:rPr>
          <w:sz w:val="24"/>
        </w:rPr>
        <w:t xml:space="preserve">tener un coordinador de </w:t>
      </w:r>
      <w:r w:rsidRPr="00C115AF">
        <w:rPr>
          <w:sz w:val="24"/>
        </w:rPr>
        <w:t>proyecto</w:t>
      </w:r>
      <w:r w:rsidR="00BC15CD">
        <w:rPr>
          <w:sz w:val="24"/>
        </w:rPr>
        <w:t>, puesto que se necesita</w:t>
      </w:r>
      <w:r w:rsidRPr="00C115AF">
        <w:rPr>
          <w:sz w:val="24"/>
        </w:rPr>
        <w:t xml:space="preserve"> una dirección diaria y un responsable definido.</w:t>
      </w:r>
    </w:p>
    <w:p w:rsidR="00BC15CD" w:rsidRDefault="00BC15CD" w:rsidP="00C115AF">
      <w:pPr>
        <w:pStyle w:val="ListParagraph"/>
        <w:numPr>
          <w:ilvl w:val="0"/>
          <w:numId w:val="23"/>
        </w:numPr>
        <w:ind w:left="567" w:hanging="567"/>
        <w:jc w:val="both"/>
        <w:rPr>
          <w:sz w:val="24"/>
        </w:rPr>
      </w:pPr>
      <w:r>
        <w:rPr>
          <w:sz w:val="24"/>
        </w:rPr>
        <w:t>Una buena manera de “seguir” la influencia que podría tener un proyecto en la definición de p</w:t>
      </w:r>
      <w:r w:rsidR="00831B07">
        <w:rPr>
          <w:sz w:val="24"/>
        </w:rPr>
        <w:t>rogramas</w:t>
      </w:r>
      <w:r>
        <w:rPr>
          <w:sz w:val="24"/>
        </w:rPr>
        <w:t xml:space="preserve"> y políticas, sería adoptar la práctica de citar los insumos de estos proyectos en los documentos de los p</w:t>
      </w:r>
      <w:r w:rsidR="00831B07">
        <w:rPr>
          <w:sz w:val="24"/>
        </w:rPr>
        <w:t>rogramas</w:t>
      </w:r>
      <w:r>
        <w:rPr>
          <w:sz w:val="24"/>
        </w:rPr>
        <w:t xml:space="preserve"> y políticas.</w:t>
      </w:r>
    </w:p>
    <w:p w:rsidR="00C115AF" w:rsidRDefault="00BC15CD" w:rsidP="00C115AF">
      <w:pPr>
        <w:pStyle w:val="ListParagraph"/>
        <w:numPr>
          <w:ilvl w:val="0"/>
          <w:numId w:val="23"/>
        </w:numPr>
        <w:ind w:left="567" w:hanging="567"/>
        <w:jc w:val="both"/>
        <w:rPr>
          <w:sz w:val="24"/>
        </w:rPr>
      </w:pPr>
      <w:r>
        <w:rPr>
          <w:sz w:val="24"/>
        </w:rPr>
        <w:t>Es importante que los proyectos que buscan definir planes y metas de largo plazo, cuenten con una participación amplia de actores</w:t>
      </w:r>
      <w:r w:rsidR="00831B07">
        <w:rPr>
          <w:sz w:val="24"/>
        </w:rPr>
        <w:t xml:space="preserve"> </w:t>
      </w:r>
      <w:r>
        <w:rPr>
          <w:sz w:val="24"/>
        </w:rPr>
        <w:t>-tanto en el diseño como la implementación- de manera de consolidar una mayor apropiación y legitimización de los resultados de estos proyectos.</w:t>
      </w:r>
      <w:r w:rsidR="00C115AF" w:rsidRPr="00C115AF">
        <w:rPr>
          <w:sz w:val="24"/>
        </w:rPr>
        <w:t xml:space="preserve"> </w:t>
      </w:r>
    </w:p>
    <w:p w:rsidR="00C24FC6" w:rsidRDefault="00C24FC6" w:rsidP="00C24FC6">
      <w:pPr>
        <w:jc w:val="both"/>
        <w:rPr>
          <w:sz w:val="24"/>
        </w:rPr>
      </w:pPr>
    </w:p>
    <w:p w:rsidR="00E561C6" w:rsidRDefault="00AA5B2A" w:rsidP="006351AE">
      <w:pPr>
        <w:pStyle w:val="ListParagraph"/>
        <w:numPr>
          <w:ilvl w:val="0"/>
          <w:numId w:val="24"/>
        </w:numPr>
        <w:shd w:val="clear" w:color="auto" w:fill="92D050"/>
        <w:spacing w:before="360" w:after="360" w:line="240" w:lineRule="auto"/>
        <w:ind w:left="567" w:hanging="567"/>
        <w:contextualSpacing w:val="0"/>
        <w:rPr>
          <w:b/>
          <w:i/>
          <w:sz w:val="24"/>
          <w:u w:val="single"/>
        </w:rPr>
      </w:pPr>
      <w:r w:rsidRPr="00A5247A">
        <w:rPr>
          <w:b/>
          <w:i/>
          <w:sz w:val="24"/>
          <w:u w:val="single"/>
        </w:rPr>
        <w:lastRenderedPageBreak/>
        <w:t>Calificación del P</w:t>
      </w:r>
      <w:r w:rsidRPr="00A5247A">
        <w:rPr>
          <w:rFonts w:cs="Calibri"/>
          <w:b/>
          <w:i/>
          <w:sz w:val="24"/>
          <w:u w:val="single"/>
        </w:rPr>
        <w:t>r</w:t>
      </w:r>
      <w:r w:rsidR="00AC3815">
        <w:rPr>
          <w:b/>
          <w:i/>
          <w:sz w:val="24"/>
          <w:u w:val="single"/>
        </w:rPr>
        <w:t>oyecto</w:t>
      </w:r>
    </w:p>
    <w:p w:rsidR="00C115AF" w:rsidRDefault="00C115AF" w:rsidP="00C115AF">
      <w:pPr>
        <w:pStyle w:val="ListParagraph"/>
        <w:numPr>
          <w:ilvl w:val="0"/>
          <w:numId w:val="23"/>
        </w:numPr>
        <w:ind w:left="567" w:hanging="567"/>
        <w:jc w:val="both"/>
        <w:rPr>
          <w:sz w:val="24"/>
        </w:rPr>
      </w:pPr>
      <w:r w:rsidRPr="00C115AF">
        <w:rPr>
          <w:sz w:val="24"/>
        </w:rPr>
        <w:t>Basado en el análisis desarrollado durante el proceso de evaluación final del proyecto, las siguientes son las calificaciones para las distintas etapas del ciclo del proyecto, de acuerdo a lo solicitado en los T</w:t>
      </w:r>
      <w:r w:rsidR="00EB5024">
        <w:rPr>
          <w:sz w:val="24"/>
        </w:rPr>
        <w:t>O</w:t>
      </w:r>
      <w:r w:rsidRPr="00C115AF">
        <w:rPr>
          <w:sz w:val="24"/>
        </w:rPr>
        <w:t>R</w:t>
      </w:r>
      <w:r>
        <w:rPr>
          <w:sz w:val="24"/>
        </w:rPr>
        <w:t xml:space="preserve"> (ver </w:t>
      </w:r>
      <w:r w:rsidR="00BC15CD">
        <w:rPr>
          <w:sz w:val="24"/>
        </w:rPr>
        <w:t xml:space="preserve"> Cuadro Nº 1</w:t>
      </w:r>
      <w:r>
        <w:rPr>
          <w:sz w:val="24"/>
        </w:rPr>
        <w:t>)</w:t>
      </w:r>
    </w:p>
    <w:tbl>
      <w:tblPr>
        <w:tblStyle w:val="MediumShading2-Accent3"/>
        <w:tblW w:w="0" w:type="auto"/>
        <w:tblInd w:w="108" w:type="dxa"/>
        <w:tblLook w:val="04A0"/>
      </w:tblPr>
      <w:tblGrid>
        <w:gridCol w:w="2883"/>
        <w:gridCol w:w="1537"/>
        <w:gridCol w:w="1891"/>
      </w:tblGrid>
      <w:tr w:rsidR="00C115AF" w:rsidRPr="00C115AF" w:rsidTr="00F11C10">
        <w:trPr>
          <w:cnfStyle w:val="100000000000"/>
        </w:trPr>
        <w:tc>
          <w:tcPr>
            <w:cnfStyle w:val="001000000100"/>
            <w:tcW w:w="2883" w:type="dxa"/>
          </w:tcPr>
          <w:p w:rsidR="00C115AF" w:rsidRPr="00C115AF" w:rsidRDefault="00C115AF" w:rsidP="00F11C10">
            <w:pPr>
              <w:jc w:val="center"/>
              <w:rPr>
                <w:rFonts w:ascii="Arial" w:hAnsi="Arial" w:cs="Arial"/>
                <w:i/>
              </w:rPr>
            </w:pPr>
            <w:r w:rsidRPr="00C115AF">
              <w:rPr>
                <w:rFonts w:ascii="Arial" w:hAnsi="Arial" w:cs="Arial"/>
                <w:i/>
              </w:rPr>
              <w:t>Etapa/Concepto</w:t>
            </w:r>
          </w:p>
        </w:tc>
        <w:tc>
          <w:tcPr>
            <w:tcW w:w="1537" w:type="dxa"/>
          </w:tcPr>
          <w:p w:rsidR="00C115AF" w:rsidRPr="00C115AF" w:rsidRDefault="00C115AF" w:rsidP="00F11C10">
            <w:pPr>
              <w:jc w:val="center"/>
              <w:cnfStyle w:val="100000000000"/>
              <w:rPr>
                <w:rFonts w:ascii="Arial" w:hAnsi="Arial" w:cs="Arial"/>
                <w:i/>
              </w:rPr>
            </w:pPr>
            <w:r w:rsidRPr="00C115AF">
              <w:rPr>
                <w:rFonts w:ascii="Arial" w:hAnsi="Arial" w:cs="Arial"/>
                <w:i/>
              </w:rPr>
              <w:t>Formulación</w:t>
            </w:r>
          </w:p>
        </w:tc>
        <w:tc>
          <w:tcPr>
            <w:tcW w:w="1891" w:type="dxa"/>
          </w:tcPr>
          <w:p w:rsidR="00C115AF" w:rsidRPr="00C115AF" w:rsidRDefault="00C115AF" w:rsidP="00F11C10">
            <w:pPr>
              <w:jc w:val="center"/>
              <w:cnfStyle w:val="100000000000"/>
              <w:rPr>
                <w:rFonts w:ascii="Arial" w:hAnsi="Arial" w:cs="Arial"/>
                <w:i/>
              </w:rPr>
            </w:pPr>
            <w:r w:rsidRPr="00C115AF">
              <w:rPr>
                <w:rFonts w:ascii="Arial" w:hAnsi="Arial" w:cs="Arial"/>
                <w:i/>
              </w:rPr>
              <w:t>Implementación</w:t>
            </w:r>
          </w:p>
        </w:tc>
      </w:tr>
      <w:tr w:rsidR="00C115AF" w:rsidRPr="00C115AF" w:rsidTr="00EB5024">
        <w:trPr>
          <w:cnfStyle w:val="000000100000"/>
        </w:trPr>
        <w:tc>
          <w:tcPr>
            <w:cnfStyle w:val="001000000000"/>
            <w:tcW w:w="2883" w:type="dxa"/>
            <w:vAlign w:val="center"/>
          </w:tcPr>
          <w:p w:rsidR="00C115AF" w:rsidRPr="00C115AF" w:rsidRDefault="00C115AF" w:rsidP="00EB5024">
            <w:pPr>
              <w:rPr>
                <w:rFonts w:ascii="Arial" w:hAnsi="Arial" w:cs="Arial"/>
                <w:sz w:val="20"/>
              </w:rPr>
            </w:pPr>
            <w:r w:rsidRPr="00C115AF">
              <w:rPr>
                <w:rFonts w:ascii="Arial" w:hAnsi="Arial" w:cs="Arial"/>
                <w:sz w:val="20"/>
              </w:rPr>
              <w:t>Conceptualización/Diseño</w:t>
            </w:r>
          </w:p>
        </w:tc>
        <w:tc>
          <w:tcPr>
            <w:tcW w:w="1537" w:type="dxa"/>
            <w:vAlign w:val="center"/>
          </w:tcPr>
          <w:p w:rsidR="00C115AF" w:rsidRPr="00C115AF" w:rsidRDefault="00C115AF" w:rsidP="00EB5024">
            <w:pPr>
              <w:ind w:firstLine="411"/>
              <w:cnfStyle w:val="000000100000"/>
              <w:rPr>
                <w:rFonts w:ascii="Arial" w:hAnsi="Arial" w:cs="Arial"/>
                <w:sz w:val="20"/>
              </w:rPr>
            </w:pPr>
            <w:r w:rsidRPr="00C115AF">
              <w:rPr>
                <w:rFonts w:ascii="Arial" w:hAnsi="Arial" w:cs="Arial"/>
                <w:sz w:val="20"/>
              </w:rPr>
              <w:t>I</w:t>
            </w:r>
          </w:p>
        </w:tc>
        <w:tc>
          <w:tcPr>
            <w:tcW w:w="1891" w:type="dxa"/>
            <w:vAlign w:val="center"/>
          </w:tcPr>
          <w:p w:rsidR="00C115AF" w:rsidRPr="00C115AF" w:rsidRDefault="00C115AF" w:rsidP="00EB5024">
            <w:pPr>
              <w:cnfStyle w:val="000000100000"/>
              <w:rPr>
                <w:rFonts w:ascii="Arial" w:hAnsi="Arial" w:cs="Arial"/>
                <w:sz w:val="20"/>
              </w:rPr>
            </w:pPr>
          </w:p>
        </w:tc>
      </w:tr>
      <w:tr w:rsidR="00C115AF" w:rsidRPr="00C115AF" w:rsidTr="00F11C10">
        <w:tc>
          <w:tcPr>
            <w:cnfStyle w:val="001000000000"/>
            <w:tcW w:w="2883" w:type="dxa"/>
          </w:tcPr>
          <w:p w:rsidR="00C115AF" w:rsidRPr="00C115AF" w:rsidRDefault="00C115AF" w:rsidP="00F11C10">
            <w:pPr>
              <w:jc w:val="both"/>
              <w:rPr>
                <w:rFonts w:ascii="Arial" w:hAnsi="Arial" w:cs="Arial"/>
                <w:sz w:val="20"/>
              </w:rPr>
            </w:pPr>
            <w:r w:rsidRPr="00C115AF">
              <w:rPr>
                <w:rFonts w:ascii="Arial" w:hAnsi="Arial" w:cs="Arial"/>
                <w:sz w:val="20"/>
              </w:rPr>
              <w:t>Participación de Actores</w:t>
            </w:r>
          </w:p>
        </w:tc>
        <w:tc>
          <w:tcPr>
            <w:tcW w:w="1537" w:type="dxa"/>
          </w:tcPr>
          <w:p w:rsidR="00C115AF" w:rsidRPr="00C115AF" w:rsidRDefault="00C115AF" w:rsidP="00F11C10">
            <w:pPr>
              <w:ind w:firstLine="411"/>
              <w:cnfStyle w:val="000000000000"/>
              <w:rPr>
                <w:rFonts w:ascii="Arial" w:hAnsi="Arial" w:cs="Arial"/>
                <w:sz w:val="20"/>
              </w:rPr>
            </w:pPr>
            <w:r w:rsidRPr="00C115AF">
              <w:rPr>
                <w:rFonts w:ascii="Arial" w:hAnsi="Arial" w:cs="Arial"/>
                <w:sz w:val="20"/>
              </w:rPr>
              <w:t>MI</w:t>
            </w:r>
          </w:p>
        </w:tc>
        <w:tc>
          <w:tcPr>
            <w:tcW w:w="1891" w:type="dxa"/>
          </w:tcPr>
          <w:p w:rsidR="00C115AF" w:rsidRPr="00C115AF" w:rsidRDefault="00C115AF" w:rsidP="00F11C10">
            <w:pPr>
              <w:ind w:right="33" w:firstLine="600"/>
              <w:cnfStyle w:val="000000000000"/>
              <w:rPr>
                <w:rFonts w:ascii="Arial" w:hAnsi="Arial" w:cs="Arial"/>
                <w:sz w:val="20"/>
              </w:rPr>
            </w:pPr>
            <w:r w:rsidRPr="00C115AF">
              <w:rPr>
                <w:rFonts w:ascii="Arial" w:hAnsi="Arial" w:cs="Arial"/>
                <w:sz w:val="20"/>
              </w:rPr>
              <w:t>MI</w:t>
            </w:r>
          </w:p>
        </w:tc>
      </w:tr>
      <w:tr w:rsidR="00C115AF" w:rsidRPr="00C115AF" w:rsidTr="00F11C10">
        <w:trPr>
          <w:cnfStyle w:val="000000100000"/>
        </w:trPr>
        <w:tc>
          <w:tcPr>
            <w:cnfStyle w:val="001000000000"/>
            <w:tcW w:w="2883" w:type="dxa"/>
          </w:tcPr>
          <w:p w:rsidR="00C115AF" w:rsidRPr="00C115AF" w:rsidRDefault="00C115AF" w:rsidP="00F11C10">
            <w:pPr>
              <w:jc w:val="both"/>
              <w:rPr>
                <w:rFonts w:ascii="Arial" w:hAnsi="Arial" w:cs="Arial"/>
                <w:sz w:val="20"/>
              </w:rPr>
            </w:pPr>
            <w:r w:rsidRPr="00C115AF">
              <w:rPr>
                <w:rFonts w:ascii="Arial" w:hAnsi="Arial" w:cs="Arial"/>
                <w:sz w:val="20"/>
              </w:rPr>
              <w:t>Enfoque Implementación</w:t>
            </w:r>
          </w:p>
        </w:tc>
        <w:tc>
          <w:tcPr>
            <w:tcW w:w="1537" w:type="dxa"/>
          </w:tcPr>
          <w:p w:rsidR="00C115AF" w:rsidRPr="00C115AF" w:rsidRDefault="00C115AF" w:rsidP="00F11C10">
            <w:pPr>
              <w:ind w:firstLine="411"/>
              <w:cnfStyle w:val="000000100000"/>
              <w:rPr>
                <w:rFonts w:ascii="Arial" w:hAnsi="Arial" w:cs="Arial"/>
                <w:sz w:val="20"/>
              </w:rPr>
            </w:pPr>
          </w:p>
        </w:tc>
        <w:tc>
          <w:tcPr>
            <w:tcW w:w="1891" w:type="dxa"/>
          </w:tcPr>
          <w:p w:rsidR="00C115AF" w:rsidRPr="00C115AF" w:rsidRDefault="00C115AF" w:rsidP="00F11C10">
            <w:pPr>
              <w:ind w:right="33" w:firstLine="600"/>
              <w:cnfStyle w:val="000000100000"/>
              <w:rPr>
                <w:rFonts w:ascii="Arial" w:hAnsi="Arial" w:cs="Arial"/>
                <w:sz w:val="20"/>
              </w:rPr>
            </w:pPr>
            <w:r w:rsidRPr="00C115AF">
              <w:rPr>
                <w:rFonts w:ascii="Arial" w:hAnsi="Arial" w:cs="Arial"/>
                <w:sz w:val="20"/>
              </w:rPr>
              <w:t>MI</w:t>
            </w:r>
          </w:p>
        </w:tc>
      </w:tr>
      <w:tr w:rsidR="00C115AF" w:rsidRPr="009E7B19" w:rsidTr="00F11C10">
        <w:tc>
          <w:tcPr>
            <w:cnfStyle w:val="001000000000"/>
            <w:tcW w:w="2883" w:type="dxa"/>
          </w:tcPr>
          <w:p w:rsidR="00C115AF" w:rsidRPr="009E7B19" w:rsidRDefault="00C115AF" w:rsidP="00F11C10">
            <w:pPr>
              <w:jc w:val="both"/>
              <w:rPr>
                <w:rFonts w:ascii="Arial" w:hAnsi="Arial" w:cs="Arial"/>
                <w:sz w:val="20"/>
              </w:rPr>
            </w:pPr>
            <w:r w:rsidRPr="009E7B19">
              <w:rPr>
                <w:rFonts w:ascii="Arial" w:hAnsi="Arial" w:cs="Arial"/>
                <w:sz w:val="20"/>
              </w:rPr>
              <w:t>Monitoreo &amp; Evaluación</w:t>
            </w:r>
          </w:p>
        </w:tc>
        <w:tc>
          <w:tcPr>
            <w:tcW w:w="1537" w:type="dxa"/>
          </w:tcPr>
          <w:p w:rsidR="00C115AF" w:rsidRPr="00C115AF" w:rsidRDefault="00C115AF" w:rsidP="00F11C10">
            <w:pPr>
              <w:ind w:firstLine="411"/>
              <w:cnfStyle w:val="000000000000"/>
              <w:rPr>
                <w:rFonts w:ascii="Arial" w:hAnsi="Arial" w:cs="Arial"/>
                <w:sz w:val="20"/>
              </w:rPr>
            </w:pPr>
            <w:r w:rsidRPr="00C115AF">
              <w:rPr>
                <w:rFonts w:ascii="Arial" w:hAnsi="Arial" w:cs="Arial"/>
                <w:sz w:val="20"/>
              </w:rPr>
              <w:t>MI</w:t>
            </w:r>
          </w:p>
        </w:tc>
        <w:tc>
          <w:tcPr>
            <w:tcW w:w="1891" w:type="dxa"/>
          </w:tcPr>
          <w:p w:rsidR="00C115AF" w:rsidRPr="00C115AF" w:rsidRDefault="00C115AF" w:rsidP="00F11C10">
            <w:pPr>
              <w:ind w:right="33" w:firstLine="600"/>
              <w:cnfStyle w:val="000000000000"/>
              <w:rPr>
                <w:rFonts w:ascii="Arial" w:hAnsi="Arial" w:cs="Arial"/>
                <w:sz w:val="20"/>
              </w:rPr>
            </w:pPr>
            <w:r w:rsidRPr="00C115AF">
              <w:rPr>
                <w:rFonts w:ascii="Arial" w:hAnsi="Arial" w:cs="Arial"/>
                <w:sz w:val="20"/>
              </w:rPr>
              <w:t>MI</w:t>
            </w:r>
          </w:p>
        </w:tc>
      </w:tr>
      <w:tr w:rsidR="00C115AF" w:rsidRPr="009E7B19" w:rsidTr="00F11C10">
        <w:trPr>
          <w:cnfStyle w:val="000000100000"/>
        </w:trPr>
        <w:tc>
          <w:tcPr>
            <w:cnfStyle w:val="001000000000"/>
            <w:tcW w:w="2883" w:type="dxa"/>
          </w:tcPr>
          <w:p w:rsidR="00C115AF" w:rsidRPr="009E7B19" w:rsidRDefault="00C115AF" w:rsidP="00F11C10">
            <w:pPr>
              <w:jc w:val="both"/>
              <w:rPr>
                <w:rFonts w:ascii="Arial" w:hAnsi="Arial" w:cs="Arial"/>
                <w:sz w:val="20"/>
              </w:rPr>
            </w:pPr>
            <w:r w:rsidRPr="009E7B19">
              <w:rPr>
                <w:rFonts w:ascii="Arial" w:hAnsi="Arial" w:cs="Arial"/>
                <w:sz w:val="20"/>
              </w:rPr>
              <w:t>Logro Resultados</w:t>
            </w:r>
          </w:p>
        </w:tc>
        <w:tc>
          <w:tcPr>
            <w:tcW w:w="1537" w:type="dxa"/>
          </w:tcPr>
          <w:p w:rsidR="00C115AF" w:rsidRPr="00C115AF" w:rsidRDefault="00C115AF" w:rsidP="00F11C10">
            <w:pPr>
              <w:jc w:val="center"/>
              <w:cnfStyle w:val="000000100000"/>
              <w:rPr>
                <w:rFonts w:ascii="Arial" w:hAnsi="Arial" w:cs="Arial"/>
                <w:sz w:val="20"/>
              </w:rPr>
            </w:pPr>
          </w:p>
        </w:tc>
        <w:tc>
          <w:tcPr>
            <w:tcW w:w="1891" w:type="dxa"/>
          </w:tcPr>
          <w:p w:rsidR="00C115AF" w:rsidRPr="00C115AF" w:rsidRDefault="00C115AF" w:rsidP="00F11C10">
            <w:pPr>
              <w:ind w:right="33" w:firstLine="600"/>
              <w:cnfStyle w:val="000000100000"/>
              <w:rPr>
                <w:rFonts w:ascii="Arial" w:hAnsi="Arial" w:cs="Arial"/>
                <w:sz w:val="20"/>
              </w:rPr>
            </w:pPr>
            <w:r w:rsidRPr="00C115AF">
              <w:rPr>
                <w:rFonts w:ascii="Arial" w:hAnsi="Arial" w:cs="Arial"/>
                <w:sz w:val="20"/>
              </w:rPr>
              <w:t>MS</w:t>
            </w:r>
          </w:p>
        </w:tc>
      </w:tr>
    </w:tbl>
    <w:p w:rsidR="00C115AF" w:rsidRDefault="00C115AF" w:rsidP="00C115AF">
      <w:pPr>
        <w:jc w:val="both"/>
        <w:rPr>
          <w:sz w:val="24"/>
        </w:rPr>
      </w:pPr>
    </w:p>
    <w:p w:rsidR="00C115AF" w:rsidRPr="00C115AF" w:rsidRDefault="00C115AF" w:rsidP="00C115AF">
      <w:pPr>
        <w:pStyle w:val="ListParagraph"/>
        <w:numPr>
          <w:ilvl w:val="0"/>
          <w:numId w:val="23"/>
        </w:numPr>
        <w:ind w:left="567" w:hanging="567"/>
        <w:jc w:val="both"/>
        <w:rPr>
          <w:sz w:val="24"/>
        </w:rPr>
      </w:pPr>
      <w:r w:rsidRPr="00C115AF">
        <w:rPr>
          <w:sz w:val="24"/>
        </w:rPr>
        <w:t xml:space="preserve">En términos globales, el proyecto podría calificarse como Moderadamente Satisfactorio (MS) en el logro de sus objetivos, </w:t>
      </w:r>
      <w:r w:rsidR="00BC15CD">
        <w:rPr>
          <w:sz w:val="24"/>
        </w:rPr>
        <w:t>Insa</w:t>
      </w:r>
      <w:r w:rsidRPr="00C115AF">
        <w:rPr>
          <w:sz w:val="24"/>
        </w:rPr>
        <w:t>tisfactorio (I) en su primera etapa (2000-2003); Moderadamente Satisfactorio (MS) en su segunda etapa (2004-2007) e Insatisfactorio (I) en su etapa de cierre (200</w:t>
      </w:r>
      <w:r w:rsidR="00831B07">
        <w:rPr>
          <w:sz w:val="24"/>
        </w:rPr>
        <w:t>8</w:t>
      </w:r>
      <w:r w:rsidRPr="00C115AF">
        <w:rPr>
          <w:sz w:val="24"/>
        </w:rPr>
        <w:t xml:space="preserve">-2011).  </w:t>
      </w:r>
    </w:p>
    <w:p w:rsidR="00932396" w:rsidRDefault="00932396" w:rsidP="00932396">
      <w:pPr>
        <w:rPr>
          <w:sz w:val="24"/>
        </w:rPr>
      </w:pPr>
    </w:p>
    <w:p w:rsidR="00F91564" w:rsidRDefault="00F91564" w:rsidP="009A657A">
      <w:pPr>
        <w:jc w:val="both"/>
        <w:rPr>
          <w:sz w:val="24"/>
        </w:rPr>
        <w:sectPr w:rsidR="00F91564" w:rsidSect="008F132F">
          <w:pgSz w:w="12240" w:h="15840" w:code="1"/>
          <w:pgMar w:top="1417" w:right="1701" w:bottom="1417" w:left="1701" w:header="708" w:footer="708" w:gutter="0"/>
          <w:cols w:space="708"/>
          <w:docGrid w:linePitch="360"/>
        </w:sectPr>
      </w:pPr>
    </w:p>
    <w:p w:rsidR="00F91564" w:rsidRDefault="00F91564" w:rsidP="00F91564">
      <w:pPr>
        <w:jc w:val="center"/>
        <w:rPr>
          <w:b/>
          <w:i/>
          <w:sz w:val="40"/>
        </w:rPr>
      </w:pPr>
    </w:p>
    <w:p w:rsidR="00F91564" w:rsidRDefault="00F91564" w:rsidP="00F91564">
      <w:pPr>
        <w:jc w:val="center"/>
        <w:rPr>
          <w:b/>
          <w:i/>
          <w:sz w:val="40"/>
        </w:rPr>
      </w:pPr>
    </w:p>
    <w:p w:rsidR="00F91564" w:rsidRDefault="00F91564" w:rsidP="00F91564">
      <w:pPr>
        <w:jc w:val="center"/>
        <w:rPr>
          <w:b/>
          <w:i/>
          <w:sz w:val="40"/>
        </w:rPr>
      </w:pPr>
    </w:p>
    <w:p w:rsidR="00F91564" w:rsidRDefault="00F91564" w:rsidP="00F91564">
      <w:pPr>
        <w:jc w:val="center"/>
        <w:rPr>
          <w:b/>
          <w:i/>
          <w:sz w:val="40"/>
        </w:rPr>
      </w:pPr>
    </w:p>
    <w:p w:rsidR="00F91564" w:rsidRPr="00F91564" w:rsidRDefault="00F91564" w:rsidP="00F91564">
      <w:pPr>
        <w:jc w:val="center"/>
        <w:rPr>
          <w:b/>
          <w:i/>
          <w:sz w:val="40"/>
        </w:rPr>
      </w:pPr>
      <w:r w:rsidRPr="00F91564">
        <w:rPr>
          <w:b/>
          <w:i/>
          <w:sz w:val="40"/>
        </w:rPr>
        <w:t>Anexos</w:t>
      </w:r>
    </w:p>
    <w:p w:rsidR="00F91564" w:rsidRDefault="00F91564" w:rsidP="00F91564">
      <w:pPr>
        <w:jc w:val="center"/>
        <w:rPr>
          <w:sz w:val="24"/>
        </w:rPr>
      </w:pPr>
    </w:p>
    <w:p w:rsidR="00F91564" w:rsidRDefault="00F91564" w:rsidP="00F91564">
      <w:pPr>
        <w:jc w:val="center"/>
        <w:rPr>
          <w:sz w:val="24"/>
        </w:rPr>
        <w:sectPr w:rsidR="00F91564" w:rsidSect="008F132F">
          <w:pgSz w:w="12240" w:h="15840" w:code="1"/>
          <w:pgMar w:top="1417" w:right="1701" w:bottom="1417" w:left="1701" w:header="708" w:footer="708" w:gutter="0"/>
          <w:cols w:space="708"/>
          <w:docGrid w:linePitch="360"/>
        </w:sectPr>
      </w:pPr>
    </w:p>
    <w:p w:rsidR="00F91564" w:rsidRDefault="00F91564" w:rsidP="00F91564">
      <w:pPr>
        <w:jc w:val="center"/>
        <w:rPr>
          <w:b/>
          <w:i/>
          <w:sz w:val="40"/>
          <w:u w:val="single"/>
        </w:rPr>
      </w:pPr>
    </w:p>
    <w:p w:rsidR="00F91564" w:rsidRDefault="00F91564" w:rsidP="00F91564">
      <w:pPr>
        <w:jc w:val="center"/>
        <w:rPr>
          <w:b/>
          <w:i/>
          <w:sz w:val="40"/>
          <w:u w:val="single"/>
        </w:rPr>
      </w:pPr>
    </w:p>
    <w:p w:rsidR="00F91564" w:rsidRDefault="00F91564" w:rsidP="00F91564">
      <w:pPr>
        <w:jc w:val="center"/>
        <w:rPr>
          <w:b/>
          <w:i/>
          <w:sz w:val="40"/>
          <w:u w:val="single"/>
        </w:rPr>
      </w:pPr>
    </w:p>
    <w:p w:rsidR="00F91564" w:rsidRDefault="00F91564" w:rsidP="00F91564">
      <w:pPr>
        <w:jc w:val="center"/>
        <w:rPr>
          <w:b/>
          <w:i/>
          <w:sz w:val="40"/>
          <w:u w:val="single"/>
        </w:rPr>
      </w:pPr>
    </w:p>
    <w:p w:rsidR="00F91564" w:rsidRPr="00F91564" w:rsidRDefault="00F91564" w:rsidP="00F91564">
      <w:pPr>
        <w:jc w:val="center"/>
        <w:rPr>
          <w:b/>
          <w:i/>
          <w:sz w:val="40"/>
          <w:u w:val="single"/>
        </w:rPr>
      </w:pPr>
      <w:r w:rsidRPr="00F91564">
        <w:rPr>
          <w:b/>
          <w:i/>
          <w:sz w:val="40"/>
          <w:u w:val="single"/>
        </w:rPr>
        <w:t>Anexo I:</w:t>
      </w:r>
    </w:p>
    <w:p w:rsidR="00F91564" w:rsidRDefault="00F91564" w:rsidP="00F91564">
      <w:pPr>
        <w:jc w:val="center"/>
        <w:rPr>
          <w:b/>
          <w:i/>
          <w:sz w:val="40"/>
        </w:rPr>
      </w:pPr>
    </w:p>
    <w:p w:rsidR="00F91564" w:rsidRDefault="00F91564" w:rsidP="00F91564">
      <w:pPr>
        <w:jc w:val="center"/>
        <w:rPr>
          <w:b/>
          <w:i/>
          <w:sz w:val="40"/>
        </w:rPr>
      </w:pPr>
    </w:p>
    <w:p w:rsidR="00F91564" w:rsidRPr="00F91564" w:rsidRDefault="00F91564" w:rsidP="00F91564">
      <w:pPr>
        <w:jc w:val="center"/>
        <w:rPr>
          <w:b/>
          <w:i/>
          <w:sz w:val="40"/>
        </w:rPr>
      </w:pPr>
      <w:r w:rsidRPr="00F91564">
        <w:rPr>
          <w:b/>
          <w:i/>
          <w:sz w:val="40"/>
        </w:rPr>
        <w:t>Listado de Entrevistas</w:t>
      </w:r>
    </w:p>
    <w:p w:rsidR="00036B21" w:rsidRDefault="00036B21" w:rsidP="00F91564">
      <w:pPr>
        <w:jc w:val="center"/>
        <w:rPr>
          <w:b/>
          <w:i/>
          <w:sz w:val="40"/>
        </w:rPr>
        <w:sectPr w:rsidR="00036B21" w:rsidSect="008F132F">
          <w:footerReference w:type="default" r:id="rId22"/>
          <w:pgSz w:w="12240" w:h="15840" w:code="1"/>
          <w:pgMar w:top="1417" w:right="1701" w:bottom="1417" w:left="1701" w:header="708" w:footer="708" w:gutter="0"/>
          <w:cols w:space="708"/>
          <w:docGrid w:linePitch="360"/>
        </w:sectPr>
      </w:pPr>
    </w:p>
    <w:tbl>
      <w:tblPr>
        <w:tblStyle w:val="MediumShading2-Accent3"/>
        <w:tblW w:w="5000" w:type="pct"/>
        <w:tblLook w:val="04A0"/>
      </w:tblPr>
      <w:tblGrid>
        <w:gridCol w:w="413"/>
        <w:gridCol w:w="1151"/>
        <w:gridCol w:w="1000"/>
        <w:gridCol w:w="1021"/>
        <w:gridCol w:w="2703"/>
        <w:gridCol w:w="2605"/>
        <w:gridCol w:w="1618"/>
        <w:gridCol w:w="2711"/>
      </w:tblGrid>
      <w:tr w:rsidR="00036B21" w:rsidRPr="00027769" w:rsidTr="00036B21">
        <w:trPr>
          <w:cnfStyle w:val="100000000000"/>
          <w:trHeight w:val="300"/>
        </w:trPr>
        <w:tc>
          <w:tcPr>
            <w:cnfStyle w:val="001000000100"/>
            <w:tcW w:w="156" w:type="pct"/>
            <w:noWrap/>
            <w:vAlign w:val="center"/>
            <w:hideMark/>
          </w:tcPr>
          <w:p w:rsidR="00036B21" w:rsidRPr="00027769" w:rsidRDefault="00036B21" w:rsidP="007A5329">
            <w:pPr>
              <w:jc w:val="center"/>
              <w:rPr>
                <w:rFonts w:asciiTheme="minorHAnsi" w:hAnsiTheme="minorHAnsi" w:cstheme="minorHAnsi"/>
                <w:i/>
                <w:iCs/>
                <w:sz w:val="18"/>
                <w:szCs w:val="18"/>
              </w:rPr>
            </w:pPr>
            <w:r w:rsidRPr="00027769">
              <w:rPr>
                <w:rFonts w:asciiTheme="minorHAnsi" w:hAnsiTheme="minorHAnsi" w:cstheme="minorHAnsi"/>
                <w:i/>
                <w:iCs/>
                <w:sz w:val="18"/>
                <w:szCs w:val="18"/>
              </w:rPr>
              <w:lastRenderedPageBreak/>
              <w:t>Nº</w:t>
            </w:r>
          </w:p>
        </w:tc>
        <w:tc>
          <w:tcPr>
            <w:tcW w:w="435" w:type="pct"/>
            <w:noWrap/>
            <w:vAlign w:val="center"/>
            <w:hideMark/>
          </w:tcPr>
          <w:p w:rsidR="00036B21" w:rsidRPr="00027769" w:rsidRDefault="00036B21" w:rsidP="007A5329">
            <w:pPr>
              <w:jc w:val="center"/>
              <w:cnfStyle w:val="100000000000"/>
              <w:rPr>
                <w:rFonts w:asciiTheme="minorHAnsi" w:hAnsiTheme="minorHAnsi" w:cstheme="minorHAnsi"/>
                <w:i/>
                <w:iCs/>
                <w:sz w:val="18"/>
                <w:szCs w:val="18"/>
              </w:rPr>
            </w:pPr>
            <w:r w:rsidRPr="00027769">
              <w:rPr>
                <w:rFonts w:asciiTheme="minorHAnsi" w:hAnsiTheme="minorHAnsi" w:cstheme="minorHAnsi"/>
                <w:i/>
                <w:iCs/>
                <w:sz w:val="18"/>
                <w:szCs w:val="18"/>
              </w:rPr>
              <w:t>Tratamiento</w:t>
            </w:r>
          </w:p>
        </w:tc>
        <w:tc>
          <w:tcPr>
            <w:tcW w:w="378" w:type="pct"/>
            <w:noWrap/>
            <w:vAlign w:val="center"/>
            <w:hideMark/>
          </w:tcPr>
          <w:p w:rsidR="00036B21" w:rsidRPr="00027769" w:rsidRDefault="00036B21" w:rsidP="007A5329">
            <w:pPr>
              <w:jc w:val="center"/>
              <w:cnfStyle w:val="100000000000"/>
              <w:rPr>
                <w:rFonts w:asciiTheme="minorHAnsi" w:hAnsiTheme="minorHAnsi" w:cstheme="minorHAnsi"/>
                <w:i/>
                <w:iCs/>
                <w:sz w:val="18"/>
                <w:szCs w:val="18"/>
              </w:rPr>
            </w:pPr>
            <w:r w:rsidRPr="00027769">
              <w:rPr>
                <w:rFonts w:asciiTheme="minorHAnsi" w:hAnsiTheme="minorHAnsi" w:cstheme="minorHAnsi"/>
                <w:i/>
                <w:iCs/>
                <w:sz w:val="18"/>
                <w:szCs w:val="18"/>
              </w:rPr>
              <w:t>Nombre</w:t>
            </w:r>
          </w:p>
        </w:tc>
        <w:tc>
          <w:tcPr>
            <w:tcW w:w="386" w:type="pct"/>
            <w:noWrap/>
            <w:vAlign w:val="center"/>
            <w:hideMark/>
          </w:tcPr>
          <w:p w:rsidR="00036B21" w:rsidRPr="00027769" w:rsidRDefault="00036B21" w:rsidP="007A5329">
            <w:pPr>
              <w:jc w:val="center"/>
              <w:cnfStyle w:val="100000000000"/>
              <w:rPr>
                <w:rFonts w:asciiTheme="minorHAnsi" w:hAnsiTheme="minorHAnsi" w:cstheme="minorHAnsi"/>
                <w:i/>
                <w:iCs/>
                <w:sz w:val="18"/>
                <w:szCs w:val="18"/>
              </w:rPr>
            </w:pPr>
            <w:r w:rsidRPr="00027769">
              <w:rPr>
                <w:rFonts w:asciiTheme="minorHAnsi" w:hAnsiTheme="minorHAnsi" w:cstheme="minorHAnsi"/>
                <w:i/>
                <w:iCs/>
                <w:sz w:val="18"/>
                <w:szCs w:val="18"/>
              </w:rPr>
              <w:t>Apellido</w:t>
            </w:r>
          </w:p>
        </w:tc>
        <w:tc>
          <w:tcPr>
            <w:tcW w:w="1022" w:type="pct"/>
            <w:noWrap/>
            <w:vAlign w:val="center"/>
            <w:hideMark/>
          </w:tcPr>
          <w:p w:rsidR="00036B21" w:rsidRPr="00027769" w:rsidRDefault="00036B21" w:rsidP="007A5329">
            <w:pPr>
              <w:jc w:val="center"/>
              <w:cnfStyle w:val="100000000000"/>
              <w:rPr>
                <w:rFonts w:asciiTheme="minorHAnsi" w:hAnsiTheme="minorHAnsi" w:cstheme="minorHAnsi"/>
                <w:i/>
                <w:iCs/>
                <w:sz w:val="18"/>
                <w:szCs w:val="18"/>
              </w:rPr>
            </w:pPr>
            <w:r w:rsidRPr="00027769">
              <w:rPr>
                <w:rFonts w:asciiTheme="minorHAnsi" w:hAnsiTheme="minorHAnsi" w:cstheme="minorHAnsi"/>
                <w:i/>
                <w:iCs/>
                <w:sz w:val="18"/>
                <w:szCs w:val="18"/>
              </w:rPr>
              <w:t>Institución</w:t>
            </w:r>
          </w:p>
        </w:tc>
        <w:tc>
          <w:tcPr>
            <w:tcW w:w="985" w:type="pct"/>
            <w:vAlign w:val="center"/>
            <w:hideMark/>
          </w:tcPr>
          <w:p w:rsidR="00036B21" w:rsidRPr="00027769" w:rsidRDefault="00036B21" w:rsidP="007A5329">
            <w:pPr>
              <w:jc w:val="center"/>
              <w:cnfStyle w:val="100000000000"/>
              <w:rPr>
                <w:rFonts w:asciiTheme="minorHAnsi" w:hAnsiTheme="minorHAnsi" w:cstheme="minorHAnsi"/>
                <w:i/>
                <w:iCs/>
                <w:sz w:val="18"/>
                <w:szCs w:val="18"/>
              </w:rPr>
            </w:pPr>
            <w:r w:rsidRPr="00027769">
              <w:rPr>
                <w:rFonts w:asciiTheme="minorHAnsi" w:hAnsiTheme="minorHAnsi" w:cstheme="minorHAnsi"/>
                <w:i/>
                <w:iCs/>
                <w:sz w:val="18"/>
                <w:szCs w:val="18"/>
              </w:rPr>
              <w:t>Cargo</w:t>
            </w:r>
          </w:p>
        </w:tc>
        <w:tc>
          <w:tcPr>
            <w:tcW w:w="612" w:type="pct"/>
            <w:noWrap/>
            <w:vAlign w:val="center"/>
            <w:hideMark/>
          </w:tcPr>
          <w:p w:rsidR="00036B21" w:rsidRPr="00027769" w:rsidRDefault="00036B21" w:rsidP="007A5329">
            <w:pPr>
              <w:jc w:val="center"/>
              <w:cnfStyle w:val="100000000000"/>
              <w:rPr>
                <w:rFonts w:asciiTheme="minorHAnsi" w:hAnsiTheme="minorHAnsi" w:cstheme="minorHAnsi"/>
                <w:i/>
                <w:iCs/>
                <w:sz w:val="18"/>
                <w:szCs w:val="18"/>
              </w:rPr>
            </w:pPr>
            <w:r w:rsidRPr="00027769">
              <w:rPr>
                <w:rFonts w:asciiTheme="minorHAnsi" w:hAnsiTheme="minorHAnsi" w:cstheme="minorHAnsi"/>
                <w:i/>
                <w:iCs/>
                <w:sz w:val="18"/>
                <w:szCs w:val="18"/>
              </w:rPr>
              <w:t>Teléfonos</w:t>
            </w:r>
          </w:p>
        </w:tc>
        <w:tc>
          <w:tcPr>
            <w:tcW w:w="1025" w:type="pct"/>
            <w:noWrap/>
            <w:vAlign w:val="center"/>
            <w:hideMark/>
          </w:tcPr>
          <w:p w:rsidR="00036B21" w:rsidRPr="00027769" w:rsidRDefault="00036B21" w:rsidP="007A5329">
            <w:pPr>
              <w:jc w:val="center"/>
              <w:cnfStyle w:val="100000000000"/>
              <w:rPr>
                <w:rFonts w:asciiTheme="minorHAnsi" w:hAnsiTheme="minorHAnsi" w:cstheme="minorHAnsi"/>
                <w:i/>
                <w:iCs/>
                <w:sz w:val="18"/>
                <w:szCs w:val="18"/>
              </w:rPr>
            </w:pPr>
            <w:r w:rsidRPr="00027769">
              <w:rPr>
                <w:rFonts w:asciiTheme="minorHAnsi" w:hAnsiTheme="minorHAnsi" w:cstheme="minorHAnsi"/>
                <w:i/>
                <w:iCs/>
                <w:sz w:val="18"/>
                <w:szCs w:val="18"/>
              </w:rPr>
              <w:t>Mail</w:t>
            </w:r>
          </w:p>
        </w:tc>
      </w:tr>
      <w:tr w:rsidR="00036B21" w:rsidRPr="00027769" w:rsidTr="00036B21">
        <w:trPr>
          <w:cnfStyle w:val="000000100000"/>
          <w:trHeight w:val="600"/>
        </w:trPr>
        <w:tc>
          <w:tcPr>
            <w:cnfStyle w:val="001000000000"/>
            <w:tcW w:w="156" w:type="pct"/>
            <w:noWrap/>
            <w:vAlign w:val="center"/>
            <w:hideMark/>
          </w:tcPr>
          <w:p w:rsidR="00036B21" w:rsidRPr="00027769" w:rsidRDefault="00036B21" w:rsidP="007A5329">
            <w:pPr>
              <w:jc w:val="center"/>
              <w:rPr>
                <w:rFonts w:asciiTheme="minorHAnsi" w:hAnsiTheme="minorHAnsi" w:cstheme="minorHAnsi"/>
                <w:sz w:val="18"/>
                <w:szCs w:val="18"/>
              </w:rPr>
            </w:pPr>
            <w:r w:rsidRPr="00027769">
              <w:rPr>
                <w:rFonts w:asciiTheme="minorHAnsi" w:hAnsiTheme="minorHAnsi" w:cstheme="minorHAnsi"/>
                <w:sz w:val="18"/>
                <w:szCs w:val="18"/>
              </w:rPr>
              <w:t>1</w:t>
            </w:r>
          </w:p>
        </w:tc>
        <w:tc>
          <w:tcPr>
            <w:tcW w:w="435"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Mtro.</w:t>
            </w:r>
          </w:p>
        </w:tc>
        <w:tc>
          <w:tcPr>
            <w:tcW w:w="378"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César</w:t>
            </w:r>
          </w:p>
        </w:tc>
        <w:tc>
          <w:tcPr>
            <w:tcW w:w="386"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Chávez</w:t>
            </w:r>
          </w:p>
        </w:tc>
        <w:tc>
          <w:tcPr>
            <w:tcW w:w="1022" w:type="pct"/>
            <w:noWrap/>
            <w:vAlign w:val="center"/>
            <w:hideMark/>
          </w:tcPr>
          <w:p w:rsidR="00036B21" w:rsidRPr="00027769" w:rsidRDefault="00CE11F5" w:rsidP="007A5329">
            <w:pPr>
              <w:cnfStyle w:val="000000100000"/>
              <w:rPr>
                <w:rFonts w:asciiTheme="minorHAnsi" w:hAnsiTheme="minorHAnsi" w:cstheme="minorHAnsi"/>
                <w:sz w:val="18"/>
                <w:szCs w:val="18"/>
              </w:rPr>
            </w:pPr>
            <w:r>
              <w:rPr>
                <w:rFonts w:asciiTheme="minorHAnsi" w:hAnsiTheme="minorHAnsi" w:cstheme="minorHAnsi"/>
                <w:sz w:val="18"/>
                <w:szCs w:val="18"/>
              </w:rPr>
              <w:t>SEMARNAT</w:t>
            </w:r>
          </w:p>
        </w:tc>
        <w:tc>
          <w:tcPr>
            <w:tcW w:w="985" w:type="pct"/>
            <w:vAlign w:val="center"/>
            <w:hideMark/>
          </w:tcPr>
          <w:p w:rsidR="00036B21" w:rsidRPr="00027769" w:rsidRDefault="00036B21" w:rsidP="007A5329">
            <w:pPr>
              <w:cnfStyle w:val="000000100000"/>
              <w:rPr>
                <w:rFonts w:asciiTheme="minorHAnsi" w:hAnsiTheme="minorHAnsi" w:cstheme="minorHAnsi"/>
                <w:sz w:val="18"/>
                <w:szCs w:val="18"/>
              </w:rPr>
            </w:pPr>
            <w:r w:rsidRPr="00036B21">
              <w:rPr>
                <w:rFonts w:asciiTheme="minorHAnsi" w:hAnsiTheme="minorHAnsi" w:cstheme="minorHAnsi"/>
                <w:sz w:val="18"/>
                <w:szCs w:val="18"/>
              </w:rPr>
              <w:t>Ex Director General Adjunto de Financiamiento Estratégico de la Subsecretaría de Planeación y Política Ambiental. SEMARNAT</w:t>
            </w:r>
          </w:p>
        </w:tc>
        <w:tc>
          <w:tcPr>
            <w:tcW w:w="612" w:type="pct"/>
            <w:noWrap/>
            <w:vAlign w:val="center"/>
            <w:hideMark/>
          </w:tcPr>
          <w:p w:rsidR="00036B21" w:rsidRPr="00027769" w:rsidRDefault="00036B21" w:rsidP="007A5329">
            <w:pPr>
              <w:cnfStyle w:val="000000100000"/>
              <w:rPr>
                <w:rFonts w:asciiTheme="minorHAnsi" w:hAnsiTheme="minorHAnsi" w:cstheme="minorHAnsi"/>
                <w:sz w:val="18"/>
                <w:szCs w:val="18"/>
              </w:rPr>
            </w:pPr>
          </w:p>
        </w:tc>
        <w:tc>
          <w:tcPr>
            <w:tcW w:w="1025" w:type="pct"/>
            <w:noWrap/>
            <w:vAlign w:val="center"/>
            <w:hideMark/>
          </w:tcPr>
          <w:p w:rsidR="00036B21" w:rsidRPr="00027769" w:rsidRDefault="00036B21" w:rsidP="007A5329">
            <w:pPr>
              <w:cnfStyle w:val="000000100000"/>
              <w:rPr>
                <w:rFonts w:asciiTheme="minorHAnsi" w:hAnsiTheme="minorHAnsi" w:cstheme="minorHAnsi"/>
                <w:sz w:val="18"/>
                <w:szCs w:val="18"/>
                <w:u w:val="single"/>
              </w:rPr>
            </w:pPr>
          </w:p>
        </w:tc>
      </w:tr>
      <w:tr w:rsidR="00036B21" w:rsidRPr="00027769" w:rsidTr="00036B21">
        <w:trPr>
          <w:trHeight w:val="600"/>
        </w:trPr>
        <w:tc>
          <w:tcPr>
            <w:cnfStyle w:val="001000000000"/>
            <w:tcW w:w="156" w:type="pct"/>
            <w:noWrap/>
            <w:vAlign w:val="center"/>
            <w:hideMark/>
          </w:tcPr>
          <w:p w:rsidR="00036B21" w:rsidRPr="00027769" w:rsidRDefault="00036B21" w:rsidP="007A5329">
            <w:pPr>
              <w:jc w:val="center"/>
              <w:rPr>
                <w:rFonts w:asciiTheme="minorHAnsi" w:hAnsiTheme="minorHAnsi" w:cstheme="minorHAnsi"/>
                <w:sz w:val="18"/>
                <w:szCs w:val="18"/>
              </w:rPr>
            </w:pPr>
            <w:r w:rsidRPr="00027769">
              <w:rPr>
                <w:rFonts w:asciiTheme="minorHAnsi" w:hAnsiTheme="minorHAnsi" w:cstheme="minorHAnsi"/>
                <w:sz w:val="18"/>
                <w:szCs w:val="18"/>
              </w:rPr>
              <w:t>2</w:t>
            </w:r>
          </w:p>
        </w:tc>
        <w:tc>
          <w:tcPr>
            <w:tcW w:w="435"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Sr.</w:t>
            </w:r>
          </w:p>
        </w:tc>
        <w:tc>
          <w:tcPr>
            <w:tcW w:w="378"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Roberto</w:t>
            </w:r>
          </w:p>
        </w:tc>
        <w:tc>
          <w:tcPr>
            <w:tcW w:w="386"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Cabral</w:t>
            </w:r>
          </w:p>
        </w:tc>
        <w:tc>
          <w:tcPr>
            <w:tcW w:w="1022" w:type="pct"/>
            <w:noWrap/>
            <w:vAlign w:val="center"/>
            <w:hideMark/>
          </w:tcPr>
          <w:p w:rsidR="00036B21" w:rsidRPr="00027769" w:rsidRDefault="00CE11F5" w:rsidP="007A5329">
            <w:pPr>
              <w:cnfStyle w:val="000000000000"/>
              <w:rPr>
                <w:rFonts w:asciiTheme="minorHAnsi" w:hAnsiTheme="minorHAnsi" w:cstheme="minorHAnsi"/>
                <w:sz w:val="18"/>
                <w:szCs w:val="18"/>
              </w:rPr>
            </w:pPr>
            <w:r>
              <w:rPr>
                <w:rFonts w:asciiTheme="minorHAnsi" w:hAnsiTheme="minorHAnsi" w:cstheme="minorHAnsi"/>
                <w:sz w:val="18"/>
                <w:szCs w:val="18"/>
              </w:rPr>
              <w:t>SEMARNAT</w:t>
            </w:r>
          </w:p>
        </w:tc>
        <w:tc>
          <w:tcPr>
            <w:tcW w:w="985" w:type="pct"/>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Director General Adjunto de Financiamiento Estratégico</w:t>
            </w:r>
          </w:p>
        </w:tc>
        <w:tc>
          <w:tcPr>
            <w:tcW w:w="612"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52-55-54900987</w:t>
            </w:r>
          </w:p>
        </w:tc>
        <w:tc>
          <w:tcPr>
            <w:tcW w:w="1025" w:type="pct"/>
            <w:noWrap/>
            <w:vAlign w:val="center"/>
            <w:hideMark/>
          </w:tcPr>
          <w:p w:rsidR="00036B21" w:rsidRPr="00027769" w:rsidRDefault="000516D4" w:rsidP="003470A4">
            <w:pPr>
              <w:cnfStyle w:val="000000000000"/>
              <w:rPr>
                <w:rFonts w:asciiTheme="minorHAnsi" w:hAnsiTheme="minorHAnsi" w:cstheme="minorHAnsi"/>
                <w:sz w:val="18"/>
                <w:szCs w:val="18"/>
                <w:u w:val="single"/>
              </w:rPr>
            </w:pPr>
            <w:hyperlink r:id="rId23" w:history="1">
              <w:r w:rsidR="002117FE" w:rsidRPr="003470A4">
                <w:rPr>
                  <w:rStyle w:val="Hyperlink"/>
                  <w:rFonts w:asciiTheme="minorHAnsi" w:hAnsiTheme="minorHAnsi" w:cstheme="minorHAnsi"/>
                  <w:sz w:val="18"/>
                  <w:szCs w:val="18"/>
                </w:rPr>
                <w:t>roberto.cabral@se</w:t>
              </w:r>
              <w:r w:rsidR="002117FE" w:rsidRPr="001F251B">
                <w:rPr>
                  <w:rStyle w:val="Hyperlink"/>
                  <w:rFonts w:asciiTheme="minorHAnsi" w:hAnsiTheme="minorHAnsi" w:cstheme="minorHAnsi"/>
                  <w:sz w:val="18"/>
                  <w:szCs w:val="18"/>
                </w:rPr>
                <w:t>ma</w:t>
              </w:r>
              <w:r w:rsidR="002117FE" w:rsidRPr="00FC3A0D">
                <w:rPr>
                  <w:rStyle w:val="Hyperlink"/>
                  <w:rFonts w:asciiTheme="minorHAnsi" w:hAnsiTheme="minorHAnsi" w:cstheme="minorHAnsi"/>
                  <w:sz w:val="18"/>
                  <w:szCs w:val="18"/>
                </w:rPr>
                <w:t>rnat.gob.mx</w:t>
              </w:r>
            </w:hyperlink>
          </w:p>
        </w:tc>
      </w:tr>
      <w:tr w:rsidR="00036B21" w:rsidRPr="00027769" w:rsidTr="00036B21">
        <w:trPr>
          <w:cnfStyle w:val="000000100000"/>
          <w:trHeight w:val="600"/>
        </w:trPr>
        <w:tc>
          <w:tcPr>
            <w:cnfStyle w:val="001000000000"/>
            <w:tcW w:w="156" w:type="pct"/>
            <w:noWrap/>
            <w:vAlign w:val="center"/>
            <w:hideMark/>
          </w:tcPr>
          <w:p w:rsidR="00036B21" w:rsidRPr="00027769" w:rsidRDefault="00036B21" w:rsidP="007A5329">
            <w:pPr>
              <w:jc w:val="center"/>
              <w:rPr>
                <w:rFonts w:asciiTheme="minorHAnsi" w:hAnsiTheme="minorHAnsi" w:cstheme="minorHAnsi"/>
                <w:sz w:val="18"/>
                <w:szCs w:val="18"/>
              </w:rPr>
            </w:pPr>
            <w:r w:rsidRPr="00027769">
              <w:rPr>
                <w:rFonts w:asciiTheme="minorHAnsi" w:hAnsiTheme="minorHAnsi" w:cstheme="minorHAnsi"/>
                <w:sz w:val="18"/>
                <w:szCs w:val="18"/>
              </w:rPr>
              <w:t>3</w:t>
            </w:r>
          </w:p>
        </w:tc>
        <w:tc>
          <w:tcPr>
            <w:tcW w:w="435"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Ing.</w:t>
            </w:r>
          </w:p>
        </w:tc>
        <w:tc>
          <w:tcPr>
            <w:tcW w:w="378"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Raúl</w:t>
            </w:r>
          </w:p>
        </w:tc>
        <w:tc>
          <w:tcPr>
            <w:tcW w:w="386"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Arellano</w:t>
            </w:r>
          </w:p>
        </w:tc>
        <w:tc>
          <w:tcPr>
            <w:tcW w:w="1022" w:type="pct"/>
            <w:noWrap/>
            <w:vAlign w:val="center"/>
            <w:hideMark/>
          </w:tcPr>
          <w:p w:rsidR="00036B21" w:rsidRPr="00027769" w:rsidRDefault="00036B21" w:rsidP="003470A4">
            <w:pPr>
              <w:cnfStyle w:val="000000100000"/>
              <w:rPr>
                <w:rFonts w:asciiTheme="minorHAnsi" w:hAnsiTheme="minorHAnsi" w:cstheme="minorHAnsi"/>
                <w:sz w:val="18"/>
                <w:szCs w:val="18"/>
              </w:rPr>
            </w:pPr>
            <w:r w:rsidRPr="00027769">
              <w:rPr>
                <w:rFonts w:asciiTheme="minorHAnsi" w:hAnsiTheme="minorHAnsi" w:cstheme="minorHAnsi"/>
                <w:sz w:val="18"/>
                <w:szCs w:val="18"/>
              </w:rPr>
              <w:t>SEMA</w:t>
            </w:r>
            <w:r w:rsidR="002117FE">
              <w:rPr>
                <w:rFonts w:asciiTheme="minorHAnsi" w:hAnsiTheme="minorHAnsi" w:cstheme="minorHAnsi"/>
                <w:sz w:val="18"/>
                <w:szCs w:val="18"/>
              </w:rPr>
              <w:t>R</w:t>
            </w:r>
            <w:r w:rsidRPr="00027769">
              <w:rPr>
                <w:rFonts w:asciiTheme="minorHAnsi" w:hAnsiTheme="minorHAnsi" w:cstheme="minorHAnsi"/>
                <w:sz w:val="18"/>
                <w:szCs w:val="18"/>
              </w:rPr>
              <w:t>NAT</w:t>
            </w:r>
          </w:p>
        </w:tc>
        <w:tc>
          <w:tcPr>
            <w:tcW w:w="985" w:type="pct"/>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Director General de Planeación y Evaluación</w:t>
            </w:r>
          </w:p>
        </w:tc>
        <w:tc>
          <w:tcPr>
            <w:tcW w:w="612"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52-55-54900900</w:t>
            </w:r>
          </w:p>
        </w:tc>
        <w:tc>
          <w:tcPr>
            <w:tcW w:w="1025" w:type="pct"/>
            <w:noWrap/>
            <w:vAlign w:val="center"/>
            <w:hideMark/>
          </w:tcPr>
          <w:p w:rsidR="00036B21" w:rsidRPr="00027769" w:rsidRDefault="000516D4" w:rsidP="003470A4">
            <w:pPr>
              <w:cnfStyle w:val="000000100000"/>
              <w:rPr>
                <w:rFonts w:asciiTheme="minorHAnsi" w:hAnsiTheme="minorHAnsi" w:cstheme="minorHAnsi"/>
                <w:sz w:val="18"/>
                <w:szCs w:val="18"/>
                <w:u w:val="single"/>
              </w:rPr>
            </w:pPr>
            <w:hyperlink r:id="rId24" w:history="1">
              <w:r w:rsidR="003470A4" w:rsidRPr="003470A4">
                <w:rPr>
                  <w:rStyle w:val="Hyperlink"/>
                  <w:rFonts w:asciiTheme="minorHAnsi" w:hAnsiTheme="minorHAnsi" w:cstheme="minorHAnsi"/>
                  <w:sz w:val="18"/>
                  <w:szCs w:val="18"/>
                </w:rPr>
                <w:t>raul.arellano@se</w:t>
              </w:r>
              <w:r w:rsidR="003470A4" w:rsidRPr="001F251B">
                <w:rPr>
                  <w:rStyle w:val="Hyperlink"/>
                  <w:rFonts w:asciiTheme="minorHAnsi" w:hAnsiTheme="minorHAnsi" w:cstheme="minorHAnsi"/>
                  <w:sz w:val="18"/>
                  <w:szCs w:val="18"/>
                </w:rPr>
                <w:t>ma</w:t>
              </w:r>
              <w:r w:rsidR="003470A4" w:rsidRPr="00FC3A0D">
                <w:rPr>
                  <w:rStyle w:val="Hyperlink"/>
                  <w:rFonts w:asciiTheme="minorHAnsi" w:hAnsiTheme="minorHAnsi" w:cstheme="minorHAnsi"/>
                  <w:sz w:val="18"/>
                  <w:szCs w:val="18"/>
                </w:rPr>
                <w:t>rnat.gob.mx</w:t>
              </w:r>
            </w:hyperlink>
          </w:p>
        </w:tc>
      </w:tr>
      <w:tr w:rsidR="00036B21" w:rsidRPr="00027769" w:rsidTr="00036B21">
        <w:trPr>
          <w:trHeight w:val="600"/>
        </w:trPr>
        <w:tc>
          <w:tcPr>
            <w:cnfStyle w:val="001000000000"/>
            <w:tcW w:w="156" w:type="pct"/>
            <w:noWrap/>
            <w:vAlign w:val="center"/>
            <w:hideMark/>
          </w:tcPr>
          <w:p w:rsidR="00036B21" w:rsidRPr="00027769" w:rsidRDefault="00036B21" w:rsidP="007A5329">
            <w:pPr>
              <w:jc w:val="center"/>
              <w:rPr>
                <w:rFonts w:asciiTheme="minorHAnsi" w:hAnsiTheme="minorHAnsi" w:cstheme="minorHAnsi"/>
                <w:sz w:val="18"/>
                <w:szCs w:val="18"/>
              </w:rPr>
            </w:pPr>
            <w:r w:rsidRPr="00027769">
              <w:rPr>
                <w:rFonts w:asciiTheme="minorHAnsi" w:hAnsiTheme="minorHAnsi" w:cstheme="minorHAnsi"/>
                <w:sz w:val="18"/>
                <w:szCs w:val="18"/>
              </w:rPr>
              <w:t>4</w:t>
            </w:r>
          </w:p>
        </w:tc>
        <w:tc>
          <w:tcPr>
            <w:tcW w:w="435"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Sr.</w:t>
            </w:r>
          </w:p>
        </w:tc>
        <w:tc>
          <w:tcPr>
            <w:tcW w:w="378"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Carlos</w:t>
            </w:r>
          </w:p>
        </w:tc>
        <w:tc>
          <w:tcPr>
            <w:tcW w:w="386"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Muñoz</w:t>
            </w:r>
          </w:p>
        </w:tc>
        <w:tc>
          <w:tcPr>
            <w:tcW w:w="1022" w:type="pct"/>
            <w:noWrap/>
            <w:vAlign w:val="center"/>
            <w:hideMark/>
          </w:tcPr>
          <w:p w:rsidR="00036B21" w:rsidRPr="00027769" w:rsidRDefault="002117FE" w:rsidP="007A5329">
            <w:pPr>
              <w:cnfStyle w:val="000000000000"/>
              <w:rPr>
                <w:rFonts w:asciiTheme="minorHAnsi" w:hAnsiTheme="minorHAnsi" w:cstheme="minorHAnsi"/>
                <w:sz w:val="18"/>
                <w:szCs w:val="18"/>
              </w:rPr>
            </w:pPr>
            <w:r>
              <w:rPr>
                <w:rFonts w:asciiTheme="minorHAnsi" w:hAnsiTheme="minorHAnsi" w:cstheme="minorHAnsi"/>
                <w:sz w:val="18"/>
                <w:szCs w:val="18"/>
              </w:rPr>
              <w:t>SEMARNAT</w:t>
            </w:r>
            <w:r w:rsidR="00036B21" w:rsidRPr="00027769">
              <w:rPr>
                <w:rFonts w:asciiTheme="minorHAnsi" w:hAnsiTheme="minorHAnsi" w:cstheme="minorHAnsi"/>
                <w:sz w:val="18"/>
                <w:szCs w:val="18"/>
              </w:rPr>
              <w:t>-INE</w:t>
            </w:r>
          </w:p>
        </w:tc>
        <w:tc>
          <w:tcPr>
            <w:tcW w:w="985" w:type="pct"/>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Director General de Investigación en Política y Economía Ambiental</w:t>
            </w:r>
          </w:p>
        </w:tc>
        <w:tc>
          <w:tcPr>
            <w:tcW w:w="612"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52-55-54246411</w:t>
            </w:r>
          </w:p>
        </w:tc>
        <w:tc>
          <w:tcPr>
            <w:tcW w:w="1025" w:type="pct"/>
            <w:noWrap/>
            <w:vAlign w:val="center"/>
            <w:hideMark/>
          </w:tcPr>
          <w:p w:rsidR="00036B21" w:rsidRPr="00027769" w:rsidRDefault="000516D4" w:rsidP="007A5329">
            <w:pPr>
              <w:cnfStyle w:val="000000000000"/>
              <w:rPr>
                <w:rFonts w:asciiTheme="minorHAnsi" w:hAnsiTheme="minorHAnsi" w:cstheme="minorHAnsi"/>
                <w:sz w:val="18"/>
                <w:szCs w:val="18"/>
                <w:u w:val="single"/>
              </w:rPr>
            </w:pPr>
            <w:hyperlink r:id="rId25" w:history="1">
              <w:r w:rsidR="00036B21" w:rsidRPr="00027769">
                <w:rPr>
                  <w:rStyle w:val="Hyperlink"/>
                  <w:rFonts w:asciiTheme="minorHAnsi" w:hAnsiTheme="minorHAnsi" w:cstheme="minorHAnsi"/>
                  <w:sz w:val="18"/>
                  <w:szCs w:val="18"/>
                </w:rPr>
                <w:t>carmunoz@ine.gob.mx</w:t>
              </w:r>
            </w:hyperlink>
          </w:p>
        </w:tc>
      </w:tr>
      <w:tr w:rsidR="00036B21" w:rsidRPr="00027769" w:rsidTr="00036B21">
        <w:trPr>
          <w:cnfStyle w:val="000000100000"/>
          <w:trHeight w:val="600"/>
        </w:trPr>
        <w:tc>
          <w:tcPr>
            <w:cnfStyle w:val="001000000000"/>
            <w:tcW w:w="156" w:type="pct"/>
            <w:noWrap/>
            <w:vAlign w:val="center"/>
            <w:hideMark/>
          </w:tcPr>
          <w:p w:rsidR="00036B21" w:rsidRPr="00027769" w:rsidRDefault="00036B21" w:rsidP="007A5329">
            <w:pPr>
              <w:jc w:val="center"/>
              <w:rPr>
                <w:rFonts w:asciiTheme="minorHAnsi" w:hAnsiTheme="minorHAnsi" w:cstheme="minorHAnsi"/>
                <w:sz w:val="18"/>
                <w:szCs w:val="18"/>
              </w:rPr>
            </w:pPr>
            <w:r w:rsidRPr="00027769">
              <w:rPr>
                <w:rFonts w:asciiTheme="minorHAnsi" w:hAnsiTheme="minorHAnsi" w:cstheme="minorHAnsi"/>
                <w:sz w:val="18"/>
                <w:szCs w:val="18"/>
              </w:rPr>
              <w:t>5</w:t>
            </w:r>
          </w:p>
        </w:tc>
        <w:tc>
          <w:tcPr>
            <w:tcW w:w="435"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Biol.</w:t>
            </w:r>
          </w:p>
        </w:tc>
        <w:tc>
          <w:tcPr>
            <w:tcW w:w="378"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Julia</w:t>
            </w:r>
          </w:p>
        </w:tc>
        <w:tc>
          <w:tcPr>
            <w:tcW w:w="386"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Martínez</w:t>
            </w:r>
          </w:p>
        </w:tc>
        <w:tc>
          <w:tcPr>
            <w:tcW w:w="1022" w:type="pct"/>
            <w:noWrap/>
            <w:vAlign w:val="center"/>
            <w:hideMark/>
          </w:tcPr>
          <w:p w:rsidR="00036B21" w:rsidRPr="00027769" w:rsidRDefault="002117FE" w:rsidP="007A5329">
            <w:pPr>
              <w:cnfStyle w:val="000000100000"/>
              <w:rPr>
                <w:rFonts w:asciiTheme="minorHAnsi" w:hAnsiTheme="minorHAnsi" w:cstheme="minorHAnsi"/>
                <w:sz w:val="18"/>
                <w:szCs w:val="18"/>
              </w:rPr>
            </w:pPr>
            <w:r>
              <w:rPr>
                <w:rFonts w:asciiTheme="minorHAnsi" w:hAnsiTheme="minorHAnsi" w:cstheme="minorHAnsi"/>
                <w:sz w:val="18"/>
                <w:szCs w:val="18"/>
              </w:rPr>
              <w:t>SEMARNAT</w:t>
            </w:r>
            <w:r w:rsidR="00036B21" w:rsidRPr="00027769">
              <w:rPr>
                <w:rFonts w:asciiTheme="minorHAnsi" w:hAnsiTheme="minorHAnsi" w:cstheme="minorHAnsi"/>
                <w:sz w:val="18"/>
                <w:szCs w:val="18"/>
              </w:rPr>
              <w:t>-INE</w:t>
            </w:r>
          </w:p>
        </w:tc>
        <w:tc>
          <w:tcPr>
            <w:tcW w:w="985" w:type="pct"/>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Coordinadora del Programa de Cambio Climático</w:t>
            </w:r>
          </w:p>
        </w:tc>
        <w:tc>
          <w:tcPr>
            <w:tcW w:w="612"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52-55-54246424</w:t>
            </w:r>
          </w:p>
        </w:tc>
        <w:tc>
          <w:tcPr>
            <w:tcW w:w="1025" w:type="pct"/>
            <w:noWrap/>
            <w:vAlign w:val="center"/>
            <w:hideMark/>
          </w:tcPr>
          <w:p w:rsidR="00036B21" w:rsidRPr="00027769" w:rsidRDefault="000516D4" w:rsidP="007A5329">
            <w:pPr>
              <w:cnfStyle w:val="000000100000"/>
              <w:rPr>
                <w:rFonts w:asciiTheme="minorHAnsi" w:hAnsiTheme="minorHAnsi" w:cstheme="minorHAnsi"/>
                <w:sz w:val="18"/>
                <w:szCs w:val="18"/>
                <w:u w:val="single"/>
              </w:rPr>
            </w:pPr>
            <w:hyperlink r:id="rId26" w:history="1">
              <w:r w:rsidR="00036B21" w:rsidRPr="00027769">
                <w:rPr>
                  <w:rStyle w:val="Hyperlink"/>
                  <w:rFonts w:asciiTheme="minorHAnsi" w:hAnsiTheme="minorHAnsi" w:cstheme="minorHAnsi"/>
                  <w:sz w:val="18"/>
                  <w:szCs w:val="18"/>
                </w:rPr>
                <w:t>jmartine@ine.gob.mx</w:t>
              </w:r>
            </w:hyperlink>
          </w:p>
        </w:tc>
      </w:tr>
      <w:tr w:rsidR="00036B21" w:rsidRPr="00027769" w:rsidTr="00036B21">
        <w:trPr>
          <w:trHeight w:val="300"/>
        </w:trPr>
        <w:tc>
          <w:tcPr>
            <w:cnfStyle w:val="001000000000"/>
            <w:tcW w:w="156" w:type="pct"/>
            <w:noWrap/>
            <w:vAlign w:val="center"/>
            <w:hideMark/>
          </w:tcPr>
          <w:p w:rsidR="00036B21" w:rsidRPr="00027769" w:rsidRDefault="00036B21" w:rsidP="007A5329">
            <w:pPr>
              <w:jc w:val="center"/>
              <w:rPr>
                <w:rFonts w:asciiTheme="minorHAnsi" w:hAnsiTheme="minorHAnsi" w:cstheme="minorHAnsi"/>
                <w:sz w:val="18"/>
                <w:szCs w:val="18"/>
              </w:rPr>
            </w:pPr>
            <w:r w:rsidRPr="00027769">
              <w:rPr>
                <w:rFonts w:asciiTheme="minorHAnsi" w:hAnsiTheme="minorHAnsi" w:cstheme="minorHAnsi"/>
                <w:sz w:val="18"/>
                <w:szCs w:val="18"/>
              </w:rPr>
              <w:t>6</w:t>
            </w:r>
          </w:p>
        </w:tc>
        <w:tc>
          <w:tcPr>
            <w:tcW w:w="435"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Sr.</w:t>
            </w:r>
          </w:p>
        </w:tc>
        <w:tc>
          <w:tcPr>
            <w:tcW w:w="378" w:type="pct"/>
            <w:noWrap/>
            <w:vAlign w:val="center"/>
            <w:hideMark/>
          </w:tcPr>
          <w:p w:rsidR="00036B21" w:rsidRPr="00027769" w:rsidRDefault="00036B21" w:rsidP="007A5329">
            <w:pPr>
              <w:cnfStyle w:val="000000000000"/>
              <w:rPr>
                <w:rFonts w:asciiTheme="minorHAnsi" w:hAnsiTheme="minorHAnsi" w:cstheme="minorHAnsi"/>
                <w:sz w:val="18"/>
                <w:szCs w:val="18"/>
              </w:rPr>
            </w:pPr>
            <w:proofErr w:type="spellStart"/>
            <w:r w:rsidRPr="00027769">
              <w:rPr>
                <w:rFonts w:asciiTheme="minorHAnsi" w:hAnsiTheme="minorHAnsi" w:cstheme="minorHAnsi"/>
                <w:sz w:val="18"/>
                <w:szCs w:val="18"/>
              </w:rPr>
              <w:t>Johnathan</w:t>
            </w:r>
            <w:proofErr w:type="spellEnd"/>
          </w:p>
        </w:tc>
        <w:tc>
          <w:tcPr>
            <w:tcW w:w="386"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Ryan</w:t>
            </w:r>
          </w:p>
        </w:tc>
        <w:tc>
          <w:tcPr>
            <w:tcW w:w="1022"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Unidad GEF-</w:t>
            </w:r>
            <w:r w:rsidR="002117FE">
              <w:rPr>
                <w:rFonts w:asciiTheme="minorHAnsi" w:hAnsiTheme="minorHAnsi" w:cstheme="minorHAnsi"/>
                <w:sz w:val="18"/>
                <w:szCs w:val="18"/>
              </w:rPr>
              <w:t>SEMARNAT</w:t>
            </w:r>
          </w:p>
        </w:tc>
        <w:tc>
          <w:tcPr>
            <w:tcW w:w="985" w:type="pct"/>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Jefe Unidad</w:t>
            </w:r>
          </w:p>
        </w:tc>
        <w:tc>
          <w:tcPr>
            <w:tcW w:w="612" w:type="pct"/>
            <w:noWrap/>
            <w:vAlign w:val="center"/>
            <w:hideMark/>
          </w:tcPr>
          <w:p w:rsidR="00036B21" w:rsidRPr="00027769" w:rsidRDefault="00036B21" w:rsidP="007A5329">
            <w:pPr>
              <w:cnfStyle w:val="000000000000"/>
              <w:rPr>
                <w:rFonts w:asciiTheme="minorHAnsi" w:hAnsiTheme="minorHAnsi" w:cstheme="minorHAnsi"/>
                <w:sz w:val="18"/>
                <w:szCs w:val="18"/>
              </w:rPr>
            </w:pPr>
          </w:p>
        </w:tc>
        <w:tc>
          <w:tcPr>
            <w:tcW w:w="1025" w:type="pct"/>
            <w:noWrap/>
            <w:vAlign w:val="center"/>
            <w:hideMark/>
          </w:tcPr>
          <w:p w:rsidR="00036B21" w:rsidRPr="00027769" w:rsidRDefault="000516D4" w:rsidP="007A5329">
            <w:pPr>
              <w:cnfStyle w:val="000000000000"/>
              <w:rPr>
                <w:rFonts w:asciiTheme="minorHAnsi" w:hAnsiTheme="minorHAnsi" w:cstheme="minorHAnsi"/>
                <w:sz w:val="18"/>
                <w:szCs w:val="18"/>
                <w:u w:val="single"/>
              </w:rPr>
            </w:pPr>
            <w:hyperlink r:id="rId27" w:history="1">
              <w:r w:rsidR="00036B21" w:rsidRPr="00027769">
                <w:rPr>
                  <w:rStyle w:val="Hyperlink"/>
                  <w:rFonts w:asciiTheme="minorHAnsi" w:hAnsiTheme="minorHAnsi" w:cstheme="minorHAnsi"/>
                  <w:sz w:val="18"/>
                  <w:szCs w:val="18"/>
                </w:rPr>
                <w:t>jonathan.ryan@semarnat.gob.mx</w:t>
              </w:r>
            </w:hyperlink>
          </w:p>
        </w:tc>
      </w:tr>
      <w:tr w:rsidR="00036B21" w:rsidRPr="00027769" w:rsidTr="00036B21">
        <w:trPr>
          <w:cnfStyle w:val="000000100000"/>
          <w:trHeight w:val="300"/>
        </w:trPr>
        <w:tc>
          <w:tcPr>
            <w:cnfStyle w:val="001000000000"/>
            <w:tcW w:w="156" w:type="pct"/>
            <w:noWrap/>
            <w:vAlign w:val="center"/>
            <w:hideMark/>
          </w:tcPr>
          <w:p w:rsidR="00036B21" w:rsidRPr="00027769" w:rsidRDefault="00036B21" w:rsidP="007A5329">
            <w:pPr>
              <w:jc w:val="center"/>
              <w:rPr>
                <w:rFonts w:asciiTheme="minorHAnsi" w:hAnsiTheme="minorHAnsi" w:cstheme="minorHAnsi"/>
                <w:sz w:val="18"/>
                <w:szCs w:val="18"/>
              </w:rPr>
            </w:pPr>
            <w:r w:rsidRPr="00027769">
              <w:rPr>
                <w:rFonts w:asciiTheme="minorHAnsi" w:hAnsiTheme="minorHAnsi" w:cstheme="minorHAnsi"/>
                <w:sz w:val="18"/>
                <w:szCs w:val="18"/>
              </w:rPr>
              <w:t>7</w:t>
            </w:r>
          </w:p>
        </w:tc>
        <w:tc>
          <w:tcPr>
            <w:tcW w:w="435"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Sr.</w:t>
            </w:r>
          </w:p>
        </w:tc>
        <w:tc>
          <w:tcPr>
            <w:tcW w:w="378"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Sergio</w:t>
            </w:r>
          </w:p>
        </w:tc>
        <w:tc>
          <w:tcPr>
            <w:tcW w:w="386"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Garzón</w:t>
            </w:r>
          </w:p>
        </w:tc>
        <w:tc>
          <w:tcPr>
            <w:tcW w:w="1022"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Unidad GEF-</w:t>
            </w:r>
            <w:r w:rsidR="002117FE">
              <w:rPr>
                <w:rFonts w:asciiTheme="minorHAnsi" w:hAnsiTheme="minorHAnsi" w:cstheme="minorHAnsi"/>
                <w:sz w:val="18"/>
                <w:szCs w:val="18"/>
              </w:rPr>
              <w:t>SEMARNAT</w:t>
            </w:r>
          </w:p>
        </w:tc>
        <w:tc>
          <w:tcPr>
            <w:tcW w:w="985" w:type="pct"/>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Administrador</w:t>
            </w:r>
          </w:p>
        </w:tc>
        <w:tc>
          <w:tcPr>
            <w:tcW w:w="612" w:type="pct"/>
            <w:noWrap/>
            <w:vAlign w:val="center"/>
            <w:hideMark/>
          </w:tcPr>
          <w:p w:rsidR="00036B21" w:rsidRPr="00027769" w:rsidRDefault="00036B21" w:rsidP="007A5329">
            <w:pPr>
              <w:cnfStyle w:val="000000100000"/>
              <w:rPr>
                <w:rFonts w:asciiTheme="minorHAnsi" w:hAnsiTheme="minorHAnsi" w:cstheme="minorHAnsi"/>
                <w:sz w:val="18"/>
                <w:szCs w:val="18"/>
              </w:rPr>
            </w:pPr>
          </w:p>
        </w:tc>
        <w:tc>
          <w:tcPr>
            <w:tcW w:w="1025" w:type="pct"/>
            <w:noWrap/>
            <w:vAlign w:val="center"/>
            <w:hideMark/>
          </w:tcPr>
          <w:p w:rsidR="00036B21" w:rsidRPr="00027769" w:rsidRDefault="00036B21" w:rsidP="007A5329">
            <w:pPr>
              <w:cnfStyle w:val="000000100000"/>
              <w:rPr>
                <w:rFonts w:asciiTheme="minorHAnsi" w:hAnsiTheme="minorHAnsi" w:cstheme="minorHAnsi"/>
                <w:sz w:val="18"/>
                <w:szCs w:val="18"/>
                <w:u w:val="single"/>
              </w:rPr>
            </w:pPr>
            <w:r w:rsidRPr="00027769">
              <w:rPr>
                <w:rFonts w:asciiTheme="minorHAnsi" w:hAnsiTheme="minorHAnsi" w:cstheme="minorHAnsi"/>
                <w:sz w:val="18"/>
                <w:szCs w:val="18"/>
                <w:u w:val="single"/>
              </w:rPr>
              <w:t>sergio.garzon@semarnat.gob.mx</w:t>
            </w:r>
          </w:p>
        </w:tc>
      </w:tr>
      <w:tr w:rsidR="00036B21" w:rsidRPr="00027769" w:rsidTr="00036B21">
        <w:trPr>
          <w:trHeight w:val="600"/>
        </w:trPr>
        <w:tc>
          <w:tcPr>
            <w:cnfStyle w:val="001000000000"/>
            <w:tcW w:w="156" w:type="pct"/>
            <w:noWrap/>
            <w:vAlign w:val="center"/>
            <w:hideMark/>
          </w:tcPr>
          <w:p w:rsidR="00036B21" w:rsidRPr="00027769" w:rsidRDefault="00036B21" w:rsidP="007A5329">
            <w:pPr>
              <w:jc w:val="center"/>
              <w:rPr>
                <w:rFonts w:asciiTheme="minorHAnsi" w:hAnsiTheme="minorHAnsi" w:cstheme="minorHAnsi"/>
                <w:sz w:val="18"/>
                <w:szCs w:val="18"/>
              </w:rPr>
            </w:pPr>
            <w:r w:rsidRPr="00027769">
              <w:rPr>
                <w:rFonts w:asciiTheme="minorHAnsi" w:hAnsiTheme="minorHAnsi" w:cstheme="minorHAnsi"/>
                <w:sz w:val="18"/>
                <w:szCs w:val="18"/>
              </w:rPr>
              <w:t>8</w:t>
            </w:r>
          </w:p>
        </w:tc>
        <w:tc>
          <w:tcPr>
            <w:tcW w:w="435"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Sra.</w:t>
            </w:r>
          </w:p>
        </w:tc>
        <w:tc>
          <w:tcPr>
            <w:tcW w:w="378"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Verania</w:t>
            </w:r>
          </w:p>
        </w:tc>
        <w:tc>
          <w:tcPr>
            <w:tcW w:w="386"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Chao</w:t>
            </w:r>
          </w:p>
        </w:tc>
        <w:tc>
          <w:tcPr>
            <w:tcW w:w="1022"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PNUD-México</w:t>
            </w:r>
          </w:p>
        </w:tc>
        <w:tc>
          <w:tcPr>
            <w:tcW w:w="985" w:type="pct"/>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Directora del Programa de Desarrollo Sustentable</w:t>
            </w:r>
          </w:p>
        </w:tc>
        <w:tc>
          <w:tcPr>
            <w:tcW w:w="612"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52-55-4000-9768</w:t>
            </w:r>
          </w:p>
        </w:tc>
        <w:tc>
          <w:tcPr>
            <w:tcW w:w="1025" w:type="pct"/>
            <w:noWrap/>
            <w:vAlign w:val="center"/>
            <w:hideMark/>
          </w:tcPr>
          <w:p w:rsidR="00036B21" w:rsidRPr="00027769" w:rsidRDefault="000516D4" w:rsidP="007A5329">
            <w:pPr>
              <w:cnfStyle w:val="000000000000"/>
              <w:rPr>
                <w:rFonts w:asciiTheme="minorHAnsi" w:hAnsiTheme="minorHAnsi" w:cstheme="minorHAnsi"/>
                <w:sz w:val="18"/>
                <w:szCs w:val="18"/>
                <w:u w:val="single"/>
              </w:rPr>
            </w:pPr>
            <w:hyperlink r:id="rId28" w:history="1">
              <w:r w:rsidR="00036B21" w:rsidRPr="00027769">
                <w:rPr>
                  <w:rStyle w:val="Hyperlink"/>
                  <w:rFonts w:asciiTheme="minorHAnsi" w:hAnsiTheme="minorHAnsi" w:cstheme="minorHAnsi"/>
                  <w:sz w:val="18"/>
                  <w:szCs w:val="18"/>
                </w:rPr>
                <w:t>mariajose.mesen@undp.org</w:t>
              </w:r>
            </w:hyperlink>
          </w:p>
        </w:tc>
      </w:tr>
      <w:tr w:rsidR="00036B21" w:rsidRPr="00027769" w:rsidTr="00036B21">
        <w:trPr>
          <w:cnfStyle w:val="000000100000"/>
          <w:trHeight w:val="600"/>
        </w:trPr>
        <w:tc>
          <w:tcPr>
            <w:cnfStyle w:val="001000000000"/>
            <w:tcW w:w="156" w:type="pct"/>
            <w:noWrap/>
            <w:vAlign w:val="center"/>
            <w:hideMark/>
          </w:tcPr>
          <w:p w:rsidR="00036B21" w:rsidRPr="00027769" w:rsidRDefault="00036B21" w:rsidP="007A5329">
            <w:pPr>
              <w:jc w:val="center"/>
              <w:rPr>
                <w:rFonts w:asciiTheme="minorHAnsi" w:hAnsiTheme="minorHAnsi" w:cstheme="minorHAnsi"/>
                <w:sz w:val="18"/>
                <w:szCs w:val="18"/>
              </w:rPr>
            </w:pPr>
            <w:r w:rsidRPr="00027769">
              <w:rPr>
                <w:rFonts w:asciiTheme="minorHAnsi" w:hAnsiTheme="minorHAnsi" w:cstheme="minorHAnsi"/>
                <w:sz w:val="18"/>
                <w:szCs w:val="18"/>
              </w:rPr>
              <w:t>9</w:t>
            </w:r>
          </w:p>
        </w:tc>
        <w:tc>
          <w:tcPr>
            <w:tcW w:w="435"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Sr.</w:t>
            </w:r>
          </w:p>
        </w:tc>
        <w:tc>
          <w:tcPr>
            <w:tcW w:w="378"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María José</w:t>
            </w:r>
          </w:p>
        </w:tc>
        <w:tc>
          <w:tcPr>
            <w:tcW w:w="386"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Mesen</w:t>
            </w:r>
          </w:p>
        </w:tc>
        <w:tc>
          <w:tcPr>
            <w:tcW w:w="1022"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PNUD-México</w:t>
            </w:r>
          </w:p>
        </w:tc>
        <w:tc>
          <w:tcPr>
            <w:tcW w:w="985" w:type="pct"/>
            <w:vAlign w:val="center"/>
            <w:hideMark/>
          </w:tcPr>
          <w:p w:rsidR="00036B21" w:rsidRPr="00027769" w:rsidRDefault="00036B21" w:rsidP="007A5329">
            <w:pPr>
              <w:cnfStyle w:val="000000100000"/>
              <w:rPr>
                <w:rFonts w:asciiTheme="minorHAnsi" w:hAnsiTheme="minorHAnsi" w:cstheme="minorHAnsi"/>
                <w:sz w:val="18"/>
                <w:szCs w:val="18"/>
              </w:rPr>
            </w:pPr>
            <w:proofErr w:type="spellStart"/>
            <w:r w:rsidRPr="00027769">
              <w:rPr>
                <w:rFonts w:asciiTheme="minorHAnsi" w:hAnsiTheme="minorHAnsi" w:cstheme="minorHAnsi"/>
                <w:sz w:val="18"/>
                <w:szCs w:val="18"/>
              </w:rPr>
              <w:t>Gerenta</w:t>
            </w:r>
            <w:proofErr w:type="spellEnd"/>
            <w:r w:rsidRPr="00027769">
              <w:rPr>
                <w:rFonts w:asciiTheme="minorHAnsi" w:hAnsiTheme="minorHAnsi" w:cstheme="minorHAnsi"/>
                <w:sz w:val="18"/>
                <w:szCs w:val="18"/>
              </w:rPr>
              <w:t xml:space="preserve"> Programa Desarrollo Sustentable </w:t>
            </w:r>
          </w:p>
        </w:tc>
        <w:tc>
          <w:tcPr>
            <w:tcW w:w="612" w:type="pct"/>
            <w:noWrap/>
            <w:vAlign w:val="center"/>
            <w:hideMark/>
          </w:tcPr>
          <w:p w:rsidR="00036B21" w:rsidRPr="00027769" w:rsidRDefault="00036B21" w:rsidP="007A5329">
            <w:pPr>
              <w:cnfStyle w:val="000000100000"/>
              <w:rPr>
                <w:rFonts w:asciiTheme="minorHAnsi" w:hAnsiTheme="minorHAnsi" w:cstheme="minorHAnsi"/>
                <w:sz w:val="18"/>
                <w:szCs w:val="18"/>
              </w:rPr>
            </w:pPr>
            <w:r w:rsidRPr="00027769">
              <w:rPr>
                <w:rFonts w:asciiTheme="minorHAnsi" w:hAnsiTheme="minorHAnsi" w:cstheme="minorHAnsi"/>
                <w:sz w:val="18"/>
                <w:szCs w:val="18"/>
              </w:rPr>
              <w:t>52-55-4000-9768</w:t>
            </w:r>
          </w:p>
        </w:tc>
        <w:tc>
          <w:tcPr>
            <w:tcW w:w="1025" w:type="pct"/>
            <w:noWrap/>
            <w:vAlign w:val="center"/>
            <w:hideMark/>
          </w:tcPr>
          <w:p w:rsidR="00036B21" w:rsidRPr="00027769" w:rsidRDefault="00036B21" w:rsidP="007A5329">
            <w:pPr>
              <w:cnfStyle w:val="000000100000"/>
              <w:rPr>
                <w:rFonts w:asciiTheme="minorHAnsi" w:hAnsiTheme="minorHAnsi" w:cstheme="minorHAnsi"/>
                <w:sz w:val="18"/>
                <w:szCs w:val="18"/>
                <w:u w:val="single"/>
              </w:rPr>
            </w:pPr>
            <w:r w:rsidRPr="00027769">
              <w:rPr>
                <w:rFonts w:asciiTheme="minorHAnsi" w:hAnsiTheme="minorHAnsi" w:cstheme="minorHAnsi"/>
                <w:sz w:val="18"/>
                <w:szCs w:val="18"/>
                <w:u w:val="single"/>
              </w:rPr>
              <w:t>verania.chao@undp.org</w:t>
            </w:r>
          </w:p>
        </w:tc>
      </w:tr>
      <w:tr w:rsidR="00036B21" w:rsidRPr="00027769" w:rsidTr="00036B21">
        <w:trPr>
          <w:trHeight w:val="300"/>
        </w:trPr>
        <w:tc>
          <w:tcPr>
            <w:cnfStyle w:val="001000000000"/>
            <w:tcW w:w="156" w:type="pct"/>
            <w:noWrap/>
            <w:vAlign w:val="center"/>
            <w:hideMark/>
          </w:tcPr>
          <w:p w:rsidR="00036B21" w:rsidRPr="00027769" w:rsidRDefault="00036B21" w:rsidP="007A5329">
            <w:pPr>
              <w:jc w:val="center"/>
              <w:rPr>
                <w:rFonts w:asciiTheme="minorHAnsi" w:hAnsiTheme="minorHAnsi" w:cstheme="minorHAnsi"/>
                <w:sz w:val="18"/>
                <w:szCs w:val="18"/>
              </w:rPr>
            </w:pPr>
            <w:r w:rsidRPr="00027769">
              <w:rPr>
                <w:rFonts w:asciiTheme="minorHAnsi" w:hAnsiTheme="minorHAnsi" w:cstheme="minorHAnsi"/>
                <w:sz w:val="18"/>
                <w:szCs w:val="18"/>
              </w:rPr>
              <w:t>10</w:t>
            </w:r>
          </w:p>
        </w:tc>
        <w:tc>
          <w:tcPr>
            <w:tcW w:w="435"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Sr.</w:t>
            </w:r>
          </w:p>
        </w:tc>
        <w:tc>
          <w:tcPr>
            <w:tcW w:w="378"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Lyes</w:t>
            </w:r>
          </w:p>
        </w:tc>
        <w:tc>
          <w:tcPr>
            <w:tcW w:w="386"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rPr>
              <w:t>Ferroukhi</w:t>
            </w:r>
          </w:p>
        </w:tc>
        <w:tc>
          <w:tcPr>
            <w:tcW w:w="1022" w:type="pct"/>
            <w:noWrap/>
            <w:vAlign w:val="center"/>
            <w:hideMark/>
          </w:tcPr>
          <w:p w:rsidR="00036B21" w:rsidRPr="00027769" w:rsidRDefault="00036B21" w:rsidP="007A5329">
            <w:pPr>
              <w:cnfStyle w:val="000000000000"/>
              <w:rPr>
                <w:rFonts w:asciiTheme="minorHAnsi" w:hAnsiTheme="minorHAnsi" w:cstheme="minorHAnsi"/>
                <w:sz w:val="18"/>
                <w:szCs w:val="18"/>
              </w:rPr>
            </w:pPr>
            <w:r w:rsidRPr="00027769">
              <w:rPr>
                <w:rFonts w:asciiTheme="minorHAnsi" w:hAnsiTheme="minorHAnsi" w:cstheme="minorHAnsi"/>
                <w:sz w:val="18"/>
                <w:szCs w:val="18"/>
                <w:lang w:val="en-US"/>
              </w:rPr>
              <w:t>UNDP Regional Center</w:t>
            </w:r>
          </w:p>
        </w:tc>
        <w:tc>
          <w:tcPr>
            <w:tcW w:w="985" w:type="pct"/>
            <w:vAlign w:val="center"/>
            <w:hideMark/>
          </w:tcPr>
          <w:p w:rsidR="00036B21" w:rsidRPr="00027769" w:rsidRDefault="00036B21" w:rsidP="007A5329">
            <w:pPr>
              <w:cnfStyle w:val="000000000000"/>
              <w:rPr>
                <w:rFonts w:asciiTheme="minorHAnsi" w:hAnsiTheme="minorHAnsi" w:cstheme="minorHAnsi"/>
                <w:sz w:val="18"/>
                <w:szCs w:val="18"/>
                <w:lang w:val="en-US"/>
              </w:rPr>
            </w:pPr>
            <w:proofErr w:type="spellStart"/>
            <w:r w:rsidRPr="00027769">
              <w:rPr>
                <w:rFonts w:asciiTheme="minorHAnsi" w:hAnsiTheme="minorHAnsi" w:cstheme="minorHAnsi"/>
                <w:sz w:val="18"/>
                <w:szCs w:val="18"/>
                <w:lang w:val="en-US"/>
              </w:rPr>
              <w:t>Asesor</w:t>
            </w:r>
            <w:proofErr w:type="spellEnd"/>
            <w:r w:rsidRPr="00027769">
              <w:rPr>
                <w:rFonts w:asciiTheme="minorHAnsi" w:hAnsiTheme="minorHAnsi" w:cstheme="minorHAnsi"/>
                <w:sz w:val="18"/>
                <w:szCs w:val="18"/>
                <w:lang w:val="en-US"/>
              </w:rPr>
              <w:t xml:space="preserve"> </w:t>
            </w:r>
            <w:proofErr w:type="spellStart"/>
            <w:r w:rsidRPr="00027769">
              <w:rPr>
                <w:rFonts w:asciiTheme="minorHAnsi" w:hAnsiTheme="minorHAnsi" w:cstheme="minorHAnsi"/>
                <w:sz w:val="18"/>
                <w:szCs w:val="18"/>
                <w:lang w:val="en-US"/>
              </w:rPr>
              <w:t>Técnico</w:t>
            </w:r>
            <w:proofErr w:type="spellEnd"/>
            <w:r w:rsidRPr="00027769">
              <w:rPr>
                <w:rFonts w:asciiTheme="minorHAnsi" w:hAnsiTheme="minorHAnsi" w:cstheme="minorHAnsi"/>
                <w:sz w:val="18"/>
                <w:szCs w:val="18"/>
                <w:lang w:val="en-US"/>
              </w:rPr>
              <w:t xml:space="preserve"> Regional</w:t>
            </w:r>
          </w:p>
        </w:tc>
        <w:tc>
          <w:tcPr>
            <w:tcW w:w="612" w:type="pct"/>
            <w:noWrap/>
            <w:vAlign w:val="center"/>
            <w:hideMark/>
          </w:tcPr>
          <w:p w:rsidR="00036B21" w:rsidRPr="00027769" w:rsidRDefault="00036B21" w:rsidP="007A5329">
            <w:pPr>
              <w:cnfStyle w:val="000000000000"/>
              <w:rPr>
                <w:rFonts w:asciiTheme="minorHAnsi" w:hAnsiTheme="minorHAnsi" w:cstheme="minorHAnsi"/>
                <w:sz w:val="18"/>
                <w:szCs w:val="18"/>
                <w:lang w:val="en-US"/>
              </w:rPr>
            </w:pPr>
            <w:r w:rsidRPr="00027769">
              <w:rPr>
                <w:rFonts w:asciiTheme="minorHAnsi" w:hAnsiTheme="minorHAnsi" w:cstheme="minorHAnsi"/>
                <w:sz w:val="18"/>
                <w:szCs w:val="18"/>
                <w:lang w:val="en-US"/>
              </w:rPr>
              <w:t xml:space="preserve">507-302-4576 </w:t>
            </w:r>
          </w:p>
        </w:tc>
        <w:tc>
          <w:tcPr>
            <w:tcW w:w="1025" w:type="pct"/>
            <w:noWrap/>
            <w:vAlign w:val="center"/>
            <w:hideMark/>
          </w:tcPr>
          <w:p w:rsidR="00036B21" w:rsidRPr="00027769" w:rsidRDefault="000516D4" w:rsidP="007A5329">
            <w:pPr>
              <w:cnfStyle w:val="000000000000"/>
              <w:rPr>
                <w:rFonts w:asciiTheme="minorHAnsi" w:hAnsiTheme="minorHAnsi" w:cstheme="minorHAnsi"/>
                <w:sz w:val="18"/>
                <w:szCs w:val="18"/>
                <w:u w:val="single"/>
                <w:lang w:val="en-US"/>
              </w:rPr>
            </w:pPr>
            <w:hyperlink r:id="rId29" w:history="1">
              <w:r w:rsidR="00036B21" w:rsidRPr="00027769">
                <w:rPr>
                  <w:rStyle w:val="Hyperlink"/>
                  <w:rFonts w:asciiTheme="minorHAnsi" w:hAnsiTheme="minorHAnsi" w:cstheme="minorHAnsi"/>
                  <w:sz w:val="18"/>
                  <w:szCs w:val="18"/>
                  <w:lang w:val="en-US"/>
                </w:rPr>
                <w:t>Lyes.FERROUKHI@undp.org</w:t>
              </w:r>
            </w:hyperlink>
          </w:p>
        </w:tc>
      </w:tr>
      <w:tr w:rsidR="00036B21" w:rsidRPr="00027769" w:rsidTr="00036B21">
        <w:trPr>
          <w:cnfStyle w:val="000000100000"/>
          <w:trHeight w:val="600"/>
        </w:trPr>
        <w:tc>
          <w:tcPr>
            <w:cnfStyle w:val="001000000000"/>
            <w:tcW w:w="156" w:type="pct"/>
            <w:noWrap/>
            <w:vAlign w:val="center"/>
          </w:tcPr>
          <w:p w:rsidR="00036B21" w:rsidRPr="00027769" w:rsidRDefault="00036B21" w:rsidP="007A5329">
            <w:pPr>
              <w:jc w:val="center"/>
              <w:rPr>
                <w:rFonts w:asciiTheme="minorHAnsi" w:hAnsiTheme="minorHAnsi" w:cstheme="minorHAnsi"/>
                <w:sz w:val="18"/>
                <w:szCs w:val="18"/>
              </w:rPr>
            </w:pPr>
            <w:r>
              <w:rPr>
                <w:rFonts w:asciiTheme="minorHAnsi" w:hAnsiTheme="minorHAnsi" w:cstheme="minorHAnsi"/>
                <w:sz w:val="18"/>
                <w:szCs w:val="18"/>
              </w:rPr>
              <w:t>11</w:t>
            </w:r>
          </w:p>
        </w:tc>
        <w:tc>
          <w:tcPr>
            <w:tcW w:w="435" w:type="pct"/>
            <w:noWrap/>
            <w:vAlign w:val="center"/>
          </w:tcPr>
          <w:p w:rsidR="00036B21" w:rsidRPr="00027769" w:rsidRDefault="00036B21" w:rsidP="007A5329">
            <w:pPr>
              <w:cnfStyle w:val="000000100000"/>
              <w:rPr>
                <w:rFonts w:asciiTheme="minorHAnsi" w:hAnsiTheme="minorHAnsi" w:cstheme="minorHAnsi"/>
                <w:sz w:val="18"/>
                <w:szCs w:val="18"/>
              </w:rPr>
            </w:pPr>
            <w:r>
              <w:rPr>
                <w:rFonts w:asciiTheme="minorHAnsi" w:hAnsiTheme="minorHAnsi" w:cstheme="minorHAnsi"/>
                <w:sz w:val="18"/>
                <w:szCs w:val="18"/>
              </w:rPr>
              <w:t>Sr.</w:t>
            </w:r>
          </w:p>
        </w:tc>
        <w:tc>
          <w:tcPr>
            <w:tcW w:w="378" w:type="pct"/>
            <w:noWrap/>
            <w:vAlign w:val="center"/>
          </w:tcPr>
          <w:p w:rsidR="00036B21" w:rsidRPr="00027769" w:rsidRDefault="00036B21" w:rsidP="007A5329">
            <w:pPr>
              <w:cnfStyle w:val="000000100000"/>
              <w:rPr>
                <w:rFonts w:asciiTheme="minorHAnsi" w:hAnsiTheme="minorHAnsi" w:cstheme="minorHAnsi"/>
                <w:sz w:val="18"/>
                <w:szCs w:val="18"/>
              </w:rPr>
            </w:pPr>
            <w:r>
              <w:rPr>
                <w:rFonts w:asciiTheme="minorHAnsi" w:hAnsiTheme="minorHAnsi" w:cstheme="minorHAnsi"/>
                <w:sz w:val="18"/>
                <w:szCs w:val="18"/>
              </w:rPr>
              <w:t>Eduardo</w:t>
            </w:r>
          </w:p>
        </w:tc>
        <w:tc>
          <w:tcPr>
            <w:tcW w:w="386" w:type="pct"/>
            <w:noWrap/>
            <w:vAlign w:val="center"/>
          </w:tcPr>
          <w:p w:rsidR="00036B21" w:rsidRPr="00027769" w:rsidRDefault="00036B21" w:rsidP="007A5329">
            <w:pPr>
              <w:cnfStyle w:val="000000100000"/>
              <w:rPr>
                <w:rFonts w:asciiTheme="minorHAnsi" w:hAnsiTheme="minorHAnsi" w:cstheme="minorHAnsi"/>
                <w:sz w:val="18"/>
                <w:szCs w:val="18"/>
              </w:rPr>
            </w:pPr>
            <w:r>
              <w:rPr>
                <w:rFonts w:asciiTheme="minorHAnsi" w:hAnsiTheme="minorHAnsi" w:cstheme="minorHAnsi"/>
                <w:sz w:val="18"/>
                <w:szCs w:val="18"/>
              </w:rPr>
              <w:t>Vega</w:t>
            </w:r>
          </w:p>
        </w:tc>
        <w:tc>
          <w:tcPr>
            <w:tcW w:w="1022" w:type="pct"/>
            <w:noWrap/>
            <w:vAlign w:val="center"/>
          </w:tcPr>
          <w:p w:rsidR="00036B21" w:rsidRPr="00027769" w:rsidRDefault="00036B21" w:rsidP="007A5329">
            <w:pPr>
              <w:cnfStyle w:val="000000100000"/>
              <w:rPr>
                <w:rFonts w:asciiTheme="minorHAnsi" w:hAnsiTheme="minorHAnsi" w:cstheme="minorHAnsi"/>
                <w:sz w:val="18"/>
                <w:szCs w:val="18"/>
              </w:rPr>
            </w:pPr>
            <w:r>
              <w:rPr>
                <w:rFonts w:asciiTheme="minorHAnsi" w:hAnsiTheme="minorHAnsi" w:cstheme="minorHAnsi"/>
                <w:sz w:val="18"/>
                <w:szCs w:val="18"/>
              </w:rPr>
              <w:t>Universidad Autónoma de México</w:t>
            </w:r>
          </w:p>
        </w:tc>
        <w:tc>
          <w:tcPr>
            <w:tcW w:w="985" w:type="pct"/>
            <w:vAlign w:val="center"/>
          </w:tcPr>
          <w:p w:rsidR="00036B21" w:rsidRPr="00036B21" w:rsidRDefault="00036B21" w:rsidP="007A5329">
            <w:pPr>
              <w:cnfStyle w:val="000000100000"/>
              <w:rPr>
                <w:rFonts w:asciiTheme="minorHAnsi" w:hAnsiTheme="minorHAnsi" w:cstheme="minorHAnsi"/>
                <w:sz w:val="18"/>
                <w:szCs w:val="18"/>
              </w:rPr>
            </w:pPr>
            <w:r>
              <w:rPr>
                <w:rFonts w:asciiTheme="minorHAnsi" w:hAnsiTheme="minorHAnsi" w:cstheme="minorHAnsi"/>
                <w:sz w:val="18"/>
                <w:szCs w:val="18"/>
              </w:rPr>
              <w:t>Ex</w:t>
            </w:r>
            <w:r w:rsidRPr="00036B21">
              <w:rPr>
                <w:rFonts w:asciiTheme="minorHAnsi" w:hAnsiTheme="minorHAnsi" w:cstheme="minorHAnsi"/>
                <w:sz w:val="18"/>
                <w:szCs w:val="18"/>
              </w:rPr>
              <w:t xml:space="preserve"> Director General de Planeación y Evaluación de la Subsecretaría de Planeación y Política Ambiental. SEMARNAT</w:t>
            </w:r>
          </w:p>
        </w:tc>
        <w:tc>
          <w:tcPr>
            <w:tcW w:w="612" w:type="pct"/>
            <w:noWrap/>
            <w:vAlign w:val="center"/>
          </w:tcPr>
          <w:p w:rsidR="00036B21" w:rsidRPr="00027769" w:rsidRDefault="00036B21" w:rsidP="007A5329">
            <w:pPr>
              <w:cnfStyle w:val="000000100000"/>
              <w:rPr>
                <w:rFonts w:asciiTheme="minorHAnsi" w:hAnsiTheme="minorHAnsi" w:cstheme="minorHAnsi"/>
                <w:sz w:val="18"/>
                <w:szCs w:val="18"/>
              </w:rPr>
            </w:pPr>
          </w:p>
        </w:tc>
        <w:tc>
          <w:tcPr>
            <w:tcW w:w="1025" w:type="pct"/>
            <w:noWrap/>
            <w:vAlign w:val="center"/>
          </w:tcPr>
          <w:p w:rsidR="00036B21" w:rsidRPr="00027769" w:rsidRDefault="00036B21" w:rsidP="007A5329">
            <w:pPr>
              <w:cnfStyle w:val="000000100000"/>
              <w:rPr>
                <w:rFonts w:asciiTheme="minorHAnsi" w:hAnsiTheme="minorHAnsi" w:cstheme="minorHAnsi"/>
                <w:sz w:val="18"/>
                <w:szCs w:val="18"/>
                <w:u w:val="single"/>
              </w:rPr>
            </w:pPr>
          </w:p>
        </w:tc>
      </w:tr>
    </w:tbl>
    <w:p w:rsidR="00036B21" w:rsidRPr="00036B21" w:rsidRDefault="00036B21" w:rsidP="00036B21">
      <w:pPr>
        <w:spacing w:before="40" w:after="40" w:line="240" w:lineRule="auto"/>
        <w:jc w:val="both"/>
        <w:rPr>
          <w:b/>
          <w:i/>
          <w:sz w:val="18"/>
          <w:szCs w:val="18"/>
          <w:u w:val="single"/>
        </w:rPr>
      </w:pPr>
      <w:r w:rsidRPr="00036B21">
        <w:rPr>
          <w:b/>
          <w:i/>
          <w:sz w:val="18"/>
          <w:szCs w:val="18"/>
          <w:u w:val="single"/>
        </w:rPr>
        <w:t>Entrevistas programadas que no pudieron realizarse por diversos motivos:</w:t>
      </w:r>
    </w:p>
    <w:p w:rsidR="00036B21" w:rsidRPr="00036B21" w:rsidRDefault="00036B21" w:rsidP="00036B21">
      <w:pPr>
        <w:pStyle w:val="ListParagraph"/>
        <w:numPr>
          <w:ilvl w:val="0"/>
          <w:numId w:val="26"/>
        </w:numPr>
        <w:spacing w:before="40" w:after="40" w:line="240" w:lineRule="auto"/>
        <w:ind w:left="426" w:hanging="426"/>
        <w:jc w:val="both"/>
        <w:rPr>
          <w:i/>
          <w:sz w:val="18"/>
          <w:szCs w:val="18"/>
        </w:rPr>
      </w:pPr>
      <w:r>
        <w:rPr>
          <w:i/>
          <w:sz w:val="18"/>
          <w:szCs w:val="18"/>
        </w:rPr>
        <w:t xml:space="preserve">Enrique </w:t>
      </w:r>
      <w:proofErr w:type="spellStart"/>
      <w:r>
        <w:rPr>
          <w:i/>
          <w:sz w:val="18"/>
          <w:szCs w:val="18"/>
        </w:rPr>
        <w:t>Lendo</w:t>
      </w:r>
      <w:proofErr w:type="spellEnd"/>
      <w:r>
        <w:rPr>
          <w:i/>
          <w:sz w:val="18"/>
          <w:szCs w:val="18"/>
        </w:rPr>
        <w:t xml:space="preserve"> Fuentes;</w:t>
      </w:r>
      <w:r w:rsidRPr="00036B21">
        <w:rPr>
          <w:i/>
          <w:sz w:val="18"/>
          <w:szCs w:val="18"/>
        </w:rPr>
        <w:t xml:space="preserve"> Titular de la Unidad Coordina</w:t>
      </w:r>
      <w:r w:rsidR="002C7A7D">
        <w:rPr>
          <w:i/>
          <w:sz w:val="18"/>
          <w:szCs w:val="18"/>
        </w:rPr>
        <w:t>dora de Asuntos Internacionales,</w:t>
      </w:r>
      <w:r w:rsidRPr="00036B21">
        <w:rPr>
          <w:i/>
          <w:sz w:val="18"/>
          <w:szCs w:val="18"/>
        </w:rPr>
        <w:t xml:space="preserve"> SEMARNAT.</w:t>
      </w:r>
    </w:p>
    <w:p w:rsidR="00036B21" w:rsidRPr="00036B21" w:rsidRDefault="002C7A7D" w:rsidP="00036B21">
      <w:pPr>
        <w:pStyle w:val="ListParagraph"/>
        <w:numPr>
          <w:ilvl w:val="0"/>
          <w:numId w:val="26"/>
        </w:numPr>
        <w:spacing w:before="40" w:after="40" w:line="240" w:lineRule="auto"/>
        <w:ind w:left="426" w:hanging="426"/>
        <w:jc w:val="both"/>
        <w:rPr>
          <w:i/>
          <w:sz w:val="18"/>
          <w:szCs w:val="18"/>
        </w:rPr>
      </w:pPr>
      <w:r>
        <w:rPr>
          <w:i/>
          <w:sz w:val="18"/>
          <w:szCs w:val="18"/>
        </w:rPr>
        <w:t>Rosa Elena Montes de Oca;</w:t>
      </w:r>
      <w:r w:rsidR="00036B21" w:rsidRPr="00036B21">
        <w:rPr>
          <w:i/>
          <w:sz w:val="18"/>
          <w:szCs w:val="18"/>
        </w:rPr>
        <w:t xml:space="preserve"> Coordinadora de Asesores del Subsecretario de </w:t>
      </w:r>
      <w:r>
        <w:rPr>
          <w:i/>
          <w:sz w:val="18"/>
          <w:szCs w:val="18"/>
        </w:rPr>
        <w:t>Planeación y Política Ambiental;</w:t>
      </w:r>
      <w:r w:rsidR="00036B21" w:rsidRPr="00036B21">
        <w:rPr>
          <w:i/>
          <w:sz w:val="18"/>
          <w:szCs w:val="18"/>
        </w:rPr>
        <w:t xml:space="preserve"> SEMARNAT.</w:t>
      </w:r>
    </w:p>
    <w:p w:rsidR="00036B21" w:rsidRPr="00036B21" w:rsidRDefault="002C7A7D" w:rsidP="00036B21">
      <w:pPr>
        <w:pStyle w:val="ListParagraph"/>
        <w:numPr>
          <w:ilvl w:val="0"/>
          <w:numId w:val="26"/>
        </w:numPr>
        <w:spacing w:before="40" w:after="40" w:line="240" w:lineRule="auto"/>
        <w:ind w:left="426" w:hanging="426"/>
        <w:jc w:val="both"/>
        <w:rPr>
          <w:i/>
          <w:sz w:val="18"/>
          <w:szCs w:val="18"/>
        </w:rPr>
      </w:pPr>
      <w:r>
        <w:rPr>
          <w:i/>
          <w:sz w:val="18"/>
          <w:szCs w:val="18"/>
        </w:rPr>
        <w:t>Fernando Tudela Abad;</w:t>
      </w:r>
      <w:r w:rsidR="00036B21" w:rsidRPr="00036B21">
        <w:rPr>
          <w:i/>
          <w:sz w:val="18"/>
          <w:szCs w:val="18"/>
        </w:rPr>
        <w:t xml:space="preserve"> Subsecretario de </w:t>
      </w:r>
      <w:r>
        <w:rPr>
          <w:i/>
          <w:sz w:val="18"/>
          <w:szCs w:val="18"/>
        </w:rPr>
        <w:t>Planeación y Política Ambiental;</w:t>
      </w:r>
      <w:r w:rsidR="00036B21" w:rsidRPr="00036B21">
        <w:rPr>
          <w:i/>
          <w:sz w:val="18"/>
          <w:szCs w:val="18"/>
        </w:rPr>
        <w:t xml:space="preserve"> SEMARNAT.</w:t>
      </w:r>
    </w:p>
    <w:p w:rsidR="00036B21" w:rsidRDefault="00036B21" w:rsidP="00036B21">
      <w:pPr>
        <w:spacing w:before="40" w:after="40" w:line="240" w:lineRule="auto"/>
        <w:jc w:val="both"/>
        <w:rPr>
          <w:i/>
          <w:sz w:val="18"/>
          <w:szCs w:val="18"/>
        </w:rPr>
      </w:pPr>
    </w:p>
    <w:p w:rsidR="00036B21" w:rsidRPr="00036B21" w:rsidRDefault="00036B21" w:rsidP="00036B21">
      <w:pPr>
        <w:spacing w:before="40" w:after="40" w:line="240" w:lineRule="auto"/>
        <w:jc w:val="both"/>
        <w:rPr>
          <w:i/>
          <w:sz w:val="18"/>
          <w:szCs w:val="18"/>
        </w:rPr>
        <w:sectPr w:rsidR="00036B21" w:rsidRPr="00036B21" w:rsidSect="00184081">
          <w:pgSz w:w="15840" w:h="12240" w:orient="landscape" w:code="1"/>
          <w:pgMar w:top="1701" w:right="1417" w:bottom="1701" w:left="1417" w:header="708" w:footer="708" w:gutter="0"/>
          <w:cols w:space="708"/>
          <w:docGrid w:linePitch="360"/>
        </w:sectPr>
      </w:pPr>
    </w:p>
    <w:p w:rsidR="00F91564" w:rsidRPr="00184081" w:rsidRDefault="00F91564" w:rsidP="00F91564">
      <w:pPr>
        <w:jc w:val="center"/>
        <w:rPr>
          <w:b/>
          <w:i/>
          <w:sz w:val="36"/>
          <w:lang w:val="es-MX"/>
        </w:rPr>
      </w:pPr>
    </w:p>
    <w:p w:rsidR="00F91564" w:rsidRPr="00184081" w:rsidRDefault="00F91564" w:rsidP="00F91564">
      <w:pPr>
        <w:jc w:val="center"/>
        <w:rPr>
          <w:b/>
          <w:i/>
          <w:sz w:val="36"/>
          <w:lang w:val="es-MX"/>
        </w:rPr>
      </w:pPr>
    </w:p>
    <w:p w:rsidR="00F91564" w:rsidRPr="00184081" w:rsidRDefault="00F91564" w:rsidP="00F91564">
      <w:pPr>
        <w:jc w:val="center"/>
        <w:rPr>
          <w:b/>
          <w:i/>
          <w:sz w:val="36"/>
          <w:lang w:val="es-MX"/>
        </w:rPr>
      </w:pPr>
    </w:p>
    <w:p w:rsidR="00F91564" w:rsidRPr="00F91564" w:rsidRDefault="00F91564" w:rsidP="00F91564">
      <w:pPr>
        <w:jc w:val="center"/>
        <w:rPr>
          <w:b/>
          <w:i/>
          <w:sz w:val="36"/>
          <w:u w:val="single"/>
        </w:rPr>
      </w:pPr>
      <w:r w:rsidRPr="00F91564">
        <w:rPr>
          <w:b/>
          <w:i/>
          <w:sz w:val="36"/>
          <w:u w:val="single"/>
        </w:rPr>
        <w:t>Anexo II</w:t>
      </w:r>
    </w:p>
    <w:p w:rsidR="00F91564" w:rsidRDefault="00F91564" w:rsidP="00F91564">
      <w:pPr>
        <w:jc w:val="center"/>
        <w:rPr>
          <w:b/>
          <w:i/>
          <w:sz w:val="36"/>
        </w:rPr>
      </w:pPr>
    </w:p>
    <w:p w:rsidR="00F91564" w:rsidRDefault="00F91564" w:rsidP="00F91564">
      <w:pPr>
        <w:jc w:val="center"/>
        <w:rPr>
          <w:b/>
          <w:i/>
          <w:sz w:val="36"/>
        </w:rPr>
      </w:pPr>
    </w:p>
    <w:p w:rsidR="00F91564" w:rsidRDefault="00F91564" w:rsidP="00F91564">
      <w:pPr>
        <w:jc w:val="center"/>
        <w:rPr>
          <w:b/>
          <w:i/>
          <w:sz w:val="36"/>
        </w:rPr>
      </w:pPr>
    </w:p>
    <w:p w:rsidR="00F91564" w:rsidRDefault="00F91564" w:rsidP="00F91564">
      <w:pPr>
        <w:jc w:val="center"/>
        <w:rPr>
          <w:b/>
          <w:i/>
          <w:sz w:val="36"/>
        </w:rPr>
      </w:pPr>
    </w:p>
    <w:p w:rsidR="00F91564" w:rsidRDefault="00F91564" w:rsidP="00F91564">
      <w:pPr>
        <w:jc w:val="center"/>
        <w:rPr>
          <w:b/>
          <w:i/>
          <w:sz w:val="36"/>
        </w:rPr>
      </w:pPr>
      <w:r w:rsidRPr="00F91564">
        <w:rPr>
          <w:b/>
          <w:i/>
          <w:sz w:val="36"/>
        </w:rPr>
        <w:t>Matriz de Marco Lógico Original</w:t>
      </w:r>
    </w:p>
    <w:p w:rsidR="005F2DA3" w:rsidRDefault="005F2DA3" w:rsidP="00F91564">
      <w:pPr>
        <w:jc w:val="center"/>
        <w:rPr>
          <w:b/>
          <w:i/>
          <w:sz w:val="36"/>
        </w:rPr>
        <w:sectPr w:rsidR="005F2DA3" w:rsidSect="008F132F">
          <w:pgSz w:w="12240" w:h="15840" w:code="1"/>
          <w:pgMar w:top="1417" w:right="1701" w:bottom="1417" w:left="1701" w:header="708" w:footer="708" w:gutter="0"/>
          <w:cols w:space="708"/>
          <w:docGrid w:linePitch="360"/>
        </w:sectPr>
      </w:pPr>
    </w:p>
    <w:p w:rsidR="005F2DA3" w:rsidRPr="002C73B2" w:rsidRDefault="002C73B2" w:rsidP="002C73B2">
      <w:pPr>
        <w:rPr>
          <w:i/>
          <w:sz w:val="24"/>
        </w:rPr>
      </w:pPr>
      <w:r w:rsidRPr="002C73B2">
        <w:rPr>
          <w:i/>
          <w:noProof/>
          <w:lang w:val="en-US" w:eastAsia="ja-JP"/>
        </w:rPr>
        <w:lastRenderedPageBreak/>
        <w:drawing>
          <wp:anchor distT="0" distB="0" distL="114300" distR="114300" simplePos="0" relativeHeight="251663360" behindDoc="0" locked="0" layoutInCell="1" allowOverlap="1">
            <wp:simplePos x="0" y="0"/>
            <wp:positionH relativeFrom="column">
              <wp:posOffset>-2911</wp:posOffset>
            </wp:positionH>
            <wp:positionV relativeFrom="paragraph">
              <wp:posOffset>3850005</wp:posOffset>
            </wp:positionV>
            <wp:extent cx="6219645" cy="1026018"/>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19645" cy="1026018"/>
                    </a:xfrm>
                    <a:prstGeom prst="rect">
                      <a:avLst/>
                    </a:prstGeom>
                  </pic:spPr>
                </pic:pic>
              </a:graphicData>
            </a:graphic>
          </wp:anchor>
        </w:drawing>
      </w:r>
      <w:r w:rsidR="005F2DA3" w:rsidRPr="002C73B2">
        <w:rPr>
          <w:i/>
          <w:noProof/>
          <w:lang w:val="en-US" w:eastAsia="ja-JP"/>
        </w:rPr>
        <w:drawing>
          <wp:inline distT="0" distB="0" distL="0" distR="0">
            <wp:extent cx="6473377" cy="399697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479104" cy="4000506"/>
                    </a:xfrm>
                    <a:prstGeom prst="rect">
                      <a:avLst/>
                    </a:prstGeom>
                  </pic:spPr>
                </pic:pic>
              </a:graphicData>
            </a:graphic>
          </wp:inline>
        </w:drawing>
      </w:r>
    </w:p>
    <w:p w:rsidR="002C73B2" w:rsidRPr="005F2DA3" w:rsidRDefault="002C73B2" w:rsidP="002C73B2">
      <w:pPr>
        <w:jc w:val="both"/>
        <w:rPr>
          <w:sz w:val="24"/>
        </w:rPr>
      </w:pPr>
    </w:p>
    <w:p w:rsidR="005F2DA3" w:rsidRDefault="005F2DA3" w:rsidP="00F91564">
      <w:pPr>
        <w:jc w:val="center"/>
        <w:rPr>
          <w:b/>
          <w:i/>
          <w:sz w:val="36"/>
        </w:rPr>
      </w:pPr>
    </w:p>
    <w:p w:rsidR="005F2DA3" w:rsidRDefault="005F2DA3" w:rsidP="00F91564">
      <w:pPr>
        <w:jc w:val="center"/>
        <w:rPr>
          <w:b/>
          <w:i/>
          <w:sz w:val="36"/>
        </w:rPr>
        <w:sectPr w:rsidR="005F2DA3" w:rsidSect="005F2DA3">
          <w:footerReference w:type="default" r:id="rId32"/>
          <w:pgSz w:w="15840" w:h="12240" w:orient="landscape" w:code="1"/>
          <w:pgMar w:top="1701" w:right="1417" w:bottom="1701" w:left="1417" w:header="708" w:footer="708" w:gutter="0"/>
          <w:cols w:space="708"/>
          <w:docGrid w:linePitch="360"/>
        </w:sectPr>
      </w:pPr>
    </w:p>
    <w:p w:rsidR="005F2DA3" w:rsidRPr="00F91564" w:rsidRDefault="005F2DA3" w:rsidP="00F91564">
      <w:pPr>
        <w:jc w:val="center"/>
        <w:rPr>
          <w:b/>
          <w:i/>
          <w:sz w:val="36"/>
        </w:rPr>
      </w:pPr>
    </w:p>
    <w:p w:rsidR="00F91564" w:rsidRDefault="00F91564" w:rsidP="00F91564">
      <w:pPr>
        <w:jc w:val="center"/>
        <w:rPr>
          <w:b/>
          <w:i/>
          <w:sz w:val="36"/>
          <w:szCs w:val="36"/>
          <w:u w:val="single"/>
        </w:rPr>
      </w:pPr>
    </w:p>
    <w:p w:rsidR="00F91564" w:rsidRDefault="00F91564" w:rsidP="00F91564">
      <w:pPr>
        <w:jc w:val="center"/>
        <w:rPr>
          <w:b/>
          <w:i/>
          <w:sz w:val="36"/>
          <w:szCs w:val="36"/>
          <w:u w:val="single"/>
        </w:rPr>
      </w:pPr>
    </w:p>
    <w:p w:rsidR="00A43D44" w:rsidRDefault="00A43D44" w:rsidP="00F91564">
      <w:pPr>
        <w:jc w:val="center"/>
        <w:rPr>
          <w:b/>
          <w:i/>
          <w:sz w:val="36"/>
          <w:szCs w:val="36"/>
          <w:u w:val="single"/>
        </w:rPr>
      </w:pPr>
    </w:p>
    <w:p w:rsidR="00A43D44" w:rsidRDefault="00A43D44" w:rsidP="00F91564">
      <w:pPr>
        <w:jc w:val="center"/>
        <w:rPr>
          <w:b/>
          <w:i/>
          <w:sz w:val="36"/>
          <w:szCs w:val="36"/>
          <w:u w:val="single"/>
        </w:rPr>
      </w:pPr>
    </w:p>
    <w:p w:rsidR="00F91564" w:rsidRPr="00F91564" w:rsidRDefault="00F91564" w:rsidP="00F91564">
      <w:pPr>
        <w:jc w:val="center"/>
        <w:rPr>
          <w:b/>
          <w:i/>
          <w:sz w:val="36"/>
          <w:szCs w:val="36"/>
          <w:u w:val="single"/>
        </w:rPr>
      </w:pPr>
      <w:r w:rsidRPr="00F91564">
        <w:rPr>
          <w:b/>
          <w:i/>
          <w:sz w:val="36"/>
          <w:szCs w:val="36"/>
          <w:u w:val="single"/>
        </w:rPr>
        <w:t>Anexo III</w:t>
      </w:r>
    </w:p>
    <w:p w:rsidR="00F91564" w:rsidRDefault="00F91564" w:rsidP="00F91564">
      <w:pPr>
        <w:jc w:val="center"/>
        <w:rPr>
          <w:b/>
          <w:i/>
          <w:sz w:val="36"/>
          <w:szCs w:val="36"/>
        </w:rPr>
      </w:pPr>
    </w:p>
    <w:p w:rsidR="00F91564" w:rsidRDefault="00F91564" w:rsidP="00F91564">
      <w:pPr>
        <w:jc w:val="center"/>
        <w:rPr>
          <w:b/>
          <w:i/>
          <w:sz w:val="36"/>
          <w:szCs w:val="36"/>
        </w:rPr>
      </w:pPr>
    </w:p>
    <w:p w:rsidR="00F91564" w:rsidRPr="00F91564" w:rsidRDefault="00F91564" w:rsidP="00F91564">
      <w:pPr>
        <w:jc w:val="center"/>
        <w:rPr>
          <w:b/>
          <w:i/>
          <w:sz w:val="36"/>
          <w:szCs w:val="36"/>
        </w:rPr>
      </w:pPr>
      <w:r w:rsidRPr="00F91564">
        <w:rPr>
          <w:b/>
          <w:i/>
          <w:sz w:val="36"/>
          <w:szCs w:val="36"/>
        </w:rPr>
        <w:t>Marco Lógico revisado del proyecto, de acuerdo a las nuevas circunstancias y prioridades del estado mexicano (2003)</w:t>
      </w:r>
      <w:r w:rsidR="00C24FC6">
        <w:rPr>
          <w:rStyle w:val="FootnoteReference"/>
          <w:b/>
          <w:i/>
          <w:sz w:val="36"/>
          <w:szCs w:val="36"/>
        </w:rPr>
        <w:footnoteReference w:id="11"/>
      </w:r>
    </w:p>
    <w:p w:rsidR="00F91564" w:rsidRPr="00F91564" w:rsidRDefault="00F91564" w:rsidP="00F91564">
      <w:pPr>
        <w:jc w:val="center"/>
        <w:rPr>
          <w:b/>
          <w:i/>
          <w:sz w:val="36"/>
          <w:szCs w:val="36"/>
        </w:rPr>
        <w:sectPr w:rsidR="00F91564" w:rsidRPr="00F91564" w:rsidSect="008F132F">
          <w:footerReference w:type="default" r:id="rId33"/>
          <w:pgSz w:w="12240" w:h="15840" w:code="1"/>
          <w:pgMar w:top="1417" w:right="1701" w:bottom="1417" w:left="1701" w:header="708" w:footer="708" w:gutter="0"/>
          <w:cols w:space="708"/>
          <w:docGrid w:linePitch="360"/>
        </w:sectPr>
      </w:pPr>
    </w:p>
    <w:tbl>
      <w:tblPr>
        <w:tblW w:w="1176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3"/>
        <w:gridCol w:w="3261"/>
        <w:gridCol w:w="2533"/>
        <w:gridCol w:w="2428"/>
      </w:tblGrid>
      <w:tr w:rsidR="00F91564" w:rsidRPr="00D706E5" w:rsidTr="001617B4">
        <w:trPr>
          <w:trHeight w:val="320"/>
          <w:tblHeader/>
        </w:trPr>
        <w:tc>
          <w:tcPr>
            <w:tcW w:w="3543"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rsidR="00F91564" w:rsidRPr="00BC2B85" w:rsidRDefault="00F91564" w:rsidP="001617B4">
            <w:pPr>
              <w:spacing w:after="120" w:line="240" w:lineRule="auto"/>
              <w:rPr>
                <w:rFonts w:asciiTheme="minorHAnsi" w:hAnsiTheme="minorHAnsi" w:cstheme="minorHAnsi"/>
                <w:b/>
                <w:sz w:val="18"/>
                <w:szCs w:val="18"/>
                <w:lang w:val="en-US"/>
              </w:rPr>
            </w:pPr>
            <w:proofErr w:type="spellStart"/>
            <w:r w:rsidRPr="00D706E5">
              <w:rPr>
                <w:rFonts w:asciiTheme="minorHAnsi" w:hAnsiTheme="minorHAnsi" w:cstheme="minorHAnsi"/>
                <w:b/>
                <w:sz w:val="18"/>
                <w:szCs w:val="18"/>
                <w:lang w:val="en-US"/>
              </w:rPr>
              <w:lastRenderedPageBreak/>
              <w:t>Estrategia</w:t>
            </w:r>
            <w:proofErr w:type="spellEnd"/>
            <w:r w:rsidRPr="00D706E5">
              <w:rPr>
                <w:rFonts w:asciiTheme="minorHAnsi" w:hAnsiTheme="minorHAnsi" w:cstheme="minorHAnsi"/>
                <w:b/>
                <w:sz w:val="18"/>
                <w:szCs w:val="18"/>
                <w:lang w:val="en-US"/>
              </w:rPr>
              <w:t xml:space="preserve"> de </w:t>
            </w:r>
            <w:proofErr w:type="spellStart"/>
            <w:r w:rsidRPr="00D706E5">
              <w:rPr>
                <w:rFonts w:asciiTheme="minorHAnsi" w:hAnsiTheme="minorHAnsi" w:cstheme="minorHAnsi"/>
                <w:b/>
                <w:sz w:val="18"/>
                <w:szCs w:val="18"/>
                <w:lang w:val="en-US"/>
              </w:rPr>
              <w:t>Proyecto</w:t>
            </w:r>
            <w:proofErr w:type="spellEnd"/>
          </w:p>
        </w:tc>
        <w:tc>
          <w:tcPr>
            <w:tcW w:w="3261"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rsidR="00F91564" w:rsidRPr="00BC2B85" w:rsidRDefault="00F91564" w:rsidP="001617B4">
            <w:pPr>
              <w:spacing w:after="120" w:line="240" w:lineRule="auto"/>
              <w:rPr>
                <w:rFonts w:asciiTheme="minorHAnsi" w:hAnsiTheme="minorHAnsi" w:cstheme="minorHAnsi"/>
                <w:b/>
                <w:sz w:val="18"/>
                <w:szCs w:val="18"/>
                <w:lang w:val="es-MX"/>
              </w:rPr>
            </w:pPr>
            <w:r w:rsidRPr="00BC2B85">
              <w:rPr>
                <w:rFonts w:asciiTheme="minorHAnsi" w:hAnsiTheme="minorHAnsi" w:cstheme="minorHAnsi"/>
                <w:b/>
                <w:sz w:val="18"/>
                <w:szCs w:val="18"/>
                <w:lang w:val="es-MX"/>
              </w:rPr>
              <w:t>Indicador Objetivamente Verificable</w:t>
            </w:r>
          </w:p>
        </w:tc>
        <w:tc>
          <w:tcPr>
            <w:tcW w:w="2533"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rsidR="00F91564" w:rsidRPr="00BC2B85" w:rsidRDefault="00F91564" w:rsidP="001617B4">
            <w:pPr>
              <w:spacing w:after="120" w:line="240" w:lineRule="auto"/>
              <w:rPr>
                <w:rFonts w:asciiTheme="minorHAnsi" w:hAnsiTheme="minorHAnsi" w:cstheme="minorHAnsi"/>
                <w:b/>
                <w:sz w:val="18"/>
                <w:szCs w:val="18"/>
                <w:lang w:val="en-US"/>
              </w:rPr>
            </w:pPr>
            <w:proofErr w:type="spellStart"/>
            <w:r w:rsidRPr="00D706E5">
              <w:rPr>
                <w:rFonts w:asciiTheme="minorHAnsi" w:hAnsiTheme="minorHAnsi" w:cstheme="minorHAnsi"/>
                <w:b/>
                <w:sz w:val="18"/>
                <w:szCs w:val="18"/>
                <w:lang w:val="en-US"/>
              </w:rPr>
              <w:t>Medios</w:t>
            </w:r>
            <w:proofErr w:type="spellEnd"/>
            <w:r w:rsidRPr="00D706E5">
              <w:rPr>
                <w:rFonts w:asciiTheme="minorHAnsi" w:hAnsiTheme="minorHAnsi" w:cstheme="minorHAnsi"/>
                <w:b/>
                <w:sz w:val="18"/>
                <w:szCs w:val="18"/>
                <w:lang w:val="en-US"/>
              </w:rPr>
              <w:t xml:space="preserve"> de </w:t>
            </w:r>
            <w:proofErr w:type="spellStart"/>
            <w:r w:rsidRPr="00D706E5">
              <w:rPr>
                <w:rFonts w:asciiTheme="minorHAnsi" w:hAnsiTheme="minorHAnsi" w:cstheme="minorHAnsi"/>
                <w:b/>
                <w:sz w:val="18"/>
                <w:szCs w:val="18"/>
                <w:lang w:val="en-US"/>
              </w:rPr>
              <w:t>Verificación</w:t>
            </w:r>
            <w:proofErr w:type="spellEnd"/>
          </w:p>
        </w:tc>
        <w:tc>
          <w:tcPr>
            <w:tcW w:w="2428"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rsidR="00F91564" w:rsidRPr="00BC2B85" w:rsidRDefault="00F91564" w:rsidP="001617B4">
            <w:pPr>
              <w:spacing w:after="120" w:line="240" w:lineRule="auto"/>
              <w:rPr>
                <w:rFonts w:asciiTheme="minorHAnsi" w:hAnsiTheme="minorHAnsi" w:cstheme="minorHAnsi"/>
                <w:b/>
                <w:sz w:val="18"/>
                <w:szCs w:val="18"/>
                <w:lang w:val="en-US"/>
              </w:rPr>
            </w:pPr>
            <w:proofErr w:type="spellStart"/>
            <w:r w:rsidRPr="00D706E5">
              <w:rPr>
                <w:rFonts w:asciiTheme="minorHAnsi" w:hAnsiTheme="minorHAnsi" w:cstheme="minorHAnsi"/>
                <w:b/>
                <w:sz w:val="18"/>
                <w:szCs w:val="18"/>
                <w:lang w:val="en-US"/>
              </w:rPr>
              <w:t>Supuestos</w:t>
            </w:r>
            <w:proofErr w:type="spellEnd"/>
          </w:p>
        </w:tc>
      </w:tr>
      <w:tr w:rsidR="00F91564" w:rsidRPr="00D706E5" w:rsidTr="001617B4">
        <w:trPr>
          <w:cantSplit/>
        </w:trPr>
        <w:tc>
          <w:tcPr>
            <w:tcW w:w="11765" w:type="dxa"/>
            <w:gridSpan w:val="4"/>
            <w:tcBorders>
              <w:top w:val="single" w:sz="4" w:space="0" w:color="auto"/>
              <w:left w:val="single" w:sz="4" w:space="0" w:color="auto"/>
              <w:bottom w:val="double" w:sz="4" w:space="0" w:color="auto"/>
              <w:right w:val="single" w:sz="4" w:space="0" w:color="auto"/>
            </w:tcBorders>
          </w:tcPr>
          <w:p w:rsidR="00F91564" w:rsidRPr="00BC2B85" w:rsidRDefault="00F91564" w:rsidP="001617B4">
            <w:pPr>
              <w:rPr>
                <w:rFonts w:asciiTheme="minorHAnsi" w:hAnsiTheme="minorHAnsi" w:cstheme="minorHAnsi"/>
                <w:b/>
                <w:sz w:val="18"/>
                <w:szCs w:val="18"/>
                <w:lang w:val="es-MX"/>
              </w:rPr>
            </w:pPr>
            <w:r w:rsidRPr="00BC2B85">
              <w:rPr>
                <w:rFonts w:asciiTheme="minorHAnsi" w:hAnsiTheme="minorHAnsi" w:cstheme="minorHAnsi"/>
                <w:b/>
                <w:sz w:val="18"/>
                <w:szCs w:val="18"/>
                <w:lang w:val="es-MX"/>
              </w:rPr>
              <w:t>Objetivo de Desarrollo:</w:t>
            </w:r>
          </w:p>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Políticas de medio ambiente transversales establecidas y completamente integradas en un marco de planificación nacional y local de largo plazo, generando un desarrollo humano sustentable en México en el período 2001-2025</w:t>
            </w:r>
            <w:r w:rsidRPr="00D706E5">
              <w:rPr>
                <w:rFonts w:asciiTheme="minorHAnsi" w:hAnsiTheme="minorHAnsi" w:cstheme="minorHAnsi"/>
                <w:sz w:val="18"/>
                <w:szCs w:val="18"/>
                <w:lang w:val="es-MX"/>
              </w:rPr>
              <w:t>.</w:t>
            </w:r>
          </w:p>
        </w:tc>
      </w:tr>
      <w:tr w:rsidR="00F91564" w:rsidRPr="00D706E5" w:rsidTr="001617B4">
        <w:tc>
          <w:tcPr>
            <w:tcW w:w="3543" w:type="dxa"/>
            <w:tcBorders>
              <w:top w:val="doub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
                <w:sz w:val="18"/>
                <w:szCs w:val="18"/>
                <w:lang w:val="es-MX"/>
              </w:rPr>
            </w:pPr>
            <w:r w:rsidRPr="00BC2B85">
              <w:rPr>
                <w:rFonts w:asciiTheme="minorHAnsi" w:hAnsiTheme="minorHAnsi" w:cstheme="minorHAnsi"/>
                <w:b/>
                <w:sz w:val="18"/>
                <w:szCs w:val="18"/>
                <w:lang w:val="es-MX"/>
              </w:rPr>
              <w:t>Objetivo Inmediato 1:</w:t>
            </w:r>
          </w:p>
          <w:p w:rsidR="00F91564" w:rsidRPr="00BC2B85" w:rsidRDefault="00F91564" w:rsidP="001617B4">
            <w:pPr>
              <w:rPr>
                <w:rFonts w:asciiTheme="minorHAnsi" w:hAnsiTheme="minorHAnsi" w:cstheme="minorHAnsi"/>
                <w:sz w:val="18"/>
                <w:szCs w:val="18"/>
                <w:highlight w:val="cyan"/>
                <w:lang w:val="es-MX"/>
              </w:rPr>
            </w:pPr>
            <w:r w:rsidRPr="00BC2B85">
              <w:rPr>
                <w:rFonts w:asciiTheme="minorHAnsi" w:hAnsiTheme="minorHAnsi" w:cstheme="minorHAnsi"/>
                <w:sz w:val="18"/>
                <w:szCs w:val="18"/>
                <w:lang w:val="es-MX"/>
              </w:rPr>
              <w:t>Capacidades de gobernabilidad ambiental dentro de México fortalecidas en el corto plazo (2000-2006), por medio de una planeación estratégica de desarrollo verde, intervenciones programadas y la internalización de prácticas de gestión y protección ambiental adecuadas en ministerios y agencias claves.</w:t>
            </w:r>
          </w:p>
        </w:tc>
        <w:tc>
          <w:tcPr>
            <w:tcW w:w="3261" w:type="dxa"/>
            <w:tcBorders>
              <w:top w:val="doub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highlight w:val="cyan"/>
                <w:lang w:val="es-MX"/>
              </w:rPr>
            </w:pPr>
          </w:p>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 xml:space="preserve">Un sistema mejorado de planificación, monitoreo y evaluación en operación, el cual considera una </w:t>
            </w:r>
            <w:r w:rsidRPr="00D706E5">
              <w:rPr>
                <w:rFonts w:asciiTheme="minorHAnsi" w:hAnsiTheme="minorHAnsi" w:cstheme="minorHAnsi"/>
                <w:sz w:val="18"/>
                <w:szCs w:val="18"/>
                <w:lang w:val="es-MX"/>
              </w:rPr>
              <w:t xml:space="preserve">etiqueta de desarrollo sustentable de indicadores de política. </w:t>
            </w:r>
          </w:p>
          <w:p w:rsidR="00F91564" w:rsidRPr="00BC2B85" w:rsidRDefault="00F91564" w:rsidP="001617B4">
            <w:pPr>
              <w:rPr>
                <w:rFonts w:asciiTheme="minorHAnsi" w:hAnsiTheme="minorHAnsi" w:cstheme="minorHAnsi"/>
                <w:sz w:val="18"/>
                <w:szCs w:val="18"/>
                <w:highlight w:val="cyan"/>
                <w:lang w:val="es-MX"/>
              </w:rPr>
            </w:pPr>
          </w:p>
        </w:tc>
        <w:tc>
          <w:tcPr>
            <w:tcW w:w="2533" w:type="dxa"/>
            <w:tcBorders>
              <w:top w:val="doub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highlight w:val="lightGray"/>
                <w:lang w:val="es-MX"/>
              </w:rPr>
            </w:pPr>
          </w:p>
          <w:p w:rsidR="00F91564" w:rsidRPr="00BC2B85" w:rsidRDefault="00F91564" w:rsidP="001617B4">
            <w:pPr>
              <w:rPr>
                <w:rFonts w:asciiTheme="minorHAnsi" w:hAnsiTheme="minorHAnsi" w:cstheme="minorHAnsi"/>
                <w:strike/>
                <w:sz w:val="18"/>
                <w:szCs w:val="18"/>
                <w:highlight w:val="lightGray"/>
                <w:lang w:val="es-MX"/>
              </w:rPr>
            </w:pPr>
            <w:r w:rsidRPr="00BC2B85">
              <w:rPr>
                <w:rFonts w:asciiTheme="minorHAnsi" w:hAnsiTheme="minorHAnsi" w:cstheme="minorHAnsi"/>
                <w:sz w:val="18"/>
                <w:szCs w:val="18"/>
                <w:lang w:val="es-MX"/>
              </w:rPr>
              <w:t xml:space="preserve">Catálogo de </w:t>
            </w:r>
            <w:r w:rsidR="001C7384" w:rsidRPr="00BC2B85">
              <w:rPr>
                <w:rFonts w:asciiTheme="minorHAnsi" w:hAnsiTheme="minorHAnsi" w:cstheme="minorHAnsi"/>
                <w:sz w:val="18"/>
                <w:szCs w:val="18"/>
                <w:lang w:val="es-MX"/>
              </w:rPr>
              <w:t>Indicadores</w:t>
            </w:r>
            <w:r w:rsidRPr="00BC2B85">
              <w:rPr>
                <w:rFonts w:asciiTheme="minorHAnsi" w:hAnsiTheme="minorHAnsi" w:cstheme="minorHAnsi"/>
                <w:sz w:val="18"/>
                <w:szCs w:val="18"/>
                <w:lang w:val="es-MX"/>
              </w:rPr>
              <w:t xml:space="preserve"> de Desarrollo Sustentable.</w:t>
            </w:r>
          </w:p>
        </w:tc>
        <w:tc>
          <w:tcPr>
            <w:tcW w:w="2428" w:type="dxa"/>
            <w:tcBorders>
              <w:top w:val="doub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p>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SEMARNAT dotada con la capacidad para establecer políticas sectoriales.</w:t>
            </w:r>
          </w:p>
          <w:p w:rsidR="00F91564" w:rsidRPr="00BC2B85" w:rsidRDefault="00F91564" w:rsidP="001617B4">
            <w:pPr>
              <w:pStyle w:val="FootnoteText"/>
              <w:rPr>
                <w:rFonts w:asciiTheme="minorHAnsi" w:hAnsiTheme="minorHAnsi" w:cstheme="minorHAnsi"/>
                <w:b/>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
                <w:sz w:val="18"/>
                <w:szCs w:val="18"/>
                <w:lang w:val="es-MX"/>
              </w:rPr>
            </w:pPr>
            <w:r w:rsidRPr="00BC2B85">
              <w:rPr>
                <w:rFonts w:asciiTheme="minorHAnsi" w:hAnsiTheme="minorHAnsi" w:cstheme="minorHAnsi"/>
                <w:b/>
                <w:sz w:val="18"/>
                <w:szCs w:val="18"/>
                <w:lang w:val="es-MX"/>
              </w:rPr>
              <w:t>Producto 1:</w:t>
            </w:r>
          </w:p>
          <w:p w:rsidR="00F91564" w:rsidRPr="00BC2B85" w:rsidRDefault="00F91564" w:rsidP="001617B4">
            <w:pPr>
              <w:jc w:val="both"/>
              <w:rPr>
                <w:rFonts w:asciiTheme="minorHAnsi" w:hAnsiTheme="minorHAnsi" w:cstheme="minorHAnsi"/>
                <w:b/>
                <w:sz w:val="18"/>
                <w:szCs w:val="18"/>
                <w:lang w:val="es-MX"/>
              </w:rPr>
            </w:pPr>
            <w:r w:rsidRPr="00BC2B85">
              <w:rPr>
                <w:rFonts w:asciiTheme="minorHAnsi" w:hAnsiTheme="minorHAnsi" w:cstheme="minorHAnsi"/>
                <w:sz w:val="18"/>
                <w:szCs w:val="18"/>
                <w:lang w:val="es-MX"/>
              </w:rPr>
              <w:t xml:space="preserve">Un marco financiero programático para medio ambiente, que provea </w:t>
            </w:r>
            <w:r w:rsidR="001C7384" w:rsidRPr="00BC2B85">
              <w:rPr>
                <w:rFonts w:asciiTheme="minorHAnsi" w:hAnsiTheme="minorHAnsi" w:cstheme="minorHAnsi"/>
                <w:sz w:val="18"/>
                <w:szCs w:val="18"/>
                <w:lang w:val="es-MX"/>
              </w:rPr>
              <w:t>sinergias</w:t>
            </w:r>
            <w:r w:rsidRPr="00BC2B85">
              <w:rPr>
                <w:rFonts w:asciiTheme="minorHAnsi" w:hAnsiTheme="minorHAnsi" w:cstheme="minorHAnsi"/>
                <w:sz w:val="18"/>
                <w:szCs w:val="18"/>
                <w:lang w:val="es-MX"/>
              </w:rPr>
              <w:t xml:space="preserve"> relevantes globalmente y actividades transversales con GEF y otros donantes, diseñado y negociado.  </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highlight w:val="lightGray"/>
                <w:lang w:val="es-MX"/>
              </w:rPr>
            </w:pP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highlight w:val="lightGray"/>
                <w:lang w:val="es-MX"/>
              </w:rPr>
            </w:pP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highlight w:val="lightGray"/>
                <w:lang w:val="es-MX"/>
              </w:rPr>
            </w:pPr>
          </w:p>
        </w:tc>
      </w:tr>
      <w:tr w:rsidR="00F91564" w:rsidRPr="00DD5D81"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 xml:space="preserve">1.1 Evaluación de la consistencia entre el apoyo internacional y prioridades sectoriales en México. </w:t>
            </w:r>
          </w:p>
        </w:tc>
        <w:tc>
          <w:tcPr>
            <w:tcW w:w="3261" w:type="dxa"/>
            <w:tcBorders>
              <w:top w:val="single" w:sz="4" w:space="0" w:color="auto"/>
              <w:left w:val="single" w:sz="4" w:space="0" w:color="auto"/>
              <w:bottom w:val="single" w:sz="4" w:space="0" w:color="auto"/>
              <w:right w:val="single" w:sz="4" w:space="0" w:color="auto"/>
            </w:tcBorders>
          </w:tcPr>
          <w:tbl>
            <w:tblPr>
              <w:tblW w:w="3278" w:type="dxa"/>
              <w:tblLayout w:type="fixed"/>
              <w:tblCellMar>
                <w:left w:w="70" w:type="dxa"/>
                <w:right w:w="70" w:type="dxa"/>
              </w:tblCellMar>
              <w:tblLook w:val="0000"/>
            </w:tblPr>
            <w:tblGrid>
              <w:gridCol w:w="3278"/>
            </w:tblGrid>
            <w:tr w:rsidR="00F91564" w:rsidRPr="00D706E5" w:rsidTr="001617B4">
              <w:trPr>
                <w:cantSplit/>
                <w:trHeight w:val="1607"/>
              </w:trPr>
              <w:tc>
                <w:tcPr>
                  <w:tcW w:w="3278" w:type="dxa"/>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 xml:space="preserve">Una matriz de referencia cruzada de producto 1.1 con producto 3.2 desarrollada. </w:t>
                  </w:r>
                </w:p>
                <w:p w:rsidR="00F91564" w:rsidRPr="00D706E5" w:rsidRDefault="00F91564" w:rsidP="001617B4">
                  <w:pPr>
                    <w:pStyle w:val="FootnoteText"/>
                    <w:rPr>
                      <w:rFonts w:asciiTheme="minorHAnsi" w:hAnsiTheme="minorHAnsi" w:cstheme="minorHAnsi"/>
                      <w:sz w:val="18"/>
                      <w:szCs w:val="18"/>
                      <w:lang w:val="es-MX"/>
                    </w:rPr>
                  </w:pPr>
                </w:p>
                <w:p w:rsidR="00F91564" w:rsidRPr="00D706E5" w:rsidRDefault="00F91564" w:rsidP="001617B4">
                  <w:pPr>
                    <w:pStyle w:val="FootnoteText"/>
                    <w:rPr>
                      <w:rFonts w:asciiTheme="minorHAnsi" w:hAnsiTheme="minorHAnsi" w:cstheme="minorHAnsi"/>
                      <w:sz w:val="18"/>
                      <w:szCs w:val="18"/>
                      <w:lang w:val="es-MX"/>
                    </w:rPr>
                  </w:pPr>
                  <w:r w:rsidRPr="00D706E5">
                    <w:rPr>
                      <w:rFonts w:asciiTheme="minorHAnsi" w:hAnsiTheme="minorHAnsi" w:cstheme="minorHAnsi"/>
                      <w:sz w:val="18"/>
                      <w:szCs w:val="18"/>
                      <w:lang w:val="es-MX"/>
                    </w:rPr>
                    <w:t xml:space="preserve">Prioridades Nacionales expresadas y articuladas en los programas de cooperación de los donantes. </w:t>
                  </w:r>
                </w:p>
                <w:p w:rsidR="00F91564" w:rsidRPr="00BC2B85" w:rsidRDefault="00F91564" w:rsidP="001617B4">
                  <w:pPr>
                    <w:pStyle w:val="FootnoteText"/>
                    <w:rPr>
                      <w:rFonts w:asciiTheme="minorHAnsi" w:hAnsiTheme="minorHAnsi" w:cstheme="minorHAnsi"/>
                      <w:sz w:val="18"/>
                      <w:szCs w:val="18"/>
                      <w:lang w:val="es-MX"/>
                    </w:rPr>
                  </w:pPr>
                </w:p>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Aspectos globales relevantes de prioridades sectoriales sistem</w:t>
                  </w:r>
                  <w:r w:rsidRPr="00D706E5">
                    <w:rPr>
                      <w:rFonts w:asciiTheme="minorHAnsi" w:hAnsiTheme="minorHAnsi" w:cstheme="minorHAnsi"/>
                      <w:sz w:val="18"/>
                      <w:szCs w:val="18"/>
                      <w:lang w:val="es-MX"/>
                    </w:rPr>
                    <w:t>á</w:t>
                  </w:r>
                  <w:r w:rsidRPr="00BC2B85">
                    <w:rPr>
                      <w:rFonts w:asciiTheme="minorHAnsi" w:hAnsiTheme="minorHAnsi" w:cstheme="minorHAnsi"/>
                      <w:sz w:val="18"/>
                      <w:szCs w:val="18"/>
                      <w:lang w:val="es-MX"/>
                    </w:rPr>
                    <w:t>t</w:t>
                  </w:r>
                  <w:r w:rsidRPr="00D706E5">
                    <w:rPr>
                      <w:rFonts w:asciiTheme="minorHAnsi" w:hAnsiTheme="minorHAnsi" w:cstheme="minorHAnsi"/>
                      <w:sz w:val="18"/>
                      <w:szCs w:val="18"/>
                      <w:lang w:val="es-MX"/>
                    </w:rPr>
                    <w:t>i</w:t>
                  </w:r>
                  <w:r w:rsidRPr="00BC2B85">
                    <w:rPr>
                      <w:rFonts w:asciiTheme="minorHAnsi" w:hAnsiTheme="minorHAnsi" w:cstheme="minorHAnsi"/>
                      <w:sz w:val="18"/>
                      <w:szCs w:val="18"/>
                      <w:lang w:val="es-MX"/>
                    </w:rPr>
                    <w:t xml:space="preserve">camente identificadas. </w:t>
                  </w:r>
                </w:p>
              </w:tc>
            </w:tr>
          </w:tbl>
          <w:p w:rsidR="00F91564" w:rsidRPr="00BC2B85" w:rsidRDefault="00F91564" w:rsidP="001617B4">
            <w:pPr>
              <w:pStyle w:val="FootnoteText"/>
              <w:rPr>
                <w:rFonts w:asciiTheme="minorHAnsi" w:hAnsiTheme="minorHAnsi" w:cstheme="minorHAnsi"/>
                <w:sz w:val="18"/>
                <w:szCs w:val="18"/>
                <w:highlight w:val="lightGray"/>
                <w:lang w:val="es-MX"/>
              </w:rPr>
            </w:pP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Matriz</w:t>
            </w:r>
          </w:p>
          <w:p w:rsidR="00F91564" w:rsidRPr="00BC2B85" w:rsidRDefault="00F91564" w:rsidP="001617B4">
            <w:pPr>
              <w:rPr>
                <w:rFonts w:asciiTheme="minorHAnsi" w:hAnsiTheme="minorHAnsi" w:cstheme="minorHAnsi"/>
                <w:sz w:val="18"/>
                <w:szCs w:val="18"/>
                <w:lang w:val="es-MX"/>
              </w:rPr>
            </w:pPr>
          </w:p>
          <w:p w:rsidR="00F91564" w:rsidRPr="00BC2B85" w:rsidRDefault="00F91564" w:rsidP="001617B4">
            <w:pPr>
              <w:rPr>
                <w:rFonts w:asciiTheme="minorHAnsi" w:hAnsiTheme="minorHAnsi" w:cstheme="minorHAnsi"/>
                <w:sz w:val="18"/>
                <w:szCs w:val="18"/>
                <w:lang w:val="es-MX"/>
              </w:rPr>
            </w:pPr>
          </w:p>
          <w:p w:rsidR="00F91564" w:rsidRPr="00BC2B85" w:rsidRDefault="00F91564" w:rsidP="001617B4">
            <w:pPr>
              <w:rPr>
                <w:rFonts w:asciiTheme="minorHAnsi" w:hAnsiTheme="minorHAnsi" w:cstheme="minorHAnsi"/>
                <w:sz w:val="18"/>
                <w:szCs w:val="18"/>
                <w:highlight w:val="lightGray"/>
                <w:lang w:val="es-MX"/>
              </w:rPr>
            </w:pPr>
            <w:r w:rsidRPr="00BC2B85">
              <w:rPr>
                <w:rFonts w:asciiTheme="minorHAnsi" w:hAnsiTheme="minorHAnsi" w:cstheme="minorHAnsi"/>
                <w:sz w:val="18"/>
                <w:szCs w:val="18"/>
                <w:lang w:val="es-MX"/>
              </w:rPr>
              <w:t>Acuerdos documentados en</w:t>
            </w:r>
            <w:r w:rsidRPr="00D706E5">
              <w:rPr>
                <w:rFonts w:asciiTheme="minorHAnsi" w:hAnsiTheme="minorHAnsi" w:cstheme="minorHAnsi"/>
                <w:sz w:val="18"/>
                <w:szCs w:val="18"/>
                <w:lang w:val="es-MX"/>
              </w:rPr>
              <w:t>t</w:t>
            </w:r>
            <w:r w:rsidRPr="00BC2B85">
              <w:rPr>
                <w:rFonts w:asciiTheme="minorHAnsi" w:hAnsiTheme="minorHAnsi" w:cstheme="minorHAnsi"/>
                <w:sz w:val="18"/>
                <w:szCs w:val="18"/>
                <w:lang w:val="es-MX"/>
              </w:rPr>
              <w:t>re SEMARNAT y principales donantes.</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Pr>
                <w:rFonts w:asciiTheme="minorHAnsi" w:hAnsiTheme="minorHAnsi" w:cstheme="minorHAnsi"/>
                <w:sz w:val="18"/>
                <w:szCs w:val="18"/>
                <w:lang w:val="es-MX"/>
              </w:rPr>
              <w:t>Mé</w:t>
            </w:r>
            <w:r w:rsidRPr="00BC2B85">
              <w:rPr>
                <w:rFonts w:asciiTheme="minorHAnsi" w:hAnsiTheme="minorHAnsi" w:cstheme="minorHAnsi"/>
                <w:sz w:val="18"/>
                <w:szCs w:val="18"/>
                <w:lang w:val="es-MX"/>
              </w:rPr>
              <w:t xml:space="preserve">xico </w:t>
            </w:r>
            <w:r w:rsidR="001C7384" w:rsidRPr="00BC2B85">
              <w:rPr>
                <w:rFonts w:asciiTheme="minorHAnsi" w:hAnsiTheme="minorHAnsi" w:cstheme="minorHAnsi"/>
                <w:sz w:val="18"/>
                <w:szCs w:val="18"/>
                <w:lang w:val="es-MX"/>
              </w:rPr>
              <w:t>continúa</w:t>
            </w:r>
            <w:r w:rsidRPr="00BC2B85">
              <w:rPr>
                <w:rFonts w:asciiTheme="minorHAnsi" w:hAnsiTheme="minorHAnsi" w:cstheme="minorHAnsi"/>
                <w:sz w:val="18"/>
                <w:szCs w:val="18"/>
                <w:lang w:val="es-MX"/>
              </w:rPr>
              <w:t xml:space="preserve"> su compromiso y</w:t>
            </w:r>
            <w:r>
              <w:rPr>
                <w:rFonts w:asciiTheme="minorHAnsi" w:hAnsiTheme="minorHAnsi" w:cstheme="minorHAnsi"/>
                <w:sz w:val="18"/>
                <w:szCs w:val="18"/>
                <w:lang w:val="es-MX"/>
              </w:rPr>
              <w:t xml:space="preserve"> fortalece sus agendas globales y nacionales para el desarrollo sustentable y el medio ambiente. </w:t>
            </w:r>
          </w:p>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lastRenderedPageBreak/>
              <w:t>1.2 Propuesta para Gestión Adaptativa del p</w:t>
            </w:r>
            <w:r w:rsidRPr="00D706E5">
              <w:rPr>
                <w:rFonts w:asciiTheme="minorHAnsi" w:hAnsiTheme="minorHAnsi" w:cstheme="minorHAnsi"/>
                <w:bCs/>
                <w:sz w:val="18"/>
                <w:szCs w:val="18"/>
                <w:lang w:val="es-MX"/>
              </w:rPr>
              <w:t>o</w:t>
            </w:r>
            <w:r w:rsidRPr="00BC2B85">
              <w:rPr>
                <w:rFonts w:asciiTheme="minorHAnsi" w:hAnsiTheme="minorHAnsi" w:cstheme="minorHAnsi"/>
                <w:bCs/>
                <w:sz w:val="18"/>
                <w:szCs w:val="18"/>
                <w:lang w:val="es-MX"/>
              </w:rPr>
              <w:t xml:space="preserve">rtafolio GEF. </w:t>
            </w:r>
          </w:p>
          <w:p w:rsidR="00F91564" w:rsidRPr="00BC2B85" w:rsidRDefault="00F91564" w:rsidP="001617B4">
            <w:pPr>
              <w:rPr>
                <w:rFonts w:asciiTheme="minorHAnsi" w:hAnsiTheme="minorHAnsi" w:cstheme="minorHAnsi"/>
                <w:bCs/>
                <w:sz w:val="18"/>
                <w:szCs w:val="18"/>
                <w:lang w:val="es-MX"/>
              </w:rPr>
            </w:pPr>
          </w:p>
        </w:tc>
        <w:tc>
          <w:tcPr>
            <w:tcW w:w="3261" w:type="dxa"/>
            <w:tcBorders>
              <w:top w:val="single" w:sz="4" w:space="0" w:color="auto"/>
              <w:left w:val="single" w:sz="4" w:space="0" w:color="auto"/>
              <w:bottom w:val="nil"/>
              <w:right w:val="single" w:sz="4" w:space="0" w:color="auto"/>
            </w:tcBorders>
          </w:tcPr>
          <w:p w:rsidR="00F91564" w:rsidRPr="00D706E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Matriz desarrollada y negociada con las principal</w:t>
            </w:r>
            <w:r w:rsidRPr="00D706E5">
              <w:rPr>
                <w:rFonts w:asciiTheme="minorHAnsi" w:hAnsiTheme="minorHAnsi" w:cstheme="minorHAnsi"/>
                <w:sz w:val="18"/>
                <w:szCs w:val="18"/>
                <w:lang w:val="es-MX"/>
              </w:rPr>
              <w:t>e</w:t>
            </w:r>
            <w:r w:rsidRPr="00BC2B85">
              <w:rPr>
                <w:rFonts w:asciiTheme="minorHAnsi" w:hAnsiTheme="minorHAnsi" w:cstheme="minorHAnsi"/>
                <w:sz w:val="18"/>
                <w:szCs w:val="18"/>
                <w:lang w:val="es-MX"/>
              </w:rPr>
              <w:t>s agencias federales involucradas, GEPSEC y las agencias implementadoras en México.</w:t>
            </w:r>
          </w:p>
          <w:p w:rsidR="00F91564" w:rsidRPr="00BC2B85" w:rsidRDefault="00F91564" w:rsidP="001617B4">
            <w:pPr>
              <w:rPr>
                <w:rFonts w:asciiTheme="minorHAnsi" w:hAnsiTheme="minorHAnsi" w:cstheme="minorHAnsi"/>
                <w:sz w:val="18"/>
                <w:szCs w:val="18"/>
                <w:lang w:val="en-US"/>
              </w:rPr>
            </w:pPr>
            <w:r w:rsidRPr="00BC2B85">
              <w:rPr>
                <w:rFonts w:asciiTheme="minorHAnsi" w:hAnsiTheme="minorHAnsi" w:cstheme="minorHAnsi"/>
                <w:sz w:val="18"/>
                <w:szCs w:val="18"/>
                <w:lang w:val="en-US"/>
              </w:rPr>
              <w:t>Efficiency and impact indicators measuring the cost-efficiency as well as economies of scale and scope in GEF interventions, through implementation of programmatic framework.</w:t>
            </w:r>
          </w:p>
        </w:tc>
        <w:tc>
          <w:tcPr>
            <w:tcW w:w="2533" w:type="dxa"/>
            <w:tcBorders>
              <w:top w:val="single" w:sz="4" w:space="0" w:color="auto"/>
              <w:left w:val="single" w:sz="4" w:space="0" w:color="auto"/>
              <w:bottom w:val="single" w:sz="4" w:space="0" w:color="auto"/>
              <w:right w:val="single" w:sz="4" w:space="0" w:color="auto"/>
            </w:tcBorders>
          </w:tcPr>
          <w:p w:rsidR="00F91564" w:rsidRPr="00D706E5" w:rsidRDefault="00F91564" w:rsidP="001617B4">
            <w:pPr>
              <w:pStyle w:val="FootnoteText"/>
              <w:rPr>
                <w:rFonts w:asciiTheme="minorHAnsi" w:hAnsiTheme="minorHAnsi" w:cstheme="minorHAnsi"/>
                <w:sz w:val="18"/>
                <w:szCs w:val="18"/>
                <w:lang w:val="es-MX" w:eastAsia="es-ES"/>
              </w:rPr>
            </w:pPr>
            <w:r w:rsidRPr="00BC2B85">
              <w:rPr>
                <w:rFonts w:asciiTheme="minorHAnsi" w:hAnsiTheme="minorHAnsi" w:cstheme="minorHAnsi"/>
                <w:sz w:val="18"/>
                <w:szCs w:val="18"/>
                <w:lang w:val="es-MX" w:eastAsia="es-ES"/>
              </w:rPr>
              <w:t>Minutas de consultas, documentos de acuerdos.</w:t>
            </w:r>
          </w:p>
          <w:p w:rsidR="00F91564" w:rsidRPr="00BC2B85" w:rsidRDefault="00F91564" w:rsidP="001617B4">
            <w:pPr>
              <w:pStyle w:val="FootnoteText"/>
              <w:rPr>
                <w:rFonts w:asciiTheme="minorHAnsi" w:hAnsiTheme="minorHAnsi" w:cstheme="minorHAnsi"/>
                <w:sz w:val="18"/>
                <w:szCs w:val="18"/>
                <w:lang w:val="es-MX" w:eastAsia="es-ES"/>
              </w:rPr>
            </w:pPr>
            <w:r w:rsidRPr="00BC2B85">
              <w:rPr>
                <w:rFonts w:asciiTheme="minorHAnsi" w:hAnsiTheme="minorHAnsi" w:cstheme="minorHAnsi"/>
                <w:sz w:val="18"/>
                <w:szCs w:val="18"/>
                <w:lang w:val="es-MX" w:eastAsia="es-ES"/>
              </w:rPr>
              <w:t xml:space="preserve"> </w:t>
            </w:r>
          </w:p>
          <w:p w:rsidR="00F91564" w:rsidRPr="00BC2B85" w:rsidRDefault="00F91564" w:rsidP="001617B4">
            <w:pPr>
              <w:pStyle w:val="FootnoteText"/>
              <w:rPr>
                <w:rFonts w:asciiTheme="minorHAnsi" w:hAnsiTheme="minorHAnsi" w:cstheme="minorHAnsi"/>
                <w:sz w:val="18"/>
                <w:szCs w:val="18"/>
                <w:lang w:val="es-MX" w:eastAsia="es-ES"/>
              </w:rPr>
            </w:pPr>
          </w:p>
          <w:p w:rsidR="00F91564" w:rsidRPr="00BC2B85" w:rsidRDefault="00F91564" w:rsidP="001617B4">
            <w:pPr>
              <w:pStyle w:val="FootnoteText"/>
              <w:rPr>
                <w:rFonts w:asciiTheme="minorHAnsi" w:hAnsiTheme="minorHAnsi" w:cstheme="minorHAnsi"/>
                <w:sz w:val="18"/>
                <w:szCs w:val="18"/>
                <w:lang w:val="es-MX" w:eastAsia="es-ES"/>
              </w:rPr>
            </w:pPr>
          </w:p>
          <w:p w:rsidR="00F91564" w:rsidRPr="00BC2B85" w:rsidRDefault="00F91564" w:rsidP="001617B4">
            <w:pPr>
              <w:pStyle w:val="FootnoteText"/>
              <w:rPr>
                <w:rFonts w:asciiTheme="minorHAnsi" w:hAnsiTheme="minorHAnsi" w:cstheme="minorHAnsi"/>
                <w:sz w:val="18"/>
                <w:szCs w:val="18"/>
                <w:lang w:val="es-MX" w:eastAsia="es-ES"/>
              </w:rPr>
            </w:pPr>
          </w:p>
          <w:p w:rsidR="00F91564" w:rsidRPr="00BC2B85" w:rsidRDefault="00F91564" w:rsidP="001617B4">
            <w:pPr>
              <w:pStyle w:val="FootnoteText"/>
              <w:rPr>
                <w:rFonts w:asciiTheme="minorHAnsi" w:hAnsiTheme="minorHAnsi" w:cstheme="minorHAnsi"/>
                <w:sz w:val="18"/>
                <w:szCs w:val="18"/>
                <w:lang w:val="en-US" w:eastAsia="es-ES"/>
              </w:rPr>
            </w:pPr>
            <w:proofErr w:type="spellStart"/>
            <w:r w:rsidRPr="00BC2B85">
              <w:rPr>
                <w:rFonts w:asciiTheme="minorHAnsi" w:hAnsiTheme="minorHAnsi" w:cstheme="minorHAnsi"/>
                <w:sz w:val="18"/>
                <w:szCs w:val="18"/>
                <w:lang w:val="en-US" w:eastAsia="es-ES"/>
              </w:rPr>
              <w:t>Document</w:t>
            </w:r>
            <w:r w:rsidRPr="00D706E5">
              <w:rPr>
                <w:rFonts w:asciiTheme="minorHAnsi" w:hAnsiTheme="minorHAnsi" w:cstheme="minorHAnsi"/>
                <w:sz w:val="18"/>
                <w:szCs w:val="18"/>
                <w:lang w:val="en-US" w:eastAsia="es-ES"/>
              </w:rPr>
              <w:t>o</w:t>
            </w:r>
            <w:proofErr w:type="spellEnd"/>
          </w:p>
          <w:p w:rsidR="00F91564" w:rsidRPr="00BC2B85" w:rsidRDefault="00F91564" w:rsidP="001617B4">
            <w:pPr>
              <w:pStyle w:val="FootnoteText"/>
              <w:rPr>
                <w:rFonts w:asciiTheme="minorHAnsi" w:hAnsiTheme="minorHAnsi" w:cstheme="minorHAnsi"/>
                <w:sz w:val="18"/>
                <w:szCs w:val="18"/>
                <w:highlight w:val="lightGray"/>
                <w:lang w:val="en-US" w:eastAsia="es-ES"/>
              </w:rPr>
            </w:pPr>
            <w:proofErr w:type="spellStart"/>
            <w:r w:rsidRPr="00BC2B85">
              <w:rPr>
                <w:rFonts w:asciiTheme="minorHAnsi" w:hAnsiTheme="minorHAnsi" w:cstheme="minorHAnsi"/>
                <w:sz w:val="18"/>
                <w:szCs w:val="18"/>
                <w:lang w:val="en-US" w:eastAsia="es-ES"/>
              </w:rPr>
              <w:t>Instrument</w:t>
            </w:r>
            <w:r w:rsidRPr="00D706E5">
              <w:rPr>
                <w:rFonts w:asciiTheme="minorHAnsi" w:hAnsiTheme="minorHAnsi" w:cstheme="minorHAnsi"/>
                <w:sz w:val="18"/>
                <w:szCs w:val="18"/>
                <w:lang w:val="en-US" w:eastAsia="es-ES"/>
              </w:rPr>
              <w:t>o</w:t>
            </w:r>
            <w:r w:rsidR="001C7384">
              <w:rPr>
                <w:rFonts w:asciiTheme="minorHAnsi" w:hAnsiTheme="minorHAnsi" w:cstheme="minorHAnsi"/>
                <w:sz w:val="18"/>
                <w:szCs w:val="18"/>
                <w:lang w:val="en-US" w:eastAsia="es-ES"/>
              </w:rPr>
              <w:t>s</w:t>
            </w:r>
            <w:proofErr w:type="spellEnd"/>
            <w:r w:rsidR="001C7384">
              <w:rPr>
                <w:rFonts w:asciiTheme="minorHAnsi" w:hAnsiTheme="minorHAnsi" w:cstheme="minorHAnsi"/>
                <w:sz w:val="18"/>
                <w:szCs w:val="18"/>
                <w:lang w:val="en-US" w:eastAsia="es-ES"/>
              </w:rPr>
              <w:t xml:space="preserve"> </w:t>
            </w:r>
            <w:proofErr w:type="spellStart"/>
            <w:r w:rsidR="001C7384">
              <w:rPr>
                <w:rFonts w:asciiTheme="minorHAnsi" w:hAnsiTheme="minorHAnsi" w:cstheme="minorHAnsi"/>
                <w:sz w:val="18"/>
                <w:szCs w:val="18"/>
                <w:lang w:val="en-US" w:eastAsia="es-ES"/>
              </w:rPr>
              <w:t>a</w:t>
            </w:r>
            <w:r w:rsidRPr="00BC2B85">
              <w:rPr>
                <w:rFonts w:asciiTheme="minorHAnsi" w:hAnsiTheme="minorHAnsi" w:cstheme="minorHAnsi"/>
                <w:sz w:val="18"/>
                <w:szCs w:val="18"/>
                <w:lang w:val="en-US" w:eastAsia="es-ES"/>
              </w:rPr>
              <w:t>just</w:t>
            </w:r>
            <w:r w:rsidRPr="00D706E5">
              <w:rPr>
                <w:rFonts w:asciiTheme="minorHAnsi" w:hAnsiTheme="minorHAnsi" w:cstheme="minorHAnsi"/>
                <w:sz w:val="18"/>
                <w:szCs w:val="18"/>
                <w:lang w:val="en-US" w:eastAsia="es-ES"/>
              </w:rPr>
              <w:t>ados</w:t>
            </w:r>
            <w:proofErr w:type="spellEnd"/>
            <w:r w:rsidRPr="00D706E5">
              <w:rPr>
                <w:rFonts w:asciiTheme="minorHAnsi" w:hAnsiTheme="minorHAnsi" w:cstheme="minorHAnsi"/>
                <w:sz w:val="18"/>
                <w:szCs w:val="18"/>
                <w:lang w:val="en-US" w:eastAsia="es-ES"/>
              </w:rPr>
              <w:t>.</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eastAsia="es-ES"/>
              </w:rPr>
            </w:pPr>
            <w:r w:rsidRPr="00BC2B85">
              <w:rPr>
                <w:rFonts w:asciiTheme="minorHAnsi" w:hAnsiTheme="minorHAnsi" w:cstheme="minorHAnsi"/>
                <w:sz w:val="18"/>
                <w:szCs w:val="18"/>
                <w:lang w:val="es-MX" w:eastAsia="es-ES"/>
              </w:rPr>
              <w:t>La Programación GEF permitirá la negociación de un marco programático robusto.</w:t>
            </w:r>
          </w:p>
          <w:p w:rsidR="00F91564" w:rsidRPr="00BC2B85" w:rsidRDefault="00F91564" w:rsidP="001617B4">
            <w:pPr>
              <w:pStyle w:val="FootnoteText"/>
              <w:rPr>
                <w:rFonts w:asciiTheme="minorHAnsi" w:hAnsiTheme="minorHAnsi" w:cstheme="minorHAnsi"/>
                <w:sz w:val="18"/>
                <w:szCs w:val="18"/>
                <w:lang w:val="es-MX" w:eastAsia="es-ES"/>
              </w:rPr>
            </w:pPr>
          </w:p>
        </w:tc>
      </w:tr>
      <w:tr w:rsidR="00F91564" w:rsidRPr="00DD5D81"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1.3 Revisión de</w:t>
            </w:r>
            <w:r w:rsidRPr="00D706E5">
              <w:rPr>
                <w:rFonts w:asciiTheme="minorHAnsi" w:hAnsiTheme="minorHAnsi" w:cstheme="minorHAnsi"/>
                <w:bCs/>
                <w:sz w:val="18"/>
                <w:szCs w:val="18"/>
                <w:lang w:val="es-MX"/>
              </w:rPr>
              <w:t xml:space="preserve"> los</w:t>
            </w:r>
            <w:r w:rsidRPr="00BC2B85">
              <w:rPr>
                <w:rFonts w:asciiTheme="minorHAnsi" w:hAnsiTheme="minorHAnsi" w:cstheme="minorHAnsi"/>
                <w:bCs/>
                <w:sz w:val="18"/>
                <w:szCs w:val="18"/>
                <w:lang w:val="es-MX"/>
              </w:rPr>
              <w:t xml:space="preserve"> instrumentos sub-nacionales </w:t>
            </w:r>
            <w:r w:rsidRPr="00D706E5">
              <w:rPr>
                <w:rFonts w:asciiTheme="minorHAnsi" w:hAnsiTheme="minorHAnsi" w:cstheme="minorHAnsi"/>
                <w:bCs/>
                <w:sz w:val="18"/>
                <w:szCs w:val="18"/>
                <w:lang w:val="es-MX"/>
              </w:rPr>
              <w:t xml:space="preserve">para implementación de los principios de la convención (cambio climático, conservación, uso de biodiversidad, residuos) </w:t>
            </w:r>
          </w:p>
          <w:p w:rsidR="00F91564" w:rsidRPr="00BC2B85" w:rsidRDefault="00F91564" w:rsidP="001617B4">
            <w:pPr>
              <w:rPr>
                <w:rFonts w:asciiTheme="minorHAnsi" w:hAnsiTheme="minorHAnsi" w:cstheme="minorHAnsi"/>
                <w:bCs/>
                <w:sz w:val="18"/>
                <w:szCs w:val="18"/>
                <w:lang w:val="es-MX"/>
              </w:rPr>
            </w:pP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Un estudio detallado sobre los compromisos de México (</w:t>
            </w:r>
            <w:proofErr w:type="spellStart"/>
            <w:r w:rsidRPr="00D706E5">
              <w:rPr>
                <w:rFonts w:asciiTheme="minorHAnsi" w:hAnsiTheme="minorHAnsi" w:cstheme="minorHAnsi"/>
                <w:sz w:val="18"/>
                <w:szCs w:val="18"/>
                <w:lang w:val="es-MX"/>
              </w:rPr>
              <w:t>ligantes</w:t>
            </w:r>
            <w:proofErr w:type="spellEnd"/>
            <w:r w:rsidRPr="00D706E5">
              <w:rPr>
                <w:rFonts w:asciiTheme="minorHAnsi" w:hAnsiTheme="minorHAnsi" w:cstheme="minorHAnsi"/>
                <w:sz w:val="18"/>
                <w:szCs w:val="18"/>
                <w:lang w:val="es-MX"/>
              </w:rPr>
              <w:t xml:space="preserve"> y </w:t>
            </w:r>
            <w:r w:rsidR="001C7384">
              <w:rPr>
                <w:rFonts w:asciiTheme="minorHAnsi" w:hAnsiTheme="minorHAnsi" w:cstheme="minorHAnsi"/>
                <w:sz w:val="18"/>
                <w:szCs w:val="18"/>
                <w:lang w:val="es-MX"/>
              </w:rPr>
              <w:t>no-</w:t>
            </w:r>
            <w:proofErr w:type="spellStart"/>
            <w:r w:rsidRPr="00D706E5">
              <w:rPr>
                <w:rFonts w:asciiTheme="minorHAnsi" w:hAnsiTheme="minorHAnsi" w:cstheme="minorHAnsi"/>
                <w:sz w:val="18"/>
                <w:szCs w:val="18"/>
                <w:lang w:val="es-MX"/>
              </w:rPr>
              <w:t>ligantes</w:t>
            </w:r>
            <w:proofErr w:type="spellEnd"/>
            <w:r w:rsidRPr="00D706E5">
              <w:rPr>
                <w:rFonts w:asciiTheme="minorHAnsi" w:hAnsiTheme="minorHAnsi" w:cstheme="minorHAnsi"/>
                <w:sz w:val="18"/>
                <w:szCs w:val="18"/>
                <w:lang w:val="es-MX"/>
              </w:rPr>
              <w:t>) bajo diferentes convenciones.</w:t>
            </w:r>
          </w:p>
          <w:p w:rsidR="00F91564" w:rsidRPr="00BC2B85" w:rsidRDefault="00F91564" w:rsidP="001617B4">
            <w:pPr>
              <w:pStyle w:val="FootnoteText"/>
              <w:rPr>
                <w:rFonts w:asciiTheme="minorHAnsi" w:hAnsiTheme="minorHAnsi" w:cstheme="minorHAnsi"/>
                <w:sz w:val="18"/>
                <w:szCs w:val="18"/>
                <w:lang w:val="es-MX"/>
              </w:rPr>
            </w:pPr>
          </w:p>
          <w:p w:rsidR="00F91564" w:rsidRPr="00BC2B85" w:rsidRDefault="00F91564" w:rsidP="001617B4">
            <w:pPr>
              <w:pStyle w:val="FootnoteText"/>
              <w:rPr>
                <w:rFonts w:asciiTheme="minorHAnsi" w:hAnsiTheme="minorHAnsi" w:cstheme="minorHAnsi"/>
                <w:sz w:val="18"/>
                <w:szCs w:val="18"/>
                <w:lang w:val="es-MX"/>
              </w:rPr>
            </w:pPr>
          </w:p>
          <w:p w:rsidR="00F91564" w:rsidRPr="00BC2B85" w:rsidRDefault="00F91564" w:rsidP="001617B4">
            <w:pPr>
              <w:pStyle w:val="FootnoteText"/>
              <w:rPr>
                <w:rFonts w:asciiTheme="minorHAnsi" w:hAnsiTheme="minorHAnsi" w:cstheme="minorHAnsi"/>
                <w:sz w:val="18"/>
                <w:szCs w:val="18"/>
                <w:lang w:val="es-MX"/>
              </w:rPr>
            </w:pPr>
          </w:p>
          <w:p w:rsidR="00F91564" w:rsidRPr="00BC2B85" w:rsidRDefault="00F91564" w:rsidP="001617B4">
            <w:pPr>
              <w:pStyle w:val="FootnoteText"/>
              <w:rPr>
                <w:rFonts w:asciiTheme="minorHAnsi" w:hAnsiTheme="minorHAnsi" w:cstheme="minorHAnsi"/>
                <w:sz w:val="18"/>
                <w:szCs w:val="18"/>
                <w:lang w:val="es-MX"/>
              </w:rPr>
            </w:pPr>
          </w:p>
          <w:p w:rsidR="00F91564" w:rsidRPr="00BC2B85" w:rsidRDefault="00F91564" w:rsidP="001617B4">
            <w:pPr>
              <w:pStyle w:val="Footer"/>
              <w:rPr>
                <w:rFonts w:asciiTheme="minorHAnsi" w:hAnsiTheme="minorHAnsi" w:cstheme="minorHAnsi"/>
                <w:sz w:val="18"/>
                <w:szCs w:val="18"/>
                <w:lang w:val="es-MX"/>
              </w:rPr>
            </w:pPr>
            <w:r w:rsidRPr="00BC2B85">
              <w:rPr>
                <w:rFonts w:asciiTheme="minorHAnsi" w:hAnsiTheme="minorHAnsi" w:cstheme="minorHAnsi"/>
                <w:sz w:val="18"/>
                <w:szCs w:val="18"/>
                <w:lang w:val="es-MX"/>
              </w:rPr>
              <w:t>Enmiendas realizadas a marcos institucionales, legales y regulatorios.</w:t>
            </w:r>
          </w:p>
          <w:p w:rsidR="00F91564" w:rsidRPr="00BC2B85" w:rsidRDefault="00F91564" w:rsidP="001617B4">
            <w:pPr>
              <w:pStyle w:val="Footer"/>
              <w:rPr>
                <w:rFonts w:asciiTheme="minorHAnsi" w:hAnsiTheme="minorHAnsi" w:cstheme="minorHAnsi"/>
                <w:sz w:val="18"/>
                <w:szCs w:val="18"/>
                <w:lang w:val="en-CA"/>
              </w:rPr>
            </w:pPr>
            <w:r w:rsidRPr="00BC2B85">
              <w:rPr>
                <w:rFonts w:asciiTheme="minorHAnsi" w:hAnsiTheme="minorHAnsi" w:cstheme="minorHAnsi"/>
                <w:sz w:val="18"/>
                <w:szCs w:val="18"/>
                <w:lang w:val="en-CA"/>
              </w:rPr>
              <w:t xml:space="preserve">Amendments are made to institutional, legal and regulatory frameworks. </w:t>
            </w:r>
          </w:p>
          <w:p w:rsidR="00F91564" w:rsidRPr="00BC2B85" w:rsidRDefault="00F91564" w:rsidP="001617B4">
            <w:pPr>
              <w:pStyle w:val="FootnoteText"/>
              <w:rPr>
                <w:rFonts w:asciiTheme="minorHAnsi" w:hAnsiTheme="minorHAnsi" w:cstheme="minorHAnsi"/>
                <w:sz w:val="18"/>
                <w:szCs w:val="18"/>
                <w:lang w:val="en-CA"/>
              </w:rPr>
            </w:pP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r w:rsidRPr="00BC2B85">
              <w:rPr>
                <w:rFonts w:asciiTheme="minorHAnsi" w:hAnsiTheme="minorHAnsi" w:cstheme="minorHAnsi"/>
                <w:sz w:val="18"/>
                <w:szCs w:val="18"/>
                <w:lang w:val="en-US"/>
              </w:rPr>
              <w:t>Report</w:t>
            </w:r>
          </w:p>
          <w:p w:rsidR="00F91564" w:rsidRPr="00BC2B85" w:rsidRDefault="00F91564" w:rsidP="001617B4">
            <w:pPr>
              <w:rPr>
                <w:rFonts w:asciiTheme="minorHAnsi" w:hAnsiTheme="minorHAnsi" w:cstheme="minorHAnsi"/>
                <w:sz w:val="18"/>
                <w:szCs w:val="18"/>
                <w:lang w:val="en-US"/>
              </w:rPr>
            </w:pPr>
            <w:proofErr w:type="spellStart"/>
            <w:r>
              <w:rPr>
                <w:rFonts w:asciiTheme="minorHAnsi" w:hAnsiTheme="minorHAnsi" w:cstheme="minorHAnsi"/>
                <w:sz w:val="18"/>
                <w:szCs w:val="18"/>
                <w:lang w:val="en-US"/>
              </w:rPr>
              <w:t>Matriz</w:t>
            </w:r>
            <w:proofErr w:type="spellEnd"/>
          </w:p>
          <w:p w:rsidR="00F91564" w:rsidRPr="00BC2B85" w:rsidRDefault="00F91564" w:rsidP="001617B4">
            <w:pPr>
              <w:rPr>
                <w:rFonts w:asciiTheme="minorHAnsi" w:hAnsiTheme="minorHAnsi" w:cstheme="minorHAnsi"/>
                <w:sz w:val="18"/>
                <w:szCs w:val="18"/>
                <w:lang w:val="en-US"/>
              </w:rPr>
            </w:pPr>
          </w:p>
          <w:p w:rsidR="00F91564" w:rsidRPr="00BC2B85" w:rsidRDefault="00F91564" w:rsidP="001617B4">
            <w:pPr>
              <w:rPr>
                <w:rFonts w:asciiTheme="minorHAnsi" w:hAnsiTheme="minorHAnsi" w:cstheme="minorHAnsi"/>
                <w:sz w:val="18"/>
                <w:szCs w:val="18"/>
                <w:lang w:val="en-US"/>
              </w:rPr>
            </w:pPr>
          </w:p>
          <w:p w:rsidR="00F91564" w:rsidRPr="00BC2B85" w:rsidRDefault="00F91564" w:rsidP="001617B4">
            <w:pPr>
              <w:rPr>
                <w:rFonts w:asciiTheme="minorHAnsi" w:hAnsiTheme="minorHAnsi" w:cstheme="minorHAnsi"/>
                <w:sz w:val="18"/>
                <w:szCs w:val="18"/>
                <w:lang w:val="en-US"/>
              </w:rPr>
            </w:pPr>
          </w:p>
          <w:p w:rsidR="00F91564" w:rsidRPr="00BC2B85" w:rsidRDefault="00F91564" w:rsidP="001617B4">
            <w:pPr>
              <w:rPr>
                <w:rFonts w:asciiTheme="minorHAnsi" w:hAnsiTheme="minorHAnsi" w:cstheme="minorHAnsi"/>
                <w:sz w:val="18"/>
                <w:szCs w:val="18"/>
                <w:highlight w:val="lightGray"/>
                <w:lang w:val="en-US"/>
              </w:rPr>
            </w:pPr>
            <w:proofErr w:type="spellStart"/>
            <w:r w:rsidRPr="00BC2B85">
              <w:rPr>
                <w:rFonts w:asciiTheme="minorHAnsi" w:hAnsiTheme="minorHAnsi" w:cstheme="minorHAnsi"/>
                <w:sz w:val="18"/>
                <w:szCs w:val="18"/>
                <w:lang w:val="en-US"/>
              </w:rPr>
              <w:t>Instrument</w:t>
            </w:r>
            <w:r>
              <w:rPr>
                <w:rFonts w:asciiTheme="minorHAnsi" w:hAnsiTheme="minorHAnsi" w:cstheme="minorHAnsi"/>
                <w:sz w:val="18"/>
                <w:szCs w:val="18"/>
                <w:lang w:val="en-US"/>
              </w:rPr>
              <w:t>o</w:t>
            </w:r>
            <w:r w:rsidRPr="00BC2B85">
              <w:rPr>
                <w:rFonts w:asciiTheme="minorHAnsi" w:hAnsiTheme="minorHAnsi" w:cstheme="minorHAnsi"/>
                <w:sz w:val="18"/>
                <w:szCs w:val="18"/>
                <w:lang w:val="en-US"/>
              </w:rPr>
              <w:t>s</w:t>
            </w:r>
            <w:proofErr w:type="spellEnd"/>
            <w:r w:rsidRPr="00BC2B85">
              <w:rPr>
                <w:rFonts w:asciiTheme="minorHAnsi" w:hAnsiTheme="minorHAnsi" w:cstheme="minorHAnsi"/>
                <w:sz w:val="18"/>
                <w:szCs w:val="18"/>
                <w:lang w:val="en-US"/>
              </w:rPr>
              <w:t xml:space="preserve"> </w:t>
            </w:r>
            <w:proofErr w:type="spellStart"/>
            <w:r w:rsidRPr="00BC2B85">
              <w:rPr>
                <w:rFonts w:asciiTheme="minorHAnsi" w:hAnsiTheme="minorHAnsi" w:cstheme="minorHAnsi"/>
                <w:sz w:val="18"/>
                <w:szCs w:val="18"/>
                <w:lang w:val="en-US"/>
              </w:rPr>
              <w:t>a</w:t>
            </w:r>
            <w:r>
              <w:rPr>
                <w:rFonts w:asciiTheme="minorHAnsi" w:hAnsiTheme="minorHAnsi" w:cstheme="minorHAnsi"/>
                <w:sz w:val="18"/>
                <w:szCs w:val="18"/>
                <w:lang w:val="en-US"/>
              </w:rPr>
              <w:t>justa</w:t>
            </w:r>
            <w:r w:rsidRPr="00BC2B85">
              <w:rPr>
                <w:rFonts w:asciiTheme="minorHAnsi" w:hAnsiTheme="minorHAnsi" w:cstheme="minorHAnsi"/>
                <w:sz w:val="18"/>
                <w:szCs w:val="18"/>
                <w:lang w:val="en-US"/>
              </w:rPr>
              <w:t>d</w:t>
            </w:r>
            <w:r>
              <w:rPr>
                <w:rFonts w:asciiTheme="minorHAnsi" w:hAnsiTheme="minorHAnsi" w:cstheme="minorHAnsi"/>
                <w:sz w:val="18"/>
                <w:szCs w:val="18"/>
                <w:lang w:val="en-US"/>
              </w:rPr>
              <w:t>os</w:t>
            </w:r>
            <w:proofErr w:type="spellEnd"/>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highlight w:val="lightGray"/>
                <w:lang w:val="es-MX"/>
              </w:rPr>
            </w:pPr>
            <w:r w:rsidRPr="00BC2B85">
              <w:rPr>
                <w:rFonts w:asciiTheme="minorHAnsi" w:hAnsiTheme="minorHAnsi" w:cstheme="minorHAnsi"/>
                <w:sz w:val="18"/>
                <w:szCs w:val="18"/>
                <w:lang w:val="es-MX"/>
              </w:rPr>
              <w:t xml:space="preserve">SEMARNAT mantiene interés en los principios de la convención y los </w:t>
            </w:r>
            <w:r>
              <w:rPr>
                <w:rFonts w:asciiTheme="minorHAnsi" w:hAnsiTheme="minorHAnsi" w:cstheme="minorHAnsi"/>
                <w:sz w:val="18"/>
                <w:szCs w:val="18"/>
                <w:lang w:val="es-MX"/>
              </w:rPr>
              <w:t xml:space="preserve">apoya </w:t>
            </w:r>
          </w:p>
        </w:tc>
      </w:tr>
      <w:tr w:rsidR="00F91564" w:rsidRPr="00DD2BF8"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lastRenderedPageBreak/>
              <w:t>1.4 Revisión de instrumentos de mercado para los gobiernos estatales y municipales.</w:t>
            </w:r>
          </w:p>
          <w:p w:rsidR="00F91564" w:rsidRPr="00BC2B85" w:rsidRDefault="00F91564" w:rsidP="001617B4">
            <w:pPr>
              <w:rPr>
                <w:rFonts w:asciiTheme="minorHAnsi" w:hAnsiTheme="minorHAnsi" w:cstheme="minorHAnsi"/>
                <w:bCs/>
                <w:sz w:val="18"/>
                <w:szCs w:val="18"/>
                <w:lang w:val="es-MX"/>
              </w:rPr>
            </w:pP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er"/>
              <w:rPr>
                <w:rFonts w:asciiTheme="minorHAnsi" w:hAnsiTheme="minorHAnsi" w:cstheme="minorHAnsi"/>
                <w:sz w:val="18"/>
                <w:szCs w:val="18"/>
                <w:lang w:val="es-MX"/>
              </w:rPr>
            </w:pPr>
            <w:r w:rsidRPr="00BC2B85">
              <w:rPr>
                <w:rFonts w:asciiTheme="minorHAnsi" w:hAnsiTheme="minorHAnsi" w:cstheme="minorHAnsi"/>
                <w:sz w:val="18"/>
                <w:szCs w:val="18"/>
                <w:lang w:val="es-MX"/>
              </w:rPr>
              <w:t>Son evaluados los mecanismos financieros existentes y las estrategias más prometedoras para replicación son identificadas.</w:t>
            </w:r>
          </w:p>
          <w:p w:rsidR="00F91564" w:rsidRPr="00BC2B85" w:rsidRDefault="00F91564" w:rsidP="001617B4">
            <w:pPr>
              <w:pStyle w:val="Footer"/>
              <w:rPr>
                <w:rFonts w:asciiTheme="minorHAnsi" w:hAnsiTheme="minorHAnsi" w:cstheme="minorHAnsi"/>
                <w:sz w:val="18"/>
                <w:szCs w:val="18"/>
                <w:lang w:val="es-MX"/>
              </w:rPr>
            </w:pPr>
          </w:p>
          <w:p w:rsidR="00F91564" w:rsidRPr="00BC2B85" w:rsidRDefault="00F91564" w:rsidP="001617B4">
            <w:pPr>
              <w:pStyle w:val="Footer"/>
              <w:rPr>
                <w:rFonts w:asciiTheme="minorHAnsi" w:hAnsiTheme="minorHAnsi" w:cstheme="minorHAnsi"/>
                <w:sz w:val="18"/>
                <w:szCs w:val="18"/>
                <w:lang w:val="es-MX"/>
              </w:rPr>
            </w:pPr>
            <w:r w:rsidRPr="00BC2B85">
              <w:rPr>
                <w:rFonts w:asciiTheme="minorHAnsi" w:hAnsiTheme="minorHAnsi" w:cstheme="minorHAnsi"/>
                <w:sz w:val="18"/>
                <w:szCs w:val="18"/>
                <w:lang w:val="es-MX"/>
              </w:rPr>
              <w:t>Nuevos mecanismos financieros son identificados para incrementar la viabilidad financiera de los servicios ambientales.</w:t>
            </w:r>
          </w:p>
          <w:p w:rsidR="00F91564" w:rsidRPr="00BC2B85" w:rsidRDefault="00F91564" w:rsidP="001617B4">
            <w:pPr>
              <w:pStyle w:val="Footer"/>
              <w:rPr>
                <w:rFonts w:asciiTheme="minorHAnsi" w:hAnsiTheme="minorHAnsi" w:cstheme="minorHAnsi"/>
                <w:sz w:val="18"/>
                <w:szCs w:val="18"/>
                <w:lang w:val="es-MX"/>
              </w:rPr>
            </w:pPr>
          </w:p>
          <w:p w:rsidR="00F91564" w:rsidRPr="00BC2B85" w:rsidRDefault="00F91564" w:rsidP="001617B4">
            <w:pPr>
              <w:pStyle w:val="Footer"/>
              <w:rPr>
                <w:rFonts w:asciiTheme="minorHAnsi" w:hAnsiTheme="minorHAnsi" w:cstheme="minorHAnsi"/>
                <w:sz w:val="18"/>
                <w:szCs w:val="18"/>
                <w:lang w:val="es-MX"/>
              </w:rPr>
            </w:pPr>
            <w:r w:rsidRPr="00BC2B85">
              <w:rPr>
                <w:rFonts w:asciiTheme="minorHAnsi" w:hAnsiTheme="minorHAnsi" w:cstheme="minorHAnsi"/>
                <w:sz w:val="18"/>
                <w:szCs w:val="18"/>
                <w:lang w:val="es-MX"/>
              </w:rPr>
              <w:t>Un Manual para el diseño e implementación de un mecanismo financiero</w:t>
            </w:r>
            <w:r w:rsidRPr="00D706E5">
              <w:rPr>
                <w:rFonts w:asciiTheme="minorHAnsi" w:hAnsiTheme="minorHAnsi" w:cstheme="minorHAnsi"/>
                <w:sz w:val="18"/>
                <w:szCs w:val="18"/>
                <w:lang w:val="es-MX"/>
              </w:rPr>
              <w:t>, desarrollado</w:t>
            </w:r>
          </w:p>
          <w:p w:rsidR="00F91564" w:rsidRPr="00BC2B85" w:rsidRDefault="00F91564" w:rsidP="001617B4">
            <w:pPr>
              <w:pStyle w:val="Footer"/>
              <w:rPr>
                <w:rFonts w:asciiTheme="minorHAnsi" w:hAnsiTheme="minorHAnsi" w:cstheme="minorHAnsi"/>
                <w:sz w:val="18"/>
                <w:szCs w:val="18"/>
                <w:highlight w:val="lightGray"/>
                <w:lang w:val="es-MX"/>
              </w:rPr>
            </w:pP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roofErr w:type="spellStart"/>
            <w:r w:rsidRPr="00BC2B85">
              <w:rPr>
                <w:rFonts w:asciiTheme="minorHAnsi" w:hAnsiTheme="minorHAnsi" w:cstheme="minorHAnsi"/>
                <w:sz w:val="18"/>
                <w:szCs w:val="18"/>
                <w:lang w:val="en-US"/>
              </w:rPr>
              <w:t>Report</w:t>
            </w:r>
            <w:r w:rsidRPr="00D706E5">
              <w:rPr>
                <w:rFonts w:asciiTheme="minorHAnsi" w:hAnsiTheme="minorHAnsi" w:cstheme="minorHAnsi"/>
                <w:sz w:val="18"/>
                <w:szCs w:val="18"/>
                <w:lang w:val="en-US"/>
              </w:rPr>
              <w:t>e</w:t>
            </w:r>
            <w:proofErr w:type="spellEnd"/>
          </w:p>
          <w:p w:rsidR="00F91564" w:rsidRPr="00BC2B85" w:rsidRDefault="00F91564" w:rsidP="001617B4">
            <w:pPr>
              <w:rPr>
                <w:rFonts w:asciiTheme="minorHAnsi" w:hAnsiTheme="minorHAnsi" w:cstheme="minorHAnsi"/>
                <w:sz w:val="18"/>
                <w:szCs w:val="18"/>
                <w:lang w:val="en-US"/>
              </w:rPr>
            </w:pPr>
          </w:p>
          <w:p w:rsidR="00F91564" w:rsidRPr="00BC2B85" w:rsidRDefault="00F91564" w:rsidP="001617B4">
            <w:pPr>
              <w:rPr>
                <w:rFonts w:asciiTheme="minorHAnsi" w:hAnsiTheme="minorHAnsi" w:cstheme="minorHAnsi"/>
                <w:sz w:val="18"/>
                <w:szCs w:val="18"/>
                <w:lang w:val="en-US"/>
              </w:rPr>
            </w:pPr>
          </w:p>
          <w:p w:rsidR="00F91564" w:rsidRPr="00BC2B85" w:rsidRDefault="00F91564" w:rsidP="001617B4">
            <w:pPr>
              <w:rPr>
                <w:rFonts w:asciiTheme="minorHAnsi" w:hAnsiTheme="minorHAnsi" w:cstheme="minorHAnsi"/>
                <w:sz w:val="18"/>
                <w:szCs w:val="18"/>
                <w:lang w:val="en-US"/>
              </w:rPr>
            </w:pPr>
          </w:p>
          <w:p w:rsidR="00F91564" w:rsidRPr="00BC2B85" w:rsidRDefault="00F91564" w:rsidP="001617B4">
            <w:pPr>
              <w:rPr>
                <w:rFonts w:asciiTheme="minorHAnsi" w:hAnsiTheme="minorHAnsi" w:cstheme="minorHAnsi"/>
                <w:sz w:val="18"/>
                <w:szCs w:val="18"/>
                <w:lang w:val="en-US"/>
              </w:rPr>
            </w:pPr>
            <w:proofErr w:type="spellStart"/>
            <w:r w:rsidRPr="00BC2B85">
              <w:rPr>
                <w:rFonts w:asciiTheme="minorHAnsi" w:hAnsiTheme="minorHAnsi" w:cstheme="minorHAnsi"/>
                <w:sz w:val="18"/>
                <w:szCs w:val="18"/>
                <w:lang w:val="en-US"/>
              </w:rPr>
              <w:t>Document</w:t>
            </w:r>
            <w:r w:rsidRPr="00D706E5">
              <w:rPr>
                <w:rFonts w:asciiTheme="minorHAnsi" w:hAnsiTheme="minorHAnsi" w:cstheme="minorHAnsi"/>
                <w:sz w:val="18"/>
                <w:szCs w:val="18"/>
                <w:lang w:val="en-US"/>
              </w:rPr>
              <w:t>o</w:t>
            </w:r>
            <w:proofErr w:type="spellEnd"/>
            <w:r w:rsidRPr="00BC2B85">
              <w:rPr>
                <w:rFonts w:asciiTheme="minorHAnsi" w:hAnsiTheme="minorHAnsi" w:cstheme="minorHAnsi"/>
                <w:sz w:val="18"/>
                <w:szCs w:val="18"/>
                <w:lang w:val="en-US"/>
              </w:rPr>
              <w:t xml:space="preserve"> </w:t>
            </w:r>
          </w:p>
          <w:p w:rsidR="00F91564" w:rsidRPr="00BC2B85" w:rsidRDefault="00F91564" w:rsidP="001617B4">
            <w:pPr>
              <w:rPr>
                <w:rFonts w:asciiTheme="minorHAnsi" w:hAnsiTheme="minorHAnsi" w:cstheme="minorHAnsi"/>
                <w:sz w:val="18"/>
                <w:szCs w:val="18"/>
                <w:highlight w:val="lightGray"/>
                <w:lang w:val="en-US"/>
              </w:rPr>
            </w:pPr>
            <w:r w:rsidRPr="00BC2B85">
              <w:rPr>
                <w:rFonts w:asciiTheme="minorHAnsi" w:hAnsiTheme="minorHAnsi" w:cstheme="minorHAnsi"/>
                <w:sz w:val="18"/>
                <w:szCs w:val="18"/>
                <w:lang w:val="en-US"/>
              </w:rPr>
              <w:t>Document</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Los gobiernos estatales y municipales están totalmente comprometidos a juga</w:t>
            </w:r>
            <w:r w:rsidRPr="00D706E5">
              <w:rPr>
                <w:rFonts w:asciiTheme="minorHAnsi" w:hAnsiTheme="minorHAnsi" w:cstheme="minorHAnsi"/>
                <w:sz w:val="18"/>
                <w:szCs w:val="18"/>
                <w:lang w:val="es-MX"/>
              </w:rPr>
              <w:t xml:space="preserve">r un rol más substancial en la descentralización de estrategias y programas medio ambientales. </w:t>
            </w:r>
          </w:p>
          <w:p w:rsidR="00F91564" w:rsidRPr="00BC2B85" w:rsidRDefault="00F91564" w:rsidP="001617B4">
            <w:pPr>
              <w:rPr>
                <w:rFonts w:asciiTheme="minorHAnsi" w:hAnsiTheme="minorHAnsi" w:cstheme="minorHAnsi"/>
                <w:sz w:val="18"/>
                <w:szCs w:val="18"/>
                <w:lang w:val="es-MX"/>
              </w:rPr>
            </w:pPr>
          </w:p>
        </w:tc>
      </w:tr>
      <w:tr w:rsidR="00F91564" w:rsidRPr="00DD2BF8" w:rsidTr="001617B4">
        <w:trPr>
          <w:cantSplit/>
        </w:trPr>
        <w:tc>
          <w:tcPr>
            <w:tcW w:w="3543"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b/>
                <w:bCs/>
                <w:sz w:val="18"/>
                <w:szCs w:val="18"/>
                <w:lang w:val="es-MX"/>
              </w:rPr>
            </w:pPr>
            <w:r w:rsidRPr="00BC2B85">
              <w:rPr>
                <w:rFonts w:asciiTheme="minorHAnsi" w:hAnsiTheme="minorHAnsi" w:cstheme="minorHAnsi"/>
                <w:b/>
                <w:bCs/>
                <w:sz w:val="18"/>
                <w:szCs w:val="18"/>
                <w:lang w:val="es-MX"/>
              </w:rPr>
              <w:t>Producto 2:</w:t>
            </w:r>
          </w:p>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sz w:val="18"/>
                <w:szCs w:val="18"/>
                <w:lang w:val="es-MX"/>
              </w:rPr>
              <w:t xml:space="preserve">Escenarios de largo plazo para sectores económicos (producción y consumo) y políticas asociadas de largo plazo. </w:t>
            </w:r>
          </w:p>
        </w:tc>
        <w:tc>
          <w:tcPr>
            <w:tcW w:w="3261"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pStyle w:val="FootnoteText"/>
              <w:rPr>
                <w:rFonts w:asciiTheme="minorHAnsi" w:hAnsiTheme="minorHAnsi" w:cstheme="minorHAnsi"/>
                <w:sz w:val="18"/>
                <w:szCs w:val="18"/>
                <w:lang w:val="es-MX"/>
              </w:rPr>
            </w:pPr>
          </w:p>
        </w:tc>
        <w:tc>
          <w:tcPr>
            <w:tcW w:w="2533"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sz w:val="18"/>
                <w:szCs w:val="18"/>
                <w:lang w:val="es-MX"/>
              </w:rPr>
            </w:pPr>
          </w:p>
        </w:tc>
        <w:tc>
          <w:tcPr>
            <w:tcW w:w="2428"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bCs/>
                <w:sz w:val="18"/>
                <w:szCs w:val="18"/>
                <w:lang w:val="es-MX" w:eastAsia="es-ES"/>
              </w:rPr>
            </w:pPr>
            <w:r w:rsidRPr="00BC2B85">
              <w:rPr>
                <w:rFonts w:asciiTheme="minorHAnsi" w:hAnsiTheme="minorHAnsi" w:cstheme="minorHAnsi"/>
                <w:bCs/>
                <w:sz w:val="18"/>
                <w:szCs w:val="18"/>
                <w:lang w:val="es-MX" w:eastAsia="es-ES"/>
              </w:rPr>
              <w:t>2.1 Análisis de la demanda y competencia por territo</w:t>
            </w:r>
            <w:r w:rsidRPr="00D706E5">
              <w:rPr>
                <w:rFonts w:asciiTheme="minorHAnsi" w:hAnsiTheme="minorHAnsi" w:cstheme="minorHAnsi"/>
                <w:bCs/>
                <w:sz w:val="18"/>
                <w:szCs w:val="18"/>
                <w:lang w:val="es-MX" w:eastAsia="es-ES"/>
              </w:rPr>
              <w:t>rio y recursos naturales, por escenario económico.</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Escenarios y Variables identific</w:t>
            </w:r>
            <w:r w:rsidRPr="00D706E5">
              <w:rPr>
                <w:rFonts w:asciiTheme="minorHAnsi" w:hAnsiTheme="minorHAnsi" w:cstheme="minorHAnsi"/>
                <w:sz w:val="18"/>
                <w:szCs w:val="18"/>
                <w:lang w:val="es-MX"/>
              </w:rPr>
              <w:t>adas.</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Informes de progreso</w:t>
            </w:r>
          </w:p>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Revisión final del documento.</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2.2 Análisis de vulnerabilidad y adaptación de la población, relativ</w:t>
            </w:r>
            <w:r w:rsidRPr="00D706E5">
              <w:rPr>
                <w:rFonts w:asciiTheme="minorHAnsi" w:hAnsiTheme="minorHAnsi" w:cstheme="minorHAnsi"/>
                <w:bCs/>
                <w:sz w:val="18"/>
                <w:szCs w:val="18"/>
                <w:lang w:val="es-MX"/>
              </w:rPr>
              <w:t>os a ecosistemas prioritarios.</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Análisis complete y evaluación de la vulnerabilidad y adaptación de la población, relativo a</w:t>
            </w:r>
            <w:r w:rsidRPr="00D706E5">
              <w:rPr>
                <w:rFonts w:asciiTheme="minorHAnsi" w:hAnsiTheme="minorHAnsi" w:cstheme="minorHAnsi"/>
                <w:sz w:val="18"/>
                <w:szCs w:val="18"/>
                <w:lang w:val="es-MX"/>
              </w:rPr>
              <w:t xml:space="preserve"> ecosistemas prioritarios.</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Informes de progreso</w:t>
            </w:r>
          </w:p>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Revisión final del documento.</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p>
        </w:tc>
      </w:tr>
      <w:tr w:rsidR="00F91564" w:rsidRPr="00DD2BF8"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bCs/>
                <w:sz w:val="18"/>
                <w:szCs w:val="18"/>
                <w:lang w:val="es-MX" w:eastAsia="es-ES"/>
              </w:rPr>
            </w:pPr>
            <w:r w:rsidRPr="00BC2B85">
              <w:rPr>
                <w:rFonts w:asciiTheme="minorHAnsi" w:hAnsiTheme="minorHAnsi" w:cstheme="minorHAnsi"/>
                <w:bCs/>
                <w:sz w:val="18"/>
                <w:szCs w:val="18"/>
                <w:lang w:val="es-MX" w:eastAsia="es-ES"/>
              </w:rPr>
              <w:t xml:space="preserve">2.3 Un Marco de Planificación adaptativo </w:t>
            </w:r>
            <w:r w:rsidRPr="00D706E5">
              <w:rPr>
                <w:rFonts w:asciiTheme="minorHAnsi" w:hAnsiTheme="minorHAnsi" w:cstheme="minorHAnsi"/>
                <w:bCs/>
                <w:sz w:val="18"/>
                <w:szCs w:val="18"/>
                <w:lang w:val="es-MX" w:eastAsia="es-ES"/>
              </w:rPr>
              <w:t xml:space="preserve">(administración flexible) para </w:t>
            </w:r>
            <w:r w:rsidR="0041769A">
              <w:rPr>
                <w:rFonts w:asciiTheme="minorHAnsi" w:hAnsiTheme="minorHAnsi" w:cstheme="minorHAnsi"/>
                <w:bCs/>
                <w:sz w:val="18"/>
                <w:szCs w:val="18"/>
                <w:lang w:val="es-MX" w:eastAsia="es-ES"/>
              </w:rPr>
              <w:t>SEMARNAT</w:t>
            </w:r>
            <w:r w:rsidRPr="00D706E5">
              <w:rPr>
                <w:rFonts w:asciiTheme="minorHAnsi" w:hAnsiTheme="minorHAnsi" w:cstheme="minorHAnsi"/>
                <w:bCs/>
                <w:sz w:val="18"/>
                <w:szCs w:val="18"/>
                <w:lang w:val="es-MX" w:eastAsia="es-ES"/>
              </w:rPr>
              <w:t>.</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Propuesta de marco adaptativo es revisada y adopta</w:t>
            </w:r>
            <w:r w:rsidRPr="00D706E5">
              <w:rPr>
                <w:rFonts w:asciiTheme="minorHAnsi" w:hAnsiTheme="minorHAnsi" w:cstheme="minorHAnsi"/>
                <w:sz w:val="18"/>
                <w:szCs w:val="18"/>
                <w:lang w:val="es-MX"/>
              </w:rPr>
              <w:t>da por el Director General para Planificación (</w:t>
            </w:r>
            <w:r w:rsidR="0041769A">
              <w:rPr>
                <w:rFonts w:asciiTheme="minorHAnsi" w:hAnsiTheme="minorHAnsi" w:cstheme="minorHAnsi"/>
                <w:sz w:val="18"/>
                <w:szCs w:val="18"/>
                <w:lang w:val="es-MX"/>
              </w:rPr>
              <w:t>SEMARNAT</w:t>
            </w:r>
            <w:r w:rsidRPr="00D706E5">
              <w:rPr>
                <w:rFonts w:asciiTheme="minorHAnsi" w:hAnsiTheme="minorHAnsi" w:cstheme="minorHAnsi"/>
                <w:sz w:val="18"/>
                <w:szCs w:val="18"/>
                <w:lang w:val="es-MX"/>
              </w:rPr>
              <w:t>).</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Informes de progreso</w:t>
            </w:r>
          </w:p>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Revisión final del documento.</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lastRenderedPageBreak/>
              <w:t>2.4 Propuestas para enmiendas o mejoramiento de marcos legales, regulatorios o institucionales</w:t>
            </w:r>
            <w:r w:rsidRPr="00D706E5">
              <w:rPr>
                <w:rFonts w:asciiTheme="minorHAnsi" w:hAnsiTheme="minorHAnsi" w:cstheme="minorHAnsi"/>
                <w:bCs/>
                <w:sz w:val="18"/>
                <w:szCs w:val="18"/>
                <w:lang w:val="es-MX"/>
              </w:rPr>
              <w:t xml:space="preserve">, subsidios, precios y mercados (agricultura, agua, </w:t>
            </w:r>
            <w:proofErr w:type="spellStart"/>
            <w:r w:rsidRPr="00D706E5">
              <w:rPr>
                <w:rFonts w:asciiTheme="minorHAnsi" w:hAnsiTheme="minorHAnsi" w:cstheme="minorHAnsi"/>
                <w:bCs/>
                <w:sz w:val="18"/>
                <w:szCs w:val="18"/>
                <w:lang w:val="es-MX"/>
              </w:rPr>
              <w:t>etc</w:t>
            </w:r>
            <w:proofErr w:type="spellEnd"/>
            <w:r w:rsidRPr="00D706E5">
              <w:rPr>
                <w:rFonts w:asciiTheme="minorHAnsi" w:hAnsiTheme="minorHAnsi" w:cstheme="minorHAnsi"/>
                <w:bCs/>
                <w:sz w:val="18"/>
                <w:szCs w:val="18"/>
                <w:lang w:val="es-MX"/>
              </w:rPr>
              <w:t xml:space="preserve">). </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Facturas, enmiendas y propuestas revisados por comités legislativos.</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Propuestas presentadas a los comités.</w:t>
            </w:r>
          </w:p>
          <w:p w:rsidR="00F91564" w:rsidRPr="00BC2B85" w:rsidRDefault="00F91564" w:rsidP="001617B4">
            <w:pPr>
              <w:rPr>
                <w:rFonts w:asciiTheme="minorHAnsi" w:hAnsiTheme="minorHAnsi" w:cstheme="minorHAnsi"/>
                <w:sz w:val="18"/>
                <w:szCs w:val="18"/>
                <w:lang w:val="en-US"/>
              </w:rPr>
            </w:pPr>
            <w:r w:rsidRPr="00D706E5">
              <w:rPr>
                <w:rFonts w:asciiTheme="minorHAnsi" w:hAnsiTheme="minorHAnsi" w:cstheme="minorHAnsi"/>
                <w:sz w:val="18"/>
                <w:szCs w:val="18"/>
                <w:lang w:val="en-US"/>
              </w:rPr>
              <w:t xml:space="preserve">Estado de </w:t>
            </w:r>
            <w:proofErr w:type="spellStart"/>
            <w:r w:rsidRPr="00D706E5">
              <w:rPr>
                <w:rFonts w:asciiTheme="minorHAnsi" w:hAnsiTheme="minorHAnsi" w:cstheme="minorHAnsi"/>
                <w:sz w:val="18"/>
                <w:szCs w:val="18"/>
                <w:lang w:val="en-US"/>
              </w:rPr>
              <w:t>aprobación</w:t>
            </w:r>
            <w:proofErr w:type="spellEnd"/>
            <w:r w:rsidRPr="00D706E5">
              <w:rPr>
                <w:rFonts w:asciiTheme="minorHAnsi" w:hAnsiTheme="minorHAnsi" w:cstheme="minorHAnsi"/>
                <w:sz w:val="18"/>
                <w:szCs w:val="18"/>
                <w:lang w:val="en-US"/>
              </w:rPr>
              <w:t>.</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Consenso entre los actores claves está garantizado</w:t>
            </w:r>
          </w:p>
        </w:tc>
      </w:tr>
      <w:tr w:rsidR="00F91564" w:rsidRPr="00DD2BF8"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2.5 Una Guía para toma de de</w:t>
            </w:r>
            <w:r w:rsidRPr="00D706E5">
              <w:rPr>
                <w:rFonts w:asciiTheme="minorHAnsi" w:hAnsiTheme="minorHAnsi" w:cstheme="minorHAnsi"/>
                <w:bCs/>
                <w:sz w:val="18"/>
                <w:szCs w:val="18"/>
                <w:lang w:val="es-MX"/>
              </w:rPr>
              <w:t>cisiones sobre tecnología de energía renovable y hoja de ruta para una política en México, para un horizonte de 25 años.</w:t>
            </w:r>
          </w:p>
          <w:p w:rsidR="00F91564" w:rsidRPr="00BC2B85" w:rsidRDefault="00F91564" w:rsidP="001617B4">
            <w:pPr>
              <w:rPr>
                <w:rFonts w:asciiTheme="minorHAnsi" w:hAnsiTheme="minorHAnsi" w:cstheme="minorHAnsi"/>
                <w:bCs/>
                <w:sz w:val="18"/>
                <w:szCs w:val="18"/>
                <w:lang w:val="es-MX"/>
              </w:rPr>
            </w:pP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numPr>
                <w:ilvl w:val="0"/>
                <w:numId w:val="10"/>
              </w:numPr>
              <w:spacing w:after="0" w:line="240" w:lineRule="auto"/>
              <w:jc w:val="both"/>
              <w:rPr>
                <w:rFonts w:asciiTheme="minorHAnsi" w:hAnsiTheme="minorHAnsi" w:cstheme="minorHAnsi"/>
                <w:sz w:val="18"/>
                <w:szCs w:val="18"/>
                <w:lang w:val="es-MX"/>
              </w:rPr>
            </w:pPr>
            <w:r w:rsidRPr="00BC2B85">
              <w:rPr>
                <w:rFonts w:asciiTheme="minorHAnsi" w:hAnsiTheme="minorHAnsi" w:cstheme="minorHAnsi"/>
                <w:sz w:val="18"/>
                <w:szCs w:val="18"/>
                <w:lang w:val="es-MX"/>
              </w:rPr>
              <w:t>Plataforma para foros virtuales completamente implementados.</w:t>
            </w:r>
          </w:p>
          <w:p w:rsidR="00F91564" w:rsidRPr="00D706E5" w:rsidRDefault="00F91564" w:rsidP="001617B4">
            <w:pPr>
              <w:numPr>
                <w:ilvl w:val="0"/>
                <w:numId w:val="10"/>
              </w:numPr>
              <w:spacing w:after="0" w:line="240" w:lineRule="auto"/>
              <w:jc w:val="both"/>
              <w:rPr>
                <w:rFonts w:asciiTheme="minorHAnsi" w:hAnsiTheme="minorHAnsi" w:cstheme="minorHAnsi"/>
                <w:sz w:val="18"/>
                <w:szCs w:val="18"/>
                <w:lang w:val="es-MX"/>
              </w:rPr>
            </w:pPr>
            <w:r w:rsidRPr="00BC2B85">
              <w:rPr>
                <w:rFonts w:asciiTheme="minorHAnsi" w:hAnsiTheme="minorHAnsi" w:cstheme="minorHAnsi"/>
                <w:sz w:val="18"/>
                <w:szCs w:val="18"/>
                <w:lang w:val="es-MX"/>
              </w:rPr>
              <w:t>Un foro virtual est</w:t>
            </w:r>
            <w:r>
              <w:rPr>
                <w:rFonts w:asciiTheme="minorHAnsi" w:hAnsiTheme="minorHAnsi" w:cstheme="minorHAnsi"/>
                <w:sz w:val="18"/>
                <w:szCs w:val="18"/>
                <w:lang w:val="es-MX"/>
              </w:rPr>
              <w:t>ab</w:t>
            </w:r>
            <w:r w:rsidRPr="00BC2B85">
              <w:rPr>
                <w:rFonts w:asciiTheme="minorHAnsi" w:hAnsiTheme="minorHAnsi" w:cstheme="minorHAnsi"/>
                <w:sz w:val="18"/>
                <w:szCs w:val="18"/>
                <w:lang w:val="es-MX"/>
              </w:rPr>
              <w:t>lecido y operacional para una tecnología de energía renovable específica.</w:t>
            </w:r>
          </w:p>
          <w:p w:rsidR="00F91564" w:rsidRPr="00BC2B85" w:rsidRDefault="00F91564" w:rsidP="001617B4">
            <w:pPr>
              <w:numPr>
                <w:ilvl w:val="0"/>
                <w:numId w:val="10"/>
              </w:numPr>
              <w:spacing w:after="0" w:line="240" w:lineRule="auto"/>
              <w:jc w:val="both"/>
              <w:rPr>
                <w:rFonts w:asciiTheme="minorHAnsi" w:hAnsiTheme="minorHAnsi" w:cstheme="minorHAnsi"/>
                <w:sz w:val="18"/>
                <w:szCs w:val="18"/>
                <w:lang w:val="es-MX"/>
              </w:rPr>
            </w:pPr>
            <w:r w:rsidRPr="00BC2B85">
              <w:rPr>
                <w:rFonts w:asciiTheme="minorHAnsi" w:hAnsiTheme="minorHAnsi" w:cstheme="minorHAnsi"/>
                <w:sz w:val="18"/>
                <w:szCs w:val="18"/>
                <w:lang w:val="es-MX"/>
              </w:rPr>
              <w:t>Borradores de capítulos para el foro virtual ejecutado.</w:t>
            </w:r>
          </w:p>
          <w:p w:rsidR="00F91564" w:rsidRPr="00BC2B85" w:rsidRDefault="00F91564" w:rsidP="001617B4">
            <w:pPr>
              <w:numPr>
                <w:ilvl w:val="0"/>
                <w:numId w:val="10"/>
              </w:numPr>
              <w:spacing w:after="0" w:line="240" w:lineRule="auto"/>
              <w:jc w:val="both"/>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Guía</w:t>
            </w:r>
            <w:proofErr w:type="spell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Indicativa</w:t>
            </w:r>
            <w:proofErr w:type="spell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elaborada</w:t>
            </w:r>
            <w:proofErr w:type="spellEnd"/>
            <w:r w:rsidRPr="00D706E5">
              <w:rPr>
                <w:rFonts w:asciiTheme="minorHAnsi" w:hAnsiTheme="minorHAnsi" w:cstheme="minorHAnsi"/>
                <w:sz w:val="18"/>
                <w:szCs w:val="18"/>
                <w:lang w:val="en-US"/>
              </w:rPr>
              <w:t xml:space="preserve"> </w:t>
            </w:r>
          </w:p>
          <w:p w:rsidR="00F91564" w:rsidRPr="00BC2B85" w:rsidRDefault="00F91564" w:rsidP="001617B4">
            <w:pPr>
              <w:numPr>
                <w:ilvl w:val="0"/>
                <w:numId w:val="10"/>
              </w:numPr>
              <w:spacing w:after="0" w:line="240" w:lineRule="auto"/>
              <w:jc w:val="both"/>
              <w:rPr>
                <w:rFonts w:asciiTheme="minorHAnsi" w:hAnsiTheme="minorHAnsi" w:cstheme="minorHAnsi"/>
                <w:sz w:val="18"/>
                <w:szCs w:val="18"/>
                <w:lang w:val="es-MX"/>
              </w:rPr>
            </w:pPr>
            <w:r w:rsidRPr="00BC2B85">
              <w:rPr>
                <w:rFonts w:asciiTheme="minorHAnsi" w:hAnsiTheme="minorHAnsi" w:cstheme="minorHAnsi"/>
                <w:sz w:val="18"/>
                <w:szCs w:val="18"/>
                <w:lang w:val="es-MX"/>
              </w:rPr>
              <w:t>Guía indicativa y capítulos individuales impresos y distribuidos.</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Guía</w:t>
            </w:r>
            <w:proofErr w:type="spell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Indicativa</w:t>
            </w:r>
            <w:proofErr w:type="spellEnd"/>
            <w:r w:rsidRPr="00D706E5">
              <w:rPr>
                <w:rFonts w:asciiTheme="minorHAnsi" w:hAnsiTheme="minorHAnsi" w:cstheme="minorHAnsi"/>
                <w:sz w:val="18"/>
                <w:szCs w:val="18"/>
                <w:lang w:val="en-US"/>
              </w:rPr>
              <w:t xml:space="preserve"> Final </w:t>
            </w:r>
            <w:proofErr w:type="spellStart"/>
            <w:r w:rsidRPr="00D706E5">
              <w:rPr>
                <w:rFonts w:asciiTheme="minorHAnsi" w:hAnsiTheme="minorHAnsi" w:cstheme="minorHAnsi"/>
                <w:sz w:val="18"/>
                <w:szCs w:val="18"/>
                <w:lang w:val="en-US"/>
              </w:rPr>
              <w:t>publicada</w:t>
            </w:r>
            <w:proofErr w:type="spellEnd"/>
            <w:r w:rsidRPr="00D706E5">
              <w:rPr>
                <w:rFonts w:asciiTheme="minorHAnsi" w:hAnsiTheme="minorHAnsi" w:cstheme="minorHAnsi"/>
                <w:sz w:val="18"/>
                <w:szCs w:val="18"/>
                <w:lang w:val="en-US"/>
              </w:rPr>
              <w:t>.</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El foro virtual está establecido y existe un significativo interés.</w:t>
            </w:r>
          </w:p>
          <w:p w:rsidR="00F91564" w:rsidRPr="00BC2B85" w:rsidRDefault="00F91564" w:rsidP="001617B4">
            <w:pPr>
              <w:rPr>
                <w:rFonts w:asciiTheme="minorHAnsi" w:hAnsiTheme="minorHAnsi" w:cstheme="minorHAnsi"/>
                <w:sz w:val="18"/>
                <w:szCs w:val="18"/>
                <w:lang w:val="es-MX"/>
              </w:rPr>
            </w:pPr>
          </w:p>
        </w:tc>
      </w:tr>
      <w:tr w:rsidR="00F91564" w:rsidRPr="00DD2BF8" w:rsidTr="001617B4">
        <w:trPr>
          <w:cantSplit/>
        </w:trPr>
        <w:tc>
          <w:tcPr>
            <w:tcW w:w="3543"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b/>
                <w:sz w:val="18"/>
                <w:szCs w:val="18"/>
                <w:lang w:val="es-MX"/>
              </w:rPr>
            </w:pPr>
            <w:r w:rsidRPr="00BC2B85">
              <w:rPr>
                <w:rFonts w:asciiTheme="minorHAnsi" w:hAnsiTheme="minorHAnsi" w:cstheme="minorHAnsi"/>
                <w:b/>
                <w:sz w:val="18"/>
                <w:szCs w:val="18"/>
                <w:lang w:val="es-MX"/>
              </w:rPr>
              <w:t>Producto 3:</w:t>
            </w:r>
          </w:p>
          <w:p w:rsidR="00F91564" w:rsidRPr="00BC2B85" w:rsidRDefault="00F91564" w:rsidP="001617B4">
            <w:pPr>
              <w:pStyle w:val="FootnoteText"/>
              <w:rPr>
                <w:rFonts w:asciiTheme="minorHAnsi" w:hAnsiTheme="minorHAnsi" w:cstheme="minorHAnsi"/>
                <w:bCs/>
                <w:sz w:val="18"/>
                <w:szCs w:val="18"/>
                <w:lang w:val="es-MX" w:eastAsia="es-ES"/>
              </w:rPr>
            </w:pPr>
            <w:r w:rsidRPr="00BC2B85">
              <w:rPr>
                <w:rFonts w:asciiTheme="minorHAnsi" w:hAnsiTheme="minorHAnsi" w:cstheme="minorHAnsi"/>
                <w:bCs/>
                <w:sz w:val="18"/>
                <w:szCs w:val="18"/>
                <w:lang w:val="es-MX" w:eastAsia="es-ES"/>
              </w:rPr>
              <w:t>Revisión del Programa Nacional para el Ambiente y Recursos Naturales 2001-2006 (PNMARN) y propuesta para su</w:t>
            </w:r>
            <w:r w:rsidRPr="00D706E5">
              <w:rPr>
                <w:rFonts w:asciiTheme="minorHAnsi" w:hAnsiTheme="minorHAnsi" w:cstheme="minorHAnsi"/>
                <w:bCs/>
                <w:sz w:val="18"/>
                <w:szCs w:val="18"/>
                <w:lang w:val="es-MX" w:eastAsia="es-ES"/>
              </w:rPr>
              <w:t xml:space="preserve"> actualización.</w:t>
            </w:r>
          </w:p>
        </w:tc>
        <w:tc>
          <w:tcPr>
            <w:tcW w:w="3261"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pStyle w:val="FootnoteText"/>
              <w:rPr>
                <w:rFonts w:asciiTheme="minorHAnsi" w:hAnsiTheme="minorHAnsi" w:cstheme="minorHAnsi"/>
                <w:sz w:val="18"/>
                <w:szCs w:val="18"/>
                <w:lang w:val="es-MX"/>
              </w:rPr>
            </w:pPr>
          </w:p>
        </w:tc>
        <w:tc>
          <w:tcPr>
            <w:tcW w:w="2533"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sz w:val="18"/>
                <w:szCs w:val="18"/>
                <w:lang w:val="es-MX"/>
              </w:rPr>
            </w:pPr>
          </w:p>
        </w:tc>
        <w:tc>
          <w:tcPr>
            <w:tcW w:w="2428"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bCs/>
                <w:sz w:val="18"/>
                <w:szCs w:val="18"/>
                <w:lang w:val="es-MX" w:eastAsia="es-ES"/>
              </w:rPr>
            </w:pPr>
            <w:r w:rsidRPr="00BC2B85">
              <w:rPr>
                <w:rFonts w:asciiTheme="minorHAnsi" w:hAnsiTheme="minorHAnsi" w:cstheme="minorHAnsi"/>
                <w:bCs/>
                <w:sz w:val="18"/>
                <w:szCs w:val="18"/>
                <w:lang w:val="es-MX" w:eastAsia="es-ES"/>
              </w:rPr>
              <w:t xml:space="preserve">3.1 Análisis de la consistencia legal-administrativa del PNMARN). </w:t>
            </w:r>
          </w:p>
          <w:p w:rsidR="00F91564" w:rsidRPr="00BC2B85" w:rsidRDefault="00F91564" w:rsidP="001617B4">
            <w:pPr>
              <w:pStyle w:val="FootnoteText"/>
              <w:rPr>
                <w:rFonts w:asciiTheme="minorHAnsi" w:hAnsiTheme="minorHAnsi" w:cstheme="minorHAnsi"/>
                <w:bCs/>
                <w:sz w:val="18"/>
                <w:szCs w:val="18"/>
                <w:lang w:val="es-MX" w:eastAsia="es-ES"/>
              </w:rPr>
            </w:pP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Estudio</w:t>
            </w:r>
            <w:proofErr w:type="spell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preparado</w:t>
            </w:r>
            <w:proofErr w:type="spellEnd"/>
            <w:r w:rsidRPr="00D706E5">
              <w:rPr>
                <w:rFonts w:asciiTheme="minorHAnsi" w:hAnsiTheme="minorHAnsi" w:cstheme="minorHAnsi"/>
                <w:sz w:val="18"/>
                <w:szCs w:val="18"/>
                <w:lang w:val="en-US"/>
              </w:rPr>
              <w:t xml:space="preserve"> y </w:t>
            </w:r>
            <w:proofErr w:type="spellStart"/>
            <w:r w:rsidRPr="00D706E5">
              <w:rPr>
                <w:rFonts w:asciiTheme="minorHAnsi" w:hAnsiTheme="minorHAnsi" w:cstheme="minorHAnsi"/>
                <w:sz w:val="18"/>
                <w:szCs w:val="18"/>
                <w:lang w:val="en-US"/>
              </w:rPr>
              <w:t>revisado</w:t>
            </w:r>
            <w:proofErr w:type="spellEnd"/>
            <w:r w:rsidRPr="00D706E5">
              <w:rPr>
                <w:rFonts w:asciiTheme="minorHAnsi" w:hAnsiTheme="minorHAnsi" w:cstheme="minorHAnsi"/>
                <w:sz w:val="18"/>
                <w:szCs w:val="18"/>
                <w:lang w:val="en-US"/>
              </w:rPr>
              <w:t>.</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Reporte</w:t>
            </w:r>
            <w:r w:rsidRPr="00D706E5">
              <w:rPr>
                <w:rFonts w:asciiTheme="minorHAnsi" w:hAnsiTheme="minorHAnsi" w:cstheme="minorHAnsi"/>
                <w:sz w:val="18"/>
                <w:szCs w:val="18"/>
                <w:lang w:val="es-MX"/>
              </w:rPr>
              <w:t>s</w:t>
            </w:r>
            <w:r w:rsidRPr="00BC2B85">
              <w:rPr>
                <w:rFonts w:asciiTheme="minorHAnsi" w:hAnsiTheme="minorHAnsi" w:cstheme="minorHAnsi"/>
                <w:sz w:val="18"/>
                <w:szCs w:val="18"/>
                <w:lang w:val="es-MX"/>
              </w:rPr>
              <w:t xml:space="preserve"> de progreso.</w:t>
            </w:r>
          </w:p>
          <w:p w:rsidR="00F91564" w:rsidRPr="00BC2B85" w:rsidRDefault="00F91564" w:rsidP="001617B4">
            <w:pPr>
              <w:rPr>
                <w:rFonts w:asciiTheme="minorHAnsi" w:hAnsiTheme="minorHAnsi" w:cstheme="minorHAnsi"/>
                <w:sz w:val="18"/>
                <w:szCs w:val="18"/>
                <w:lang w:val="es-MX"/>
              </w:rPr>
            </w:pPr>
            <w:r w:rsidRPr="00D706E5">
              <w:rPr>
                <w:rFonts w:asciiTheme="minorHAnsi" w:hAnsiTheme="minorHAnsi" w:cstheme="minorHAnsi"/>
                <w:sz w:val="18"/>
                <w:szCs w:val="18"/>
                <w:lang w:val="es-MX"/>
              </w:rPr>
              <w:t>Revisión Documento Final</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 xml:space="preserve">3.2 Evaluación de las obligaciones </w:t>
            </w:r>
            <w:r w:rsidRPr="00D706E5">
              <w:rPr>
                <w:rFonts w:asciiTheme="minorHAnsi" w:hAnsiTheme="minorHAnsi" w:cstheme="minorHAnsi"/>
                <w:bCs/>
                <w:sz w:val="18"/>
                <w:szCs w:val="18"/>
                <w:lang w:val="es-MX"/>
              </w:rPr>
              <w:t>internacionales y su instrumentación nacional (cambio climático, conservación, biodiversidad, residuos).</w:t>
            </w:r>
          </w:p>
          <w:p w:rsidR="00F91564" w:rsidRPr="00BC2B85" w:rsidRDefault="00F91564" w:rsidP="001617B4">
            <w:pPr>
              <w:rPr>
                <w:rFonts w:asciiTheme="minorHAnsi" w:hAnsiTheme="minorHAnsi" w:cstheme="minorHAnsi"/>
                <w:bCs/>
                <w:sz w:val="18"/>
                <w:szCs w:val="18"/>
                <w:lang w:val="es-MX"/>
              </w:rPr>
            </w:pP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 xml:space="preserve">Indicadores de eficacia elaborados, basados en </w:t>
            </w:r>
            <w:r w:rsidRPr="00D706E5">
              <w:rPr>
                <w:rFonts w:asciiTheme="minorHAnsi" w:hAnsiTheme="minorHAnsi" w:cstheme="minorHAnsi"/>
                <w:sz w:val="18"/>
                <w:szCs w:val="18"/>
                <w:lang w:val="es-MX"/>
              </w:rPr>
              <w:t>comparaciones financiera y   ambiental (</w:t>
            </w:r>
            <w:r w:rsidRPr="00BC2B85">
              <w:rPr>
                <w:rFonts w:asciiTheme="minorHAnsi" w:hAnsiTheme="minorHAnsi" w:cstheme="minorHAnsi"/>
                <w:sz w:val="18"/>
                <w:szCs w:val="18"/>
                <w:lang w:val="es-MX"/>
              </w:rPr>
              <w:t>benchmarking</w:t>
            </w:r>
            <w:r w:rsidRPr="00D706E5">
              <w:rPr>
                <w:rFonts w:asciiTheme="minorHAnsi" w:hAnsiTheme="minorHAnsi" w:cstheme="minorHAnsi"/>
                <w:sz w:val="18"/>
                <w:szCs w:val="18"/>
                <w:lang w:val="es-MX"/>
              </w:rPr>
              <w:t>).</w:t>
            </w:r>
          </w:p>
          <w:p w:rsidR="00F91564" w:rsidRPr="00BC2B85" w:rsidRDefault="00F91564" w:rsidP="001617B4">
            <w:pPr>
              <w:pStyle w:val="FootnoteText"/>
              <w:rPr>
                <w:rFonts w:asciiTheme="minorHAnsi" w:hAnsiTheme="minorHAnsi" w:cstheme="minorHAnsi"/>
                <w:sz w:val="18"/>
                <w:szCs w:val="18"/>
                <w:lang w:val="es-MX"/>
              </w:rPr>
            </w:pP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Reportes de progreso.</w:t>
            </w:r>
          </w:p>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Revisión Documento Final</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 xml:space="preserve">SEMARNAT mantiene el interés y apoyo </w:t>
            </w:r>
            <w:r w:rsidRPr="00D706E5">
              <w:rPr>
                <w:rFonts w:asciiTheme="minorHAnsi" w:hAnsiTheme="minorHAnsi" w:cstheme="minorHAnsi"/>
                <w:sz w:val="18"/>
                <w:szCs w:val="18"/>
                <w:lang w:val="es-MX"/>
              </w:rPr>
              <w:t>de</w:t>
            </w:r>
            <w:r w:rsidRPr="00BC2B85">
              <w:rPr>
                <w:rFonts w:asciiTheme="minorHAnsi" w:hAnsiTheme="minorHAnsi" w:cstheme="minorHAnsi"/>
                <w:sz w:val="18"/>
                <w:szCs w:val="18"/>
                <w:lang w:val="es-MX"/>
              </w:rPr>
              <w:t xml:space="preserve"> los principios de la convención.</w:t>
            </w:r>
          </w:p>
        </w:tc>
      </w:tr>
      <w:tr w:rsidR="00F91564" w:rsidRPr="00DD2BF8"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bCs/>
                <w:sz w:val="18"/>
                <w:szCs w:val="18"/>
                <w:lang w:val="es-MX" w:eastAsia="es-ES"/>
              </w:rPr>
            </w:pPr>
            <w:r w:rsidRPr="00BC2B85">
              <w:rPr>
                <w:rFonts w:asciiTheme="minorHAnsi" w:hAnsiTheme="minorHAnsi" w:cstheme="minorHAnsi"/>
                <w:bCs/>
                <w:sz w:val="18"/>
                <w:szCs w:val="18"/>
                <w:lang w:val="es-MX" w:eastAsia="es-ES"/>
              </w:rPr>
              <w:t xml:space="preserve">3.3 Evaluación de la consistencia entre acciones y resultados en </w:t>
            </w:r>
            <w:r w:rsidRPr="00D706E5">
              <w:rPr>
                <w:rFonts w:asciiTheme="minorHAnsi" w:hAnsiTheme="minorHAnsi" w:cstheme="minorHAnsi"/>
                <w:bCs/>
                <w:sz w:val="18"/>
                <w:szCs w:val="18"/>
                <w:lang w:val="es-MX" w:eastAsia="es-ES"/>
              </w:rPr>
              <w:t>sectores prioritarios.</w:t>
            </w:r>
          </w:p>
          <w:p w:rsidR="00F91564" w:rsidRPr="00BC2B85" w:rsidRDefault="00F91564" w:rsidP="001617B4">
            <w:pPr>
              <w:pStyle w:val="FootnoteText"/>
              <w:rPr>
                <w:rFonts w:asciiTheme="minorHAnsi" w:hAnsiTheme="minorHAnsi" w:cstheme="minorHAnsi"/>
                <w:bCs/>
                <w:sz w:val="18"/>
                <w:szCs w:val="18"/>
                <w:lang w:val="es-MX" w:eastAsia="es-ES"/>
              </w:rPr>
            </w:pP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n-US"/>
              </w:rPr>
            </w:pPr>
            <w:proofErr w:type="spellStart"/>
            <w:proofErr w:type="gramStart"/>
            <w:r w:rsidRPr="00D706E5">
              <w:rPr>
                <w:rFonts w:asciiTheme="minorHAnsi" w:hAnsiTheme="minorHAnsi" w:cstheme="minorHAnsi"/>
                <w:sz w:val="18"/>
                <w:szCs w:val="18"/>
                <w:lang w:val="en-US"/>
              </w:rPr>
              <w:t>Recomendaciones</w:t>
            </w:r>
            <w:proofErr w:type="spell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adoptadas</w:t>
            </w:r>
            <w:proofErr w:type="spellEnd"/>
            <w:proofErr w:type="gram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por</w:t>
            </w:r>
            <w:proofErr w:type="spellEnd"/>
            <w:r w:rsidRPr="00D706E5">
              <w:rPr>
                <w:rFonts w:asciiTheme="minorHAnsi" w:hAnsiTheme="minorHAnsi" w:cstheme="minorHAnsi"/>
                <w:sz w:val="18"/>
                <w:szCs w:val="18"/>
                <w:lang w:val="en-US"/>
              </w:rPr>
              <w:t xml:space="preserve"> S</w:t>
            </w:r>
            <w:r w:rsidRPr="00BC2B85">
              <w:rPr>
                <w:rFonts w:asciiTheme="minorHAnsi" w:hAnsiTheme="minorHAnsi" w:cstheme="minorHAnsi"/>
                <w:sz w:val="18"/>
                <w:szCs w:val="18"/>
                <w:lang w:val="en-US"/>
              </w:rPr>
              <w:t>EMARNAT.</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Reportes de progreso.</w:t>
            </w:r>
          </w:p>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Revisión Documento Final</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p>
        </w:tc>
      </w:tr>
      <w:tr w:rsidR="00F91564" w:rsidRPr="00DD2BF8"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bCs/>
                <w:sz w:val="18"/>
                <w:szCs w:val="18"/>
                <w:lang w:val="es-MX" w:eastAsia="es-ES"/>
              </w:rPr>
            </w:pPr>
            <w:r w:rsidRPr="00BC2B85">
              <w:rPr>
                <w:rFonts w:asciiTheme="minorHAnsi" w:hAnsiTheme="minorHAnsi" w:cstheme="minorHAnsi"/>
                <w:bCs/>
                <w:sz w:val="18"/>
                <w:szCs w:val="18"/>
                <w:lang w:val="es-MX" w:eastAsia="es-ES"/>
              </w:rPr>
              <w:lastRenderedPageBreak/>
              <w:t>3.4 Análisis de consistencia de la zonificación aplicada por el Gobierno Federal.</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Estudios de casos preparados y revisados.</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Reportes de progreso.</w:t>
            </w:r>
          </w:p>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Revisión Documento Final</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bCs/>
                <w:sz w:val="18"/>
                <w:szCs w:val="18"/>
                <w:lang w:val="es-MX" w:eastAsia="es-ES"/>
              </w:rPr>
            </w:pPr>
            <w:r w:rsidRPr="00BC2B85">
              <w:rPr>
                <w:rFonts w:asciiTheme="minorHAnsi" w:hAnsiTheme="minorHAnsi" w:cstheme="minorHAnsi"/>
                <w:bCs/>
                <w:sz w:val="18"/>
                <w:szCs w:val="18"/>
                <w:lang w:val="es-MX" w:eastAsia="es-ES"/>
              </w:rPr>
              <w:t xml:space="preserve">3.5 Análisis de las dinámicas institucionales en el campo de la toma de </w:t>
            </w:r>
            <w:r w:rsidRPr="00D706E5">
              <w:rPr>
                <w:rFonts w:asciiTheme="minorHAnsi" w:hAnsiTheme="minorHAnsi" w:cstheme="minorHAnsi"/>
                <w:bCs/>
                <w:sz w:val="18"/>
                <w:szCs w:val="18"/>
                <w:lang w:val="es-MX" w:eastAsia="es-ES"/>
              </w:rPr>
              <w:t>de</w:t>
            </w:r>
            <w:r>
              <w:rPr>
                <w:rFonts w:asciiTheme="minorHAnsi" w:hAnsiTheme="minorHAnsi" w:cstheme="minorHAnsi"/>
                <w:bCs/>
                <w:sz w:val="18"/>
                <w:szCs w:val="18"/>
                <w:lang w:val="es-MX" w:eastAsia="es-ES"/>
              </w:rPr>
              <w:t>cis</w:t>
            </w:r>
            <w:r w:rsidRPr="00D706E5">
              <w:rPr>
                <w:rFonts w:asciiTheme="minorHAnsi" w:hAnsiTheme="minorHAnsi" w:cstheme="minorHAnsi"/>
                <w:bCs/>
                <w:sz w:val="18"/>
                <w:szCs w:val="18"/>
                <w:lang w:val="es-MX" w:eastAsia="es-ES"/>
              </w:rPr>
              <w:t>iones.</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Análisis de vacíos institucionales llevado a cabo.</w:t>
            </w:r>
          </w:p>
          <w:p w:rsidR="00F91564" w:rsidRPr="00BC2B85" w:rsidRDefault="00F91564" w:rsidP="001617B4">
            <w:pPr>
              <w:pStyle w:val="FootnoteText"/>
              <w:rPr>
                <w:rFonts w:asciiTheme="minorHAnsi" w:hAnsiTheme="minorHAnsi" w:cstheme="minorHAnsi"/>
                <w:sz w:val="18"/>
                <w:szCs w:val="18"/>
                <w:lang w:val="es-MX"/>
              </w:rPr>
            </w:pPr>
          </w:p>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Diagrama Gant</w:t>
            </w:r>
            <w:r>
              <w:rPr>
                <w:rFonts w:asciiTheme="minorHAnsi" w:hAnsiTheme="minorHAnsi" w:cstheme="minorHAnsi"/>
                <w:sz w:val="18"/>
                <w:szCs w:val="18"/>
                <w:lang w:val="es-MX"/>
              </w:rPr>
              <w:t>t</w:t>
            </w:r>
            <w:r w:rsidRPr="00BC2B85">
              <w:rPr>
                <w:rFonts w:asciiTheme="minorHAnsi" w:hAnsiTheme="minorHAnsi" w:cstheme="minorHAnsi"/>
                <w:sz w:val="18"/>
                <w:szCs w:val="18"/>
                <w:lang w:val="es-MX"/>
              </w:rPr>
              <w:t xml:space="preserve"> preparado para procesos indicativos.</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Reportes de progreso.</w:t>
            </w:r>
          </w:p>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Revisión Documento Final</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Consenso entre los actores claves está garantizado</w:t>
            </w: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3.6 Propuestas para enmiendas o mejoramientos de secci</w:t>
            </w:r>
            <w:r w:rsidRPr="00D706E5">
              <w:rPr>
                <w:rFonts w:asciiTheme="minorHAnsi" w:hAnsiTheme="minorHAnsi" w:cstheme="minorHAnsi"/>
                <w:bCs/>
                <w:sz w:val="18"/>
                <w:szCs w:val="18"/>
                <w:lang w:val="es-MX"/>
              </w:rPr>
              <w:t>ones prioritarias del PNMARN.</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Actualización parcial adecuada del PNMRN revisado</w:t>
            </w:r>
            <w:r w:rsidRPr="00D706E5">
              <w:rPr>
                <w:rFonts w:asciiTheme="minorHAnsi" w:hAnsiTheme="minorHAnsi" w:cstheme="minorHAnsi"/>
                <w:sz w:val="18"/>
                <w:szCs w:val="18"/>
                <w:lang w:val="es-MX"/>
              </w:rPr>
              <w:t xml:space="preserve">, aprobado e incluido en un proceso formal de toma de decisiones. </w:t>
            </w:r>
            <w:r w:rsidRPr="00BC2B85">
              <w:rPr>
                <w:rFonts w:asciiTheme="minorHAnsi" w:hAnsiTheme="minorHAnsi" w:cstheme="minorHAnsi"/>
                <w:sz w:val="18"/>
                <w:szCs w:val="18"/>
                <w:lang w:val="es-MX"/>
              </w:rPr>
              <w:t>(Febr</w:t>
            </w:r>
            <w:r w:rsidRPr="00D706E5">
              <w:rPr>
                <w:rFonts w:asciiTheme="minorHAnsi" w:hAnsiTheme="minorHAnsi" w:cstheme="minorHAnsi"/>
                <w:sz w:val="18"/>
                <w:szCs w:val="18"/>
                <w:lang w:val="es-MX"/>
              </w:rPr>
              <w:t>ero</w:t>
            </w:r>
            <w:r w:rsidRPr="00BC2B85">
              <w:rPr>
                <w:rFonts w:asciiTheme="minorHAnsi" w:hAnsiTheme="minorHAnsi" w:cstheme="minorHAnsi"/>
                <w:sz w:val="18"/>
                <w:szCs w:val="18"/>
                <w:lang w:val="es-MX"/>
              </w:rPr>
              <w:t>, 2004)</w:t>
            </w:r>
            <w:r w:rsidRPr="00D706E5">
              <w:rPr>
                <w:rFonts w:asciiTheme="minorHAnsi" w:hAnsiTheme="minorHAnsi" w:cstheme="minorHAnsi"/>
                <w:sz w:val="18"/>
                <w:szCs w:val="18"/>
                <w:lang w:val="es-MX"/>
              </w:rPr>
              <w:t>.</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Propuesta</w:t>
            </w:r>
            <w:proofErr w:type="spellEnd"/>
          </w:p>
          <w:p w:rsidR="00F91564" w:rsidRPr="00BC2B85" w:rsidRDefault="00F91564" w:rsidP="001617B4">
            <w:pPr>
              <w:rPr>
                <w:rFonts w:asciiTheme="minorHAnsi" w:hAnsiTheme="minorHAnsi" w:cstheme="minorHAnsi"/>
                <w:sz w:val="18"/>
                <w:szCs w:val="18"/>
                <w:lang w:val="en-US"/>
              </w:rPr>
            </w:pPr>
            <w:r w:rsidRPr="00D706E5">
              <w:rPr>
                <w:rFonts w:asciiTheme="minorHAnsi" w:hAnsiTheme="minorHAnsi" w:cstheme="minorHAnsi"/>
                <w:sz w:val="18"/>
                <w:szCs w:val="18"/>
                <w:lang w:val="en-US"/>
              </w:rPr>
              <w:t xml:space="preserve">Estado de </w:t>
            </w:r>
            <w:proofErr w:type="spellStart"/>
            <w:r w:rsidRPr="00D706E5">
              <w:rPr>
                <w:rFonts w:asciiTheme="minorHAnsi" w:hAnsiTheme="minorHAnsi" w:cstheme="minorHAnsi"/>
                <w:sz w:val="18"/>
                <w:szCs w:val="18"/>
                <w:lang w:val="en-US"/>
              </w:rPr>
              <w:t>aprobación</w:t>
            </w:r>
            <w:proofErr w:type="spellEnd"/>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722B31" w:rsidP="001617B4">
            <w:pPr>
              <w:rPr>
                <w:rFonts w:asciiTheme="minorHAnsi" w:hAnsiTheme="minorHAnsi" w:cstheme="minorHAnsi"/>
                <w:b/>
                <w:bCs/>
                <w:sz w:val="18"/>
                <w:szCs w:val="18"/>
                <w:lang w:val="es-MX"/>
              </w:rPr>
            </w:pPr>
            <w:r>
              <w:rPr>
                <w:rFonts w:asciiTheme="minorHAnsi" w:hAnsiTheme="minorHAnsi" w:cstheme="minorHAnsi"/>
                <w:b/>
                <w:bCs/>
                <w:sz w:val="18"/>
                <w:szCs w:val="18"/>
                <w:lang w:val="es-MX"/>
              </w:rPr>
              <w:t xml:space="preserve">Producto </w:t>
            </w:r>
            <w:r w:rsidR="00F91564" w:rsidRPr="00BC2B85">
              <w:rPr>
                <w:rFonts w:asciiTheme="minorHAnsi" w:hAnsiTheme="minorHAnsi" w:cstheme="minorHAnsi"/>
                <w:b/>
                <w:bCs/>
                <w:sz w:val="18"/>
                <w:szCs w:val="18"/>
                <w:lang w:val="es-MX"/>
              </w:rPr>
              <w:t>4:</w:t>
            </w:r>
          </w:p>
          <w:p w:rsidR="00F91564" w:rsidRPr="00BC2B85" w:rsidRDefault="00F91564" w:rsidP="001617B4">
            <w:pPr>
              <w:pStyle w:val="BodyText"/>
              <w:rPr>
                <w:rFonts w:asciiTheme="minorHAnsi" w:hAnsiTheme="minorHAnsi" w:cstheme="minorHAnsi"/>
                <w:sz w:val="18"/>
                <w:szCs w:val="18"/>
                <w:lang w:val="es-MX"/>
              </w:rPr>
            </w:pPr>
            <w:r w:rsidRPr="00BC2B85">
              <w:rPr>
                <w:rFonts w:asciiTheme="minorHAnsi" w:hAnsiTheme="minorHAnsi" w:cstheme="minorHAnsi"/>
                <w:sz w:val="18"/>
                <w:szCs w:val="18"/>
                <w:lang w:val="es-MX"/>
              </w:rPr>
              <w:t>Un set de indicadores de desarrollo sustentable</w:t>
            </w:r>
            <w:r w:rsidRPr="00D706E5">
              <w:rPr>
                <w:rFonts w:asciiTheme="minorHAnsi" w:hAnsiTheme="minorHAnsi" w:cstheme="minorHAnsi"/>
                <w:sz w:val="18"/>
                <w:szCs w:val="18"/>
                <w:lang w:val="es-MX"/>
              </w:rPr>
              <w:t>.</w:t>
            </w:r>
          </w:p>
        </w:tc>
        <w:tc>
          <w:tcPr>
            <w:tcW w:w="3261"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pStyle w:val="FootnoteText"/>
              <w:rPr>
                <w:rFonts w:asciiTheme="minorHAnsi" w:hAnsiTheme="minorHAnsi" w:cstheme="minorHAnsi"/>
                <w:sz w:val="18"/>
                <w:szCs w:val="18"/>
                <w:lang w:val="es-MX"/>
              </w:rPr>
            </w:pPr>
          </w:p>
        </w:tc>
        <w:tc>
          <w:tcPr>
            <w:tcW w:w="2533"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sz w:val="18"/>
                <w:szCs w:val="18"/>
                <w:lang w:val="es-MX"/>
              </w:rPr>
            </w:pPr>
          </w:p>
        </w:tc>
        <w:tc>
          <w:tcPr>
            <w:tcW w:w="2428"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bCs/>
                <w:sz w:val="18"/>
                <w:szCs w:val="18"/>
                <w:lang w:val="es-MX" w:eastAsia="es-ES"/>
              </w:rPr>
            </w:pPr>
            <w:r w:rsidRPr="00BC2B85">
              <w:rPr>
                <w:rFonts w:asciiTheme="minorHAnsi" w:hAnsiTheme="minorHAnsi" w:cstheme="minorHAnsi"/>
                <w:bCs/>
                <w:sz w:val="18"/>
                <w:szCs w:val="18"/>
                <w:lang w:val="es-MX" w:eastAsia="es-ES"/>
              </w:rPr>
              <w:t>4.1 Un set de indicadores de Impacto</w:t>
            </w:r>
          </w:p>
          <w:p w:rsidR="00F91564" w:rsidRPr="00BC2B85" w:rsidRDefault="00F91564" w:rsidP="001617B4">
            <w:pPr>
              <w:pStyle w:val="FootnoteText"/>
              <w:rPr>
                <w:rFonts w:asciiTheme="minorHAnsi" w:hAnsiTheme="minorHAnsi" w:cstheme="minorHAnsi"/>
                <w:bCs/>
                <w:sz w:val="18"/>
                <w:szCs w:val="18"/>
                <w:lang w:val="es-MX" w:eastAsia="es-ES"/>
              </w:rPr>
            </w:pP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Indicadores de Impacto desarrollados e insertados en el proceso de planificación.</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highlight w:val="lightGray"/>
                <w:lang w:val="es-MX"/>
              </w:rPr>
            </w:pPr>
            <w:r w:rsidRPr="00BC2B85">
              <w:rPr>
                <w:rFonts w:asciiTheme="minorHAnsi" w:hAnsiTheme="minorHAnsi" w:cstheme="minorHAnsi"/>
                <w:sz w:val="18"/>
                <w:szCs w:val="18"/>
                <w:lang w:val="es-MX"/>
              </w:rPr>
              <w:t>Un Catálogo de Indicadores de Impacto.</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4.2 Un set de indicadores de desacople.</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Indicadores de desacoplamiento desarrollados e incluidos en un kit de herramientas de planificación</w:t>
            </w:r>
            <w:r w:rsidRPr="00D706E5">
              <w:rPr>
                <w:rFonts w:asciiTheme="minorHAnsi" w:hAnsiTheme="minorHAnsi" w:cstheme="minorHAnsi"/>
                <w:sz w:val="18"/>
                <w:szCs w:val="18"/>
                <w:lang w:val="es-MX"/>
              </w:rPr>
              <w:t>.</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highlight w:val="lightGray"/>
                <w:lang w:val="es-MX"/>
              </w:rPr>
            </w:pPr>
            <w:r w:rsidRPr="00BC2B85">
              <w:rPr>
                <w:rFonts w:asciiTheme="minorHAnsi" w:hAnsiTheme="minorHAnsi" w:cstheme="minorHAnsi"/>
                <w:sz w:val="18"/>
                <w:szCs w:val="18"/>
                <w:lang w:val="es-MX"/>
              </w:rPr>
              <w:t>Un catálogo de indicadores de desacople.</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b/>
                <w:bCs/>
                <w:sz w:val="18"/>
                <w:szCs w:val="18"/>
                <w:lang w:val="es-MX"/>
              </w:rPr>
            </w:pPr>
            <w:r w:rsidRPr="00BC2B85">
              <w:rPr>
                <w:rFonts w:asciiTheme="minorHAnsi" w:hAnsiTheme="minorHAnsi" w:cstheme="minorHAnsi"/>
                <w:b/>
                <w:bCs/>
                <w:sz w:val="18"/>
                <w:szCs w:val="18"/>
                <w:lang w:val="es-MX"/>
              </w:rPr>
              <w:t>Producto 5:</w:t>
            </w:r>
          </w:p>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 xml:space="preserve">Instrumentos de Política Ambiental y </w:t>
            </w:r>
            <w:r w:rsidRPr="00D706E5">
              <w:rPr>
                <w:rFonts w:asciiTheme="minorHAnsi" w:hAnsiTheme="minorHAnsi" w:cstheme="minorHAnsi"/>
                <w:bCs/>
                <w:sz w:val="18"/>
                <w:szCs w:val="18"/>
                <w:lang w:val="es-MX"/>
              </w:rPr>
              <w:t>propuestas.</w:t>
            </w:r>
          </w:p>
        </w:tc>
        <w:tc>
          <w:tcPr>
            <w:tcW w:w="3261"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pStyle w:val="FootnoteText"/>
              <w:rPr>
                <w:rFonts w:asciiTheme="minorHAnsi" w:hAnsiTheme="minorHAnsi" w:cstheme="minorHAnsi"/>
                <w:sz w:val="18"/>
                <w:szCs w:val="18"/>
                <w:lang w:val="es-MX"/>
              </w:rPr>
            </w:pPr>
          </w:p>
        </w:tc>
        <w:tc>
          <w:tcPr>
            <w:tcW w:w="2533"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sz w:val="18"/>
                <w:szCs w:val="18"/>
                <w:lang w:val="es-MX"/>
              </w:rPr>
            </w:pPr>
          </w:p>
        </w:tc>
        <w:tc>
          <w:tcPr>
            <w:tcW w:w="2428"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 xml:space="preserve">5.1 Evaluación de la revisión del Programa Ambiental 2003-2025, indicadores </w:t>
            </w:r>
            <w:r w:rsidRPr="00D706E5">
              <w:rPr>
                <w:rFonts w:asciiTheme="minorHAnsi" w:hAnsiTheme="minorHAnsi" w:cstheme="minorHAnsi"/>
                <w:bCs/>
                <w:sz w:val="18"/>
                <w:szCs w:val="18"/>
                <w:lang w:val="es-MX"/>
              </w:rPr>
              <w:t>de desarrollo sustentable y escenarios económicos de largo plazo.</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 xml:space="preserve">Funcionarios de </w:t>
            </w:r>
            <w:r w:rsidR="0041769A">
              <w:rPr>
                <w:rFonts w:asciiTheme="minorHAnsi" w:hAnsiTheme="minorHAnsi" w:cstheme="minorHAnsi"/>
                <w:sz w:val="18"/>
                <w:szCs w:val="18"/>
                <w:lang w:val="es-MX"/>
              </w:rPr>
              <w:t>SEMARNAT</w:t>
            </w:r>
            <w:r w:rsidRPr="00BC2B85">
              <w:rPr>
                <w:rFonts w:asciiTheme="minorHAnsi" w:hAnsiTheme="minorHAnsi" w:cstheme="minorHAnsi"/>
                <w:sz w:val="18"/>
                <w:szCs w:val="18"/>
                <w:lang w:val="es-MX"/>
              </w:rPr>
              <w:t xml:space="preserve"> han llevado a cabo un análisis y una revisión completa de documentos.</w:t>
            </w:r>
          </w:p>
          <w:p w:rsidR="00F91564" w:rsidRPr="00BC2B85" w:rsidRDefault="00F91564" w:rsidP="001617B4">
            <w:pPr>
              <w:pStyle w:val="FootnoteText"/>
              <w:rPr>
                <w:rFonts w:asciiTheme="minorHAnsi" w:hAnsiTheme="minorHAnsi" w:cstheme="minorHAnsi"/>
                <w:sz w:val="18"/>
                <w:szCs w:val="18"/>
                <w:lang w:val="es-MX"/>
              </w:rPr>
            </w:pP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Reportes</w:t>
            </w:r>
            <w:proofErr w:type="spellEnd"/>
            <w:r w:rsidRPr="00D706E5">
              <w:rPr>
                <w:rFonts w:asciiTheme="minorHAnsi" w:hAnsiTheme="minorHAnsi" w:cstheme="minorHAnsi"/>
                <w:sz w:val="18"/>
                <w:szCs w:val="18"/>
                <w:lang w:val="en-US"/>
              </w:rPr>
              <w:t xml:space="preserve"> de </w:t>
            </w:r>
            <w:proofErr w:type="spellStart"/>
            <w:r w:rsidRPr="00D706E5">
              <w:rPr>
                <w:rFonts w:asciiTheme="minorHAnsi" w:hAnsiTheme="minorHAnsi" w:cstheme="minorHAnsi"/>
                <w:sz w:val="18"/>
                <w:szCs w:val="18"/>
                <w:lang w:val="en-US"/>
              </w:rPr>
              <w:t>Progreso</w:t>
            </w:r>
            <w:proofErr w:type="spellEnd"/>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lastRenderedPageBreak/>
              <w:t>5.2. Evaluación de las recomendaciones de la OECD sobre el desempeño ambiental de México.</w:t>
            </w:r>
          </w:p>
          <w:p w:rsidR="00F91564" w:rsidRPr="00BC2B85" w:rsidRDefault="00F91564" w:rsidP="001617B4">
            <w:pPr>
              <w:rPr>
                <w:rFonts w:asciiTheme="minorHAnsi" w:hAnsiTheme="minorHAnsi" w:cstheme="minorHAnsi"/>
                <w:bCs/>
                <w:sz w:val="18"/>
                <w:szCs w:val="18"/>
                <w:lang w:val="es-MX"/>
              </w:rPr>
            </w:pP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s-MX"/>
              </w:rPr>
            </w:pPr>
            <w:r w:rsidRPr="00BC2B85">
              <w:rPr>
                <w:rFonts w:asciiTheme="minorHAnsi" w:hAnsiTheme="minorHAnsi" w:cstheme="minorHAnsi"/>
                <w:sz w:val="18"/>
                <w:szCs w:val="18"/>
                <w:lang w:val="es-MX"/>
              </w:rPr>
              <w:t xml:space="preserve">Grupo liderado por </w:t>
            </w:r>
            <w:r w:rsidR="0041769A">
              <w:rPr>
                <w:rFonts w:asciiTheme="minorHAnsi" w:hAnsiTheme="minorHAnsi" w:cstheme="minorHAnsi"/>
                <w:sz w:val="18"/>
                <w:szCs w:val="18"/>
                <w:lang w:val="es-MX"/>
              </w:rPr>
              <w:t>SEMARNAT</w:t>
            </w:r>
            <w:r w:rsidRPr="00BC2B85">
              <w:rPr>
                <w:rFonts w:asciiTheme="minorHAnsi" w:hAnsiTheme="minorHAnsi" w:cstheme="minorHAnsi"/>
                <w:sz w:val="18"/>
                <w:szCs w:val="18"/>
                <w:lang w:val="es-MX"/>
              </w:rPr>
              <w:t xml:space="preserve"> ha planificado </w:t>
            </w:r>
            <w:r w:rsidRPr="00D706E5">
              <w:rPr>
                <w:rFonts w:asciiTheme="minorHAnsi" w:hAnsiTheme="minorHAnsi" w:cstheme="minorHAnsi"/>
                <w:sz w:val="18"/>
                <w:szCs w:val="18"/>
                <w:lang w:val="es-MX"/>
              </w:rPr>
              <w:t xml:space="preserve">y consultores externos han identificado las recomendaciones de largo plazo más prometedoras para la planeación de largo plazo y han definido una estrategia para su implementación. </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Informes</w:t>
            </w:r>
            <w:proofErr w:type="spellEnd"/>
            <w:r w:rsidRPr="00D706E5">
              <w:rPr>
                <w:rFonts w:asciiTheme="minorHAnsi" w:hAnsiTheme="minorHAnsi" w:cstheme="minorHAnsi"/>
                <w:sz w:val="18"/>
                <w:szCs w:val="18"/>
                <w:lang w:val="en-US"/>
              </w:rPr>
              <w:t xml:space="preserve"> de </w:t>
            </w:r>
            <w:proofErr w:type="spellStart"/>
            <w:r w:rsidRPr="00D706E5">
              <w:rPr>
                <w:rFonts w:asciiTheme="minorHAnsi" w:hAnsiTheme="minorHAnsi" w:cstheme="minorHAnsi"/>
                <w:sz w:val="18"/>
                <w:szCs w:val="18"/>
                <w:lang w:val="en-US"/>
              </w:rPr>
              <w:t>Progreso</w:t>
            </w:r>
            <w:proofErr w:type="spellEnd"/>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 xml:space="preserve">5.3. Definición de actividades que promueven políticas transversales de </w:t>
            </w:r>
            <w:r w:rsidRPr="00D706E5">
              <w:rPr>
                <w:rFonts w:asciiTheme="minorHAnsi" w:hAnsiTheme="minorHAnsi" w:cstheme="minorHAnsi"/>
                <w:bCs/>
                <w:sz w:val="18"/>
                <w:szCs w:val="18"/>
                <w:lang w:val="es-MX"/>
              </w:rPr>
              <w:t xml:space="preserve">desarrollo sustentable. </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Curso</w:t>
            </w:r>
            <w:proofErr w:type="spellEnd"/>
            <w:r w:rsidRPr="00D706E5">
              <w:rPr>
                <w:rFonts w:asciiTheme="minorHAnsi" w:hAnsiTheme="minorHAnsi" w:cstheme="minorHAnsi"/>
                <w:sz w:val="18"/>
                <w:szCs w:val="18"/>
                <w:lang w:val="en-US"/>
              </w:rPr>
              <w:t xml:space="preserve"> de </w:t>
            </w:r>
            <w:proofErr w:type="spellStart"/>
            <w:r w:rsidRPr="00D706E5">
              <w:rPr>
                <w:rFonts w:asciiTheme="minorHAnsi" w:hAnsiTheme="minorHAnsi" w:cstheme="minorHAnsi"/>
                <w:sz w:val="18"/>
                <w:szCs w:val="18"/>
                <w:lang w:val="en-US"/>
              </w:rPr>
              <w:t>acción</w:t>
            </w:r>
            <w:proofErr w:type="spell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definido</w:t>
            </w:r>
            <w:proofErr w:type="spellEnd"/>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Informes</w:t>
            </w:r>
            <w:proofErr w:type="spellEnd"/>
            <w:r w:rsidRPr="00D706E5">
              <w:rPr>
                <w:rFonts w:asciiTheme="minorHAnsi" w:hAnsiTheme="minorHAnsi" w:cstheme="minorHAnsi"/>
                <w:sz w:val="18"/>
                <w:szCs w:val="18"/>
                <w:lang w:val="en-US"/>
              </w:rPr>
              <w:t xml:space="preserve"> de </w:t>
            </w:r>
            <w:proofErr w:type="spellStart"/>
            <w:r w:rsidRPr="00D706E5">
              <w:rPr>
                <w:rFonts w:asciiTheme="minorHAnsi" w:hAnsiTheme="minorHAnsi" w:cstheme="minorHAnsi"/>
                <w:sz w:val="18"/>
                <w:szCs w:val="18"/>
                <w:lang w:val="en-US"/>
              </w:rPr>
              <w:t>Progreso</w:t>
            </w:r>
            <w:proofErr w:type="spellEnd"/>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n-US"/>
              </w:rPr>
            </w:pPr>
            <w:r w:rsidRPr="00D706E5">
              <w:rPr>
                <w:rFonts w:asciiTheme="minorHAnsi" w:hAnsiTheme="minorHAnsi" w:cstheme="minorHAnsi"/>
                <w:bCs/>
                <w:sz w:val="18"/>
                <w:szCs w:val="18"/>
                <w:lang w:val="en-US"/>
              </w:rPr>
              <w:t xml:space="preserve">5.4 </w:t>
            </w:r>
            <w:proofErr w:type="spellStart"/>
            <w:r w:rsidRPr="00D706E5">
              <w:rPr>
                <w:rFonts w:asciiTheme="minorHAnsi" w:hAnsiTheme="minorHAnsi" w:cstheme="minorHAnsi"/>
                <w:bCs/>
                <w:sz w:val="18"/>
                <w:szCs w:val="18"/>
                <w:lang w:val="en-US"/>
              </w:rPr>
              <w:t>Informe</w:t>
            </w:r>
            <w:proofErr w:type="spellEnd"/>
            <w:r w:rsidRPr="00D706E5">
              <w:rPr>
                <w:rFonts w:asciiTheme="minorHAnsi" w:hAnsiTheme="minorHAnsi" w:cstheme="minorHAnsi"/>
                <w:bCs/>
                <w:sz w:val="18"/>
                <w:szCs w:val="18"/>
                <w:lang w:val="en-US"/>
              </w:rPr>
              <w:t xml:space="preserve"> Final</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Informe</w:t>
            </w:r>
            <w:proofErr w:type="spell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Publicado</w:t>
            </w:r>
            <w:proofErr w:type="spellEnd"/>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Número de consultas de</w:t>
            </w:r>
            <w:r w:rsidRPr="00D706E5">
              <w:rPr>
                <w:rFonts w:asciiTheme="minorHAnsi" w:hAnsiTheme="minorHAnsi" w:cstheme="minorHAnsi"/>
                <w:sz w:val="18"/>
                <w:szCs w:val="18"/>
                <w:lang w:val="es-MX"/>
              </w:rPr>
              <w:t>l</w:t>
            </w:r>
            <w:r w:rsidRPr="00BC2B85">
              <w:rPr>
                <w:rFonts w:asciiTheme="minorHAnsi" w:hAnsiTheme="minorHAnsi" w:cstheme="minorHAnsi"/>
                <w:sz w:val="18"/>
                <w:szCs w:val="18"/>
                <w:lang w:val="es-MX"/>
              </w:rPr>
              <w:t xml:space="preserve"> in</w:t>
            </w:r>
            <w:r w:rsidRPr="00D706E5">
              <w:rPr>
                <w:rFonts w:asciiTheme="minorHAnsi" w:hAnsiTheme="minorHAnsi" w:cstheme="minorHAnsi"/>
                <w:sz w:val="18"/>
                <w:szCs w:val="18"/>
                <w:lang w:val="es-MX"/>
              </w:rPr>
              <w:t>forme final</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Pr>
        <w:tc>
          <w:tcPr>
            <w:tcW w:w="3543"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b/>
                <w:bCs/>
                <w:sz w:val="18"/>
                <w:szCs w:val="18"/>
                <w:lang w:val="en-US"/>
              </w:rPr>
            </w:pPr>
            <w:proofErr w:type="spellStart"/>
            <w:r w:rsidRPr="00D706E5">
              <w:rPr>
                <w:rFonts w:asciiTheme="minorHAnsi" w:hAnsiTheme="minorHAnsi" w:cstheme="minorHAnsi"/>
                <w:b/>
                <w:bCs/>
                <w:sz w:val="18"/>
                <w:szCs w:val="18"/>
                <w:lang w:val="en-US"/>
              </w:rPr>
              <w:t>Producto</w:t>
            </w:r>
            <w:proofErr w:type="spellEnd"/>
            <w:r w:rsidRPr="00BC2B85">
              <w:rPr>
                <w:rFonts w:asciiTheme="minorHAnsi" w:hAnsiTheme="minorHAnsi" w:cstheme="minorHAnsi"/>
                <w:b/>
                <w:bCs/>
                <w:sz w:val="18"/>
                <w:szCs w:val="18"/>
                <w:lang w:val="en-US"/>
              </w:rPr>
              <w:t xml:space="preserve"> 6:</w:t>
            </w:r>
          </w:p>
          <w:p w:rsidR="00F91564" w:rsidRPr="00BC2B85" w:rsidRDefault="00F91564" w:rsidP="001617B4">
            <w:pPr>
              <w:rPr>
                <w:rFonts w:asciiTheme="minorHAnsi" w:hAnsiTheme="minorHAnsi" w:cstheme="minorHAnsi"/>
                <w:bCs/>
                <w:sz w:val="18"/>
                <w:szCs w:val="18"/>
                <w:lang w:val="en-US"/>
              </w:rPr>
            </w:pPr>
            <w:r w:rsidRPr="00D706E5">
              <w:rPr>
                <w:rFonts w:asciiTheme="minorHAnsi" w:hAnsiTheme="minorHAnsi" w:cstheme="minorHAnsi"/>
                <w:bCs/>
                <w:sz w:val="18"/>
                <w:szCs w:val="18"/>
                <w:lang w:val="en-US"/>
              </w:rPr>
              <w:t>Plan Verde</w:t>
            </w:r>
            <w:r w:rsidRPr="00BC2B85">
              <w:rPr>
                <w:rFonts w:asciiTheme="minorHAnsi" w:hAnsiTheme="minorHAnsi" w:cstheme="minorHAnsi"/>
                <w:bCs/>
                <w:sz w:val="18"/>
                <w:szCs w:val="18"/>
                <w:lang w:val="en-US"/>
              </w:rPr>
              <w:t xml:space="preserve"> </w:t>
            </w:r>
          </w:p>
        </w:tc>
        <w:tc>
          <w:tcPr>
            <w:tcW w:w="3261"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pStyle w:val="FootnoteText"/>
              <w:rPr>
                <w:rFonts w:asciiTheme="minorHAnsi" w:hAnsiTheme="minorHAnsi" w:cstheme="minorHAnsi"/>
                <w:sz w:val="18"/>
                <w:szCs w:val="18"/>
                <w:lang w:val="en-US"/>
              </w:rPr>
            </w:pPr>
          </w:p>
        </w:tc>
        <w:tc>
          <w:tcPr>
            <w:tcW w:w="2533"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sz w:val="18"/>
                <w:szCs w:val="18"/>
                <w:lang w:val="en-US"/>
              </w:rPr>
            </w:pPr>
          </w:p>
        </w:tc>
        <w:tc>
          <w:tcPr>
            <w:tcW w:w="2428" w:type="dxa"/>
            <w:tcBorders>
              <w:top w:val="single" w:sz="4" w:space="0" w:color="auto"/>
              <w:left w:val="single" w:sz="4" w:space="0" w:color="auto"/>
              <w:bottom w:val="single" w:sz="4" w:space="0" w:color="auto"/>
              <w:right w:val="single" w:sz="4" w:space="0" w:color="auto"/>
            </w:tcBorders>
            <w:shd w:val="pct10" w:color="auto" w:fill="auto"/>
          </w:tcPr>
          <w:p w:rsidR="00F91564" w:rsidRPr="00BC2B85" w:rsidRDefault="00F91564" w:rsidP="001617B4">
            <w:pPr>
              <w:rPr>
                <w:rFonts w:asciiTheme="minorHAnsi" w:hAnsiTheme="minorHAnsi" w:cstheme="minorHAnsi"/>
                <w:sz w:val="18"/>
                <w:szCs w:val="18"/>
                <w:lang w:val="en-US"/>
              </w:rPr>
            </w:pPr>
          </w:p>
        </w:tc>
      </w:tr>
      <w:tr w:rsidR="00F91564" w:rsidRPr="00D706E5" w:rsidTr="001617B4">
        <w:trPr>
          <w:cantSplit/>
          <w:trHeight w:val="707"/>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6.1 Un documento de política pública de mediano y largo plazo sobre aire, agua, tierra y sectores de energía.</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Documento</w:t>
            </w:r>
            <w:proofErr w:type="spell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Borrador</w:t>
            </w:r>
            <w:proofErr w:type="spell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disponible</w:t>
            </w:r>
            <w:proofErr w:type="spellEnd"/>
            <w:r w:rsidRPr="00D706E5">
              <w:rPr>
                <w:rFonts w:asciiTheme="minorHAnsi" w:hAnsiTheme="minorHAnsi" w:cstheme="minorHAnsi"/>
                <w:sz w:val="18"/>
                <w:szCs w:val="18"/>
                <w:lang w:val="en-US"/>
              </w:rPr>
              <w:t>.</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 xml:space="preserve">Número de consultas a </w:t>
            </w:r>
            <w:proofErr w:type="spellStart"/>
            <w:r w:rsidRPr="00BC2B85">
              <w:rPr>
                <w:rFonts w:asciiTheme="minorHAnsi" w:hAnsiTheme="minorHAnsi" w:cstheme="minorHAnsi"/>
                <w:sz w:val="18"/>
                <w:szCs w:val="18"/>
                <w:lang w:val="es-MX"/>
              </w:rPr>
              <w:t>document</w:t>
            </w:r>
            <w:proofErr w:type="spellEnd"/>
            <w:r w:rsidRPr="00BC2B85">
              <w:rPr>
                <w:rFonts w:asciiTheme="minorHAnsi" w:hAnsiTheme="minorHAnsi" w:cstheme="minorHAnsi"/>
                <w:sz w:val="18"/>
                <w:szCs w:val="18"/>
                <w:lang w:val="es-MX"/>
              </w:rPr>
              <w:t xml:space="preserve"> borrador.</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 xml:space="preserve">Consenso entre </w:t>
            </w:r>
            <w:proofErr w:type="spellStart"/>
            <w:r w:rsidRPr="00BC2B85">
              <w:rPr>
                <w:rFonts w:asciiTheme="minorHAnsi" w:hAnsiTheme="minorHAnsi" w:cstheme="minorHAnsi"/>
                <w:sz w:val="18"/>
                <w:szCs w:val="18"/>
                <w:lang w:val="es-MX"/>
              </w:rPr>
              <w:t>actors</w:t>
            </w:r>
            <w:proofErr w:type="spellEnd"/>
            <w:r w:rsidRPr="00D706E5">
              <w:rPr>
                <w:rFonts w:asciiTheme="minorHAnsi" w:hAnsiTheme="minorHAnsi" w:cstheme="minorHAnsi"/>
                <w:sz w:val="18"/>
                <w:szCs w:val="18"/>
                <w:lang w:val="es-MX"/>
              </w:rPr>
              <w:t xml:space="preserve"> claves está garantizado.</w:t>
            </w:r>
          </w:p>
        </w:tc>
      </w:tr>
      <w:tr w:rsidR="00F91564" w:rsidRPr="00D706E5" w:rsidTr="001617B4">
        <w:trPr>
          <w:cantSplit/>
          <w:trHeight w:val="593"/>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6.2. Taller de diálogo con actores claves.</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Reportes</w:t>
            </w:r>
            <w:proofErr w:type="spellEnd"/>
            <w:r w:rsidRPr="00D706E5">
              <w:rPr>
                <w:rFonts w:asciiTheme="minorHAnsi" w:hAnsiTheme="minorHAnsi" w:cstheme="minorHAnsi"/>
                <w:sz w:val="18"/>
                <w:szCs w:val="18"/>
                <w:lang w:val="en-US"/>
              </w:rPr>
              <w:t xml:space="preserve"> del Taller </w:t>
            </w:r>
            <w:proofErr w:type="spellStart"/>
            <w:r w:rsidRPr="00D706E5">
              <w:rPr>
                <w:rFonts w:asciiTheme="minorHAnsi" w:hAnsiTheme="minorHAnsi" w:cstheme="minorHAnsi"/>
                <w:sz w:val="18"/>
                <w:szCs w:val="18"/>
                <w:lang w:val="en-US"/>
              </w:rPr>
              <w:t>escritos</w:t>
            </w:r>
            <w:proofErr w:type="spellEnd"/>
            <w:r w:rsidRPr="00D706E5">
              <w:rPr>
                <w:rFonts w:asciiTheme="minorHAnsi" w:hAnsiTheme="minorHAnsi" w:cstheme="minorHAnsi"/>
                <w:sz w:val="18"/>
                <w:szCs w:val="18"/>
                <w:lang w:val="en-US"/>
              </w:rPr>
              <w:t>.</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r w:rsidRPr="00BC2B85">
              <w:rPr>
                <w:rFonts w:asciiTheme="minorHAnsi" w:hAnsiTheme="minorHAnsi" w:cstheme="minorHAnsi"/>
                <w:sz w:val="18"/>
                <w:szCs w:val="18"/>
                <w:lang w:val="es-MX"/>
              </w:rPr>
              <w:t>Número de sugerencias entregadas e inclu</w:t>
            </w:r>
            <w:r w:rsidRPr="00D706E5">
              <w:rPr>
                <w:rFonts w:asciiTheme="minorHAnsi" w:hAnsiTheme="minorHAnsi" w:cstheme="minorHAnsi"/>
                <w:sz w:val="18"/>
                <w:szCs w:val="18"/>
                <w:lang w:val="es-MX"/>
              </w:rPr>
              <w:t>i</w:t>
            </w:r>
            <w:r w:rsidRPr="00BC2B85">
              <w:rPr>
                <w:rFonts w:asciiTheme="minorHAnsi" w:hAnsiTheme="minorHAnsi" w:cstheme="minorHAnsi"/>
                <w:sz w:val="18"/>
                <w:szCs w:val="18"/>
                <w:lang w:val="es-MX"/>
              </w:rPr>
              <w:t>das en los report</w:t>
            </w:r>
            <w:r w:rsidRPr="00D706E5">
              <w:rPr>
                <w:rFonts w:asciiTheme="minorHAnsi" w:hAnsiTheme="minorHAnsi" w:cstheme="minorHAnsi"/>
                <w:sz w:val="18"/>
                <w:szCs w:val="18"/>
                <w:lang w:val="es-MX"/>
              </w:rPr>
              <w:t>e</w:t>
            </w:r>
            <w:r w:rsidRPr="00BC2B85">
              <w:rPr>
                <w:rFonts w:asciiTheme="minorHAnsi" w:hAnsiTheme="minorHAnsi" w:cstheme="minorHAnsi"/>
                <w:sz w:val="18"/>
                <w:szCs w:val="18"/>
                <w:lang w:val="es-MX"/>
              </w:rPr>
              <w:t>s del taller.</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s-MX"/>
              </w:rPr>
            </w:pPr>
          </w:p>
        </w:tc>
      </w:tr>
      <w:tr w:rsidR="00F91564" w:rsidRPr="00D706E5" w:rsidTr="001617B4">
        <w:trPr>
          <w:cantSplit/>
          <w:trHeight w:val="575"/>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6.3. Revisión del documento de acuerdo a los debates sectoriales.</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highlight w:val="lightGray"/>
                <w:lang w:val="en-CA"/>
              </w:rPr>
            </w:pPr>
            <w:proofErr w:type="spellStart"/>
            <w:r w:rsidRPr="00D706E5">
              <w:rPr>
                <w:rFonts w:asciiTheme="minorHAnsi" w:hAnsiTheme="minorHAnsi" w:cstheme="minorHAnsi"/>
                <w:sz w:val="18"/>
                <w:szCs w:val="18"/>
                <w:lang w:val="en-US"/>
              </w:rPr>
              <w:t>Documento</w:t>
            </w:r>
            <w:proofErr w:type="spell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revisado</w:t>
            </w:r>
            <w:proofErr w:type="spellEnd"/>
            <w:r w:rsidRPr="00D706E5">
              <w:rPr>
                <w:rFonts w:asciiTheme="minorHAnsi" w:hAnsiTheme="minorHAnsi" w:cstheme="minorHAnsi"/>
                <w:sz w:val="18"/>
                <w:szCs w:val="18"/>
                <w:lang w:val="en-US"/>
              </w:rPr>
              <w:t xml:space="preserve"> y </w:t>
            </w:r>
            <w:proofErr w:type="spellStart"/>
            <w:r w:rsidRPr="00D706E5">
              <w:rPr>
                <w:rFonts w:asciiTheme="minorHAnsi" w:hAnsiTheme="minorHAnsi" w:cstheme="minorHAnsi"/>
                <w:sz w:val="18"/>
                <w:szCs w:val="18"/>
                <w:lang w:val="en-US"/>
              </w:rPr>
              <w:t>mejorado</w:t>
            </w:r>
            <w:proofErr w:type="spellEnd"/>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Número</w:t>
            </w:r>
            <w:proofErr w:type="spellEnd"/>
            <w:r w:rsidRPr="00D706E5">
              <w:rPr>
                <w:rFonts w:asciiTheme="minorHAnsi" w:hAnsiTheme="minorHAnsi" w:cstheme="minorHAnsi"/>
                <w:sz w:val="18"/>
                <w:szCs w:val="18"/>
                <w:lang w:val="en-US"/>
              </w:rPr>
              <w:t xml:space="preserve"> de </w:t>
            </w:r>
            <w:proofErr w:type="spellStart"/>
            <w:r w:rsidRPr="00D706E5">
              <w:rPr>
                <w:rFonts w:asciiTheme="minorHAnsi" w:hAnsiTheme="minorHAnsi" w:cstheme="minorHAnsi"/>
                <w:sz w:val="18"/>
                <w:szCs w:val="18"/>
                <w:lang w:val="en-US"/>
              </w:rPr>
              <w:t>ajustes</w:t>
            </w:r>
            <w:proofErr w:type="spellEnd"/>
            <w:r w:rsidRPr="00D706E5">
              <w:rPr>
                <w:rFonts w:asciiTheme="minorHAnsi" w:hAnsiTheme="minorHAnsi" w:cstheme="minorHAnsi"/>
                <w:sz w:val="18"/>
                <w:szCs w:val="18"/>
                <w:lang w:val="en-US"/>
              </w:rPr>
              <w:t xml:space="preserve"> </w:t>
            </w:r>
            <w:proofErr w:type="spellStart"/>
            <w:r w:rsidRPr="00D706E5">
              <w:rPr>
                <w:rFonts w:asciiTheme="minorHAnsi" w:hAnsiTheme="minorHAnsi" w:cstheme="minorHAnsi"/>
                <w:sz w:val="18"/>
                <w:szCs w:val="18"/>
                <w:lang w:val="en-US"/>
              </w:rPr>
              <w:t>realizados</w:t>
            </w:r>
            <w:proofErr w:type="spellEnd"/>
            <w:r w:rsidRPr="00D706E5">
              <w:rPr>
                <w:rFonts w:asciiTheme="minorHAnsi" w:hAnsiTheme="minorHAnsi" w:cstheme="minorHAnsi"/>
                <w:sz w:val="18"/>
                <w:szCs w:val="18"/>
                <w:lang w:val="en-US"/>
              </w:rPr>
              <w:t>.</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
        </w:tc>
      </w:tr>
      <w:tr w:rsidR="00F91564" w:rsidRPr="00D706E5" w:rsidTr="001617B4">
        <w:trPr>
          <w:cantSplit/>
          <w:trHeight w:val="429"/>
        </w:trPr>
        <w:tc>
          <w:tcPr>
            <w:tcW w:w="354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bCs/>
                <w:sz w:val="18"/>
                <w:szCs w:val="18"/>
                <w:lang w:val="es-MX"/>
              </w:rPr>
            </w:pPr>
            <w:r w:rsidRPr="00BC2B85">
              <w:rPr>
                <w:rFonts w:asciiTheme="minorHAnsi" w:hAnsiTheme="minorHAnsi" w:cstheme="minorHAnsi"/>
                <w:bCs/>
                <w:sz w:val="18"/>
                <w:szCs w:val="18"/>
                <w:lang w:val="es-MX"/>
              </w:rPr>
              <w:t>6.4. Documento Final del Plan Verde</w:t>
            </w:r>
          </w:p>
        </w:tc>
        <w:tc>
          <w:tcPr>
            <w:tcW w:w="3261"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pStyle w:val="FootnoteText"/>
              <w:rPr>
                <w:rFonts w:asciiTheme="minorHAnsi" w:hAnsiTheme="minorHAnsi" w:cstheme="minorHAnsi"/>
                <w:sz w:val="18"/>
                <w:szCs w:val="18"/>
                <w:lang w:val="en-US"/>
              </w:rPr>
            </w:pPr>
            <w:r w:rsidRPr="00D706E5">
              <w:rPr>
                <w:rFonts w:asciiTheme="minorHAnsi" w:hAnsiTheme="minorHAnsi" w:cstheme="minorHAnsi"/>
                <w:sz w:val="18"/>
                <w:szCs w:val="18"/>
                <w:lang w:val="en-US"/>
              </w:rPr>
              <w:t xml:space="preserve">Plan Verde </w:t>
            </w:r>
            <w:proofErr w:type="spellStart"/>
            <w:r w:rsidRPr="00D706E5">
              <w:rPr>
                <w:rFonts w:asciiTheme="minorHAnsi" w:hAnsiTheme="minorHAnsi" w:cstheme="minorHAnsi"/>
                <w:sz w:val="18"/>
                <w:szCs w:val="18"/>
                <w:lang w:val="en-US"/>
              </w:rPr>
              <w:t>Publicado</w:t>
            </w:r>
            <w:proofErr w:type="spellEnd"/>
            <w:r w:rsidRPr="00D706E5">
              <w:rPr>
                <w:rFonts w:asciiTheme="minorHAnsi" w:hAnsiTheme="minorHAnsi" w:cstheme="minorHAnsi"/>
                <w:sz w:val="18"/>
                <w:szCs w:val="18"/>
                <w:lang w:val="en-US"/>
              </w:rPr>
              <w:t>.</w:t>
            </w:r>
          </w:p>
        </w:tc>
        <w:tc>
          <w:tcPr>
            <w:tcW w:w="2533"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roofErr w:type="spellStart"/>
            <w:r w:rsidRPr="00D706E5">
              <w:rPr>
                <w:rFonts w:asciiTheme="minorHAnsi" w:hAnsiTheme="minorHAnsi" w:cstheme="minorHAnsi"/>
                <w:sz w:val="18"/>
                <w:szCs w:val="18"/>
                <w:lang w:val="en-US"/>
              </w:rPr>
              <w:t>Consultas</w:t>
            </w:r>
            <w:proofErr w:type="spellEnd"/>
            <w:r w:rsidRPr="00D706E5">
              <w:rPr>
                <w:rFonts w:asciiTheme="minorHAnsi" w:hAnsiTheme="minorHAnsi" w:cstheme="minorHAnsi"/>
                <w:sz w:val="18"/>
                <w:szCs w:val="18"/>
                <w:lang w:val="en-US"/>
              </w:rPr>
              <w:t xml:space="preserve"> al Plan Verde.</w:t>
            </w:r>
          </w:p>
        </w:tc>
        <w:tc>
          <w:tcPr>
            <w:tcW w:w="2428" w:type="dxa"/>
            <w:tcBorders>
              <w:top w:val="single" w:sz="4" w:space="0" w:color="auto"/>
              <w:left w:val="single" w:sz="4" w:space="0" w:color="auto"/>
              <w:bottom w:val="single" w:sz="4" w:space="0" w:color="auto"/>
              <w:right w:val="single" w:sz="4" w:space="0" w:color="auto"/>
            </w:tcBorders>
          </w:tcPr>
          <w:p w:rsidR="00F91564" w:rsidRPr="00BC2B85" w:rsidRDefault="00F91564" w:rsidP="001617B4">
            <w:pPr>
              <w:rPr>
                <w:rFonts w:asciiTheme="minorHAnsi" w:hAnsiTheme="minorHAnsi" w:cstheme="minorHAnsi"/>
                <w:sz w:val="18"/>
                <w:szCs w:val="18"/>
                <w:lang w:val="en-US"/>
              </w:rPr>
            </w:pPr>
          </w:p>
        </w:tc>
      </w:tr>
      <w:tr w:rsidR="0045738A" w:rsidRPr="0045738A" w:rsidTr="001617B4">
        <w:trPr>
          <w:cantSplit/>
          <w:trHeight w:val="429"/>
        </w:trPr>
        <w:tc>
          <w:tcPr>
            <w:tcW w:w="3543" w:type="dxa"/>
            <w:tcBorders>
              <w:top w:val="single" w:sz="4" w:space="0" w:color="auto"/>
              <w:left w:val="single" w:sz="4" w:space="0" w:color="auto"/>
              <w:bottom w:val="single" w:sz="4" w:space="0" w:color="auto"/>
              <w:right w:val="single" w:sz="4" w:space="0" w:color="auto"/>
            </w:tcBorders>
          </w:tcPr>
          <w:p w:rsidR="0045738A" w:rsidRPr="002C7A7D" w:rsidRDefault="0045738A" w:rsidP="00AA5E55">
            <w:pPr>
              <w:rPr>
                <w:rFonts w:asciiTheme="minorHAnsi" w:hAnsiTheme="minorHAnsi" w:cstheme="minorHAnsi"/>
                <w:b/>
                <w:bCs/>
                <w:sz w:val="18"/>
                <w:szCs w:val="18"/>
                <w:lang w:val="en-US"/>
              </w:rPr>
            </w:pPr>
            <w:proofErr w:type="spellStart"/>
            <w:r>
              <w:rPr>
                <w:rFonts w:asciiTheme="minorHAnsi" w:hAnsiTheme="minorHAnsi" w:cstheme="minorHAnsi"/>
                <w:b/>
                <w:bCs/>
                <w:sz w:val="18"/>
                <w:szCs w:val="18"/>
                <w:lang w:val="en-US"/>
              </w:rPr>
              <w:t>Producto</w:t>
            </w:r>
            <w:proofErr w:type="spellEnd"/>
            <w:r>
              <w:rPr>
                <w:rFonts w:asciiTheme="minorHAnsi" w:hAnsiTheme="minorHAnsi" w:cstheme="minorHAnsi"/>
                <w:b/>
                <w:bCs/>
                <w:sz w:val="18"/>
                <w:szCs w:val="18"/>
                <w:lang w:val="en-US"/>
              </w:rPr>
              <w:t xml:space="preserve"> </w:t>
            </w:r>
            <w:r w:rsidRPr="002C7A7D">
              <w:rPr>
                <w:rFonts w:asciiTheme="minorHAnsi" w:hAnsiTheme="minorHAnsi" w:cstheme="minorHAnsi"/>
                <w:b/>
                <w:bCs/>
                <w:sz w:val="18"/>
                <w:szCs w:val="18"/>
                <w:lang w:val="en-US"/>
              </w:rPr>
              <w:t>7:</w:t>
            </w:r>
          </w:p>
          <w:p w:rsidR="0045738A" w:rsidRPr="0045738A" w:rsidRDefault="0045738A" w:rsidP="0045738A">
            <w:pPr>
              <w:rPr>
                <w:rFonts w:asciiTheme="minorHAnsi" w:hAnsiTheme="minorHAnsi" w:cstheme="minorHAnsi"/>
                <w:bCs/>
                <w:sz w:val="18"/>
                <w:szCs w:val="18"/>
                <w:lang w:val="es-MX"/>
              </w:rPr>
            </w:pPr>
            <w:proofErr w:type="spellStart"/>
            <w:r>
              <w:rPr>
                <w:rFonts w:asciiTheme="minorHAnsi" w:hAnsiTheme="minorHAnsi" w:cstheme="minorHAnsi"/>
                <w:b/>
                <w:bCs/>
                <w:sz w:val="18"/>
                <w:szCs w:val="18"/>
                <w:lang w:val="en-US"/>
              </w:rPr>
              <w:t>Subsidios</w:t>
            </w:r>
            <w:proofErr w:type="spellEnd"/>
            <w:r>
              <w:rPr>
                <w:rFonts w:asciiTheme="minorHAnsi" w:hAnsiTheme="minorHAnsi" w:cstheme="minorHAnsi"/>
                <w:b/>
                <w:bCs/>
                <w:sz w:val="18"/>
                <w:szCs w:val="18"/>
                <w:lang w:val="en-US"/>
              </w:rPr>
              <w:t xml:space="preserve"> </w:t>
            </w:r>
            <w:proofErr w:type="spellStart"/>
            <w:r>
              <w:rPr>
                <w:rFonts w:asciiTheme="minorHAnsi" w:hAnsiTheme="minorHAnsi" w:cstheme="minorHAnsi"/>
                <w:b/>
                <w:bCs/>
                <w:sz w:val="18"/>
                <w:szCs w:val="18"/>
                <w:lang w:val="en-US"/>
              </w:rPr>
              <w:t>Ambientalmente</w:t>
            </w:r>
            <w:proofErr w:type="spellEnd"/>
            <w:r>
              <w:rPr>
                <w:rFonts w:asciiTheme="minorHAnsi" w:hAnsiTheme="minorHAnsi" w:cstheme="minorHAnsi"/>
                <w:b/>
                <w:bCs/>
                <w:sz w:val="18"/>
                <w:szCs w:val="18"/>
                <w:lang w:val="en-US"/>
              </w:rPr>
              <w:t xml:space="preserve"> </w:t>
            </w:r>
            <w:proofErr w:type="spellStart"/>
            <w:r>
              <w:rPr>
                <w:rFonts w:asciiTheme="minorHAnsi" w:hAnsiTheme="minorHAnsi" w:cstheme="minorHAnsi"/>
                <w:b/>
                <w:bCs/>
                <w:sz w:val="18"/>
                <w:szCs w:val="18"/>
                <w:lang w:val="en-US"/>
              </w:rPr>
              <w:t>Dañinos</w:t>
            </w:r>
            <w:proofErr w:type="spellEnd"/>
            <w:r w:rsidRPr="002C7A7D">
              <w:rPr>
                <w:rFonts w:asciiTheme="minorHAnsi" w:hAnsiTheme="minorHAnsi" w:cstheme="minorHAnsi"/>
                <w:bCs/>
                <w:sz w:val="18"/>
                <w:szCs w:val="18"/>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rsidR="0045738A" w:rsidRPr="0045738A" w:rsidRDefault="0045738A" w:rsidP="001617B4">
            <w:pPr>
              <w:pStyle w:val="FootnoteText"/>
              <w:rPr>
                <w:rFonts w:asciiTheme="minorHAnsi" w:hAnsiTheme="minorHAnsi" w:cstheme="minorHAnsi"/>
                <w:sz w:val="18"/>
                <w:szCs w:val="18"/>
                <w:lang w:val="en-US"/>
              </w:rPr>
            </w:pPr>
          </w:p>
        </w:tc>
        <w:tc>
          <w:tcPr>
            <w:tcW w:w="2533" w:type="dxa"/>
            <w:tcBorders>
              <w:top w:val="single" w:sz="4" w:space="0" w:color="auto"/>
              <w:left w:val="single" w:sz="4" w:space="0" w:color="auto"/>
              <w:bottom w:val="single" w:sz="4" w:space="0" w:color="auto"/>
              <w:right w:val="single" w:sz="4" w:space="0" w:color="auto"/>
            </w:tcBorders>
          </w:tcPr>
          <w:p w:rsidR="0045738A" w:rsidRPr="0045738A" w:rsidRDefault="0045738A" w:rsidP="001617B4">
            <w:pPr>
              <w:rPr>
                <w:rFonts w:asciiTheme="minorHAnsi" w:hAnsiTheme="minorHAnsi" w:cstheme="minorHAnsi"/>
                <w:sz w:val="18"/>
                <w:szCs w:val="18"/>
                <w:lang w:val="en-US"/>
              </w:rPr>
            </w:pPr>
          </w:p>
        </w:tc>
        <w:tc>
          <w:tcPr>
            <w:tcW w:w="2428" w:type="dxa"/>
            <w:tcBorders>
              <w:top w:val="single" w:sz="4" w:space="0" w:color="auto"/>
              <w:left w:val="single" w:sz="4" w:space="0" w:color="auto"/>
              <w:bottom w:val="single" w:sz="4" w:space="0" w:color="auto"/>
              <w:right w:val="single" w:sz="4" w:space="0" w:color="auto"/>
            </w:tcBorders>
          </w:tcPr>
          <w:p w:rsidR="0045738A" w:rsidRPr="0045738A" w:rsidRDefault="0045738A" w:rsidP="001617B4">
            <w:pPr>
              <w:rPr>
                <w:rFonts w:asciiTheme="minorHAnsi" w:hAnsiTheme="minorHAnsi" w:cstheme="minorHAnsi"/>
                <w:sz w:val="18"/>
                <w:szCs w:val="18"/>
                <w:lang w:val="en-US"/>
              </w:rPr>
            </w:pPr>
          </w:p>
        </w:tc>
      </w:tr>
      <w:tr w:rsidR="0045738A" w:rsidRPr="005B20FF" w:rsidTr="001617B4">
        <w:trPr>
          <w:cantSplit/>
          <w:trHeight w:val="429"/>
        </w:trPr>
        <w:tc>
          <w:tcPr>
            <w:tcW w:w="3543" w:type="dxa"/>
            <w:tcBorders>
              <w:top w:val="single" w:sz="4" w:space="0" w:color="auto"/>
              <w:left w:val="single" w:sz="4" w:space="0" w:color="auto"/>
              <w:bottom w:val="single" w:sz="4" w:space="0" w:color="auto"/>
              <w:right w:val="single" w:sz="4" w:space="0" w:color="auto"/>
            </w:tcBorders>
          </w:tcPr>
          <w:p w:rsidR="0045738A" w:rsidRPr="002C7A7D" w:rsidRDefault="0045738A" w:rsidP="0045738A">
            <w:pPr>
              <w:rPr>
                <w:rFonts w:asciiTheme="minorHAnsi" w:hAnsiTheme="minorHAnsi" w:cstheme="minorHAnsi"/>
                <w:b/>
                <w:bCs/>
                <w:sz w:val="18"/>
                <w:szCs w:val="18"/>
              </w:rPr>
            </w:pPr>
            <w:r w:rsidRPr="002C7A7D">
              <w:rPr>
                <w:rFonts w:asciiTheme="minorHAnsi" w:hAnsiTheme="minorHAnsi" w:cstheme="minorHAnsi"/>
                <w:bCs/>
                <w:sz w:val="18"/>
                <w:szCs w:val="18"/>
              </w:rPr>
              <w:lastRenderedPageBreak/>
              <w:t>7.1  Una Lista de chequeo de subsidies ambientalmente dañinos p</w:t>
            </w:r>
            <w:r>
              <w:rPr>
                <w:rFonts w:asciiTheme="minorHAnsi" w:hAnsiTheme="minorHAnsi" w:cstheme="minorHAnsi"/>
                <w:bCs/>
                <w:sz w:val="18"/>
                <w:szCs w:val="18"/>
              </w:rPr>
              <w:t>ara los sectores de agricultura, energía y agua.</w:t>
            </w:r>
          </w:p>
        </w:tc>
        <w:tc>
          <w:tcPr>
            <w:tcW w:w="3261" w:type="dxa"/>
            <w:tcBorders>
              <w:top w:val="single" w:sz="4" w:space="0" w:color="auto"/>
              <w:left w:val="single" w:sz="4" w:space="0" w:color="auto"/>
              <w:bottom w:val="single" w:sz="4" w:space="0" w:color="auto"/>
              <w:right w:val="single" w:sz="4" w:space="0" w:color="auto"/>
            </w:tcBorders>
          </w:tcPr>
          <w:p w:rsidR="0045738A" w:rsidRPr="0045738A" w:rsidRDefault="0045738A" w:rsidP="0045738A">
            <w:pPr>
              <w:pStyle w:val="FootnoteText"/>
              <w:rPr>
                <w:rFonts w:asciiTheme="minorHAnsi" w:hAnsiTheme="minorHAnsi" w:cstheme="minorHAnsi"/>
                <w:sz w:val="18"/>
                <w:szCs w:val="18"/>
                <w:lang w:val="en-US"/>
              </w:rPr>
            </w:pPr>
            <w:proofErr w:type="spellStart"/>
            <w:r>
              <w:rPr>
                <w:rFonts w:asciiTheme="minorHAnsi" w:hAnsiTheme="minorHAnsi" w:cstheme="minorHAnsi"/>
                <w:sz w:val="18"/>
                <w:szCs w:val="18"/>
                <w:lang w:val="en-US"/>
              </w:rPr>
              <w:t>Documento</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Borrador</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disponible</w:t>
            </w:r>
            <w:proofErr w:type="spellEnd"/>
            <w:r>
              <w:rPr>
                <w:rFonts w:asciiTheme="minorHAnsi" w:hAnsiTheme="minorHAnsi" w:cstheme="minorHAnsi"/>
                <w:sz w:val="18"/>
                <w:szCs w:val="18"/>
                <w:lang w:val="en-US"/>
              </w:rPr>
              <w:t>.</w:t>
            </w:r>
          </w:p>
        </w:tc>
        <w:tc>
          <w:tcPr>
            <w:tcW w:w="2533" w:type="dxa"/>
            <w:tcBorders>
              <w:top w:val="single" w:sz="4" w:space="0" w:color="auto"/>
              <w:left w:val="single" w:sz="4" w:space="0" w:color="auto"/>
              <w:bottom w:val="single" w:sz="4" w:space="0" w:color="auto"/>
              <w:right w:val="single" w:sz="4" w:space="0" w:color="auto"/>
            </w:tcBorders>
          </w:tcPr>
          <w:p w:rsidR="0045738A" w:rsidRPr="002C7A7D" w:rsidRDefault="005B20FF" w:rsidP="005B20FF">
            <w:pPr>
              <w:rPr>
                <w:rFonts w:asciiTheme="minorHAnsi" w:hAnsiTheme="minorHAnsi" w:cstheme="minorHAnsi"/>
                <w:sz w:val="18"/>
                <w:szCs w:val="18"/>
                <w:lang w:val="es-MX"/>
              </w:rPr>
            </w:pPr>
            <w:r w:rsidRPr="002C7A7D">
              <w:rPr>
                <w:rFonts w:asciiTheme="minorHAnsi" w:hAnsiTheme="minorHAnsi" w:cstheme="minorHAnsi"/>
                <w:sz w:val="18"/>
                <w:szCs w:val="18"/>
                <w:lang w:val="es-MX"/>
              </w:rPr>
              <w:t>Número de comentarios y sugerencias de las áreas técnicas.</w:t>
            </w:r>
          </w:p>
        </w:tc>
        <w:tc>
          <w:tcPr>
            <w:tcW w:w="2428" w:type="dxa"/>
            <w:tcBorders>
              <w:top w:val="single" w:sz="4" w:space="0" w:color="auto"/>
              <w:left w:val="single" w:sz="4" w:space="0" w:color="auto"/>
              <w:bottom w:val="single" w:sz="4" w:space="0" w:color="auto"/>
              <w:right w:val="single" w:sz="4" w:space="0" w:color="auto"/>
            </w:tcBorders>
          </w:tcPr>
          <w:p w:rsidR="0045738A" w:rsidRPr="002C7A7D" w:rsidRDefault="0045738A" w:rsidP="001617B4">
            <w:pPr>
              <w:rPr>
                <w:rFonts w:asciiTheme="minorHAnsi" w:hAnsiTheme="minorHAnsi" w:cstheme="minorHAnsi"/>
                <w:sz w:val="18"/>
                <w:szCs w:val="18"/>
                <w:lang w:val="es-MX"/>
              </w:rPr>
            </w:pPr>
          </w:p>
        </w:tc>
      </w:tr>
      <w:tr w:rsidR="0045738A" w:rsidRPr="0045738A" w:rsidTr="001617B4">
        <w:trPr>
          <w:cantSplit/>
          <w:trHeight w:val="429"/>
        </w:trPr>
        <w:tc>
          <w:tcPr>
            <w:tcW w:w="3543" w:type="dxa"/>
            <w:tcBorders>
              <w:top w:val="single" w:sz="4" w:space="0" w:color="auto"/>
              <w:left w:val="single" w:sz="4" w:space="0" w:color="auto"/>
              <w:bottom w:val="single" w:sz="4" w:space="0" w:color="auto"/>
              <w:right w:val="single" w:sz="4" w:space="0" w:color="auto"/>
            </w:tcBorders>
          </w:tcPr>
          <w:p w:rsidR="0045738A" w:rsidRPr="002C7A7D" w:rsidRDefault="0045738A" w:rsidP="005B20FF">
            <w:pPr>
              <w:rPr>
                <w:rFonts w:asciiTheme="minorHAnsi" w:hAnsiTheme="minorHAnsi" w:cstheme="minorHAnsi"/>
                <w:b/>
                <w:bCs/>
                <w:sz w:val="18"/>
                <w:szCs w:val="18"/>
                <w:lang w:val="es-MX"/>
              </w:rPr>
            </w:pPr>
            <w:r w:rsidRPr="002C7A7D">
              <w:rPr>
                <w:rFonts w:asciiTheme="minorHAnsi" w:hAnsiTheme="minorHAnsi" w:cstheme="minorHAnsi"/>
                <w:bCs/>
                <w:sz w:val="18"/>
                <w:szCs w:val="18"/>
                <w:lang w:val="es-MX" w:eastAsia="es-ES"/>
              </w:rPr>
              <w:t xml:space="preserve">7.2. </w:t>
            </w:r>
            <w:r w:rsidR="005B20FF" w:rsidRPr="002C7A7D">
              <w:rPr>
                <w:rFonts w:asciiTheme="minorHAnsi" w:hAnsiTheme="minorHAnsi" w:cstheme="minorHAnsi"/>
                <w:bCs/>
                <w:sz w:val="18"/>
                <w:szCs w:val="18"/>
                <w:lang w:val="es-MX" w:eastAsia="es-ES"/>
              </w:rPr>
              <w:t>Análisis de efectos negativos y evaluación acerca de la r</w:t>
            </w:r>
            <w:r w:rsidR="005B20FF">
              <w:rPr>
                <w:rFonts w:asciiTheme="minorHAnsi" w:hAnsiTheme="minorHAnsi" w:cstheme="minorHAnsi"/>
                <w:bCs/>
                <w:sz w:val="18"/>
                <w:szCs w:val="18"/>
                <w:lang w:val="es-MX" w:eastAsia="es-ES"/>
              </w:rPr>
              <w:t>emoción de subsidios en el sector agua.</w:t>
            </w:r>
            <w:r w:rsidRPr="002C7A7D">
              <w:rPr>
                <w:rFonts w:asciiTheme="minorHAnsi" w:hAnsiTheme="minorHAnsi" w:cstheme="minorHAnsi"/>
                <w:bCs/>
                <w:sz w:val="18"/>
                <w:szCs w:val="18"/>
                <w:lang w:val="es-MX" w:eastAsia="es-ES"/>
              </w:rPr>
              <w:t xml:space="preserve"> </w:t>
            </w:r>
          </w:p>
        </w:tc>
        <w:tc>
          <w:tcPr>
            <w:tcW w:w="3261" w:type="dxa"/>
            <w:tcBorders>
              <w:top w:val="single" w:sz="4" w:space="0" w:color="auto"/>
              <w:left w:val="single" w:sz="4" w:space="0" w:color="auto"/>
              <w:bottom w:val="single" w:sz="4" w:space="0" w:color="auto"/>
              <w:right w:val="single" w:sz="4" w:space="0" w:color="auto"/>
            </w:tcBorders>
          </w:tcPr>
          <w:p w:rsidR="0045738A" w:rsidRPr="0045738A" w:rsidRDefault="005B20FF" w:rsidP="005B20FF">
            <w:pPr>
              <w:pStyle w:val="FootnoteText"/>
              <w:rPr>
                <w:rFonts w:asciiTheme="minorHAnsi" w:hAnsiTheme="minorHAnsi" w:cstheme="minorHAnsi"/>
                <w:sz w:val="18"/>
                <w:szCs w:val="18"/>
                <w:lang w:val="en-US"/>
              </w:rPr>
            </w:pPr>
            <w:proofErr w:type="spellStart"/>
            <w:r>
              <w:rPr>
                <w:rFonts w:asciiTheme="minorHAnsi" w:hAnsiTheme="minorHAnsi" w:cstheme="minorHAnsi"/>
                <w:sz w:val="18"/>
                <w:szCs w:val="18"/>
                <w:lang w:val="en-US"/>
              </w:rPr>
              <w:t>Estudio</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preparado</w:t>
            </w:r>
            <w:proofErr w:type="spellEnd"/>
            <w:r>
              <w:rPr>
                <w:rFonts w:asciiTheme="minorHAnsi" w:hAnsiTheme="minorHAnsi" w:cstheme="minorHAnsi"/>
                <w:sz w:val="18"/>
                <w:szCs w:val="18"/>
                <w:lang w:val="en-US"/>
              </w:rPr>
              <w:t xml:space="preserve"> y </w:t>
            </w:r>
            <w:proofErr w:type="spellStart"/>
            <w:r>
              <w:rPr>
                <w:rFonts w:asciiTheme="minorHAnsi" w:hAnsiTheme="minorHAnsi" w:cstheme="minorHAnsi"/>
                <w:sz w:val="18"/>
                <w:szCs w:val="18"/>
                <w:lang w:val="en-US"/>
              </w:rPr>
              <w:t>revisado</w:t>
            </w:r>
            <w:proofErr w:type="spellEnd"/>
            <w:r>
              <w:rPr>
                <w:rFonts w:asciiTheme="minorHAnsi" w:hAnsiTheme="minorHAnsi" w:cstheme="minorHAnsi"/>
                <w:sz w:val="18"/>
                <w:szCs w:val="18"/>
                <w:lang w:val="en-US"/>
              </w:rPr>
              <w:t>.</w:t>
            </w:r>
          </w:p>
        </w:tc>
        <w:tc>
          <w:tcPr>
            <w:tcW w:w="2533" w:type="dxa"/>
            <w:tcBorders>
              <w:top w:val="single" w:sz="4" w:space="0" w:color="auto"/>
              <w:left w:val="single" w:sz="4" w:space="0" w:color="auto"/>
              <w:bottom w:val="single" w:sz="4" w:space="0" w:color="auto"/>
              <w:right w:val="single" w:sz="4" w:space="0" w:color="auto"/>
            </w:tcBorders>
          </w:tcPr>
          <w:p w:rsidR="0045738A" w:rsidRPr="002C7A7D" w:rsidRDefault="005B20FF" w:rsidP="005B20FF">
            <w:pPr>
              <w:rPr>
                <w:rFonts w:asciiTheme="minorHAnsi" w:hAnsiTheme="minorHAnsi" w:cstheme="minorHAnsi"/>
                <w:sz w:val="18"/>
                <w:szCs w:val="18"/>
                <w:lang w:val="es-MX"/>
              </w:rPr>
            </w:pPr>
            <w:r w:rsidRPr="002C7A7D">
              <w:rPr>
                <w:rFonts w:asciiTheme="minorHAnsi" w:hAnsiTheme="minorHAnsi" w:cstheme="minorHAnsi"/>
                <w:sz w:val="18"/>
                <w:szCs w:val="18"/>
                <w:lang w:val="es-MX"/>
              </w:rPr>
              <w:t xml:space="preserve">Número de comentarios y sugerencias de las áreas técnicas. </w:t>
            </w:r>
          </w:p>
        </w:tc>
        <w:tc>
          <w:tcPr>
            <w:tcW w:w="2428" w:type="dxa"/>
            <w:tcBorders>
              <w:top w:val="single" w:sz="4" w:space="0" w:color="auto"/>
              <w:left w:val="single" w:sz="4" w:space="0" w:color="auto"/>
              <w:bottom w:val="single" w:sz="4" w:space="0" w:color="auto"/>
              <w:right w:val="single" w:sz="4" w:space="0" w:color="auto"/>
            </w:tcBorders>
          </w:tcPr>
          <w:p w:rsidR="0045738A" w:rsidRPr="002C7A7D" w:rsidRDefault="0045738A" w:rsidP="001617B4">
            <w:pPr>
              <w:rPr>
                <w:rFonts w:asciiTheme="minorHAnsi" w:hAnsiTheme="minorHAnsi" w:cstheme="minorHAnsi"/>
                <w:sz w:val="18"/>
                <w:szCs w:val="18"/>
                <w:lang w:val="es-MX"/>
              </w:rPr>
            </w:pPr>
          </w:p>
        </w:tc>
      </w:tr>
      <w:tr w:rsidR="0045738A" w:rsidRPr="005B20FF" w:rsidTr="001617B4">
        <w:trPr>
          <w:cantSplit/>
          <w:trHeight w:val="429"/>
        </w:trPr>
        <w:tc>
          <w:tcPr>
            <w:tcW w:w="3543" w:type="dxa"/>
            <w:tcBorders>
              <w:top w:val="single" w:sz="4" w:space="0" w:color="auto"/>
              <w:left w:val="single" w:sz="4" w:space="0" w:color="auto"/>
              <w:bottom w:val="single" w:sz="4" w:space="0" w:color="auto"/>
              <w:right w:val="single" w:sz="4" w:space="0" w:color="auto"/>
            </w:tcBorders>
          </w:tcPr>
          <w:p w:rsidR="0045738A" w:rsidRPr="002C7A7D" w:rsidRDefault="0045738A" w:rsidP="005B20FF">
            <w:pPr>
              <w:rPr>
                <w:rFonts w:asciiTheme="minorHAnsi" w:hAnsiTheme="minorHAnsi" w:cstheme="minorHAnsi"/>
                <w:b/>
                <w:bCs/>
                <w:sz w:val="18"/>
                <w:szCs w:val="18"/>
                <w:lang w:val="es-MX"/>
              </w:rPr>
            </w:pPr>
            <w:r w:rsidRPr="002C7A7D">
              <w:rPr>
                <w:rFonts w:asciiTheme="minorHAnsi" w:hAnsiTheme="minorHAnsi" w:cstheme="minorHAnsi"/>
                <w:bCs/>
                <w:sz w:val="18"/>
                <w:szCs w:val="18"/>
                <w:lang w:val="es-MX" w:eastAsia="es-ES"/>
              </w:rPr>
              <w:t xml:space="preserve">7.3. </w:t>
            </w:r>
            <w:r w:rsidR="005B20FF" w:rsidRPr="002C7A7D">
              <w:rPr>
                <w:rFonts w:asciiTheme="minorHAnsi" w:hAnsiTheme="minorHAnsi" w:cstheme="minorHAnsi"/>
                <w:bCs/>
                <w:sz w:val="18"/>
                <w:szCs w:val="18"/>
                <w:lang w:val="es-MX" w:eastAsia="es-ES"/>
              </w:rPr>
              <w:t xml:space="preserve">Análisis de los efectos negativos y evaluación sobre la remoción de subsidies en el sector agrícola. </w:t>
            </w:r>
          </w:p>
        </w:tc>
        <w:tc>
          <w:tcPr>
            <w:tcW w:w="3261" w:type="dxa"/>
            <w:tcBorders>
              <w:top w:val="single" w:sz="4" w:space="0" w:color="auto"/>
              <w:left w:val="single" w:sz="4" w:space="0" w:color="auto"/>
              <w:bottom w:val="single" w:sz="4" w:space="0" w:color="auto"/>
              <w:right w:val="single" w:sz="4" w:space="0" w:color="auto"/>
            </w:tcBorders>
          </w:tcPr>
          <w:p w:rsidR="0045738A" w:rsidRPr="0045738A" w:rsidRDefault="005B20FF" w:rsidP="005B20FF">
            <w:pPr>
              <w:pStyle w:val="FootnoteText"/>
              <w:rPr>
                <w:rFonts w:asciiTheme="minorHAnsi" w:hAnsiTheme="minorHAnsi" w:cstheme="minorHAnsi"/>
                <w:sz w:val="18"/>
                <w:szCs w:val="18"/>
                <w:lang w:val="en-US"/>
              </w:rPr>
            </w:pPr>
            <w:proofErr w:type="spellStart"/>
            <w:r>
              <w:rPr>
                <w:rFonts w:asciiTheme="minorHAnsi" w:hAnsiTheme="minorHAnsi" w:cstheme="minorHAnsi"/>
                <w:sz w:val="18"/>
                <w:szCs w:val="18"/>
                <w:lang w:val="en-US"/>
              </w:rPr>
              <w:t>Estudio</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preparado</w:t>
            </w:r>
            <w:proofErr w:type="spellEnd"/>
            <w:r>
              <w:rPr>
                <w:rFonts w:asciiTheme="minorHAnsi" w:hAnsiTheme="minorHAnsi" w:cstheme="minorHAnsi"/>
                <w:sz w:val="18"/>
                <w:szCs w:val="18"/>
                <w:lang w:val="en-US"/>
              </w:rPr>
              <w:t xml:space="preserve"> y </w:t>
            </w:r>
            <w:proofErr w:type="spellStart"/>
            <w:r>
              <w:rPr>
                <w:rFonts w:asciiTheme="minorHAnsi" w:hAnsiTheme="minorHAnsi" w:cstheme="minorHAnsi"/>
                <w:sz w:val="18"/>
                <w:szCs w:val="18"/>
                <w:lang w:val="en-US"/>
              </w:rPr>
              <w:t>revisado</w:t>
            </w:r>
            <w:proofErr w:type="spellEnd"/>
            <w:r>
              <w:rPr>
                <w:rFonts w:asciiTheme="minorHAnsi" w:hAnsiTheme="minorHAnsi" w:cstheme="minorHAnsi"/>
                <w:sz w:val="18"/>
                <w:szCs w:val="18"/>
                <w:lang w:val="en-US"/>
              </w:rPr>
              <w:t xml:space="preserve">. </w:t>
            </w:r>
          </w:p>
        </w:tc>
        <w:tc>
          <w:tcPr>
            <w:tcW w:w="2533" w:type="dxa"/>
            <w:tcBorders>
              <w:top w:val="single" w:sz="4" w:space="0" w:color="auto"/>
              <w:left w:val="single" w:sz="4" w:space="0" w:color="auto"/>
              <w:bottom w:val="single" w:sz="4" w:space="0" w:color="auto"/>
              <w:right w:val="single" w:sz="4" w:space="0" w:color="auto"/>
            </w:tcBorders>
          </w:tcPr>
          <w:p w:rsidR="0045738A" w:rsidRPr="002C7A7D" w:rsidRDefault="005B20FF" w:rsidP="001617B4">
            <w:pPr>
              <w:rPr>
                <w:rFonts w:asciiTheme="minorHAnsi" w:hAnsiTheme="minorHAnsi" w:cstheme="minorHAnsi"/>
                <w:sz w:val="18"/>
                <w:szCs w:val="18"/>
                <w:lang w:val="es-MX"/>
              </w:rPr>
            </w:pPr>
            <w:r w:rsidRPr="002C7A7D">
              <w:rPr>
                <w:rFonts w:asciiTheme="minorHAnsi" w:hAnsiTheme="minorHAnsi" w:cstheme="minorHAnsi"/>
                <w:sz w:val="18"/>
                <w:szCs w:val="18"/>
                <w:lang w:val="es-MX"/>
              </w:rPr>
              <w:t>Número de comentarios y sugerencias de las áreas técnicas.</w:t>
            </w:r>
          </w:p>
        </w:tc>
        <w:tc>
          <w:tcPr>
            <w:tcW w:w="2428" w:type="dxa"/>
            <w:tcBorders>
              <w:top w:val="single" w:sz="4" w:space="0" w:color="auto"/>
              <w:left w:val="single" w:sz="4" w:space="0" w:color="auto"/>
              <w:bottom w:val="single" w:sz="4" w:space="0" w:color="auto"/>
              <w:right w:val="single" w:sz="4" w:space="0" w:color="auto"/>
            </w:tcBorders>
          </w:tcPr>
          <w:p w:rsidR="0045738A" w:rsidRPr="002C7A7D" w:rsidRDefault="0045738A" w:rsidP="001617B4">
            <w:pPr>
              <w:rPr>
                <w:rFonts w:asciiTheme="minorHAnsi" w:hAnsiTheme="minorHAnsi" w:cstheme="minorHAnsi"/>
                <w:sz w:val="18"/>
                <w:szCs w:val="18"/>
                <w:lang w:val="es-MX"/>
              </w:rPr>
            </w:pPr>
          </w:p>
        </w:tc>
      </w:tr>
      <w:tr w:rsidR="005B20FF" w:rsidRPr="005B20FF" w:rsidTr="001617B4">
        <w:trPr>
          <w:cantSplit/>
          <w:trHeight w:val="429"/>
        </w:trPr>
        <w:tc>
          <w:tcPr>
            <w:tcW w:w="3543" w:type="dxa"/>
            <w:tcBorders>
              <w:top w:val="single" w:sz="4" w:space="0" w:color="auto"/>
              <w:left w:val="single" w:sz="4" w:space="0" w:color="auto"/>
              <w:bottom w:val="single" w:sz="4" w:space="0" w:color="auto"/>
              <w:right w:val="single" w:sz="4" w:space="0" w:color="auto"/>
            </w:tcBorders>
          </w:tcPr>
          <w:p w:rsidR="005B20FF" w:rsidRPr="002C7A7D" w:rsidRDefault="005B20FF" w:rsidP="005B20FF">
            <w:pPr>
              <w:rPr>
                <w:rFonts w:asciiTheme="minorHAnsi" w:hAnsiTheme="minorHAnsi" w:cstheme="minorHAnsi"/>
                <w:b/>
                <w:bCs/>
                <w:sz w:val="18"/>
                <w:szCs w:val="18"/>
                <w:lang w:val="es-MX"/>
              </w:rPr>
            </w:pPr>
            <w:r w:rsidRPr="002C7A7D">
              <w:rPr>
                <w:rFonts w:asciiTheme="minorHAnsi" w:hAnsiTheme="minorHAnsi" w:cstheme="minorHAnsi"/>
                <w:bCs/>
                <w:sz w:val="18"/>
                <w:szCs w:val="18"/>
                <w:lang w:val="es-MX" w:eastAsia="es-ES"/>
              </w:rPr>
              <w:t>7.4. Análisis de los efectos negativos y evaluación sobre la remoci</w:t>
            </w:r>
            <w:r>
              <w:rPr>
                <w:rFonts w:asciiTheme="minorHAnsi" w:hAnsiTheme="minorHAnsi" w:cstheme="minorHAnsi"/>
                <w:bCs/>
                <w:sz w:val="18"/>
                <w:szCs w:val="18"/>
                <w:lang w:val="es-MX" w:eastAsia="es-ES"/>
              </w:rPr>
              <w:t xml:space="preserve">ón de subsidios en el sector energía. </w:t>
            </w:r>
          </w:p>
        </w:tc>
        <w:tc>
          <w:tcPr>
            <w:tcW w:w="3261" w:type="dxa"/>
            <w:tcBorders>
              <w:top w:val="single" w:sz="4" w:space="0" w:color="auto"/>
              <w:left w:val="single" w:sz="4" w:space="0" w:color="auto"/>
              <w:bottom w:val="single" w:sz="4" w:space="0" w:color="auto"/>
              <w:right w:val="single" w:sz="4" w:space="0" w:color="auto"/>
            </w:tcBorders>
          </w:tcPr>
          <w:p w:rsidR="005B20FF" w:rsidRPr="005B20FF" w:rsidRDefault="005B20FF" w:rsidP="001617B4">
            <w:pPr>
              <w:pStyle w:val="FootnoteText"/>
              <w:rPr>
                <w:rFonts w:asciiTheme="minorHAnsi" w:hAnsiTheme="minorHAnsi" w:cstheme="minorHAnsi"/>
                <w:sz w:val="18"/>
                <w:szCs w:val="18"/>
                <w:lang w:val="en-US"/>
              </w:rPr>
            </w:pPr>
            <w:r w:rsidRPr="002C7A7D">
              <w:rPr>
                <w:sz w:val="18"/>
                <w:szCs w:val="18"/>
              </w:rPr>
              <w:t xml:space="preserve">Estudio preparado y revisado. </w:t>
            </w:r>
          </w:p>
        </w:tc>
        <w:tc>
          <w:tcPr>
            <w:tcW w:w="2533" w:type="dxa"/>
            <w:tcBorders>
              <w:top w:val="single" w:sz="4" w:space="0" w:color="auto"/>
              <w:left w:val="single" w:sz="4" w:space="0" w:color="auto"/>
              <w:bottom w:val="single" w:sz="4" w:space="0" w:color="auto"/>
              <w:right w:val="single" w:sz="4" w:space="0" w:color="auto"/>
            </w:tcBorders>
          </w:tcPr>
          <w:p w:rsidR="005B20FF" w:rsidRPr="002C7A7D" w:rsidRDefault="005B20FF" w:rsidP="001617B4">
            <w:pPr>
              <w:rPr>
                <w:rFonts w:asciiTheme="minorHAnsi" w:hAnsiTheme="minorHAnsi" w:cstheme="minorHAnsi"/>
                <w:sz w:val="18"/>
                <w:szCs w:val="18"/>
                <w:lang w:val="es-MX"/>
              </w:rPr>
            </w:pPr>
            <w:r w:rsidRPr="002C7A7D">
              <w:rPr>
                <w:sz w:val="18"/>
                <w:szCs w:val="18"/>
              </w:rPr>
              <w:t>Número de comentarios y sugerencias de las áreas técnicas.</w:t>
            </w:r>
          </w:p>
        </w:tc>
        <w:tc>
          <w:tcPr>
            <w:tcW w:w="2428" w:type="dxa"/>
            <w:tcBorders>
              <w:top w:val="single" w:sz="4" w:space="0" w:color="auto"/>
              <w:left w:val="single" w:sz="4" w:space="0" w:color="auto"/>
              <w:bottom w:val="single" w:sz="4" w:space="0" w:color="auto"/>
              <w:right w:val="single" w:sz="4" w:space="0" w:color="auto"/>
            </w:tcBorders>
          </w:tcPr>
          <w:p w:rsidR="005B20FF" w:rsidRPr="002C7A7D" w:rsidRDefault="005B20FF" w:rsidP="001617B4">
            <w:pPr>
              <w:rPr>
                <w:rFonts w:asciiTheme="minorHAnsi" w:hAnsiTheme="minorHAnsi" w:cstheme="minorHAnsi"/>
                <w:sz w:val="18"/>
                <w:szCs w:val="18"/>
                <w:lang w:val="es-MX"/>
              </w:rPr>
            </w:pPr>
          </w:p>
        </w:tc>
      </w:tr>
      <w:tr w:rsidR="0045738A" w:rsidRPr="0045738A" w:rsidTr="001617B4">
        <w:trPr>
          <w:cantSplit/>
          <w:trHeight w:val="429"/>
        </w:trPr>
        <w:tc>
          <w:tcPr>
            <w:tcW w:w="3543" w:type="dxa"/>
            <w:tcBorders>
              <w:top w:val="single" w:sz="4" w:space="0" w:color="auto"/>
              <w:left w:val="single" w:sz="4" w:space="0" w:color="auto"/>
              <w:bottom w:val="single" w:sz="4" w:space="0" w:color="auto"/>
              <w:right w:val="single" w:sz="4" w:space="0" w:color="auto"/>
            </w:tcBorders>
          </w:tcPr>
          <w:p w:rsidR="0045738A" w:rsidRPr="002C7A7D" w:rsidRDefault="0045738A" w:rsidP="005B20FF">
            <w:pPr>
              <w:rPr>
                <w:rFonts w:asciiTheme="minorHAnsi" w:hAnsiTheme="minorHAnsi" w:cstheme="minorHAnsi"/>
                <w:b/>
                <w:bCs/>
                <w:sz w:val="18"/>
                <w:szCs w:val="18"/>
                <w:lang w:val="en-US"/>
              </w:rPr>
            </w:pPr>
            <w:r w:rsidRPr="002C7A7D">
              <w:rPr>
                <w:rFonts w:asciiTheme="minorHAnsi" w:hAnsiTheme="minorHAnsi" w:cstheme="minorHAnsi"/>
                <w:bCs/>
                <w:sz w:val="18"/>
                <w:szCs w:val="18"/>
                <w:lang w:val="en-US"/>
              </w:rPr>
              <w:t xml:space="preserve">7.5 </w:t>
            </w:r>
            <w:proofErr w:type="spellStart"/>
            <w:r w:rsidR="005B20FF">
              <w:rPr>
                <w:rFonts w:asciiTheme="minorHAnsi" w:hAnsiTheme="minorHAnsi" w:cstheme="minorHAnsi"/>
                <w:bCs/>
                <w:sz w:val="18"/>
                <w:szCs w:val="18"/>
                <w:lang w:val="en-US"/>
              </w:rPr>
              <w:t>Documento</w:t>
            </w:r>
            <w:proofErr w:type="spellEnd"/>
            <w:r w:rsidR="005B20FF">
              <w:rPr>
                <w:rFonts w:asciiTheme="minorHAnsi" w:hAnsiTheme="minorHAnsi" w:cstheme="minorHAnsi"/>
                <w:bCs/>
                <w:sz w:val="18"/>
                <w:szCs w:val="18"/>
                <w:lang w:val="en-US"/>
              </w:rPr>
              <w:t xml:space="preserve"> Final </w:t>
            </w:r>
          </w:p>
        </w:tc>
        <w:tc>
          <w:tcPr>
            <w:tcW w:w="3261" w:type="dxa"/>
            <w:tcBorders>
              <w:top w:val="single" w:sz="4" w:space="0" w:color="auto"/>
              <w:left w:val="single" w:sz="4" w:space="0" w:color="auto"/>
              <w:bottom w:val="single" w:sz="4" w:space="0" w:color="auto"/>
              <w:right w:val="single" w:sz="4" w:space="0" w:color="auto"/>
            </w:tcBorders>
          </w:tcPr>
          <w:p w:rsidR="0045738A" w:rsidRPr="002C7A7D" w:rsidRDefault="005B20FF" w:rsidP="005B20FF">
            <w:pPr>
              <w:pStyle w:val="FootnoteText"/>
              <w:rPr>
                <w:rFonts w:asciiTheme="minorHAnsi" w:hAnsiTheme="minorHAnsi" w:cstheme="minorHAnsi"/>
                <w:sz w:val="18"/>
                <w:szCs w:val="18"/>
                <w:lang w:val="es-MX"/>
              </w:rPr>
            </w:pPr>
            <w:r w:rsidRPr="002C7A7D">
              <w:rPr>
                <w:rFonts w:asciiTheme="minorHAnsi" w:hAnsiTheme="minorHAnsi" w:cstheme="minorHAnsi"/>
                <w:sz w:val="18"/>
                <w:szCs w:val="18"/>
                <w:lang w:val="es-MX"/>
              </w:rPr>
              <w:t xml:space="preserve">Compilación de la lista de chequeo y análisis por sector </w:t>
            </w:r>
            <w:r>
              <w:rPr>
                <w:rFonts w:asciiTheme="minorHAnsi" w:hAnsiTheme="minorHAnsi" w:cstheme="minorHAnsi"/>
                <w:sz w:val="18"/>
                <w:szCs w:val="18"/>
                <w:lang w:val="es-MX"/>
              </w:rPr>
              <w:t xml:space="preserve">disponible. </w:t>
            </w:r>
          </w:p>
        </w:tc>
        <w:tc>
          <w:tcPr>
            <w:tcW w:w="2533" w:type="dxa"/>
            <w:tcBorders>
              <w:top w:val="single" w:sz="4" w:space="0" w:color="auto"/>
              <w:left w:val="single" w:sz="4" w:space="0" w:color="auto"/>
              <w:bottom w:val="single" w:sz="4" w:space="0" w:color="auto"/>
              <w:right w:val="single" w:sz="4" w:space="0" w:color="auto"/>
            </w:tcBorders>
          </w:tcPr>
          <w:p w:rsidR="0045738A" w:rsidRPr="0045738A" w:rsidRDefault="005B20FF" w:rsidP="001617B4">
            <w:pPr>
              <w:rPr>
                <w:rFonts w:asciiTheme="minorHAnsi" w:hAnsiTheme="minorHAnsi" w:cstheme="minorHAnsi"/>
                <w:sz w:val="18"/>
                <w:szCs w:val="18"/>
                <w:lang w:val="en-US"/>
              </w:rPr>
            </w:pPr>
            <w:proofErr w:type="spellStart"/>
            <w:r>
              <w:rPr>
                <w:rFonts w:asciiTheme="minorHAnsi" w:hAnsiTheme="minorHAnsi" w:cstheme="minorHAnsi"/>
                <w:sz w:val="18"/>
                <w:szCs w:val="18"/>
                <w:lang w:val="en-US"/>
              </w:rPr>
              <w:t>Documento</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publicado</w:t>
            </w:r>
            <w:proofErr w:type="spellEnd"/>
            <w:r>
              <w:rPr>
                <w:rFonts w:asciiTheme="minorHAnsi" w:hAnsiTheme="minorHAnsi" w:cstheme="minorHAnsi"/>
                <w:sz w:val="18"/>
                <w:szCs w:val="18"/>
                <w:lang w:val="en-US"/>
              </w:rPr>
              <w:t>.</w:t>
            </w:r>
          </w:p>
        </w:tc>
        <w:tc>
          <w:tcPr>
            <w:tcW w:w="2428" w:type="dxa"/>
            <w:tcBorders>
              <w:top w:val="single" w:sz="4" w:space="0" w:color="auto"/>
              <w:left w:val="single" w:sz="4" w:space="0" w:color="auto"/>
              <w:bottom w:val="single" w:sz="4" w:space="0" w:color="auto"/>
              <w:right w:val="single" w:sz="4" w:space="0" w:color="auto"/>
            </w:tcBorders>
          </w:tcPr>
          <w:p w:rsidR="0045738A" w:rsidRPr="0045738A" w:rsidRDefault="0045738A" w:rsidP="001617B4">
            <w:pPr>
              <w:rPr>
                <w:rFonts w:asciiTheme="minorHAnsi" w:hAnsiTheme="minorHAnsi" w:cstheme="minorHAnsi"/>
                <w:sz w:val="18"/>
                <w:szCs w:val="18"/>
                <w:lang w:val="en-US"/>
              </w:rPr>
            </w:pPr>
          </w:p>
        </w:tc>
      </w:tr>
    </w:tbl>
    <w:p w:rsidR="00F91564" w:rsidRDefault="00F91564" w:rsidP="009A657A">
      <w:pPr>
        <w:jc w:val="both"/>
        <w:rPr>
          <w:sz w:val="24"/>
        </w:rPr>
      </w:pPr>
    </w:p>
    <w:p w:rsidR="00F62296" w:rsidRDefault="00F62296" w:rsidP="009A657A">
      <w:pPr>
        <w:jc w:val="both"/>
        <w:rPr>
          <w:sz w:val="24"/>
        </w:rPr>
        <w:sectPr w:rsidR="00F62296" w:rsidSect="00F62296">
          <w:headerReference w:type="default" r:id="rId34"/>
          <w:footerReference w:type="default" r:id="rId35"/>
          <w:pgSz w:w="15840" w:h="12240" w:orient="landscape" w:code="1"/>
          <w:pgMar w:top="1701" w:right="1417" w:bottom="1701" w:left="1417" w:header="708" w:footer="708" w:gutter="0"/>
          <w:pgNumType w:start="1"/>
          <w:cols w:space="708"/>
          <w:docGrid w:linePitch="360"/>
        </w:sectPr>
      </w:pPr>
    </w:p>
    <w:p w:rsidR="00F91564" w:rsidRPr="00932396" w:rsidRDefault="00F91564" w:rsidP="00F62296">
      <w:pPr>
        <w:jc w:val="both"/>
        <w:rPr>
          <w:sz w:val="24"/>
        </w:rPr>
      </w:pPr>
    </w:p>
    <w:sectPr w:rsidR="00F91564" w:rsidRPr="00932396" w:rsidSect="008F132F">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8E" w:rsidRDefault="00AF298E">
      <w:pPr>
        <w:spacing w:after="0" w:line="240" w:lineRule="auto"/>
      </w:pPr>
      <w:r>
        <w:separator/>
      </w:r>
    </w:p>
  </w:endnote>
  <w:endnote w:type="continuationSeparator" w:id="0">
    <w:p w:rsidR="00AF298E" w:rsidRDefault="00AF2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67" w:rsidRDefault="00840067">
    <w:pPr>
      <w:pStyle w:val="Footer"/>
      <w:jc w:val="center"/>
    </w:pPr>
  </w:p>
  <w:p w:rsidR="00840067" w:rsidRDefault="00840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67" w:rsidRDefault="00840067">
    <w:pPr>
      <w:pStyle w:val="Footer"/>
      <w:jc w:val="center"/>
    </w:pPr>
  </w:p>
  <w:p w:rsidR="00840067" w:rsidRDefault="008400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563917"/>
      <w:docPartObj>
        <w:docPartGallery w:val="Page Numbers (Bottom of Page)"/>
        <w:docPartUnique/>
      </w:docPartObj>
    </w:sdtPr>
    <w:sdtEndPr>
      <w:rPr>
        <w:noProof/>
      </w:rPr>
    </w:sdtEndPr>
    <w:sdtContent>
      <w:p w:rsidR="00840067" w:rsidRDefault="000516D4">
        <w:pPr>
          <w:pStyle w:val="Footer"/>
          <w:jc w:val="center"/>
        </w:pPr>
        <w:r>
          <w:fldChar w:fldCharType="begin"/>
        </w:r>
        <w:r w:rsidR="00840067">
          <w:instrText xml:space="preserve"> PAGE   \* MERGEFORMAT </w:instrText>
        </w:r>
        <w:r>
          <w:fldChar w:fldCharType="separate"/>
        </w:r>
        <w:r w:rsidR="002D2A83">
          <w:rPr>
            <w:noProof/>
          </w:rPr>
          <w:t>v</w:t>
        </w:r>
        <w:r>
          <w:rPr>
            <w:noProof/>
          </w:rPr>
          <w:fldChar w:fldCharType="end"/>
        </w:r>
      </w:p>
    </w:sdtContent>
  </w:sdt>
  <w:p w:rsidR="00840067" w:rsidRDefault="0084006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299741"/>
      <w:docPartObj>
        <w:docPartGallery w:val="Page Numbers (Bottom of Page)"/>
        <w:docPartUnique/>
      </w:docPartObj>
    </w:sdtPr>
    <w:sdtEndPr>
      <w:rPr>
        <w:noProof/>
      </w:rPr>
    </w:sdtEndPr>
    <w:sdtContent>
      <w:p w:rsidR="00840067" w:rsidRDefault="000516D4">
        <w:pPr>
          <w:pStyle w:val="Footer"/>
          <w:jc w:val="center"/>
        </w:pPr>
        <w:r>
          <w:fldChar w:fldCharType="begin"/>
        </w:r>
        <w:r w:rsidR="00840067">
          <w:instrText xml:space="preserve"> PAGE   \* MERGEFORMAT </w:instrText>
        </w:r>
        <w:r>
          <w:fldChar w:fldCharType="separate"/>
        </w:r>
        <w:r w:rsidR="002D2A83">
          <w:rPr>
            <w:noProof/>
          </w:rPr>
          <w:t>37</w:t>
        </w:r>
        <w:r>
          <w:rPr>
            <w:noProof/>
          </w:rPr>
          <w:fldChar w:fldCharType="end"/>
        </w:r>
      </w:p>
    </w:sdtContent>
  </w:sdt>
  <w:p w:rsidR="00840067" w:rsidRDefault="0084006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67" w:rsidRDefault="00840067">
    <w:pPr>
      <w:pStyle w:val="Footer"/>
      <w:jc w:val="center"/>
    </w:pPr>
  </w:p>
  <w:p w:rsidR="00840067" w:rsidRDefault="0084006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67" w:rsidRDefault="00840067">
    <w:pPr>
      <w:pStyle w:val="Footer"/>
      <w:jc w:val="center"/>
    </w:pPr>
  </w:p>
  <w:p w:rsidR="00840067" w:rsidRDefault="0084006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67" w:rsidRDefault="00840067">
    <w:pPr>
      <w:pStyle w:val="Footer"/>
      <w:jc w:val="center"/>
    </w:pPr>
  </w:p>
  <w:p w:rsidR="00840067" w:rsidRDefault="0084006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945031"/>
      <w:docPartObj>
        <w:docPartGallery w:val="Page Numbers (Bottom of Page)"/>
        <w:docPartUnique/>
      </w:docPartObj>
    </w:sdtPr>
    <w:sdtEndPr>
      <w:rPr>
        <w:noProof/>
      </w:rPr>
    </w:sdtEndPr>
    <w:sdtContent>
      <w:p w:rsidR="00840067" w:rsidRDefault="000516D4">
        <w:pPr>
          <w:pStyle w:val="Footer"/>
          <w:jc w:val="center"/>
        </w:pPr>
        <w:r>
          <w:fldChar w:fldCharType="begin"/>
        </w:r>
        <w:r w:rsidR="00840067">
          <w:instrText xml:space="preserve"> PAGE   \* MERGEFORMAT </w:instrText>
        </w:r>
        <w:r>
          <w:fldChar w:fldCharType="separate"/>
        </w:r>
        <w:r w:rsidR="002D2A83">
          <w:rPr>
            <w:noProof/>
          </w:rPr>
          <w:t>8</w:t>
        </w:r>
        <w:r>
          <w:rPr>
            <w:noProof/>
          </w:rPr>
          <w:fldChar w:fldCharType="end"/>
        </w:r>
      </w:p>
    </w:sdtContent>
  </w:sdt>
  <w:p w:rsidR="00840067" w:rsidRDefault="00840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8E" w:rsidRDefault="00AF298E">
      <w:pPr>
        <w:spacing w:after="0" w:line="240" w:lineRule="auto"/>
      </w:pPr>
      <w:r>
        <w:separator/>
      </w:r>
    </w:p>
  </w:footnote>
  <w:footnote w:type="continuationSeparator" w:id="0">
    <w:p w:rsidR="00AF298E" w:rsidRDefault="00AF298E">
      <w:pPr>
        <w:spacing w:after="0" w:line="240" w:lineRule="auto"/>
      </w:pPr>
      <w:r>
        <w:continuationSeparator/>
      </w:r>
    </w:p>
  </w:footnote>
  <w:footnote w:id="1">
    <w:p w:rsidR="00840067" w:rsidRPr="00547B09" w:rsidRDefault="00840067" w:rsidP="007F460E">
      <w:pPr>
        <w:pStyle w:val="FootnoteText"/>
        <w:tabs>
          <w:tab w:val="left" w:pos="-426"/>
        </w:tabs>
        <w:ind w:left="142" w:hanging="142"/>
        <w:rPr>
          <w:i/>
          <w:sz w:val="18"/>
        </w:rPr>
      </w:pPr>
      <w:r w:rsidRPr="00547B09">
        <w:rPr>
          <w:rStyle w:val="FootnoteReference"/>
          <w:i/>
          <w:sz w:val="18"/>
        </w:rPr>
        <w:footnoteRef/>
      </w:r>
      <w:r w:rsidRPr="00547B09">
        <w:rPr>
          <w:i/>
          <w:sz w:val="18"/>
        </w:rPr>
        <w:t xml:space="preserve"> Se estima que el daño a la economía para México, sería de entre 3.5 y 4.2% del PIB al 2050. </w:t>
      </w:r>
      <w:r>
        <w:rPr>
          <w:i/>
          <w:sz w:val="18"/>
        </w:rPr>
        <w:t>Fuente: “Política Ambiental de México”, presentación SEMARNAT, 2010.</w:t>
      </w:r>
    </w:p>
  </w:footnote>
  <w:footnote w:id="2">
    <w:p w:rsidR="00840067" w:rsidRPr="002705EA" w:rsidRDefault="00840067" w:rsidP="008E65E9">
      <w:pPr>
        <w:pStyle w:val="FootnoteText"/>
        <w:rPr>
          <w:i/>
          <w:sz w:val="18"/>
          <w:lang w:val="es-ES"/>
        </w:rPr>
      </w:pPr>
      <w:r w:rsidRPr="002705EA">
        <w:rPr>
          <w:rStyle w:val="FootnoteReference"/>
          <w:i/>
          <w:sz w:val="18"/>
        </w:rPr>
        <w:footnoteRef/>
      </w:r>
      <w:r w:rsidRPr="002705EA">
        <w:rPr>
          <w:i/>
          <w:sz w:val="18"/>
        </w:rPr>
        <w:t xml:space="preserve"> Ver “</w:t>
      </w:r>
      <w:r>
        <w:rPr>
          <w:i/>
          <w:sz w:val="18"/>
        </w:rPr>
        <w:t>Informe Anual del Proyecto</w:t>
      </w:r>
      <w:r w:rsidRPr="002705EA">
        <w:rPr>
          <w:i/>
          <w:sz w:val="18"/>
        </w:rPr>
        <w:t xml:space="preserve"> (IAP)” para </w:t>
      </w:r>
      <w:r>
        <w:rPr>
          <w:i/>
          <w:sz w:val="18"/>
        </w:rPr>
        <w:t xml:space="preserve">el </w:t>
      </w:r>
      <w:r w:rsidRPr="002705EA">
        <w:rPr>
          <w:i/>
          <w:sz w:val="18"/>
        </w:rPr>
        <w:t>año 2004</w:t>
      </w:r>
    </w:p>
  </w:footnote>
  <w:footnote w:id="3">
    <w:p w:rsidR="00840067" w:rsidRPr="002705EA" w:rsidRDefault="00840067" w:rsidP="002705EA">
      <w:pPr>
        <w:pStyle w:val="FootnoteText"/>
        <w:ind w:left="142" w:hanging="142"/>
        <w:jc w:val="both"/>
        <w:rPr>
          <w:i/>
          <w:sz w:val="18"/>
          <w:szCs w:val="18"/>
          <w:lang w:val="en-US"/>
        </w:rPr>
      </w:pPr>
      <w:r w:rsidRPr="002705EA">
        <w:rPr>
          <w:rStyle w:val="FootnoteReference"/>
          <w:i/>
          <w:sz w:val="18"/>
          <w:szCs w:val="18"/>
        </w:rPr>
        <w:footnoteRef/>
      </w:r>
      <w:r w:rsidRPr="00E26F74">
        <w:rPr>
          <w:i/>
          <w:sz w:val="18"/>
          <w:szCs w:val="18"/>
          <w:lang w:val="en-US"/>
        </w:rPr>
        <w:t xml:space="preserve"> </w:t>
      </w:r>
      <w:proofErr w:type="gramStart"/>
      <w:r w:rsidRPr="00E26F74">
        <w:rPr>
          <w:i/>
          <w:sz w:val="18"/>
          <w:szCs w:val="18"/>
          <w:lang w:val="en-US"/>
        </w:rPr>
        <w:t>United Nations Development Programme.</w:t>
      </w:r>
      <w:proofErr w:type="gramEnd"/>
      <w:r w:rsidRPr="00E26F74">
        <w:rPr>
          <w:i/>
          <w:sz w:val="18"/>
          <w:szCs w:val="18"/>
          <w:lang w:val="en-US"/>
        </w:rPr>
        <w:t xml:space="preserve"> </w:t>
      </w:r>
      <w:proofErr w:type="gramStart"/>
      <w:r w:rsidRPr="002705EA">
        <w:rPr>
          <w:i/>
          <w:sz w:val="18"/>
          <w:szCs w:val="18"/>
          <w:lang w:val="en-US"/>
        </w:rPr>
        <w:t>Project of the Government of Mexico.</w:t>
      </w:r>
      <w:proofErr w:type="gramEnd"/>
      <w:r w:rsidRPr="002705EA">
        <w:rPr>
          <w:i/>
          <w:sz w:val="18"/>
          <w:szCs w:val="18"/>
          <w:lang w:val="en-US"/>
        </w:rPr>
        <w:t xml:space="preserve"> Project Number: MEX/01/G35. Strategic Planning and Design for the Environmental Protection and Sustainable Development of Mexico.</w:t>
      </w:r>
    </w:p>
  </w:footnote>
  <w:footnote w:id="4">
    <w:p w:rsidR="00840067" w:rsidRPr="00A4135F" w:rsidRDefault="00840067" w:rsidP="002705EA">
      <w:pPr>
        <w:pStyle w:val="FootnoteText"/>
        <w:ind w:left="142" w:hanging="142"/>
        <w:jc w:val="both"/>
      </w:pPr>
      <w:r>
        <w:rPr>
          <w:rStyle w:val="FootnoteReference"/>
        </w:rPr>
        <w:footnoteRef/>
      </w:r>
      <w:r>
        <w:t xml:space="preserve"> </w:t>
      </w:r>
      <w:r w:rsidRPr="002705EA">
        <w:rPr>
          <w:i/>
          <w:sz w:val="16"/>
        </w:rPr>
        <w:t>Durante el período de ejecución se registraron 17 cambios de autoridades ambientales de alto nivel de decisión relacionadas con el Proyecto</w:t>
      </w:r>
    </w:p>
  </w:footnote>
  <w:footnote w:id="5">
    <w:p w:rsidR="00840067" w:rsidRPr="00BC2B85" w:rsidRDefault="00840067">
      <w:pPr>
        <w:pStyle w:val="FootnoteText"/>
        <w:rPr>
          <w:i/>
          <w:sz w:val="18"/>
          <w:lang w:val="en-US"/>
        </w:rPr>
      </w:pPr>
      <w:r w:rsidRPr="00BC2B85">
        <w:rPr>
          <w:rStyle w:val="FootnoteReference"/>
          <w:i/>
          <w:sz w:val="18"/>
        </w:rPr>
        <w:footnoteRef/>
      </w:r>
      <w:r w:rsidRPr="00BC2B85">
        <w:rPr>
          <w:i/>
          <w:sz w:val="18"/>
          <w:lang w:val="en-US"/>
        </w:rPr>
        <w:t xml:space="preserve"> </w:t>
      </w:r>
      <w:proofErr w:type="spellStart"/>
      <w:r w:rsidRPr="00BC2B85">
        <w:rPr>
          <w:i/>
          <w:sz w:val="18"/>
          <w:lang w:val="en-US"/>
        </w:rPr>
        <w:t>Elaboración</w:t>
      </w:r>
      <w:proofErr w:type="spellEnd"/>
      <w:r w:rsidRPr="00BC2B85">
        <w:rPr>
          <w:i/>
          <w:sz w:val="18"/>
          <w:lang w:val="en-US"/>
        </w:rPr>
        <w:t xml:space="preserve"> </w:t>
      </w:r>
      <w:proofErr w:type="spellStart"/>
      <w:r w:rsidRPr="00BC2B85">
        <w:rPr>
          <w:i/>
          <w:sz w:val="18"/>
          <w:lang w:val="en-US"/>
        </w:rPr>
        <w:t>propia</w:t>
      </w:r>
      <w:proofErr w:type="spellEnd"/>
      <w:r w:rsidRPr="00BC2B85">
        <w:rPr>
          <w:i/>
          <w:sz w:val="18"/>
          <w:lang w:val="en-US"/>
        </w:rPr>
        <w:t xml:space="preserve">, </w:t>
      </w:r>
      <w:proofErr w:type="spellStart"/>
      <w:r w:rsidRPr="00BC2B85">
        <w:rPr>
          <w:i/>
          <w:sz w:val="18"/>
          <w:lang w:val="en-US"/>
        </w:rPr>
        <w:t>Fuente</w:t>
      </w:r>
      <w:proofErr w:type="spellEnd"/>
      <w:r w:rsidRPr="00BC2B85">
        <w:rPr>
          <w:i/>
          <w:sz w:val="18"/>
          <w:lang w:val="en-US"/>
        </w:rPr>
        <w:t>: UNDP, Combined Delivery Report by Activity with Encumbrance, 2003-2011.</w:t>
      </w:r>
    </w:p>
  </w:footnote>
  <w:footnote w:id="6">
    <w:p w:rsidR="00840067" w:rsidRPr="00BC2B85" w:rsidRDefault="00840067">
      <w:pPr>
        <w:pStyle w:val="FootnoteText"/>
        <w:rPr>
          <w:i/>
          <w:sz w:val="18"/>
          <w:lang w:val="en-US"/>
        </w:rPr>
      </w:pPr>
      <w:r w:rsidRPr="00BC2B85">
        <w:rPr>
          <w:rStyle w:val="FootnoteReference"/>
          <w:i/>
          <w:sz w:val="18"/>
        </w:rPr>
        <w:footnoteRef/>
      </w:r>
      <w:r w:rsidRPr="00BC2B85">
        <w:rPr>
          <w:i/>
          <w:sz w:val="18"/>
          <w:lang w:val="en-US"/>
        </w:rPr>
        <w:t xml:space="preserve"> </w:t>
      </w:r>
      <w:r>
        <w:rPr>
          <w:i/>
          <w:sz w:val="18"/>
          <w:lang w:val="en-US"/>
        </w:rPr>
        <w:t xml:space="preserve">Fuente : </w:t>
      </w:r>
      <w:r w:rsidRPr="00BC2B85">
        <w:rPr>
          <w:i/>
          <w:sz w:val="18"/>
          <w:lang w:val="en-US"/>
        </w:rPr>
        <w:t>UN</w:t>
      </w:r>
      <w:r>
        <w:rPr>
          <w:i/>
          <w:sz w:val="18"/>
          <w:lang w:val="en-US"/>
        </w:rPr>
        <w:t>DP</w:t>
      </w:r>
      <w:r w:rsidRPr="00BC2B85">
        <w:rPr>
          <w:i/>
          <w:sz w:val="18"/>
          <w:lang w:val="en-US"/>
        </w:rPr>
        <w:t xml:space="preserve"> Combined Delivery Report by Activity with Encumbrance, 2004-2011</w:t>
      </w:r>
    </w:p>
  </w:footnote>
  <w:footnote w:id="7">
    <w:p w:rsidR="00840067" w:rsidRPr="00BC2B85" w:rsidRDefault="00840067">
      <w:pPr>
        <w:pStyle w:val="FootnoteText"/>
        <w:rPr>
          <w:i/>
          <w:sz w:val="18"/>
          <w:lang w:val="en-US"/>
        </w:rPr>
      </w:pPr>
      <w:r w:rsidRPr="00BC2B85">
        <w:rPr>
          <w:rStyle w:val="FootnoteReference"/>
          <w:i/>
          <w:sz w:val="18"/>
        </w:rPr>
        <w:footnoteRef/>
      </w:r>
      <w:r w:rsidRPr="00BC2B85">
        <w:rPr>
          <w:i/>
          <w:sz w:val="18"/>
          <w:lang w:val="en-US"/>
        </w:rPr>
        <w:t xml:space="preserve"> Fuente: Project Implementation Re</w:t>
      </w:r>
      <w:r>
        <w:rPr>
          <w:i/>
          <w:sz w:val="18"/>
          <w:lang w:val="en-US"/>
        </w:rPr>
        <w:t>ports</w:t>
      </w:r>
      <w:r w:rsidRPr="00BC2B85">
        <w:rPr>
          <w:i/>
          <w:sz w:val="18"/>
          <w:lang w:val="en-US"/>
        </w:rPr>
        <w:t xml:space="preserve"> (PIR)</w:t>
      </w:r>
    </w:p>
  </w:footnote>
  <w:footnote w:id="8">
    <w:p w:rsidR="00840067" w:rsidRPr="00E022B2" w:rsidRDefault="00840067" w:rsidP="003E5BB0">
      <w:pPr>
        <w:pStyle w:val="FootnoteText"/>
        <w:ind w:left="284" w:hanging="284"/>
        <w:jc w:val="both"/>
        <w:rPr>
          <w:lang w:val="es-ES"/>
        </w:rPr>
      </w:pPr>
      <w:r>
        <w:rPr>
          <w:rStyle w:val="FootnoteReference"/>
        </w:rPr>
        <w:footnoteRef/>
      </w:r>
      <w:r>
        <w:t xml:space="preserve">  </w:t>
      </w:r>
      <w:r w:rsidRPr="00E022B2">
        <w:rPr>
          <w:i/>
          <w:sz w:val="18"/>
        </w:rPr>
        <w:t xml:space="preserve">Ver Informe de Evaluación de Resultados del Proyecto “Programa Ambiental de la Frontera Norte” (Préstamo No.  </w:t>
      </w:r>
      <w:r w:rsidRPr="00BC2B85">
        <w:rPr>
          <w:i/>
          <w:sz w:val="18"/>
          <w:szCs w:val="18"/>
        </w:rPr>
        <w:t>3750); “Préstamo de Ajuste Estructural Ambiental “(Préstamo No.  7136), Banco Mundial, 11  de julio de 2005. Este proyecto se ejecutó entre 2002-2003 y tuvo un monto de US$ 200 millones.</w:t>
      </w:r>
    </w:p>
  </w:footnote>
  <w:footnote w:id="9">
    <w:p w:rsidR="00840067" w:rsidRPr="002705EA" w:rsidRDefault="00840067" w:rsidP="002705EA">
      <w:pPr>
        <w:pStyle w:val="FootnoteText"/>
        <w:ind w:left="142" w:hanging="142"/>
        <w:jc w:val="both"/>
        <w:rPr>
          <w:sz w:val="18"/>
          <w:szCs w:val="18"/>
          <w:lang w:val="es-ES"/>
        </w:rPr>
      </w:pPr>
      <w:r w:rsidRPr="002705EA">
        <w:rPr>
          <w:rStyle w:val="FootnoteReference"/>
          <w:sz w:val="18"/>
          <w:szCs w:val="18"/>
        </w:rPr>
        <w:footnoteRef/>
      </w:r>
      <w:r w:rsidRPr="002705EA">
        <w:rPr>
          <w:sz w:val="18"/>
          <w:szCs w:val="18"/>
        </w:rPr>
        <w:t xml:space="preserve"> </w:t>
      </w:r>
      <w:r w:rsidRPr="002705EA">
        <w:rPr>
          <w:sz w:val="18"/>
          <w:szCs w:val="18"/>
          <w:lang w:val="es-ES"/>
        </w:rPr>
        <w:t xml:space="preserve">Se comprometieron recursos de </w:t>
      </w:r>
      <w:r>
        <w:rPr>
          <w:sz w:val="18"/>
          <w:szCs w:val="18"/>
          <w:lang w:val="es-ES"/>
        </w:rPr>
        <w:t>SEMARNAT</w:t>
      </w:r>
      <w:r w:rsidRPr="002705EA">
        <w:rPr>
          <w:sz w:val="18"/>
          <w:szCs w:val="18"/>
          <w:lang w:val="es-ES"/>
        </w:rPr>
        <w:t xml:space="preserve">,  el Reino Unido y BID. También el programa de Cambio Climático 2009-2012 fue financiado por </w:t>
      </w:r>
      <w:r>
        <w:rPr>
          <w:sz w:val="18"/>
          <w:szCs w:val="18"/>
          <w:lang w:val="es-ES"/>
        </w:rPr>
        <w:t>SEMARNAT</w:t>
      </w:r>
      <w:r w:rsidRPr="002705EA">
        <w:rPr>
          <w:sz w:val="18"/>
          <w:szCs w:val="18"/>
          <w:lang w:val="es-ES"/>
        </w:rPr>
        <w:t xml:space="preserve">. Las comunicaciones nacionales son apoyadas por la </w:t>
      </w:r>
      <w:r>
        <w:rPr>
          <w:sz w:val="18"/>
          <w:szCs w:val="18"/>
          <w:lang w:val="es-ES"/>
        </w:rPr>
        <w:t>C</w:t>
      </w:r>
      <w:r w:rsidRPr="002705EA">
        <w:rPr>
          <w:sz w:val="18"/>
          <w:szCs w:val="18"/>
          <w:lang w:val="es-ES"/>
        </w:rPr>
        <w:t xml:space="preserve">onvención de </w:t>
      </w:r>
      <w:r>
        <w:rPr>
          <w:sz w:val="18"/>
          <w:szCs w:val="18"/>
          <w:lang w:val="es-ES"/>
        </w:rPr>
        <w:t>C</w:t>
      </w:r>
      <w:r w:rsidRPr="002705EA">
        <w:rPr>
          <w:sz w:val="18"/>
          <w:szCs w:val="18"/>
          <w:lang w:val="es-ES"/>
        </w:rPr>
        <w:t xml:space="preserve">ambio </w:t>
      </w:r>
      <w:r>
        <w:rPr>
          <w:sz w:val="18"/>
          <w:szCs w:val="18"/>
          <w:lang w:val="es-ES"/>
        </w:rPr>
        <w:t>C</w:t>
      </w:r>
      <w:r w:rsidRPr="002705EA">
        <w:rPr>
          <w:sz w:val="18"/>
          <w:szCs w:val="18"/>
          <w:lang w:val="es-ES"/>
        </w:rPr>
        <w:t>limático y los p</w:t>
      </w:r>
      <w:r>
        <w:rPr>
          <w:sz w:val="18"/>
          <w:szCs w:val="18"/>
          <w:lang w:val="es-ES"/>
        </w:rPr>
        <w:t>rogramas</w:t>
      </w:r>
      <w:r w:rsidRPr="002705EA">
        <w:rPr>
          <w:sz w:val="18"/>
          <w:szCs w:val="18"/>
          <w:lang w:val="es-ES"/>
        </w:rPr>
        <w:t xml:space="preserve"> estatales de adaptación y mitigación se realizan con fondos federales. </w:t>
      </w:r>
    </w:p>
  </w:footnote>
  <w:footnote w:id="10">
    <w:p w:rsidR="00840067" w:rsidRPr="002705EA" w:rsidRDefault="00840067" w:rsidP="002705EA">
      <w:pPr>
        <w:pStyle w:val="FootnoteText"/>
        <w:ind w:left="142" w:hanging="142"/>
        <w:jc w:val="both"/>
        <w:rPr>
          <w:sz w:val="18"/>
          <w:szCs w:val="18"/>
          <w:lang w:val="es-ES"/>
        </w:rPr>
      </w:pPr>
      <w:r w:rsidRPr="002705EA">
        <w:rPr>
          <w:rStyle w:val="FootnoteReference"/>
          <w:sz w:val="18"/>
          <w:szCs w:val="18"/>
        </w:rPr>
        <w:footnoteRef/>
      </w:r>
      <w:r w:rsidRPr="002705EA">
        <w:rPr>
          <w:sz w:val="18"/>
          <w:szCs w:val="18"/>
        </w:rPr>
        <w:t xml:space="preserve"> </w:t>
      </w:r>
      <w:r w:rsidRPr="002705EA">
        <w:rPr>
          <w:sz w:val="18"/>
          <w:szCs w:val="18"/>
          <w:lang w:val="es-ES"/>
        </w:rPr>
        <w:t xml:space="preserve">Uno de los valores agregados del proyecto fue la incorporación de la cartera de Hacienda como contraparte en la elaboración de estudios económicos sobre medio ambiente global, lo que amplió la base de discusión ambiental para </w:t>
      </w:r>
      <w:r>
        <w:rPr>
          <w:sz w:val="18"/>
          <w:szCs w:val="18"/>
          <w:lang w:val="es-ES"/>
        </w:rPr>
        <w:t>SEMARNAT</w:t>
      </w:r>
      <w:r w:rsidRPr="002705EA">
        <w:rPr>
          <w:sz w:val="18"/>
          <w:szCs w:val="18"/>
          <w:lang w:val="es-ES"/>
        </w:rPr>
        <w:t>, hasta ese entonces principalmente centrada en efectos dañinos de la actividad económica sobre el medio ambiente.</w:t>
      </w:r>
    </w:p>
  </w:footnote>
  <w:footnote w:id="11">
    <w:p w:rsidR="00840067" w:rsidRPr="00C24FC6" w:rsidRDefault="00840067">
      <w:pPr>
        <w:pStyle w:val="FootnoteText"/>
        <w:rPr>
          <w:i/>
          <w:sz w:val="18"/>
          <w:lang w:val="es-ES"/>
        </w:rPr>
      </w:pPr>
      <w:r w:rsidRPr="00C24FC6">
        <w:rPr>
          <w:rStyle w:val="FootnoteReference"/>
          <w:i/>
          <w:sz w:val="18"/>
        </w:rPr>
        <w:footnoteRef/>
      </w:r>
      <w:r w:rsidRPr="00C24FC6">
        <w:rPr>
          <w:i/>
          <w:sz w:val="18"/>
        </w:rPr>
        <w:t xml:space="preserve"> </w:t>
      </w:r>
      <w:r w:rsidRPr="00C24FC6">
        <w:rPr>
          <w:i/>
          <w:sz w:val="18"/>
          <w:lang w:val="es-ES"/>
        </w:rPr>
        <w:t>Traducido del documento “</w:t>
      </w:r>
      <w:proofErr w:type="spellStart"/>
      <w:r w:rsidRPr="00C24FC6">
        <w:rPr>
          <w:i/>
          <w:sz w:val="18"/>
          <w:lang w:val="es-ES"/>
        </w:rPr>
        <w:t>Annex</w:t>
      </w:r>
      <w:proofErr w:type="spellEnd"/>
      <w:r w:rsidRPr="00C24FC6">
        <w:rPr>
          <w:i/>
          <w:sz w:val="18"/>
          <w:lang w:val="es-ES"/>
        </w:rPr>
        <w:t xml:space="preserve"> A: </w:t>
      </w:r>
      <w:proofErr w:type="spellStart"/>
      <w:r w:rsidRPr="00C24FC6">
        <w:rPr>
          <w:i/>
          <w:sz w:val="18"/>
          <w:lang w:val="es-ES"/>
        </w:rPr>
        <w:t>Logical</w:t>
      </w:r>
      <w:proofErr w:type="spellEnd"/>
      <w:r w:rsidRPr="00C24FC6">
        <w:rPr>
          <w:i/>
          <w:sz w:val="18"/>
          <w:lang w:val="es-ES"/>
        </w:rPr>
        <w:t xml:space="preserve"> Framework”, Marzo 2005, facilitado por la Unidad GEF de SEMARNAT.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67" w:rsidRDefault="00840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C83"/>
    <w:multiLevelType w:val="hybridMultilevel"/>
    <w:tmpl w:val="EBB07A6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nsid w:val="053C7D10"/>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254F63"/>
    <w:multiLevelType w:val="multilevel"/>
    <w:tmpl w:val="99E8DA78"/>
    <w:lvl w:ilvl="0">
      <w:start w:val="1"/>
      <w:numFmt w:val="bullet"/>
      <w:lvlText w:val=""/>
      <w:lvlJc w:val="left"/>
      <w:pPr>
        <w:ind w:left="360" w:hanging="360"/>
      </w:pPr>
      <w:rPr>
        <w:rFonts w:ascii="Wingdings" w:hAnsi="Wingding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C07760"/>
    <w:multiLevelType w:val="multilevel"/>
    <w:tmpl w:val="2D48AE80"/>
    <w:lvl w:ilvl="0">
      <w:start w:val="5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FC6F77"/>
    <w:multiLevelType w:val="multilevel"/>
    <w:tmpl w:val="D21C03AC"/>
    <w:lvl w:ilvl="0">
      <w:start w:val="12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6F2B21"/>
    <w:multiLevelType w:val="multilevel"/>
    <w:tmpl w:val="3A425E2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610076"/>
    <w:multiLevelType w:val="hybridMultilevel"/>
    <w:tmpl w:val="B6F2DA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521DF8"/>
    <w:multiLevelType w:val="hybridMultilevel"/>
    <w:tmpl w:val="CE0C60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FE38F0"/>
    <w:multiLevelType w:val="hybridMultilevel"/>
    <w:tmpl w:val="0700F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66036D"/>
    <w:multiLevelType w:val="multilevel"/>
    <w:tmpl w:val="2D48AE80"/>
    <w:lvl w:ilvl="0">
      <w:start w:val="5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BF64EA"/>
    <w:multiLevelType w:val="multilevel"/>
    <w:tmpl w:val="EDF09D90"/>
    <w:lvl w:ilvl="0">
      <w:start w:val="7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7B49EB"/>
    <w:multiLevelType w:val="multilevel"/>
    <w:tmpl w:val="D21C03AC"/>
    <w:lvl w:ilvl="0">
      <w:start w:val="12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AE68A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BD33E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ED2D9D"/>
    <w:multiLevelType w:val="hybridMultilevel"/>
    <w:tmpl w:val="209C78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F96F43"/>
    <w:multiLevelType w:val="multilevel"/>
    <w:tmpl w:val="2D48AE80"/>
    <w:lvl w:ilvl="0">
      <w:start w:val="5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3F476E"/>
    <w:multiLevelType w:val="hybridMultilevel"/>
    <w:tmpl w:val="2B3044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1C630B"/>
    <w:multiLevelType w:val="hybridMultilevel"/>
    <w:tmpl w:val="BDF0329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nsid w:val="576B5C99"/>
    <w:multiLevelType w:val="hybridMultilevel"/>
    <w:tmpl w:val="397E1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A873E09"/>
    <w:multiLevelType w:val="hybridMultilevel"/>
    <w:tmpl w:val="1CEA8F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F2606C6"/>
    <w:multiLevelType w:val="hybridMultilevel"/>
    <w:tmpl w:val="EFA40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6C5FA7"/>
    <w:multiLevelType w:val="hybridMultilevel"/>
    <w:tmpl w:val="96469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C3767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F41DF1"/>
    <w:multiLevelType w:val="multilevel"/>
    <w:tmpl w:val="6BBEB91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2306169"/>
    <w:multiLevelType w:val="multilevel"/>
    <w:tmpl w:val="2D48AE80"/>
    <w:lvl w:ilvl="0">
      <w:start w:val="5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4D90952"/>
    <w:multiLevelType w:val="multilevel"/>
    <w:tmpl w:val="5A004C18"/>
    <w:lvl w:ilvl="0">
      <w:start w:val="1"/>
      <w:numFmt w:val="bullet"/>
      <w:lvlText w:val=""/>
      <w:lvlJc w:val="left"/>
      <w:pPr>
        <w:ind w:left="360" w:hanging="360"/>
      </w:pPr>
      <w:rPr>
        <w:rFonts w:ascii="Wingdings" w:hAnsi="Wingding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8"/>
  </w:num>
  <w:num w:numId="3">
    <w:abstractNumId w:val="1"/>
  </w:num>
  <w:num w:numId="4">
    <w:abstractNumId w:val="13"/>
  </w:num>
  <w:num w:numId="5">
    <w:abstractNumId w:val="12"/>
  </w:num>
  <w:num w:numId="6">
    <w:abstractNumId w:val="16"/>
  </w:num>
  <w:num w:numId="7">
    <w:abstractNumId w:val="22"/>
  </w:num>
  <w:num w:numId="8">
    <w:abstractNumId w:val="23"/>
  </w:num>
  <w:num w:numId="9">
    <w:abstractNumId w:val="10"/>
  </w:num>
  <w:num w:numId="10">
    <w:abstractNumId w:val="18"/>
  </w:num>
  <w:num w:numId="11">
    <w:abstractNumId w:val="0"/>
  </w:num>
  <w:num w:numId="12">
    <w:abstractNumId w:val="17"/>
  </w:num>
  <w:num w:numId="13">
    <w:abstractNumId w:val="21"/>
  </w:num>
  <w:num w:numId="14">
    <w:abstractNumId w:val="7"/>
  </w:num>
  <w:num w:numId="15">
    <w:abstractNumId w:val="3"/>
  </w:num>
  <w:num w:numId="16">
    <w:abstractNumId w:val="15"/>
  </w:num>
  <w:num w:numId="17">
    <w:abstractNumId w:val="24"/>
  </w:num>
  <w:num w:numId="18">
    <w:abstractNumId w:val="19"/>
  </w:num>
  <w:num w:numId="19">
    <w:abstractNumId w:val="25"/>
  </w:num>
  <w:num w:numId="20">
    <w:abstractNumId w:val="2"/>
  </w:num>
  <w:num w:numId="21">
    <w:abstractNumId w:val="14"/>
  </w:num>
  <w:num w:numId="22">
    <w:abstractNumId w:val="9"/>
  </w:num>
  <w:num w:numId="23">
    <w:abstractNumId w:val="4"/>
  </w:num>
  <w:num w:numId="24">
    <w:abstractNumId w:val="5"/>
  </w:num>
  <w:num w:numId="25">
    <w:abstractNumId w:val="11"/>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21159"/>
    <w:rsid w:val="0000604C"/>
    <w:rsid w:val="00006AB6"/>
    <w:rsid w:val="000078EF"/>
    <w:rsid w:val="00007CA7"/>
    <w:rsid w:val="00010A19"/>
    <w:rsid w:val="00012733"/>
    <w:rsid w:val="00012D3B"/>
    <w:rsid w:val="000137E8"/>
    <w:rsid w:val="000143FC"/>
    <w:rsid w:val="00017930"/>
    <w:rsid w:val="00020A4D"/>
    <w:rsid w:val="00020BA0"/>
    <w:rsid w:val="00021553"/>
    <w:rsid w:val="000223B1"/>
    <w:rsid w:val="00023854"/>
    <w:rsid w:val="00023A3B"/>
    <w:rsid w:val="00025FDC"/>
    <w:rsid w:val="00026288"/>
    <w:rsid w:val="00026771"/>
    <w:rsid w:val="00026C39"/>
    <w:rsid w:val="00032D95"/>
    <w:rsid w:val="00033D08"/>
    <w:rsid w:val="00034033"/>
    <w:rsid w:val="000362B5"/>
    <w:rsid w:val="00036685"/>
    <w:rsid w:val="00036901"/>
    <w:rsid w:val="00036B21"/>
    <w:rsid w:val="00040E22"/>
    <w:rsid w:val="00041FAB"/>
    <w:rsid w:val="0004347B"/>
    <w:rsid w:val="000448DE"/>
    <w:rsid w:val="00046820"/>
    <w:rsid w:val="00046BAF"/>
    <w:rsid w:val="000500CD"/>
    <w:rsid w:val="0005027C"/>
    <w:rsid w:val="000516D4"/>
    <w:rsid w:val="0005231E"/>
    <w:rsid w:val="000527CC"/>
    <w:rsid w:val="00055AAB"/>
    <w:rsid w:val="0005701C"/>
    <w:rsid w:val="0005725D"/>
    <w:rsid w:val="00057488"/>
    <w:rsid w:val="00057FC1"/>
    <w:rsid w:val="000605E9"/>
    <w:rsid w:val="000634F7"/>
    <w:rsid w:val="000642D6"/>
    <w:rsid w:val="00064A73"/>
    <w:rsid w:val="0006546F"/>
    <w:rsid w:val="000661A7"/>
    <w:rsid w:val="00066F5F"/>
    <w:rsid w:val="00070EB8"/>
    <w:rsid w:val="00074A1D"/>
    <w:rsid w:val="00074C1A"/>
    <w:rsid w:val="00075A59"/>
    <w:rsid w:val="000803B9"/>
    <w:rsid w:val="000819F4"/>
    <w:rsid w:val="0008218B"/>
    <w:rsid w:val="000836E8"/>
    <w:rsid w:val="0008459B"/>
    <w:rsid w:val="00084801"/>
    <w:rsid w:val="00091711"/>
    <w:rsid w:val="000926FD"/>
    <w:rsid w:val="000943D2"/>
    <w:rsid w:val="00096210"/>
    <w:rsid w:val="000A015A"/>
    <w:rsid w:val="000A064F"/>
    <w:rsid w:val="000A11F6"/>
    <w:rsid w:val="000A1464"/>
    <w:rsid w:val="000A4030"/>
    <w:rsid w:val="000A76B2"/>
    <w:rsid w:val="000B0C50"/>
    <w:rsid w:val="000B594F"/>
    <w:rsid w:val="000B7F0F"/>
    <w:rsid w:val="000D08E4"/>
    <w:rsid w:val="000D0B0F"/>
    <w:rsid w:val="000D7BF4"/>
    <w:rsid w:val="000E093B"/>
    <w:rsid w:val="000E34D8"/>
    <w:rsid w:val="000E5980"/>
    <w:rsid w:val="000E75EA"/>
    <w:rsid w:val="000E7917"/>
    <w:rsid w:val="000E7B93"/>
    <w:rsid w:val="000F0B75"/>
    <w:rsid w:val="000F1734"/>
    <w:rsid w:val="000F2534"/>
    <w:rsid w:val="000F285F"/>
    <w:rsid w:val="000F4BF5"/>
    <w:rsid w:val="000F74A5"/>
    <w:rsid w:val="0010104C"/>
    <w:rsid w:val="00101367"/>
    <w:rsid w:val="001104B4"/>
    <w:rsid w:val="00111CF7"/>
    <w:rsid w:val="00112147"/>
    <w:rsid w:val="00117563"/>
    <w:rsid w:val="00117985"/>
    <w:rsid w:val="00117B0B"/>
    <w:rsid w:val="00120657"/>
    <w:rsid w:val="0012068D"/>
    <w:rsid w:val="00121F9C"/>
    <w:rsid w:val="00122291"/>
    <w:rsid w:val="0012234F"/>
    <w:rsid w:val="001231F5"/>
    <w:rsid w:val="00124561"/>
    <w:rsid w:val="00125F3F"/>
    <w:rsid w:val="001272E2"/>
    <w:rsid w:val="00130BC8"/>
    <w:rsid w:val="00130EEF"/>
    <w:rsid w:val="00131D4A"/>
    <w:rsid w:val="00132170"/>
    <w:rsid w:val="00135B9C"/>
    <w:rsid w:val="00137532"/>
    <w:rsid w:val="00141195"/>
    <w:rsid w:val="001414C3"/>
    <w:rsid w:val="00142B51"/>
    <w:rsid w:val="00144104"/>
    <w:rsid w:val="001441F5"/>
    <w:rsid w:val="00146932"/>
    <w:rsid w:val="0015034F"/>
    <w:rsid w:val="00150D01"/>
    <w:rsid w:val="00152067"/>
    <w:rsid w:val="0015562D"/>
    <w:rsid w:val="00156A38"/>
    <w:rsid w:val="0015750F"/>
    <w:rsid w:val="001608E7"/>
    <w:rsid w:val="001617B4"/>
    <w:rsid w:val="00162010"/>
    <w:rsid w:val="00162248"/>
    <w:rsid w:val="0016602E"/>
    <w:rsid w:val="00172C5B"/>
    <w:rsid w:val="00173650"/>
    <w:rsid w:val="001761FF"/>
    <w:rsid w:val="001764D4"/>
    <w:rsid w:val="00176663"/>
    <w:rsid w:val="00184081"/>
    <w:rsid w:val="00184675"/>
    <w:rsid w:val="00187162"/>
    <w:rsid w:val="00191735"/>
    <w:rsid w:val="00194037"/>
    <w:rsid w:val="0019518A"/>
    <w:rsid w:val="0019664D"/>
    <w:rsid w:val="001971A3"/>
    <w:rsid w:val="001B1C52"/>
    <w:rsid w:val="001B236F"/>
    <w:rsid w:val="001B4E8F"/>
    <w:rsid w:val="001C30B8"/>
    <w:rsid w:val="001C3B55"/>
    <w:rsid w:val="001C58B0"/>
    <w:rsid w:val="001C7384"/>
    <w:rsid w:val="001C77A6"/>
    <w:rsid w:val="001D1A17"/>
    <w:rsid w:val="001D2197"/>
    <w:rsid w:val="001D226A"/>
    <w:rsid w:val="001D56D9"/>
    <w:rsid w:val="001D5ED9"/>
    <w:rsid w:val="001D7F4D"/>
    <w:rsid w:val="001E09E2"/>
    <w:rsid w:val="001E44A2"/>
    <w:rsid w:val="001E51B5"/>
    <w:rsid w:val="001F251B"/>
    <w:rsid w:val="001F27CF"/>
    <w:rsid w:val="001F4588"/>
    <w:rsid w:val="002006E2"/>
    <w:rsid w:val="00200D8A"/>
    <w:rsid w:val="00201601"/>
    <w:rsid w:val="0020296C"/>
    <w:rsid w:val="002030F4"/>
    <w:rsid w:val="002033BE"/>
    <w:rsid w:val="0020485D"/>
    <w:rsid w:val="00204A94"/>
    <w:rsid w:val="002102B3"/>
    <w:rsid w:val="0021032D"/>
    <w:rsid w:val="00210A60"/>
    <w:rsid w:val="002117FE"/>
    <w:rsid w:val="00212602"/>
    <w:rsid w:val="002160AA"/>
    <w:rsid w:val="00217E74"/>
    <w:rsid w:val="00220055"/>
    <w:rsid w:val="00220EAB"/>
    <w:rsid w:val="00221475"/>
    <w:rsid w:val="00221874"/>
    <w:rsid w:val="00221B31"/>
    <w:rsid w:val="00222C49"/>
    <w:rsid w:val="00232292"/>
    <w:rsid w:val="0024430C"/>
    <w:rsid w:val="00245C8B"/>
    <w:rsid w:val="00246488"/>
    <w:rsid w:val="00246ADC"/>
    <w:rsid w:val="00247185"/>
    <w:rsid w:val="0025248F"/>
    <w:rsid w:val="002538F7"/>
    <w:rsid w:val="00253E95"/>
    <w:rsid w:val="002610E1"/>
    <w:rsid w:val="0026283A"/>
    <w:rsid w:val="00264EFA"/>
    <w:rsid w:val="002668EB"/>
    <w:rsid w:val="00267709"/>
    <w:rsid w:val="002705EA"/>
    <w:rsid w:val="00270D43"/>
    <w:rsid w:val="00271C01"/>
    <w:rsid w:val="00272514"/>
    <w:rsid w:val="00274D6F"/>
    <w:rsid w:val="002753F0"/>
    <w:rsid w:val="00276186"/>
    <w:rsid w:val="002806D9"/>
    <w:rsid w:val="00281618"/>
    <w:rsid w:val="00281BF8"/>
    <w:rsid w:val="00282AF6"/>
    <w:rsid w:val="00283AA9"/>
    <w:rsid w:val="0028454E"/>
    <w:rsid w:val="0028517E"/>
    <w:rsid w:val="00286DC7"/>
    <w:rsid w:val="002878F2"/>
    <w:rsid w:val="00290CF1"/>
    <w:rsid w:val="002965BA"/>
    <w:rsid w:val="002969AE"/>
    <w:rsid w:val="00297F04"/>
    <w:rsid w:val="002A12D3"/>
    <w:rsid w:val="002A14B2"/>
    <w:rsid w:val="002A18BC"/>
    <w:rsid w:val="002A1DCC"/>
    <w:rsid w:val="002A239B"/>
    <w:rsid w:val="002A72FB"/>
    <w:rsid w:val="002B28F4"/>
    <w:rsid w:val="002B62B6"/>
    <w:rsid w:val="002B687B"/>
    <w:rsid w:val="002B70ED"/>
    <w:rsid w:val="002C1E90"/>
    <w:rsid w:val="002C1FE2"/>
    <w:rsid w:val="002C21F6"/>
    <w:rsid w:val="002C5541"/>
    <w:rsid w:val="002C73B2"/>
    <w:rsid w:val="002C7515"/>
    <w:rsid w:val="002C7A7D"/>
    <w:rsid w:val="002D09A1"/>
    <w:rsid w:val="002D0DC3"/>
    <w:rsid w:val="002D10EE"/>
    <w:rsid w:val="002D2A83"/>
    <w:rsid w:val="002D3D42"/>
    <w:rsid w:val="002D4335"/>
    <w:rsid w:val="002D4B40"/>
    <w:rsid w:val="002D6B8E"/>
    <w:rsid w:val="002D7C82"/>
    <w:rsid w:val="002E55D9"/>
    <w:rsid w:val="002E6509"/>
    <w:rsid w:val="002E6A1E"/>
    <w:rsid w:val="002E6CEB"/>
    <w:rsid w:val="002F1572"/>
    <w:rsid w:val="002F21C0"/>
    <w:rsid w:val="002F2377"/>
    <w:rsid w:val="002F249F"/>
    <w:rsid w:val="002F3DAE"/>
    <w:rsid w:val="002F42FD"/>
    <w:rsid w:val="002F5565"/>
    <w:rsid w:val="002F7355"/>
    <w:rsid w:val="003009D4"/>
    <w:rsid w:val="00303422"/>
    <w:rsid w:val="003037F7"/>
    <w:rsid w:val="0030564D"/>
    <w:rsid w:val="00305E17"/>
    <w:rsid w:val="003079FD"/>
    <w:rsid w:val="00310761"/>
    <w:rsid w:val="0031089E"/>
    <w:rsid w:val="003122EA"/>
    <w:rsid w:val="003124B4"/>
    <w:rsid w:val="0031270E"/>
    <w:rsid w:val="00312DAA"/>
    <w:rsid w:val="0031359D"/>
    <w:rsid w:val="0031446F"/>
    <w:rsid w:val="00316A01"/>
    <w:rsid w:val="003177E6"/>
    <w:rsid w:val="0032025C"/>
    <w:rsid w:val="00320C8F"/>
    <w:rsid w:val="0032338F"/>
    <w:rsid w:val="00324DAC"/>
    <w:rsid w:val="003253A5"/>
    <w:rsid w:val="00325BEB"/>
    <w:rsid w:val="003300B9"/>
    <w:rsid w:val="00331DE0"/>
    <w:rsid w:val="00333727"/>
    <w:rsid w:val="003338C8"/>
    <w:rsid w:val="00333B63"/>
    <w:rsid w:val="003351DC"/>
    <w:rsid w:val="00344A95"/>
    <w:rsid w:val="00345E52"/>
    <w:rsid w:val="003470A4"/>
    <w:rsid w:val="003474AC"/>
    <w:rsid w:val="00347EB5"/>
    <w:rsid w:val="00350156"/>
    <w:rsid w:val="00351A9D"/>
    <w:rsid w:val="00351ECE"/>
    <w:rsid w:val="00352C2D"/>
    <w:rsid w:val="00352F22"/>
    <w:rsid w:val="003541C8"/>
    <w:rsid w:val="00355F42"/>
    <w:rsid w:val="00356F68"/>
    <w:rsid w:val="00360D13"/>
    <w:rsid w:val="00361AC7"/>
    <w:rsid w:val="00363797"/>
    <w:rsid w:val="003640DC"/>
    <w:rsid w:val="00364798"/>
    <w:rsid w:val="00366324"/>
    <w:rsid w:val="00367CE1"/>
    <w:rsid w:val="003701D5"/>
    <w:rsid w:val="003717C4"/>
    <w:rsid w:val="003719D1"/>
    <w:rsid w:val="003744FB"/>
    <w:rsid w:val="00374615"/>
    <w:rsid w:val="00375BB7"/>
    <w:rsid w:val="003769E2"/>
    <w:rsid w:val="00376A35"/>
    <w:rsid w:val="00381E67"/>
    <w:rsid w:val="003832EE"/>
    <w:rsid w:val="00384DD8"/>
    <w:rsid w:val="00384EB4"/>
    <w:rsid w:val="003850FC"/>
    <w:rsid w:val="0038592B"/>
    <w:rsid w:val="0038705E"/>
    <w:rsid w:val="00387AA8"/>
    <w:rsid w:val="00393865"/>
    <w:rsid w:val="00393C45"/>
    <w:rsid w:val="003952D5"/>
    <w:rsid w:val="00395E5C"/>
    <w:rsid w:val="00395F4A"/>
    <w:rsid w:val="00396816"/>
    <w:rsid w:val="00397647"/>
    <w:rsid w:val="00397AED"/>
    <w:rsid w:val="003A19FE"/>
    <w:rsid w:val="003A239F"/>
    <w:rsid w:val="003A3859"/>
    <w:rsid w:val="003A7E73"/>
    <w:rsid w:val="003B0209"/>
    <w:rsid w:val="003B3065"/>
    <w:rsid w:val="003B4004"/>
    <w:rsid w:val="003B410A"/>
    <w:rsid w:val="003B4C57"/>
    <w:rsid w:val="003B60E0"/>
    <w:rsid w:val="003B63F5"/>
    <w:rsid w:val="003B6AB7"/>
    <w:rsid w:val="003C0F7F"/>
    <w:rsid w:val="003C242C"/>
    <w:rsid w:val="003C3078"/>
    <w:rsid w:val="003C3545"/>
    <w:rsid w:val="003C593F"/>
    <w:rsid w:val="003C6D44"/>
    <w:rsid w:val="003C7CDB"/>
    <w:rsid w:val="003D035B"/>
    <w:rsid w:val="003D04B0"/>
    <w:rsid w:val="003D15A9"/>
    <w:rsid w:val="003D33D1"/>
    <w:rsid w:val="003D39E0"/>
    <w:rsid w:val="003D4600"/>
    <w:rsid w:val="003D7948"/>
    <w:rsid w:val="003E1BB1"/>
    <w:rsid w:val="003E25CC"/>
    <w:rsid w:val="003E5BB0"/>
    <w:rsid w:val="003E6350"/>
    <w:rsid w:val="003F1479"/>
    <w:rsid w:val="003F2150"/>
    <w:rsid w:val="003F39E8"/>
    <w:rsid w:val="003F495B"/>
    <w:rsid w:val="003F710B"/>
    <w:rsid w:val="00400749"/>
    <w:rsid w:val="00400A23"/>
    <w:rsid w:val="00401FA2"/>
    <w:rsid w:val="00402775"/>
    <w:rsid w:val="00402B6C"/>
    <w:rsid w:val="0040434A"/>
    <w:rsid w:val="004049C6"/>
    <w:rsid w:val="00411243"/>
    <w:rsid w:val="0041228C"/>
    <w:rsid w:val="00412307"/>
    <w:rsid w:val="00412BA9"/>
    <w:rsid w:val="00413561"/>
    <w:rsid w:val="004152EF"/>
    <w:rsid w:val="00415C49"/>
    <w:rsid w:val="00417310"/>
    <w:rsid w:val="0041769A"/>
    <w:rsid w:val="00421C16"/>
    <w:rsid w:val="0042309E"/>
    <w:rsid w:val="00424292"/>
    <w:rsid w:val="00425856"/>
    <w:rsid w:val="004259EC"/>
    <w:rsid w:val="00425AAB"/>
    <w:rsid w:val="00427318"/>
    <w:rsid w:val="0043185B"/>
    <w:rsid w:val="00431DDC"/>
    <w:rsid w:val="004328CA"/>
    <w:rsid w:val="00433C7B"/>
    <w:rsid w:val="00434CD0"/>
    <w:rsid w:val="00434E06"/>
    <w:rsid w:val="00440D92"/>
    <w:rsid w:val="0044144D"/>
    <w:rsid w:val="004443A6"/>
    <w:rsid w:val="00445A40"/>
    <w:rsid w:val="0045172E"/>
    <w:rsid w:val="00452351"/>
    <w:rsid w:val="00452BE2"/>
    <w:rsid w:val="00454E6F"/>
    <w:rsid w:val="00454E75"/>
    <w:rsid w:val="004565E4"/>
    <w:rsid w:val="00457142"/>
    <w:rsid w:val="0045731C"/>
    <w:rsid w:val="0045738A"/>
    <w:rsid w:val="00467E8D"/>
    <w:rsid w:val="004711AF"/>
    <w:rsid w:val="00474310"/>
    <w:rsid w:val="00477522"/>
    <w:rsid w:val="0048121A"/>
    <w:rsid w:val="004815B8"/>
    <w:rsid w:val="004833A8"/>
    <w:rsid w:val="00484924"/>
    <w:rsid w:val="00485ED0"/>
    <w:rsid w:val="00486F4B"/>
    <w:rsid w:val="004916B9"/>
    <w:rsid w:val="004923F9"/>
    <w:rsid w:val="00493458"/>
    <w:rsid w:val="0049505B"/>
    <w:rsid w:val="00495323"/>
    <w:rsid w:val="004A1F52"/>
    <w:rsid w:val="004A46E0"/>
    <w:rsid w:val="004A7F6E"/>
    <w:rsid w:val="004B0C33"/>
    <w:rsid w:val="004C2A2E"/>
    <w:rsid w:val="004D2C46"/>
    <w:rsid w:val="004D3ADB"/>
    <w:rsid w:val="004D67F5"/>
    <w:rsid w:val="004D6896"/>
    <w:rsid w:val="004D7FB3"/>
    <w:rsid w:val="004E29A6"/>
    <w:rsid w:val="004E2A43"/>
    <w:rsid w:val="004E3A16"/>
    <w:rsid w:val="004E44CB"/>
    <w:rsid w:val="004E4E04"/>
    <w:rsid w:val="004E70D6"/>
    <w:rsid w:val="004E7B6B"/>
    <w:rsid w:val="004F08F9"/>
    <w:rsid w:val="004F1328"/>
    <w:rsid w:val="004F1D19"/>
    <w:rsid w:val="004F29C9"/>
    <w:rsid w:val="004F4320"/>
    <w:rsid w:val="004F5229"/>
    <w:rsid w:val="004F6110"/>
    <w:rsid w:val="004F7415"/>
    <w:rsid w:val="0050032D"/>
    <w:rsid w:val="00504103"/>
    <w:rsid w:val="0050459A"/>
    <w:rsid w:val="005077D8"/>
    <w:rsid w:val="00507C11"/>
    <w:rsid w:val="00510B14"/>
    <w:rsid w:val="00512ADF"/>
    <w:rsid w:val="00514644"/>
    <w:rsid w:val="00516B0C"/>
    <w:rsid w:val="00517403"/>
    <w:rsid w:val="00520F15"/>
    <w:rsid w:val="00521159"/>
    <w:rsid w:val="005235F5"/>
    <w:rsid w:val="0052449A"/>
    <w:rsid w:val="0052572D"/>
    <w:rsid w:val="00526EEA"/>
    <w:rsid w:val="00532A9B"/>
    <w:rsid w:val="00532E1F"/>
    <w:rsid w:val="00533D66"/>
    <w:rsid w:val="005342F2"/>
    <w:rsid w:val="00537330"/>
    <w:rsid w:val="00540BC0"/>
    <w:rsid w:val="00542356"/>
    <w:rsid w:val="0054325A"/>
    <w:rsid w:val="0054353D"/>
    <w:rsid w:val="00547B09"/>
    <w:rsid w:val="00551CC6"/>
    <w:rsid w:val="005535D2"/>
    <w:rsid w:val="0055523C"/>
    <w:rsid w:val="00557F47"/>
    <w:rsid w:val="005609A8"/>
    <w:rsid w:val="005617C3"/>
    <w:rsid w:val="00563B58"/>
    <w:rsid w:val="00564F7F"/>
    <w:rsid w:val="0056537F"/>
    <w:rsid w:val="00570C08"/>
    <w:rsid w:val="005727D4"/>
    <w:rsid w:val="00572CB9"/>
    <w:rsid w:val="005751AD"/>
    <w:rsid w:val="005756E2"/>
    <w:rsid w:val="005762C8"/>
    <w:rsid w:val="00584F3B"/>
    <w:rsid w:val="00585149"/>
    <w:rsid w:val="00585721"/>
    <w:rsid w:val="0059021F"/>
    <w:rsid w:val="005917E0"/>
    <w:rsid w:val="00593C34"/>
    <w:rsid w:val="00594B6C"/>
    <w:rsid w:val="005954A1"/>
    <w:rsid w:val="00597A4E"/>
    <w:rsid w:val="005A079B"/>
    <w:rsid w:val="005A14EC"/>
    <w:rsid w:val="005A3D30"/>
    <w:rsid w:val="005A4037"/>
    <w:rsid w:val="005A505F"/>
    <w:rsid w:val="005B20FF"/>
    <w:rsid w:val="005B36B1"/>
    <w:rsid w:val="005B5062"/>
    <w:rsid w:val="005B5BAA"/>
    <w:rsid w:val="005B5E0B"/>
    <w:rsid w:val="005B5E2C"/>
    <w:rsid w:val="005B7F05"/>
    <w:rsid w:val="005B7F68"/>
    <w:rsid w:val="005C0B73"/>
    <w:rsid w:val="005C4705"/>
    <w:rsid w:val="005C6A4B"/>
    <w:rsid w:val="005C722B"/>
    <w:rsid w:val="005C722C"/>
    <w:rsid w:val="005D2EEA"/>
    <w:rsid w:val="005D3ED5"/>
    <w:rsid w:val="005D45E9"/>
    <w:rsid w:val="005D4A9E"/>
    <w:rsid w:val="005D7D73"/>
    <w:rsid w:val="005E0494"/>
    <w:rsid w:val="005E0EDB"/>
    <w:rsid w:val="005E17D3"/>
    <w:rsid w:val="005E38BA"/>
    <w:rsid w:val="005E52C0"/>
    <w:rsid w:val="005F26B7"/>
    <w:rsid w:val="005F2DA3"/>
    <w:rsid w:val="005F4A50"/>
    <w:rsid w:val="005F5528"/>
    <w:rsid w:val="005F62F2"/>
    <w:rsid w:val="005F6EEC"/>
    <w:rsid w:val="005F7DA9"/>
    <w:rsid w:val="006014C6"/>
    <w:rsid w:val="00604354"/>
    <w:rsid w:val="00607415"/>
    <w:rsid w:val="00610631"/>
    <w:rsid w:val="00610FC2"/>
    <w:rsid w:val="006113EA"/>
    <w:rsid w:val="00611F9D"/>
    <w:rsid w:val="006140DE"/>
    <w:rsid w:val="0061662F"/>
    <w:rsid w:val="00616E24"/>
    <w:rsid w:val="006178A9"/>
    <w:rsid w:val="006220D8"/>
    <w:rsid w:val="00623DA0"/>
    <w:rsid w:val="00624CC2"/>
    <w:rsid w:val="00624E84"/>
    <w:rsid w:val="00626B50"/>
    <w:rsid w:val="00626BD9"/>
    <w:rsid w:val="006351AE"/>
    <w:rsid w:val="00635762"/>
    <w:rsid w:val="0064050D"/>
    <w:rsid w:val="00643F6F"/>
    <w:rsid w:val="00644468"/>
    <w:rsid w:val="00650FB3"/>
    <w:rsid w:val="0065414C"/>
    <w:rsid w:val="006544E3"/>
    <w:rsid w:val="00654D2D"/>
    <w:rsid w:val="00656CFE"/>
    <w:rsid w:val="00656E61"/>
    <w:rsid w:val="0066032B"/>
    <w:rsid w:val="00663651"/>
    <w:rsid w:val="00670792"/>
    <w:rsid w:val="0067208C"/>
    <w:rsid w:val="00672B2C"/>
    <w:rsid w:val="0067342B"/>
    <w:rsid w:val="00675609"/>
    <w:rsid w:val="006756FE"/>
    <w:rsid w:val="00676DC2"/>
    <w:rsid w:val="00677C97"/>
    <w:rsid w:val="00680B9A"/>
    <w:rsid w:val="00681B98"/>
    <w:rsid w:val="00681BC4"/>
    <w:rsid w:val="006820AB"/>
    <w:rsid w:val="00682925"/>
    <w:rsid w:val="00686850"/>
    <w:rsid w:val="0069051E"/>
    <w:rsid w:val="0069086D"/>
    <w:rsid w:val="0069089A"/>
    <w:rsid w:val="006924D4"/>
    <w:rsid w:val="0069370A"/>
    <w:rsid w:val="00695504"/>
    <w:rsid w:val="00695B93"/>
    <w:rsid w:val="00695DAB"/>
    <w:rsid w:val="006A16DE"/>
    <w:rsid w:val="006A263B"/>
    <w:rsid w:val="006A30ED"/>
    <w:rsid w:val="006A4038"/>
    <w:rsid w:val="006A40CF"/>
    <w:rsid w:val="006A4B0D"/>
    <w:rsid w:val="006B0048"/>
    <w:rsid w:val="006B2C1E"/>
    <w:rsid w:val="006B49AB"/>
    <w:rsid w:val="006B53CB"/>
    <w:rsid w:val="006C5022"/>
    <w:rsid w:val="006C7469"/>
    <w:rsid w:val="006C7FF4"/>
    <w:rsid w:val="006D38EB"/>
    <w:rsid w:val="006D4B45"/>
    <w:rsid w:val="006D6823"/>
    <w:rsid w:val="006D6864"/>
    <w:rsid w:val="006D7CA6"/>
    <w:rsid w:val="006E0A92"/>
    <w:rsid w:val="006E13C4"/>
    <w:rsid w:val="006E6A0D"/>
    <w:rsid w:val="006E7B3A"/>
    <w:rsid w:val="006E7FEC"/>
    <w:rsid w:val="006F153F"/>
    <w:rsid w:val="006F15E3"/>
    <w:rsid w:val="006F22A0"/>
    <w:rsid w:val="006F3AFB"/>
    <w:rsid w:val="006F4C19"/>
    <w:rsid w:val="006F6513"/>
    <w:rsid w:val="0070011D"/>
    <w:rsid w:val="00700A70"/>
    <w:rsid w:val="00700AB3"/>
    <w:rsid w:val="00701FBD"/>
    <w:rsid w:val="0070531B"/>
    <w:rsid w:val="007110D9"/>
    <w:rsid w:val="007124C3"/>
    <w:rsid w:val="007132F2"/>
    <w:rsid w:val="00714F94"/>
    <w:rsid w:val="00715D93"/>
    <w:rsid w:val="00721753"/>
    <w:rsid w:val="0072176F"/>
    <w:rsid w:val="00722233"/>
    <w:rsid w:val="00722316"/>
    <w:rsid w:val="00722B31"/>
    <w:rsid w:val="00722B6C"/>
    <w:rsid w:val="00722B74"/>
    <w:rsid w:val="00723394"/>
    <w:rsid w:val="00725815"/>
    <w:rsid w:val="00726847"/>
    <w:rsid w:val="00730372"/>
    <w:rsid w:val="00730546"/>
    <w:rsid w:val="00731F8A"/>
    <w:rsid w:val="007355D5"/>
    <w:rsid w:val="0073727E"/>
    <w:rsid w:val="00737BE2"/>
    <w:rsid w:val="00742713"/>
    <w:rsid w:val="00742910"/>
    <w:rsid w:val="007435FE"/>
    <w:rsid w:val="007441BD"/>
    <w:rsid w:val="00745821"/>
    <w:rsid w:val="00746812"/>
    <w:rsid w:val="00753007"/>
    <w:rsid w:val="00753222"/>
    <w:rsid w:val="00753644"/>
    <w:rsid w:val="00755396"/>
    <w:rsid w:val="00757E06"/>
    <w:rsid w:val="00760086"/>
    <w:rsid w:val="0076135A"/>
    <w:rsid w:val="00761B40"/>
    <w:rsid w:val="007640C6"/>
    <w:rsid w:val="00764DED"/>
    <w:rsid w:val="00771D30"/>
    <w:rsid w:val="007744E4"/>
    <w:rsid w:val="00774537"/>
    <w:rsid w:val="00780052"/>
    <w:rsid w:val="00780D0C"/>
    <w:rsid w:val="00780E90"/>
    <w:rsid w:val="00780F11"/>
    <w:rsid w:val="0079121E"/>
    <w:rsid w:val="00793F68"/>
    <w:rsid w:val="007944EA"/>
    <w:rsid w:val="00794AAC"/>
    <w:rsid w:val="007958DD"/>
    <w:rsid w:val="007958F7"/>
    <w:rsid w:val="007A1D30"/>
    <w:rsid w:val="007A2228"/>
    <w:rsid w:val="007A3CF5"/>
    <w:rsid w:val="007A4451"/>
    <w:rsid w:val="007A5329"/>
    <w:rsid w:val="007A5A98"/>
    <w:rsid w:val="007B20BC"/>
    <w:rsid w:val="007B24FC"/>
    <w:rsid w:val="007B4E4E"/>
    <w:rsid w:val="007B5F40"/>
    <w:rsid w:val="007C073A"/>
    <w:rsid w:val="007C0AE9"/>
    <w:rsid w:val="007C2743"/>
    <w:rsid w:val="007C4783"/>
    <w:rsid w:val="007C59B2"/>
    <w:rsid w:val="007D1F66"/>
    <w:rsid w:val="007D216C"/>
    <w:rsid w:val="007D4291"/>
    <w:rsid w:val="007D4E2F"/>
    <w:rsid w:val="007D75E5"/>
    <w:rsid w:val="007E1B70"/>
    <w:rsid w:val="007E3D9D"/>
    <w:rsid w:val="007E565B"/>
    <w:rsid w:val="007E5C19"/>
    <w:rsid w:val="007E5D2D"/>
    <w:rsid w:val="007E635A"/>
    <w:rsid w:val="007E6524"/>
    <w:rsid w:val="007E7E3F"/>
    <w:rsid w:val="007F2BB9"/>
    <w:rsid w:val="007F410C"/>
    <w:rsid w:val="007F460E"/>
    <w:rsid w:val="007F751F"/>
    <w:rsid w:val="007F7536"/>
    <w:rsid w:val="00801239"/>
    <w:rsid w:val="0080299E"/>
    <w:rsid w:val="008043CA"/>
    <w:rsid w:val="00804A2A"/>
    <w:rsid w:val="00807938"/>
    <w:rsid w:val="00811E55"/>
    <w:rsid w:val="00814784"/>
    <w:rsid w:val="00814A7E"/>
    <w:rsid w:val="00815289"/>
    <w:rsid w:val="00815D36"/>
    <w:rsid w:val="00816970"/>
    <w:rsid w:val="00820617"/>
    <w:rsid w:val="00821E3A"/>
    <w:rsid w:val="00821FB9"/>
    <w:rsid w:val="00825E0D"/>
    <w:rsid w:val="00826F21"/>
    <w:rsid w:val="008274DC"/>
    <w:rsid w:val="00827DE8"/>
    <w:rsid w:val="008308E0"/>
    <w:rsid w:val="00831B07"/>
    <w:rsid w:val="00834B74"/>
    <w:rsid w:val="0083574A"/>
    <w:rsid w:val="00840067"/>
    <w:rsid w:val="0084011A"/>
    <w:rsid w:val="00844C53"/>
    <w:rsid w:val="00845E5D"/>
    <w:rsid w:val="00847BE2"/>
    <w:rsid w:val="00855A6D"/>
    <w:rsid w:val="00863C31"/>
    <w:rsid w:val="00866979"/>
    <w:rsid w:val="00873DC7"/>
    <w:rsid w:val="00877450"/>
    <w:rsid w:val="00883238"/>
    <w:rsid w:val="00884E4E"/>
    <w:rsid w:val="008856B0"/>
    <w:rsid w:val="00885788"/>
    <w:rsid w:val="0088596A"/>
    <w:rsid w:val="0088696F"/>
    <w:rsid w:val="0089268A"/>
    <w:rsid w:val="008934A8"/>
    <w:rsid w:val="008957AC"/>
    <w:rsid w:val="00897522"/>
    <w:rsid w:val="008A0FD4"/>
    <w:rsid w:val="008A1F57"/>
    <w:rsid w:val="008A209D"/>
    <w:rsid w:val="008A26DF"/>
    <w:rsid w:val="008A40ED"/>
    <w:rsid w:val="008A4554"/>
    <w:rsid w:val="008B126C"/>
    <w:rsid w:val="008B1409"/>
    <w:rsid w:val="008B28DA"/>
    <w:rsid w:val="008B2B1B"/>
    <w:rsid w:val="008B360F"/>
    <w:rsid w:val="008B38C5"/>
    <w:rsid w:val="008B3CBC"/>
    <w:rsid w:val="008B4094"/>
    <w:rsid w:val="008B4E67"/>
    <w:rsid w:val="008B5314"/>
    <w:rsid w:val="008C0693"/>
    <w:rsid w:val="008C10EC"/>
    <w:rsid w:val="008C30F6"/>
    <w:rsid w:val="008C54BC"/>
    <w:rsid w:val="008C635F"/>
    <w:rsid w:val="008C6F9A"/>
    <w:rsid w:val="008C7033"/>
    <w:rsid w:val="008C7592"/>
    <w:rsid w:val="008D067A"/>
    <w:rsid w:val="008D7E48"/>
    <w:rsid w:val="008E12E3"/>
    <w:rsid w:val="008E217B"/>
    <w:rsid w:val="008E3493"/>
    <w:rsid w:val="008E4A7E"/>
    <w:rsid w:val="008E5655"/>
    <w:rsid w:val="008E65E9"/>
    <w:rsid w:val="008E6F12"/>
    <w:rsid w:val="008F132F"/>
    <w:rsid w:val="008F19A8"/>
    <w:rsid w:val="008F2DA7"/>
    <w:rsid w:val="008F3324"/>
    <w:rsid w:val="008F441F"/>
    <w:rsid w:val="008F48DC"/>
    <w:rsid w:val="008F4A4D"/>
    <w:rsid w:val="008F6827"/>
    <w:rsid w:val="008F78BE"/>
    <w:rsid w:val="009026DE"/>
    <w:rsid w:val="0090382B"/>
    <w:rsid w:val="00904A05"/>
    <w:rsid w:val="00907958"/>
    <w:rsid w:val="009114DD"/>
    <w:rsid w:val="00912D9C"/>
    <w:rsid w:val="009135E9"/>
    <w:rsid w:val="00913BDB"/>
    <w:rsid w:val="009165FE"/>
    <w:rsid w:val="00916C12"/>
    <w:rsid w:val="00917DC3"/>
    <w:rsid w:val="009205D9"/>
    <w:rsid w:val="00920ED8"/>
    <w:rsid w:val="009211C2"/>
    <w:rsid w:val="0092190B"/>
    <w:rsid w:val="009220A4"/>
    <w:rsid w:val="00922767"/>
    <w:rsid w:val="00923EA7"/>
    <w:rsid w:val="0092415D"/>
    <w:rsid w:val="0092421F"/>
    <w:rsid w:val="00924CF4"/>
    <w:rsid w:val="00925C44"/>
    <w:rsid w:val="00926748"/>
    <w:rsid w:val="009275B0"/>
    <w:rsid w:val="00932396"/>
    <w:rsid w:val="00933106"/>
    <w:rsid w:val="009353D4"/>
    <w:rsid w:val="00936CD5"/>
    <w:rsid w:val="00937DDF"/>
    <w:rsid w:val="009408A5"/>
    <w:rsid w:val="00941309"/>
    <w:rsid w:val="00942269"/>
    <w:rsid w:val="009445C6"/>
    <w:rsid w:val="00945010"/>
    <w:rsid w:val="00947948"/>
    <w:rsid w:val="009509E3"/>
    <w:rsid w:val="00965554"/>
    <w:rsid w:val="00965B55"/>
    <w:rsid w:val="00966052"/>
    <w:rsid w:val="009662AE"/>
    <w:rsid w:val="00970FED"/>
    <w:rsid w:val="0097179C"/>
    <w:rsid w:val="00975776"/>
    <w:rsid w:val="00975DEB"/>
    <w:rsid w:val="00980C7F"/>
    <w:rsid w:val="00980DFD"/>
    <w:rsid w:val="009822F3"/>
    <w:rsid w:val="00982F08"/>
    <w:rsid w:val="009856A0"/>
    <w:rsid w:val="009869B9"/>
    <w:rsid w:val="00990396"/>
    <w:rsid w:val="00993967"/>
    <w:rsid w:val="00993DB7"/>
    <w:rsid w:val="00994DCA"/>
    <w:rsid w:val="00995E2E"/>
    <w:rsid w:val="00996EDE"/>
    <w:rsid w:val="009A0CE9"/>
    <w:rsid w:val="009A28E9"/>
    <w:rsid w:val="009A2F63"/>
    <w:rsid w:val="009A4401"/>
    <w:rsid w:val="009A49B9"/>
    <w:rsid w:val="009A657A"/>
    <w:rsid w:val="009B0062"/>
    <w:rsid w:val="009B1B2A"/>
    <w:rsid w:val="009B32A0"/>
    <w:rsid w:val="009B65B5"/>
    <w:rsid w:val="009C01A8"/>
    <w:rsid w:val="009C1175"/>
    <w:rsid w:val="009C4C50"/>
    <w:rsid w:val="009C5DCA"/>
    <w:rsid w:val="009D0353"/>
    <w:rsid w:val="009D05D9"/>
    <w:rsid w:val="009D1B75"/>
    <w:rsid w:val="009D4BA8"/>
    <w:rsid w:val="009D5E9E"/>
    <w:rsid w:val="009E09E3"/>
    <w:rsid w:val="009E0B61"/>
    <w:rsid w:val="009E2027"/>
    <w:rsid w:val="009E37DC"/>
    <w:rsid w:val="009E4A44"/>
    <w:rsid w:val="009E7B19"/>
    <w:rsid w:val="009F0BA4"/>
    <w:rsid w:val="009F2D82"/>
    <w:rsid w:val="009F5159"/>
    <w:rsid w:val="009F7331"/>
    <w:rsid w:val="009F766E"/>
    <w:rsid w:val="00A00A51"/>
    <w:rsid w:val="00A00F11"/>
    <w:rsid w:val="00A028A9"/>
    <w:rsid w:val="00A04A8A"/>
    <w:rsid w:val="00A05433"/>
    <w:rsid w:val="00A0604E"/>
    <w:rsid w:val="00A07868"/>
    <w:rsid w:val="00A1398C"/>
    <w:rsid w:val="00A149B1"/>
    <w:rsid w:val="00A160D5"/>
    <w:rsid w:val="00A160E4"/>
    <w:rsid w:val="00A16D7D"/>
    <w:rsid w:val="00A17F07"/>
    <w:rsid w:val="00A20209"/>
    <w:rsid w:val="00A22440"/>
    <w:rsid w:val="00A23493"/>
    <w:rsid w:val="00A24D79"/>
    <w:rsid w:val="00A25A68"/>
    <w:rsid w:val="00A25ECD"/>
    <w:rsid w:val="00A26156"/>
    <w:rsid w:val="00A270AA"/>
    <w:rsid w:val="00A312F9"/>
    <w:rsid w:val="00A31ED3"/>
    <w:rsid w:val="00A32CDE"/>
    <w:rsid w:val="00A335DE"/>
    <w:rsid w:val="00A33A64"/>
    <w:rsid w:val="00A37557"/>
    <w:rsid w:val="00A40BF1"/>
    <w:rsid w:val="00A40D19"/>
    <w:rsid w:val="00A4135F"/>
    <w:rsid w:val="00A414E7"/>
    <w:rsid w:val="00A41524"/>
    <w:rsid w:val="00A42571"/>
    <w:rsid w:val="00A4330D"/>
    <w:rsid w:val="00A43D44"/>
    <w:rsid w:val="00A462A8"/>
    <w:rsid w:val="00A51301"/>
    <w:rsid w:val="00A51AFE"/>
    <w:rsid w:val="00A5247A"/>
    <w:rsid w:val="00A530ED"/>
    <w:rsid w:val="00A55EF6"/>
    <w:rsid w:val="00A6017D"/>
    <w:rsid w:val="00A611D7"/>
    <w:rsid w:val="00A63A18"/>
    <w:rsid w:val="00A63B16"/>
    <w:rsid w:val="00A649A1"/>
    <w:rsid w:val="00A651C1"/>
    <w:rsid w:val="00A66988"/>
    <w:rsid w:val="00A678F7"/>
    <w:rsid w:val="00A7150A"/>
    <w:rsid w:val="00A71985"/>
    <w:rsid w:val="00A72AA7"/>
    <w:rsid w:val="00A76EF3"/>
    <w:rsid w:val="00A81E2F"/>
    <w:rsid w:val="00A84DFC"/>
    <w:rsid w:val="00A85247"/>
    <w:rsid w:val="00A90A82"/>
    <w:rsid w:val="00A93824"/>
    <w:rsid w:val="00A948FB"/>
    <w:rsid w:val="00A957AD"/>
    <w:rsid w:val="00A96688"/>
    <w:rsid w:val="00A96B06"/>
    <w:rsid w:val="00AA0067"/>
    <w:rsid w:val="00AA2CE7"/>
    <w:rsid w:val="00AA33F1"/>
    <w:rsid w:val="00AA4774"/>
    <w:rsid w:val="00AA4E8D"/>
    <w:rsid w:val="00AA5611"/>
    <w:rsid w:val="00AA5B2A"/>
    <w:rsid w:val="00AA5E55"/>
    <w:rsid w:val="00AB003B"/>
    <w:rsid w:val="00AB0515"/>
    <w:rsid w:val="00AB2B52"/>
    <w:rsid w:val="00AB2CF9"/>
    <w:rsid w:val="00AB4A3A"/>
    <w:rsid w:val="00AB5A14"/>
    <w:rsid w:val="00AB5EA7"/>
    <w:rsid w:val="00AB745E"/>
    <w:rsid w:val="00AC0ACC"/>
    <w:rsid w:val="00AC0CFF"/>
    <w:rsid w:val="00AC0DE0"/>
    <w:rsid w:val="00AC1700"/>
    <w:rsid w:val="00AC2F7C"/>
    <w:rsid w:val="00AC34B0"/>
    <w:rsid w:val="00AC35E6"/>
    <w:rsid w:val="00AC3815"/>
    <w:rsid w:val="00AC624F"/>
    <w:rsid w:val="00AC6833"/>
    <w:rsid w:val="00AC7508"/>
    <w:rsid w:val="00AC7CC7"/>
    <w:rsid w:val="00AD0A11"/>
    <w:rsid w:val="00AD1AA9"/>
    <w:rsid w:val="00AD1BA0"/>
    <w:rsid w:val="00AD33BC"/>
    <w:rsid w:val="00AD6CC5"/>
    <w:rsid w:val="00AE2F45"/>
    <w:rsid w:val="00AE5F41"/>
    <w:rsid w:val="00AE7321"/>
    <w:rsid w:val="00AE7D0D"/>
    <w:rsid w:val="00AF2276"/>
    <w:rsid w:val="00AF298E"/>
    <w:rsid w:val="00AF3AE3"/>
    <w:rsid w:val="00AF6761"/>
    <w:rsid w:val="00AF6A56"/>
    <w:rsid w:val="00B02E32"/>
    <w:rsid w:val="00B033B3"/>
    <w:rsid w:val="00B10115"/>
    <w:rsid w:val="00B108E8"/>
    <w:rsid w:val="00B112E7"/>
    <w:rsid w:val="00B122AB"/>
    <w:rsid w:val="00B133E6"/>
    <w:rsid w:val="00B1788D"/>
    <w:rsid w:val="00B25264"/>
    <w:rsid w:val="00B26501"/>
    <w:rsid w:val="00B35BE5"/>
    <w:rsid w:val="00B37721"/>
    <w:rsid w:val="00B4041F"/>
    <w:rsid w:val="00B4171B"/>
    <w:rsid w:val="00B41DF9"/>
    <w:rsid w:val="00B45010"/>
    <w:rsid w:val="00B46C94"/>
    <w:rsid w:val="00B47577"/>
    <w:rsid w:val="00B52E90"/>
    <w:rsid w:val="00B537D8"/>
    <w:rsid w:val="00B56A36"/>
    <w:rsid w:val="00B57452"/>
    <w:rsid w:val="00B60880"/>
    <w:rsid w:val="00B67254"/>
    <w:rsid w:val="00B70507"/>
    <w:rsid w:val="00B709BC"/>
    <w:rsid w:val="00B73095"/>
    <w:rsid w:val="00B735A1"/>
    <w:rsid w:val="00B73B1A"/>
    <w:rsid w:val="00B75C58"/>
    <w:rsid w:val="00B76265"/>
    <w:rsid w:val="00B84903"/>
    <w:rsid w:val="00B849D5"/>
    <w:rsid w:val="00B96856"/>
    <w:rsid w:val="00B96C80"/>
    <w:rsid w:val="00B972EF"/>
    <w:rsid w:val="00BA0DC6"/>
    <w:rsid w:val="00BA4791"/>
    <w:rsid w:val="00BA4B74"/>
    <w:rsid w:val="00BA5368"/>
    <w:rsid w:val="00BB26D9"/>
    <w:rsid w:val="00BB2D5F"/>
    <w:rsid w:val="00BC15CD"/>
    <w:rsid w:val="00BC222F"/>
    <w:rsid w:val="00BC24E7"/>
    <w:rsid w:val="00BC290E"/>
    <w:rsid w:val="00BC2B85"/>
    <w:rsid w:val="00BC5300"/>
    <w:rsid w:val="00BC64F3"/>
    <w:rsid w:val="00BC6ACC"/>
    <w:rsid w:val="00BD080C"/>
    <w:rsid w:val="00BD1742"/>
    <w:rsid w:val="00BD26E6"/>
    <w:rsid w:val="00BD31CA"/>
    <w:rsid w:val="00BD3311"/>
    <w:rsid w:val="00BD36E5"/>
    <w:rsid w:val="00BD5211"/>
    <w:rsid w:val="00BD5383"/>
    <w:rsid w:val="00BE1367"/>
    <w:rsid w:val="00BE5CF3"/>
    <w:rsid w:val="00BE6079"/>
    <w:rsid w:val="00BE7B26"/>
    <w:rsid w:val="00BF06BB"/>
    <w:rsid w:val="00BF0B98"/>
    <w:rsid w:val="00BF29A3"/>
    <w:rsid w:val="00BF3A9E"/>
    <w:rsid w:val="00BF4751"/>
    <w:rsid w:val="00BF6D67"/>
    <w:rsid w:val="00C01DF4"/>
    <w:rsid w:val="00C02879"/>
    <w:rsid w:val="00C0530B"/>
    <w:rsid w:val="00C06907"/>
    <w:rsid w:val="00C07760"/>
    <w:rsid w:val="00C07B2B"/>
    <w:rsid w:val="00C10896"/>
    <w:rsid w:val="00C10E75"/>
    <w:rsid w:val="00C115AF"/>
    <w:rsid w:val="00C12BC7"/>
    <w:rsid w:val="00C13841"/>
    <w:rsid w:val="00C149A8"/>
    <w:rsid w:val="00C153E3"/>
    <w:rsid w:val="00C16A8C"/>
    <w:rsid w:val="00C17F72"/>
    <w:rsid w:val="00C20096"/>
    <w:rsid w:val="00C22161"/>
    <w:rsid w:val="00C2291B"/>
    <w:rsid w:val="00C24FC6"/>
    <w:rsid w:val="00C266B8"/>
    <w:rsid w:val="00C30084"/>
    <w:rsid w:val="00C305BE"/>
    <w:rsid w:val="00C32BBE"/>
    <w:rsid w:val="00C33DBF"/>
    <w:rsid w:val="00C36467"/>
    <w:rsid w:val="00C43A79"/>
    <w:rsid w:val="00C45A1D"/>
    <w:rsid w:val="00C4605C"/>
    <w:rsid w:val="00C4714D"/>
    <w:rsid w:val="00C47652"/>
    <w:rsid w:val="00C47834"/>
    <w:rsid w:val="00C50E8D"/>
    <w:rsid w:val="00C52087"/>
    <w:rsid w:val="00C52819"/>
    <w:rsid w:val="00C55D63"/>
    <w:rsid w:val="00C56C24"/>
    <w:rsid w:val="00C60294"/>
    <w:rsid w:val="00C6090F"/>
    <w:rsid w:val="00C60F26"/>
    <w:rsid w:val="00C61651"/>
    <w:rsid w:val="00C61BFE"/>
    <w:rsid w:val="00C6347C"/>
    <w:rsid w:val="00C64402"/>
    <w:rsid w:val="00C64D6A"/>
    <w:rsid w:val="00C65263"/>
    <w:rsid w:val="00C7475C"/>
    <w:rsid w:val="00C74A57"/>
    <w:rsid w:val="00C76533"/>
    <w:rsid w:val="00C81B8A"/>
    <w:rsid w:val="00C841EB"/>
    <w:rsid w:val="00C854DD"/>
    <w:rsid w:val="00C858E2"/>
    <w:rsid w:val="00C936DA"/>
    <w:rsid w:val="00C942DC"/>
    <w:rsid w:val="00C944DB"/>
    <w:rsid w:val="00C95212"/>
    <w:rsid w:val="00CA01D6"/>
    <w:rsid w:val="00CA11FB"/>
    <w:rsid w:val="00CA27DA"/>
    <w:rsid w:val="00CA4E2E"/>
    <w:rsid w:val="00CA5762"/>
    <w:rsid w:val="00CA59A3"/>
    <w:rsid w:val="00CA5EA2"/>
    <w:rsid w:val="00CB6828"/>
    <w:rsid w:val="00CC0C05"/>
    <w:rsid w:val="00CD19E9"/>
    <w:rsid w:val="00CD3FA8"/>
    <w:rsid w:val="00CD55CF"/>
    <w:rsid w:val="00CD6440"/>
    <w:rsid w:val="00CD6869"/>
    <w:rsid w:val="00CE11F5"/>
    <w:rsid w:val="00CE1C9F"/>
    <w:rsid w:val="00CE2C4B"/>
    <w:rsid w:val="00CE5380"/>
    <w:rsid w:val="00CE5412"/>
    <w:rsid w:val="00CE71D3"/>
    <w:rsid w:val="00CF1885"/>
    <w:rsid w:val="00CF2EAE"/>
    <w:rsid w:val="00CF2F11"/>
    <w:rsid w:val="00CF3B15"/>
    <w:rsid w:val="00CF3C19"/>
    <w:rsid w:val="00D00BF7"/>
    <w:rsid w:val="00D00CF0"/>
    <w:rsid w:val="00D01D1D"/>
    <w:rsid w:val="00D05A3D"/>
    <w:rsid w:val="00D067C5"/>
    <w:rsid w:val="00D10697"/>
    <w:rsid w:val="00D116D9"/>
    <w:rsid w:val="00D11B2D"/>
    <w:rsid w:val="00D12AFB"/>
    <w:rsid w:val="00D14276"/>
    <w:rsid w:val="00D178CC"/>
    <w:rsid w:val="00D201DF"/>
    <w:rsid w:val="00D214ED"/>
    <w:rsid w:val="00D2281F"/>
    <w:rsid w:val="00D23DED"/>
    <w:rsid w:val="00D24A95"/>
    <w:rsid w:val="00D25D8A"/>
    <w:rsid w:val="00D306DF"/>
    <w:rsid w:val="00D32586"/>
    <w:rsid w:val="00D34023"/>
    <w:rsid w:val="00D34EDB"/>
    <w:rsid w:val="00D364C7"/>
    <w:rsid w:val="00D406B6"/>
    <w:rsid w:val="00D42FF6"/>
    <w:rsid w:val="00D47EA0"/>
    <w:rsid w:val="00D47F27"/>
    <w:rsid w:val="00D50CA6"/>
    <w:rsid w:val="00D51ADB"/>
    <w:rsid w:val="00D51D0B"/>
    <w:rsid w:val="00D54B72"/>
    <w:rsid w:val="00D62243"/>
    <w:rsid w:val="00D65CB3"/>
    <w:rsid w:val="00D706E5"/>
    <w:rsid w:val="00D748DE"/>
    <w:rsid w:val="00D774CF"/>
    <w:rsid w:val="00D82185"/>
    <w:rsid w:val="00D84015"/>
    <w:rsid w:val="00D84250"/>
    <w:rsid w:val="00D932E4"/>
    <w:rsid w:val="00D970D8"/>
    <w:rsid w:val="00DA1C73"/>
    <w:rsid w:val="00DB0224"/>
    <w:rsid w:val="00DB2666"/>
    <w:rsid w:val="00DB71C8"/>
    <w:rsid w:val="00DC1039"/>
    <w:rsid w:val="00DC51B4"/>
    <w:rsid w:val="00DC60D8"/>
    <w:rsid w:val="00DC7F5D"/>
    <w:rsid w:val="00DD1841"/>
    <w:rsid w:val="00DD238F"/>
    <w:rsid w:val="00DD2BF8"/>
    <w:rsid w:val="00DD3223"/>
    <w:rsid w:val="00DD33D3"/>
    <w:rsid w:val="00DD5D81"/>
    <w:rsid w:val="00DD5DEA"/>
    <w:rsid w:val="00DD617D"/>
    <w:rsid w:val="00DD78A0"/>
    <w:rsid w:val="00DE5915"/>
    <w:rsid w:val="00DE6804"/>
    <w:rsid w:val="00DF0616"/>
    <w:rsid w:val="00DF2248"/>
    <w:rsid w:val="00DF3C07"/>
    <w:rsid w:val="00DF7623"/>
    <w:rsid w:val="00E006C4"/>
    <w:rsid w:val="00E011E4"/>
    <w:rsid w:val="00E01688"/>
    <w:rsid w:val="00E02174"/>
    <w:rsid w:val="00E05E73"/>
    <w:rsid w:val="00E061C8"/>
    <w:rsid w:val="00E15F15"/>
    <w:rsid w:val="00E201BA"/>
    <w:rsid w:val="00E20A42"/>
    <w:rsid w:val="00E25C4E"/>
    <w:rsid w:val="00E25E63"/>
    <w:rsid w:val="00E267EC"/>
    <w:rsid w:val="00E26F71"/>
    <w:rsid w:val="00E26F74"/>
    <w:rsid w:val="00E2731B"/>
    <w:rsid w:val="00E27D15"/>
    <w:rsid w:val="00E309D9"/>
    <w:rsid w:val="00E36331"/>
    <w:rsid w:val="00E36FFE"/>
    <w:rsid w:val="00E37BC0"/>
    <w:rsid w:val="00E415CF"/>
    <w:rsid w:val="00E43B00"/>
    <w:rsid w:val="00E446BC"/>
    <w:rsid w:val="00E45B69"/>
    <w:rsid w:val="00E460A6"/>
    <w:rsid w:val="00E465D5"/>
    <w:rsid w:val="00E504C7"/>
    <w:rsid w:val="00E561C6"/>
    <w:rsid w:val="00E572EE"/>
    <w:rsid w:val="00E605A9"/>
    <w:rsid w:val="00E62596"/>
    <w:rsid w:val="00E660CF"/>
    <w:rsid w:val="00E66783"/>
    <w:rsid w:val="00E6752B"/>
    <w:rsid w:val="00E75042"/>
    <w:rsid w:val="00E75E45"/>
    <w:rsid w:val="00E81FB2"/>
    <w:rsid w:val="00E82C82"/>
    <w:rsid w:val="00E83AF4"/>
    <w:rsid w:val="00E85749"/>
    <w:rsid w:val="00E85884"/>
    <w:rsid w:val="00E87543"/>
    <w:rsid w:val="00E9058A"/>
    <w:rsid w:val="00E91E67"/>
    <w:rsid w:val="00E922E8"/>
    <w:rsid w:val="00E9233C"/>
    <w:rsid w:val="00E92D9C"/>
    <w:rsid w:val="00E93214"/>
    <w:rsid w:val="00E935A4"/>
    <w:rsid w:val="00E9437B"/>
    <w:rsid w:val="00E94389"/>
    <w:rsid w:val="00E951FE"/>
    <w:rsid w:val="00E957D5"/>
    <w:rsid w:val="00E97E36"/>
    <w:rsid w:val="00EA2D43"/>
    <w:rsid w:val="00EA2F9F"/>
    <w:rsid w:val="00EA3696"/>
    <w:rsid w:val="00EA5847"/>
    <w:rsid w:val="00EA6E84"/>
    <w:rsid w:val="00EA7C2E"/>
    <w:rsid w:val="00EB0B68"/>
    <w:rsid w:val="00EB17CA"/>
    <w:rsid w:val="00EB1D99"/>
    <w:rsid w:val="00EB4087"/>
    <w:rsid w:val="00EB44FF"/>
    <w:rsid w:val="00EB5024"/>
    <w:rsid w:val="00EC1264"/>
    <w:rsid w:val="00EC5AB7"/>
    <w:rsid w:val="00EC5B4A"/>
    <w:rsid w:val="00EC70F4"/>
    <w:rsid w:val="00EC7758"/>
    <w:rsid w:val="00ED2CA7"/>
    <w:rsid w:val="00ED39B1"/>
    <w:rsid w:val="00ED45CE"/>
    <w:rsid w:val="00ED5670"/>
    <w:rsid w:val="00ED5E36"/>
    <w:rsid w:val="00ED691D"/>
    <w:rsid w:val="00ED7A95"/>
    <w:rsid w:val="00EE2BE1"/>
    <w:rsid w:val="00EE3580"/>
    <w:rsid w:val="00EE42A2"/>
    <w:rsid w:val="00EE4490"/>
    <w:rsid w:val="00EF02DF"/>
    <w:rsid w:val="00EF0EDC"/>
    <w:rsid w:val="00EF3946"/>
    <w:rsid w:val="00EF59DE"/>
    <w:rsid w:val="00EF5DCA"/>
    <w:rsid w:val="00EF774A"/>
    <w:rsid w:val="00F00D6D"/>
    <w:rsid w:val="00F013FC"/>
    <w:rsid w:val="00F02B69"/>
    <w:rsid w:val="00F038FA"/>
    <w:rsid w:val="00F06070"/>
    <w:rsid w:val="00F06D5A"/>
    <w:rsid w:val="00F0789F"/>
    <w:rsid w:val="00F11C10"/>
    <w:rsid w:val="00F14506"/>
    <w:rsid w:val="00F160A9"/>
    <w:rsid w:val="00F20838"/>
    <w:rsid w:val="00F2092B"/>
    <w:rsid w:val="00F2274C"/>
    <w:rsid w:val="00F240DE"/>
    <w:rsid w:val="00F25285"/>
    <w:rsid w:val="00F32FDC"/>
    <w:rsid w:val="00F34C5E"/>
    <w:rsid w:val="00F350F4"/>
    <w:rsid w:val="00F37ABA"/>
    <w:rsid w:val="00F37DF0"/>
    <w:rsid w:val="00F40D4E"/>
    <w:rsid w:val="00F41CD0"/>
    <w:rsid w:val="00F42EE1"/>
    <w:rsid w:val="00F435DB"/>
    <w:rsid w:val="00F47391"/>
    <w:rsid w:val="00F5069F"/>
    <w:rsid w:val="00F50CAD"/>
    <w:rsid w:val="00F54701"/>
    <w:rsid w:val="00F54C3C"/>
    <w:rsid w:val="00F6089D"/>
    <w:rsid w:val="00F61CA9"/>
    <w:rsid w:val="00F62296"/>
    <w:rsid w:val="00F638F3"/>
    <w:rsid w:val="00F63CDC"/>
    <w:rsid w:val="00F67A0A"/>
    <w:rsid w:val="00F71E01"/>
    <w:rsid w:val="00F722AB"/>
    <w:rsid w:val="00F73DB3"/>
    <w:rsid w:val="00F74901"/>
    <w:rsid w:val="00F74AB0"/>
    <w:rsid w:val="00F76DA0"/>
    <w:rsid w:val="00F85004"/>
    <w:rsid w:val="00F8671F"/>
    <w:rsid w:val="00F91564"/>
    <w:rsid w:val="00F93B12"/>
    <w:rsid w:val="00FA0963"/>
    <w:rsid w:val="00FA1642"/>
    <w:rsid w:val="00FA1A8A"/>
    <w:rsid w:val="00FA2179"/>
    <w:rsid w:val="00FA2688"/>
    <w:rsid w:val="00FA413A"/>
    <w:rsid w:val="00FA6403"/>
    <w:rsid w:val="00FA6A77"/>
    <w:rsid w:val="00FA7A66"/>
    <w:rsid w:val="00FB226F"/>
    <w:rsid w:val="00FB4848"/>
    <w:rsid w:val="00FB4E6E"/>
    <w:rsid w:val="00FD0551"/>
    <w:rsid w:val="00FD0DBC"/>
    <w:rsid w:val="00FD11F5"/>
    <w:rsid w:val="00FD357E"/>
    <w:rsid w:val="00FD370C"/>
    <w:rsid w:val="00FD3D21"/>
    <w:rsid w:val="00FD41F9"/>
    <w:rsid w:val="00FD523B"/>
    <w:rsid w:val="00FD5711"/>
    <w:rsid w:val="00FE0A16"/>
    <w:rsid w:val="00FE1D88"/>
    <w:rsid w:val="00FE37BD"/>
    <w:rsid w:val="00FE4728"/>
    <w:rsid w:val="00FE4EB9"/>
    <w:rsid w:val="00FE651B"/>
    <w:rsid w:val="00FF13DA"/>
    <w:rsid w:val="00FF1B0E"/>
    <w:rsid w:val="00FF391E"/>
    <w:rsid w:val="00FF51BA"/>
    <w:rsid w:val="00FF7031"/>
    <w:rsid w:val="00FF71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7A"/>
    <w:rPr>
      <w:rFonts w:ascii="Calibri" w:eastAsia="Calibri" w:hAnsi="Calibri" w:cs="Times New Roman"/>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159"/>
    <w:pPr>
      <w:tabs>
        <w:tab w:val="center" w:pos="4252"/>
        <w:tab w:val="right" w:pos="8504"/>
      </w:tabs>
      <w:spacing w:after="0" w:line="240" w:lineRule="auto"/>
    </w:pPr>
  </w:style>
  <w:style w:type="character" w:customStyle="1" w:styleId="FooterChar">
    <w:name w:val="Footer Char"/>
    <w:basedOn w:val="DefaultParagraphFont"/>
    <w:link w:val="Footer"/>
    <w:uiPriority w:val="99"/>
    <w:rsid w:val="00521159"/>
    <w:rPr>
      <w:rFonts w:ascii="Calibri" w:eastAsia="Calibri" w:hAnsi="Calibri" w:cs="Times New Roman"/>
      <w:lang w:val="es-CL"/>
    </w:rPr>
  </w:style>
  <w:style w:type="paragraph" w:styleId="BalloonText">
    <w:name w:val="Balloon Text"/>
    <w:basedOn w:val="Normal"/>
    <w:link w:val="BalloonTextChar"/>
    <w:uiPriority w:val="99"/>
    <w:semiHidden/>
    <w:unhideWhenUsed/>
    <w:rsid w:val="0052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59"/>
    <w:rPr>
      <w:rFonts w:ascii="Tahoma" w:eastAsia="Calibri" w:hAnsi="Tahoma" w:cs="Tahoma"/>
      <w:sz w:val="16"/>
      <w:szCs w:val="16"/>
      <w:lang w:val="es-CL"/>
    </w:rPr>
  </w:style>
  <w:style w:type="paragraph" w:styleId="ListParagraph">
    <w:name w:val="List Paragraph"/>
    <w:basedOn w:val="Normal"/>
    <w:uiPriority w:val="34"/>
    <w:qFormat/>
    <w:rsid w:val="00E561C6"/>
    <w:pPr>
      <w:ind w:left="720"/>
      <w:contextualSpacing/>
    </w:pPr>
  </w:style>
  <w:style w:type="paragraph" w:styleId="Header">
    <w:name w:val="header"/>
    <w:basedOn w:val="Normal"/>
    <w:link w:val="HeaderChar"/>
    <w:uiPriority w:val="99"/>
    <w:unhideWhenUsed/>
    <w:rsid w:val="00E93214"/>
    <w:pPr>
      <w:tabs>
        <w:tab w:val="center" w:pos="4419"/>
        <w:tab w:val="right" w:pos="8838"/>
      </w:tabs>
      <w:spacing w:after="0" w:line="240" w:lineRule="auto"/>
    </w:pPr>
  </w:style>
  <w:style w:type="character" w:customStyle="1" w:styleId="HeaderChar">
    <w:name w:val="Header Char"/>
    <w:basedOn w:val="DefaultParagraphFont"/>
    <w:link w:val="Header"/>
    <w:uiPriority w:val="99"/>
    <w:rsid w:val="00E93214"/>
    <w:rPr>
      <w:rFonts w:ascii="Calibri" w:eastAsia="Calibri" w:hAnsi="Calibri" w:cs="Times New Roman"/>
      <w:lang w:val="es-CL"/>
    </w:rPr>
  </w:style>
  <w:style w:type="table" w:styleId="MediumShading2-Accent3">
    <w:name w:val="Medium Shading 2 Accent 3"/>
    <w:basedOn w:val="TableNormal"/>
    <w:uiPriority w:val="64"/>
    <w:rsid w:val="004A7F6E"/>
    <w:pPr>
      <w:spacing w:after="0" w:line="240" w:lineRule="auto"/>
    </w:pPr>
    <w:rPr>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nhideWhenUsed/>
    <w:rsid w:val="003952D5"/>
    <w:pPr>
      <w:spacing w:after="0" w:line="240" w:lineRule="auto"/>
    </w:pPr>
    <w:rPr>
      <w:sz w:val="20"/>
      <w:szCs w:val="20"/>
    </w:rPr>
  </w:style>
  <w:style w:type="character" w:customStyle="1" w:styleId="FootnoteTextChar">
    <w:name w:val="Footnote Text Char"/>
    <w:basedOn w:val="DefaultParagraphFont"/>
    <w:link w:val="FootnoteText"/>
    <w:uiPriority w:val="99"/>
    <w:rsid w:val="003952D5"/>
    <w:rPr>
      <w:rFonts w:ascii="Calibri" w:eastAsia="Calibri" w:hAnsi="Calibri" w:cs="Times New Roman"/>
      <w:sz w:val="20"/>
      <w:szCs w:val="20"/>
      <w:lang w:val="es-CL"/>
    </w:rPr>
  </w:style>
  <w:style w:type="character" w:styleId="FootnoteReference">
    <w:name w:val="footnote reference"/>
    <w:basedOn w:val="DefaultParagraphFont"/>
    <w:uiPriority w:val="99"/>
    <w:semiHidden/>
    <w:unhideWhenUsed/>
    <w:rsid w:val="003952D5"/>
    <w:rPr>
      <w:vertAlign w:val="superscript"/>
    </w:rPr>
  </w:style>
  <w:style w:type="character" w:styleId="Hyperlink">
    <w:name w:val="Hyperlink"/>
    <w:basedOn w:val="DefaultParagraphFont"/>
    <w:uiPriority w:val="99"/>
    <w:unhideWhenUsed/>
    <w:rsid w:val="0010104C"/>
    <w:rPr>
      <w:color w:val="0000FF" w:themeColor="hyperlink"/>
      <w:u w:val="single"/>
    </w:rPr>
  </w:style>
  <w:style w:type="character" w:styleId="FollowedHyperlink">
    <w:name w:val="FollowedHyperlink"/>
    <w:basedOn w:val="DefaultParagraphFont"/>
    <w:uiPriority w:val="99"/>
    <w:semiHidden/>
    <w:unhideWhenUsed/>
    <w:rsid w:val="008B5314"/>
    <w:rPr>
      <w:color w:val="800080" w:themeColor="followedHyperlink"/>
      <w:u w:val="single"/>
    </w:rPr>
  </w:style>
  <w:style w:type="table" w:styleId="TableGrid">
    <w:name w:val="Table Grid"/>
    <w:basedOn w:val="TableNormal"/>
    <w:uiPriority w:val="59"/>
    <w:rsid w:val="0005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8F441F"/>
    <w:pPr>
      <w:spacing w:after="0" w:line="240" w:lineRule="auto"/>
    </w:pPr>
    <w:rPr>
      <w:rFonts w:ascii="Times New Roman" w:eastAsia="Times New Roman" w:hAnsi="Times New Roman"/>
      <w:bCs/>
      <w:sz w:val="20"/>
      <w:szCs w:val="24"/>
      <w:lang w:val="en-US" w:eastAsia="es-ES"/>
    </w:rPr>
  </w:style>
  <w:style w:type="character" w:customStyle="1" w:styleId="BodyTextChar">
    <w:name w:val="Body Text Char"/>
    <w:basedOn w:val="DefaultParagraphFont"/>
    <w:link w:val="BodyText"/>
    <w:semiHidden/>
    <w:rsid w:val="008F441F"/>
    <w:rPr>
      <w:rFonts w:ascii="Times New Roman" w:eastAsia="Times New Roman" w:hAnsi="Times New Roman" w:cs="Times New Roman"/>
      <w:bCs/>
      <w:sz w:val="20"/>
      <w:szCs w:val="24"/>
      <w:lang w:val="en-US" w:eastAsia="es-ES"/>
    </w:rPr>
  </w:style>
  <w:style w:type="table" w:styleId="MediumShading2-Accent4">
    <w:name w:val="Medium Shading 2 Accent 4"/>
    <w:basedOn w:val="TableNormal"/>
    <w:uiPriority w:val="64"/>
    <w:rsid w:val="00C60F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7A"/>
    <w:rPr>
      <w:rFonts w:ascii="Calibri" w:eastAsia="Calibri" w:hAnsi="Calibri" w:cs="Times New Roman"/>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159"/>
    <w:pPr>
      <w:tabs>
        <w:tab w:val="center" w:pos="4252"/>
        <w:tab w:val="right" w:pos="8504"/>
      </w:tabs>
      <w:spacing w:after="0" w:line="240" w:lineRule="auto"/>
    </w:pPr>
  </w:style>
  <w:style w:type="character" w:customStyle="1" w:styleId="FooterChar">
    <w:name w:val="Footer Char"/>
    <w:basedOn w:val="DefaultParagraphFont"/>
    <w:link w:val="Footer"/>
    <w:uiPriority w:val="99"/>
    <w:rsid w:val="00521159"/>
    <w:rPr>
      <w:rFonts w:ascii="Calibri" w:eastAsia="Calibri" w:hAnsi="Calibri" w:cs="Times New Roman"/>
      <w:lang w:val="es-CL"/>
    </w:rPr>
  </w:style>
  <w:style w:type="paragraph" w:styleId="BalloonText">
    <w:name w:val="Balloon Text"/>
    <w:basedOn w:val="Normal"/>
    <w:link w:val="BalloonTextChar"/>
    <w:uiPriority w:val="99"/>
    <w:semiHidden/>
    <w:unhideWhenUsed/>
    <w:rsid w:val="0052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59"/>
    <w:rPr>
      <w:rFonts w:ascii="Tahoma" w:eastAsia="Calibri" w:hAnsi="Tahoma" w:cs="Tahoma"/>
      <w:sz w:val="16"/>
      <w:szCs w:val="16"/>
      <w:lang w:val="es-CL"/>
    </w:rPr>
  </w:style>
  <w:style w:type="paragraph" w:styleId="ListParagraph">
    <w:name w:val="List Paragraph"/>
    <w:basedOn w:val="Normal"/>
    <w:uiPriority w:val="34"/>
    <w:qFormat/>
    <w:rsid w:val="00E561C6"/>
    <w:pPr>
      <w:ind w:left="720"/>
      <w:contextualSpacing/>
    </w:pPr>
  </w:style>
  <w:style w:type="paragraph" w:styleId="Header">
    <w:name w:val="header"/>
    <w:basedOn w:val="Normal"/>
    <w:link w:val="HeaderChar"/>
    <w:uiPriority w:val="99"/>
    <w:unhideWhenUsed/>
    <w:rsid w:val="00E93214"/>
    <w:pPr>
      <w:tabs>
        <w:tab w:val="center" w:pos="4419"/>
        <w:tab w:val="right" w:pos="8838"/>
      </w:tabs>
      <w:spacing w:after="0" w:line="240" w:lineRule="auto"/>
    </w:pPr>
  </w:style>
  <w:style w:type="character" w:customStyle="1" w:styleId="HeaderChar">
    <w:name w:val="Header Char"/>
    <w:basedOn w:val="DefaultParagraphFont"/>
    <w:link w:val="Header"/>
    <w:uiPriority w:val="99"/>
    <w:rsid w:val="00E93214"/>
    <w:rPr>
      <w:rFonts w:ascii="Calibri" w:eastAsia="Calibri" w:hAnsi="Calibri" w:cs="Times New Roman"/>
      <w:lang w:val="es-CL"/>
    </w:rPr>
  </w:style>
  <w:style w:type="table" w:styleId="MediumShading2-Accent3">
    <w:name w:val="Medium Shading 2 Accent 3"/>
    <w:basedOn w:val="TableNormal"/>
    <w:uiPriority w:val="64"/>
    <w:rsid w:val="004A7F6E"/>
    <w:pPr>
      <w:spacing w:after="0" w:line="240" w:lineRule="auto"/>
    </w:pPr>
    <w:rPr>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nhideWhenUsed/>
    <w:rsid w:val="003952D5"/>
    <w:pPr>
      <w:spacing w:after="0" w:line="240" w:lineRule="auto"/>
    </w:pPr>
    <w:rPr>
      <w:sz w:val="20"/>
      <w:szCs w:val="20"/>
    </w:rPr>
  </w:style>
  <w:style w:type="character" w:customStyle="1" w:styleId="FootnoteTextChar">
    <w:name w:val="Footnote Text Char"/>
    <w:basedOn w:val="DefaultParagraphFont"/>
    <w:link w:val="FootnoteText"/>
    <w:uiPriority w:val="99"/>
    <w:rsid w:val="003952D5"/>
    <w:rPr>
      <w:rFonts w:ascii="Calibri" w:eastAsia="Calibri" w:hAnsi="Calibri" w:cs="Times New Roman"/>
      <w:sz w:val="20"/>
      <w:szCs w:val="20"/>
      <w:lang w:val="es-CL"/>
    </w:rPr>
  </w:style>
  <w:style w:type="character" w:styleId="FootnoteReference">
    <w:name w:val="footnote reference"/>
    <w:basedOn w:val="DefaultParagraphFont"/>
    <w:uiPriority w:val="99"/>
    <w:semiHidden/>
    <w:unhideWhenUsed/>
    <w:rsid w:val="003952D5"/>
    <w:rPr>
      <w:vertAlign w:val="superscript"/>
    </w:rPr>
  </w:style>
  <w:style w:type="character" w:styleId="Hyperlink">
    <w:name w:val="Hyperlink"/>
    <w:basedOn w:val="DefaultParagraphFont"/>
    <w:uiPriority w:val="99"/>
    <w:unhideWhenUsed/>
    <w:rsid w:val="0010104C"/>
    <w:rPr>
      <w:color w:val="0000FF" w:themeColor="hyperlink"/>
      <w:u w:val="single"/>
    </w:rPr>
  </w:style>
  <w:style w:type="character" w:styleId="FollowedHyperlink">
    <w:name w:val="FollowedHyperlink"/>
    <w:basedOn w:val="DefaultParagraphFont"/>
    <w:uiPriority w:val="99"/>
    <w:semiHidden/>
    <w:unhideWhenUsed/>
    <w:rsid w:val="008B5314"/>
    <w:rPr>
      <w:color w:val="800080" w:themeColor="followedHyperlink"/>
      <w:u w:val="single"/>
    </w:rPr>
  </w:style>
  <w:style w:type="table" w:styleId="TableGrid">
    <w:name w:val="Table Grid"/>
    <w:basedOn w:val="TableNormal"/>
    <w:uiPriority w:val="59"/>
    <w:rsid w:val="0005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8F441F"/>
    <w:pPr>
      <w:spacing w:after="0" w:line="240" w:lineRule="auto"/>
    </w:pPr>
    <w:rPr>
      <w:rFonts w:ascii="Times New Roman" w:eastAsia="Times New Roman" w:hAnsi="Times New Roman"/>
      <w:bCs/>
      <w:sz w:val="20"/>
      <w:szCs w:val="24"/>
      <w:lang w:val="en-US" w:eastAsia="es-ES"/>
    </w:rPr>
  </w:style>
  <w:style w:type="character" w:customStyle="1" w:styleId="BodyTextChar">
    <w:name w:val="Body Text Char"/>
    <w:basedOn w:val="DefaultParagraphFont"/>
    <w:link w:val="BodyText"/>
    <w:semiHidden/>
    <w:rsid w:val="008F441F"/>
    <w:rPr>
      <w:rFonts w:ascii="Times New Roman" w:eastAsia="Times New Roman" w:hAnsi="Times New Roman" w:cs="Times New Roman"/>
      <w:bCs/>
      <w:sz w:val="20"/>
      <w:szCs w:val="24"/>
      <w:lang w:val="en-US" w:eastAsia="es-ES"/>
    </w:rPr>
  </w:style>
  <w:style w:type="table" w:styleId="MediumShading2-Accent4">
    <w:name w:val="Medium Shading 2 Accent 4"/>
    <w:basedOn w:val="TableNormal"/>
    <w:uiPriority w:val="64"/>
    <w:rsid w:val="00C60F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39806634">
      <w:bodyDiv w:val="1"/>
      <w:marLeft w:val="0"/>
      <w:marRight w:val="0"/>
      <w:marTop w:val="0"/>
      <w:marBottom w:val="0"/>
      <w:divBdr>
        <w:top w:val="none" w:sz="0" w:space="0" w:color="auto"/>
        <w:left w:val="none" w:sz="0" w:space="0" w:color="auto"/>
        <w:bottom w:val="none" w:sz="0" w:space="0" w:color="auto"/>
        <w:right w:val="none" w:sz="0" w:space="0" w:color="auto"/>
      </w:divBdr>
    </w:div>
    <w:div w:id="685256129">
      <w:bodyDiv w:val="1"/>
      <w:marLeft w:val="0"/>
      <w:marRight w:val="0"/>
      <w:marTop w:val="0"/>
      <w:marBottom w:val="0"/>
      <w:divBdr>
        <w:top w:val="none" w:sz="0" w:space="0" w:color="auto"/>
        <w:left w:val="none" w:sz="0" w:space="0" w:color="auto"/>
        <w:bottom w:val="none" w:sz="0" w:space="0" w:color="auto"/>
        <w:right w:val="none" w:sz="0" w:space="0" w:color="auto"/>
      </w:divBdr>
    </w:div>
    <w:div w:id="984625103">
      <w:bodyDiv w:val="1"/>
      <w:marLeft w:val="0"/>
      <w:marRight w:val="0"/>
      <w:marTop w:val="0"/>
      <w:marBottom w:val="0"/>
      <w:divBdr>
        <w:top w:val="none" w:sz="0" w:space="0" w:color="auto"/>
        <w:left w:val="none" w:sz="0" w:space="0" w:color="auto"/>
        <w:bottom w:val="none" w:sz="0" w:space="0" w:color="auto"/>
        <w:right w:val="none" w:sz="0" w:space="0" w:color="auto"/>
      </w:divBdr>
    </w:div>
    <w:div w:id="1408259306">
      <w:bodyDiv w:val="1"/>
      <w:marLeft w:val="0"/>
      <w:marRight w:val="0"/>
      <w:marTop w:val="0"/>
      <w:marBottom w:val="0"/>
      <w:divBdr>
        <w:top w:val="none" w:sz="0" w:space="0" w:color="auto"/>
        <w:left w:val="none" w:sz="0" w:space="0" w:color="auto"/>
        <w:bottom w:val="none" w:sz="0" w:space="0" w:color="auto"/>
        <w:right w:val="none" w:sz="0" w:space="0" w:color="auto"/>
      </w:divBdr>
    </w:div>
    <w:div w:id="1510606359">
      <w:bodyDiv w:val="1"/>
      <w:marLeft w:val="0"/>
      <w:marRight w:val="0"/>
      <w:marTop w:val="0"/>
      <w:marBottom w:val="0"/>
      <w:divBdr>
        <w:top w:val="none" w:sz="0" w:space="0" w:color="auto"/>
        <w:left w:val="none" w:sz="0" w:space="0" w:color="auto"/>
        <w:bottom w:val="none" w:sz="0" w:space="0" w:color="auto"/>
        <w:right w:val="none" w:sz="0" w:space="0" w:color="auto"/>
      </w:divBdr>
    </w:div>
    <w:div w:id="1717582431">
      <w:bodyDiv w:val="1"/>
      <w:marLeft w:val="0"/>
      <w:marRight w:val="0"/>
      <w:marTop w:val="0"/>
      <w:marBottom w:val="0"/>
      <w:divBdr>
        <w:top w:val="none" w:sz="0" w:space="0" w:color="auto"/>
        <w:left w:val="none" w:sz="0" w:space="0" w:color="auto"/>
        <w:bottom w:val="none" w:sz="0" w:space="0" w:color="auto"/>
        <w:right w:val="none" w:sz="0" w:space="0" w:color="auto"/>
      </w:divBdr>
    </w:div>
    <w:div w:id="1964655388">
      <w:bodyDiv w:val="1"/>
      <w:marLeft w:val="0"/>
      <w:marRight w:val="0"/>
      <w:marTop w:val="0"/>
      <w:marBottom w:val="0"/>
      <w:divBdr>
        <w:top w:val="none" w:sz="0" w:space="0" w:color="auto"/>
        <w:left w:val="none" w:sz="0" w:space="0" w:color="auto"/>
        <w:bottom w:val="none" w:sz="0" w:space="0" w:color="auto"/>
        <w:right w:val="none" w:sz="0" w:space="0" w:color="auto"/>
      </w:divBdr>
    </w:div>
    <w:div w:id="21261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hyperlink" Target="mailto:jmartine@ine.gob.mx"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mailto:carmunoz@ine.gob.mx" TargetMode="External"/><Relationship Id="rId33" Type="http://schemas.openxmlformats.org/officeDocument/2006/relationships/footer" Target="footer7.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8.png"/><Relationship Id="rId29" Type="http://schemas.openxmlformats.org/officeDocument/2006/relationships/hyperlink" Target="mailto:Lyes.FERROUKHI@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raul.arellano@semarnat.gob.mx"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roberto.cabral@semarnat.gob.mx" TargetMode="External"/><Relationship Id="rId28" Type="http://schemas.openxmlformats.org/officeDocument/2006/relationships/hyperlink" Target="mailto:mariajose.mesen@undp.org" TargetMode="External"/><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7.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jonathan.ryan@semarnat.gob.mx" TargetMode="External"/><Relationship Id="rId30" Type="http://schemas.openxmlformats.org/officeDocument/2006/relationships/image" Target="media/image10.png"/><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C5EB-38D9-48CB-978D-90F52FEC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15366</Words>
  <Characters>87589</Characters>
  <Application>Microsoft Office Word</Application>
  <DocSecurity>0</DocSecurity>
  <Lines>729</Lines>
  <Paragraphs>205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102750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kyoko.bourns</cp:lastModifiedBy>
  <cp:revision>2</cp:revision>
  <cp:lastPrinted>2011-08-23T20:51:00Z</cp:lastPrinted>
  <dcterms:created xsi:type="dcterms:W3CDTF">2011-12-15T20:40:00Z</dcterms:created>
  <dcterms:modified xsi:type="dcterms:W3CDTF">2011-12-15T20:40:00Z</dcterms:modified>
</cp:coreProperties>
</file>