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5A3" w:rsidRPr="00A8745F" w:rsidRDefault="009849D4" w:rsidP="00A8745F">
      <w:pPr>
        <w:jc w:val="both"/>
        <w:rPr>
          <w:u w:val="single"/>
        </w:rPr>
      </w:pPr>
      <w:bookmarkStart w:id="0" w:name="_GoBack"/>
      <w:bookmarkEnd w:id="0"/>
      <w:r>
        <w:rPr>
          <w:u w:val="single"/>
        </w:rPr>
        <w:t xml:space="preserve">UNDP </w:t>
      </w:r>
      <w:r w:rsidRPr="00C56F01">
        <w:rPr>
          <w:u w:val="single"/>
        </w:rPr>
        <w:t xml:space="preserve">End-of-Project Evaluation </w:t>
      </w:r>
      <w:r w:rsidR="00F20E10" w:rsidRPr="00A8745F">
        <w:rPr>
          <w:u w:val="single"/>
        </w:rPr>
        <w:t xml:space="preserve">Terms of Reference </w:t>
      </w:r>
      <w:r w:rsidR="00856EFD">
        <w:rPr>
          <w:u w:val="single"/>
        </w:rPr>
        <w:t xml:space="preserve">(TORs) </w:t>
      </w:r>
      <w:r w:rsidR="00F20E10" w:rsidRPr="00A8745F">
        <w:rPr>
          <w:u w:val="single"/>
        </w:rPr>
        <w:t>for the Caribbean Regional Technical Assistance Centre</w:t>
      </w:r>
      <w:r w:rsidR="00CC5F72" w:rsidRPr="00A8745F">
        <w:rPr>
          <w:u w:val="single"/>
        </w:rPr>
        <w:t xml:space="preserve"> (CARTAC)</w:t>
      </w:r>
      <w:r w:rsidR="00C56F01" w:rsidRPr="00C56F01">
        <w:rPr>
          <w:u w:val="single"/>
        </w:rPr>
        <w:t xml:space="preserve"> </w:t>
      </w:r>
    </w:p>
    <w:p w:rsidR="00C045FE" w:rsidRPr="00944FB1" w:rsidRDefault="00C045FE" w:rsidP="009F3CA0">
      <w:pPr>
        <w:jc w:val="both"/>
        <w:rPr>
          <w:b/>
        </w:rPr>
      </w:pPr>
      <w:r w:rsidRPr="00944FB1">
        <w:rPr>
          <w:b/>
        </w:rPr>
        <w:t>Development Context</w:t>
      </w:r>
    </w:p>
    <w:p w:rsidR="007E3674" w:rsidRDefault="007831E2" w:rsidP="003F50F1">
      <w:pPr>
        <w:autoSpaceDE w:val="0"/>
        <w:autoSpaceDN w:val="0"/>
        <w:adjustRightInd w:val="0"/>
        <w:spacing w:after="0"/>
        <w:jc w:val="both"/>
        <w:rPr>
          <w:rFonts w:cs="ACaslon-Regular"/>
          <w:color w:val="000000"/>
        </w:rPr>
      </w:pPr>
      <w:r>
        <w:rPr>
          <w:rFonts w:cs="ACaslon-Regular"/>
          <w:color w:val="000000"/>
        </w:rPr>
        <w:t>T</w:t>
      </w:r>
      <w:r w:rsidR="00CF3CA6" w:rsidRPr="00A31047">
        <w:rPr>
          <w:rFonts w:cs="ACaslon-Regular"/>
          <w:color w:val="000000"/>
        </w:rPr>
        <w:t>he</w:t>
      </w:r>
      <w:r w:rsidR="009F3CA0" w:rsidRPr="00A31047">
        <w:rPr>
          <w:rFonts w:cs="ACaslon-Regular"/>
          <w:color w:val="000000"/>
        </w:rPr>
        <w:t xml:space="preserve"> </w:t>
      </w:r>
      <w:r w:rsidR="00CF3CA6" w:rsidRPr="00A31047">
        <w:rPr>
          <w:rFonts w:cs="ACaslon-Regular"/>
          <w:color w:val="000000"/>
        </w:rPr>
        <w:t xml:space="preserve">Caribbean </w:t>
      </w:r>
      <w:r w:rsidR="00233856">
        <w:rPr>
          <w:rFonts w:cs="ACaslon-Regular"/>
          <w:color w:val="000000"/>
        </w:rPr>
        <w:t xml:space="preserve">Region as a grouping of Small Island Developing States (SIDS) </w:t>
      </w:r>
      <w:r w:rsidR="00CF3CA6" w:rsidRPr="00A31047">
        <w:rPr>
          <w:rFonts w:cs="ACaslon-Regular"/>
          <w:color w:val="000000"/>
        </w:rPr>
        <w:t xml:space="preserve">is </w:t>
      </w:r>
      <w:r>
        <w:rPr>
          <w:rFonts w:cs="ACaslon-Regular"/>
          <w:color w:val="000000"/>
        </w:rPr>
        <w:t xml:space="preserve">experiencing </w:t>
      </w:r>
      <w:r w:rsidR="003B3442">
        <w:rPr>
          <w:rFonts w:cs="ACaslon-Regular"/>
          <w:color w:val="000000"/>
        </w:rPr>
        <w:t xml:space="preserve"> </w:t>
      </w:r>
      <w:r w:rsidR="00CF3CA6" w:rsidRPr="00A31047">
        <w:rPr>
          <w:rFonts w:cs="ACaslon-Regular"/>
          <w:color w:val="000000"/>
        </w:rPr>
        <w:t xml:space="preserve"> </w:t>
      </w:r>
      <w:r w:rsidR="003B3442">
        <w:rPr>
          <w:rFonts w:cs="ACaslon-Regular"/>
          <w:color w:val="000000"/>
        </w:rPr>
        <w:t xml:space="preserve">accelerated </w:t>
      </w:r>
      <w:r w:rsidR="00CF3CA6" w:rsidRPr="00A31047">
        <w:rPr>
          <w:rFonts w:cs="ACaslon-Regular"/>
          <w:color w:val="000000"/>
        </w:rPr>
        <w:t xml:space="preserve">structural </w:t>
      </w:r>
      <w:r>
        <w:rPr>
          <w:rFonts w:cs="ACaslon-Regular"/>
          <w:color w:val="000000"/>
        </w:rPr>
        <w:t>change</w:t>
      </w:r>
      <w:r w:rsidR="003B3442">
        <w:rPr>
          <w:rFonts w:cs="ACaslon-Regular"/>
          <w:color w:val="000000"/>
        </w:rPr>
        <w:t xml:space="preserve"> </w:t>
      </w:r>
      <w:r w:rsidR="00604475">
        <w:rPr>
          <w:rFonts w:cs="ACaslon-Regular"/>
          <w:color w:val="000000"/>
        </w:rPr>
        <w:t xml:space="preserve">due to </w:t>
      </w:r>
      <w:r w:rsidR="000D3A9C">
        <w:rPr>
          <w:rFonts w:cs="ACaslon-Regular"/>
          <w:color w:val="000000"/>
        </w:rPr>
        <w:t xml:space="preserve">the </w:t>
      </w:r>
      <w:r w:rsidR="00CF3CA6" w:rsidRPr="00A31047">
        <w:rPr>
          <w:rFonts w:cs="ACaslon-Regular"/>
          <w:color w:val="000000"/>
        </w:rPr>
        <w:t>global</w:t>
      </w:r>
      <w:r>
        <w:rPr>
          <w:rFonts w:cs="ACaslon-Regular"/>
          <w:color w:val="000000"/>
        </w:rPr>
        <w:t xml:space="preserve"> economic recession and </w:t>
      </w:r>
      <w:r w:rsidR="007E3674">
        <w:rPr>
          <w:rFonts w:cs="ACaslon-Regular"/>
          <w:color w:val="000000"/>
        </w:rPr>
        <w:t>its</w:t>
      </w:r>
      <w:r>
        <w:rPr>
          <w:rFonts w:cs="ACaslon-Regular"/>
          <w:color w:val="000000"/>
        </w:rPr>
        <w:t xml:space="preserve"> linked </w:t>
      </w:r>
      <w:r w:rsidR="006E35CA">
        <w:rPr>
          <w:rFonts w:cs="ACaslon-Regular"/>
          <w:color w:val="000000"/>
        </w:rPr>
        <w:t xml:space="preserve">fiduciary </w:t>
      </w:r>
      <w:r w:rsidR="000D3A9C">
        <w:rPr>
          <w:rFonts w:cs="ACaslon-Regular"/>
          <w:color w:val="000000"/>
        </w:rPr>
        <w:t xml:space="preserve">impacts. </w:t>
      </w:r>
      <w:r w:rsidR="007E3674">
        <w:rPr>
          <w:rFonts w:cs="ACaslon-Regular"/>
          <w:color w:val="000000"/>
        </w:rPr>
        <w:t xml:space="preserve">The recession further compounded </w:t>
      </w:r>
      <w:r w:rsidR="007E3674" w:rsidRPr="00A31047">
        <w:rPr>
          <w:rFonts w:cs="ACaslon-Regular"/>
          <w:color w:val="000000"/>
        </w:rPr>
        <w:t>market liberalization</w:t>
      </w:r>
      <w:r w:rsidR="007E3674">
        <w:rPr>
          <w:rFonts w:cs="ACaslon-Regular"/>
          <w:color w:val="000000"/>
        </w:rPr>
        <w:t xml:space="preserve"> impacts and the prolonged crisis has affected economic and social development levels</w:t>
      </w:r>
      <w:r w:rsidR="007E3674" w:rsidRPr="000D3A9C">
        <w:rPr>
          <w:rFonts w:cs="ACaslon-Regular"/>
          <w:color w:val="000000"/>
        </w:rPr>
        <w:t xml:space="preserve"> </w:t>
      </w:r>
      <w:r w:rsidR="007E3674">
        <w:rPr>
          <w:rFonts w:cs="ACaslon-Regular"/>
          <w:color w:val="000000"/>
        </w:rPr>
        <w:t xml:space="preserve">at </w:t>
      </w:r>
      <w:r w:rsidR="007E3674" w:rsidRPr="00A31047">
        <w:rPr>
          <w:rFonts w:cs="ACaslon-Regular"/>
          <w:color w:val="000000"/>
        </w:rPr>
        <w:t xml:space="preserve">regional and </w:t>
      </w:r>
      <w:r w:rsidR="007E3674">
        <w:rPr>
          <w:rFonts w:cs="ACaslon-Regular"/>
          <w:color w:val="000000"/>
        </w:rPr>
        <w:t xml:space="preserve">national levels.  CARICOM and OECS established regional programmes </w:t>
      </w:r>
      <w:r w:rsidR="00600DCD">
        <w:rPr>
          <w:rFonts w:cs="ACaslon-Regular"/>
          <w:color w:val="000000"/>
        </w:rPr>
        <w:t xml:space="preserve">have provided macroeconomic policy, </w:t>
      </w:r>
      <w:r w:rsidR="007E3674">
        <w:rPr>
          <w:rFonts w:cs="ACaslon-Regular"/>
          <w:color w:val="000000"/>
        </w:rPr>
        <w:t xml:space="preserve">economic diversification </w:t>
      </w:r>
      <w:r w:rsidR="00600DCD">
        <w:rPr>
          <w:rFonts w:cs="ACaslon-Regular"/>
          <w:color w:val="000000"/>
        </w:rPr>
        <w:t xml:space="preserve">and social development </w:t>
      </w:r>
      <w:r w:rsidR="007E3674">
        <w:rPr>
          <w:rFonts w:cs="ACaslon-Regular"/>
          <w:color w:val="000000"/>
        </w:rPr>
        <w:t>programmes</w:t>
      </w:r>
      <w:r w:rsidR="00600DCD">
        <w:rPr>
          <w:rFonts w:cs="ACaslon-Regular"/>
          <w:color w:val="000000"/>
        </w:rPr>
        <w:t xml:space="preserve"> support</w:t>
      </w:r>
      <w:r w:rsidR="007E3674">
        <w:rPr>
          <w:rFonts w:cs="ACaslon-Regular"/>
          <w:color w:val="000000"/>
        </w:rPr>
        <w:t xml:space="preserve">.  </w:t>
      </w:r>
      <w:r w:rsidR="00604475">
        <w:rPr>
          <w:rFonts w:cs="ACaslon-Regular"/>
          <w:color w:val="000000"/>
        </w:rPr>
        <w:t>While Caribbean states have</w:t>
      </w:r>
      <w:r w:rsidR="00374E62">
        <w:rPr>
          <w:rFonts w:cs="ACaslon-Regular"/>
          <w:color w:val="000000"/>
        </w:rPr>
        <w:t xml:space="preserve"> maintain</w:t>
      </w:r>
      <w:r w:rsidR="00604475">
        <w:rPr>
          <w:rFonts w:cs="ACaslon-Regular"/>
          <w:color w:val="000000"/>
        </w:rPr>
        <w:t>ed</w:t>
      </w:r>
      <w:r w:rsidR="00374E62">
        <w:rPr>
          <w:rFonts w:cs="ACaslon-Regular"/>
          <w:color w:val="000000"/>
        </w:rPr>
        <w:t xml:space="preserve"> </w:t>
      </w:r>
      <w:r w:rsidR="00374E62" w:rsidRPr="00A31047">
        <w:rPr>
          <w:rFonts w:cs="ACaslon-Regular"/>
        </w:rPr>
        <w:t xml:space="preserve">high to medium human development </w:t>
      </w:r>
      <w:r w:rsidR="00604475">
        <w:rPr>
          <w:rFonts w:cs="ACaslon-Regular"/>
        </w:rPr>
        <w:t>rankings, the projections for</w:t>
      </w:r>
      <w:r w:rsidR="00374E62">
        <w:rPr>
          <w:rFonts w:cs="ACaslon-Regular"/>
        </w:rPr>
        <w:t xml:space="preserve"> </w:t>
      </w:r>
      <w:r w:rsidR="00604475">
        <w:rPr>
          <w:rFonts w:cs="ACaslon-Regular"/>
        </w:rPr>
        <w:t>s</w:t>
      </w:r>
      <w:r w:rsidR="00C51C70" w:rsidRPr="00A31047">
        <w:rPr>
          <w:rFonts w:cs="ACaslon-Regular"/>
          <w:color w:val="000000"/>
        </w:rPr>
        <w:t>ustainable</w:t>
      </w:r>
      <w:r w:rsidR="00233856">
        <w:rPr>
          <w:rFonts w:cs="ACaslon-Regular"/>
          <w:color w:val="000000"/>
        </w:rPr>
        <w:t xml:space="preserve"> </w:t>
      </w:r>
      <w:r w:rsidR="00526B8F">
        <w:rPr>
          <w:rFonts w:cs="ACaslon-Regular"/>
          <w:color w:val="000000"/>
        </w:rPr>
        <w:t xml:space="preserve">human </w:t>
      </w:r>
      <w:r w:rsidR="00CF3CA6" w:rsidRPr="00A31047">
        <w:rPr>
          <w:rFonts w:cs="ACaslon-Regular"/>
          <w:color w:val="000000"/>
        </w:rPr>
        <w:t>development</w:t>
      </w:r>
      <w:r w:rsidR="00ED41FB">
        <w:rPr>
          <w:rFonts w:cs="ACaslon-Regular"/>
          <w:color w:val="000000"/>
        </w:rPr>
        <w:t xml:space="preserve"> </w:t>
      </w:r>
      <w:r w:rsidR="003F50F1">
        <w:rPr>
          <w:rFonts w:cs="ACaslon-Regular"/>
          <w:color w:val="000000"/>
        </w:rPr>
        <w:t xml:space="preserve">and </w:t>
      </w:r>
      <w:r w:rsidR="00ED41FB">
        <w:rPr>
          <w:rFonts w:cs="ACaslon-Regular"/>
          <w:color w:val="000000"/>
        </w:rPr>
        <w:t xml:space="preserve">regional competitiveness </w:t>
      </w:r>
      <w:r w:rsidR="00374E62">
        <w:rPr>
          <w:rFonts w:cs="ACaslon-Regular"/>
          <w:color w:val="000000"/>
        </w:rPr>
        <w:t xml:space="preserve">have been </w:t>
      </w:r>
      <w:r w:rsidR="007E3674">
        <w:rPr>
          <w:rFonts w:cs="ACaslon-Regular"/>
          <w:color w:val="000000"/>
        </w:rPr>
        <w:t xml:space="preserve">negative and </w:t>
      </w:r>
      <w:r w:rsidR="00374E62">
        <w:rPr>
          <w:rFonts w:cs="ACaslon-Regular"/>
          <w:color w:val="000000"/>
        </w:rPr>
        <w:t>the</w:t>
      </w:r>
      <w:r w:rsidR="00164DDF">
        <w:rPr>
          <w:rFonts w:cs="ACaslon-Regular"/>
          <w:color w:val="000000"/>
        </w:rPr>
        <w:t xml:space="preserve"> </w:t>
      </w:r>
      <w:r w:rsidR="00374E62">
        <w:rPr>
          <w:rFonts w:cs="ACaslon-Regular"/>
          <w:color w:val="000000"/>
        </w:rPr>
        <w:t>p</w:t>
      </w:r>
      <w:r w:rsidR="00526B8F">
        <w:rPr>
          <w:rFonts w:cs="ACaslon-Regular"/>
          <w:color w:val="000000"/>
        </w:rPr>
        <w:t>rolonged</w:t>
      </w:r>
      <w:r w:rsidR="009F3CA0" w:rsidRPr="00A31047">
        <w:rPr>
          <w:rFonts w:cs="ACaslon-Regular"/>
          <w:color w:val="000000"/>
        </w:rPr>
        <w:t xml:space="preserve"> </w:t>
      </w:r>
      <w:r w:rsidR="00ED41FB">
        <w:rPr>
          <w:rFonts w:cs="ACaslon-Regular"/>
          <w:color w:val="000000"/>
        </w:rPr>
        <w:t xml:space="preserve">global </w:t>
      </w:r>
      <w:r w:rsidR="00526B8F">
        <w:rPr>
          <w:rFonts w:cs="ACaslon-Regular"/>
          <w:color w:val="000000"/>
        </w:rPr>
        <w:t xml:space="preserve">economic </w:t>
      </w:r>
      <w:r w:rsidR="003F50F1">
        <w:rPr>
          <w:rFonts w:cs="ACaslon-Regular"/>
          <w:color w:val="000000"/>
        </w:rPr>
        <w:t>recession</w:t>
      </w:r>
      <w:r w:rsidR="007E3674">
        <w:rPr>
          <w:rFonts w:cs="ACaslon-Regular"/>
          <w:color w:val="000000"/>
        </w:rPr>
        <w:t xml:space="preserve"> has</w:t>
      </w:r>
      <w:r w:rsidR="00CF3CA6" w:rsidRPr="00A31047">
        <w:rPr>
          <w:rFonts w:cs="ACaslon-Regular"/>
          <w:color w:val="000000"/>
        </w:rPr>
        <w:t xml:space="preserve"> </w:t>
      </w:r>
      <w:r w:rsidR="00E43738">
        <w:rPr>
          <w:rFonts w:cs="ACaslon-Regular"/>
          <w:color w:val="000000"/>
        </w:rPr>
        <w:t xml:space="preserve">accentuated </w:t>
      </w:r>
      <w:r w:rsidR="00ED41FB">
        <w:rPr>
          <w:rFonts w:cs="ACaslon-Regular"/>
          <w:color w:val="000000"/>
        </w:rPr>
        <w:t>Small Island Developing States (SIDS) development</w:t>
      </w:r>
      <w:r w:rsidR="00CF3CA6" w:rsidRPr="00A31047">
        <w:rPr>
          <w:rFonts w:cs="ACaslon-Regular"/>
          <w:color w:val="000000"/>
        </w:rPr>
        <w:t xml:space="preserve"> challenges</w:t>
      </w:r>
      <w:r w:rsidR="00DC043A">
        <w:rPr>
          <w:rStyle w:val="FootnoteReference"/>
          <w:rFonts w:cs="ACaslon-Regular"/>
          <w:color w:val="000000"/>
        </w:rPr>
        <w:footnoteReference w:id="1"/>
      </w:r>
      <w:r w:rsidR="00CF3CA6" w:rsidRPr="00A31047">
        <w:rPr>
          <w:rFonts w:cs="ACaslon-Regular"/>
          <w:color w:val="000000"/>
        </w:rPr>
        <w:t xml:space="preserve"> </w:t>
      </w:r>
      <w:r w:rsidR="008B5F54">
        <w:rPr>
          <w:rFonts w:cs="ACaslon-Regular"/>
          <w:color w:val="000000"/>
        </w:rPr>
        <w:t xml:space="preserve">and vulnerabilities. </w:t>
      </w:r>
    </w:p>
    <w:p w:rsidR="007E3674" w:rsidRDefault="007E3674" w:rsidP="003F50F1">
      <w:pPr>
        <w:autoSpaceDE w:val="0"/>
        <w:autoSpaceDN w:val="0"/>
        <w:adjustRightInd w:val="0"/>
        <w:spacing w:after="0"/>
        <w:jc w:val="both"/>
        <w:rPr>
          <w:rFonts w:cs="ACaslon-Regular"/>
          <w:color w:val="000000"/>
        </w:rPr>
      </w:pPr>
    </w:p>
    <w:p w:rsidR="003F50F1" w:rsidRDefault="008B5F54" w:rsidP="003F50F1">
      <w:pPr>
        <w:autoSpaceDE w:val="0"/>
        <w:autoSpaceDN w:val="0"/>
        <w:adjustRightInd w:val="0"/>
        <w:spacing w:after="0"/>
        <w:jc w:val="both"/>
        <w:rPr>
          <w:rFonts w:cs="ACaslon-Regular"/>
        </w:rPr>
      </w:pPr>
      <w:r>
        <w:rPr>
          <w:rFonts w:cs="ACaslon-Regular"/>
          <w:color w:val="000000"/>
        </w:rPr>
        <w:t xml:space="preserve">These challenges </w:t>
      </w:r>
      <w:r w:rsidR="00ED41FB">
        <w:rPr>
          <w:rFonts w:cs="ACaslon-Regular"/>
          <w:color w:val="000000"/>
        </w:rPr>
        <w:t xml:space="preserve">include </w:t>
      </w:r>
      <w:r w:rsidR="00600DCD">
        <w:rPr>
          <w:rFonts w:cs="ACaslon-Regular"/>
          <w:color w:val="000000"/>
        </w:rPr>
        <w:t>issues of in</w:t>
      </w:r>
      <w:r w:rsidR="00CF3CA6" w:rsidRPr="00A31047">
        <w:rPr>
          <w:rFonts w:cs="ACaslon-Regular"/>
          <w:color w:val="000000"/>
        </w:rPr>
        <w:t xml:space="preserve">equitable </w:t>
      </w:r>
      <w:r>
        <w:rPr>
          <w:rFonts w:cs="ACaslon-Regular"/>
          <w:color w:val="000000"/>
        </w:rPr>
        <w:t xml:space="preserve">economic and social </w:t>
      </w:r>
      <w:r w:rsidR="00CF3CA6" w:rsidRPr="00A31047">
        <w:rPr>
          <w:rFonts w:cs="ACaslon-Regular"/>
          <w:color w:val="000000"/>
        </w:rPr>
        <w:t>distribution of resources</w:t>
      </w:r>
      <w:r w:rsidR="00600DCD">
        <w:rPr>
          <w:rFonts w:cs="ACaslon-Regular"/>
          <w:color w:val="000000"/>
        </w:rPr>
        <w:t>,</w:t>
      </w:r>
      <w:r w:rsidR="00ED41FB">
        <w:rPr>
          <w:rFonts w:cs="ACaslon-Regular"/>
          <w:color w:val="000000"/>
        </w:rPr>
        <w:t xml:space="preserve"> </w:t>
      </w:r>
      <w:r w:rsidR="007E3674">
        <w:rPr>
          <w:rFonts w:cs="ACaslon-Regular"/>
        </w:rPr>
        <w:t>increasingly</w:t>
      </w:r>
      <w:r w:rsidR="007E3674">
        <w:rPr>
          <w:rFonts w:cs="ACaslon-Regular"/>
          <w:color w:val="000000"/>
        </w:rPr>
        <w:t xml:space="preserve"> frequent </w:t>
      </w:r>
      <w:r w:rsidR="00ED41FB">
        <w:rPr>
          <w:rFonts w:cs="ACaslon-Regular"/>
          <w:color w:val="000000"/>
        </w:rPr>
        <w:t xml:space="preserve">natural hazard </w:t>
      </w:r>
      <w:r w:rsidR="003F50F1">
        <w:rPr>
          <w:rFonts w:cs="ACaslon-Regular"/>
        </w:rPr>
        <w:t>v</w:t>
      </w:r>
      <w:r w:rsidR="00ED41FB">
        <w:rPr>
          <w:rFonts w:cs="ACaslon-Regular"/>
        </w:rPr>
        <w:t>ulnerabilities</w:t>
      </w:r>
      <w:r w:rsidR="00374E62">
        <w:rPr>
          <w:rFonts w:cs="ACaslon-Regular"/>
        </w:rPr>
        <w:t xml:space="preserve"> </w:t>
      </w:r>
      <w:r w:rsidR="00600DCD">
        <w:rPr>
          <w:rFonts w:cs="ACaslon-Regular"/>
        </w:rPr>
        <w:t xml:space="preserve">and </w:t>
      </w:r>
      <w:r>
        <w:t xml:space="preserve">high levels of </w:t>
      </w:r>
      <w:r w:rsidRPr="008B5F54">
        <w:rPr>
          <w:rFonts w:cs="ACaslon-Regular"/>
        </w:rPr>
        <w:t>public</w:t>
      </w:r>
      <w:r>
        <w:rPr>
          <w:rFonts w:cs="ACaslon-Regular"/>
        </w:rPr>
        <w:t xml:space="preserve"> – external and domestic – debt which further limit</w:t>
      </w:r>
      <w:r w:rsidRPr="008B5F54">
        <w:rPr>
          <w:rFonts w:cs="ACaslon-Regular"/>
        </w:rPr>
        <w:t xml:space="preserve"> governments’ fiscal space and capacities</w:t>
      </w:r>
      <w:r w:rsidR="00600DCD">
        <w:rPr>
          <w:rFonts w:cs="ACaslon-Regular"/>
        </w:rPr>
        <w:t xml:space="preserve"> to fund social protection programmes.</w:t>
      </w:r>
      <w:r w:rsidR="00600DCD">
        <w:rPr>
          <w:rStyle w:val="FootnoteReference"/>
          <w:rFonts w:cs="ACaslon-Regular"/>
        </w:rPr>
        <w:footnoteReference w:id="2"/>
      </w:r>
      <w:r w:rsidR="00600DCD">
        <w:rPr>
          <w:rFonts w:cs="ACaslon-Regular"/>
        </w:rPr>
        <w:t xml:space="preserve"> </w:t>
      </w:r>
      <w:r w:rsidR="00ED41FB">
        <w:rPr>
          <w:rFonts w:cs="ACaslon-Regular"/>
        </w:rPr>
        <w:t xml:space="preserve"> </w:t>
      </w:r>
    </w:p>
    <w:p w:rsidR="007E3674" w:rsidRDefault="007E3674" w:rsidP="003F50F1">
      <w:pPr>
        <w:autoSpaceDE w:val="0"/>
        <w:autoSpaceDN w:val="0"/>
        <w:adjustRightInd w:val="0"/>
        <w:spacing w:after="0"/>
        <w:jc w:val="both"/>
      </w:pPr>
    </w:p>
    <w:p w:rsidR="00A31047" w:rsidRPr="007E3674" w:rsidRDefault="00164DDF" w:rsidP="007E3674">
      <w:pPr>
        <w:autoSpaceDE w:val="0"/>
        <w:autoSpaceDN w:val="0"/>
        <w:adjustRightInd w:val="0"/>
        <w:spacing w:after="0"/>
        <w:jc w:val="both"/>
        <w:rPr>
          <w:rFonts w:cs="ACaslon-Regular"/>
        </w:rPr>
      </w:pPr>
      <w:r w:rsidRPr="00A31047">
        <w:t xml:space="preserve">Notwithstanding </w:t>
      </w:r>
      <w:r>
        <w:t xml:space="preserve">high levels of </w:t>
      </w:r>
      <w:r w:rsidR="00E43738">
        <w:t xml:space="preserve">debt and </w:t>
      </w:r>
      <w:r w:rsidRPr="00A31047">
        <w:t>vulnerability</w:t>
      </w:r>
      <w:r>
        <w:t>,</w:t>
      </w:r>
      <w:r w:rsidRPr="00A31047">
        <w:t xml:space="preserve"> </w:t>
      </w:r>
      <w:r w:rsidR="00374E62">
        <w:rPr>
          <w:rFonts w:cs="ACaslon-Regular"/>
        </w:rPr>
        <w:t xml:space="preserve">Caribbean States </w:t>
      </w:r>
      <w:r w:rsidR="00C51C70">
        <w:rPr>
          <w:rFonts w:cs="ACaslon-Regular"/>
        </w:rPr>
        <w:t xml:space="preserve">are </w:t>
      </w:r>
      <w:r w:rsidR="00C51C70" w:rsidRPr="00A31047">
        <w:rPr>
          <w:rFonts w:cs="ACaslon-Regular"/>
        </w:rPr>
        <w:t>classified</w:t>
      </w:r>
      <w:r w:rsidR="00374E62" w:rsidRPr="00A31047">
        <w:rPr>
          <w:rFonts w:cs="ACaslon-Regular"/>
        </w:rPr>
        <w:t xml:space="preserve"> as middle income</w:t>
      </w:r>
      <w:r w:rsidR="00374E62">
        <w:rPr>
          <w:rFonts w:cs="ACaslon-Regular"/>
        </w:rPr>
        <w:t xml:space="preserve"> (MIC)</w:t>
      </w:r>
      <w:r w:rsidR="007E3674">
        <w:rPr>
          <w:rFonts w:cs="ACaslon-Regular"/>
        </w:rPr>
        <w:t xml:space="preserve">. </w:t>
      </w:r>
      <w:r w:rsidR="00C82471">
        <w:t>The MIC</w:t>
      </w:r>
      <w:r w:rsidR="001B313A" w:rsidRPr="00A31047">
        <w:rPr>
          <w:rFonts w:cs="ACaslon-Regular"/>
        </w:rPr>
        <w:t xml:space="preserve"> classification has led to a significant reduction in access to concessionary financing. In fact </w:t>
      </w:r>
      <w:r w:rsidR="00DC043A">
        <w:rPr>
          <w:rFonts w:cs="ACaslon-Regular"/>
        </w:rPr>
        <w:t xml:space="preserve">recent </w:t>
      </w:r>
      <w:r w:rsidR="00A31047" w:rsidRPr="00A31047">
        <w:rPr>
          <w:rFonts w:cs="ACaslon-Regular"/>
        </w:rPr>
        <w:t xml:space="preserve">UNDP </w:t>
      </w:r>
      <w:r w:rsidR="00A31047" w:rsidRPr="00A31047">
        <w:rPr>
          <w:lang w:val="en-GB"/>
        </w:rPr>
        <w:t xml:space="preserve">research </w:t>
      </w:r>
      <w:r w:rsidR="00DC043A">
        <w:rPr>
          <w:lang w:val="en-GB"/>
        </w:rPr>
        <w:t xml:space="preserve">highlights that </w:t>
      </w:r>
      <w:r w:rsidR="00A31047" w:rsidRPr="00A31047">
        <w:rPr>
          <w:lang w:val="en-GB"/>
        </w:rPr>
        <w:t>concessional debt as a proportion of total public debt has declined considerably in many countries over the last decade. This has been substituted with</w:t>
      </w:r>
      <w:r w:rsidR="00DC043A">
        <w:rPr>
          <w:lang w:val="en-GB"/>
        </w:rPr>
        <w:t xml:space="preserve"> </w:t>
      </w:r>
      <w:r w:rsidR="00A31047" w:rsidRPr="00A31047">
        <w:rPr>
          <w:lang w:val="en-GB"/>
        </w:rPr>
        <w:t>more costly</w:t>
      </w:r>
      <w:r w:rsidR="00DC043A">
        <w:rPr>
          <w:lang w:val="en-GB"/>
        </w:rPr>
        <w:t>,</w:t>
      </w:r>
      <w:r w:rsidR="00A31047" w:rsidRPr="00A31047">
        <w:rPr>
          <w:lang w:val="en-GB"/>
        </w:rPr>
        <w:t xml:space="preserve"> private external and/or domestic debt. </w:t>
      </w:r>
      <w:r w:rsidR="00DC043A">
        <w:rPr>
          <w:lang w:val="en-GB"/>
        </w:rPr>
        <w:t>T</w:t>
      </w:r>
      <w:r w:rsidR="00A31047" w:rsidRPr="00A31047">
        <w:rPr>
          <w:lang w:val="en-GB"/>
        </w:rPr>
        <w:t>h</w:t>
      </w:r>
      <w:r w:rsidR="00DC043A">
        <w:rPr>
          <w:lang w:val="en-GB"/>
        </w:rPr>
        <w:t xml:space="preserve">e achievement </w:t>
      </w:r>
      <w:r w:rsidR="0029718C">
        <w:rPr>
          <w:lang w:val="en-GB"/>
        </w:rPr>
        <w:t xml:space="preserve">of </w:t>
      </w:r>
      <w:r w:rsidR="0029718C" w:rsidRPr="00A31047">
        <w:rPr>
          <w:lang w:val="en-GB"/>
        </w:rPr>
        <w:t>high</w:t>
      </w:r>
      <w:r w:rsidR="00A31047" w:rsidRPr="00A31047">
        <w:rPr>
          <w:lang w:val="en-GB"/>
        </w:rPr>
        <w:t xml:space="preserve"> and upper middle income </w:t>
      </w:r>
      <w:r w:rsidR="0029718C" w:rsidRPr="00A31047">
        <w:rPr>
          <w:lang w:val="en-GB"/>
        </w:rPr>
        <w:t xml:space="preserve">status </w:t>
      </w:r>
      <w:r w:rsidR="0029718C">
        <w:rPr>
          <w:lang w:val="en-GB"/>
        </w:rPr>
        <w:lastRenderedPageBreak/>
        <w:t>has</w:t>
      </w:r>
      <w:r w:rsidR="00DC043A">
        <w:rPr>
          <w:lang w:val="en-GB"/>
        </w:rPr>
        <w:t xml:space="preserve"> </w:t>
      </w:r>
      <w:r w:rsidR="00C82471">
        <w:rPr>
          <w:lang w:val="en-GB"/>
        </w:rPr>
        <w:t xml:space="preserve">not </w:t>
      </w:r>
      <w:r w:rsidR="00DC043A">
        <w:rPr>
          <w:lang w:val="en-GB"/>
        </w:rPr>
        <w:t xml:space="preserve">resulted in </w:t>
      </w:r>
      <w:r w:rsidR="0029718C" w:rsidRPr="00A31047">
        <w:rPr>
          <w:lang w:val="en-GB"/>
        </w:rPr>
        <w:t>donors</w:t>
      </w:r>
      <w:r w:rsidR="0029718C">
        <w:rPr>
          <w:lang w:val="en-GB"/>
        </w:rPr>
        <w:t xml:space="preserve">’ </w:t>
      </w:r>
      <w:r w:rsidR="0029718C" w:rsidRPr="00A31047">
        <w:rPr>
          <w:lang w:val="en-GB"/>
        </w:rPr>
        <w:t>maintaining</w:t>
      </w:r>
      <w:r w:rsidR="00A31047" w:rsidRPr="00A31047">
        <w:rPr>
          <w:lang w:val="en-GB"/>
        </w:rPr>
        <w:t xml:space="preserve"> or increasing </w:t>
      </w:r>
      <w:r w:rsidR="00DC043A">
        <w:rPr>
          <w:lang w:val="en-GB"/>
        </w:rPr>
        <w:t xml:space="preserve">previously high levels of development </w:t>
      </w:r>
      <w:r w:rsidR="00A31047" w:rsidRPr="00A31047">
        <w:rPr>
          <w:lang w:val="en-GB"/>
        </w:rPr>
        <w:t xml:space="preserve">assistance </w:t>
      </w:r>
      <w:r w:rsidR="00A31047">
        <w:rPr>
          <w:lang w:val="en-GB"/>
        </w:rPr>
        <w:t>to</w:t>
      </w:r>
      <w:r w:rsidR="00A31047" w:rsidRPr="00A31047">
        <w:rPr>
          <w:lang w:val="en-GB"/>
        </w:rPr>
        <w:t xml:space="preserve"> the </w:t>
      </w:r>
      <w:r w:rsidR="00DC043A">
        <w:rPr>
          <w:lang w:val="en-GB"/>
        </w:rPr>
        <w:t xml:space="preserve">Caribbean </w:t>
      </w:r>
      <w:r w:rsidR="00374E62">
        <w:rPr>
          <w:lang w:val="en-GB"/>
        </w:rPr>
        <w:t>R</w:t>
      </w:r>
      <w:r w:rsidR="00A31047" w:rsidRPr="00A31047">
        <w:rPr>
          <w:lang w:val="en-GB"/>
        </w:rPr>
        <w:t>egion.</w:t>
      </w:r>
    </w:p>
    <w:p w:rsidR="007E3674" w:rsidRDefault="007E3674" w:rsidP="00A31047">
      <w:pPr>
        <w:autoSpaceDE w:val="0"/>
        <w:autoSpaceDN w:val="0"/>
        <w:adjustRightInd w:val="0"/>
        <w:spacing w:after="0"/>
        <w:jc w:val="both"/>
        <w:rPr>
          <w:rFonts w:cs="ACaslon-Regular"/>
          <w:b/>
        </w:rPr>
      </w:pPr>
    </w:p>
    <w:p w:rsidR="00F20E10" w:rsidRPr="00944FB1" w:rsidRDefault="00A31047" w:rsidP="00A31047">
      <w:pPr>
        <w:autoSpaceDE w:val="0"/>
        <w:autoSpaceDN w:val="0"/>
        <w:adjustRightInd w:val="0"/>
        <w:spacing w:after="0"/>
        <w:jc w:val="both"/>
        <w:rPr>
          <w:rFonts w:cs="ACaslon-Regular"/>
          <w:b/>
        </w:rPr>
      </w:pPr>
      <w:r w:rsidRPr="00944FB1">
        <w:rPr>
          <w:rFonts w:cs="ACaslon-Regular"/>
          <w:b/>
        </w:rPr>
        <w:t>Project Background</w:t>
      </w:r>
    </w:p>
    <w:p w:rsidR="00A31047" w:rsidRPr="00A31047" w:rsidRDefault="00A31047" w:rsidP="00A31047">
      <w:pPr>
        <w:autoSpaceDE w:val="0"/>
        <w:autoSpaceDN w:val="0"/>
        <w:adjustRightInd w:val="0"/>
        <w:spacing w:after="0"/>
        <w:jc w:val="both"/>
      </w:pPr>
    </w:p>
    <w:p w:rsidR="00F21FC2" w:rsidRPr="00A31047" w:rsidRDefault="00B006F5" w:rsidP="009F3CA0">
      <w:pPr>
        <w:tabs>
          <w:tab w:val="left" w:pos="9000"/>
          <w:tab w:val="left" w:pos="9180"/>
        </w:tabs>
        <w:jc w:val="both"/>
        <w:rPr>
          <w:rFonts w:eastAsia="Calibri" w:cs="Times New Roman"/>
          <w:lang w:val="en-GB"/>
        </w:rPr>
      </w:pPr>
      <w:r w:rsidRPr="00A31047">
        <w:rPr>
          <w:bCs/>
        </w:rPr>
        <w:t xml:space="preserve">The Caribbean Regional Technical Assistance Centre (CARTAC) </w:t>
      </w:r>
      <w:r w:rsidR="00C82471">
        <w:rPr>
          <w:bCs/>
        </w:rPr>
        <w:t xml:space="preserve">was established </w:t>
      </w:r>
      <w:r w:rsidR="005E210D">
        <w:rPr>
          <w:bCs/>
        </w:rPr>
        <w:t xml:space="preserve">as </w:t>
      </w:r>
      <w:r w:rsidR="005E210D" w:rsidRPr="00A31047">
        <w:rPr>
          <w:bCs/>
        </w:rPr>
        <w:t>a</w:t>
      </w:r>
      <w:r w:rsidRPr="00A31047">
        <w:rPr>
          <w:bCs/>
        </w:rPr>
        <w:t xml:space="preserve"> UNDP </w:t>
      </w:r>
      <w:r w:rsidR="006E35CA">
        <w:rPr>
          <w:bCs/>
        </w:rPr>
        <w:t>cost-shared multi-donor</w:t>
      </w:r>
      <w:r w:rsidRPr="00A31047">
        <w:rPr>
          <w:bCs/>
        </w:rPr>
        <w:t xml:space="preserve"> project</w:t>
      </w:r>
      <w:r w:rsidR="00C82471">
        <w:rPr>
          <w:bCs/>
        </w:rPr>
        <w:t xml:space="preserve"> modality</w:t>
      </w:r>
      <w:r w:rsidR="00374E62">
        <w:rPr>
          <w:bCs/>
        </w:rPr>
        <w:t>.</w:t>
      </w:r>
      <w:r w:rsidR="00C82471">
        <w:rPr>
          <w:bCs/>
        </w:rPr>
        <w:t xml:space="preserve"> The UNDP project</w:t>
      </w:r>
      <w:r w:rsidR="00D9141B">
        <w:rPr>
          <w:bCs/>
        </w:rPr>
        <w:t>,</w:t>
      </w:r>
      <w:r w:rsidRPr="00A31047">
        <w:rPr>
          <w:bCs/>
        </w:rPr>
        <w:t xml:space="preserve"> executed by the International Monetary Fund</w:t>
      </w:r>
      <w:r w:rsidR="004C12E6" w:rsidRPr="00A31047">
        <w:rPr>
          <w:bCs/>
        </w:rPr>
        <w:t xml:space="preserve"> (IMF</w:t>
      </w:r>
      <w:r w:rsidR="00C51C70" w:rsidRPr="00A31047">
        <w:rPr>
          <w:bCs/>
        </w:rPr>
        <w:t>)</w:t>
      </w:r>
      <w:r w:rsidR="00D9141B">
        <w:rPr>
          <w:bCs/>
        </w:rPr>
        <w:t xml:space="preserve">,  </w:t>
      </w:r>
      <w:r w:rsidR="00C82471">
        <w:rPr>
          <w:bCs/>
        </w:rPr>
        <w:t xml:space="preserve"> </w:t>
      </w:r>
      <w:r w:rsidRPr="00A31047">
        <w:rPr>
          <w:bCs/>
        </w:rPr>
        <w:t xml:space="preserve">supported the establishment of </w:t>
      </w:r>
      <w:r w:rsidR="00D9141B">
        <w:rPr>
          <w:bCs/>
        </w:rPr>
        <w:t xml:space="preserve">a </w:t>
      </w:r>
      <w:r w:rsidRPr="00A31047">
        <w:rPr>
          <w:bCs/>
        </w:rPr>
        <w:t>regional centre providing specialized macroeconomic, fiscal and monetary advice and capacity development support to 20 Caribbean countries (also includes Haiti and Dominican Republic).</w:t>
      </w:r>
      <w:r w:rsidR="00B10EEE" w:rsidRPr="00A31047">
        <w:rPr>
          <w:lang w:val="en-GB"/>
        </w:rPr>
        <w:t xml:space="preserve"> </w:t>
      </w:r>
      <w:r w:rsidR="00F21FC2" w:rsidRPr="00A31047">
        <w:rPr>
          <w:rFonts w:eastAsia="Calibri" w:cs="Times New Roman"/>
          <w:lang w:val="en-GB"/>
        </w:rPr>
        <w:t>The CARICOM Council of Ministers of Finance and Planning (COFAP) decision to establish the Centre in September 1999</w:t>
      </w:r>
      <w:r w:rsidR="00C82471">
        <w:rPr>
          <w:rFonts w:eastAsia="Calibri" w:cs="Times New Roman"/>
          <w:lang w:val="en-GB"/>
        </w:rPr>
        <w:t xml:space="preserve"> led to </w:t>
      </w:r>
      <w:r w:rsidR="00374E62">
        <w:rPr>
          <w:rFonts w:eastAsia="Calibri" w:cs="Times New Roman"/>
          <w:lang w:val="en-GB"/>
        </w:rPr>
        <w:t>an</w:t>
      </w:r>
      <w:r w:rsidR="00F21FC2" w:rsidRPr="00A31047">
        <w:rPr>
          <w:rFonts w:eastAsia="Calibri" w:cs="Times New Roman"/>
          <w:lang w:val="en-GB"/>
        </w:rPr>
        <w:t xml:space="preserve"> operational </w:t>
      </w:r>
      <w:r w:rsidR="00C82471">
        <w:rPr>
          <w:rFonts w:eastAsia="Calibri" w:cs="Times New Roman"/>
          <w:lang w:val="en-GB"/>
        </w:rPr>
        <w:t>CARTAC Office</w:t>
      </w:r>
      <w:r w:rsidR="00F21FC2" w:rsidRPr="00A31047">
        <w:rPr>
          <w:rFonts w:eastAsia="Calibri" w:cs="Times New Roman"/>
          <w:lang w:val="en-GB"/>
        </w:rPr>
        <w:t xml:space="preserve"> in</w:t>
      </w:r>
      <w:r w:rsidR="00C82471">
        <w:rPr>
          <w:rFonts w:eastAsia="Calibri" w:cs="Times New Roman"/>
          <w:lang w:val="en-GB"/>
        </w:rPr>
        <w:t xml:space="preserve"> Barbados by</w:t>
      </w:r>
      <w:r w:rsidR="00F21FC2" w:rsidRPr="00A31047">
        <w:rPr>
          <w:rFonts w:eastAsia="Calibri" w:cs="Times New Roman"/>
          <w:lang w:val="en-GB"/>
        </w:rPr>
        <w:t xml:space="preserve"> November 2001. </w:t>
      </w:r>
      <w:r w:rsidR="00C82471">
        <w:rPr>
          <w:rFonts w:eastAsia="Calibri" w:cs="Times New Roman"/>
          <w:lang w:val="en-GB"/>
        </w:rPr>
        <w:t>The</w:t>
      </w:r>
      <w:r w:rsidR="00F21FC2" w:rsidRPr="00A31047">
        <w:rPr>
          <w:rFonts w:eastAsia="Calibri" w:cs="Times New Roman"/>
          <w:lang w:val="en-GB"/>
        </w:rPr>
        <w:t xml:space="preserve"> mission </w:t>
      </w:r>
      <w:r w:rsidR="00C82471">
        <w:rPr>
          <w:rFonts w:eastAsia="Calibri" w:cs="Times New Roman"/>
          <w:lang w:val="en-GB"/>
        </w:rPr>
        <w:t xml:space="preserve">of </w:t>
      </w:r>
      <w:r w:rsidR="00F21FC2" w:rsidRPr="00A31047">
        <w:rPr>
          <w:rFonts w:eastAsia="Calibri" w:cs="Times New Roman"/>
          <w:lang w:val="en-GB"/>
        </w:rPr>
        <w:t>CARTAC</w:t>
      </w:r>
      <w:r w:rsidR="00C82471">
        <w:rPr>
          <w:rFonts w:eastAsia="Calibri" w:cs="Times New Roman"/>
          <w:lang w:val="en-GB"/>
        </w:rPr>
        <w:t xml:space="preserve"> was stated as “to </w:t>
      </w:r>
      <w:r w:rsidR="00F21FC2" w:rsidRPr="00A31047">
        <w:rPr>
          <w:rFonts w:eastAsia="Calibri" w:cs="Times New Roman"/>
          <w:lang w:val="en-GB"/>
        </w:rPr>
        <w:t xml:space="preserve">enhance the institutional and human capacities of the countries in the Caribbean region to achieve their macroeconomic, fiscal, and monetary policy objectives”. </w:t>
      </w:r>
    </w:p>
    <w:p w:rsidR="00C82471" w:rsidRDefault="004C12E6" w:rsidP="009F3CA0">
      <w:pPr>
        <w:tabs>
          <w:tab w:val="left" w:pos="9000"/>
          <w:tab w:val="left" w:pos="9180"/>
        </w:tabs>
        <w:jc w:val="both"/>
        <w:rPr>
          <w:bCs/>
        </w:rPr>
      </w:pPr>
      <w:r w:rsidRPr="00A31047">
        <w:rPr>
          <w:bCs/>
        </w:rPr>
        <w:t>CARTAC was initially established for a three year period (2001-2004) and has since been extended twice (2004-2007 and 2007-2010)</w:t>
      </w:r>
      <w:r w:rsidR="00C82471">
        <w:rPr>
          <w:bCs/>
        </w:rPr>
        <w:t xml:space="preserve"> and ended</w:t>
      </w:r>
      <w:r w:rsidR="00F21FC2" w:rsidRPr="00A31047">
        <w:rPr>
          <w:bCs/>
        </w:rPr>
        <w:t xml:space="preserve"> its </w:t>
      </w:r>
      <w:r w:rsidR="00C82471">
        <w:rPr>
          <w:bCs/>
        </w:rPr>
        <w:t>3</w:t>
      </w:r>
      <w:r w:rsidR="00C82471" w:rsidRPr="00C82471">
        <w:rPr>
          <w:bCs/>
          <w:vertAlign w:val="superscript"/>
        </w:rPr>
        <w:t>rd</w:t>
      </w:r>
      <w:r w:rsidR="00B006F5" w:rsidRPr="00A31047">
        <w:rPr>
          <w:bCs/>
        </w:rPr>
        <w:t xml:space="preserve"> Phase</w:t>
      </w:r>
      <w:r w:rsidR="00C82471">
        <w:rPr>
          <w:bCs/>
        </w:rPr>
        <w:t xml:space="preserve"> as</w:t>
      </w:r>
      <w:r w:rsidR="00B006F5" w:rsidRPr="00A31047">
        <w:rPr>
          <w:bCs/>
        </w:rPr>
        <w:t xml:space="preserve"> </w:t>
      </w:r>
      <w:r w:rsidR="00A4751B">
        <w:rPr>
          <w:bCs/>
        </w:rPr>
        <w:t xml:space="preserve">a </w:t>
      </w:r>
      <w:r w:rsidR="00B006F5" w:rsidRPr="00A31047">
        <w:rPr>
          <w:bCs/>
        </w:rPr>
        <w:t>uniquely structured UNDP project</w:t>
      </w:r>
      <w:r w:rsidR="00C82471">
        <w:rPr>
          <w:bCs/>
        </w:rPr>
        <w:t>. A</w:t>
      </w:r>
      <w:r w:rsidR="00B006F5" w:rsidRPr="00A31047">
        <w:rPr>
          <w:bCs/>
        </w:rPr>
        <w:t xml:space="preserve">ll other IMF Regional Technical Assistance Centres (Pacific, Africa, </w:t>
      </w:r>
      <w:r w:rsidR="0029718C" w:rsidRPr="00A31047">
        <w:rPr>
          <w:bCs/>
        </w:rPr>
        <w:t>and Middle</w:t>
      </w:r>
      <w:r w:rsidR="00B006F5" w:rsidRPr="00A31047">
        <w:rPr>
          <w:bCs/>
        </w:rPr>
        <w:t xml:space="preserve"> East) </w:t>
      </w:r>
      <w:r w:rsidR="00C82471">
        <w:rPr>
          <w:bCs/>
        </w:rPr>
        <w:t>were established</w:t>
      </w:r>
      <w:r w:rsidR="00B006F5" w:rsidRPr="00A31047">
        <w:rPr>
          <w:bCs/>
        </w:rPr>
        <w:t xml:space="preserve"> as Fund Projects.  </w:t>
      </w:r>
    </w:p>
    <w:p w:rsidR="00B10EEE" w:rsidRPr="00A31047" w:rsidRDefault="00CB4BF3" w:rsidP="009F3CA0">
      <w:pPr>
        <w:tabs>
          <w:tab w:val="left" w:pos="9000"/>
          <w:tab w:val="left" w:pos="9180"/>
        </w:tabs>
        <w:jc w:val="both"/>
        <w:rPr>
          <w:bCs/>
        </w:rPr>
      </w:pPr>
      <w:r>
        <w:rPr>
          <w:bCs/>
        </w:rPr>
        <w:t>A</w:t>
      </w:r>
      <w:r w:rsidR="00B006F5" w:rsidRPr="00A31047">
        <w:rPr>
          <w:bCs/>
        </w:rPr>
        <w:t>t the time of CARTAC</w:t>
      </w:r>
      <w:r>
        <w:rPr>
          <w:bCs/>
        </w:rPr>
        <w:t>’s</w:t>
      </w:r>
      <w:r w:rsidR="00B006F5" w:rsidRPr="00A31047">
        <w:rPr>
          <w:bCs/>
        </w:rPr>
        <w:t xml:space="preserve"> establishment</w:t>
      </w:r>
      <w:r>
        <w:rPr>
          <w:bCs/>
        </w:rPr>
        <w:t xml:space="preserve">, there was </w:t>
      </w:r>
      <w:r w:rsidR="00D9141B">
        <w:rPr>
          <w:bCs/>
        </w:rPr>
        <w:t xml:space="preserve"> </w:t>
      </w:r>
      <w:r>
        <w:rPr>
          <w:bCs/>
        </w:rPr>
        <w:t xml:space="preserve">no </w:t>
      </w:r>
      <w:r w:rsidR="00B006F5" w:rsidRPr="00A31047">
        <w:rPr>
          <w:bCs/>
        </w:rPr>
        <w:t xml:space="preserve">IMF representation </w:t>
      </w:r>
      <w:r>
        <w:rPr>
          <w:bCs/>
        </w:rPr>
        <w:t xml:space="preserve">in the </w:t>
      </w:r>
      <w:r w:rsidRPr="00A31047">
        <w:rPr>
          <w:bCs/>
        </w:rPr>
        <w:t>Caribbean</w:t>
      </w:r>
      <w:r>
        <w:rPr>
          <w:bCs/>
        </w:rPr>
        <w:t xml:space="preserve">. </w:t>
      </w:r>
      <w:r w:rsidR="00B006F5" w:rsidRPr="00A31047">
        <w:rPr>
          <w:bCs/>
        </w:rPr>
        <w:t xml:space="preserve">The closure of the IMF office in Barbados was the last closure before the establishment of CARTAC. CARTAC </w:t>
      </w:r>
      <w:r w:rsidR="00C82471">
        <w:rPr>
          <w:bCs/>
        </w:rPr>
        <w:t>represented a</w:t>
      </w:r>
      <w:r w:rsidR="00B006F5" w:rsidRPr="00A31047">
        <w:rPr>
          <w:bCs/>
        </w:rPr>
        <w:t xml:space="preserve"> Caribbean first </w:t>
      </w:r>
      <w:r w:rsidR="00C82471">
        <w:rPr>
          <w:bCs/>
        </w:rPr>
        <w:t xml:space="preserve">as it met the </w:t>
      </w:r>
      <w:r w:rsidR="00B006F5" w:rsidRPr="00A31047">
        <w:rPr>
          <w:bCs/>
        </w:rPr>
        <w:t>Paris Declarati</w:t>
      </w:r>
      <w:r w:rsidR="00EC407D" w:rsidRPr="00A31047">
        <w:rPr>
          <w:bCs/>
        </w:rPr>
        <w:t xml:space="preserve">on </w:t>
      </w:r>
      <w:r w:rsidR="00D9141B">
        <w:rPr>
          <w:bCs/>
        </w:rPr>
        <w:t xml:space="preserve">multi-donor </w:t>
      </w:r>
      <w:r w:rsidR="00D9141B" w:rsidRPr="00A31047">
        <w:rPr>
          <w:bCs/>
        </w:rPr>
        <w:t xml:space="preserve">project </w:t>
      </w:r>
      <w:r w:rsidR="00EC407D" w:rsidRPr="00A31047">
        <w:rPr>
          <w:bCs/>
        </w:rPr>
        <w:t>model</w:t>
      </w:r>
      <w:r w:rsidR="00C82471">
        <w:rPr>
          <w:bCs/>
        </w:rPr>
        <w:t xml:space="preserve"> </w:t>
      </w:r>
      <w:r w:rsidR="00EC407D" w:rsidRPr="00A31047">
        <w:rPr>
          <w:bCs/>
        </w:rPr>
        <w:t xml:space="preserve">with donors </w:t>
      </w:r>
      <w:r w:rsidR="00B006F5" w:rsidRPr="00A31047">
        <w:rPr>
          <w:bCs/>
        </w:rPr>
        <w:t xml:space="preserve">providing large, firm funding commitments </w:t>
      </w:r>
      <w:r w:rsidR="00C82471">
        <w:rPr>
          <w:bCs/>
        </w:rPr>
        <w:t>for</w:t>
      </w:r>
      <w:r w:rsidR="00B006F5" w:rsidRPr="00A31047">
        <w:rPr>
          <w:bCs/>
        </w:rPr>
        <w:t xml:space="preserve"> common, defined </w:t>
      </w:r>
      <w:r w:rsidR="00C82471">
        <w:rPr>
          <w:bCs/>
        </w:rPr>
        <w:t>sectoral approaches</w:t>
      </w:r>
      <w:r w:rsidR="00B006F5" w:rsidRPr="00A31047">
        <w:rPr>
          <w:bCs/>
        </w:rPr>
        <w:t xml:space="preserve"> </w:t>
      </w:r>
      <w:r w:rsidR="00C82471">
        <w:rPr>
          <w:bCs/>
        </w:rPr>
        <w:t>and policy</w:t>
      </w:r>
      <w:r w:rsidR="00B006F5" w:rsidRPr="00A31047">
        <w:rPr>
          <w:bCs/>
        </w:rPr>
        <w:t xml:space="preserve"> suppo</w:t>
      </w:r>
      <w:r w:rsidR="00EC407D" w:rsidRPr="00A31047">
        <w:rPr>
          <w:bCs/>
        </w:rPr>
        <w:t xml:space="preserve">rt. </w:t>
      </w:r>
    </w:p>
    <w:p w:rsidR="00F20E10" w:rsidRPr="00A31047" w:rsidRDefault="00F21FC2" w:rsidP="009F3CA0">
      <w:pPr>
        <w:tabs>
          <w:tab w:val="left" w:pos="8820"/>
          <w:tab w:val="left" w:pos="9000"/>
          <w:tab w:val="left" w:pos="9180"/>
        </w:tabs>
        <w:jc w:val="both"/>
        <w:rPr>
          <w:rFonts w:eastAsia="Calibri" w:cs="Times New Roman"/>
          <w:lang w:val="en-GB"/>
        </w:rPr>
      </w:pPr>
      <w:r w:rsidRPr="00A31047">
        <w:rPr>
          <w:lang w:val="en-GB"/>
        </w:rPr>
        <w:t>CARTAC is a multi-donor funded programme with the Canadian International Development Agency providing the largest share of funding (CAD$ 20 million). Other contrib</w:t>
      </w:r>
      <w:r w:rsidR="004C12E6" w:rsidRPr="00A31047">
        <w:rPr>
          <w:lang w:val="en-GB"/>
        </w:rPr>
        <w:t>utors include</w:t>
      </w:r>
      <w:r w:rsidR="00F06D8B">
        <w:rPr>
          <w:lang w:val="en-GB"/>
        </w:rPr>
        <w:t>d</w:t>
      </w:r>
      <w:r w:rsidR="004C12E6" w:rsidRPr="00A31047">
        <w:rPr>
          <w:lang w:val="en-GB"/>
        </w:rPr>
        <w:t xml:space="preserve"> the Department for International Development (DFID), the European Union, and the Caribbean Development Bank. UNDP </w:t>
      </w:r>
      <w:r w:rsidR="00C82471">
        <w:rPr>
          <w:lang w:val="en-GB"/>
        </w:rPr>
        <w:t>contributed</w:t>
      </w:r>
      <w:r w:rsidR="004C12E6" w:rsidRPr="00A31047">
        <w:rPr>
          <w:lang w:val="en-GB"/>
        </w:rPr>
        <w:t xml:space="preserve"> USD $50 000 per year</w:t>
      </w:r>
      <w:r w:rsidR="00A4751B">
        <w:rPr>
          <w:lang w:val="en-GB"/>
        </w:rPr>
        <w:t xml:space="preserve"> and served as the Administrative Agent for the</w:t>
      </w:r>
      <w:r w:rsidR="00CB4BF3">
        <w:rPr>
          <w:lang w:val="en-GB"/>
        </w:rPr>
        <w:t xml:space="preserve"> </w:t>
      </w:r>
      <w:r w:rsidR="00A4751B">
        <w:rPr>
          <w:lang w:val="en-GB"/>
        </w:rPr>
        <w:t>project</w:t>
      </w:r>
      <w:r w:rsidR="004C12E6" w:rsidRPr="00A31047">
        <w:rPr>
          <w:lang w:val="en-GB"/>
        </w:rPr>
        <w:t xml:space="preserve">. The Government of Barbados finances the </w:t>
      </w:r>
      <w:r w:rsidR="00D529A9">
        <w:rPr>
          <w:lang w:val="en-GB"/>
        </w:rPr>
        <w:t xml:space="preserve">host country </w:t>
      </w:r>
      <w:r w:rsidR="004C12E6" w:rsidRPr="00A31047">
        <w:rPr>
          <w:lang w:val="en-GB"/>
        </w:rPr>
        <w:t>cost</w:t>
      </w:r>
      <w:r w:rsidR="00D529A9">
        <w:rPr>
          <w:lang w:val="en-GB"/>
        </w:rPr>
        <w:t xml:space="preserve">s, </w:t>
      </w:r>
      <w:r w:rsidR="004C12E6" w:rsidRPr="00A31047">
        <w:rPr>
          <w:lang w:val="en-GB"/>
        </w:rPr>
        <w:t xml:space="preserve">CARTAC’s office facilities </w:t>
      </w:r>
      <w:r w:rsidR="00D529A9">
        <w:rPr>
          <w:lang w:val="en-GB"/>
        </w:rPr>
        <w:t>costed at US70,000 a year</w:t>
      </w:r>
      <w:r w:rsidR="004C12E6" w:rsidRPr="00A31047">
        <w:rPr>
          <w:lang w:val="en-GB"/>
        </w:rPr>
        <w:t xml:space="preserve"> </w:t>
      </w:r>
      <w:r w:rsidR="00D529A9">
        <w:rPr>
          <w:lang w:val="en-GB"/>
        </w:rPr>
        <w:t>and like</w:t>
      </w:r>
      <w:r w:rsidR="004C12E6" w:rsidRPr="00A31047">
        <w:rPr>
          <w:lang w:val="en-GB"/>
        </w:rPr>
        <w:t xml:space="preserve"> other beneficiary countries </w:t>
      </w:r>
      <w:r w:rsidR="00D529A9">
        <w:rPr>
          <w:lang w:val="en-GB"/>
        </w:rPr>
        <w:t>provide</w:t>
      </w:r>
      <w:r w:rsidR="001262DA" w:rsidRPr="00A31047">
        <w:rPr>
          <w:rFonts w:eastAsia="Calibri" w:cs="Times New Roman"/>
          <w:lang w:val="en-GB"/>
        </w:rPr>
        <w:t xml:space="preserve"> annual contributions</w:t>
      </w:r>
      <w:r w:rsidR="001262DA" w:rsidRPr="00A31047">
        <w:rPr>
          <w:lang w:val="en-GB"/>
        </w:rPr>
        <w:t xml:space="preserve"> of USD $10 000</w:t>
      </w:r>
      <w:r w:rsidR="00F20E10" w:rsidRPr="00A31047">
        <w:rPr>
          <w:rFonts w:eastAsia="Calibri" w:cs="Times New Roman"/>
          <w:lang w:val="en-GB"/>
        </w:rPr>
        <w:t>.</w:t>
      </w:r>
    </w:p>
    <w:p w:rsidR="00F20E10" w:rsidRPr="00A31047" w:rsidRDefault="00D9141B" w:rsidP="009F3CA0">
      <w:pPr>
        <w:tabs>
          <w:tab w:val="left" w:pos="9180"/>
        </w:tabs>
        <w:jc w:val="both"/>
        <w:rPr>
          <w:rFonts w:eastAsia="Calibri" w:cs="Times New Roman"/>
          <w:lang w:val="en-GB"/>
        </w:rPr>
      </w:pPr>
      <w:r>
        <w:rPr>
          <w:lang w:val="en-GB"/>
        </w:rPr>
        <w:t xml:space="preserve">The Governance structure of </w:t>
      </w:r>
      <w:r w:rsidR="00D529A9">
        <w:rPr>
          <w:lang w:val="en-GB"/>
        </w:rPr>
        <w:t xml:space="preserve">CARTAC </w:t>
      </w:r>
      <w:r>
        <w:rPr>
          <w:lang w:val="en-GB"/>
        </w:rPr>
        <w:t xml:space="preserve">is </w:t>
      </w:r>
      <w:r w:rsidRPr="00A31047">
        <w:rPr>
          <w:rFonts w:eastAsia="Calibri" w:cs="Times New Roman"/>
          <w:lang w:val="en-GB"/>
        </w:rPr>
        <w:t xml:space="preserve">a </w:t>
      </w:r>
      <w:r>
        <w:rPr>
          <w:rFonts w:eastAsia="Calibri" w:cs="Times New Roman"/>
          <w:lang w:val="en-GB"/>
        </w:rPr>
        <w:t xml:space="preserve">Regional </w:t>
      </w:r>
      <w:r w:rsidRPr="00A31047">
        <w:rPr>
          <w:rFonts w:eastAsia="Calibri" w:cs="Times New Roman"/>
          <w:lang w:val="en-GB"/>
        </w:rPr>
        <w:t xml:space="preserve">Steering Committee, which is </w:t>
      </w:r>
      <w:r w:rsidRPr="00A31047">
        <w:rPr>
          <w:lang w:val="en-GB"/>
        </w:rPr>
        <w:t xml:space="preserve">currently </w:t>
      </w:r>
      <w:r w:rsidRPr="00A31047">
        <w:rPr>
          <w:rFonts w:eastAsia="Calibri" w:cs="Times New Roman"/>
          <w:lang w:val="en-GB"/>
        </w:rPr>
        <w:t xml:space="preserve">chaired by the Governor of the Central Bank of </w:t>
      </w:r>
      <w:r w:rsidRPr="00A31047">
        <w:rPr>
          <w:lang w:val="en-GB"/>
        </w:rPr>
        <w:t>Jamaica</w:t>
      </w:r>
      <w:r w:rsidRPr="00A31047">
        <w:rPr>
          <w:rFonts w:eastAsia="Calibri" w:cs="Times New Roman"/>
          <w:lang w:val="en-GB"/>
        </w:rPr>
        <w:t xml:space="preserve"> and includes representatives from five other participating countries, two representatives from the bilateral donors, and five from multilateral agencies.</w:t>
      </w:r>
      <w:r>
        <w:rPr>
          <w:rFonts w:eastAsia="Calibri" w:cs="Times New Roman"/>
          <w:lang w:val="en-GB"/>
        </w:rPr>
        <w:t xml:space="preserve"> </w:t>
      </w:r>
      <w:r w:rsidR="00D529A9">
        <w:rPr>
          <w:lang w:val="en-GB"/>
        </w:rPr>
        <w:t>Work Programme</w:t>
      </w:r>
      <w:r w:rsidR="00F20E10" w:rsidRPr="00A31047">
        <w:rPr>
          <w:rFonts w:eastAsia="Calibri" w:cs="Times New Roman"/>
          <w:lang w:val="en-GB"/>
        </w:rPr>
        <w:t xml:space="preserve"> priorities are </w:t>
      </w:r>
      <w:r w:rsidR="00D529A9">
        <w:rPr>
          <w:rFonts w:eastAsia="Calibri" w:cs="Times New Roman"/>
          <w:lang w:val="en-GB"/>
        </w:rPr>
        <w:t>decided on</w:t>
      </w:r>
      <w:r>
        <w:rPr>
          <w:rFonts w:eastAsia="Calibri" w:cs="Times New Roman"/>
          <w:lang w:val="en-GB"/>
        </w:rPr>
        <w:t xml:space="preserve"> by the Steering Committee. </w:t>
      </w:r>
      <w:r w:rsidR="005E210D">
        <w:rPr>
          <w:rFonts w:eastAsia="Calibri" w:cs="Times New Roman"/>
          <w:lang w:val="en-GB"/>
        </w:rPr>
        <w:t>CARTAC‘s</w:t>
      </w:r>
      <w:r>
        <w:rPr>
          <w:rFonts w:eastAsia="Calibri" w:cs="Times New Roman"/>
          <w:lang w:val="en-GB"/>
        </w:rPr>
        <w:t xml:space="preserve"> </w:t>
      </w:r>
      <w:r w:rsidR="00D529A9">
        <w:rPr>
          <w:rFonts w:eastAsia="Calibri" w:cs="Times New Roman"/>
          <w:lang w:val="en-GB"/>
        </w:rPr>
        <w:t xml:space="preserve">unique governance structure </w:t>
      </w:r>
      <w:r w:rsidR="00F06D8B">
        <w:rPr>
          <w:rFonts w:eastAsia="Calibri" w:cs="Times New Roman"/>
          <w:lang w:val="en-GB"/>
        </w:rPr>
        <w:t xml:space="preserve">supported </w:t>
      </w:r>
      <w:r w:rsidR="00D529A9">
        <w:rPr>
          <w:rFonts w:eastAsia="Calibri" w:cs="Times New Roman"/>
          <w:lang w:val="en-GB"/>
        </w:rPr>
        <w:t xml:space="preserve">the </w:t>
      </w:r>
      <w:r w:rsidR="00F06D8B">
        <w:rPr>
          <w:rFonts w:eastAsia="Calibri" w:cs="Times New Roman"/>
          <w:lang w:val="en-GB"/>
        </w:rPr>
        <w:t xml:space="preserve">2005-2008 </w:t>
      </w:r>
      <w:r w:rsidR="00D14B54" w:rsidRPr="00A31047">
        <w:rPr>
          <w:rFonts w:eastAsia="Calibri" w:cs="Times New Roman"/>
          <w:lang w:val="en-GB"/>
        </w:rPr>
        <w:t>UNDP S</w:t>
      </w:r>
      <w:r w:rsidR="00D529A9">
        <w:rPr>
          <w:rFonts w:eastAsia="Calibri" w:cs="Times New Roman"/>
          <w:lang w:val="en-GB"/>
        </w:rPr>
        <w:t xml:space="preserve">ub-regional Programme </w:t>
      </w:r>
      <w:r w:rsidR="00F06D8B">
        <w:rPr>
          <w:rFonts w:eastAsia="Calibri" w:cs="Times New Roman"/>
          <w:lang w:val="en-GB"/>
        </w:rPr>
        <w:t xml:space="preserve">(SPD) </w:t>
      </w:r>
      <w:r w:rsidR="00D529A9">
        <w:rPr>
          <w:rFonts w:eastAsia="Calibri" w:cs="Times New Roman"/>
          <w:lang w:val="en-GB"/>
        </w:rPr>
        <w:t xml:space="preserve">result </w:t>
      </w:r>
      <w:r w:rsidR="00F06D8B">
        <w:rPr>
          <w:rFonts w:eastAsia="Calibri" w:cs="Times New Roman"/>
          <w:lang w:val="en-GB"/>
        </w:rPr>
        <w:t xml:space="preserve">which was </w:t>
      </w:r>
      <w:r w:rsidR="00D529A9">
        <w:rPr>
          <w:rFonts w:eastAsia="Calibri" w:cs="Times New Roman"/>
          <w:lang w:val="en-GB"/>
        </w:rPr>
        <w:t>stated as</w:t>
      </w:r>
      <w:r w:rsidR="00D14B54" w:rsidRPr="00A31047">
        <w:rPr>
          <w:rFonts w:eastAsia="Calibri" w:cs="Times New Roman"/>
          <w:lang w:val="en-GB"/>
        </w:rPr>
        <w:t>:</w:t>
      </w:r>
    </w:p>
    <w:p w:rsidR="00D14B54" w:rsidRPr="00A31047" w:rsidRDefault="00D14B54" w:rsidP="009F3CA0">
      <w:pPr>
        <w:jc w:val="both"/>
        <w:rPr>
          <w:rFonts w:eastAsia="Calibri" w:cs="Times New Roman"/>
          <w:lang w:val="en-GB"/>
        </w:rPr>
      </w:pPr>
      <w:r w:rsidRPr="00A31047">
        <w:rPr>
          <w:rFonts w:eastAsia="Calibri" w:cs="Times New Roman"/>
          <w:lang w:val="en-GB"/>
        </w:rPr>
        <w:t>“Public sector OECS Economic Union modernised and strengthened by human resource development, information and communications technologies inputs, public/private dialogues and enhanced transparency and accountability programmes via:</w:t>
      </w:r>
    </w:p>
    <w:p w:rsidR="00D14B54" w:rsidRPr="00A31047" w:rsidRDefault="00D14B54" w:rsidP="009F3CA0">
      <w:pPr>
        <w:pStyle w:val="ListParagraph"/>
        <w:numPr>
          <w:ilvl w:val="0"/>
          <w:numId w:val="4"/>
        </w:numPr>
        <w:jc w:val="both"/>
        <w:rPr>
          <w:rFonts w:eastAsia="Calibri" w:cs="Times New Roman"/>
          <w:lang w:val="en-GB"/>
        </w:rPr>
      </w:pPr>
      <w:r w:rsidRPr="00A31047">
        <w:rPr>
          <w:rFonts w:eastAsia="Calibri" w:cs="Times New Roman"/>
          <w:lang w:val="en-GB"/>
        </w:rPr>
        <w:lastRenderedPageBreak/>
        <w:t xml:space="preserve">Improved public sector management, budgeting, debt management, </w:t>
      </w:r>
      <w:r w:rsidR="0029718C" w:rsidRPr="00A31047">
        <w:rPr>
          <w:rFonts w:eastAsia="Calibri" w:cs="Times New Roman"/>
          <w:lang w:val="en-GB"/>
        </w:rPr>
        <w:t>and revenue</w:t>
      </w:r>
      <w:r w:rsidRPr="00A31047">
        <w:rPr>
          <w:rFonts w:eastAsia="Calibri" w:cs="Times New Roman"/>
          <w:lang w:val="en-GB"/>
        </w:rPr>
        <w:t xml:space="preserve"> policy formulation, introduction of the value-added tax, financial supervision and collection of economic statistics.</w:t>
      </w:r>
    </w:p>
    <w:p w:rsidR="00D14B54" w:rsidRPr="00A31047" w:rsidRDefault="00D14B54" w:rsidP="009F3CA0">
      <w:pPr>
        <w:pStyle w:val="ListParagraph"/>
        <w:numPr>
          <w:ilvl w:val="0"/>
          <w:numId w:val="4"/>
        </w:numPr>
        <w:jc w:val="both"/>
        <w:rPr>
          <w:rFonts w:eastAsia="Calibri" w:cs="Times New Roman"/>
          <w:lang w:val="en-GB"/>
        </w:rPr>
      </w:pPr>
      <w:r w:rsidRPr="00A31047">
        <w:rPr>
          <w:rFonts w:eastAsia="Calibri" w:cs="Times New Roman"/>
          <w:lang w:val="en-GB"/>
        </w:rPr>
        <w:t>Enhanced public sector capacity in OECS countries for project management, implementation and evaluation. “</w:t>
      </w:r>
    </w:p>
    <w:p w:rsidR="00F20E10" w:rsidRPr="00A31047" w:rsidRDefault="00D14B54" w:rsidP="009F3CA0">
      <w:pPr>
        <w:tabs>
          <w:tab w:val="left" w:pos="1620"/>
          <w:tab w:val="left" w:pos="9180"/>
        </w:tabs>
        <w:ind w:right="60"/>
        <w:jc w:val="both"/>
        <w:rPr>
          <w:rFonts w:eastAsia="Calibri" w:cs="Times New Roman"/>
          <w:lang w:val="en-GB"/>
        </w:rPr>
      </w:pPr>
      <w:r w:rsidRPr="00A31047">
        <w:rPr>
          <w:rFonts w:eastAsia="Calibri" w:cs="Times New Roman"/>
          <w:lang w:val="en-GB"/>
        </w:rPr>
        <w:t xml:space="preserve">In order to contribute to the achievement of these results </w:t>
      </w:r>
      <w:r w:rsidR="00F20E10" w:rsidRPr="00A31047">
        <w:rPr>
          <w:rFonts w:eastAsia="Calibri" w:cs="Times New Roman"/>
          <w:lang w:val="en-GB"/>
        </w:rPr>
        <w:t xml:space="preserve">CARTAC </w:t>
      </w:r>
      <w:r w:rsidR="00D529A9">
        <w:rPr>
          <w:rFonts w:eastAsia="Calibri" w:cs="Times New Roman"/>
          <w:lang w:val="en-GB"/>
        </w:rPr>
        <w:t>provided</w:t>
      </w:r>
      <w:r w:rsidR="00F20E10" w:rsidRPr="00A31047">
        <w:rPr>
          <w:rFonts w:eastAsia="Calibri" w:cs="Times New Roman"/>
          <w:lang w:val="en-GB"/>
        </w:rPr>
        <w:t xml:space="preserve"> technical services in five core areas,</w:t>
      </w:r>
      <w:r w:rsidR="001A6D64" w:rsidRPr="00A31047">
        <w:rPr>
          <w:rFonts w:eastAsia="Calibri" w:cs="Times New Roman"/>
          <w:lang w:val="en-GB"/>
        </w:rPr>
        <w:t xml:space="preserve"> each of which have specific objectives</w:t>
      </w:r>
      <w:r w:rsidR="00F20E10" w:rsidRPr="00A31047">
        <w:rPr>
          <w:rFonts w:eastAsia="Calibri" w:cs="Times New Roman"/>
          <w:lang w:val="en-GB"/>
        </w:rPr>
        <w:t xml:space="preserve">: </w:t>
      </w:r>
    </w:p>
    <w:p w:rsidR="00F20E10" w:rsidRPr="00A31047" w:rsidRDefault="00F20E10" w:rsidP="009F3CA0">
      <w:pPr>
        <w:numPr>
          <w:ilvl w:val="0"/>
          <w:numId w:val="1"/>
        </w:numPr>
        <w:tabs>
          <w:tab w:val="num" w:pos="360"/>
          <w:tab w:val="left" w:pos="1620"/>
          <w:tab w:val="left" w:pos="9180"/>
        </w:tabs>
        <w:spacing w:before="60" w:after="0"/>
        <w:ind w:left="0" w:right="60" w:firstLine="0"/>
        <w:jc w:val="both"/>
        <w:rPr>
          <w:rFonts w:eastAsia="Calibri" w:cs="Times New Roman"/>
          <w:lang w:val="en-GB"/>
        </w:rPr>
      </w:pPr>
      <w:r w:rsidRPr="00A31047">
        <w:rPr>
          <w:rFonts w:eastAsia="Calibri" w:cs="Times New Roman"/>
          <w:lang w:val="en-GB"/>
        </w:rPr>
        <w:t>Public finance management (PFM);</w:t>
      </w:r>
    </w:p>
    <w:p w:rsidR="00F20E10" w:rsidRPr="00A31047" w:rsidRDefault="00F20E10" w:rsidP="009F3CA0">
      <w:pPr>
        <w:numPr>
          <w:ilvl w:val="0"/>
          <w:numId w:val="1"/>
        </w:numPr>
        <w:tabs>
          <w:tab w:val="num" w:pos="360"/>
          <w:tab w:val="left" w:pos="1620"/>
          <w:tab w:val="left" w:pos="9180"/>
        </w:tabs>
        <w:spacing w:after="0"/>
        <w:ind w:left="0" w:right="60" w:firstLine="0"/>
        <w:jc w:val="both"/>
        <w:rPr>
          <w:rFonts w:eastAsia="Calibri" w:cs="Times New Roman"/>
          <w:lang w:val="en-GB"/>
        </w:rPr>
      </w:pPr>
      <w:r w:rsidRPr="00A31047">
        <w:rPr>
          <w:rFonts w:eastAsia="Calibri" w:cs="Times New Roman"/>
          <w:lang w:val="en-GB"/>
        </w:rPr>
        <w:t>Tax/customs policy and administration;</w:t>
      </w:r>
    </w:p>
    <w:p w:rsidR="00F20E10" w:rsidRPr="00A31047" w:rsidRDefault="00F20E10" w:rsidP="009F3CA0">
      <w:pPr>
        <w:numPr>
          <w:ilvl w:val="0"/>
          <w:numId w:val="1"/>
        </w:numPr>
        <w:tabs>
          <w:tab w:val="clear" w:pos="720"/>
          <w:tab w:val="num" w:pos="0"/>
          <w:tab w:val="num" w:pos="360"/>
          <w:tab w:val="left" w:pos="9180"/>
        </w:tabs>
        <w:spacing w:after="0"/>
        <w:ind w:left="180" w:right="58" w:hanging="180"/>
        <w:jc w:val="both"/>
        <w:rPr>
          <w:rFonts w:eastAsia="Calibri" w:cs="Times New Roman"/>
          <w:lang w:val="en-GB"/>
        </w:rPr>
      </w:pPr>
      <w:r w:rsidRPr="00A31047">
        <w:rPr>
          <w:lang w:val="en-GB"/>
        </w:rPr>
        <w:t xml:space="preserve">    </w:t>
      </w:r>
      <w:r w:rsidRPr="00A31047">
        <w:rPr>
          <w:rFonts w:eastAsia="Calibri" w:cs="Times New Roman"/>
          <w:lang w:val="en-GB"/>
        </w:rPr>
        <w:t xml:space="preserve">Financial sector regulation and supervision, including off-shore financial operations;  </w:t>
      </w:r>
    </w:p>
    <w:p w:rsidR="00F20E10" w:rsidRPr="00A31047" w:rsidRDefault="00F20E10" w:rsidP="009F3CA0">
      <w:pPr>
        <w:numPr>
          <w:ilvl w:val="0"/>
          <w:numId w:val="1"/>
        </w:numPr>
        <w:tabs>
          <w:tab w:val="num" w:pos="360"/>
          <w:tab w:val="left" w:pos="1620"/>
          <w:tab w:val="left" w:pos="9180"/>
        </w:tabs>
        <w:spacing w:after="0"/>
        <w:ind w:left="0" w:right="60" w:firstLine="0"/>
        <w:jc w:val="both"/>
        <w:rPr>
          <w:rFonts w:eastAsia="Calibri" w:cs="Times New Roman"/>
          <w:lang w:val="en-GB"/>
        </w:rPr>
      </w:pPr>
      <w:r w:rsidRPr="00A31047">
        <w:rPr>
          <w:rFonts w:eastAsia="Calibri" w:cs="Times New Roman"/>
          <w:lang w:val="en-GB"/>
        </w:rPr>
        <w:t>Economic and financial statistics; and</w:t>
      </w:r>
    </w:p>
    <w:p w:rsidR="00F20E10" w:rsidRPr="00A31047" w:rsidRDefault="00F20E10" w:rsidP="009F3CA0">
      <w:pPr>
        <w:numPr>
          <w:ilvl w:val="0"/>
          <w:numId w:val="1"/>
        </w:numPr>
        <w:tabs>
          <w:tab w:val="num" w:pos="360"/>
          <w:tab w:val="left" w:pos="1620"/>
          <w:tab w:val="left" w:pos="9180"/>
        </w:tabs>
        <w:spacing w:after="0"/>
        <w:ind w:left="0" w:right="60" w:firstLine="0"/>
        <w:jc w:val="both"/>
        <w:rPr>
          <w:lang w:val="en-GB"/>
        </w:rPr>
      </w:pPr>
      <w:r w:rsidRPr="00A31047">
        <w:rPr>
          <w:rFonts w:eastAsia="Calibri" w:cs="Times New Roman"/>
        </w:rPr>
        <w:t>Macroeconomic programming and policy analysis.</w:t>
      </w:r>
    </w:p>
    <w:p w:rsidR="00A31047" w:rsidRDefault="00A31047" w:rsidP="009F3CA0">
      <w:pPr>
        <w:jc w:val="both"/>
        <w:rPr>
          <w:rFonts w:eastAsia="Calibri" w:cs="Times New Roman"/>
          <w:lang w:val="en-GB"/>
        </w:rPr>
      </w:pPr>
    </w:p>
    <w:p w:rsidR="00944FB1" w:rsidRDefault="00A31047" w:rsidP="009F3CA0">
      <w:pPr>
        <w:jc w:val="both"/>
        <w:rPr>
          <w:rFonts w:eastAsia="Calibri" w:cs="Times New Roman"/>
          <w:b/>
          <w:lang w:val="en-GB"/>
        </w:rPr>
      </w:pPr>
      <w:r w:rsidRPr="00363584">
        <w:rPr>
          <w:rFonts w:eastAsia="Calibri" w:cs="Times New Roman"/>
          <w:b/>
          <w:lang w:val="en-GB"/>
        </w:rPr>
        <w:t xml:space="preserve">Key </w:t>
      </w:r>
      <w:r w:rsidR="00944FB1" w:rsidRPr="00363584">
        <w:rPr>
          <w:rFonts w:eastAsia="Calibri" w:cs="Times New Roman"/>
          <w:b/>
          <w:lang w:val="en-GB"/>
        </w:rPr>
        <w:t xml:space="preserve">Project </w:t>
      </w:r>
      <w:r w:rsidRPr="00363584">
        <w:rPr>
          <w:rFonts w:eastAsia="Calibri" w:cs="Times New Roman"/>
          <w:b/>
          <w:lang w:val="en-GB"/>
        </w:rPr>
        <w:t xml:space="preserve">Developments </w:t>
      </w:r>
    </w:p>
    <w:p w:rsidR="00BE7E00" w:rsidRDefault="00BE7E00" w:rsidP="009F3CA0">
      <w:pPr>
        <w:jc w:val="both"/>
        <w:rPr>
          <w:rFonts w:eastAsia="Calibri" w:cs="Times New Roman"/>
          <w:lang w:val="en-GB"/>
        </w:rPr>
      </w:pPr>
      <w:r>
        <w:rPr>
          <w:rFonts w:eastAsia="Calibri" w:cs="Times New Roman"/>
          <w:b/>
          <w:lang w:val="en-GB"/>
        </w:rPr>
        <w:t>Results-Based Monitoring and Reporting</w:t>
      </w:r>
      <w:r w:rsidR="002D7DEA">
        <w:rPr>
          <w:rFonts w:eastAsia="Calibri" w:cs="Times New Roman"/>
          <w:lang w:val="en-GB"/>
        </w:rPr>
        <w:t xml:space="preserve"> </w:t>
      </w:r>
    </w:p>
    <w:p w:rsidR="00944FB1" w:rsidRDefault="00944FB1" w:rsidP="009F3CA0">
      <w:pPr>
        <w:jc w:val="both"/>
      </w:pPr>
      <w:r>
        <w:rPr>
          <w:rFonts w:eastAsia="Calibri" w:cs="Times New Roman"/>
          <w:lang w:val="en-GB"/>
        </w:rPr>
        <w:t xml:space="preserve">Over the </w:t>
      </w:r>
      <w:r w:rsidR="00D9141B">
        <w:rPr>
          <w:rFonts w:eastAsia="Calibri" w:cs="Times New Roman"/>
          <w:lang w:val="en-GB"/>
        </w:rPr>
        <w:t>10 year</w:t>
      </w:r>
      <w:r>
        <w:rPr>
          <w:rFonts w:eastAsia="Calibri" w:cs="Times New Roman"/>
          <w:lang w:val="en-GB"/>
        </w:rPr>
        <w:t xml:space="preserve"> project </w:t>
      </w:r>
      <w:r w:rsidR="00D9141B">
        <w:rPr>
          <w:rFonts w:eastAsia="Calibri" w:cs="Times New Roman"/>
          <w:lang w:val="en-GB"/>
        </w:rPr>
        <w:t>duration</w:t>
      </w:r>
      <w:r>
        <w:rPr>
          <w:rFonts w:eastAsia="Calibri" w:cs="Times New Roman"/>
          <w:lang w:val="en-GB"/>
        </w:rPr>
        <w:t>, two CARTAC m</w:t>
      </w:r>
      <w:r w:rsidR="009061E3">
        <w:rPr>
          <w:rFonts w:eastAsia="Calibri" w:cs="Times New Roman"/>
          <w:lang w:val="en-GB"/>
        </w:rPr>
        <w:t xml:space="preserve">id-term </w:t>
      </w:r>
      <w:r>
        <w:rPr>
          <w:rFonts w:eastAsia="Calibri" w:cs="Times New Roman"/>
          <w:lang w:val="en-GB"/>
        </w:rPr>
        <w:t>r</w:t>
      </w:r>
      <w:r w:rsidR="009061E3">
        <w:rPr>
          <w:rFonts w:eastAsia="Calibri" w:cs="Times New Roman"/>
          <w:lang w:val="en-GB"/>
        </w:rPr>
        <w:t>eview</w:t>
      </w:r>
      <w:r>
        <w:rPr>
          <w:rFonts w:eastAsia="Calibri" w:cs="Times New Roman"/>
          <w:lang w:val="en-GB"/>
        </w:rPr>
        <w:t>s</w:t>
      </w:r>
      <w:r w:rsidR="009061E3">
        <w:rPr>
          <w:rFonts w:eastAsia="Calibri" w:cs="Times New Roman"/>
          <w:lang w:val="en-GB"/>
        </w:rPr>
        <w:t xml:space="preserve"> pointed to the need </w:t>
      </w:r>
      <w:r>
        <w:rPr>
          <w:rFonts w:eastAsia="Calibri" w:cs="Times New Roman"/>
          <w:lang w:val="en-GB"/>
        </w:rPr>
        <w:t xml:space="preserve">to introduce </w:t>
      </w:r>
      <w:r w:rsidR="009458A6">
        <w:rPr>
          <w:rFonts w:eastAsia="Calibri" w:cs="Times New Roman"/>
          <w:lang w:val="en-GB"/>
        </w:rPr>
        <w:t xml:space="preserve">CARTAC specific </w:t>
      </w:r>
      <w:r w:rsidR="009061E3">
        <w:rPr>
          <w:rFonts w:eastAsia="Calibri" w:cs="Times New Roman"/>
          <w:lang w:val="en-GB"/>
        </w:rPr>
        <w:t xml:space="preserve">results based </w:t>
      </w:r>
      <w:r w:rsidR="009458A6">
        <w:rPr>
          <w:rFonts w:eastAsia="Calibri" w:cs="Times New Roman"/>
          <w:lang w:val="en-GB"/>
        </w:rPr>
        <w:t xml:space="preserve">(RBM) </w:t>
      </w:r>
      <w:r w:rsidR="009061E3">
        <w:rPr>
          <w:rFonts w:eastAsia="Calibri" w:cs="Times New Roman"/>
          <w:lang w:val="en-GB"/>
        </w:rPr>
        <w:t xml:space="preserve">monitoring framework to more accurately </w:t>
      </w:r>
      <w:r w:rsidR="009458A6">
        <w:rPr>
          <w:rFonts w:eastAsia="Calibri" w:cs="Times New Roman"/>
          <w:lang w:val="en-GB"/>
        </w:rPr>
        <w:t>measure and present</w:t>
      </w:r>
      <w:r w:rsidR="009061E3">
        <w:rPr>
          <w:rFonts w:eastAsia="Calibri" w:cs="Times New Roman"/>
          <w:lang w:val="en-GB"/>
        </w:rPr>
        <w:t xml:space="preserve"> CARTAC impact</w:t>
      </w:r>
      <w:r>
        <w:rPr>
          <w:rFonts w:eastAsia="Calibri" w:cs="Times New Roman"/>
          <w:lang w:val="en-GB"/>
        </w:rPr>
        <w:t>s</w:t>
      </w:r>
      <w:r w:rsidR="009458A6">
        <w:rPr>
          <w:rFonts w:eastAsia="Calibri" w:cs="Times New Roman"/>
          <w:lang w:val="en-GB"/>
        </w:rPr>
        <w:t xml:space="preserve"> and national and regional levels outcomes.</w:t>
      </w:r>
      <w:r w:rsidR="009061E3">
        <w:rPr>
          <w:rFonts w:eastAsia="Calibri" w:cs="Times New Roman"/>
          <w:lang w:val="en-GB"/>
        </w:rPr>
        <w:t xml:space="preserve"> The Project Steering Committee endorsed this recommendation and mandated that this be addressed in the preparation of the document for the extension of CARTAC to Phase III over the period (2008-2010). In this regard UNDP </w:t>
      </w:r>
      <w:r>
        <w:rPr>
          <w:rFonts w:eastAsia="Calibri" w:cs="Times New Roman"/>
          <w:lang w:val="en-GB"/>
        </w:rPr>
        <w:t xml:space="preserve">  support</w:t>
      </w:r>
      <w:r w:rsidR="009458A6">
        <w:rPr>
          <w:rFonts w:eastAsia="Calibri" w:cs="Times New Roman"/>
          <w:lang w:val="en-GB"/>
        </w:rPr>
        <w:t>ed</w:t>
      </w:r>
      <w:r>
        <w:rPr>
          <w:rFonts w:eastAsia="Calibri" w:cs="Times New Roman"/>
          <w:lang w:val="en-GB"/>
        </w:rPr>
        <w:t xml:space="preserve"> the first </w:t>
      </w:r>
      <w:r w:rsidR="009061E3">
        <w:rPr>
          <w:rFonts w:eastAsia="Calibri" w:cs="Times New Roman"/>
          <w:lang w:val="en-GB"/>
        </w:rPr>
        <w:t>consultan</w:t>
      </w:r>
      <w:r>
        <w:rPr>
          <w:rFonts w:eastAsia="Calibri" w:cs="Times New Roman"/>
          <w:lang w:val="en-GB"/>
        </w:rPr>
        <w:t>cy</w:t>
      </w:r>
      <w:r w:rsidR="009061E3">
        <w:rPr>
          <w:rFonts w:eastAsia="Calibri" w:cs="Times New Roman"/>
          <w:lang w:val="en-GB"/>
        </w:rPr>
        <w:t xml:space="preserve"> to</w:t>
      </w:r>
      <w:r>
        <w:rPr>
          <w:rFonts w:eastAsia="Calibri" w:cs="Times New Roman"/>
          <w:lang w:val="en-GB"/>
        </w:rPr>
        <w:t xml:space="preserve"> support the</w:t>
      </w:r>
      <w:r w:rsidR="009061E3">
        <w:rPr>
          <w:rFonts w:eastAsia="Calibri" w:cs="Times New Roman"/>
          <w:lang w:val="en-GB"/>
        </w:rPr>
        <w:t xml:space="preserve"> </w:t>
      </w:r>
      <w:r w:rsidR="009061E3">
        <w:t xml:space="preserve">design </w:t>
      </w:r>
      <w:r w:rsidR="00BD4B9A">
        <w:t xml:space="preserve">of </w:t>
      </w:r>
      <w:r w:rsidR="009061E3">
        <w:t>a results-based monitoring framework</w:t>
      </w:r>
      <w:r>
        <w:t xml:space="preserve"> to</w:t>
      </w:r>
      <w:r w:rsidR="009061E3">
        <w:t xml:space="preserve"> reflect </w:t>
      </w:r>
      <w:r w:rsidR="009458A6">
        <w:t xml:space="preserve">capacity building and sustainability </w:t>
      </w:r>
      <w:r w:rsidR="00B46601">
        <w:t>results</w:t>
      </w:r>
      <w:r w:rsidR="009061E3">
        <w:t xml:space="preserve">, taking into consideration </w:t>
      </w:r>
      <w:r w:rsidR="009458A6">
        <w:t xml:space="preserve">RBM </w:t>
      </w:r>
      <w:r w:rsidR="009061E3">
        <w:t xml:space="preserve">reporting </w:t>
      </w:r>
      <w:r>
        <w:t>platform</w:t>
      </w:r>
      <w:r w:rsidR="009458A6">
        <w:t>s</w:t>
      </w:r>
      <w:r>
        <w:t xml:space="preserve"> accepted </w:t>
      </w:r>
      <w:r w:rsidR="009458A6">
        <w:t xml:space="preserve">and used </w:t>
      </w:r>
      <w:r>
        <w:t xml:space="preserve">by most </w:t>
      </w:r>
      <w:r w:rsidR="009061E3">
        <w:t xml:space="preserve">donors. </w:t>
      </w:r>
    </w:p>
    <w:p w:rsidR="009061E3" w:rsidRDefault="00944FB1" w:rsidP="009F3CA0">
      <w:pPr>
        <w:jc w:val="both"/>
        <w:rPr>
          <w:rFonts w:eastAsia="Calibri" w:cs="Times New Roman"/>
          <w:lang w:val="en-GB"/>
        </w:rPr>
      </w:pPr>
      <w:r>
        <w:t>CARTAC also support</w:t>
      </w:r>
      <w:r w:rsidR="009458A6">
        <w:t>ed</w:t>
      </w:r>
      <w:r>
        <w:t xml:space="preserve"> an RBM </w:t>
      </w:r>
      <w:r>
        <w:rPr>
          <w:rFonts w:eastAsia="Calibri" w:cs="Times New Roman"/>
          <w:lang w:val="en-GB"/>
        </w:rPr>
        <w:t xml:space="preserve">assessment </w:t>
      </w:r>
      <w:r w:rsidR="009458A6">
        <w:rPr>
          <w:rFonts w:eastAsia="Calibri" w:cs="Times New Roman"/>
          <w:lang w:val="en-GB"/>
        </w:rPr>
        <w:t xml:space="preserve">with recommendations that resulted in the adaptation of </w:t>
      </w:r>
      <w:r w:rsidR="00BC4AC5">
        <w:rPr>
          <w:rFonts w:eastAsia="Calibri" w:cs="Times New Roman"/>
          <w:lang w:val="en-GB"/>
        </w:rPr>
        <w:t xml:space="preserve">existing </w:t>
      </w:r>
      <w:r w:rsidR="009458A6">
        <w:rPr>
          <w:rFonts w:eastAsia="Calibri" w:cs="Times New Roman"/>
          <w:lang w:val="en-GB"/>
        </w:rPr>
        <w:t xml:space="preserve">reporting </w:t>
      </w:r>
      <w:r w:rsidR="00BC4AC5">
        <w:rPr>
          <w:rFonts w:eastAsia="Calibri" w:cs="Times New Roman"/>
          <w:lang w:val="en-GB"/>
        </w:rPr>
        <w:t>framework</w:t>
      </w:r>
      <w:r w:rsidR="009458A6">
        <w:rPr>
          <w:rFonts w:eastAsia="Calibri" w:cs="Times New Roman"/>
          <w:lang w:val="en-GB"/>
        </w:rPr>
        <w:t>s</w:t>
      </w:r>
      <w:r>
        <w:rPr>
          <w:rFonts w:eastAsia="Calibri" w:cs="Times New Roman"/>
          <w:lang w:val="en-GB"/>
        </w:rPr>
        <w:t xml:space="preserve"> </w:t>
      </w:r>
      <w:r w:rsidR="009458A6">
        <w:rPr>
          <w:rFonts w:eastAsia="Calibri" w:cs="Times New Roman"/>
          <w:lang w:val="en-GB"/>
        </w:rPr>
        <w:t xml:space="preserve">providing CARTAC programmes </w:t>
      </w:r>
      <w:r w:rsidR="005E210D">
        <w:rPr>
          <w:rFonts w:eastAsia="Calibri" w:cs="Times New Roman"/>
          <w:lang w:val="en-GB"/>
        </w:rPr>
        <w:t>results that</w:t>
      </w:r>
      <w:r w:rsidR="009458A6">
        <w:rPr>
          <w:rFonts w:eastAsia="Calibri" w:cs="Times New Roman"/>
          <w:lang w:val="en-GB"/>
        </w:rPr>
        <w:t xml:space="preserve"> included </w:t>
      </w:r>
      <w:r w:rsidR="00BC4AC5">
        <w:rPr>
          <w:rFonts w:eastAsia="Calibri" w:cs="Times New Roman"/>
          <w:lang w:val="en-GB"/>
        </w:rPr>
        <w:t xml:space="preserve">gender outcomes. </w:t>
      </w:r>
      <w:r w:rsidR="009061E3">
        <w:rPr>
          <w:rFonts w:eastAsia="Calibri" w:cs="Times New Roman"/>
          <w:lang w:val="en-GB"/>
        </w:rPr>
        <w:t>The following recommendations were made:</w:t>
      </w:r>
    </w:p>
    <w:p w:rsidR="009061E3" w:rsidRPr="009061E3" w:rsidRDefault="009061E3" w:rsidP="009061E3">
      <w:pPr>
        <w:numPr>
          <w:ilvl w:val="0"/>
          <w:numId w:val="14"/>
        </w:numPr>
        <w:jc w:val="both"/>
        <w:rPr>
          <w:rFonts w:eastAsia="Calibri" w:cs="Times New Roman"/>
        </w:rPr>
      </w:pPr>
      <w:r w:rsidRPr="009061E3">
        <w:rPr>
          <w:rFonts w:eastAsia="Calibri" w:cs="Times New Roman"/>
        </w:rPr>
        <w:t xml:space="preserve">Replacement of One of the Semi Annual Activity Report with an Annual Report which gives more information on </w:t>
      </w:r>
      <w:r w:rsidR="00EF6D73">
        <w:rPr>
          <w:rFonts w:eastAsia="Calibri" w:cs="Times New Roman"/>
        </w:rPr>
        <w:t>results</w:t>
      </w:r>
      <w:r w:rsidRPr="009061E3">
        <w:rPr>
          <w:rFonts w:eastAsia="Calibri" w:cs="Times New Roman"/>
        </w:rPr>
        <w:t xml:space="preserve"> of CARTAC </w:t>
      </w:r>
      <w:r w:rsidR="009458A6">
        <w:rPr>
          <w:rFonts w:eastAsia="Calibri" w:cs="Times New Roman"/>
        </w:rPr>
        <w:t>a</w:t>
      </w:r>
      <w:r w:rsidRPr="009061E3">
        <w:rPr>
          <w:rFonts w:eastAsia="Calibri" w:cs="Times New Roman"/>
        </w:rPr>
        <w:t>ctivities.</w:t>
      </w:r>
    </w:p>
    <w:p w:rsidR="009061E3" w:rsidRPr="009061E3" w:rsidRDefault="009061E3" w:rsidP="009061E3">
      <w:pPr>
        <w:numPr>
          <w:ilvl w:val="0"/>
          <w:numId w:val="14"/>
        </w:numPr>
        <w:jc w:val="both"/>
        <w:rPr>
          <w:rFonts w:eastAsia="Calibri" w:cs="Times New Roman"/>
        </w:rPr>
      </w:pPr>
      <w:r w:rsidRPr="009061E3">
        <w:rPr>
          <w:rFonts w:eastAsia="Calibri" w:cs="Times New Roman"/>
        </w:rPr>
        <w:t>Preparation of Annual Work Plans instead of Semi Annual work plans which can be used to match Annual Reports and determine whether objectives were met.</w:t>
      </w:r>
    </w:p>
    <w:p w:rsidR="009061E3" w:rsidRPr="009061E3" w:rsidRDefault="009061E3" w:rsidP="009061E3">
      <w:pPr>
        <w:numPr>
          <w:ilvl w:val="0"/>
          <w:numId w:val="14"/>
        </w:numPr>
        <w:jc w:val="both"/>
        <w:rPr>
          <w:rFonts w:eastAsia="Calibri" w:cs="Times New Roman"/>
        </w:rPr>
      </w:pPr>
      <w:r w:rsidRPr="009061E3">
        <w:rPr>
          <w:rFonts w:eastAsia="Calibri" w:cs="Times New Roman"/>
        </w:rPr>
        <w:t xml:space="preserve">Preparation of An Annual Monitoring/Results Framework which will highlight the </w:t>
      </w:r>
      <w:r w:rsidR="00EF6D73">
        <w:rPr>
          <w:rFonts w:eastAsia="Calibri" w:cs="Times New Roman"/>
        </w:rPr>
        <w:t xml:space="preserve">results </w:t>
      </w:r>
      <w:r w:rsidRPr="009061E3">
        <w:rPr>
          <w:rFonts w:eastAsia="Calibri" w:cs="Times New Roman"/>
        </w:rPr>
        <w:t>of CARTAC Program</w:t>
      </w:r>
      <w:r>
        <w:rPr>
          <w:rFonts w:eastAsia="Calibri" w:cs="Times New Roman"/>
        </w:rPr>
        <w:t>ming using specified indicators.</w:t>
      </w:r>
    </w:p>
    <w:p w:rsidR="009061E3" w:rsidRPr="009061E3" w:rsidRDefault="009061E3" w:rsidP="009061E3">
      <w:pPr>
        <w:numPr>
          <w:ilvl w:val="0"/>
          <w:numId w:val="14"/>
        </w:numPr>
        <w:jc w:val="both"/>
        <w:rPr>
          <w:rFonts w:eastAsia="Calibri" w:cs="Times New Roman"/>
        </w:rPr>
      </w:pPr>
      <w:r w:rsidRPr="009061E3">
        <w:rPr>
          <w:rFonts w:eastAsia="Calibri" w:cs="Times New Roman"/>
        </w:rPr>
        <w:t>Monitoring and Evaluation Plan which will include a Tracer Study of capacity building initiatives as part of the next Mid-term review exercise and Annual Survey of Beneficiary Sentiments.</w:t>
      </w:r>
    </w:p>
    <w:p w:rsidR="00F20E10" w:rsidRPr="00A31047" w:rsidRDefault="009902BC" w:rsidP="009F3CA0">
      <w:pPr>
        <w:tabs>
          <w:tab w:val="left" w:pos="1620"/>
          <w:tab w:val="left" w:pos="9180"/>
        </w:tabs>
        <w:spacing w:after="0"/>
        <w:ind w:right="60"/>
        <w:jc w:val="both"/>
        <w:rPr>
          <w:rFonts w:eastAsia="Calibri" w:cs="Times New Roman"/>
          <w:b/>
          <w:lang w:val="en-GB"/>
        </w:rPr>
      </w:pPr>
      <w:r w:rsidRPr="00A31047">
        <w:rPr>
          <w:rFonts w:eastAsia="Calibri" w:cs="Times New Roman"/>
          <w:b/>
          <w:lang w:val="en-GB"/>
        </w:rPr>
        <w:t>Purpose</w:t>
      </w:r>
      <w:r w:rsidR="00FD5ADB">
        <w:rPr>
          <w:rFonts w:eastAsia="Calibri" w:cs="Times New Roman"/>
          <w:b/>
          <w:lang w:val="en-GB"/>
        </w:rPr>
        <w:t xml:space="preserve"> </w:t>
      </w:r>
      <w:r w:rsidR="003A22AC" w:rsidRPr="00A31047">
        <w:rPr>
          <w:rFonts w:eastAsia="Calibri" w:cs="Times New Roman"/>
          <w:b/>
          <w:lang w:val="en-GB"/>
        </w:rPr>
        <w:t xml:space="preserve">and Scope </w:t>
      </w:r>
      <w:r w:rsidRPr="00A31047">
        <w:rPr>
          <w:rFonts w:eastAsia="Calibri" w:cs="Times New Roman"/>
          <w:b/>
          <w:lang w:val="en-GB"/>
        </w:rPr>
        <w:t>of the Evaluation</w:t>
      </w:r>
    </w:p>
    <w:p w:rsidR="0090260F" w:rsidRPr="00A31047" w:rsidRDefault="0090260F" w:rsidP="009F3CA0">
      <w:pPr>
        <w:tabs>
          <w:tab w:val="left" w:pos="1620"/>
          <w:tab w:val="left" w:pos="9180"/>
        </w:tabs>
        <w:spacing w:after="0"/>
        <w:ind w:right="60"/>
        <w:jc w:val="both"/>
        <w:rPr>
          <w:rFonts w:eastAsia="Calibri" w:cs="Times New Roman"/>
          <w:lang w:val="en-GB"/>
        </w:rPr>
      </w:pPr>
    </w:p>
    <w:p w:rsidR="003B55DB" w:rsidRDefault="0029718C" w:rsidP="009F3CA0">
      <w:pPr>
        <w:tabs>
          <w:tab w:val="left" w:pos="1620"/>
          <w:tab w:val="left" w:pos="9180"/>
        </w:tabs>
        <w:spacing w:after="0"/>
        <w:ind w:right="60"/>
        <w:jc w:val="both"/>
        <w:rPr>
          <w:rFonts w:eastAsia="Calibri" w:cs="Times New Roman"/>
        </w:rPr>
      </w:pPr>
      <w:r w:rsidRPr="003B55DB">
        <w:rPr>
          <w:rFonts w:eastAsia="Calibri" w:cs="Times New Roman"/>
          <w:lang w:val="en-GB"/>
        </w:rPr>
        <w:t xml:space="preserve">This UNDP </w:t>
      </w:r>
      <w:r w:rsidRPr="003B55DB">
        <w:t xml:space="preserve">project evaluation will </w:t>
      </w:r>
      <w:r>
        <w:t xml:space="preserve">be </w:t>
      </w:r>
      <w:r w:rsidRPr="003B55DB">
        <w:t>results</w:t>
      </w:r>
      <w:r>
        <w:t>-</w:t>
      </w:r>
      <w:r w:rsidRPr="003B55DB">
        <w:t xml:space="preserve">oriented </w:t>
      </w:r>
      <w:r w:rsidR="00D529A9">
        <w:t xml:space="preserve">end-of Project Evaluation which will address the </w:t>
      </w:r>
      <w:r>
        <w:t>key</w:t>
      </w:r>
      <w:r>
        <w:rPr>
          <w:rFonts w:eastAsia="Calibri" w:cs="Times New Roman"/>
          <w:lang w:val="en-GB"/>
        </w:rPr>
        <w:t xml:space="preserve"> </w:t>
      </w:r>
      <w:r w:rsidRPr="00A31047">
        <w:rPr>
          <w:rFonts w:eastAsia="Calibri" w:cs="Times New Roman"/>
        </w:rPr>
        <w:t xml:space="preserve">goals </w:t>
      </w:r>
      <w:r>
        <w:rPr>
          <w:rFonts w:eastAsia="Calibri" w:cs="Times New Roman"/>
        </w:rPr>
        <w:t>which will:</w:t>
      </w:r>
    </w:p>
    <w:p w:rsidR="003B55DB" w:rsidRPr="003B55DB" w:rsidRDefault="00CF590B" w:rsidP="003B55DB">
      <w:pPr>
        <w:pStyle w:val="ListParagraph"/>
        <w:numPr>
          <w:ilvl w:val="0"/>
          <w:numId w:val="15"/>
        </w:numPr>
        <w:tabs>
          <w:tab w:val="left" w:pos="1620"/>
          <w:tab w:val="left" w:pos="9180"/>
        </w:tabs>
        <w:spacing w:after="0"/>
        <w:ind w:right="60"/>
        <w:jc w:val="both"/>
        <w:rPr>
          <w:rFonts w:eastAsia="Calibri" w:cs="Times New Roman"/>
        </w:rPr>
      </w:pPr>
      <w:r w:rsidRPr="003B55DB">
        <w:rPr>
          <w:rFonts w:eastAsia="Calibri" w:cs="Times New Roman"/>
        </w:rPr>
        <w:t xml:space="preserve">determine whether the </w:t>
      </w:r>
      <w:r w:rsidR="0081129C">
        <w:rPr>
          <w:rFonts w:eastAsia="Calibri" w:cs="Times New Roman"/>
        </w:rPr>
        <w:t xml:space="preserve">results </w:t>
      </w:r>
      <w:r w:rsidRPr="003B55DB">
        <w:rPr>
          <w:rFonts w:eastAsia="Calibri" w:cs="Times New Roman"/>
        </w:rPr>
        <w:t xml:space="preserve"> </w:t>
      </w:r>
      <w:r w:rsidRPr="00A31047">
        <w:t xml:space="preserve">as identified by each of the three phases </w:t>
      </w:r>
      <w:r w:rsidRPr="003B55DB">
        <w:rPr>
          <w:rFonts w:eastAsia="Calibri" w:cs="Times New Roman"/>
        </w:rPr>
        <w:t xml:space="preserve">were achieved; </w:t>
      </w:r>
    </w:p>
    <w:p w:rsidR="003B55DB" w:rsidRPr="003B55DB" w:rsidRDefault="00CF590B" w:rsidP="003B55DB">
      <w:pPr>
        <w:pStyle w:val="ListParagraph"/>
        <w:numPr>
          <w:ilvl w:val="0"/>
          <w:numId w:val="15"/>
        </w:numPr>
        <w:tabs>
          <w:tab w:val="left" w:pos="1620"/>
          <w:tab w:val="left" w:pos="9180"/>
        </w:tabs>
        <w:spacing w:after="0"/>
        <w:ind w:right="60"/>
        <w:jc w:val="both"/>
        <w:rPr>
          <w:rFonts w:eastAsia="Calibri" w:cs="Times New Roman"/>
          <w:lang w:val="en-GB"/>
        </w:rPr>
      </w:pPr>
      <w:r w:rsidRPr="003B55DB">
        <w:rPr>
          <w:rFonts w:eastAsia="Calibri" w:cs="Times New Roman"/>
        </w:rPr>
        <w:t xml:space="preserve"> identify lessons learned </w:t>
      </w:r>
      <w:r w:rsidR="00293AD7">
        <w:rPr>
          <w:rFonts w:eastAsia="Calibri" w:cs="Times New Roman"/>
        </w:rPr>
        <w:t>for wider</w:t>
      </w:r>
      <w:r w:rsidR="009458A6">
        <w:rPr>
          <w:rFonts w:eastAsia="Calibri" w:cs="Times New Roman"/>
        </w:rPr>
        <w:t xml:space="preserve"> UNDP project management and delivery </w:t>
      </w:r>
      <w:r w:rsidR="00293AD7">
        <w:rPr>
          <w:rFonts w:eastAsia="Calibri" w:cs="Times New Roman"/>
        </w:rPr>
        <w:t xml:space="preserve">application, </w:t>
      </w:r>
      <w:r w:rsidR="00E10DF5">
        <w:rPr>
          <w:rFonts w:eastAsia="Calibri" w:cs="Times New Roman"/>
        </w:rPr>
        <w:t>specifically</w:t>
      </w:r>
      <w:r w:rsidRPr="003B55DB">
        <w:rPr>
          <w:rFonts w:eastAsia="Calibri" w:cs="Times New Roman"/>
        </w:rPr>
        <w:t xml:space="preserve"> provid</w:t>
      </w:r>
      <w:r w:rsidR="00E10DF5">
        <w:rPr>
          <w:rFonts w:eastAsia="Calibri" w:cs="Times New Roman"/>
        </w:rPr>
        <w:t>ing</w:t>
      </w:r>
      <w:r w:rsidRPr="003B55DB">
        <w:rPr>
          <w:rFonts w:eastAsia="Calibri" w:cs="Times New Roman"/>
        </w:rPr>
        <w:t xml:space="preserve"> recommendations for </w:t>
      </w:r>
      <w:r w:rsidR="00641ED7">
        <w:rPr>
          <w:rFonts w:eastAsia="Calibri" w:cs="Times New Roman"/>
        </w:rPr>
        <w:t xml:space="preserve">the </w:t>
      </w:r>
      <w:r w:rsidR="009458A6">
        <w:rPr>
          <w:rFonts w:eastAsia="Calibri" w:cs="Times New Roman"/>
        </w:rPr>
        <w:t xml:space="preserve">future </w:t>
      </w:r>
      <w:r w:rsidR="003B55DB">
        <w:rPr>
          <w:rFonts w:eastAsia="Calibri" w:cs="Times New Roman"/>
        </w:rPr>
        <w:t xml:space="preserve">use of </w:t>
      </w:r>
      <w:r w:rsidR="003B55DB" w:rsidRPr="00A31047">
        <w:t xml:space="preserve">UNDP </w:t>
      </w:r>
      <w:r w:rsidRPr="00A31047">
        <w:t xml:space="preserve">agency executed </w:t>
      </w:r>
      <w:r w:rsidR="009458A6">
        <w:t xml:space="preserve">guidelines and </w:t>
      </w:r>
      <w:r w:rsidR="003B55DB">
        <w:t>modalit</w:t>
      </w:r>
      <w:r w:rsidR="009458A6">
        <w:t>ies</w:t>
      </w:r>
      <w:r w:rsidR="003B55DB">
        <w:t xml:space="preserve"> </w:t>
      </w:r>
      <w:r w:rsidR="00E10DF5">
        <w:t xml:space="preserve"> for</w:t>
      </w:r>
      <w:r w:rsidR="003B55DB">
        <w:t xml:space="preserve"> regional </w:t>
      </w:r>
      <w:r w:rsidRPr="00A31047">
        <w:t xml:space="preserve">projects </w:t>
      </w:r>
      <w:r w:rsidR="003B55DB">
        <w:t>with national outcomes</w:t>
      </w:r>
      <w:r w:rsidR="00E10DF5">
        <w:t>;</w:t>
      </w:r>
      <w:r w:rsidR="003B55DB">
        <w:t xml:space="preserve"> </w:t>
      </w:r>
    </w:p>
    <w:p w:rsidR="00E10DF5" w:rsidRPr="00E10DF5" w:rsidRDefault="00E9639A" w:rsidP="006C1A61">
      <w:pPr>
        <w:pStyle w:val="ListParagraph"/>
        <w:numPr>
          <w:ilvl w:val="0"/>
          <w:numId w:val="15"/>
        </w:numPr>
        <w:tabs>
          <w:tab w:val="left" w:pos="1620"/>
          <w:tab w:val="left" w:pos="9180"/>
        </w:tabs>
        <w:spacing w:after="0"/>
        <w:ind w:right="60"/>
        <w:jc w:val="both"/>
        <w:rPr>
          <w:rFonts w:eastAsia="Calibri" w:cs="Times New Roman"/>
          <w:lang w:val="en-GB"/>
        </w:rPr>
      </w:pPr>
      <w:r>
        <w:t>r</w:t>
      </w:r>
      <w:r w:rsidR="006C1A61">
        <w:t xml:space="preserve">eview the role </w:t>
      </w:r>
      <w:r w:rsidR="001F51C4">
        <w:t xml:space="preserve">and added value </w:t>
      </w:r>
      <w:r w:rsidR="006C1A61">
        <w:t xml:space="preserve">of </w:t>
      </w:r>
      <w:r w:rsidR="00E10DF5">
        <w:t xml:space="preserve">the </w:t>
      </w:r>
      <w:r w:rsidR="006C1A61">
        <w:t>UNDP</w:t>
      </w:r>
      <w:r w:rsidR="001F51C4">
        <w:t xml:space="preserve"> </w:t>
      </w:r>
      <w:r w:rsidR="006C1A61">
        <w:t>support</w:t>
      </w:r>
      <w:r w:rsidR="00E10DF5">
        <w:t xml:space="preserve"> to the</w:t>
      </w:r>
      <w:r w:rsidR="006C1A61">
        <w:t xml:space="preserve"> </w:t>
      </w:r>
      <w:r w:rsidR="00CF590B" w:rsidRPr="00A31047">
        <w:t>CARTAC project</w:t>
      </w:r>
      <w:r w:rsidR="00641ED7">
        <w:t xml:space="preserve"> </w:t>
      </w:r>
      <w:r w:rsidR="00E10DF5">
        <w:t>vis-à-vis UNDP’s</w:t>
      </w:r>
      <w:r w:rsidR="00641ED7">
        <w:t xml:space="preserve"> capacity building</w:t>
      </w:r>
      <w:r w:rsidR="00E10DF5">
        <w:t xml:space="preserve"> mandate ;</w:t>
      </w:r>
      <w:r w:rsidR="001F51C4">
        <w:t xml:space="preserve"> </w:t>
      </w:r>
    </w:p>
    <w:p w:rsidR="006C1A61" w:rsidRPr="006C1A61" w:rsidRDefault="00E10DF5" w:rsidP="006C1A61">
      <w:pPr>
        <w:pStyle w:val="ListParagraph"/>
        <w:numPr>
          <w:ilvl w:val="0"/>
          <w:numId w:val="15"/>
        </w:numPr>
        <w:tabs>
          <w:tab w:val="left" w:pos="1620"/>
          <w:tab w:val="left" w:pos="9180"/>
        </w:tabs>
        <w:spacing w:after="0"/>
        <w:ind w:right="60"/>
        <w:jc w:val="both"/>
        <w:rPr>
          <w:rFonts w:eastAsia="Calibri" w:cs="Times New Roman"/>
          <w:lang w:val="en-GB"/>
        </w:rPr>
      </w:pPr>
      <w:r>
        <w:t>A</w:t>
      </w:r>
      <w:r w:rsidR="001F51C4">
        <w:t xml:space="preserve">ssess the appropriateness of UNDP´s partnership strategy </w:t>
      </w:r>
      <w:r>
        <w:t>to the regional project modality</w:t>
      </w:r>
    </w:p>
    <w:p w:rsidR="00641ED7" w:rsidRDefault="00641ED7" w:rsidP="006C1A61">
      <w:pPr>
        <w:tabs>
          <w:tab w:val="left" w:pos="1620"/>
          <w:tab w:val="left" w:pos="9180"/>
        </w:tabs>
        <w:spacing w:after="0"/>
        <w:ind w:left="45" w:right="60"/>
        <w:jc w:val="both"/>
        <w:rPr>
          <w:rFonts w:eastAsia="Calibri" w:cs="Times New Roman"/>
          <w:lang w:val="en-GB"/>
        </w:rPr>
      </w:pPr>
    </w:p>
    <w:p w:rsidR="003F1EBB" w:rsidRDefault="00641ED7" w:rsidP="006C1A61">
      <w:pPr>
        <w:tabs>
          <w:tab w:val="left" w:pos="1620"/>
          <w:tab w:val="left" w:pos="9180"/>
        </w:tabs>
        <w:spacing w:after="0"/>
        <w:ind w:left="45" w:right="60"/>
        <w:jc w:val="both"/>
        <w:rPr>
          <w:rFonts w:eastAsia="Calibri" w:cs="Times New Roman"/>
          <w:lang w:val="en-GB"/>
        </w:rPr>
      </w:pPr>
      <w:r>
        <w:rPr>
          <w:rFonts w:eastAsia="Calibri" w:cs="Times New Roman"/>
          <w:lang w:val="en-GB"/>
        </w:rPr>
        <w:t xml:space="preserve">The evaluation will take place between mid November and end December 2011. </w:t>
      </w:r>
    </w:p>
    <w:p w:rsidR="00641ED7" w:rsidRDefault="00641ED7" w:rsidP="006C1A61">
      <w:pPr>
        <w:tabs>
          <w:tab w:val="left" w:pos="1620"/>
          <w:tab w:val="left" w:pos="9180"/>
        </w:tabs>
        <w:spacing w:after="0"/>
        <w:ind w:left="45" w:right="60"/>
        <w:jc w:val="both"/>
        <w:rPr>
          <w:rFonts w:eastAsia="Calibri" w:cs="Times New Roman"/>
        </w:rPr>
      </w:pPr>
    </w:p>
    <w:p w:rsidR="0090260F" w:rsidRPr="006C1A61" w:rsidRDefault="00CF590B" w:rsidP="006C1A61">
      <w:pPr>
        <w:tabs>
          <w:tab w:val="left" w:pos="1620"/>
          <w:tab w:val="left" w:pos="9180"/>
        </w:tabs>
        <w:spacing w:after="0"/>
        <w:ind w:left="45" w:right="60"/>
        <w:jc w:val="both"/>
        <w:rPr>
          <w:rFonts w:eastAsia="Calibri" w:cs="Times New Roman"/>
          <w:lang w:val="en-GB"/>
        </w:rPr>
      </w:pPr>
      <w:r w:rsidRPr="006C1A61">
        <w:rPr>
          <w:rFonts w:eastAsia="Calibri" w:cs="Times New Roman"/>
        </w:rPr>
        <w:t xml:space="preserve">The </w:t>
      </w:r>
      <w:r w:rsidR="00C70E0B">
        <w:rPr>
          <w:rFonts w:eastAsia="Calibri" w:cs="Times New Roman"/>
        </w:rPr>
        <w:t xml:space="preserve">evaluation </w:t>
      </w:r>
      <w:r w:rsidR="00641ED7">
        <w:rPr>
          <w:rFonts w:eastAsia="Calibri" w:cs="Times New Roman"/>
        </w:rPr>
        <w:t>will</w:t>
      </w:r>
      <w:r w:rsidRPr="006C1A61">
        <w:rPr>
          <w:rFonts w:eastAsia="Calibri" w:cs="Times New Roman"/>
        </w:rPr>
        <w:t xml:space="preserve"> </w:t>
      </w:r>
      <w:r w:rsidR="00C70E0B">
        <w:rPr>
          <w:rFonts w:eastAsia="Calibri" w:cs="Times New Roman"/>
        </w:rPr>
        <w:t xml:space="preserve">assess the </w:t>
      </w:r>
      <w:r w:rsidRPr="006C1A61">
        <w:rPr>
          <w:rFonts w:eastAsia="Calibri" w:cs="Times New Roman"/>
          <w:b/>
          <w:bCs/>
          <w:iCs/>
        </w:rPr>
        <w:t>relevance, effectiveness, efficiency, sustainability</w:t>
      </w:r>
      <w:r w:rsidR="00C70E0B">
        <w:rPr>
          <w:rFonts w:eastAsia="Calibri" w:cs="Times New Roman"/>
          <w:b/>
          <w:bCs/>
          <w:iCs/>
        </w:rPr>
        <w:t xml:space="preserve"> </w:t>
      </w:r>
      <w:r w:rsidR="00C70E0B" w:rsidRPr="00C70E0B">
        <w:rPr>
          <w:rFonts w:eastAsia="Calibri" w:cs="Times New Roman"/>
          <w:bCs/>
          <w:iCs/>
        </w:rPr>
        <w:t>of the CARTAC project</w:t>
      </w:r>
      <w:r w:rsidR="0000327D">
        <w:rPr>
          <w:rFonts w:eastAsia="Calibri" w:cs="Times New Roman"/>
          <w:bCs/>
          <w:iCs/>
        </w:rPr>
        <w:t xml:space="preserve"> and its contribution to outcome level results</w:t>
      </w:r>
      <w:r w:rsidRPr="00C70E0B">
        <w:rPr>
          <w:rFonts w:eastAsia="Calibri" w:cs="Times New Roman"/>
        </w:rPr>
        <w:t>.</w:t>
      </w:r>
      <w:r w:rsidRPr="006C1A61">
        <w:rPr>
          <w:rFonts w:eastAsia="Calibri" w:cs="Times New Roman"/>
        </w:rPr>
        <w:t xml:space="preserve">  Specifically the evaluation will examine the following aspects</w:t>
      </w:r>
      <w:r w:rsidR="00845470">
        <w:rPr>
          <w:rStyle w:val="FootnoteReference"/>
          <w:rFonts w:eastAsia="Calibri" w:cs="Times New Roman"/>
        </w:rPr>
        <w:footnoteReference w:id="3"/>
      </w:r>
      <w:r w:rsidR="0090260F" w:rsidRPr="006C1A61">
        <w:rPr>
          <w:rFonts w:eastAsia="Calibri" w:cs="Times New Roman"/>
          <w:lang w:val="en-GB"/>
        </w:rPr>
        <w:t>:</w:t>
      </w:r>
    </w:p>
    <w:p w:rsidR="004B71E4" w:rsidRPr="00A31047" w:rsidRDefault="004B71E4" w:rsidP="009F3CA0">
      <w:pPr>
        <w:pStyle w:val="subpar"/>
        <w:numPr>
          <w:ilvl w:val="0"/>
          <w:numId w:val="5"/>
        </w:numPr>
        <w:spacing w:line="276" w:lineRule="auto"/>
        <w:rPr>
          <w:rFonts w:asciiTheme="minorHAnsi" w:hAnsiTheme="minorHAnsi"/>
          <w:sz w:val="22"/>
          <w:szCs w:val="22"/>
        </w:rPr>
      </w:pPr>
      <w:r w:rsidRPr="00A31047">
        <w:rPr>
          <w:rFonts w:asciiTheme="minorHAnsi" w:hAnsiTheme="minorHAnsi"/>
          <w:b/>
          <w:iCs/>
          <w:sz w:val="22"/>
          <w:szCs w:val="22"/>
        </w:rPr>
        <w:t>Changes in context and review of assumptions (relevance</w:t>
      </w:r>
      <w:r w:rsidR="00A14018">
        <w:rPr>
          <w:rFonts w:asciiTheme="minorHAnsi" w:hAnsiTheme="minorHAnsi"/>
          <w:b/>
          <w:iCs/>
          <w:sz w:val="22"/>
          <w:szCs w:val="22"/>
        </w:rPr>
        <w:t xml:space="preserve"> – have the right things been done?</w:t>
      </w:r>
      <w:r w:rsidRPr="00A31047">
        <w:rPr>
          <w:rFonts w:asciiTheme="minorHAnsi" w:hAnsiTheme="minorHAnsi"/>
          <w:b/>
          <w:iCs/>
          <w:sz w:val="22"/>
          <w:szCs w:val="22"/>
        </w:rPr>
        <w:t>)</w:t>
      </w:r>
      <w:r w:rsidRPr="00A31047">
        <w:rPr>
          <w:rFonts w:asciiTheme="minorHAnsi" w:hAnsiTheme="minorHAnsi"/>
          <w:i/>
          <w:iCs/>
          <w:sz w:val="22"/>
          <w:szCs w:val="22"/>
        </w:rPr>
        <w:t>:</w:t>
      </w:r>
      <w:r w:rsidRPr="00A31047">
        <w:rPr>
          <w:rFonts w:asciiTheme="minorHAnsi" w:hAnsiTheme="minorHAnsi"/>
          <w:sz w:val="22"/>
          <w:szCs w:val="22"/>
        </w:rPr>
        <w:t xml:space="preserve">  The CARTAC project in its </w:t>
      </w:r>
      <w:r w:rsidR="00D529A9">
        <w:rPr>
          <w:rFonts w:asciiTheme="minorHAnsi" w:hAnsiTheme="minorHAnsi"/>
          <w:sz w:val="22"/>
          <w:szCs w:val="22"/>
        </w:rPr>
        <w:t>4</w:t>
      </w:r>
      <w:r w:rsidR="006C1A61" w:rsidRPr="006C1A61">
        <w:rPr>
          <w:rFonts w:asciiTheme="minorHAnsi" w:hAnsiTheme="minorHAnsi"/>
          <w:sz w:val="22"/>
          <w:szCs w:val="22"/>
          <w:vertAlign w:val="superscript"/>
        </w:rPr>
        <w:t>rd</w:t>
      </w:r>
      <w:r w:rsidR="006C1A61">
        <w:rPr>
          <w:rFonts w:asciiTheme="minorHAnsi" w:hAnsiTheme="minorHAnsi"/>
          <w:sz w:val="22"/>
          <w:szCs w:val="22"/>
        </w:rPr>
        <w:t xml:space="preserve"> Phase. </w:t>
      </w:r>
      <w:r w:rsidRPr="00A31047">
        <w:rPr>
          <w:rFonts w:asciiTheme="minorHAnsi" w:hAnsiTheme="minorHAnsi"/>
          <w:sz w:val="22"/>
          <w:szCs w:val="22"/>
        </w:rPr>
        <w:t xml:space="preserve">The economic and political conditions that led to </w:t>
      </w:r>
      <w:r w:rsidR="00D529A9">
        <w:rPr>
          <w:rFonts w:asciiTheme="minorHAnsi" w:hAnsiTheme="minorHAnsi"/>
          <w:sz w:val="22"/>
          <w:szCs w:val="22"/>
        </w:rPr>
        <w:t>the original Project</w:t>
      </w:r>
      <w:r w:rsidRPr="00A31047">
        <w:rPr>
          <w:rFonts w:asciiTheme="minorHAnsi" w:hAnsiTheme="minorHAnsi"/>
          <w:sz w:val="22"/>
          <w:szCs w:val="22"/>
        </w:rPr>
        <w:t xml:space="preserve"> design and implementation have changed substantially. </w:t>
      </w:r>
      <w:r w:rsidR="00D529A9">
        <w:rPr>
          <w:rFonts w:asciiTheme="minorHAnsi" w:hAnsiTheme="minorHAnsi"/>
          <w:sz w:val="22"/>
          <w:szCs w:val="22"/>
        </w:rPr>
        <w:t xml:space="preserve">This phase takes account of COFAP decision </w:t>
      </w:r>
      <w:r w:rsidR="00E10DF5">
        <w:rPr>
          <w:rFonts w:asciiTheme="minorHAnsi" w:hAnsiTheme="minorHAnsi"/>
          <w:sz w:val="22"/>
          <w:szCs w:val="22"/>
        </w:rPr>
        <w:t>to use</w:t>
      </w:r>
      <w:r w:rsidR="00D529A9">
        <w:rPr>
          <w:rFonts w:asciiTheme="minorHAnsi" w:hAnsiTheme="minorHAnsi"/>
          <w:sz w:val="22"/>
          <w:szCs w:val="22"/>
        </w:rPr>
        <w:t xml:space="preserve"> IMF Fund modalities vis-à-vis </w:t>
      </w:r>
      <w:r w:rsidR="00E10DF5">
        <w:rPr>
          <w:rFonts w:asciiTheme="minorHAnsi" w:hAnsiTheme="minorHAnsi"/>
          <w:sz w:val="22"/>
          <w:szCs w:val="22"/>
        </w:rPr>
        <w:t xml:space="preserve">the </w:t>
      </w:r>
      <w:r w:rsidR="00D529A9">
        <w:rPr>
          <w:rFonts w:asciiTheme="minorHAnsi" w:hAnsiTheme="minorHAnsi"/>
          <w:sz w:val="22"/>
          <w:szCs w:val="22"/>
        </w:rPr>
        <w:t xml:space="preserve">UNDP </w:t>
      </w:r>
      <w:r w:rsidR="00E10DF5">
        <w:rPr>
          <w:rFonts w:asciiTheme="minorHAnsi" w:hAnsiTheme="minorHAnsi"/>
          <w:sz w:val="22"/>
          <w:szCs w:val="22"/>
        </w:rPr>
        <w:t>cost-sharing project modality.</w:t>
      </w:r>
      <w:r w:rsidR="00A14018">
        <w:rPr>
          <w:rFonts w:asciiTheme="minorHAnsi" w:hAnsiTheme="minorHAnsi"/>
          <w:sz w:val="22"/>
          <w:szCs w:val="22"/>
        </w:rPr>
        <w:t xml:space="preserve"> What </w:t>
      </w:r>
      <w:r w:rsidRPr="00A31047">
        <w:rPr>
          <w:rFonts w:asciiTheme="minorHAnsi" w:hAnsiTheme="minorHAnsi"/>
          <w:sz w:val="22"/>
          <w:szCs w:val="22"/>
        </w:rPr>
        <w:t xml:space="preserve">are </w:t>
      </w:r>
      <w:r w:rsidR="00E10DF5">
        <w:rPr>
          <w:rFonts w:asciiTheme="minorHAnsi" w:hAnsiTheme="minorHAnsi"/>
          <w:sz w:val="22"/>
          <w:szCs w:val="22"/>
        </w:rPr>
        <w:t xml:space="preserve">the implications of </w:t>
      </w:r>
      <w:r w:rsidRPr="00A31047">
        <w:rPr>
          <w:rFonts w:asciiTheme="minorHAnsi" w:hAnsiTheme="minorHAnsi"/>
          <w:sz w:val="22"/>
          <w:szCs w:val="22"/>
        </w:rPr>
        <w:t xml:space="preserve">these changes </w:t>
      </w:r>
      <w:r w:rsidR="00E10DF5">
        <w:rPr>
          <w:rFonts w:asciiTheme="minorHAnsi" w:hAnsiTheme="minorHAnsi"/>
          <w:sz w:val="22"/>
          <w:szCs w:val="22"/>
        </w:rPr>
        <w:t xml:space="preserve">at national and regional levels </w:t>
      </w:r>
      <w:r w:rsidRPr="00A31047">
        <w:rPr>
          <w:rFonts w:asciiTheme="minorHAnsi" w:hAnsiTheme="minorHAnsi"/>
          <w:sz w:val="22"/>
          <w:szCs w:val="22"/>
        </w:rPr>
        <w:t>and has the project been able to respond to these changes</w:t>
      </w:r>
      <w:r w:rsidR="0000327D">
        <w:rPr>
          <w:rFonts w:asciiTheme="minorHAnsi" w:hAnsiTheme="minorHAnsi"/>
          <w:sz w:val="22"/>
          <w:szCs w:val="22"/>
        </w:rPr>
        <w:t>?</w:t>
      </w:r>
      <w:r w:rsidRPr="00A31047">
        <w:rPr>
          <w:rFonts w:asciiTheme="minorHAnsi" w:hAnsiTheme="minorHAnsi"/>
          <w:sz w:val="22"/>
          <w:szCs w:val="22"/>
        </w:rPr>
        <w:t xml:space="preserve">  What internal and external factors have influenced the ability of beneficiary groups to fully utilize the technical assistance provided by CARTAC?  </w:t>
      </w:r>
    </w:p>
    <w:p w:rsidR="003E42FD" w:rsidRPr="003E42FD" w:rsidRDefault="00C51C70" w:rsidP="00FE3178">
      <w:pPr>
        <w:pStyle w:val="ListParagraph"/>
        <w:numPr>
          <w:ilvl w:val="0"/>
          <w:numId w:val="5"/>
        </w:numPr>
        <w:autoSpaceDE w:val="0"/>
        <w:autoSpaceDN w:val="0"/>
        <w:adjustRightInd w:val="0"/>
        <w:spacing w:after="0"/>
        <w:jc w:val="both"/>
        <w:rPr>
          <w:rFonts w:eastAsia="Calibri" w:cs="Times New Roman"/>
          <w:snapToGrid w:val="0"/>
        </w:rPr>
      </w:pPr>
      <w:r w:rsidRPr="00FE3178">
        <w:rPr>
          <w:rFonts w:eastAsia="Calibri" w:cs="Times New Roman"/>
          <w:b/>
          <w:bCs/>
          <w:iCs/>
        </w:rPr>
        <w:t>Assessment</w:t>
      </w:r>
      <w:r w:rsidR="004B71E4" w:rsidRPr="00FE3178">
        <w:rPr>
          <w:rFonts w:eastAsia="Calibri"/>
          <w:b/>
          <w:bCs/>
          <w:iCs/>
        </w:rPr>
        <w:t xml:space="preserve"> of </w:t>
      </w:r>
      <w:r w:rsidRPr="00FE3178">
        <w:rPr>
          <w:rFonts w:eastAsia="Calibri" w:cs="Times New Roman"/>
          <w:b/>
          <w:bCs/>
          <w:iCs/>
        </w:rPr>
        <w:t>outcome/impact</w:t>
      </w:r>
      <w:r w:rsidR="004B71E4" w:rsidRPr="00FE3178">
        <w:rPr>
          <w:rFonts w:eastAsia="Calibri"/>
          <w:b/>
          <w:bCs/>
          <w:iCs/>
        </w:rPr>
        <w:t xml:space="preserve"> (effectiveness</w:t>
      </w:r>
      <w:r w:rsidRPr="00FE3178">
        <w:rPr>
          <w:rFonts w:eastAsia="Calibri" w:cs="Times New Roman"/>
          <w:b/>
          <w:bCs/>
          <w:iCs/>
        </w:rPr>
        <w:t>)</w:t>
      </w:r>
      <w:r w:rsidRPr="00FE3178">
        <w:rPr>
          <w:rFonts w:eastAsia="Calibri" w:cs="Times New Roman"/>
        </w:rPr>
        <w:t>:</w:t>
      </w:r>
      <w:r w:rsidR="006C1A61" w:rsidRPr="00FE3178">
        <w:rPr>
          <w:rFonts w:eastAsia="Calibri"/>
        </w:rPr>
        <w:t xml:space="preserve">The IMF executed </w:t>
      </w:r>
      <w:r w:rsidR="005C6448" w:rsidRPr="00D82EF3">
        <w:t>CARTAC</w:t>
      </w:r>
      <w:r w:rsidR="006C1A61" w:rsidRPr="00D82EF3">
        <w:t xml:space="preserve"> project </w:t>
      </w:r>
      <w:r w:rsidRPr="00FE3178">
        <w:rPr>
          <w:rFonts w:cs="Times New Roman"/>
        </w:rPr>
        <w:t>provided</w:t>
      </w:r>
      <w:r w:rsidR="006C1A61" w:rsidRPr="00D82EF3">
        <w:t xml:space="preserve"> the </w:t>
      </w:r>
      <w:r w:rsidRPr="00FE3178">
        <w:rPr>
          <w:rFonts w:cs="Times New Roman"/>
        </w:rPr>
        <w:t>Caribbean Region with</w:t>
      </w:r>
      <w:r w:rsidR="005C6448" w:rsidRPr="00D82EF3">
        <w:t xml:space="preserve"> technical </w:t>
      </w:r>
      <w:r w:rsidR="006C1A61" w:rsidRPr="00D82EF3">
        <w:t xml:space="preserve">expertise </w:t>
      </w:r>
      <w:r w:rsidRPr="00FE3178">
        <w:rPr>
          <w:rFonts w:cs="Times New Roman"/>
        </w:rPr>
        <w:t xml:space="preserve">designed </w:t>
      </w:r>
      <w:r w:rsidR="005C6448" w:rsidRPr="00D82EF3">
        <w:t>to</w:t>
      </w:r>
      <w:r w:rsidR="003E42FD">
        <w:t>:</w:t>
      </w:r>
    </w:p>
    <w:p w:rsidR="003E42FD" w:rsidRDefault="005C6448" w:rsidP="003E42FD">
      <w:pPr>
        <w:pStyle w:val="ListParagraph"/>
        <w:numPr>
          <w:ilvl w:val="0"/>
          <w:numId w:val="24"/>
        </w:numPr>
        <w:autoSpaceDE w:val="0"/>
        <w:autoSpaceDN w:val="0"/>
        <w:adjustRightInd w:val="0"/>
        <w:spacing w:after="0"/>
        <w:jc w:val="both"/>
      </w:pPr>
      <w:r w:rsidRPr="00D82EF3">
        <w:t xml:space="preserve">build capacity </w:t>
      </w:r>
      <w:r w:rsidR="00C51C70" w:rsidRPr="00FE3178">
        <w:rPr>
          <w:rFonts w:cs="Times New Roman"/>
        </w:rPr>
        <w:t xml:space="preserve">of </w:t>
      </w:r>
      <w:r w:rsidRPr="00D82EF3">
        <w:t xml:space="preserve"> beneficiary countries </w:t>
      </w:r>
      <w:r w:rsidR="006C1A61" w:rsidRPr="00D82EF3">
        <w:t xml:space="preserve">and support </w:t>
      </w:r>
      <w:r w:rsidR="0029718C" w:rsidRPr="00D82EF3">
        <w:t>the improvement</w:t>
      </w:r>
      <w:r w:rsidR="006C1A61" w:rsidRPr="00D82EF3">
        <w:t xml:space="preserve"> of </w:t>
      </w:r>
      <w:r w:rsidRPr="00D82EF3">
        <w:t xml:space="preserve">the quality of policy-making and implementation </w:t>
      </w:r>
    </w:p>
    <w:p w:rsidR="003E42FD" w:rsidRPr="003E42FD" w:rsidRDefault="005C6448" w:rsidP="003E42FD">
      <w:pPr>
        <w:pStyle w:val="ListParagraph"/>
        <w:numPr>
          <w:ilvl w:val="0"/>
          <w:numId w:val="24"/>
        </w:numPr>
        <w:autoSpaceDE w:val="0"/>
        <w:autoSpaceDN w:val="0"/>
        <w:adjustRightInd w:val="0"/>
        <w:spacing w:after="0"/>
        <w:jc w:val="both"/>
        <w:rPr>
          <w:rFonts w:eastAsia="Calibri" w:cs="Times New Roman"/>
          <w:snapToGrid w:val="0"/>
        </w:rPr>
      </w:pPr>
      <w:r w:rsidRPr="00D82EF3">
        <w:t xml:space="preserve"> address the emerging challenges to fiscal and debt sustainability, financial sector development and overall macroeconomic management for sustained growth and development.</w:t>
      </w:r>
      <w:r w:rsidR="00C51C70" w:rsidRPr="00FE3178">
        <w:rPr>
          <w:rFonts w:cs="Times New Roman"/>
        </w:rPr>
        <w:t xml:space="preserve"> </w:t>
      </w:r>
    </w:p>
    <w:p w:rsidR="00BE7A8C" w:rsidRDefault="003E42FD" w:rsidP="003E42FD">
      <w:pPr>
        <w:autoSpaceDE w:val="0"/>
        <w:autoSpaceDN w:val="0"/>
        <w:adjustRightInd w:val="0"/>
        <w:spacing w:after="0"/>
        <w:ind w:left="720"/>
        <w:jc w:val="both"/>
        <w:rPr>
          <w:rFonts w:cs="Times New Roman"/>
        </w:rPr>
      </w:pPr>
      <w:r>
        <w:rPr>
          <w:rFonts w:cs="Times New Roman"/>
        </w:rPr>
        <w:t>Therefore, t</w:t>
      </w:r>
      <w:r w:rsidR="00F06D8B" w:rsidRPr="003E42FD">
        <w:rPr>
          <w:rFonts w:cs="Times New Roman"/>
        </w:rPr>
        <w:t>his end-of-project evaluation will take into account the following:</w:t>
      </w:r>
      <w:r w:rsidR="00FE3178" w:rsidRPr="003E42FD">
        <w:rPr>
          <w:rFonts w:cs="Times New Roman"/>
        </w:rPr>
        <w:t xml:space="preserve"> </w:t>
      </w:r>
    </w:p>
    <w:p w:rsidR="00BE7A8C" w:rsidRPr="00BE7A8C" w:rsidRDefault="00FE3178" w:rsidP="00BE7A8C">
      <w:pPr>
        <w:pStyle w:val="ListParagraph"/>
        <w:numPr>
          <w:ilvl w:val="0"/>
          <w:numId w:val="25"/>
        </w:numPr>
        <w:autoSpaceDE w:val="0"/>
        <w:autoSpaceDN w:val="0"/>
        <w:adjustRightInd w:val="0"/>
        <w:spacing w:after="0"/>
        <w:jc w:val="both"/>
        <w:rPr>
          <w:rFonts w:eastAsia="Calibri" w:cs="Times New Roman"/>
          <w:snapToGrid w:val="0"/>
        </w:rPr>
      </w:pPr>
      <w:r w:rsidRPr="00A31047">
        <w:t xml:space="preserve">What has been CARTAC’s performance with respect to the projected performance indicators and agreed responsibilities with respect to program implementation? </w:t>
      </w:r>
    </w:p>
    <w:p w:rsidR="00BE7A8C" w:rsidRPr="00BE7A8C" w:rsidRDefault="00FE3178" w:rsidP="00BE7A8C">
      <w:pPr>
        <w:pStyle w:val="ListParagraph"/>
        <w:numPr>
          <w:ilvl w:val="0"/>
          <w:numId w:val="25"/>
        </w:numPr>
        <w:autoSpaceDE w:val="0"/>
        <w:autoSpaceDN w:val="0"/>
        <w:adjustRightInd w:val="0"/>
        <w:spacing w:after="0"/>
        <w:jc w:val="both"/>
        <w:rPr>
          <w:rFonts w:eastAsia="Calibri" w:cs="Times New Roman"/>
          <w:snapToGrid w:val="0"/>
        </w:rPr>
      </w:pPr>
      <w:r w:rsidRPr="00A31047">
        <w:t xml:space="preserve">Is the results based management framework </w:t>
      </w:r>
      <w:r w:rsidR="00BE7A8C">
        <w:t xml:space="preserve">fully </w:t>
      </w:r>
      <w:r w:rsidRPr="00A31047">
        <w:t>operational and effective?</w:t>
      </w:r>
      <w:r>
        <w:t xml:space="preserve"> </w:t>
      </w:r>
    </w:p>
    <w:p w:rsidR="00BE7A8C" w:rsidRPr="00BE7A8C" w:rsidRDefault="00FE3178" w:rsidP="00BE7A8C">
      <w:pPr>
        <w:pStyle w:val="ListParagraph"/>
        <w:numPr>
          <w:ilvl w:val="0"/>
          <w:numId w:val="25"/>
        </w:numPr>
        <w:autoSpaceDE w:val="0"/>
        <w:autoSpaceDN w:val="0"/>
        <w:adjustRightInd w:val="0"/>
        <w:spacing w:after="0"/>
        <w:jc w:val="both"/>
        <w:rPr>
          <w:rFonts w:eastAsia="Calibri" w:cs="Times New Roman"/>
          <w:snapToGrid w:val="0"/>
        </w:rPr>
      </w:pPr>
      <w:r w:rsidRPr="00BE7A8C">
        <w:rPr>
          <w:rFonts w:cs="Times New Roman"/>
        </w:rPr>
        <w:t>What has been the impact of CARTAC?</w:t>
      </w:r>
      <w:r w:rsidRPr="00BE7A8C">
        <w:rPr>
          <w:snapToGrid w:val="0"/>
        </w:rPr>
        <w:t xml:space="preserve"> To what extent the CARTAC project has contributed to key outcome level results? </w:t>
      </w:r>
    </w:p>
    <w:p w:rsidR="00BE7A8C" w:rsidRPr="00BE7A8C" w:rsidRDefault="00FE3178" w:rsidP="00BE7A8C">
      <w:pPr>
        <w:pStyle w:val="ListParagraph"/>
        <w:numPr>
          <w:ilvl w:val="0"/>
          <w:numId w:val="25"/>
        </w:numPr>
        <w:autoSpaceDE w:val="0"/>
        <w:autoSpaceDN w:val="0"/>
        <w:adjustRightInd w:val="0"/>
        <w:spacing w:after="0"/>
        <w:jc w:val="both"/>
        <w:rPr>
          <w:rFonts w:eastAsia="Calibri" w:cs="Times New Roman"/>
          <w:snapToGrid w:val="0"/>
        </w:rPr>
      </w:pPr>
      <w:r w:rsidRPr="00BE7A8C">
        <w:rPr>
          <w:snapToGrid w:val="0"/>
        </w:rPr>
        <w:t xml:space="preserve">What progress towards the expected results has been achieved (strengths, weaknesses, obstacles, problems, causes)? </w:t>
      </w:r>
    </w:p>
    <w:p w:rsidR="00BE7A8C" w:rsidRPr="00BE7A8C" w:rsidRDefault="00FE3178" w:rsidP="00BE7A8C">
      <w:pPr>
        <w:pStyle w:val="ListParagraph"/>
        <w:numPr>
          <w:ilvl w:val="0"/>
          <w:numId w:val="25"/>
        </w:numPr>
        <w:autoSpaceDE w:val="0"/>
        <w:autoSpaceDN w:val="0"/>
        <w:adjustRightInd w:val="0"/>
        <w:spacing w:after="0"/>
        <w:jc w:val="both"/>
        <w:rPr>
          <w:rFonts w:eastAsia="Calibri" w:cs="Times New Roman"/>
          <w:snapToGrid w:val="0"/>
        </w:rPr>
      </w:pPr>
      <w:r w:rsidRPr="00BE7A8C">
        <w:rPr>
          <w:rFonts w:eastAsia="Calibri" w:cs="Times New Roman"/>
          <w:snapToGrid w:val="0"/>
        </w:rPr>
        <w:t>How could the impact of CARTAC’s programme have been expanded within a capacity building framework? Within a Human Development framework? And with a RBM focused report framework?</w:t>
      </w:r>
      <w:r w:rsidRPr="00233856">
        <w:t xml:space="preserve"> </w:t>
      </w:r>
    </w:p>
    <w:p w:rsidR="00BE7A8C" w:rsidRPr="00BE7A8C" w:rsidRDefault="00FE3178" w:rsidP="00BE7A8C">
      <w:pPr>
        <w:pStyle w:val="ListParagraph"/>
        <w:numPr>
          <w:ilvl w:val="0"/>
          <w:numId w:val="25"/>
        </w:numPr>
        <w:autoSpaceDE w:val="0"/>
        <w:autoSpaceDN w:val="0"/>
        <w:adjustRightInd w:val="0"/>
        <w:spacing w:after="0"/>
        <w:jc w:val="both"/>
        <w:rPr>
          <w:rFonts w:eastAsia="Calibri" w:cs="Times New Roman"/>
          <w:snapToGrid w:val="0"/>
        </w:rPr>
      </w:pPr>
      <w:r w:rsidRPr="00BE7A8C">
        <w:rPr>
          <w:rFonts w:eastAsia="Calibri" w:cs="Times New Roman"/>
          <w:snapToGrid w:val="0"/>
        </w:rPr>
        <w:t xml:space="preserve">The value-added of the CARTAC programme in comparison with single donor projects. </w:t>
      </w:r>
      <w:r w:rsidR="0098602F" w:rsidRPr="00BE7A8C">
        <w:rPr>
          <w:rFonts w:eastAsia="Calibri"/>
          <w:snapToGrid w:val="0"/>
        </w:rPr>
        <w:t xml:space="preserve">To what extent gender issues </w:t>
      </w:r>
      <w:r w:rsidR="00AE1F29" w:rsidRPr="00BE7A8C">
        <w:rPr>
          <w:rFonts w:eastAsia="Calibri"/>
          <w:snapToGrid w:val="0"/>
        </w:rPr>
        <w:t xml:space="preserve">have been incorporated in the CARTAC project? </w:t>
      </w:r>
    </w:p>
    <w:p w:rsidR="00354B3C" w:rsidRPr="00BE7A8C" w:rsidRDefault="00D82EF3" w:rsidP="00BE7A8C">
      <w:pPr>
        <w:pStyle w:val="ListParagraph"/>
        <w:numPr>
          <w:ilvl w:val="0"/>
          <w:numId w:val="25"/>
        </w:numPr>
        <w:autoSpaceDE w:val="0"/>
        <w:autoSpaceDN w:val="0"/>
        <w:adjustRightInd w:val="0"/>
        <w:spacing w:after="0"/>
        <w:jc w:val="both"/>
        <w:rPr>
          <w:rFonts w:eastAsia="Calibri" w:cs="Times New Roman"/>
          <w:snapToGrid w:val="0"/>
        </w:rPr>
      </w:pPr>
      <w:r w:rsidRPr="00BE7A8C">
        <w:rPr>
          <w:rFonts w:eastAsia="Calibri"/>
          <w:snapToGrid w:val="0"/>
        </w:rPr>
        <w:t>Has the partnership strategy been appropriate?</w:t>
      </w:r>
      <w:r w:rsidR="00FE3178" w:rsidRPr="00BE7A8C">
        <w:rPr>
          <w:rFonts w:eastAsia="Calibri"/>
          <w:snapToGrid w:val="0"/>
        </w:rPr>
        <w:t xml:space="preserve"> </w:t>
      </w:r>
      <w:r w:rsidR="00354B3C" w:rsidRPr="00BE7A8C">
        <w:rPr>
          <w:rFonts w:eastAsia="Calibri" w:cs="Times New Roman"/>
          <w:lang w:val="en-GB"/>
        </w:rPr>
        <w:t xml:space="preserve">How effective has been the use of UNDP agency executed modality? </w:t>
      </w:r>
    </w:p>
    <w:p w:rsidR="00BE7A8C" w:rsidRDefault="005C6448" w:rsidP="009F3CA0">
      <w:pPr>
        <w:pStyle w:val="FootnoteText"/>
        <w:numPr>
          <w:ilvl w:val="0"/>
          <w:numId w:val="5"/>
        </w:numPr>
        <w:spacing w:after="0" w:line="276" w:lineRule="auto"/>
        <w:jc w:val="both"/>
        <w:rPr>
          <w:rFonts w:asciiTheme="minorHAnsi" w:hAnsiTheme="minorHAnsi"/>
          <w:sz w:val="22"/>
          <w:szCs w:val="22"/>
        </w:rPr>
      </w:pPr>
      <w:r w:rsidRPr="00A31047">
        <w:rPr>
          <w:rFonts w:asciiTheme="minorHAnsi" w:hAnsiTheme="minorHAnsi"/>
          <w:b/>
          <w:bCs/>
          <w:iCs/>
          <w:sz w:val="22"/>
          <w:szCs w:val="22"/>
        </w:rPr>
        <w:t>Achievement of projected performance indicators and targets</w:t>
      </w:r>
      <w:r w:rsidR="00325834">
        <w:rPr>
          <w:rFonts w:asciiTheme="minorHAnsi" w:hAnsiTheme="minorHAnsi"/>
          <w:b/>
          <w:bCs/>
          <w:iCs/>
          <w:sz w:val="22"/>
          <w:szCs w:val="22"/>
        </w:rPr>
        <w:t xml:space="preserve"> </w:t>
      </w:r>
      <w:r w:rsidRPr="00A31047">
        <w:rPr>
          <w:rFonts w:asciiTheme="minorHAnsi" w:hAnsiTheme="minorHAnsi"/>
          <w:b/>
          <w:bCs/>
          <w:iCs/>
          <w:sz w:val="22"/>
          <w:szCs w:val="22"/>
        </w:rPr>
        <w:t>(efficiency):</w:t>
      </w:r>
      <w:r w:rsidRPr="00A31047">
        <w:rPr>
          <w:rFonts w:asciiTheme="minorHAnsi" w:hAnsiTheme="minorHAnsi"/>
          <w:sz w:val="22"/>
          <w:szCs w:val="22"/>
        </w:rPr>
        <w:t xml:space="preserve"> </w:t>
      </w:r>
    </w:p>
    <w:p w:rsidR="00BE7A8C" w:rsidRDefault="00563CAF" w:rsidP="00BE7A8C">
      <w:pPr>
        <w:pStyle w:val="FootnoteText"/>
        <w:numPr>
          <w:ilvl w:val="0"/>
          <w:numId w:val="26"/>
        </w:numPr>
        <w:spacing w:after="0" w:line="276" w:lineRule="auto"/>
        <w:jc w:val="both"/>
        <w:rPr>
          <w:rFonts w:asciiTheme="minorHAnsi" w:hAnsiTheme="minorHAnsi"/>
          <w:sz w:val="22"/>
          <w:szCs w:val="22"/>
        </w:rPr>
      </w:pPr>
      <w:r w:rsidRPr="00A31047">
        <w:rPr>
          <w:rFonts w:asciiTheme="minorHAnsi" w:hAnsiTheme="minorHAnsi"/>
          <w:sz w:val="22"/>
          <w:szCs w:val="22"/>
        </w:rPr>
        <w:t xml:space="preserve">Given that </w:t>
      </w:r>
      <w:r w:rsidR="00BE7A8C">
        <w:rPr>
          <w:rFonts w:asciiTheme="minorHAnsi" w:hAnsiTheme="minorHAnsi"/>
          <w:sz w:val="22"/>
          <w:szCs w:val="22"/>
        </w:rPr>
        <w:t xml:space="preserve">approximately </w:t>
      </w:r>
      <w:r w:rsidRPr="00A31047">
        <w:rPr>
          <w:rFonts w:asciiTheme="minorHAnsi" w:hAnsiTheme="minorHAnsi"/>
          <w:sz w:val="22"/>
          <w:szCs w:val="22"/>
        </w:rPr>
        <w:t>USD 60 million has been expended over the lifetime of the project</w:t>
      </w:r>
      <w:r w:rsidR="00BE7A8C">
        <w:rPr>
          <w:rFonts w:asciiTheme="minorHAnsi" w:hAnsiTheme="minorHAnsi"/>
          <w:sz w:val="22"/>
          <w:szCs w:val="22"/>
        </w:rPr>
        <w:t>,</w:t>
      </w:r>
      <w:r w:rsidRPr="00A31047">
        <w:rPr>
          <w:rFonts w:asciiTheme="minorHAnsi" w:hAnsiTheme="minorHAnsi"/>
          <w:sz w:val="22"/>
          <w:szCs w:val="22"/>
        </w:rPr>
        <w:t xml:space="preserve"> </w:t>
      </w:r>
      <w:r w:rsidR="00CB4BF3">
        <w:rPr>
          <w:rFonts w:asciiTheme="minorHAnsi" w:hAnsiTheme="minorHAnsi"/>
          <w:sz w:val="22"/>
          <w:szCs w:val="22"/>
        </w:rPr>
        <w:t xml:space="preserve">this evaluation should include </w:t>
      </w:r>
      <w:r w:rsidRPr="00A31047">
        <w:rPr>
          <w:rFonts w:asciiTheme="minorHAnsi" w:hAnsiTheme="minorHAnsi"/>
          <w:sz w:val="22"/>
          <w:szCs w:val="22"/>
        </w:rPr>
        <w:t xml:space="preserve"> </w:t>
      </w:r>
      <w:r w:rsidR="005C6448" w:rsidRPr="00A31047">
        <w:rPr>
          <w:rFonts w:asciiTheme="minorHAnsi" w:hAnsiTheme="minorHAnsi"/>
          <w:sz w:val="22"/>
          <w:szCs w:val="22"/>
        </w:rPr>
        <w:t xml:space="preserve">a cost/benefit </w:t>
      </w:r>
      <w:r w:rsidR="00BE7A8C">
        <w:rPr>
          <w:rFonts w:asciiTheme="minorHAnsi" w:hAnsiTheme="minorHAnsi"/>
          <w:sz w:val="22"/>
          <w:szCs w:val="22"/>
        </w:rPr>
        <w:t xml:space="preserve">and TA delivery </w:t>
      </w:r>
      <w:r w:rsidR="00BE7A8C" w:rsidRPr="00BE7A8C">
        <w:rPr>
          <w:rFonts w:asciiTheme="minorHAnsi" w:hAnsiTheme="minorHAnsi"/>
          <w:sz w:val="22"/>
          <w:szCs w:val="22"/>
        </w:rPr>
        <w:t>efficiency</w:t>
      </w:r>
      <w:r w:rsidR="00BE7A8C" w:rsidRPr="00A31047">
        <w:rPr>
          <w:rStyle w:val="FootnoteReference"/>
          <w:rFonts w:asciiTheme="minorHAnsi" w:hAnsiTheme="minorHAnsi"/>
          <w:sz w:val="22"/>
          <w:szCs w:val="22"/>
        </w:rPr>
        <w:footnoteReference w:id="4"/>
      </w:r>
      <w:r w:rsidR="005C6448" w:rsidRPr="00A31047">
        <w:rPr>
          <w:rFonts w:asciiTheme="minorHAnsi" w:hAnsiTheme="minorHAnsi"/>
          <w:sz w:val="22"/>
          <w:szCs w:val="22"/>
        </w:rPr>
        <w:t>analysis of the delivery of services</w:t>
      </w:r>
      <w:r w:rsidR="00BE7A8C">
        <w:rPr>
          <w:rFonts w:asciiTheme="minorHAnsi" w:hAnsiTheme="minorHAnsi"/>
          <w:sz w:val="22"/>
          <w:szCs w:val="22"/>
        </w:rPr>
        <w:t xml:space="preserve"> </w:t>
      </w:r>
      <w:r w:rsidR="005C6448" w:rsidRPr="00BE7A8C">
        <w:rPr>
          <w:rFonts w:asciiTheme="minorHAnsi" w:hAnsiTheme="minorHAnsi"/>
          <w:sz w:val="22"/>
          <w:szCs w:val="22"/>
        </w:rPr>
        <w:t xml:space="preserve">and </w:t>
      </w:r>
      <w:r w:rsidR="00BE7A8C">
        <w:rPr>
          <w:rFonts w:asciiTheme="minorHAnsi" w:hAnsiTheme="minorHAnsi"/>
          <w:sz w:val="22"/>
          <w:szCs w:val="22"/>
        </w:rPr>
        <w:t xml:space="preserve">the effectiveness of the </w:t>
      </w:r>
      <w:r w:rsidR="00BE7A8C" w:rsidRPr="00BE7A8C">
        <w:rPr>
          <w:rFonts w:asciiTheme="minorHAnsi" w:hAnsiTheme="minorHAnsi"/>
          <w:sz w:val="22"/>
          <w:szCs w:val="22"/>
        </w:rPr>
        <w:t>CARTAC</w:t>
      </w:r>
      <w:r w:rsidR="00BE7A8C">
        <w:rPr>
          <w:rFonts w:asciiTheme="minorHAnsi" w:hAnsiTheme="minorHAnsi"/>
          <w:sz w:val="22"/>
          <w:szCs w:val="22"/>
        </w:rPr>
        <w:t xml:space="preserve"> model</w:t>
      </w:r>
      <w:r w:rsidR="00CB4BF3">
        <w:rPr>
          <w:rFonts w:asciiTheme="minorHAnsi" w:hAnsiTheme="minorHAnsi"/>
          <w:sz w:val="22"/>
          <w:szCs w:val="22"/>
        </w:rPr>
        <w:t>.</w:t>
      </w:r>
      <w:r w:rsidR="00BE7A8C" w:rsidRPr="00BE7A8C">
        <w:rPr>
          <w:rFonts w:asciiTheme="minorHAnsi" w:hAnsiTheme="minorHAnsi"/>
          <w:sz w:val="22"/>
          <w:szCs w:val="22"/>
        </w:rPr>
        <w:t xml:space="preserve"> </w:t>
      </w:r>
      <w:r w:rsidR="00BE7A8C">
        <w:rPr>
          <w:rFonts w:asciiTheme="minorHAnsi" w:hAnsiTheme="minorHAnsi"/>
          <w:sz w:val="22"/>
          <w:szCs w:val="22"/>
        </w:rPr>
        <w:t>I</w:t>
      </w:r>
      <w:r w:rsidR="00BE7A8C" w:rsidRPr="00BE7A8C">
        <w:rPr>
          <w:rFonts w:asciiTheme="minorHAnsi" w:hAnsiTheme="minorHAnsi"/>
          <w:sz w:val="22"/>
          <w:szCs w:val="22"/>
        </w:rPr>
        <w:t>s the mode of delivery of technical assistance appropriate and best use of resources?</w:t>
      </w:r>
    </w:p>
    <w:p w:rsidR="00CF590B" w:rsidRPr="00BE7A8C" w:rsidRDefault="00325834" w:rsidP="00BE7A8C">
      <w:pPr>
        <w:pStyle w:val="FootnoteText"/>
        <w:numPr>
          <w:ilvl w:val="0"/>
          <w:numId w:val="26"/>
        </w:numPr>
        <w:spacing w:after="0" w:line="276" w:lineRule="auto"/>
        <w:jc w:val="both"/>
        <w:rPr>
          <w:rFonts w:asciiTheme="minorHAnsi" w:hAnsiTheme="minorHAnsi"/>
          <w:sz w:val="22"/>
          <w:szCs w:val="22"/>
        </w:rPr>
      </w:pPr>
      <w:r w:rsidRPr="00BE7A8C">
        <w:rPr>
          <w:rFonts w:asciiTheme="minorHAnsi" w:hAnsiTheme="minorHAnsi"/>
          <w:sz w:val="22"/>
          <w:szCs w:val="22"/>
        </w:rPr>
        <w:t xml:space="preserve"> Has the project been implemented according to the time line and costs estimated? </w:t>
      </w:r>
      <w:r w:rsidR="00CF590B" w:rsidRPr="00BE7A8C">
        <w:rPr>
          <w:rFonts w:asciiTheme="minorHAnsi" w:hAnsiTheme="minorHAnsi"/>
          <w:sz w:val="22"/>
          <w:szCs w:val="22"/>
        </w:rPr>
        <w:t xml:space="preserve"> </w:t>
      </w:r>
      <w:r w:rsidR="001A6D64" w:rsidRPr="00BE7A8C">
        <w:rPr>
          <w:rFonts w:asciiTheme="minorHAnsi" w:hAnsiTheme="minorHAnsi"/>
          <w:sz w:val="22"/>
          <w:szCs w:val="22"/>
        </w:rPr>
        <w:t xml:space="preserve">Was there effective use of regional partnerships </w:t>
      </w:r>
      <w:r w:rsidR="00CB4BF3">
        <w:rPr>
          <w:rFonts w:asciiTheme="minorHAnsi" w:hAnsiTheme="minorHAnsi"/>
          <w:sz w:val="22"/>
          <w:szCs w:val="22"/>
        </w:rPr>
        <w:t xml:space="preserve"> t to</w:t>
      </w:r>
      <w:r w:rsidR="001A6D64" w:rsidRPr="00BE7A8C">
        <w:rPr>
          <w:rFonts w:asciiTheme="minorHAnsi" w:hAnsiTheme="minorHAnsi"/>
          <w:sz w:val="22"/>
          <w:szCs w:val="22"/>
        </w:rPr>
        <w:t xml:space="preserve"> </w:t>
      </w:r>
      <w:r w:rsidR="00BE7A8C">
        <w:rPr>
          <w:rFonts w:asciiTheme="minorHAnsi" w:hAnsiTheme="minorHAnsi"/>
          <w:sz w:val="22"/>
          <w:szCs w:val="22"/>
        </w:rPr>
        <w:t>optimize</w:t>
      </w:r>
      <w:r w:rsidR="001A6D64" w:rsidRPr="00BE7A8C">
        <w:rPr>
          <w:rFonts w:asciiTheme="minorHAnsi" w:hAnsiTheme="minorHAnsi"/>
          <w:sz w:val="22"/>
          <w:szCs w:val="22"/>
        </w:rPr>
        <w:t xml:space="preserve"> </w:t>
      </w:r>
      <w:r w:rsidR="00CB4BF3">
        <w:rPr>
          <w:rFonts w:asciiTheme="minorHAnsi" w:hAnsiTheme="minorHAnsi"/>
          <w:sz w:val="22"/>
          <w:szCs w:val="22"/>
        </w:rPr>
        <w:t xml:space="preserve">pooled </w:t>
      </w:r>
      <w:r w:rsidR="001A6D64" w:rsidRPr="00BE7A8C">
        <w:rPr>
          <w:rFonts w:asciiTheme="minorHAnsi" w:hAnsiTheme="minorHAnsi"/>
          <w:sz w:val="22"/>
          <w:szCs w:val="22"/>
        </w:rPr>
        <w:t>resources</w:t>
      </w:r>
      <w:r w:rsidR="00CB4BF3">
        <w:rPr>
          <w:rFonts w:asciiTheme="minorHAnsi" w:hAnsiTheme="minorHAnsi"/>
          <w:sz w:val="22"/>
          <w:szCs w:val="22"/>
        </w:rPr>
        <w:t xml:space="preserve">. From a financial perspective, were there benefits from use of the multidonor modality </w:t>
      </w:r>
      <w:r w:rsidR="00931914">
        <w:rPr>
          <w:rFonts w:asciiTheme="minorHAnsi" w:hAnsiTheme="minorHAnsi"/>
          <w:sz w:val="22"/>
          <w:szCs w:val="22"/>
        </w:rPr>
        <w:t>toward achievement of the desired outcomes</w:t>
      </w:r>
      <w:r w:rsidR="001A6D64" w:rsidRPr="00BE7A8C">
        <w:rPr>
          <w:rFonts w:asciiTheme="minorHAnsi" w:hAnsiTheme="minorHAnsi"/>
          <w:sz w:val="22"/>
          <w:szCs w:val="22"/>
        </w:rPr>
        <w:t>?</w:t>
      </w:r>
      <w:r w:rsidR="002D519D">
        <w:rPr>
          <w:rFonts w:asciiTheme="minorHAnsi" w:hAnsiTheme="minorHAnsi"/>
          <w:sz w:val="22"/>
          <w:szCs w:val="22"/>
        </w:rPr>
        <w:t xml:space="preserve"> Did this effectively leverage the substantive capacities of the partners involved?</w:t>
      </w:r>
    </w:p>
    <w:p w:rsidR="00563CAF" w:rsidRPr="00A31047" w:rsidRDefault="005C6448" w:rsidP="009F3CA0">
      <w:pPr>
        <w:pStyle w:val="subpar"/>
        <w:numPr>
          <w:ilvl w:val="0"/>
          <w:numId w:val="5"/>
        </w:numPr>
        <w:spacing w:before="0" w:after="0" w:line="276" w:lineRule="auto"/>
        <w:rPr>
          <w:rFonts w:asciiTheme="minorHAnsi" w:hAnsiTheme="minorHAnsi"/>
          <w:sz w:val="22"/>
          <w:szCs w:val="22"/>
        </w:rPr>
      </w:pPr>
      <w:r w:rsidRPr="00A31047">
        <w:rPr>
          <w:rFonts w:asciiTheme="minorHAnsi" w:hAnsiTheme="minorHAnsi"/>
          <w:b/>
          <w:iCs/>
          <w:sz w:val="22"/>
          <w:szCs w:val="22"/>
        </w:rPr>
        <w:t>Sustainability</w:t>
      </w:r>
      <w:r w:rsidRPr="00A31047">
        <w:rPr>
          <w:rFonts w:asciiTheme="minorHAnsi" w:hAnsiTheme="minorHAnsi"/>
          <w:i/>
          <w:iCs/>
          <w:sz w:val="22"/>
          <w:szCs w:val="22"/>
        </w:rPr>
        <w:t xml:space="preserve">: </w:t>
      </w:r>
      <w:r w:rsidRPr="00A31047">
        <w:rPr>
          <w:rFonts w:asciiTheme="minorHAnsi" w:hAnsiTheme="minorHAnsi"/>
          <w:sz w:val="22"/>
          <w:szCs w:val="22"/>
        </w:rPr>
        <w:t xml:space="preserve">The </w:t>
      </w:r>
      <w:r w:rsidR="00563CAF" w:rsidRPr="00A31047">
        <w:rPr>
          <w:rFonts w:asciiTheme="minorHAnsi" w:hAnsiTheme="minorHAnsi"/>
          <w:sz w:val="22"/>
          <w:szCs w:val="22"/>
        </w:rPr>
        <w:t>evaluation</w:t>
      </w:r>
      <w:r w:rsidR="006064B0">
        <w:rPr>
          <w:rFonts w:asciiTheme="minorHAnsi" w:hAnsiTheme="minorHAnsi"/>
          <w:sz w:val="22"/>
          <w:szCs w:val="22"/>
        </w:rPr>
        <w:t xml:space="preserve"> will </w:t>
      </w:r>
      <w:r w:rsidR="00F06D8B">
        <w:rPr>
          <w:rFonts w:asciiTheme="minorHAnsi" w:hAnsiTheme="minorHAnsi"/>
          <w:sz w:val="22"/>
          <w:szCs w:val="22"/>
        </w:rPr>
        <w:t>reflect</w:t>
      </w:r>
      <w:r w:rsidRPr="00A31047">
        <w:rPr>
          <w:rFonts w:asciiTheme="minorHAnsi" w:hAnsiTheme="minorHAnsi"/>
          <w:sz w:val="22"/>
          <w:szCs w:val="22"/>
        </w:rPr>
        <w:t xml:space="preserve"> </w:t>
      </w:r>
      <w:r w:rsidR="006064B0">
        <w:rPr>
          <w:rFonts w:asciiTheme="minorHAnsi" w:hAnsiTheme="minorHAnsi"/>
          <w:sz w:val="22"/>
          <w:szCs w:val="22"/>
        </w:rPr>
        <w:t xml:space="preserve">on previous </w:t>
      </w:r>
      <w:r w:rsidR="00563CAF" w:rsidRPr="00A31047">
        <w:rPr>
          <w:rFonts w:asciiTheme="minorHAnsi" w:hAnsiTheme="minorHAnsi"/>
          <w:sz w:val="22"/>
          <w:szCs w:val="22"/>
        </w:rPr>
        <w:t>CARTAC’s</w:t>
      </w:r>
      <w:r w:rsidRPr="00A31047">
        <w:rPr>
          <w:rFonts w:asciiTheme="minorHAnsi" w:hAnsiTheme="minorHAnsi"/>
          <w:sz w:val="22"/>
          <w:szCs w:val="22"/>
        </w:rPr>
        <w:t xml:space="preserve"> </w:t>
      </w:r>
      <w:r w:rsidR="00C51C70">
        <w:rPr>
          <w:rFonts w:asciiTheme="minorHAnsi" w:hAnsiTheme="minorHAnsi"/>
          <w:sz w:val="22"/>
          <w:szCs w:val="22"/>
        </w:rPr>
        <w:t xml:space="preserve">review </w:t>
      </w:r>
      <w:r w:rsidR="00F06D8B">
        <w:rPr>
          <w:rFonts w:asciiTheme="minorHAnsi" w:hAnsiTheme="minorHAnsi"/>
          <w:sz w:val="22"/>
          <w:szCs w:val="22"/>
        </w:rPr>
        <w:t xml:space="preserve">reports on </w:t>
      </w:r>
      <w:r w:rsidRPr="00A31047">
        <w:rPr>
          <w:rFonts w:asciiTheme="minorHAnsi" w:hAnsiTheme="minorHAnsi"/>
          <w:sz w:val="22"/>
          <w:szCs w:val="22"/>
        </w:rPr>
        <w:t>sustainability</w:t>
      </w:r>
      <w:r w:rsidR="00C51C70">
        <w:rPr>
          <w:rFonts w:asciiTheme="minorHAnsi" w:hAnsiTheme="minorHAnsi"/>
          <w:sz w:val="22"/>
          <w:szCs w:val="22"/>
        </w:rPr>
        <w:t xml:space="preserve"> and </w:t>
      </w:r>
      <w:r w:rsidR="006064B0">
        <w:rPr>
          <w:rFonts w:asciiTheme="minorHAnsi" w:hAnsiTheme="minorHAnsi"/>
          <w:sz w:val="22"/>
          <w:szCs w:val="22"/>
        </w:rPr>
        <w:t>project delivery</w:t>
      </w:r>
      <w:r w:rsidR="00C51C70">
        <w:rPr>
          <w:rFonts w:asciiTheme="minorHAnsi" w:hAnsiTheme="minorHAnsi"/>
          <w:sz w:val="22"/>
          <w:szCs w:val="22"/>
        </w:rPr>
        <w:t xml:space="preserve"> issues such as</w:t>
      </w:r>
      <w:r w:rsidRPr="00A31047">
        <w:rPr>
          <w:rFonts w:asciiTheme="minorHAnsi" w:hAnsiTheme="minorHAnsi"/>
          <w:sz w:val="22"/>
          <w:szCs w:val="22"/>
        </w:rPr>
        <w:t xml:space="preserve"> </w:t>
      </w:r>
      <w:r w:rsidR="00C51C70">
        <w:rPr>
          <w:rFonts w:asciiTheme="minorHAnsi" w:hAnsiTheme="minorHAnsi"/>
          <w:sz w:val="22"/>
          <w:szCs w:val="22"/>
        </w:rPr>
        <w:t xml:space="preserve">levels of </w:t>
      </w:r>
      <w:r w:rsidR="00CF590B" w:rsidRPr="00A31047">
        <w:rPr>
          <w:rFonts w:asciiTheme="minorHAnsi" w:hAnsiTheme="minorHAnsi"/>
          <w:sz w:val="22"/>
          <w:szCs w:val="22"/>
        </w:rPr>
        <w:t xml:space="preserve">delivery of technical assistance </w:t>
      </w:r>
      <w:r w:rsidR="006064B0">
        <w:rPr>
          <w:rFonts w:asciiTheme="minorHAnsi" w:hAnsiTheme="minorHAnsi"/>
          <w:sz w:val="22"/>
          <w:szCs w:val="22"/>
        </w:rPr>
        <w:t>and</w:t>
      </w:r>
      <w:r w:rsidR="00563CAF" w:rsidRPr="00A31047">
        <w:rPr>
          <w:rFonts w:asciiTheme="minorHAnsi" w:hAnsiTheme="minorHAnsi"/>
          <w:sz w:val="22"/>
          <w:szCs w:val="22"/>
        </w:rPr>
        <w:t xml:space="preserve"> donor support </w:t>
      </w:r>
      <w:r w:rsidR="006064B0">
        <w:rPr>
          <w:rFonts w:asciiTheme="minorHAnsi" w:hAnsiTheme="minorHAnsi"/>
          <w:sz w:val="22"/>
          <w:szCs w:val="22"/>
        </w:rPr>
        <w:t xml:space="preserve">sustainability </w:t>
      </w:r>
      <w:r w:rsidR="00C51C70">
        <w:rPr>
          <w:rFonts w:asciiTheme="minorHAnsi" w:hAnsiTheme="minorHAnsi"/>
          <w:sz w:val="22"/>
          <w:szCs w:val="22"/>
        </w:rPr>
        <w:t xml:space="preserve">and </w:t>
      </w:r>
      <w:r w:rsidR="00CF590B" w:rsidRPr="00A31047">
        <w:rPr>
          <w:rFonts w:asciiTheme="minorHAnsi" w:hAnsiTheme="minorHAnsi"/>
          <w:sz w:val="22"/>
          <w:szCs w:val="22"/>
        </w:rPr>
        <w:t xml:space="preserve">proposals for cost recovery </w:t>
      </w:r>
      <w:r w:rsidR="006064B0">
        <w:rPr>
          <w:rFonts w:asciiTheme="minorHAnsi" w:hAnsiTheme="minorHAnsi"/>
          <w:sz w:val="22"/>
          <w:szCs w:val="22"/>
        </w:rPr>
        <w:t>reviews that informed the formulation of</w:t>
      </w:r>
      <w:r w:rsidR="00CF590B" w:rsidRPr="00A31047">
        <w:rPr>
          <w:rFonts w:asciiTheme="minorHAnsi" w:hAnsiTheme="minorHAnsi"/>
          <w:sz w:val="22"/>
          <w:szCs w:val="22"/>
        </w:rPr>
        <w:t xml:space="preserve"> Phase IV.</w:t>
      </w:r>
      <w:r w:rsidRPr="00A31047">
        <w:rPr>
          <w:rFonts w:asciiTheme="minorHAnsi" w:hAnsiTheme="minorHAnsi"/>
          <w:sz w:val="22"/>
          <w:szCs w:val="22"/>
        </w:rPr>
        <w:t xml:space="preserve"> </w:t>
      </w:r>
    </w:p>
    <w:p w:rsidR="003B4B9D" w:rsidRPr="00A31047" w:rsidRDefault="003B4B9D" w:rsidP="009F3CA0">
      <w:pPr>
        <w:tabs>
          <w:tab w:val="left" w:pos="1620"/>
          <w:tab w:val="left" w:pos="9180"/>
        </w:tabs>
        <w:autoSpaceDE w:val="0"/>
        <w:autoSpaceDN w:val="0"/>
        <w:adjustRightInd w:val="0"/>
        <w:spacing w:after="0"/>
        <w:ind w:right="60"/>
        <w:jc w:val="both"/>
        <w:rPr>
          <w:rFonts w:eastAsia="Calibri" w:cs="Times New Roman"/>
          <w:lang w:val="en-GB"/>
        </w:rPr>
      </w:pPr>
    </w:p>
    <w:p w:rsidR="003B4B9D" w:rsidRPr="00A31047" w:rsidRDefault="003B4B9D" w:rsidP="009F3CA0">
      <w:pPr>
        <w:tabs>
          <w:tab w:val="left" w:pos="1620"/>
          <w:tab w:val="left" w:pos="9180"/>
        </w:tabs>
        <w:autoSpaceDE w:val="0"/>
        <w:autoSpaceDN w:val="0"/>
        <w:adjustRightInd w:val="0"/>
        <w:spacing w:after="0"/>
        <w:ind w:right="60"/>
        <w:jc w:val="both"/>
        <w:rPr>
          <w:rFonts w:eastAsia="Calibri" w:cs="Times New Roman"/>
          <w:b/>
          <w:lang w:val="en-GB"/>
        </w:rPr>
      </w:pPr>
      <w:r w:rsidRPr="00A31047">
        <w:rPr>
          <w:rFonts w:eastAsia="Calibri" w:cs="Times New Roman"/>
          <w:b/>
          <w:lang w:val="en-GB"/>
        </w:rPr>
        <w:t>Methodology</w:t>
      </w:r>
    </w:p>
    <w:p w:rsidR="00342A7B" w:rsidRPr="00342A7B" w:rsidRDefault="00342A7B" w:rsidP="00342A7B">
      <w:pPr>
        <w:tabs>
          <w:tab w:val="left" w:pos="1620"/>
          <w:tab w:val="left" w:pos="9180"/>
        </w:tabs>
        <w:autoSpaceDE w:val="0"/>
        <w:autoSpaceDN w:val="0"/>
        <w:adjustRightInd w:val="0"/>
        <w:spacing w:after="0"/>
        <w:ind w:right="60"/>
        <w:jc w:val="both"/>
        <w:rPr>
          <w:rFonts w:eastAsia="Calibri" w:cs="Times New Roman"/>
          <w:lang w:val="en-GB"/>
        </w:rPr>
      </w:pPr>
      <w:r w:rsidRPr="00342A7B">
        <w:rPr>
          <w:rFonts w:eastAsia="Calibri" w:cs="Times New Roman"/>
          <w:lang w:val="en-GB"/>
        </w:rPr>
        <w:t xml:space="preserve">The </w:t>
      </w:r>
      <w:r w:rsidR="00FE3178">
        <w:rPr>
          <w:rFonts w:eastAsia="Calibri" w:cs="Times New Roman"/>
          <w:lang w:val="en-GB"/>
        </w:rPr>
        <w:t>evaluators</w:t>
      </w:r>
      <w:r w:rsidRPr="00342A7B">
        <w:rPr>
          <w:rFonts w:eastAsia="Calibri" w:cs="Times New Roman"/>
          <w:lang w:val="en-GB"/>
        </w:rPr>
        <w:t xml:space="preserve"> will design the methodology for the </w:t>
      </w:r>
      <w:r w:rsidR="006064B0">
        <w:rPr>
          <w:rFonts w:eastAsia="Calibri" w:cs="Times New Roman"/>
          <w:lang w:val="en-GB"/>
        </w:rPr>
        <w:t xml:space="preserve">end-of-project </w:t>
      </w:r>
      <w:r w:rsidRPr="00342A7B">
        <w:rPr>
          <w:rFonts w:eastAsia="Calibri" w:cs="Times New Roman"/>
          <w:lang w:val="en-GB"/>
        </w:rPr>
        <w:t xml:space="preserve">evaluation. Evaluation methods should be selected for their rigor in producing empirically based evidence to address the evaluation criteria, to respond to the evaluation questions, and to meet the objectives of the evaluation. </w:t>
      </w:r>
    </w:p>
    <w:p w:rsidR="00342A7B" w:rsidRDefault="00342A7B" w:rsidP="004F49C4">
      <w:pPr>
        <w:tabs>
          <w:tab w:val="left" w:pos="1620"/>
          <w:tab w:val="left" w:pos="9180"/>
        </w:tabs>
        <w:autoSpaceDE w:val="0"/>
        <w:autoSpaceDN w:val="0"/>
        <w:adjustRightInd w:val="0"/>
        <w:spacing w:after="0"/>
        <w:ind w:right="60"/>
        <w:jc w:val="both"/>
        <w:rPr>
          <w:rFonts w:eastAsia="Calibri" w:cs="Times New Roman"/>
        </w:rPr>
      </w:pPr>
    </w:p>
    <w:p w:rsidR="006064B0" w:rsidRDefault="00342A7B" w:rsidP="004F49C4">
      <w:pPr>
        <w:tabs>
          <w:tab w:val="left" w:pos="1620"/>
          <w:tab w:val="left" w:pos="9180"/>
        </w:tabs>
        <w:autoSpaceDE w:val="0"/>
        <w:autoSpaceDN w:val="0"/>
        <w:adjustRightInd w:val="0"/>
        <w:spacing w:after="0"/>
        <w:ind w:right="60"/>
        <w:jc w:val="both"/>
        <w:rPr>
          <w:rFonts w:eastAsia="Calibri" w:cs="Times New Roman"/>
          <w:lang w:val="en-GB"/>
        </w:rPr>
      </w:pPr>
      <w:r>
        <w:rPr>
          <w:rFonts w:eastAsia="Calibri" w:cs="Times New Roman"/>
        </w:rPr>
        <w:t xml:space="preserve">It is suggested that </w:t>
      </w:r>
      <w:r>
        <w:rPr>
          <w:rFonts w:eastAsia="Calibri" w:cs="Times New Roman"/>
          <w:lang w:val="en-GB"/>
        </w:rPr>
        <w:t>t</w:t>
      </w:r>
      <w:r w:rsidR="00E9639A">
        <w:rPr>
          <w:rFonts w:eastAsia="Calibri" w:cs="Times New Roman"/>
          <w:lang w:val="en-GB"/>
        </w:rPr>
        <w:t>he evaluation methodology will build on the 2009 ADR for Barbados and the Eastern Caribbean</w:t>
      </w:r>
      <w:r w:rsidR="004F49C4">
        <w:rPr>
          <w:rStyle w:val="FootnoteReference"/>
          <w:rFonts w:eastAsia="Calibri" w:cs="Times New Roman"/>
          <w:lang w:val="en-GB"/>
        </w:rPr>
        <w:footnoteReference w:id="5"/>
      </w:r>
      <w:r w:rsidR="00E9639A">
        <w:rPr>
          <w:rFonts w:eastAsia="Calibri" w:cs="Times New Roman"/>
          <w:lang w:val="en-GB"/>
        </w:rPr>
        <w:t xml:space="preserve"> which offers </w:t>
      </w:r>
      <w:r w:rsidR="00E9639A" w:rsidRPr="00BB782B">
        <w:rPr>
          <w:rFonts w:ascii="Calibri" w:eastAsia="Calibri" w:hAnsi="Calibri" w:cs="Times New Roman"/>
        </w:rPr>
        <w:t>evidence</w:t>
      </w:r>
      <w:r w:rsidR="006064B0">
        <w:rPr>
          <w:rFonts w:ascii="Calibri" w:eastAsia="Calibri" w:hAnsi="Calibri" w:cs="Times New Roman"/>
        </w:rPr>
        <w:t>-based research on</w:t>
      </w:r>
      <w:r w:rsidR="00E9639A" w:rsidRPr="00BB782B">
        <w:rPr>
          <w:rFonts w:ascii="Calibri" w:eastAsia="Calibri" w:hAnsi="Calibri" w:cs="Times New Roman"/>
        </w:rPr>
        <w:t xml:space="preserve"> UNDP´s</w:t>
      </w:r>
      <w:r w:rsidR="006064B0">
        <w:rPr>
          <w:rFonts w:ascii="Calibri" w:eastAsia="Calibri" w:hAnsi="Calibri" w:cs="Times New Roman"/>
        </w:rPr>
        <w:t xml:space="preserve"> context and </w:t>
      </w:r>
      <w:r w:rsidR="00E9639A" w:rsidRPr="00BB782B">
        <w:rPr>
          <w:rFonts w:ascii="Calibri" w:eastAsia="Calibri" w:hAnsi="Calibri" w:cs="Times New Roman"/>
        </w:rPr>
        <w:t>con</w:t>
      </w:r>
      <w:r w:rsidR="00E9639A">
        <w:rPr>
          <w:rFonts w:ascii="Calibri" w:eastAsia="Calibri" w:hAnsi="Calibri" w:cs="Times New Roman"/>
        </w:rPr>
        <w:t>tribution at the outcome level.</w:t>
      </w:r>
      <w:r w:rsidR="004F49C4">
        <w:rPr>
          <w:rFonts w:ascii="Calibri" w:eastAsia="Calibri" w:hAnsi="Calibri" w:cs="Times New Roman"/>
        </w:rPr>
        <w:t xml:space="preserve"> </w:t>
      </w:r>
      <w:r w:rsidR="003B4B9D" w:rsidRPr="00A31047">
        <w:rPr>
          <w:rFonts w:cs="TimesNewRoman"/>
        </w:rPr>
        <w:t>It is expected that evaluator</w:t>
      </w:r>
      <w:r w:rsidR="004F49C4">
        <w:rPr>
          <w:rFonts w:cs="TimesNewRoman"/>
        </w:rPr>
        <w:t>s</w:t>
      </w:r>
      <w:r w:rsidR="003B4B9D" w:rsidRPr="00A31047">
        <w:rPr>
          <w:rFonts w:cs="TimesNewRoman"/>
        </w:rPr>
        <w:t xml:space="preserve"> will conduct a </w:t>
      </w:r>
      <w:r w:rsidR="003B4B9D" w:rsidRPr="00A31047">
        <w:rPr>
          <w:rFonts w:cs="TimesNewRoman,Bold"/>
          <w:bCs/>
        </w:rPr>
        <w:t xml:space="preserve">participatory </w:t>
      </w:r>
      <w:r w:rsidR="006064B0">
        <w:rPr>
          <w:rFonts w:cs="TimesNewRoman,Bold"/>
          <w:bCs/>
        </w:rPr>
        <w:t xml:space="preserve">end of project </w:t>
      </w:r>
      <w:r w:rsidR="005C0AD1">
        <w:rPr>
          <w:rFonts w:cs="TimesNewRoman,Bold"/>
          <w:bCs/>
        </w:rPr>
        <w:t xml:space="preserve">results focused </w:t>
      </w:r>
      <w:r w:rsidR="003B4B9D" w:rsidRPr="00A31047">
        <w:rPr>
          <w:rFonts w:cs="TimesNewRoman,Bold"/>
          <w:bCs/>
        </w:rPr>
        <w:t>evaluation</w:t>
      </w:r>
      <w:r w:rsidR="003B4B9D" w:rsidRPr="00A31047">
        <w:rPr>
          <w:rFonts w:cs="TimesNewRoman,Bold"/>
          <w:b/>
          <w:bCs/>
        </w:rPr>
        <w:t xml:space="preserve"> </w:t>
      </w:r>
      <w:r w:rsidR="003B4B9D" w:rsidRPr="00A31047">
        <w:rPr>
          <w:rFonts w:cs="TimesNewRoman"/>
        </w:rPr>
        <w:t>that will involve project implementers</w:t>
      </w:r>
      <w:r w:rsidR="00E9639A">
        <w:rPr>
          <w:rFonts w:cs="TimesNewRoman"/>
        </w:rPr>
        <w:t xml:space="preserve"> and stakeholder organiz</w:t>
      </w:r>
      <w:r w:rsidR="001A6D64" w:rsidRPr="00A31047">
        <w:rPr>
          <w:rFonts w:cs="TimesNewRoman"/>
        </w:rPr>
        <w:t>ations</w:t>
      </w:r>
      <w:r w:rsidR="007C2321" w:rsidRPr="00A31047">
        <w:rPr>
          <w:rFonts w:cs="TimesNewRoman"/>
        </w:rPr>
        <w:t xml:space="preserve"> (CARTAC, IMF, and UNDP</w:t>
      </w:r>
      <w:r w:rsidR="001A6D64" w:rsidRPr="00A31047">
        <w:rPr>
          <w:rFonts w:cs="TimesNewRoman"/>
        </w:rPr>
        <w:t>, OECS and ECCB</w:t>
      </w:r>
      <w:r w:rsidR="007C2321" w:rsidRPr="00A31047">
        <w:rPr>
          <w:rFonts w:cs="TimesNewRoman"/>
        </w:rPr>
        <w:t>), key donors (CIDA</w:t>
      </w:r>
      <w:r w:rsidR="0029718C" w:rsidRPr="00A31047">
        <w:rPr>
          <w:rFonts w:cs="TimesNewRoman"/>
        </w:rPr>
        <w:t>, DFID</w:t>
      </w:r>
      <w:r w:rsidR="007C2321" w:rsidRPr="00A31047">
        <w:rPr>
          <w:rFonts w:cs="TimesNewRoman"/>
        </w:rPr>
        <w:t xml:space="preserve">, EU and CDB) and </w:t>
      </w:r>
      <w:r w:rsidR="003B4B9D" w:rsidRPr="00A31047">
        <w:rPr>
          <w:rFonts w:cs="TimesNewRoman"/>
        </w:rPr>
        <w:t>target beneficiaries in all key evaluation tasks</w:t>
      </w:r>
      <w:r w:rsidR="007C2321" w:rsidRPr="00A31047">
        <w:rPr>
          <w:rFonts w:cs="TimesNewRoman"/>
        </w:rPr>
        <w:t>.</w:t>
      </w:r>
      <w:r w:rsidR="003B4B9D" w:rsidRPr="00A31047">
        <w:rPr>
          <w:rFonts w:eastAsia="Calibri" w:cs="Times New Roman"/>
          <w:lang w:val="en-GB"/>
        </w:rPr>
        <w:t xml:space="preserve"> </w:t>
      </w:r>
    </w:p>
    <w:p w:rsidR="006064B0" w:rsidRDefault="006064B0" w:rsidP="004F49C4">
      <w:pPr>
        <w:tabs>
          <w:tab w:val="left" w:pos="1620"/>
          <w:tab w:val="left" w:pos="9180"/>
        </w:tabs>
        <w:autoSpaceDE w:val="0"/>
        <w:autoSpaceDN w:val="0"/>
        <w:adjustRightInd w:val="0"/>
        <w:spacing w:after="0"/>
        <w:ind w:right="60"/>
        <w:jc w:val="both"/>
        <w:rPr>
          <w:rFonts w:eastAsia="Calibri" w:cs="Times New Roman"/>
          <w:lang w:val="en-GB"/>
        </w:rPr>
      </w:pPr>
    </w:p>
    <w:p w:rsidR="00847BFF" w:rsidRDefault="003B4B9D" w:rsidP="004F49C4">
      <w:pPr>
        <w:tabs>
          <w:tab w:val="left" w:pos="1620"/>
          <w:tab w:val="left" w:pos="9180"/>
        </w:tabs>
        <w:autoSpaceDE w:val="0"/>
        <w:autoSpaceDN w:val="0"/>
        <w:adjustRightInd w:val="0"/>
        <w:spacing w:after="0"/>
        <w:ind w:right="60"/>
        <w:jc w:val="both"/>
        <w:rPr>
          <w:rFonts w:cs="TimesNewRoman"/>
        </w:rPr>
      </w:pPr>
      <w:r w:rsidRPr="00A31047">
        <w:rPr>
          <w:rFonts w:eastAsia="Calibri" w:cs="Times New Roman"/>
          <w:lang w:val="en-GB"/>
        </w:rPr>
        <w:t xml:space="preserve">The exercise will </w:t>
      </w:r>
      <w:r w:rsidR="007C2321" w:rsidRPr="00A31047">
        <w:rPr>
          <w:rFonts w:eastAsia="Calibri" w:cs="Times New Roman"/>
          <w:lang w:val="en-GB"/>
        </w:rPr>
        <w:t xml:space="preserve">entail a combination of </w:t>
      </w:r>
      <w:r w:rsidRPr="00A31047">
        <w:rPr>
          <w:rFonts w:eastAsia="Calibri" w:cs="Times New Roman"/>
          <w:lang w:val="en-GB"/>
        </w:rPr>
        <w:t xml:space="preserve">desk reviews and document analysis, and </w:t>
      </w:r>
      <w:r w:rsidRPr="00A31047">
        <w:rPr>
          <w:rFonts w:eastAsia="Calibri" w:cs="Times New Roman"/>
        </w:rPr>
        <w:t>consultations with key stakeholders</w:t>
      </w:r>
      <w:r w:rsidRPr="00A31047">
        <w:t>.</w:t>
      </w:r>
      <w:r w:rsidRPr="00A31047">
        <w:rPr>
          <w:rFonts w:cs="TimesNewRoman"/>
        </w:rPr>
        <w:t xml:space="preserve"> </w:t>
      </w:r>
      <w:r w:rsidR="007C2321" w:rsidRPr="00A31047">
        <w:rPr>
          <w:rFonts w:cs="TimesNewRoman"/>
        </w:rPr>
        <w:t>In the case of the desk reviews and document analysis</w:t>
      </w:r>
      <w:r w:rsidR="00931914">
        <w:rPr>
          <w:rFonts w:cs="TimesNewRoman"/>
        </w:rPr>
        <w:t>,</w:t>
      </w:r>
      <w:r w:rsidR="007C2321" w:rsidRPr="00A31047">
        <w:rPr>
          <w:rFonts w:cs="TimesNewRoman"/>
        </w:rPr>
        <w:t xml:space="preserve"> particular emphasis will be paid </w:t>
      </w:r>
      <w:r w:rsidR="00EB433C" w:rsidRPr="00A31047">
        <w:rPr>
          <w:rFonts w:cs="TimesNewRoman"/>
        </w:rPr>
        <w:t xml:space="preserve">to </w:t>
      </w:r>
      <w:r w:rsidR="007C2321" w:rsidRPr="00A31047">
        <w:rPr>
          <w:rFonts w:cs="TimesNewRoman"/>
        </w:rPr>
        <w:t xml:space="preserve">the Assessment of Development Results (2009) for the UNDP Office for Barbados and OECS, the three independent Mid-Term Reviews of the CARTAC project, </w:t>
      </w:r>
      <w:r w:rsidR="005E210D">
        <w:rPr>
          <w:rFonts w:cs="TimesNewRoman"/>
        </w:rPr>
        <w:t xml:space="preserve">the Polius and </w:t>
      </w:r>
      <w:r w:rsidR="00EB433C" w:rsidRPr="00A31047">
        <w:rPr>
          <w:rFonts w:cs="TimesNewRoman"/>
        </w:rPr>
        <w:t>Jenson Report</w:t>
      </w:r>
      <w:r w:rsidR="005E210D">
        <w:rPr>
          <w:rFonts w:cs="TimesNewRoman"/>
        </w:rPr>
        <w:t>s</w:t>
      </w:r>
      <w:r w:rsidR="00EB433C" w:rsidRPr="00A31047">
        <w:rPr>
          <w:rFonts w:cs="TimesNewRoman"/>
        </w:rPr>
        <w:t xml:space="preserve"> on Results Based Monitoring and Reporting (2008) and the Report on the Review of CARTAC Governance</w:t>
      </w:r>
      <w:r w:rsidR="00131223">
        <w:rPr>
          <w:rFonts w:cs="TimesNewRoman"/>
        </w:rPr>
        <w:t xml:space="preserve"> </w:t>
      </w:r>
      <w:r w:rsidR="00C51C70">
        <w:rPr>
          <w:rFonts w:cs="TimesNewRoman"/>
        </w:rPr>
        <w:t xml:space="preserve">and other recent CARTAC review reports as requested by the CARTAC </w:t>
      </w:r>
      <w:r w:rsidR="00931914">
        <w:rPr>
          <w:rFonts w:cs="TimesNewRoman"/>
        </w:rPr>
        <w:t>Steering Committee</w:t>
      </w:r>
      <w:r w:rsidR="00EB433C" w:rsidRPr="00A31047">
        <w:rPr>
          <w:rFonts w:cs="TimesNewRoman"/>
        </w:rPr>
        <w:t xml:space="preserve">. </w:t>
      </w:r>
      <w:r w:rsidR="007C2321" w:rsidRPr="00A31047">
        <w:rPr>
          <w:rFonts w:cs="TimesNewRoman"/>
        </w:rPr>
        <w:t xml:space="preserve"> </w:t>
      </w:r>
    </w:p>
    <w:p w:rsidR="00FE3178" w:rsidRDefault="00FE3178" w:rsidP="004F49C4">
      <w:pPr>
        <w:tabs>
          <w:tab w:val="left" w:pos="1620"/>
          <w:tab w:val="left" w:pos="9180"/>
        </w:tabs>
        <w:autoSpaceDE w:val="0"/>
        <w:autoSpaceDN w:val="0"/>
        <w:adjustRightInd w:val="0"/>
        <w:spacing w:after="0"/>
        <w:ind w:right="60"/>
        <w:jc w:val="both"/>
        <w:rPr>
          <w:rFonts w:cs="TimesNewRoman"/>
        </w:rPr>
      </w:pPr>
    </w:p>
    <w:p w:rsidR="00847BFF" w:rsidRDefault="00131223" w:rsidP="004F49C4">
      <w:pPr>
        <w:tabs>
          <w:tab w:val="left" w:pos="1620"/>
          <w:tab w:val="left" w:pos="9180"/>
        </w:tabs>
        <w:autoSpaceDE w:val="0"/>
        <w:autoSpaceDN w:val="0"/>
        <w:adjustRightInd w:val="0"/>
        <w:spacing w:after="0"/>
        <w:ind w:right="60"/>
        <w:jc w:val="both"/>
        <w:rPr>
          <w:rFonts w:cs="TimesNewRoman"/>
        </w:rPr>
      </w:pPr>
      <w:r w:rsidRPr="00131223">
        <w:rPr>
          <w:rFonts w:cs="TimesNewRoman"/>
        </w:rPr>
        <w:t>The evaluation findings, conclusions and recommendations should be validated. The evaluation should reflect the principles of Managing for Development Results</w:t>
      </w:r>
      <w:r w:rsidR="005E210D">
        <w:rPr>
          <w:rFonts w:cs="TimesNewRoman"/>
        </w:rPr>
        <w:t xml:space="preserve"> (MfDR),</w:t>
      </w:r>
      <w:r w:rsidRPr="00131223">
        <w:rPr>
          <w:rFonts w:cs="TimesNewRoman"/>
        </w:rPr>
        <w:t xml:space="preserve"> and it is expected that the process supports planning, monitoring and evaluation capacity building. The conceptual framework for the evaluation should be in line with the UNDP Handbook on Planning, Monitoring and Evaluation for Development Results (2009). The evaluation should apply the ethical and quality principles of the United Nations Evaluation Group, and the </w:t>
      </w:r>
      <w:r w:rsidR="00FE3178">
        <w:rPr>
          <w:rFonts w:cs="TimesNewRoman"/>
        </w:rPr>
        <w:t>evaluators are</w:t>
      </w:r>
      <w:r w:rsidRPr="00131223">
        <w:rPr>
          <w:rFonts w:cs="TimesNewRoman"/>
        </w:rPr>
        <w:t xml:space="preserve"> expected to </w:t>
      </w:r>
      <w:r>
        <w:rPr>
          <w:rFonts w:cs="TimesNewRoman"/>
        </w:rPr>
        <w:t xml:space="preserve">agree with </w:t>
      </w:r>
      <w:r w:rsidRPr="00131223">
        <w:rPr>
          <w:rFonts w:cs="TimesNewRoman"/>
        </w:rPr>
        <w:t>the Code of Conduct for Evaluators in the UN System.</w:t>
      </w:r>
    </w:p>
    <w:p w:rsidR="00B663EA" w:rsidRDefault="00B663EA" w:rsidP="004F49C4">
      <w:pPr>
        <w:tabs>
          <w:tab w:val="left" w:pos="1620"/>
          <w:tab w:val="left" w:pos="9180"/>
        </w:tabs>
        <w:autoSpaceDE w:val="0"/>
        <w:autoSpaceDN w:val="0"/>
        <w:adjustRightInd w:val="0"/>
        <w:spacing w:after="0"/>
        <w:ind w:right="60"/>
        <w:jc w:val="both"/>
        <w:rPr>
          <w:rFonts w:cs="TimesNewRoman"/>
        </w:rPr>
      </w:pPr>
    </w:p>
    <w:p w:rsidR="00B663EA" w:rsidRPr="00B663EA" w:rsidRDefault="00B663EA" w:rsidP="004F49C4">
      <w:pPr>
        <w:tabs>
          <w:tab w:val="left" w:pos="1620"/>
          <w:tab w:val="left" w:pos="9180"/>
        </w:tabs>
        <w:autoSpaceDE w:val="0"/>
        <w:autoSpaceDN w:val="0"/>
        <w:adjustRightInd w:val="0"/>
        <w:spacing w:after="0"/>
        <w:ind w:right="60"/>
        <w:jc w:val="both"/>
        <w:rPr>
          <w:rFonts w:eastAsia="Calibri" w:cs="Times New Roman"/>
          <w:b/>
          <w:lang w:val="en-GB"/>
        </w:rPr>
      </w:pPr>
      <w:r w:rsidRPr="00B663EA">
        <w:rPr>
          <w:rFonts w:eastAsia="Calibri" w:cs="Times New Roman"/>
          <w:b/>
          <w:lang w:val="en-GB"/>
        </w:rPr>
        <w:t xml:space="preserve">Deliverables </w:t>
      </w:r>
    </w:p>
    <w:p w:rsidR="003B4B9D" w:rsidRPr="004F49C4" w:rsidRDefault="003B4B9D" w:rsidP="004F49C4">
      <w:pPr>
        <w:tabs>
          <w:tab w:val="left" w:pos="1620"/>
          <w:tab w:val="left" w:pos="9180"/>
        </w:tabs>
        <w:autoSpaceDE w:val="0"/>
        <w:autoSpaceDN w:val="0"/>
        <w:adjustRightInd w:val="0"/>
        <w:spacing w:after="0"/>
        <w:ind w:right="60"/>
        <w:jc w:val="both"/>
        <w:rPr>
          <w:rFonts w:eastAsia="Calibri" w:cs="Times New Roman"/>
          <w:lang w:val="en-GB"/>
        </w:rPr>
      </w:pPr>
      <w:r w:rsidRPr="00A31047">
        <w:rPr>
          <w:rFonts w:cs="TimesNewRoman"/>
        </w:rPr>
        <w:t>The deliverables are as follows:</w:t>
      </w:r>
    </w:p>
    <w:p w:rsidR="001A6D64" w:rsidRPr="00A31047" w:rsidRDefault="001A6D64" w:rsidP="009F3CA0">
      <w:pPr>
        <w:autoSpaceDE w:val="0"/>
        <w:autoSpaceDN w:val="0"/>
        <w:adjustRightInd w:val="0"/>
        <w:spacing w:after="0"/>
        <w:jc w:val="both"/>
        <w:rPr>
          <w:rFonts w:cs="TimesNewRoman"/>
        </w:rPr>
      </w:pPr>
    </w:p>
    <w:p w:rsidR="002423C4" w:rsidRDefault="001A6D64" w:rsidP="009F3CA0">
      <w:pPr>
        <w:pStyle w:val="ListParagraph"/>
        <w:numPr>
          <w:ilvl w:val="0"/>
          <w:numId w:val="12"/>
        </w:numPr>
        <w:autoSpaceDE w:val="0"/>
        <w:autoSpaceDN w:val="0"/>
        <w:adjustRightInd w:val="0"/>
        <w:spacing w:after="0"/>
        <w:jc w:val="both"/>
        <w:rPr>
          <w:u w:val="single"/>
        </w:rPr>
      </w:pPr>
      <w:r w:rsidRPr="00B663EA">
        <w:rPr>
          <w:u w:val="single"/>
        </w:rPr>
        <w:t xml:space="preserve">Inception Report - </w:t>
      </w:r>
      <w:r w:rsidR="003B4B9D" w:rsidRPr="00B663EA">
        <w:rPr>
          <w:u w:val="single"/>
        </w:rPr>
        <w:t xml:space="preserve">Evaluation framework/design and implementation plan </w:t>
      </w:r>
    </w:p>
    <w:p w:rsidR="00B663EA" w:rsidRPr="00B663EA" w:rsidRDefault="00B663EA" w:rsidP="00B663EA">
      <w:pPr>
        <w:pStyle w:val="ListParagraph"/>
        <w:autoSpaceDE w:val="0"/>
        <w:autoSpaceDN w:val="0"/>
        <w:adjustRightInd w:val="0"/>
        <w:spacing w:after="0" w:line="240" w:lineRule="auto"/>
        <w:ind w:left="1080"/>
        <w:jc w:val="both"/>
        <w:rPr>
          <w:rFonts w:cs="TimesNewRoman"/>
        </w:rPr>
      </w:pPr>
      <w:r w:rsidRPr="00B663EA">
        <w:rPr>
          <w:rFonts w:cs="TimesNewRoman" w:hint="eastAsia"/>
        </w:rPr>
        <w:t xml:space="preserve">An inception report should be prepared by the </w:t>
      </w:r>
      <w:r w:rsidRPr="00B663EA">
        <w:rPr>
          <w:rFonts w:cs="TimesNewRoman"/>
        </w:rPr>
        <w:t xml:space="preserve">revision team </w:t>
      </w:r>
      <w:r w:rsidRPr="00B663EA">
        <w:rPr>
          <w:rFonts w:cs="TimesNewRoman" w:hint="eastAsia"/>
        </w:rPr>
        <w:t xml:space="preserve">before going into the full fledged </w:t>
      </w:r>
      <w:r w:rsidRPr="00B663EA">
        <w:rPr>
          <w:rFonts w:cs="TimesNewRoman"/>
        </w:rPr>
        <w:t xml:space="preserve">evaluation </w:t>
      </w:r>
      <w:r w:rsidRPr="00B663EA">
        <w:rPr>
          <w:rFonts w:cs="TimesNewRoman" w:hint="eastAsia"/>
        </w:rPr>
        <w:t xml:space="preserve">exercise.  </w:t>
      </w:r>
      <w:r w:rsidRPr="00B663EA">
        <w:rPr>
          <w:rFonts w:cs="TimesNewRoman"/>
        </w:rPr>
        <w:t>The report should contain an evaluation matrix that displays for each of the evaluation criteria, the questions and sub questions that the evaluation will answer, and for each question, the data that will be collected to inform that question and the methods that will be used to collect that data</w:t>
      </w:r>
      <w:r w:rsidR="002D519D">
        <w:rPr>
          <w:rStyle w:val="FootnoteReference"/>
          <w:rFonts w:cs="TimesNewRoman"/>
        </w:rPr>
        <w:footnoteReference w:id="6"/>
      </w:r>
      <w:r w:rsidR="002D519D">
        <w:rPr>
          <w:rFonts w:cs="TimesNewRoman"/>
        </w:rPr>
        <w:t xml:space="preserve"> </w:t>
      </w:r>
      <w:r w:rsidRPr="00B663EA">
        <w:rPr>
          <w:rFonts w:cs="TimesNewRoman"/>
        </w:rPr>
        <w:t>. In addition, the inception report should make explicit the underlying theory or assumptions about how each data element will contribute to understanding the development results—attribution, contribution, process, implementation and so forth—and the rationale for data collection, analysis and reporting methodologies selected.</w:t>
      </w:r>
      <w:r w:rsidRPr="00B663EA">
        <w:rPr>
          <w:rFonts w:cs="TimesNewRoman" w:hint="eastAsia"/>
        </w:rPr>
        <w:t xml:space="preserve"> It should </w:t>
      </w:r>
      <w:r w:rsidRPr="00B663EA">
        <w:rPr>
          <w:rFonts w:cs="TimesNewRoman"/>
        </w:rPr>
        <w:t xml:space="preserve">also </w:t>
      </w:r>
      <w:r w:rsidRPr="00B663EA">
        <w:rPr>
          <w:rFonts w:cs="TimesNewRoman" w:hint="eastAsia"/>
        </w:rPr>
        <w:t>include a proposed schedule of tasks/activities and deliverables, designating a team member with the lead responsibility for each task or product.</w:t>
      </w:r>
      <w:r w:rsidRPr="00B663EA">
        <w:rPr>
          <w:rFonts w:cs="TimesNewRoman"/>
        </w:rPr>
        <w:t xml:space="preserve"> </w:t>
      </w:r>
    </w:p>
    <w:p w:rsidR="00B663EA" w:rsidRPr="00B663EA" w:rsidRDefault="00B663EA" w:rsidP="00B663EA">
      <w:pPr>
        <w:pStyle w:val="ListParagraph"/>
        <w:autoSpaceDE w:val="0"/>
        <w:autoSpaceDN w:val="0"/>
        <w:adjustRightInd w:val="0"/>
        <w:spacing w:after="0"/>
        <w:ind w:left="1080"/>
        <w:jc w:val="both"/>
        <w:rPr>
          <w:rFonts w:cs="TimesNewRoman"/>
        </w:rPr>
      </w:pPr>
    </w:p>
    <w:p w:rsidR="00FE3178" w:rsidRDefault="00127F51" w:rsidP="00B663EA">
      <w:pPr>
        <w:pStyle w:val="ListParagraph"/>
        <w:autoSpaceDE w:val="0"/>
        <w:autoSpaceDN w:val="0"/>
        <w:adjustRightInd w:val="0"/>
        <w:spacing w:after="0" w:line="240" w:lineRule="auto"/>
        <w:ind w:left="1080"/>
        <w:jc w:val="both"/>
        <w:rPr>
          <w:rFonts w:cs="TimesNewRoman"/>
          <w:u w:val="single"/>
        </w:rPr>
      </w:pPr>
      <w:r w:rsidRPr="00127F51">
        <w:rPr>
          <w:rFonts w:cs="TimesNewRoman"/>
          <w:u w:val="single"/>
        </w:rPr>
        <w:t>Draft evaluation report</w:t>
      </w:r>
    </w:p>
    <w:p w:rsidR="00FE3178" w:rsidRDefault="00FE3178" w:rsidP="00B663EA">
      <w:pPr>
        <w:pStyle w:val="ListParagraph"/>
        <w:autoSpaceDE w:val="0"/>
        <w:autoSpaceDN w:val="0"/>
        <w:adjustRightInd w:val="0"/>
        <w:spacing w:after="0" w:line="240" w:lineRule="auto"/>
        <w:ind w:left="1080"/>
        <w:jc w:val="both"/>
        <w:rPr>
          <w:rFonts w:cs="TimesNewRoman"/>
          <w:u w:val="single"/>
        </w:rPr>
      </w:pPr>
    </w:p>
    <w:p w:rsidR="00B663EA" w:rsidRPr="00B663EA" w:rsidRDefault="00127F51" w:rsidP="00B663EA">
      <w:pPr>
        <w:pStyle w:val="ListParagraph"/>
        <w:autoSpaceDE w:val="0"/>
        <w:autoSpaceDN w:val="0"/>
        <w:adjustRightInd w:val="0"/>
        <w:spacing w:after="0" w:line="240" w:lineRule="auto"/>
        <w:ind w:left="1080"/>
        <w:jc w:val="both"/>
        <w:rPr>
          <w:rFonts w:cs="TimesNewRoman"/>
        </w:rPr>
      </w:pPr>
      <w:r w:rsidRPr="00127F51">
        <w:rPr>
          <w:rFonts w:cs="TimesNewRoman"/>
          <w:u w:val="single"/>
        </w:rPr>
        <w:t xml:space="preserve">Final Evaluation Report </w:t>
      </w:r>
      <w:r w:rsidR="00B663EA" w:rsidRPr="00B663EA">
        <w:rPr>
          <w:rFonts w:cs="TimesNewRoman"/>
        </w:rPr>
        <w:t xml:space="preserve">The final report should be </w:t>
      </w:r>
      <w:r w:rsidR="001D236B">
        <w:rPr>
          <w:rFonts w:cs="TimesNewRoman"/>
        </w:rPr>
        <w:t>50</w:t>
      </w:r>
      <w:r w:rsidR="005D36BD">
        <w:rPr>
          <w:rFonts w:cs="TimesNewRoman"/>
        </w:rPr>
        <w:t xml:space="preserve"> </w:t>
      </w:r>
      <w:r w:rsidR="00B663EA" w:rsidRPr="00B663EA">
        <w:rPr>
          <w:rFonts w:cs="TimesNewRoman"/>
        </w:rPr>
        <w:t xml:space="preserve"> paged</w:t>
      </w:r>
      <w:r w:rsidR="005D36BD">
        <w:rPr>
          <w:rFonts w:cs="TimesNewRoman"/>
        </w:rPr>
        <w:t xml:space="preserve"> </w:t>
      </w:r>
      <w:r w:rsidR="00B663EA" w:rsidRPr="00B663EA">
        <w:rPr>
          <w:rFonts w:cs="TimesNewRoman"/>
        </w:rPr>
        <w:t>analytical report, excluding annexes, detailing key findings, good practices and clear recommendations. The report should be presented in English</w:t>
      </w:r>
      <w:r w:rsidR="00B663EA">
        <w:rPr>
          <w:rFonts w:cs="TimesNewRoman"/>
        </w:rPr>
        <w:t xml:space="preserve">. </w:t>
      </w:r>
      <w:r w:rsidR="00B663EA" w:rsidRPr="00B663EA">
        <w:rPr>
          <w:rFonts w:cs="TimesNewRoman"/>
        </w:rPr>
        <w:t>The Evaluation report format should meet with the standard Evaluation Report Template of the UNDP and quality Standards established</w:t>
      </w:r>
      <w:r w:rsidR="00B663EA">
        <w:rPr>
          <w:rStyle w:val="FootnoteReference"/>
          <w:rFonts w:cs="TimesNewRoman"/>
        </w:rPr>
        <w:footnoteReference w:id="7"/>
      </w:r>
    </w:p>
    <w:p w:rsidR="003B4B9D" w:rsidRPr="00B663EA" w:rsidRDefault="003B4B9D" w:rsidP="005A78AA">
      <w:pPr>
        <w:pStyle w:val="ListParagraph"/>
        <w:autoSpaceDE w:val="0"/>
        <w:autoSpaceDN w:val="0"/>
        <w:adjustRightInd w:val="0"/>
        <w:spacing w:after="0"/>
        <w:ind w:left="1080"/>
        <w:jc w:val="both"/>
        <w:rPr>
          <w:rFonts w:eastAsia="Calibri" w:cs="Times New Roman"/>
          <w:u w:val="single"/>
          <w:lang w:val="en-GB"/>
        </w:rPr>
      </w:pPr>
    </w:p>
    <w:p w:rsidR="002D519D" w:rsidRDefault="002D519D" w:rsidP="00DF181C">
      <w:pPr>
        <w:autoSpaceDE w:val="0"/>
        <w:autoSpaceDN w:val="0"/>
        <w:adjustRightInd w:val="0"/>
        <w:spacing w:after="0"/>
        <w:jc w:val="both"/>
        <w:rPr>
          <w:rFonts w:eastAsia="Calibri" w:cs="Times New Roman"/>
          <w:b/>
          <w:lang w:val="en-GB"/>
        </w:rPr>
      </w:pPr>
    </w:p>
    <w:p w:rsidR="002D519D" w:rsidRDefault="002D519D" w:rsidP="00DF181C">
      <w:pPr>
        <w:autoSpaceDE w:val="0"/>
        <w:autoSpaceDN w:val="0"/>
        <w:adjustRightInd w:val="0"/>
        <w:spacing w:after="0"/>
        <w:jc w:val="both"/>
        <w:rPr>
          <w:rFonts w:eastAsia="Calibri" w:cs="Times New Roman"/>
          <w:b/>
          <w:lang w:val="en-GB"/>
        </w:rPr>
      </w:pPr>
    </w:p>
    <w:p w:rsidR="00DF181C" w:rsidRDefault="00DF181C" w:rsidP="00DF181C">
      <w:pPr>
        <w:autoSpaceDE w:val="0"/>
        <w:autoSpaceDN w:val="0"/>
        <w:adjustRightInd w:val="0"/>
        <w:spacing w:after="0"/>
        <w:jc w:val="both"/>
        <w:rPr>
          <w:rFonts w:eastAsia="Calibri" w:cs="Times New Roman"/>
          <w:b/>
          <w:lang w:val="en-GB"/>
        </w:rPr>
      </w:pPr>
      <w:r w:rsidRPr="00DF181C">
        <w:rPr>
          <w:rFonts w:eastAsia="Calibri" w:cs="Times New Roman"/>
          <w:b/>
          <w:lang w:val="en-GB"/>
        </w:rPr>
        <w:t>Competencies of the Evaluation Team</w:t>
      </w:r>
    </w:p>
    <w:p w:rsidR="00FE3178" w:rsidRPr="00DF181C" w:rsidRDefault="00FE3178" w:rsidP="00DF181C">
      <w:pPr>
        <w:autoSpaceDE w:val="0"/>
        <w:autoSpaceDN w:val="0"/>
        <w:adjustRightInd w:val="0"/>
        <w:spacing w:after="0"/>
        <w:jc w:val="both"/>
        <w:rPr>
          <w:rFonts w:eastAsia="Calibri" w:cs="Times New Roman"/>
          <w:b/>
          <w:lang w:val="en-GB"/>
        </w:rPr>
      </w:pPr>
    </w:p>
    <w:p w:rsidR="00EE6092" w:rsidRDefault="00DF181C" w:rsidP="00DF181C">
      <w:pPr>
        <w:autoSpaceDE w:val="0"/>
        <w:autoSpaceDN w:val="0"/>
        <w:adjustRightInd w:val="0"/>
        <w:spacing w:after="0"/>
        <w:jc w:val="both"/>
        <w:rPr>
          <w:rFonts w:eastAsia="Calibri" w:cs="Times New Roman"/>
          <w:lang w:val="en-GB"/>
        </w:rPr>
      </w:pPr>
      <w:r w:rsidRPr="00DF181C">
        <w:rPr>
          <w:rFonts w:eastAsia="Calibri" w:cs="Times New Roman"/>
          <w:lang w:val="en-GB"/>
        </w:rPr>
        <w:t>The MTE team will consist of</w:t>
      </w:r>
      <w:r w:rsidR="00FE3178">
        <w:rPr>
          <w:rFonts w:eastAsia="Calibri" w:cs="Times New Roman"/>
          <w:lang w:val="en-GB"/>
        </w:rPr>
        <w:t xml:space="preserve"> a maximum of 2</w:t>
      </w:r>
      <w:r w:rsidRPr="00DF181C">
        <w:rPr>
          <w:rFonts w:eastAsia="Calibri" w:cs="Times New Roman"/>
          <w:lang w:val="en-GB"/>
        </w:rPr>
        <w:t xml:space="preserve"> consultants, who have the following competencies</w:t>
      </w:r>
      <w:r>
        <w:rPr>
          <w:rFonts w:eastAsia="Calibri" w:cs="Times New Roman"/>
          <w:lang w:val="en-GB"/>
        </w:rPr>
        <w:t xml:space="preserve">: </w:t>
      </w:r>
    </w:p>
    <w:p w:rsidR="00DF181C" w:rsidRDefault="00DF181C" w:rsidP="00DF181C">
      <w:pPr>
        <w:autoSpaceDE w:val="0"/>
        <w:autoSpaceDN w:val="0"/>
        <w:adjustRightInd w:val="0"/>
        <w:spacing w:after="0"/>
        <w:jc w:val="both"/>
        <w:rPr>
          <w:rFonts w:eastAsia="Calibri" w:cs="Times New Roman"/>
          <w:lang w:val="en-GB"/>
        </w:rPr>
      </w:pPr>
    </w:p>
    <w:p w:rsidR="00207ABE" w:rsidRPr="00207ABE" w:rsidRDefault="00207ABE" w:rsidP="00207ABE">
      <w:pPr>
        <w:autoSpaceDE w:val="0"/>
        <w:autoSpaceDN w:val="0"/>
        <w:adjustRightInd w:val="0"/>
        <w:spacing w:after="0"/>
        <w:jc w:val="both"/>
        <w:rPr>
          <w:rFonts w:eastAsia="Calibri" w:cs="Times New Roman"/>
          <w:lang w:val="en-GB"/>
        </w:rPr>
      </w:pPr>
      <w:r w:rsidRPr="00207ABE">
        <w:rPr>
          <w:rFonts w:eastAsia="Calibri" w:cs="Times New Roman"/>
          <w:lang w:val="en-GB"/>
        </w:rPr>
        <w:t>Advanced University Degree in Social Sciences (or other relevant field) with at least seven years proven experience in areas of planning, monitoring, evaluation, and analysis (for Team Leader: at least ten years experience)</w:t>
      </w:r>
    </w:p>
    <w:p w:rsidR="00207ABE" w:rsidRPr="00207ABE" w:rsidRDefault="00207ABE" w:rsidP="00207ABE">
      <w:pPr>
        <w:autoSpaceDE w:val="0"/>
        <w:autoSpaceDN w:val="0"/>
        <w:adjustRightInd w:val="0"/>
        <w:spacing w:after="0"/>
        <w:jc w:val="both"/>
        <w:rPr>
          <w:rFonts w:eastAsia="Calibri" w:cs="Times New Roman"/>
          <w:lang w:val="en-GB"/>
        </w:rPr>
      </w:pPr>
      <w:r w:rsidRPr="00207ABE">
        <w:rPr>
          <w:rFonts w:eastAsia="Calibri" w:cs="Times New Roman"/>
          <w:lang w:val="en-GB"/>
        </w:rPr>
        <w:t xml:space="preserve">Demonstrated cutting-edge technical planning and evaluation capacity </w:t>
      </w:r>
    </w:p>
    <w:p w:rsidR="00EE6092" w:rsidRPr="00207ABE" w:rsidRDefault="00127F51" w:rsidP="009F3CA0">
      <w:pPr>
        <w:autoSpaceDE w:val="0"/>
        <w:autoSpaceDN w:val="0"/>
        <w:adjustRightInd w:val="0"/>
        <w:spacing w:after="0"/>
        <w:jc w:val="both"/>
        <w:rPr>
          <w:b/>
          <w:lang w:val="en-GB"/>
        </w:rPr>
      </w:pPr>
      <w:r w:rsidRPr="00127F51">
        <w:rPr>
          <w:b/>
          <w:lang w:val="en-GB"/>
        </w:rPr>
        <w:t xml:space="preserve">Indicative Schedule </w:t>
      </w:r>
    </w:p>
    <w:p w:rsidR="00EE6092" w:rsidRPr="00A31047" w:rsidRDefault="00EE6092" w:rsidP="009F3CA0">
      <w:pPr>
        <w:numPr>
          <w:ilvl w:val="0"/>
          <w:numId w:val="13"/>
        </w:numPr>
        <w:tabs>
          <w:tab w:val="left" w:pos="426"/>
          <w:tab w:val="right" w:leader="dot" w:pos="7371"/>
        </w:tabs>
        <w:spacing w:after="0"/>
        <w:ind w:left="426" w:hanging="426"/>
        <w:jc w:val="both"/>
        <w:rPr>
          <w:rFonts w:eastAsia="Times New Roman"/>
          <w:lang w:eastAsia="fr-CA"/>
        </w:rPr>
      </w:pPr>
      <w:r w:rsidRPr="00A31047">
        <w:rPr>
          <w:rFonts w:eastAsia="Times New Roman"/>
          <w:color w:val="000000"/>
          <w:lang w:val="en-GB" w:eastAsia="fr-CA"/>
        </w:rPr>
        <w:t>Inception Report</w:t>
      </w:r>
      <w:r w:rsidRPr="00A31047">
        <w:rPr>
          <w:rFonts w:eastAsia="Times New Roman"/>
          <w:color w:val="000000"/>
          <w:lang w:val="en-GB" w:eastAsia="fr-CA"/>
        </w:rPr>
        <w:tab/>
        <w:t>05 days</w:t>
      </w:r>
      <w:r w:rsidRPr="00A31047">
        <w:rPr>
          <w:rFonts w:eastAsia="Times New Roman"/>
          <w:lang w:eastAsia="fr-CA"/>
        </w:rPr>
        <w:t xml:space="preserve"> </w:t>
      </w:r>
    </w:p>
    <w:p w:rsidR="007967B4" w:rsidRPr="00A31047" w:rsidRDefault="007967B4" w:rsidP="009F3CA0">
      <w:pPr>
        <w:numPr>
          <w:ilvl w:val="0"/>
          <w:numId w:val="13"/>
        </w:numPr>
        <w:tabs>
          <w:tab w:val="left" w:pos="426"/>
          <w:tab w:val="right" w:leader="dot" w:pos="7371"/>
        </w:tabs>
        <w:spacing w:after="0"/>
        <w:ind w:left="426" w:hanging="426"/>
        <w:jc w:val="both"/>
        <w:rPr>
          <w:rFonts w:eastAsia="Times New Roman"/>
          <w:lang w:eastAsia="fr-CA"/>
        </w:rPr>
      </w:pPr>
      <w:r w:rsidRPr="00A31047">
        <w:rPr>
          <w:rFonts w:eastAsia="Times New Roman"/>
          <w:lang w:eastAsia="fr-CA"/>
        </w:rPr>
        <w:t>Desk Review and Documentation Analysis……………………….………………...05 days</w:t>
      </w:r>
    </w:p>
    <w:p w:rsidR="00EE6092" w:rsidRPr="00A31047" w:rsidRDefault="00EE6092" w:rsidP="009F3CA0">
      <w:pPr>
        <w:numPr>
          <w:ilvl w:val="0"/>
          <w:numId w:val="13"/>
        </w:numPr>
        <w:tabs>
          <w:tab w:val="left" w:pos="426"/>
          <w:tab w:val="right" w:leader="dot" w:pos="7371"/>
        </w:tabs>
        <w:spacing w:after="0"/>
        <w:ind w:left="426" w:hanging="426"/>
        <w:jc w:val="both"/>
        <w:rPr>
          <w:rFonts w:eastAsia="Times New Roman"/>
          <w:lang w:eastAsia="fr-CA"/>
        </w:rPr>
      </w:pPr>
      <w:r w:rsidRPr="00A31047">
        <w:rPr>
          <w:rFonts w:eastAsia="Times New Roman"/>
          <w:color w:val="000000"/>
          <w:lang w:val="en-GB" w:eastAsia="fr-CA"/>
        </w:rPr>
        <w:t>Field Research</w:t>
      </w:r>
      <w:r w:rsidRPr="00A31047">
        <w:rPr>
          <w:rFonts w:eastAsia="Times New Roman"/>
          <w:color w:val="000000"/>
          <w:lang w:val="en-GB" w:eastAsia="fr-CA"/>
        </w:rPr>
        <w:tab/>
        <w:t>15 days</w:t>
      </w:r>
      <w:r w:rsidRPr="00A31047">
        <w:rPr>
          <w:rFonts w:eastAsia="Times New Roman"/>
          <w:lang w:eastAsia="fr-CA"/>
        </w:rPr>
        <w:t xml:space="preserve"> </w:t>
      </w:r>
    </w:p>
    <w:p w:rsidR="00EE6092" w:rsidRPr="00A31047" w:rsidRDefault="007967B4" w:rsidP="009F3CA0">
      <w:pPr>
        <w:numPr>
          <w:ilvl w:val="0"/>
          <w:numId w:val="13"/>
        </w:numPr>
        <w:tabs>
          <w:tab w:val="left" w:pos="426"/>
          <w:tab w:val="right" w:leader="dot" w:pos="7371"/>
        </w:tabs>
        <w:spacing w:after="0"/>
        <w:ind w:left="426" w:hanging="426"/>
        <w:jc w:val="both"/>
        <w:rPr>
          <w:rFonts w:eastAsia="Times New Roman"/>
          <w:lang w:eastAsia="fr-CA"/>
        </w:rPr>
      </w:pPr>
      <w:r w:rsidRPr="00A31047">
        <w:rPr>
          <w:rFonts w:eastAsia="Times New Roman"/>
          <w:color w:val="000000"/>
          <w:lang w:val="en-GB" w:eastAsia="fr-CA"/>
        </w:rPr>
        <w:t>D</w:t>
      </w:r>
      <w:r w:rsidR="00EE6092" w:rsidRPr="00A31047">
        <w:rPr>
          <w:rFonts w:eastAsia="Times New Roman"/>
          <w:color w:val="000000"/>
          <w:lang w:val="en-GB" w:eastAsia="fr-CA"/>
        </w:rPr>
        <w:t>raft evaluation report</w:t>
      </w:r>
      <w:r w:rsidR="00EE6092" w:rsidRPr="00A31047">
        <w:rPr>
          <w:rFonts w:eastAsia="Times New Roman"/>
          <w:color w:val="000000"/>
          <w:lang w:val="en-GB" w:eastAsia="fr-CA"/>
        </w:rPr>
        <w:tab/>
        <w:t>10 days</w:t>
      </w:r>
      <w:r w:rsidR="00EE6092" w:rsidRPr="00A31047">
        <w:rPr>
          <w:rFonts w:eastAsia="Times New Roman"/>
          <w:lang w:eastAsia="fr-CA"/>
        </w:rPr>
        <w:t xml:space="preserve"> </w:t>
      </w:r>
    </w:p>
    <w:p w:rsidR="00EE6092" w:rsidRPr="00A31047" w:rsidRDefault="007967B4" w:rsidP="009F3CA0">
      <w:pPr>
        <w:numPr>
          <w:ilvl w:val="0"/>
          <w:numId w:val="13"/>
        </w:numPr>
        <w:tabs>
          <w:tab w:val="left" w:pos="426"/>
          <w:tab w:val="right" w:leader="dot" w:pos="7371"/>
        </w:tabs>
        <w:spacing w:after="0"/>
        <w:ind w:left="426" w:hanging="426"/>
        <w:jc w:val="both"/>
        <w:rPr>
          <w:rFonts w:eastAsia="Times New Roman"/>
          <w:lang w:eastAsia="fr-CA"/>
        </w:rPr>
      </w:pPr>
      <w:r w:rsidRPr="00A31047">
        <w:rPr>
          <w:rFonts w:eastAsia="Times New Roman"/>
          <w:color w:val="000000"/>
          <w:lang w:val="en-GB" w:eastAsia="fr-CA"/>
        </w:rPr>
        <w:t>Final Report</w:t>
      </w:r>
      <w:r w:rsidR="00EE6092" w:rsidRPr="00A31047">
        <w:rPr>
          <w:rFonts w:eastAsia="Times New Roman"/>
          <w:color w:val="000000"/>
          <w:lang w:val="en-GB" w:eastAsia="fr-CA"/>
        </w:rPr>
        <w:tab/>
      </w:r>
      <w:r w:rsidR="001D236B">
        <w:rPr>
          <w:rFonts w:eastAsia="Times New Roman"/>
          <w:color w:val="000000"/>
          <w:lang w:val="en-GB" w:eastAsia="fr-CA"/>
        </w:rPr>
        <w:t>3</w:t>
      </w:r>
      <w:r w:rsidR="00EE6092" w:rsidRPr="00A31047">
        <w:rPr>
          <w:rFonts w:eastAsia="Times New Roman"/>
          <w:color w:val="000000"/>
          <w:lang w:val="en-GB" w:eastAsia="fr-CA"/>
        </w:rPr>
        <w:t xml:space="preserve"> days</w:t>
      </w:r>
      <w:r w:rsidR="00EE6092" w:rsidRPr="00A31047">
        <w:rPr>
          <w:rFonts w:eastAsia="Times New Roman"/>
          <w:lang w:eastAsia="fr-CA"/>
        </w:rPr>
        <w:t xml:space="preserve"> </w:t>
      </w:r>
    </w:p>
    <w:p w:rsidR="00FD5ADB" w:rsidRPr="00FD5ADB" w:rsidRDefault="00FD5ADB" w:rsidP="0071186A">
      <w:pPr>
        <w:autoSpaceDE w:val="0"/>
        <w:autoSpaceDN w:val="0"/>
        <w:adjustRightInd w:val="0"/>
        <w:spacing w:after="0"/>
        <w:jc w:val="both"/>
        <w:rPr>
          <w:rFonts w:eastAsia="Calibri" w:cs="Times New Roman"/>
          <w:lang w:val="en-GB"/>
        </w:rPr>
      </w:pPr>
    </w:p>
    <w:sectPr w:rsidR="00FD5ADB" w:rsidRPr="00FD5ADB" w:rsidSect="008C7F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C23" w:rsidRDefault="00761C23" w:rsidP="00F20E10">
      <w:pPr>
        <w:spacing w:after="0" w:line="240" w:lineRule="auto"/>
      </w:pPr>
      <w:r>
        <w:separator/>
      </w:r>
    </w:p>
  </w:endnote>
  <w:endnote w:type="continuationSeparator" w:id="0">
    <w:p w:rsidR="00761C23" w:rsidRDefault="00761C23" w:rsidP="00F20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Caslon-Regular">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C23" w:rsidRDefault="00761C23" w:rsidP="00F20E10">
      <w:pPr>
        <w:spacing w:after="0" w:line="240" w:lineRule="auto"/>
      </w:pPr>
      <w:r>
        <w:separator/>
      </w:r>
    </w:p>
  </w:footnote>
  <w:footnote w:type="continuationSeparator" w:id="0">
    <w:p w:rsidR="00761C23" w:rsidRDefault="00761C23" w:rsidP="00F20E10">
      <w:pPr>
        <w:spacing w:after="0" w:line="240" w:lineRule="auto"/>
      </w:pPr>
      <w:r>
        <w:continuationSeparator/>
      </w:r>
    </w:p>
  </w:footnote>
  <w:footnote w:id="1">
    <w:p w:rsidR="00374E62" w:rsidRPr="002D519D" w:rsidRDefault="00DC043A">
      <w:pPr>
        <w:pStyle w:val="FootnoteText"/>
        <w:rPr>
          <w:rFonts w:asciiTheme="minorHAnsi" w:hAnsiTheme="minorHAnsi" w:cstheme="minorHAnsi"/>
          <w:sz w:val="18"/>
          <w:szCs w:val="18"/>
        </w:rPr>
      </w:pPr>
      <w:r w:rsidRPr="002D519D">
        <w:rPr>
          <w:rStyle w:val="FootnoteReference"/>
          <w:rFonts w:asciiTheme="minorHAnsi" w:hAnsiTheme="minorHAnsi" w:cstheme="minorHAnsi"/>
          <w:sz w:val="18"/>
          <w:szCs w:val="18"/>
        </w:rPr>
        <w:footnoteRef/>
      </w:r>
      <w:r w:rsidRPr="002D519D">
        <w:rPr>
          <w:rFonts w:asciiTheme="minorHAnsi" w:hAnsiTheme="minorHAnsi" w:cstheme="minorHAnsi"/>
          <w:sz w:val="18"/>
          <w:szCs w:val="18"/>
        </w:rPr>
        <w:t xml:space="preserve"> http://www.undp.org/mdg/goal8.shtml</w:t>
      </w:r>
      <w:r w:rsidR="00374E62" w:rsidRPr="002D519D">
        <w:rPr>
          <w:rFonts w:asciiTheme="minorHAnsi" w:hAnsiTheme="minorHAnsi" w:cstheme="minorHAnsi"/>
          <w:sz w:val="18"/>
          <w:szCs w:val="18"/>
        </w:rPr>
        <w:t xml:space="preserve"> </w:t>
      </w:r>
    </w:p>
    <w:p w:rsidR="00DC043A" w:rsidRPr="002D519D" w:rsidRDefault="00C51C70">
      <w:pPr>
        <w:pStyle w:val="FootnoteText"/>
        <w:rPr>
          <w:rFonts w:asciiTheme="minorHAnsi" w:hAnsiTheme="minorHAnsi" w:cstheme="minorHAnsi"/>
          <w:sz w:val="18"/>
          <w:szCs w:val="18"/>
        </w:rPr>
      </w:pPr>
      <w:r w:rsidRPr="002D519D">
        <w:rPr>
          <w:rFonts w:asciiTheme="minorHAnsi" w:hAnsiTheme="minorHAnsi" w:cstheme="minorHAnsi"/>
          <w:sz w:val="18"/>
          <w:szCs w:val="18"/>
        </w:rPr>
        <w:t>SIDS volatile</w:t>
      </w:r>
      <w:r w:rsidR="00374E62" w:rsidRPr="002D519D">
        <w:rPr>
          <w:rFonts w:asciiTheme="minorHAnsi" w:hAnsiTheme="minorHAnsi" w:cstheme="minorHAnsi"/>
          <w:sz w:val="18"/>
          <w:szCs w:val="18"/>
        </w:rPr>
        <w:t xml:space="preserve"> economic growth; limited natural resources and a limited highly specialized export structure</w:t>
      </w:r>
      <w:r w:rsidRPr="002D519D">
        <w:rPr>
          <w:rFonts w:asciiTheme="minorHAnsi" w:hAnsiTheme="minorHAnsi" w:cstheme="minorHAnsi"/>
          <w:sz w:val="18"/>
          <w:szCs w:val="18"/>
        </w:rPr>
        <w:t>; narrowly</w:t>
      </w:r>
      <w:r w:rsidR="00374E62" w:rsidRPr="002D519D">
        <w:rPr>
          <w:rFonts w:asciiTheme="minorHAnsi" w:hAnsiTheme="minorHAnsi" w:cstheme="minorHAnsi"/>
          <w:sz w:val="18"/>
          <w:szCs w:val="18"/>
        </w:rPr>
        <w:t xml:space="preserve"> defined economies of scale; high transport costs; single sector dependency i.e. tourism, agriculture, financial services as well as on remittances as important sources of foreign exchange have been compounded, in recent years, with a high degree of vulnerability to recurrent </w:t>
      </w:r>
      <w:r w:rsidRPr="002D519D">
        <w:rPr>
          <w:rFonts w:asciiTheme="minorHAnsi" w:hAnsiTheme="minorHAnsi" w:cstheme="minorHAnsi"/>
          <w:sz w:val="18"/>
          <w:szCs w:val="18"/>
        </w:rPr>
        <w:t>natural hazards</w:t>
      </w:r>
      <w:r w:rsidR="00374E62" w:rsidRPr="002D519D">
        <w:rPr>
          <w:rFonts w:asciiTheme="minorHAnsi" w:hAnsiTheme="minorHAnsi" w:cstheme="minorHAnsi"/>
          <w:sz w:val="18"/>
          <w:szCs w:val="18"/>
        </w:rPr>
        <w:t xml:space="preserve"> such as hurricanes, flooding and climate change linked disaster events.</w:t>
      </w:r>
    </w:p>
  </w:footnote>
  <w:footnote w:id="2">
    <w:p w:rsidR="00D9141B" w:rsidRPr="002D519D" w:rsidRDefault="00600DCD" w:rsidP="00D9141B">
      <w:pPr>
        <w:pStyle w:val="FootnoteText"/>
        <w:rPr>
          <w:rFonts w:asciiTheme="minorHAnsi" w:hAnsiTheme="minorHAnsi" w:cstheme="minorHAnsi"/>
          <w:b/>
          <w:sz w:val="18"/>
          <w:szCs w:val="18"/>
        </w:rPr>
      </w:pPr>
      <w:r w:rsidRPr="002D519D">
        <w:rPr>
          <w:rStyle w:val="FootnoteReference"/>
          <w:rFonts w:asciiTheme="minorHAnsi" w:hAnsiTheme="minorHAnsi" w:cstheme="minorHAnsi"/>
          <w:sz w:val="18"/>
          <w:szCs w:val="18"/>
        </w:rPr>
        <w:footnoteRef/>
      </w:r>
      <w:r w:rsidRPr="002D519D">
        <w:rPr>
          <w:rFonts w:asciiTheme="minorHAnsi" w:hAnsiTheme="minorHAnsi" w:cstheme="minorHAnsi"/>
          <w:sz w:val="18"/>
          <w:szCs w:val="18"/>
        </w:rPr>
        <w:t xml:space="preserve"> From a UNDP perspective, social protection is relevant because it supports the sustainability of development achievements and it addresses several of the dimensions of human development (education, gender, health, etc.).  It helps reduce vulnerabilities for households in poverty or hovering just above the poverty line by providing access to coping mechanisms that do not affect their future income generation. It can be a powerful mechanism for reducing inequalities, both in the short and longer term. Furthermore, supporting social protection can contribute towards the achievement of UNDP strategic Plan 2008-2011 outcome 1 “MDG-based national development strategies that promote growth and employment, and reduce economic, gender and social inequalities” and the following elements of the Global Programme 2009-2011: ‘Poverty eradication and achievement ‘of internationally-agreed development goals, including the Millennium Development Goals' ; ‘UNDP’s strategic response to challenges that threaten the achievement of the Millennium Development Goals’ .</w:t>
      </w:r>
      <w:r w:rsidR="00D9141B" w:rsidRPr="002D519D">
        <w:rPr>
          <w:rFonts w:asciiTheme="minorHAnsi" w:hAnsiTheme="minorHAnsi" w:cstheme="minorHAnsi"/>
          <w:sz w:val="18"/>
          <w:szCs w:val="18"/>
        </w:rPr>
        <w:t xml:space="preserve"> </w:t>
      </w:r>
      <w:r w:rsidR="00D9141B" w:rsidRPr="002D519D">
        <w:rPr>
          <w:rFonts w:asciiTheme="minorHAnsi" w:hAnsiTheme="minorHAnsi" w:cstheme="minorHAnsi"/>
          <w:b/>
          <w:sz w:val="18"/>
          <w:szCs w:val="18"/>
        </w:rPr>
        <w:t xml:space="preserve">October 2011  Concept note - Social Protection Component of the Global Programme </w:t>
      </w:r>
    </w:p>
    <w:p w:rsidR="00D9141B" w:rsidRPr="00D9141B" w:rsidRDefault="00D9141B" w:rsidP="00D9141B">
      <w:pPr>
        <w:pStyle w:val="FootnoteText"/>
        <w:rPr>
          <w:sz w:val="20"/>
        </w:rPr>
      </w:pPr>
    </w:p>
    <w:p w:rsidR="00D9141B" w:rsidRPr="00D9141B" w:rsidRDefault="00D9141B" w:rsidP="00D9141B">
      <w:pPr>
        <w:pStyle w:val="FootnoteText"/>
        <w:rPr>
          <w:sz w:val="20"/>
        </w:rPr>
      </w:pPr>
    </w:p>
    <w:p w:rsidR="00600DCD" w:rsidRPr="00600DCD" w:rsidRDefault="00600DCD" w:rsidP="00D9141B">
      <w:pPr>
        <w:pStyle w:val="FootnoteText"/>
        <w:rPr>
          <w:sz w:val="20"/>
        </w:rPr>
      </w:pPr>
    </w:p>
  </w:footnote>
  <w:footnote w:id="3">
    <w:p w:rsidR="00845470" w:rsidRPr="00845470" w:rsidRDefault="00845470">
      <w:pPr>
        <w:pStyle w:val="FootnoteText"/>
      </w:pPr>
      <w:r>
        <w:rPr>
          <w:rStyle w:val="FootnoteReference"/>
        </w:rPr>
        <w:footnoteRef/>
      </w:r>
      <w:r>
        <w:t xml:space="preserve"> </w:t>
      </w:r>
      <w:r w:rsidRPr="00FE3178">
        <w:rPr>
          <w:rFonts w:asciiTheme="minorHAnsi" w:hAnsiTheme="minorHAnsi"/>
          <w:sz w:val="20"/>
        </w:rPr>
        <w:t>The evaluation should address the proposed evaluation questions, but not necessarily limit to them.</w:t>
      </w:r>
      <w:r>
        <w:t xml:space="preserve"> </w:t>
      </w:r>
    </w:p>
  </w:footnote>
  <w:footnote w:id="4">
    <w:p w:rsidR="00BE7A8C" w:rsidRPr="0029718C" w:rsidRDefault="00BE7A8C" w:rsidP="00BE7A8C">
      <w:pPr>
        <w:pStyle w:val="FootnoteText"/>
        <w:rPr>
          <w:rFonts w:asciiTheme="minorHAnsi" w:hAnsiTheme="minorHAnsi"/>
          <w:sz w:val="20"/>
        </w:rPr>
      </w:pPr>
      <w:r w:rsidRPr="0029718C">
        <w:rPr>
          <w:rStyle w:val="FootnoteReference"/>
          <w:rFonts w:asciiTheme="minorHAnsi" w:hAnsiTheme="minorHAnsi"/>
          <w:sz w:val="20"/>
        </w:rPr>
        <w:footnoteRef/>
      </w:r>
      <w:r w:rsidRPr="0029718C">
        <w:rPr>
          <w:rFonts w:asciiTheme="minorHAnsi" w:hAnsiTheme="minorHAnsi"/>
          <w:sz w:val="20"/>
        </w:rPr>
        <w:t xml:space="preserve"> Is the mode of delivery of technical assistance appropriate and best use of resources</w:t>
      </w:r>
    </w:p>
  </w:footnote>
  <w:footnote w:id="5">
    <w:p w:rsidR="004F49C4" w:rsidRPr="0029718C" w:rsidRDefault="004F49C4">
      <w:pPr>
        <w:pStyle w:val="FootnoteText"/>
        <w:rPr>
          <w:rFonts w:asciiTheme="minorHAnsi" w:hAnsiTheme="minorHAnsi"/>
          <w:sz w:val="20"/>
        </w:rPr>
      </w:pPr>
      <w:r w:rsidRPr="0029718C">
        <w:rPr>
          <w:rStyle w:val="FootnoteReference"/>
          <w:rFonts w:asciiTheme="minorHAnsi" w:hAnsiTheme="minorHAnsi"/>
          <w:sz w:val="20"/>
        </w:rPr>
        <w:footnoteRef/>
      </w:r>
      <w:r w:rsidRPr="0029718C">
        <w:rPr>
          <w:rFonts w:asciiTheme="minorHAnsi" w:hAnsiTheme="minorHAnsi"/>
          <w:sz w:val="20"/>
        </w:rPr>
        <w:t xml:space="preserve"> </w:t>
      </w:r>
      <w:hyperlink r:id="rId1" w:history="1">
        <w:r w:rsidR="0029718C" w:rsidRPr="0029718C">
          <w:rPr>
            <w:rStyle w:val="Hyperlink"/>
            <w:rFonts w:asciiTheme="minorHAnsi" w:hAnsiTheme="minorHAnsi"/>
            <w:sz w:val="20"/>
          </w:rPr>
          <w:t>http://erc.undp.org/evaluationadmin/manageevaluation/viewevaluationdetail.html?evalid=4150</w:t>
        </w:r>
      </w:hyperlink>
      <w:r w:rsidR="0029718C" w:rsidRPr="0029718C">
        <w:rPr>
          <w:rFonts w:asciiTheme="minorHAnsi" w:hAnsiTheme="minorHAnsi"/>
          <w:sz w:val="20"/>
        </w:rPr>
        <w:t xml:space="preserve"> </w:t>
      </w:r>
    </w:p>
  </w:footnote>
  <w:footnote w:id="6">
    <w:p w:rsidR="002D519D" w:rsidRPr="002D519D" w:rsidRDefault="002D519D">
      <w:pPr>
        <w:pStyle w:val="FootnoteText"/>
        <w:rPr>
          <w:rFonts w:asciiTheme="minorHAnsi" w:hAnsiTheme="minorHAnsi" w:cstheme="minorHAnsi"/>
          <w:sz w:val="18"/>
          <w:szCs w:val="18"/>
        </w:rPr>
      </w:pPr>
      <w:r w:rsidRPr="002D519D">
        <w:rPr>
          <w:rStyle w:val="FootnoteReference"/>
          <w:rFonts w:asciiTheme="minorHAnsi" w:hAnsiTheme="minorHAnsi" w:cstheme="minorHAnsi"/>
          <w:sz w:val="18"/>
          <w:szCs w:val="18"/>
        </w:rPr>
        <w:footnoteRef/>
      </w:r>
      <w:r w:rsidRPr="002D519D">
        <w:rPr>
          <w:rFonts w:asciiTheme="minorHAnsi" w:hAnsiTheme="minorHAnsi" w:cstheme="minorHAnsi"/>
          <w:sz w:val="18"/>
          <w:szCs w:val="18"/>
        </w:rPr>
        <w:t xml:space="preserve"> UNDP Handbook, P172</w:t>
      </w:r>
    </w:p>
  </w:footnote>
  <w:footnote w:id="7">
    <w:p w:rsidR="00B663EA" w:rsidRPr="002D519D" w:rsidRDefault="00B663EA" w:rsidP="00B663EA">
      <w:pPr>
        <w:pStyle w:val="FootnoteText"/>
        <w:rPr>
          <w:rFonts w:asciiTheme="minorHAnsi" w:hAnsiTheme="minorHAnsi" w:cstheme="minorHAnsi"/>
          <w:sz w:val="18"/>
          <w:szCs w:val="18"/>
        </w:rPr>
      </w:pPr>
      <w:r w:rsidRPr="002D519D">
        <w:rPr>
          <w:rStyle w:val="FootnoteReference"/>
          <w:rFonts w:asciiTheme="minorHAnsi" w:hAnsiTheme="minorHAnsi" w:cstheme="minorHAnsi"/>
          <w:sz w:val="18"/>
          <w:szCs w:val="18"/>
        </w:rPr>
        <w:footnoteRef/>
      </w:r>
      <w:r w:rsidRPr="002D519D">
        <w:rPr>
          <w:rFonts w:asciiTheme="minorHAnsi" w:hAnsiTheme="minorHAnsi" w:cstheme="minorHAnsi"/>
          <w:sz w:val="18"/>
          <w:szCs w:val="18"/>
        </w:rPr>
        <w:t xml:space="preserve"> Annex 7 of the UNDP Handbook (2009), and  UNEG Quality Checklist for Evaluation Reports  UNEG/G(2010)/2</w:t>
      </w:r>
    </w:p>
    <w:p w:rsidR="00B663EA" w:rsidRPr="00B663EA" w:rsidRDefault="00B663E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6CA4"/>
    <w:multiLevelType w:val="hybridMultilevel"/>
    <w:tmpl w:val="337EB0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AB7FC9"/>
    <w:multiLevelType w:val="multilevel"/>
    <w:tmpl w:val="E1B2F9A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2">
    <w:nsid w:val="14024AC2"/>
    <w:multiLevelType w:val="hybridMultilevel"/>
    <w:tmpl w:val="B502886E"/>
    <w:lvl w:ilvl="0" w:tplc="B7167004">
      <w:start w:val="1"/>
      <w:numFmt w:val="bullet"/>
      <w:lvlText w:val="-"/>
      <w:lvlJc w:val="left"/>
      <w:pPr>
        <w:ind w:left="720" w:hanging="360"/>
      </w:pPr>
      <w:rPr>
        <w:rFonts w:ascii="Tahoma" w:eastAsiaTheme="minorHAnsi" w:hAnsi="Tahoma"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C05C9F"/>
    <w:multiLevelType w:val="hybridMultilevel"/>
    <w:tmpl w:val="F604A9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093986"/>
    <w:multiLevelType w:val="hybridMultilevel"/>
    <w:tmpl w:val="09263C4C"/>
    <w:lvl w:ilvl="0" w:tplc="A552D826">
      <w:start w:val="1"/>
      <w:numFmt w:val="decimal"/>
      <w:lvlText w:val="%1."/>
      <w:lvlJc w:val="left"/>
      <w:pPr>
        <w:ind w:left="1080" w:hanging="360"/>
      </w:pPr>
      <w:rPr>
        <w:rFonts w:eastAsia="Calibri"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EB763A"/>
    <w:multiLevelType w:val="hybridMultilevel"/>
    <w:tmpl w:val="2156476C"/>
    <w:lvl w:ilvl="0" w:tplc="65AE19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E42405"/>
    <w:multiLevelType w:val="hybridMultilevel"/>
    <w:tmpl w:val="3E665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C13FDC"/>
    <w:multiLevelType w:val="hybridMultilevel"/>
    <w:tmpl w:val="2D687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326703C"/>
    <w:multiLevelType w:val="hybridMultilevel"/>
    <w:tmpl w:val="CD28FEF2"/>
    <w:lvl w:ilvl="0" w:tplc="63729E20">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CD4E37"/>
    <w:multiLevelType w:val="hybridMultilevel"/>
    <w:tmpl w:val="BFCEDBD4"/>
    <w:lvl w:ilvl="0" w:tplc="F4342B7C">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7566AC"/>
    <w:multiLevelType w:val="hybridMultilevel"/>
    <w:tmpl w:val="5206329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nsid w:val="40815AFA"/>
    <w:multiLevelType w:val="hybridMultilevel"/>
    <w:tmpl w:val="31FC1170"/>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F10AD1"/>
    <w:multiLevelType w:val="hybridMultilevel"/>
    <w:tmpl w:val="B51461DE"/>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D15686B"/>
    <w:multiLevelType w:val="hybridMultilevel"/>
    <w:tmpl w:val="137A7D72"/>
    <w:lvl w:ilvl="0" w:tplc="82682E28">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nsid w:val="53616C6A"/>
    <w:multiLevelType w:val="hybridMultilevel"/>
    <w:tmpl w:val="23D6136A"/>
    <w:lvl w:ilvl="0" w:tplc="4530B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7B211A7"/>
    <w:multiLevelType w:val="hybridMultilevel"/>
    <w:tmpl w:val="2E20DD66"/>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7EF39E4"/>
    <w:multiLevelType w:val="hybridMultilevel"/>
    <w:tmpl w:val="A1B2C544"/>
    <w:lvl w:ilvl="0" w:tplc="F328D56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F03B8D"/>
    <w:multiLevelType w:val="hybridMultilevel"/>
    <w:tmpl w:val="83467BC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C2B2B60"/>
    <w:multiLevelType w:val="hybridMultilevel"/>
    <w:tmpl w:val="E294F6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DB7A55"/>
    <w:multiLevelType w:val="hybridMultilevel"/>
    <w:tmpl w:val="E294F6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3B69EF"/>
    <w:multiLevelType w:val="hybridMultilevel"/>
    <w:tmpl w:val="83002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94150C"/>
    <w:multiLevelType w:val="hybridMultilevel"/>
    <w:tmpl w:val="25FEF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8763205"/>
    <w:multiLevelType w:val="hybridMultilevel"/>
    <w:tmpl w:val="949CB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7829F0"/>
    <w:multiLevelType w:val="hybridMultilevel"/>
    <w:tmpl w:val="491C2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6"/>
  </w:num>
  <w:num w:numId="4">
    <w:abstractNumId w:val="20"/>
  </w:num>
  <w:num w:numId="5">
    <w:abstractNumId w:val="11"/>
  </w:num>
  <w:num w:numId="6">
    <w:abstractNumId w:val="1"/>
  </w:num>
  <w:num w:numId="7">
    <w:abstractNumId w:val="19"/>
  </w:num>
  <w:num w:numId="8">
    <w:abstractNumId w:val="18"/>
  </w:num>
  <w:num w:numId="9">
    <w:abstractNumId w:val="23"/>
  </w:num>
  <w:num w:numId="10">
    <w:abstractNumId w:val="22"/>
  </w:num>
  <w:num w:numId="11">
    <w:abstractNumId w:val="3"/>
  </w:num>
  <w:num w:numId="12">
    <w:abstractNumId w:val="7"/>
  </w:num>
  <w:num w:numId="13">
    <w:abstractNumId w:val="10"/>
  </w:num>
  <w:num w:numId="14">
    <w:abstractNumId w:val="0"/>
  </w:num>
  <w:num w:numId="15">
    <w:abstractNumId w:val="13"/>
  </w:num>
  <w:num w:numId="16">
    <w:abstractNumId w:val="16"/>
  </w:num>
  <w:num w:numId="17">
    <w:abstractNumId w:val="2"/>
  </w:num>
  <w:num w:numId="18">
    <w:abstractNumId w:val="5"/>
  </w:num>
  <w:num w:numId="19">
    <w:abstractNumId w:val="8"/>
  </w:num>
  <w:num w:numId="20">
    <w:abstractNumId w:val="1"/>
  </w:num>
  <w:num w:numId="21">
    <w:abstractNumId w:val="15"/>
  </w:num>
  <w:num w:numId="22">
    <w:abstractNumId w:val="12"/>
  </w:num>
  <w:num w:numId="23">
    <w:abstractNumId w:val="21"/>
  </w:num>
  <w:num w:numId="24">
    <w:abstractNumId w:val="4"/>
  </w:num>
  <w:num w:numId="25">
    <w:abstractNumId w:val="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10"/>
    <w:rsid w:val="0000327D"/>
    <w:rsid w:val="00070477"/>
    <w:rsid w:val="000A7748"/>
    <w:rsid w:val="000B1E5F"/>
    <w:rsid w:val="000C6798"/>
    <w:rsid w:val="000D3A9C"/>
    <w:rsid w:val="000E6372"/>
    <w:rsid w:val="00121075"/>
    <w:rsid w:val="001262DA"/>
    <w:rsid w:val="00127F51"/>
    <w:rsid w:val="00131223"/>
    <w:rsid w:val="00142B95"/>
    <w:rsid w:val="0014373E"/>
    <w:rsid w:val="0015228B"/>
    <w:rsid w:val="00164DDF"/>
    <w:rsid w:val="001A6D64"/>
    <w:rsid w:val="001B313A"/>
    <w:rsid w:val="001B6B11"/>
    <w:rsid w:val="001D236B"/>
    <w:rsid w:val="001E05C2"/>
    <w:rsid w:val="001E4259"/>
    <w:rsid w:val="001F51C4"/>
    <w:rsid w:val="0020003C"/>
    <w:rsid w:val="0020022D"/>
    <w:rsid w:val="00204656"/>
    <w:rsid w:val="00207ABE"/>
    <w:rsid w:val="00233856"/>
    <w:rsid w:val="002423C4"/>
    <w:rsid w:val="002439CC"/>
    <w:rsid w:val="00293AD7"/>
    <w:rsid w:val="0029718C"/>
    <w:rsid w:val="002A531C"/>
    <w:rsid w:val="002A6EB1"/>
    <w:rsid w:val="002D519D"/>
    <w:rsid w:val="002D7DEA"/>
    <w:rsid w:val="002E3230"/>
    <w:rsid w:val="00311BE7"/>
    <w:rsid w:val="00321F49"/>
    <w:rsid w:val="00325834"/>
    <w:rsid w:val="00342A7B"/>
    <w:rsid w:val="00347F64"/>
    <w:rsid w:val="00354B3C"/>
    <w:rsid w:val="00363584"/>
    <w:rsid w:val="00374E62"/>
    <w:rsid w:val="00392E85"/>
    <w:rsid w:val="00395A2A"/>
    <w:rsid w:val="003A22AC"/>
    <w:rsid w:val="003B3442"/>
    <w:rsid w:val="003B4B9D"/>
    <w:rsid w:val="003B55DB"/>
    <w:rsid w:val="003C6A75"/>
    <w:rsid w:val="003E42FD"/>
    <w:rsid w:val="003F1EBB"/>
    <w:rsid w:val="003F50F1"/>
    <w:rsid w:val="004025DF"/>
    <w:rsid w:val="00405F27"/>
    <w:rsid w:val="00410E33"/>
    <w:rsid w:val="0041264B"/>
    <w:rsid w:val="004305D4"/>
    <w:rsid w:val="00455E81"/>
    <w:rsid w:val="00463072"/>
    <w:rsid w:val="00486BFE"/>
    <w:rsid w:val="004B71E4"/>
    <w:rsid w:val="004C12E6"/>
    <w:rsid w:val="004E640B"/>
    <w:rsid w:val="004F49C4"/>
    <w:rsid w:val="005013B1"/>
    <w:rsid w:val="0050247B"/>
    <w:rsid w:val="00523E6D"/>
    <w:rsid w:val="00526B8F"/>
    <w:rsid w:val="00550EB6"/>
    <w:rsid w:val="00563415"/>
    <w:rsid w:val="00563CAF"/>
    <w:rsid w:val="00591686"/>
    <w:rsid w:val="005975F4"/>
    <w:rsid w:val="005A78AA"/>
    <w:rsid w:val="005B4871"/>
    <w:rsid w:val="005B7B16"/>
    <w:rsid w:val="005C0AD1"/>
    <w:rsid w:val="005C6448"/>
    <w:rsid w:val="005D36BD"/>
    <w:rsid w:val="005E210D"/>
    <w:rsid w:val="00600427"/>
    <w:rsid w:val="00600DCD"/>
    <w:rsid w:val="00604475"/>
    <w:rsid w:val="0060450A"/>
    <w:rsid w:val="006064B0"/>
    <w:rsid w:val="00621F2E"/>
    <w:rsid w:val="00641ED7"/>
    <w:rsid w:val="0065089A"/>
    <w:rsid w:val="006C1A61"/>
    <w:rsid w:val="006C5296"/>
    <w:rsid w:val="006E09D9"/>
    <w:rsid w:val="006E35CA"/>
    <w:rsid w:val="0071186A"/>
    <w:rsid w:val="00735C17"/>
    <w:rsid w:val="00761C23"/>
    <w:rsid w:val="00762B3F"/>
    <w:rsid w:val="0078194D"/>
    <w:rsid w:val="007831E2"/>
    <w:rsid w:val="007967B4"/>
    <w:rsid w:val="007C2321"/>
    <w:rsid w:val="007C51CC"/>
    <w:rsid w:val="007E3674"/>
    <w:rsid w:val="0081129C"/>
    <w:rsid w:val="00845470"/>
    <w:rsid w:val="00847BFF"/>
    <w:rsid w:val="00856EFD"/>
    <w:rsid w:val="0086268C"/>
    <w:rsid w:val="00863500"/>
    <w:rsid w:val="0086355B"/>
    <w:rsid w:val="00873103"/>
    <w:rsid w:val="00881DE1"/>
    <w:rsid w:val="008B5F54"/>
    <w:rsid w:val="008C7F31"/>
    <w:rsid w:val="008F3D5B"/>
    <w:rsid w:val="0090260F"/>
    <w:rsid w:val="009061E3"/>
    <w:rsid w:val="00931914"/>
    <w:rsid w:val="009329B9"/>
    <w:rsid w:val="009374BF"/>
    <w:rsid w:val="00944FB1"/>
    <w:rsid w:val="009458A6"/>
    <w:rsid w:val="00957203"/>
    <w:rsid w:val="00964FE6"/>
    <w:rsid w:val="009849D4"/>
    <w:rsid w:val="0098602F"/>
    <w:rsid w:val="009902BC"/>
    <w:rsid w:val="009B29CF"/>
    <w:rsid w:val="009B7A57"/>
    <w:rsid w:val="009F3CA0"/>
    <w:rsid w:val="00A14018"/>
    <w:rsid w:val="00A263C4"/>
    <w:rsid w:val="00A30B9A"/>
    <w:rsid w:val="00A31047"/>
    <w:rsid w:val="00A33DA1"/>
    <w:rsid w:val="00A4751B"/>
    <w:rsid w:val="00A669DF"/>
    <w:rsid w:val="00A8745F"/>
    <w:rsid w:val="00A95D81"/>
    <w:rsid w:val="00AE1F29"/>
    <w:rsid w:val="00AE7EB1"/>
    <w:rsid w:val="00AF1D8B"/>
    <w:rsid w:val="00AF403F"/>
    <w:rsid w:val="00B006F5"/>
    <w:rsid w:val="00B10EEE"/>
    <w:rsid w:val="00B17464"/>
    <w:rsid w:val="00B3559D"/>
    <w:rsid w:val="00B44D34"/>
    <w:rsid w:val="00B46601"/>
    <w:rsid w:val="00B46F18"/>
    <w:rsid w:val="00B663EA"/>
    <w:rsid w:val="00B73F69"/>
    <w:rsid w:val="00B8616B"/>
    <w:rsid w:val="00BA48A1"/>
    <w:rsid w:val="00BC4AC5"/>
    <w:rsid w:val="00BD4B9A"/>
    <w:rsid w:val="00BD78DF"/>
    <w:rsid w:val="00BE7A8C"/>
    <w:rsid w:val="00BE7E00"/>
    <w:rsid w:val="00C045FE"/>
    <w:rsid w:val="00C06A23"/>
    <w:rsid w:val="00C06A88"/>
    <w:rsid w:val="00C249A0"/>
    <w:rsid w:val="00C33C4E"/>
    <w:rsid w:val="00C51C70"/>
    <w:rsid w:val="00C56A5B"/>
    <w:rsid w:val="00C56F01"/>
    <w:rsid w:val="00C70E0B"/>
    <w:rsid w:val="00C82471"/>
    <w:rsid w:val="00CA78B9"/>
    <w:rsid w:val="00CB2D94"/>
    <w:rsid w:val="00CB4BF3"/>
    <w:rsid w:val="00CC5F72"/>
    <w:rsid w:val="00CD2F43"/>
    <w:rsid w:val="00CF3CA6"/>
    <w:rsid w:val="00CF590B"/>
    <w:rsid w:val="00D06159"/>
    <w:rsid w:val="00D14B54"/>
    <w:rsid w:val="00D32798"/>
    <w:rsid w:val="00D37EAE"/>
    <w:rsid w:val="00D45313"/>
    <w:rsid w:val="00D529A9"/>
    <w:rsid w:val="00D74D68"/>
    <w:rsid w:val="00D82EF3"/>
    <w:rsid w:val="00D83257"/>
    <w:rsid w:val="00D9141B"/>
    <w:rsid w:val="00DC043A"/>
    <w:rsid w:val="00DC2F1D"/>
    <w:rsid w:val="00DF181C"/>
    <w:rsid w:val="00DF6741"/>
    <w:rsid w:val="00E10DF5"/>
    <w:rsid w:val="00E15AA3"/>
    <w:rsid w:val="00E43738"/>
    <w:rsid w:val="00E71CE0"/>
    <w:rsid w:val="00E87D74"/>
    <w:rsid w:val="00E9639A"/>
    <w:rsid w:val="00EB433C"/>
    <w:rsid w:val="00EB5319"/>
    <w:rsid w:val="00EB765B"/>
    <w:rsid w:val="00EC407D"/>
    <w:rsid w:val="00ED41FB"/>
    <w:rsid w:val="00ED7E6E"/>
    <w:rsid w:val="00EE6092"/>
    <w:rsid w:val="00EF6D73"/>
    <w:rsid w:val="00F06D8B"/>
    <w:rsid w:val="00F20E10"/>
    <w:rsid w:val="00F21FC2"/>
    <w:rsid w:val="00F26061"/>
    <w:rsid w:val="00F54810"/>
    <w:rsid w:val="00FC7555"/>
    <w:rsid w:val="00FD5ADB"/>
    <w:rsid w:val="00FE3178"/>
    <w:rsid w:val="00FE3CC2"/>
    <w:rsid w:val="00FF0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20E10"/>
    <w:pPr>
      <w:spacing w:after="240" w:line="240" w:lineRule="auto"/>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semiHidden/>
    <w:rsid w:val="00F20E10"/>
    <w:rPr>
      <w:rFonts w:ascii="Times New Roman" w:eastAsia="Times New Roman" w:hAnsi="Times New Roman" w:cs="Times New Roman"/>
      <w:sz w:val="24"/>
      <w:szCs w:val="20"/>
    </w:rPr>
  </w:style>
  <w:style w:type="character" w:styleId="FootnoteReference">
    <w:name w:val="footnote reference"/>
    <w:basedOn w:val="DefaultParagraphFont"/>
    <w:semiHidden/>
    <w:rsid w:val="00F20E10"/>
    <w:rPr>
      <w:vertAlign w:val="superscript"/>
    </w:rPr>
  </w:style>
  <w:style w:type="paragraph" w:styleId="ListParagraph">
    <w:name w:val="List Paragraph"/>
    <w:basedOn w:val="Normal"/>
    <w:uiPriority w:val="34"/>
    <w:qFormat/>
    <w:rsid w:val="009902BC"/>
    <w:pPr>
      <w:ind w:left="720"/>
      <w:contextualSpacing/>
    </w:pPr>
  </w:style>
  <w:style w:type="paragraph" w:customStyle="1" w:styleId="Chapter">
    <w:name w:val="Chapter"/>
    <w:basedOn w:val="Normal"/>
    <w:next w:val="Normal"/>
    <w:rsid w:val="004B71E4"/>
    <w:pPr>
      <w:numPr>
        <w:numId w:val="6"/>
      </w:numPr>
      <w:tabs>
        <w:tab w:val="left" w:pos="1440"/>
      </w:tabs>
      <w:spacing w:after="240" w:line="240" w:lineRule="auto"/>
      <w:jc w:val="center"/>
    </w:pPr>
    <w:rPr>
      <w:rFonts w:ascii="Times New Roman" w:eastAsia="Times New Roman" w:hAnsi="Times New Roman" w:cs="Times New Roman"/>
      <w:b/>
      <w:smallCaps/>
      <w:noProof/>
      <w:sz w:val="24"/>
      <w:szCs w:val="20"/>
    </w:rPr>
  </w:style>
  <w:style w:type="paragraph" w:customStyle="1" w:styleId="Paragraph">
    <w:name w:val="Paragraph"/>
    <w:basedOn w:val="BodyTextIndent"/>
    <w:rsid w:val="004B71E4"/>
    <w:pPr>
      <w:numPr>
        <w:ilvl w:val="1"/>
        <w:numId w:val="6"/>
      </w:numPr>
      <w:spacing w:before="120" w:line="240" w:lineRule="auto"/>
      <w:jc w:val="both"/>
      <w:outlineLvl w:val="1"/>
    </w:pPr>
    <w:rPr>
      <w:rFonts w:ascii="Times New Roman" w:eastAsia="Times New Roman" w:hAnsi="Times New Roman" w:cs="Times New Roman"/>
      <w:sz w:val="24"/>
      <w:szCs w:val="20"/>
    </w:rPr>
  </w:style>
  <w:style w:type="paragraph" w:customStyle="1" w:styleId="subpar">
    <w:name w:val="subpar"/>
    <w:basedOn w:val="BodyTextIndent3"/>
    <w:rsid w:val="004B71E4"/>
    <w:pPr>
      <w:numPr>
        <w:ilvl w:val="2"/>
        <w:numId w:val="6"/>
      </w:numPr>
      <w:spacing w:before="120" w:line="240" w:lineRule="auto"/>
      <w:jc w:val="both"/>
      <w:outlineLvl w:val="2"/>
    </w:pPr>
    <w:rPr>
      <w:rFonts w:ascii="Times New Roman" w:eastAsia="Times New Roman" w:hAnsi="Times New Roman" w:cs="Times New Roman"/>
      <w:sz w:val="24"/>
      <w:szCs w:val="20"/>
    </w:rPr>
  </w:style>
  <w:style w:type="paragraph" w:customStyle="1" w:styleId="SubSubPar">
    <w:name w:val="SubSubPar"/>
    <w:basedOn w:val="subpar"/>
    <w:rsid w:val="004B71E4"/>
    <w:pPr>
      <w:numPr>
        <w:ilvl w:val="3"/>
      </w:numPr>
      <w:tabs>
        <w:tab w:val="left" w:pos="0"/>
      </w:tabs>
    </w:pPr>
  </w:style>
  <w:style w:type="paragraph" w:styleId="BodyTextIndent">
    <w:name w:val="Body Text Indent"/>
    <w:basedOn w:val="Normal"/>
    <w:link w:val="BodyTextIndentChar"/>
    <w:uiPriority w:val="99"/>
    <w:semiHidden/>
    <w:unhideWhenUsed/>
    <w:rsid w:val="004B71E4"/>
    <w:pPr>
      <w:spacing w:after="120"/>
      <w:ind w:left="360"/>
    </w:pPr>
  </w:style>
  <w:style w:type="character" w:customStyle="1" w:styleId="BodyTextIndentChar">
    <w:name w:val="Body Text Indent Char"/>
    <w:basedOn w:val="DefaultParagraphFont"/>
    <w:link w:val="BodyTextIndent"/>
    <w:uiPriority w:val="99"/>
    <w:semiHidden/>
    <w:rsid w:val="004B71E4"/>
  </w:style>
  <w:style w:type="paragraph" w:styleId="BodyTextIndent3">
    <w:name w:val="Body Text Indent 3"/>
    <w:basedOn w:val="Normal"/>
    <w:link w:val="BodyTextIndent3Char"/>
    <w:uiPriority w:val="99"/>
    <w:semiHidden/>
    <w:unhideWhenUsed/>
    <w:rsid w:val="004B71E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B71E4"/>
    <w:rPr>
      <w:sz w:val="16"/>
      <w:szCs w:val="16"/>
    </w:rPr>
  </w:style>
  <w:style w:type="character" w:styleId="Hyperlink">
    <w:name w:val="Hyperlink"/>
    <w:basedOn w:val="DefaultParagraphFont"/>
    <w:uiPriority w:val="99"/>
    <w:unhideWhenUsed/>
    <w:rsid w:val="0029718C"/>
    <w:rPr>
      <w:color w:val="0000FF" w:themeColor="hyperlink"/>
      <w:u w:val="single"/>
    </w:rPr>
  </w:style>
  <w:style w:type="character" w:styleId="FollowedHyperlink">
    <w:name w:val="FollowedHyperlink"/>
    <w:basedOn w:val="DefaultParagraphFont"/>
    <w:uiPriority w:val="99"/>
    <w:semiHidden/>
    <w:unhideWhenUsed/>
    <w:rsid w:val="0029718C"/>
    <w:rPr>
      <w:color w:val="800080" w:themeColor="followedHyperlink"/>
      <w:u w:val="single"/>
    </w:rPr>
  </w:style>
  <w:style w:type="character" w:styleId="CommentReference">
    <w:name w:val="annotation reference"/>
    <w:basedOn w:val="DefaultParagraphFont"/>
    <w:uiPriority w:val="99"/>
    <w:semiHidden/>
    <w:unhideWhenUsed/>
    <w:rsid w:val="00347F64"/>
    <w:rPr>
      <w:sz w:val="16"/>
      <w:szCs w:val="16"/>
    </w:rPr>
  </w:style>
  <w:style w:type="paragraph" w:styleId="CommentText">
    <w:name w:val="annotation text"/>
    <w:basedOn w:val="Normal"/>
    <w:link w:val="CommentTextChar"/>
    <w:uiPriority w:val="99"/>
    <w:semiHidden/>
    <w:unhideWhenUsed/>
    <w:rsid w:val="00347F64"/>
    <w:pPr>
      <w:spacing w:line="240" w:lineRule="auto"/>
    </w:pPr>
    <w:rPr>
      <w:sz w:val="20"/>
      <w:szCs w:val="20"/>
    </w:rPr>
  </w:style>
  <w:style w:type="character" w:customStyle="1" w:styleId="CommentTextChar">
    <w:name w:val="Comment Text Char"/>
    <w:basedOn w:val="DefaultParagraphFont"/>
    <w:link w:val="CommentText"/>
    <w:uiPriority w:val="99"/>
    <w:semiHidden/>
    <w:rsid w:val="00347F64"/>
    <w:rPr>
      <w:sz w:val="20"/>
      <w:szCs w:val="20"/>
    </w:rPr>
  </w:style>
  <w:style w:type="paragraph" w:styleId="CommentSubject">
    <w:name w:val="annotation subject"/>
    <w:basedOn w:val="CommentText"/>
    <w:next w:val="CommentText"/>
    <w:link w:val="CommentSubjectChar"/>
    <w:uiPriority w:val="99"/>
    <w:semiHidden/>
    <w:unhideWhenUsed/>
    <w:rsid w:val="00347F64"/>
    <w:rPr>
      <w:b/>
      <w:bCs/>
    </w:rPr>
  </w:style>
  <w:style w:type="character" w:customStyle="1" w:styleId="CommentSubjectChar">
    <w:name w:val="Comment Subject Char"/>
    <w:basedOn w:val="CommentTextChar"/>
    <w:link w:val="CommentSubject"/>
    <w:uiPriority w:val="99"/>
    <w:semiHidden/>
    <w:rsid w:val="00347F64"/>
    <w:rPr>
      <w:b/>
      <w:bCs/>
      <w:sz w:val="20"/>
      <w:szCs w:val="20"/>
    </w:rPr>
  </w:style>
  <w:style w:type="paragraph" w:styleId="BalloonText">
    <w:name w:val="Balloon Text"/>
    <w:basedOn w:val="Normal"/>
    <w:link w:val="BalloonTextChar"/>
    <w:uiPriority w:val="99"/>
    <w:semiHidden/>
    <w:unhideWhenUsed/>
    <w:rsid w:val="00347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F64"/>
    <w:rPr>
      <w:rFonts w:ascii="Tahoma" w:hAnsi="Tahoma" w:cs="Tahoma"/>
      <w:sz w:val="16"/>
      <w:szCs w:val="16"/>
    </w:rPr>
  </w:style>
  <w:style w:type="paragraph" w:styleId="Header">
    <w:name w:val="header"/>
    <w:basedOn w:val="Normal"/>
    <w:link w:val="HeaderChar"/>
    <w:uiPriority w:val="99"/>
    <w:semiHidden/>
    <w:unhideWhenUsed/>
    <w:rsid w:val="00A874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745F"/>
  </w:style>
  <w:style w:type="paragraph" w:styleId="Footer">
    <w:name w:val="footer"/>
    <w:basedOn w:val="Normal"/>
    <w:link w:val="FooterChar"/>
    <w:uiPriority w:val="99"/>
    <w:semiHidden/>
    <w:unhideWhenUsed/>
    <w:rsid w:val="00A874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74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20E10"/>
    <w:pPr>
      <w:spacing w:after="240" w:line="240" w:lineRule="auto"/>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semiHidden/>
    <w:rsid w:val="00F20E10"/>
    <w:rPr>
      <w:rFonts w:ascii="Times New Roman" w:eastAsia="Times New Roman" w:hAnsi="Times New Roman" w:cs="Times New Roman"/>
      <w:sz w:val="24"/>
      <w:szCs w:val="20"/>
    </w:rPr>
  </w:style>
  <w:style w:type="character" w:styleId="FootnoteReference">
    <w:name w:val="footnote reference"/>
    <w:basedOn w:val="DefaultParagraphFont"/>
    <w:semiHidden/>
    <w:rsid w:val="00F20E10"/>
    <w:rPr>
      <w:vertAlign w:val="superscript"/>
    </w:rPr>
  </w:style>
  <w:style w:type="paragraph" w:styleId="ListParagraph">
    <w:name w:val="List Paragraph"/>
    <w:basedOn w:val="Normal"/>
    <w:uiPriority w:val="34"/>
    <w:qFormat/>
    <w:rsid w:val="009902BC"/>
    <w:pPr>
      <w:ind w:left="720"/>
      <w:contextualSpacing/>
    </w:pPr>
  </w:style>
  <w:style w:type="paragraph" w:customStyle="1" w:styleId="Chapter">
    <w:name w:val="Chapter"/>
    <w:basedOn w:val="Normal"/>
    <w:next w:val="Normal"/>
    <w:rsid w:val="004B71E4"/>
    <w:pPr>
      <w:numPr>
        <w:numId w:val="6"/>
      </w:numPr>
      <w:tabs>
        <w:tab w:val="left" w:pos="1440"/>
      </w:tabs>
      <w:spacing w:after="240" w:line="240" w:lineRule="auto"/>
      <w:jc w:val="center"/>
    </w:pPr>
    <w:rPr>
      <w:rFonts w:ascii="Times New Roman" w:eastAsia="Times New Roman" w:hAnsi="Times New Roman" w:cs="Times New Roman"/>
      <w:b/>
      <w:smallCaps/>
      <w:noProof/>
      <w:sz w:val="24"/>
      <w:szCs w:val="20"/>
    </w:rPr>
  </w:style>
  <w:style w:type="paragraph" w:customStyle="1" w:styleId="Paragraph">
    <w:name w:val="Paragraph"/>
    <w:basedOn w:val="BodyTextIndent"/>
    <w:rsid w:val="004B71E4"/>
    <w:pPr>
      <w:numPr>
        <w:ilvl w:val="1"/>
        <w:numId w:val="6"/>
      </w:numPr>
      <w:spacing w:before="120" w:line="240" w:lineRule="auto"/>
      <w:jc w:val="both"/>
      <w:outlineLvl w:val="1"/>
    </w:pPr>
    <w:rPr>
      <w:rFonts w:ascii="Times New Roman" w:eastAsia="Times New Roman" w:hAnsi="Times New Roman" w:cs="Times New Roman"/>
      <w:sz w:val="24"/>
      <w:szCs w:val="20"/>
    </w:rPr>
  </w:style>
  <w:style w:type="paragraph" w:customStyle="1" w:styleId="subpar">
    <w:name w:val="subpar"/>
    <w:basedOn w:val="BodyTextIndent3"/>
    <w:rsid w:val="004B71E4"/>
    <w:pPr>
      <w:numPr>
        <w:ilvl w:val="2"/>
        <w:numId w:val="6"/>
      </w:numPr>
      <w:spacing w:before="120" w:line="240" w:lineRule="auto"/>
      <w:jc w:val="both"/>
      <w:outlineLvl w:val="2"/>
    </w:pPr>
    <w:rPr>
      <w:rFonts w:ascii="Times New Roman" w:eastAsia="Times New Roman" w:hAnsi="Times New Roman" w:cs="Times New Roman"/>
      <w:sz w:val="24"/>
      <w:szCs w:val="20"/>
    </w:rPr>
  </w:style>
  <w:style w:type="paragraph" w:customStyle="1" w:styleId="SubSubPar">
    <w:name w:val="SubSubPar"/>
    <w:basedOn w:val="subpar"/>
    <w:rsid w:val="004B71E4"/>
    <w:pPr>
      <w:numPr>
        <w:ilvl w:val="3"/>
      </w:numPr>
      <w:tabs>
        <w:tab w:val="left" w:pos="0"/>
      </w:tabs>
    </w:pPr>
  </w:style>
  <w:style w:type="paragraph" w:styleId="BodyTextIndent">
    <w:name w:val="Body Text Indent"/>
    <w:basedOn w:val="Normal"/>
    <w:link w:val="BodyTextIndentChar"/>
    <w:uiPriority w:val="99"/>
    <w:semiHidden/>
    <w:unhideWhenUsed/>
    <w:rsid w:val="004B71E4"/>
    <w:pPr>
      <w:spacing w:after="120"/>
      <w:ind w:left="360"/>
    </w:pPr>
  </w:style>
  <w:style w:type="character" w:customStyle="1" w:styleId="BodyTextIndentChar">
    <w:name w:val="Body Text Indent Char"/>
    <w:basedOn w:val="DefaultParagraphFont"/>
    <w:link w:val="BodyTextIndent"/>
    <w:uiPriority w:val="99"/>
    <w:semiHidden/>
    <w:rsid w:val="004B71E4"/>
  </w:style>
  <w:style w:type="paragraph" w:styleId="BodyTextIndent3">
    <w:name w:val="Body Text Indent 3"/>
    <w:basedOn w:val="Normal"/>
    <w:link w:val="BodyTextIndent3Char"/>
    <w:uiPriority w:val="99"/>
    <w:semiHidden/>
    <w:unhideWhenUsed/>
    <w:rsid w:val="004B71E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B71E4"/>
    <w:rPr>
      <w:sz w:val="16"/>
      <w:szCs w:val="16"/>
    </w:rPr>
  </w:style>
  <w:style w:type="character" w:styleId="Hyperlink">
    <w:name w:val="Hyperlink"/>
    <w:basedOn w:val="DefaultParagraphFont"/>
    <w:uiPriority w:val="99"/>
    <w:unhideWhenUsed/>
    <w:rsid w:val="0029718C"/>
    <w:rPr>
      <w:color w:val="0000FF" w:themeColor="hyperlink"/>
      <w:u w:val="single"/>
    </w:rPr>
  </w:style>
  <w:style w:type="character" w:styleId="FollowedHyperlink">
    <w:name w:val="FollowedHyperlink"/>
    <w:basedOn w:val="DefaultParagraphFont"/>
    <w:uiPriority w:val="99"/>
    <w:semiHidden/>
    <w:unhideWhenUsed/>
    <w:rsid w:val="0029718C"/>
    <w:rPr>
      <w:color w:val="800080" w:themeColor="followedHyperlink"/>
      <w:u w:val="single"/>
    </w:rPr>
  </w:style>
  <w:style w:type="character" w:styleId="CommentReference">
    <w:name w:val="annotation reference"/>
    <w:basedOn w:val="DefaultParagraphFont"/>
    <w:uiPriority w:val="99"/>
    <w:semiHidden/>
    <w:unhideWhenUsed/>
    <w:rsid w:val="00347F64"/>
    <w:rPr>
      <w:sz w:val="16"/>
      <w:szCs w:val="16"/>
    </w:rPr>
  </w:style>
  <w:style w:type="paragraph" w:styleId="CommentText">
    <w:name w:val="annotation text"/>
    <w:basedOn w:val="Normal"/>
    <w:link w:val="CommentTextChar"/>
    <w:uiPriority w:val="99"/>
    <w:semiHidden/>
    <w:unhideWhenUsed/>
    <w:rsid w:val="00347F64"/>
    <w:pPr>
      <w:spacing w:line="240" w:lineRule="auto"/>
    </w:pPr>
    <w:rPr>
      <w:sz w:val="20"/>
      <w:szCs w:val="20"/>
    </w:rPr>
  </w:style>
  <w:style w:type="character" w:customStyle="1" w:styleId="CommentTextChar">
    <w:name w:val="Comment Text Char"/>
    <w:basedOn w:val="DefaultParagraphFont"/>
    <w:link w:val="CommentText"/>
    <w:uiPriority w:val="99"/>
    <w:semiHidden/>
    <w:rsid w:val="00347F64"/>
    <w:rPr>
      <w:sz w:val="20"/>
      <w:szCs w:val="20"/>
    </w:rPr>
  </w:style>
  <w:style w:type="paragraph" w:styleId="CommentSubject">
    <w:name w:val="annotation subject"/>
    <w:basedOn w:val="CommentText"/>
    <w:next w:val="CommentText"/>
    <w:link w:val="CommentSubjectChar"/>
    <w:uiPriority w:val="99"/>
    <w:semiHidden/>
    <w:unhideWhenUsed/>
    <w:rsid w:val="00347F64"/>
    <w:rPr>
      <w:b/>
      <w:bCs/>
    </w:rPr>
  </w:style>
  <w:style w:type="character" w:customStyle="1" w:styleId="CommentSubjectChar">
    <w:name w:val="Comment Subject Char"/>
    <w:basedOn w:val="CommentTextChar"/>
    <w:link w:val="CommentSubject"/>
    <w:uiPriority w:val="99"/>
    <w:semiHidden/>
    <w:rsid w:val="00347F64"/>
    <w:rPr>
      <w:b/>
      <w:bCs/>
      <w:sz w:val="20"/>
      <w:szCs w:val="20"/>
    </w:rPr>
  </w:style>
  <w:style w:type="paragraph" w:styleId="BalloonText">
    <w:name w:val="Balloon Text"/>
    <w:basedOn w:val="Normal"/>
    <w:link w:val="BalloonTextChar"/>
    <w:uiPriority w:val="99"/>
    <w:semiHidden/>
    <w:unhideWhenUsed/>
    <w:rsid w:val="00347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F64"/>
    <w:rPr>
      <w:rFonts w:ascii="Tahoma" w:hAnsi="Tahoma" w:cs="Tahoma"/>
      <w:sz w:val="16"/>
      <w:szCs w:val="16"/>
    </w:rPr>
  </w:style>
  <w:style w:type="paragraph" w:styleId="Header">
    <w:name w:val="header"/>
    <w:basedOn w:val="Normal"/>
    <w:link w:val="HeaderChar"/>
    <w:uiPriority w:val="99"/>
    <w:semiHidden/>
    <w:unhideWhenUsed/>
    <w:rsid w:val="00A874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745F"/>
  </w:style>
  <w:style w:type="paragraph" w:styleId="Footer">
    <w:name w:val="footer"/>
    <w:basedOn w:val="Normal"/>
    <w:link w:val="FooterChar"/>
    <w:uiPriority w:val="99"/>
    <w:semiHidden/>
    <w:unhideWhenUsed/>
    <w:rsid w:val="00A874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7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erc.undp.org/evaluationadmin/manageevaluation/viewevaluationdetail.html?evalid=41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C2E20-51D3-4054-814A-ECA79DBFB6F6}">
  <ds:schemaRefs>
    <ds:schemaRef ds:uri="http://schemas.openxmlformats.org/officeDocument/2006/bibliography"/>
  </ds:schemaRefs>
</ds:datastoreItem>
</file>

<file path=customXml/itemProps2.xml><?xml version="1.0" encoding="utf-8"?>
<ds:datastoreItem xmlns:ds="http://schemas.openxmlformats.org/officeDocument/2006/customXml" ds:itemID="{FF878303-A2EA-442D-9EF9-414854E54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2286</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Symmonds</dc:creator>
  <cp:lastModifiedBy>Cherryanne Hinds</cp:lastModifiedBy>
  <cp:revision>2</cp:revision>
  <cp:lastPrinted>2011-11-17T13:53:00Z</cp:lastPrinted>
  <dcterms:created xsi:type="dcterms:W3CDTF">2012-04-23T16:36:00Z</dcterms:created>
  <dcterms:modified xsi:type="dcterms:W3CDTF">2012-04-23T16:36:00Z</dcterms:modified>
</cp:coreProperties>
</file>