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574" w:rsidRDefault="00654258" w:rsidP="00865574">
      <w:pPr>
        <w:jc w:val="center"/>
        <w:rPr>
          <w:rStyle w:val="BookTitle"/>
        </w:rPr>
      </w:pPr>
      <w:r>
        <w:rPr>
          <w:b/>
          <w:bCs/>
          <w:smallCaps/>
          <w:noProof/>
          <w:spacing w:val="5"/>
          <w:lang w:val="en-US"/>
        </w:rPr>
        <w:drawing>
          <wp:inline distT="0" distB="0" distL="0" distR="0">
            <wp:extent cx="1078302" cy="1593811"/>
            <wp:effectExtent l="19050" t="0" r="754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80478" cy="1597028"/>
                    </a:xfrm>
                    <a:prstGeom prst="rect">
                      <a:avLst/>
                    </a:prstGeom>
                    <a:noFill/>
                    <a:ln w="9525">
                      <a:noFill/>
                      <a:miter lim="800000"/>
                      <a:headEnd/>
                      <a:tailEnd/>
                    </a:ln>
                  </pic:spPr>
                </pic:pic>
              </a:graphicData>
            </a:graphic>
          </wp:inline>
        </w:drawing>
      </w:r>
    </w:p>
    <w:p w:rsidR="00654258" w:rsidRDefault="00654258" w:rsidP="00865574">
      <w:pPr>
        <w:jc w:val="center"/>
        <w:rPr>
          <w:rStyle w:val="BookTitle"/>
        </w:rPr>
      </w:pPr>
    </w:p>
    <w:p w:rsidR="00654258" w:rsidRPr="00654258" w:rsidRDefault="00654258" w:rsidP="00865574">
      <w:pPr>
        <w:jc w:val="center"/>
        <w:rPr>
          <w:rStyle w:val="BookTitle"/>
          <w:sz w:val="30"/>
        </w:rPr>
      </w:pPr>
      <w:r w:rsidRPr="00654258">
        <w:rPr>
          <w:rStyle w:val="BookTitle"/>
          <w:sz w:val="30"/>
        </w:rPr>
        <w:t>Kingdom of Saudi Arabia</w:t>
      </w:r>
    </w:p>
    <w:p w:rsidR="00654258" w:rsidRDefault="00654258" w:rsidP="00865574">
      <w:pPr>
        <w:jc w:val="center"/>
        <w:rPr>
          <w:rStyle w:val="BookTitle"/>
        </w:rPr>
      </w:pPr>
    </w:p>
    <w:p w:rsidR="00654258" w:rsidRDefault="00654258" w:rsidP="00865574">
      <w:pPr>
        <w:jc w:val="center"/>
        <w:rPr>
          <w:rStyle w:val="BookTitle"/>
        </w:rPr>
      </w:pPr>
    </w:p>
    <w:p w:rsidR="00654258" w:rsidRDefault="00654258" w:rsidP="00865574">
      <w:pPr>
        <w:jc w:val="center"/>
        <w:rPr>
          <w:rStyle w:val="BookTitle"/>
        </w:rPr>
      </w:pPr>
    </w:p>
    <w:p w:rsidR="00865574" w:rsidRDefault="00865574" w:rsidP="00865574">
      <w:pPr>
        <w:jc w:val="center"/>
        <w:rPr>
          <w:rStyle w:val="BookTitle"/>
        </w:rPr>
      </w:pPr>
    </w:p>
    <w:p w:rsidR="00865574" w:rsidRDefault="006D51CB" w:rsidP="00865574">
      <w:pPr>
        <w:jc w:val="center"/>
        <w:rPr>
          <w:rStyle w:val="BookTitle"/>
        </w:rPr>
      </w:pPr>
      <w:r>
        <w:rPr>
          <w:rStyle w:val="BookTitle"/>
        </w:rPr>
        <w:t>Outcome Evaluation</w:t>
      </w:r>
      <w:r w:rsidR="00654258">
        <w:rPr>
          <w:rStyle w:val="BookTitle"/>
        </w:rPr>
        <w:t xml:space="preserve"> of UNDP Support for:</w:t>
      </w:r>
    </w:p>
    <w:p w:rsidR="00865574" w:rsidRPr="00BA0A8C" w:rsidRDefault="00865574" w:rsidP="00865574">
      <w:pPr>
        <w:jc w:val="center"/>
        <w:rPr>
          <w:rStyle w:val="BookTitle"/>
          <w:sz w:val="26"/>
        </w:rPr>
      </w:pPr>
      <w:r w:rsidRPr="00BA0A8C">
        <w:rPr>
          <w:rStyle w:val="BookTitle"/>
          <w:sz w:val="26"/>
        </w:rPr>
        <w:t>Economic Diversification for Tourism, International Trade and FDI</w:t>
      </w:r>
    </w:p>
    <w:p w:rsidR="00865574" w:rsidRPr="00BA0A8C" w:rsidRDefault="00654258" w:rsidP="00865574">
      <w:pPr>
        <w:jc w:val="center"/>
        <w:rPr>
          <w:rStyle w:val="BookTitle"/>
          <w:sz w:val="26"/>
        </w:rPr>
      </w:pPr>
      <w:r w:rsidRPr="00BA0A8C">
        <w:rPr>
          <w:rStyle w:val="BookTitle"/>
          <w:sz w:val="26"/>
        </w:rPr>
        <w:t xml:space="preserve">Country Programme </w:t>
      </w:r>
      <w:r w:rsidR="00865574" w:rsidRPr="00BA0A8C">
        <w:rPr>
          <w:rStyle w:val="BookTitle"/>
          <w:sz w:val="26"/>
        </w:rPr>
        <w:t>2007-2011</w:t>
      </w:r>
    </w:p>
    <w:p w:rsidR="00865574" w:rsidRDefault="00865574" w:rsidP="00865574">
      <w:pPr>
        <w:jc w:val="center"/>
        <w:rPr>
          <w:rStyle w:val="BookTitle"/>
        </w:rPr>
      </w:pPr>
    </w:p>
    <w:p w:rsidR="00654258" w:rsidRDefault="00654258" w:rsidP="00865574">
      <w:pPr>
        <w:jc w:val="center"/>
        <w:rPr>
          <w:rStyle w:val="BookTitle"/>
        </w:rPr>
      </w:pPr>
    </w:p>
    <w:p w:rsidR="00654258" w:rsidRDefault="00654258" w:rsidP="00865574">
      <w:pPr>
        <w:jc w:val="center"/>
        <w:rPr>
          <w:rStyle w:val="BookTitle"/>
        </w:rPr>
      </w:pPr>
    </w:p>
    <w:p w:rsidR="00654258" w:rsidRDefault="00654258" w:rsidP="00865574">
      <w:pPr>
        <w:jc w:val="center"/>
        <w:rPr>
          <w:rStyle w:val="BookTitle"/>
        </w:rPr>
      </w:pPr>
    </w:p>
    <w:p w:rsidR="00654258" w:rsidRDefault="00654258" w:rsidP="00865574">
      <w:pPr>
        <w:jc w:val="center"/>
        <w:rPr>
          <w:rStyle w:val="BookTitle"/>
        </w:rPr>
      </w:pPr>
    </w:p>
    <w:p w:rsidR="00AA52EB" w:rsidRDefault="00AA52EB" w:rsidP="00865574">
      <w:pPr>
        <w:jc w:val="center"/>
        <w:rPr>
          <w:rStyle w:val="BookTitle"/>
        </w:rPr>
      </w:pPr>
    </w:p>
    <w:p w:rsidR="00AA52EB" w:rsidRDefault="00AA52EB" w:rsidP="00865574">
      <w:pPr>
        <w:jc w:val="center"/>
        <w:rPr>
          <w:rStyle w:val="BookTitle"/>
        </w:rPr>
      </w:pPr>
    </w:p>
    <w:p w:rsidR="00865574" w:rsidRDefault="00865574" w:rsidP="00865574">
      <w:pPr>
        <w:jc w:val="center"/>
        <w:rPr>
          <w:rStyle w:val="BookTitle"/>
        </w:rPr>
      </w:pPr>
    </w:p>
    <w:p w:rsidR="00865574" w:rsidRDefault="00865574" w:rsidP="00865574">
      <w:pPr>
        <w:pBdr>
          <w:bottom w:val="single" w:sz="6" w:space="1" w:color="auto"/>
        </w:pBdr>
        <w:jc w:val="center"/>
        <w:rPr>
          <w:rStyle w:val="BookTitle"/>
        </w:rPr>
      </w:pPr>
    </w:p>
    <w:p w:rsidR="00865574" w:rsidRDefault="00865574" w:rsidP="00AA52EB">
      <w:pPr>
        <w:rPr>
          <w:rStyle w:val="BookTitle"/>
        </w:rPr>
      </w:pPr>
    </w:p>
    <w:p w:rsidR="00865574" w:rsidRPr="00865574" w:rsidRDefault="00865574" w:rsidP="00865574">
      <w:pPr>
        <w:spacing w:after="0"/>
        <w:jc w:val="center"/>
        <w:rPr>
          <w:rStyle w:val="BookTitle"/>
          <w:sz w:val="18"/>
        </w:rPr>
      </w:pPr>
      <w:r w:rsidRPr="00865574">
        <w:rPr>
          <w:rStyle w:val="BookTitle"/>
          <w:sz w:val="18"/>
        </w:rPr>
        <w:t xml:space="preserve">Patricia Alexander </w:t>
      </w:r>
    </w:p>
    <w:p w:rsidR="00865574" w:rsidRDefault="00865574" w:rsidP="00865574">
      <w:pPr>
        <w:spacing w:before="0"/>
        <w:jc w:val="center"/>
        <w:rPr>
          <w:rStyle w:val="BookTitle"/>
          <w:sz w:val="16"/>
        </w:rPr>
      </w:pPr>
      <w:r w:rsidRPr="00865574">
        <w:rPr>
          <w:rStyle w:val="BookTitle"/>
          <w:sz w:val="16"/>
        </w:rPr>
        <w:t>Consultant</w:t>
      </w:r>
    </w:p>
    <w:p w:rsidR="00865574" w:rsidRPr="00865574" w:rsidRDefault="00865574" w:rsidP="00865574">
      <w:pPr>
        <w:spacing w:before="0"/>
        <w:jc w:val="center"/>
        <w:rPr>
          <w:rStyle w:val="BookTitle"/>
          <w:sz w:val="16"/>
        </w:rPr>
      </w:pPr>
    </w:p>
    <w:p w:rsidR="00654258" w:rsidRPr="001100BC" w:rsidRDefault="001100BC" w:rsidP="00865574">
      <w:pPr>
        <w:jc w:val="center"/>
        <w:rPr>
          <w:rStyle w:val="BookTitle"/>
          <w:sz w:val="20"/>
        </w:rPr>
      </w:pPr>
      <w:r w:rsidRPr="001100BC">
        <w:rPr>
          <w:rStyle w:val="BookTitle"/>
          <w:sz w:val="20"/>
        </w:rPr>
        <w:t>27</w:t>
      </w:r>
      <w:r w:rsidR="00BA0A8C" w:rsidRPr="001100BC">
        <w:rPr>
          <w:rStyle w:val="BookTitle"/>
          <w:sz w:val="20"/>
        </w:rPr>
        <w:t xml:space="preserve"> May</w:t>
      </w:r>
      <w:r w:rsidRPr="001100BC">
        <w:rPr>
          <w:rStyle w:val="BookTitle"/>
          <w:sz w:val="20"/>
        </w:rPr>
        <w:t xml:space="preserve"> 2012 </w:t>
      </w:r>
    </w:p>
    <w:p w:rsidR="00865574" w:rsidRPr="00AA52EB" w:rsidRDefault="00865574" w:rsidP="00865574">
      <w:pPr>
        <w:jc w:val="center"/>
        <w:rPr>
          <w:rStyle w:val="BookTitle"/>
          <w:sz w:val="14"/>
        </w:rPr>
      </w:pPr>
      <w:r w:rsidRPr="00AA52EB">
        <w:rPr>
          <w:rStyle w:val="BookTitle"/>
          <w:sz w:val="20"/>
        </w:rPr>
        <w:t>Riyadh</w:t>
      </w:r>
    </w:p>
    <w:p w:rsidR="00865574" w:rsidRDefault="00865574" w:rsidP="00865574">
      <w:pPr>
        <w:rPr>
          <w:rStyle w:val="BookTitle"/>
        </w:rPr>
      </w:pPr>
    </w:p>
    <w:p w:rsidR="00654258" w:rsidRPr="0012292B" w:rsidRDefault="00654258" w:rsidP="00654258">
      <w:pPr>
        <w:jc w:val="center"/>
        <w:rPr>
          <w:rStyle w:val="IntenseEmphasis"/>
          <w:sz w:val="30"/>
          <w:u w:val="single"/>
        </w:rPr>
      </w:pPr>
      <w:r w:rsidRPr="0012292B">
        <w:rPr>
          <w:rStyle w:val="IntenseEmphasis"/>
          <w:sz w:val="30"/>
          <w:u w:val="single"/>
        </w:rPr>
        <w:t xml:space="preserve">Selected Indicators for Saudi Arabia, </w:t>
      </w:r>
      <w:r w:rsidR="0012292B" w:rsidRPr="0012292B">
        <w:rPr>
          <w:rStyle w:val="IntenseEmphasis"/>
          <w:sz w:val="30"/>
          <w:u w:val="single"/>
        </w:rPr>
        <w:t xml:space="preserve">HDR </w:t>
      </w:r>
      <w:r w:rsidR="007D5296" w:rsidRPr="007D5296">
        <w:rPr>
          <w:rStyle w:val="IntenseEmphasis"/>
          <w:sz w:val="24"/>
          <w:u w:val="single"/>
        </w:rPr>
        <w:t>[</w:t>
      </w:r>
      <w:r w:rsidR="006267F7">
        <w:rPr>
          <w:rStyle w:val="IntenseEmphasis"/>
          <w:sz w:val="24"/>
          <w:u w:val="single"/>
        </w:rPr>
        <w:t xml:space="preserve">&amp; </w:t>
      </w:r>
      <w:r w:rsidR="007D5296" w:rsidRPr="007D5296">
        <w:rPr>
          <w:rStyle w:val="IntenseEmphasis"/>
          <w:sz w:val="24"/>
          <w:u w:val="single"/>
        </w:rPr>
        <w:t>other]</w:t>
      </w:r>
    </w:p>
    <w:p w:rsidR="00654258" w:rsidRDefault="00654258" w:rsidP="0012292B">
      <w:pPr>
        <w:rPr>
          <w:rStyle w:val="IntenseEmphasis"/>
        </w:rPr>
      </w:pPr>
    </w:p>
    <w:tbl>
      <w:tblPr>
        <w:tblStyle w:val="TableGrid"/>
        <w:tblW w:w="0" w:type="auto"/>
        <w:tblLook w:val="04A0"/>
      </w:tblPr>
      <w:tblGrid>
        <w:gridCol w:w="4542"/>
        <w:gridCol w:w="4817"/>
        <w:gridCol w:w="332"/>
      </w:tblGrid>
      <w:tr w:rsidR="00582D41" w:rsidRPr="00271DE0" w:rsidTr="00582D41">
        <w:tc>
          <w:tcPr>
            <w:tcW w:w="0" w:type="auto"/>
          </w:tcPr>
          <w:p w:rsidR="00582D41" w:rsidRPr="00271DE0" w:rsidRDefault="00582D41" w:rsidP="00AA52EB">
            <w:pPr>
              <w:spacing w:before="60" w:after="60"/>
              <w:rPr>
                <w:rFonts w:eastAsiaTheme="majorEastAsia" w:cs="Times New Roman"/>
                <w:spacing w:val="5"/>
                <w:kern w:val="28"/>
                <w:sz w:val="20"/>
                <w:szCs w:val="20"/>
              </w:rPr>
            </w:pPr>
          </w:p>
        </w:tc>
        <w:tc>
          <w:tcPr>
            <w:tcW w:w="0" w:type="auto"/>
          </w:tcPr>
          <w:p w:rsidR="00582D41" w:rsidRPr="00271DE0" w:rsidRDefault="00582D41" w:rsidP="00271DE0">
            <w:pPr>
              <w:spacing w:before="60" w:after="60"/>
              <w:jc w:val="center"/>
              <w:rPr>
                <w:rFonts w:eastAsiaTheme="majorEastAsia" w:cs="Times New Roman"/>
                <w:spacing w:val="5"/>
                <w:kern w:val="28"/>
                <w:sz w:val="20"/>
                <w:szCs w:val="20"/>
              </w:rPr>
            </w:pPr>
            <w:r w:rsidRPr="00271DE0">
              <w:rPr>
                <w:rFonts w:eastAsiaTheme="majorEastAsia" w:cs="Times New Roman"/>
                <w:spacing w:val="5"/>
                <w:kern w:val="28"/>
                <w:sz w:val="20"/>
                <w:szCs w:val="20"/>
              </w:rPr>
              <w:t xml:space="preserve">Check </w:t>
            </w:r>
            <w:r w:rsidR="00271DE0" w:rsidRPr="00271DE0">
              <w:rPr>
                <w:rFonts w:eastAsiaTheme="majorEastAsia" w:cs="Times New Roman"/>
                <w:spacing w:val="5"/>
                <w:kern w:val="28"/>
                <w:sz w:val="20"/>
                <w:szCs w:val="20"/>
              </w:rPr>
              <w:t xml:space="preserve"> </w:t>
            </w:r>
            <w:r w:rsidRPr="00271DE0">
              <w:rPr>
                <w:rFonts w:eastAsiaTheme="majorEastAsia" w:cs="Times New Roman"/>
                <w:spacing w:val="5"/>
                <w:kern w:val="28"/>
                <w:sz w:val="20"/>
                <w:szCs w:val="20"/>
              </w:rPr>
              <w:t>if current</w:t>
            </w:r>
          </w:p>
        </w:tc>
        <w:tc>
          <w:tcPr>
            <w:tcW w:w="0" w:type="auto"/>
          </w:tcPr>
          <w:p w:rsidR="00582D41" w:rsidRPr="00271DE0" w:rsidRDefault="00582D41" w:rsidP="00AA52EB">
            <w:pPr>
              <w:spacing w:before="60" w:after="60"/>
              <w:rPr>
                <w:rFonts w:eastAsiaTheme="majorEastAsia" w:cs="Times New Roman"/>
                <w:spacing w:val="5"/>
                <w:kern w:val="28"/>
                <w:sz w:val="20"/>
                <w:szCs w:val="20"/>
              </w:rPr>
            </w:pPr>
            <w:r w:rsidRPr="00271DE0">
              <w:rPr>
                <w:rFonts w:eastAsiaTheme="majorEastAsia" w:cs="Times New Roman"/>
                <w:spacing w:val="5"/>
                <w:kern w:val="28"/>
                <w:sz w:val="20"/>
                <w:szCs w:val="20"/>
              </w:rPr>
              <w:t>?</w:t>
            </w:r>
          </w:p>
        </w:tc>
      </w:tr>
      <w:tr w:rsidR="00582D41" w:rsidRPr="00271DE0" w:rsidTr="00582D41">
        <w:trPr>
          <w:trHeight w:val="111"/>
        </w:trPr>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Population</w:t>
            </w:r>
            <w:r w:rsidR="006F0B21" w:rsidRPr="00271DE0">
              <w:rPr>
                <w:rFonts w:ascii="Sylfaen" w:hAnsi="Sylfaen"/>
                <w:sz w:val="20"/>
                <w:szCs w:val="20"/>
              </w:rPr>
              <w:t xml:space="preserve"> (all)</w:t>
            </w:r>
            <w:r w:rsidRPr="00271DE0">
              <w:rPr>
                <w:rFonts w:ascii="Sylfaen" w:hAnsi="Sylfaen"/>
                <w:sz w:val="20"/>
                <w:szCs w:val="20"/>
              </w:rPr>
              <w:t xml:space="preserve">: </w:t>
            </w:r>
          </w:p>
        </w:tc>
        <w:tc>
          <w:tcPr>
            <w:tcW w:w="0" w:type="auto"/>
          </w:tcPr>
          <w:p w:rsidR="00582D41" w:rsidRPr="00271DE0" w:rsidRDefault="006F0B21" w:rsidP="006F0B21">
            <w:pPr>
              <w:rPr>
                <w:rFonts w:cs="Times New Roman"/>
                <w:color w:val="000000"/>
                <w:sz w:val="20"/>
                <w:szCs w:val="20"/>
              </w:rPr>
            </w:pPr>
            <w:r w:rsidRPr="00271DE0">
              <w:rPr>
                <w:rFonts w:cs="Times New Roman"/>
                <w:color w:val="000000"/>
                <w:sz w:val="20"/>
                <w:szCs w:val="20"/>
              </w:rPr>
              <w:t xml:space="preserve">22.7  </w:t>
            </w:r>
            <w:r w:rsidRPr="00271DE0">
              <w:rPr>
                <w:rFonts w:cs="Times New Roman"/>
                <w:sz w:val="20"/>
                <w:szCs w:val="20"/>
              </w:rPr>
              <w:t xml:space="preserve">million  (2006)    </w:t>
            </w:r>
            <w:proofErr w:type="spellStart"/>
            <w:r w:rsidR="00465D6E" w:rsidRPr="00271DE0">
              <w:rPr>
                <w:rFonts w:cs="Times New Roman"/>
                <w:sz w:val="20"/>
                <w:szCs w:val="20"/>
              </w:rPr>
              <w:t>xxxx</w:t>
            </w:r>
            <w:proofErr w:type="spellEnd"/>
            <w:r w:rsidR="00465D6E" w:rsidRPr="00271DE0">
              <w:rPr>
                <w:rFonts w:cs="Times New Roman"/>
                <w:sz w:val="20"/>
                <w:szCs w:val="20"/>
              </w:rPr>
              <w:t xml:space="preserve"> million (2012</w:t>
            </w:r>
            <w:r w:rsidR="00465D6E" w:rsidRPr="00271DE0">
              <w:rPr>
                <w:rFonts w:cs="Times New Roman"/>
                <w:sz w:val="20"/>
                <w:szCs w:val="20"/>
                <w:vertAlign w:val="superscript"/>
              </w:rPr>
              <w:t>e</w:t>
            </w:r>
            <w:r w:rsidR="00465D6E" w:rsidRPr="00271DE0">
              <w:rPr>
                <w:rFonts w:cs="Times New Roman"/>
                <w:sz w:val="20"/>
                <w:szCs w:val="20"/>
              </w:rPr>
              <w:t>)</w:t>
            </w:r>
          </w:p>
        </w:tc>
        <w:tc>
          <w:tcPr>
            <w:tcW w:w="0" w:type="auto"/>
          </w:tcPr>
          <w:p w:rsidR="00582D41" w:rsidRPr="00271DE0" w:rsidRDefault="006F0B21" w:rsidP="00465D6E">
            <w:pPr>
              <w:pStyle w:val="Default"/>
              <w:rPr>
                <w:rFonts w:ascii="Sylfaen" w:hAnsi="Sylfaen"/>
                <w:sz w:val="20"/>
                <w:szCs w:val="20"/>
              </w:rPr>
            </w:pPr>
            <w:r w:rsidRPr="00271DE0">
              <w:rPr>
                <w:rFonts w:ascii="Sylfaen" w:hAnsi="Sylfaen"/>
                <w:sz w:val="20"/>
                <w:szCs w:val="20"/>
              </w:rPr>
              <w:t>√</w:t>
            </w:r>
          </w:p>
        </w:tc>
      </w:tr>
      <w:tr w:rsidR="00582D41" w:rsidRPr="00271DE0" w:rsidTr="00582D41">
        <w:tc>
          <w:tcPr>
            <w:tcW w:w="0" w:type="auto"/>
          </w:tcPr>
          <w:p w:rsidR="00582D41" w:rsidRPr="00271DE0" w:rsidRDefault="00582D41" w:rsidP="00AA52EB">
            <w:pPr>
              <w:spacing w:before="60" w:after="60"/>
              <w:rPr>
                <w:rFonts w:eastAsiaTheme="majorEastAsia" w:cs="Times New Roman"/>
                <w:spacing w:val="5"/>
                <w:kern w:val="28"/>
                <w:sz w:val="20"/>
                <w:szCs w:val="20"/>
              </w:rPr>
            </w:pPr>
            <w:r w:rsidRPr="00271DE0">
              <w:rPr>
                <w:rFonts w:eastAsiaTheme="majorEastAsia" w:cs="Times New Roman"/>
                <w:spacing w:val="5"/>
                <w:kern w:val="28"/>
                <w:sz w:val="20"/>
                <w:szCs w:val="20"/>
              </w:rPr>
              <w:t>Saudi/Non-Saudi</w:t>
            </w:r>
            <w:r w:rsidR="00465D6E" w:rsidRPr="00271DE0">
              <w:rPr>
                <w:rFonts w:eastAsiaTheme="majorEastAsia" w:cs="Times New Roman"/>
                <w:spacing w:val="5"/>
                <w:kern w:val="28"/>
                <w:sz w:val="20"/>
                <w:szCs w:val="20"/>
              </w:rPr>
              <w:t xml:space="preserve"> </w:t>
            </w:r>
            <w:r w:rsidR="006F0B21" w:rsidRPr="00271DE0">
              <w:rPr>
                <w:rFonts w:eastAsiaTheme="majorEastAsia" w:cs="Times New Roman"/>
                <w:spacing w:val="5"/>
                <w:kern w:val="28"/>
                <w:sz w:val="20"/>
                <w:szCs w:val="20"/>
              </w:rPr>
              <w:t>population</w:t>
            </w:r>
          </w:p>
        </w:tc>
        <w:tc>
          <w:tcPr>
            <w:tcW w:w="0" w:type="auto"/>
          </w:tcPr>
          <w:p w:rsidR="00582D41" w:rsidRPr="00271DE0" w:rsidRDefault="006F0B21" w:rsidP="006F0B21">
            <w:pPr>
              <w:spacing w:before="60" w:after="60"/>
              <w:rPr>
                <w:rFonts w:cs="Times New Roman"/>
                <w:color w:val="000000"/>
                <w:sz w:val="20"/>
                <w:szCs w:val="20"/>
              </w:rPr>
            </w:pPr>
            <w:r w:rsidRPr="00271DE0">
              <w:rPr>
                <w:rFonts w:cs="Times New Roman"/>
                <w:color w:val="000000"/>
                <w:sz w:val="20"/>
                <w:szCs w:val="20"/>
              </w:rPr>
              <w:t>16.1</w:t>
            </w:r>
            <w:r w:rsidR="00465D6E" w:rsidRPr="00271DE0">
              <w:rPr>
                <w:rFonts w:cs="Times New Roman"/>
                <w:color w:val="000000"/>
                <w:sz w:val="20"/>
                <w:szCs w:val="20"/>
              </w:rPr>
              <w:t xml:space="preserve"> million</w:t>
            </w:r>
            <w:r w:rsidRPr="00271DE0">
              <w:rPr>
                <w:rFonts w:cs="Times New Roman"/>
                <w:color w:val="000000"/>
                <w:sz w:val="20"/>
                <w:szCs w:val="20"/>
              </w:rPr>
              <w:t xml:space="preserve">/6.1 </w:t>
            </w:r>
            <w:r w:rsidR="00465D6E" w:rsidRPr="00271DE0">
              <w:rPr>
                <w:rFonts w:cs="Times New Roman"/>
                <w:color w:val="000000"/>
                <w:sz w:val="20"/>
                <w:szCs w:val="20"/>
              </w:rPr>
              <w:t>million (2006)</w:t>
            </w:r>
          </w:p>
          <w:p w:rsidR="00465D6E" w:rsidRPr="00271DE0" w:rsidRDefault="00465D6E" w:rsidP="006F0B21">
            <w:pPr>
              <w:spacing w:before="60" w:after="60"/>
              <w:rPr>
                <w:rFonts w:eastAsiaTheme="majorEastAsia" w:cs="Times New Roman"/>
                <w:spacing w:val="5"/>
                <w:kern w:val="28"/>
                <w:sz w:val="20"/>
                <w:szCs w:val="20"/>
              </w:rPr>
            </w:pPr>
          </w:p>
        </w:tc>
        <w:tc>
          <w:tcPr>
            <w:tcW w:w="0" w:type="auto"/>
          </w:tcPr>
          <w:p w:rsidR="00582D41" w:rsidRPr="00271DE0" w:rsidRDefault="00582D41" w:rsidP="00AA52EB">
            <w:pPr>
              <w:spacing w:before="60" w:after="60"/>
              <w:rPr>
                <w:rFonts w:eastAsiaTheme="majorEastAsia" w:cs="Times New Roman"/>
                <w:spacing w:val="5"/>
                <w:kern w:val="28"/>
                <w:sz w:val="20"/>
                <w:szCs w:val="20"/>
              </w:rPr>
            </w:pPr>
          </w:p>
        </w:tc>
      </w:tr>
      <w:tr w:rsidR="00582D41" w:rsidRPr="00271DE0" w:rsidTr="00582D41">
        <w:trPr>
          <w:trHeight w:val="247"/>
        </w:trPr>
        <w:tc>
          <w:tcPr>
            <w:tcW w:w="0" w:type="auto"/>
          </w:tcPr>
          <w:p w:rsidR="00582D41" w:rsidRPr="00271DE0" w:rsidRDefault="00582D41" w:rsidP="00465D6E">
            <w:pPr>
              <w:pStyle w:val="Default"/>
              <w:rPr>
                <w:rFonts w:ascii="Sylfaen" w:hAnsi="Sylfaen"/>
                <w:sz w:val="20"/>
                <w:szCs w:val="20"/>
              </w:rPr>
            </w:pPr>
          </w:p>
        </w:tc>
        <w:tc>
          <w:tcPr>
            <w:tcW w:w="0" w:type="auto"/>
          </w:tcPr>
          <w:p w:rsidR="00582D41" w:rsidRPr="00271DE0" w:rsidRDefault="00582D41" w:rsidP="00465D6E">
            <w:pPr>
              <w:pStyle w:val="Default"/>
              <w:rPr>
                <w:rFonts w:ascii="Sylfaen" w:hAnsi="Sylfaen"/>
                <w:sz w:val="20"/>
                <w:szCs w:val="20"/>
              </w:rPr>
            </w:pPr>
          </w:p>
        </w:tc>
        <w:tc>
          <w:tcPr>
            <w:tcW w:w="0" w:type="auto"/>
          </w:tcPr>
          <w:p w:rsidR="00582D41" w:rsidRPr="00271DE0" w:rsidRDefault="00582D41" w:rsidP="00465D6E">
            <w:pPr>
              <w:pStyle w:val="Default"/>
              <w:rPr>
                <w:rFonts w:ascii="Sylfaen" w:hAnsi="Sylfaen"/>
                <w:sz w:val="20"/>
                <w:szCs w:val="20"/>
              </w:rPr>
            </w:pPr>
          </w:p>
        </w:tc>
      </w:tr>
      <w:tr w:rsidR="00582D41" w:rsidRPr="00271DE0" w:rsidTr="00582D41">
        <w:trPr>
          <w:trHeight w:val="247"/>
        </w:trPr>
        <w:tc>
          <w:tcPr>
            <w:tcW w:w="0" w:type="auto"/>
          </w:tcPr>
          <w:p w:rsidR="00582D41" w:rsidRPr="00271DE0" w:rsidRDefault="00582D41" w:rsidP="00465D6E">
            <w:pPr>
              <w:pStyle w:val="Default"/>
              <w:rPr>
                <w:rFonts w:ascii="Sylfaen" w:hAnsi="Sylfaen"/>
                <w:sz w:val="20"/>
                <w:szCs w:val="20"/>
              </w:rPr>
            </w:pPr>
            <w:r w:rsidRPr="00271DE0">
              <w:rPr>
                <w:rFonts w:ascii="Sylfaen" w:hAnsi="Sylfaen"/>
                <w:bCs/>
                <w:sz w:val="20"/>
                <w:szCs w:val="20"/>
              </w:rPr>
              <w:t xml:space="preserve">Annual Population Growth Rate %: </w:t>
            </w:r>
          </w:p>
        </w:tc>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3.9 (1975-2005) </w:t>
            </w:r>
          </w:p>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2.1 (2005-2015) </w:t>
            </w:r>
          </w:p>
        </w:tc>
        <w:tc>
          <w:tcPr>
            <w:tcW w:w="0" w:type="auto"/>
          </w:tcPr>
          <w:p w:rsidR="00582D41" w:rsidRPr="00271DE0" w:rsidRDefault="00582D41" w:rsidP="00465D6E">
            <w:pPr>
              <w:pStyle w:val="Default"/>
              <w:rPr>
                <w:rFonts w:ascii="Sylfaen" w:hAnsi="Sylfaen"/>
                <w:sz w:val="20"/>
                <w:szCs w:val="20"/>
              </w:rPr>
            </w:pPr>
          </w:p>
        </w:tc>
      </w:tr>
      <w:tr w:rsidR="00582D41" w:rsidRPr="00271DE0" w:rsidTr="00582D41">
        <w:trPr>
          <w:trHeight w:val="245"/>
        </w:trPr>
        <w:tc>
          <w:tcPr>
            <w:tcW w:w="0" w:type="auto"/>
          </w:tcPr>
          <w:p w:rsidR="00582D41" w:rsidRPr="00271DE0" w:rsidRDefault="00582D41" w:rsidP="00465D6E">
            <w:pPr>
              <w:pStyle w:val="Default"/>
              <w:rPr>
                <w:rFonts w:ascii="Sylfaen" w:hAnsi="Sylfaen"/>
                <w:sz w:val="20"/>
                <w:szCs w:val="20"/>
              </w:rPr>
            </w:pPr>
            <w:r w:rsidRPr="00271DE0">
              <w:rPr>
                <w:rFonts w:ascii="Sylfaen" w:hAnsi="Sylfaen"/>
                <w:bCs/>
                <w:sz w:val="20"/>
                <w:szCs w:val="20"/>
              </w:rPr>
              <w:t xml:space="preserve">Gross Domestic Product (GDP) per capita (PPP US$): </w:t>
            </w:r>
          </w:p>
        </w:tc>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$13,825 (2005) </w:t>
            </w:r>
          </w:p>
        </w:tc>
        <w:tc>
          <w:tcPr>
            <w:tcW w:w="0" w:type="auto"/>
          </w:tcPr>
          <w:p w:rsidR="00582D41" w:rsidRPr="00271DE0" w:rsidRDefault="00582D41" w:rsidP="00465D6E">
            <w:pPr>
              <w:pStyle w:val="Default"/>
              <w:rPr>
                <w:rFonts w:ascii="Sylfaen" w:hAnsi="Sylfaen"/>
                <w:sz w:val="20"/>
                <w:szCs w:val="20"/>
              </w:rPr>
            </w:pPr>
          </w:p>
        </w:tc>
      </w:tr>
      <w:tr w:rsidR="00582D41" w:rsidRPr="00271DE0" w:rsidTr="00582D41">
        <w:trPr>
          <w:trHeight w:val="111"/>
        </w:trPr>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Human Development Index (HDI) Rank: </w:t>
            </w:r>
          </w:p>
        </w:tc>
        <w:tc>
          <w:tcPr>
            <w:tcW w:w="0" w:type="auto"/>
          </w:tcPr>
          <w:p w:rsidR="00582D41" w:rsidRPr="00271DE0" w:rsidRDefault="00BD61A6" w:rsidP="00BD61A6">
            <w:pPr>
              <w:pStyle w:val="Default"/>
              <w:rPr>
                <w:rFonts w:ascii="Sylfaen" w:hAnsi="Sylfaen"/>
                <w:sz w:val="20"/>
                <w:szCs w:val="20"/>
              </w:rPr>
            </w:pPr>
            <w:r>
              <w:rPr>
                <w:rFonts w:ascii="Sylfaen" w:hAnsi="Sylfaen"/>
                <w:sz w:val="20"/>
                <w:szCs w:val="20"/>
              </w:rPr>
              <w:t>76 (2006</w:t>
            </w:r>
            <w:proofErr w:type="gramStart"/>
            <w:r>
              <w:rPr>
                <w:rFonts w:ascii="Sylfaen" w:hAnsi="Sylfaen"/>
                <w:sz w:val="20"/>
                <w:szCs w:val="20"/>
              </w:rPr>
              <w:t xml:space="preserve">)  </w:t>
            </w:r>
            <w:r w:rsidRPr="00271DE0">
              <w:rPr>
                <w:rFonts w:ascii="Sylfaen" w:hAnsi="Sylfaen"/>
                <w:sz w:val="20"/>
                <w:szCs w:val="20"/>
              </w:rPr>
              <w:t>61</w:t>
            </w:r>
            <w:proofErr w:type="gramEnd"/>
            <w:r w:rsidRPr="00271DE0">
              <w:rPr>
                <w:rFonts w:ascii="Sylfaen" w:hAnsi="Sylfaen"/>
                <w:sz w:val="20"/>
                <w:szCs w:val="20"/>
              </w:rPr>
              <w:t xml:space="preserve"> </w:t>
            </w:r>
            <w:r>
              <w:rPr>
                <w:rFonts w:ascii="Sylfaen" w:hAnsi="Sylfaen"/>
                <w:sz w:val="20"/>
                <w:szCs w:val="20"/>
              </w:rPr>
              <w:t>?    59 (2009)</w:t>
            </w:r>
            <w:r w:rsidR="00987D9D">
              <w:rPr>
                <w:rFonts w:ascii="Sylfaen" w:hAnsi="Sylfaen"/>
                <w:sz w:val="20"/>
                <w:szCs w:val="20"/>
              </w:rPr>
              <w:t xml:space="preserve">  56 (2011)</w:t>
            </w:r>
          </w:p>
        </w:tc>
        <w:tc>
          <w:tcPr>
            <w:tcW w:w="0" w:type="auto"/>
          </w:tcPr>
          <w:p w:rsidR="00582D41" w:rsidRPr="00271DE0" w:rsidRDefault="00352D92" w:rsidP="00465D6E">
            <w:pPr>
              <w:pStyle w:val="Default"/>
              <w:rPr>
                <w:rFonts w:ascii="Sylfaen" w:hAnsi="Sylfaen"/>
                <w:sz w:val="20"/>
                <w:szCs w:val="20"/>
              </w:rPr>
            </w:pPr>
            <w:r w:rsidRPr="00271DE0">
              <w:rPr>
                <w:rFonts w:ascii="Sylfaen" w:hAnsi="Sylfaen"/>
                <w:sz w:val="20"/>
                <w:szCs w:val="20"/>
              </w:rPr>
              <w:t>√</w:t>
            </w:r>
          </w:p>
        </w:tc>
      </w:tr>
      <w:tr w:rsidR="00582D41" w:rsidRPr="00271DE0" w:rsidTr="00582D41">
        <w:trPr>
          <w:trHeight w:val="111"/>
        </w:trPr>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Human Development Index (HDI) Value: </w:t>
            </w:r>
          </w:p>
        </w:tc>
        <w:tc>
          <w:tcPr>
            <w:tcW w:w="0" w:type="auto"/>
          </w:tcPr>
          <w:p w:rsidR="00582D41" w:rsidRPr="00271DE0" w:rsidRDefault="00352D92" w:rsidP="00465D6E">
            <w:pPr>
              <w:pStyle w:val="Default"/>
              <w:rPr>
                <w:rFonts w:ascii="Sylfaen" w:hAnsi="Sylfaen"/>
                <w:sz w:val="20"/>
                <w:szCs w:val="20"/>
              </w:rPr>
            </w:pPr>
            <w:r>
              <w:rPr>
                <w:rFonts w:ascii="Sylfaen" w:hAnsi="Sylfaen"/>
                <w:sz w:val="20"/>
                <w:szCs w:val="20"/>
              </w:rPr>
              <w:t xml:space="preserve">0.775 (2007); </w:t>
            </w:r>
            <w:r w:rsidR="00987D9D">
              <w:rPr>
                <w:rFonts w:ascii="Sylfaen" w:hAnsi="Sylfaen"/>
                <w:sz w:val="20"/>
                <w:szCs w:val="20"/>
              </w:rPr>
              <w:t>0.770 (2011)</w:t>
            </w:r>
          </w:p>
        </w:tc>
        <w:tc>
          <w:tcPr>
            <w:tcW w:w="0" w:type="auto"/>
          </w:tcPr>
          <w:p w:rsidR="00582D41" w:rsidRPr="00271DE0" w:rsidRDefault="00352D92" w:rsidP="00465D6E">
            <w:pPr>
              <w:pStyle w:val="Default"/>
              <w:rPr>
                <w:rFonts w:ascii="Sylfaen" w:hAnsi="Sylfaen"/>
                <w:sz w:val="20"/>
                <w:szCs w:val="20"/>
              </w:rPr>
            </w:pPr>
            <w:r w:rsidRPr="00271DE0">
              <w:rPr>
                <w:rFonts w:ascii="Sylfaen" w:hAnsi="Sylfaen"/>
                <w:sz w:val="20"/>
                <w:szCs w:val="20"/>
              </w:rPr>
              <w:t>√</w:t>
            </w:r>
          </w:p>
        </w:tc>
      </w:tr>
      <w:tr w:rsidR="00582D41" w:rsidRPr="00271DE0" w:rsidTr="00582D41">
        <w:trPr>
          <w:trHeight w:val="111"/>
        </w:trPr>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Gender Development Index (GDI) Rank: </w:t>
            </w:r>
          </w:p>
        </w:tc>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70 </w:t>
            </w:r>
          </w:p>
        </w:tc>
        <w:tc>
          <w:tcPr>
            <w:tcW w:w="0" w:type="auto"/>
          </w:tcPr>
          <w:p w:rsidR="00582D41" w:rsidRPr="00271DE0" w:rsidRDefault="00582D41" w:rsidP="00465D6E">
            <w:pPr>
              <w:pStyle w:val="Default"/>
              <w:rPr>
                <w:rFonts w:ascii="Sylfaen" w:hAnsi="Sylfaen"/>
                <w:sz w:val="20"/>
                <w:szCs w:val="20"/>
              </w:rPr>
            </w:pPr>
          </w:p>
        </w:tc>
      </w:tr>
      <w:tr w:rsidR="00582D41" w:rsidRPr="00271DE0" w:rsidTr="00582D41">
        <w:trPr>
          <w:trHeight w:val="245"/>
        </w:trPr>
        <w:tc>
          <w:tcPr>
            <w:tcW w:w="0" w:type="auto"/>
          </w:tcPr>
          <w:p w:rsidR="00582D41" w:rsidRPr="00271DE0" w:rsidRDefault="00582D41" w:rsidP="00465D6E">
            <w:pPr>
              <w:pStyle w:val="Default"/>
              <w:rPr>
                <w:rFonts w:ascii="Sylfaen" w:hAnsi="Sylfaen"/>
                <w:sz w:val="20"/>
                <w:szCs w:val="20"/>
              </w:rPr>
            </w:pPr>
            <w:r w:rsidRPr="00271DE0">
              <w:rPr>
                <w:rFonts w:ascii="Sylfaen" w:hAnsi="Sylfaen"/>
                <w:bCs/>
                <w:sz w:val="20"/>
                <w:szCs w:val="20"/>
              </w:rPr>
              <w:t xml:space="preserve">Ratio of Estimated Female to Male Earned Income </w:t>
            </w:r>
          </w:p>
        </w:tc>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0.16 </w:t>
            </w:r>
          </w:p>
        </w:tc>
        <w:tc>
          <w:tcPr>
            <w:tcW w:w="0" w:type="auto"/>
          </w:tcPr>
          <w:p w:rsidR="00582D41" w:rsidRPr="00271DE0" w:rsidRDefault="00582D41" w:rsidP="00465D6E">
            <w:pPr>
              <w:pStyle w:val="Default"/>
              <w:rPr>
                <w:rFonts w:ascii="Sylfaen" w:hAnsi="Sylfaen"/>
                <w:sz w:val="20"/>
                <w:szCs w:val="20"/>
              </w:rPr>
            </w:pPr>
          </w:p>
        </w:tc>
      </w:tr>
      <w:tr w:rsidR="00582D41" w:rsidRPr="00271DE0" w:rsidTr="00582D41">
        <w:trPr>
          <w:trHeight w:val="111"/>
        </w:trPr>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Health Expenditure Per Capita (PPP US$): </w:t>
            </w:r>
          </w:p>
        </w:tc>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601 (2004) </w:t>
            </w:r>
          </w:p>
        </w:tc>
        <w:tc>
          <w:tcPr>
            <w:tcW w:w="0" w:type="auto"/>
          </w:tcPr>
          <w:p w:rsidR="00582D41" w:rsidRPr="00271DE0" w:rsidRDefault="00582D41" w:rsidP="00465D6E">
            <w:pPr>
              <w:pStyle w:val="Default"/>
              <w:rPr>
                <w:rFonts w:ascii="Sylfaen" w:hAnsi="Sylfaen"/>
                <w:sz w:val="20"/>
                <w:szCs w:val="20"/>
              </w:rPr>
            </w:pPr>
          </w:p>
        </w:tc>
      </w:tr>
      <w:tr w:rsidR="00582D41" w:rsidRPr="00271DE0" w:rsidTr="00582D41">
        <w:trPr>
          <w:trHeight w:val="247"/>
        </w:trPr>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Life Expectancy at Birth (years): </w:t>
            </w:r>
          </w:p>
        </w:tc>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53.9 (1970-1975) </w:t>
            </w:r>
          </w:p>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71.6 (2000-2005) </w:t>
            </w:r>
          </w:p>
        </w:tc>
        <w:tc>
          <w:tcPr>
            <w:tcW w:w="0" w:type="auto"/>
          </w:tcPr>
          <w:p w:rsidR="00582D41" w:rsidRPr="00271DE0" w:rsidRDefault="00582D41" w:rsidP="00465D6E">
            <w:pPr>
              <w:pStyle w:val="Default"/>
              <w:rPr>
                <w:rFonts w:ascii="Sylfaen" w:hAnsi="Sylfaen"/>
                <w:sz w:val="20"/>
                <w:szCs w:val="20"/>
              </w:rPr>
            </w:pPr>
          </w:p>
        </w:tc>
      </w:tr>
      <w:tr w:rsidR="00582D41" w:rsidRPr="00271DE0" w:rsidTr="00582D41">
        <w:trPr>
          <w:trHeight w:val="385"/>
        </w:trPr>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Public Expenditure on Education </w:t>
            </w:r>
          </w:p>
        </w:tc>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6.8 (as a % of GDP 2002-2005) </w:t>
            </w:r>
          </w:p>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27.6 (as a % of total government expenditure 2002-2005) </w:t>
            </w:r>
          </w:p>
        </w:tc>
        <w:tc>
          <w:tcPr>
            <w:tcW w:w="0" w:type="auto"/>
          </w:tcPr>
          <w:p w:rsidR="00582D41" w:rsidRPr="00271DE0" w:rsidRDefault="00582D41" w:rsidP="00465D6E">
            <w:pPr>
              <w:pStyle w:val="Default"/>
              <w:rPr>
                <w:rFonts w:ascii="Sylfaen" w:hAnsi="Sylfaen"/>
                <w:sz w:val="20"/>
                <w:szCs w:val="20"/>
              </w:rPr>
            </w:pPr>
          </w:p>
        </w:tc>
      </w:tr>
      <w:tr w:rsidR="00582D41" w:rsidRPr="00271DE0" w:rsidTr="00582D41">
        <w:trPr>
          <w:trHeight w:val="247"/>
        </w:trPr>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Youth Literacy Rate (% aged 15-24): </w:t>
            </w:r>
          </w:p>
        </w:tc>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87.9 (1985-1994) </w:t>
            </w:r>
          </w:p>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95.8 (1995-2005) </w:t>
            </w:r>
          </w:p>
        </w:tc>
        <w:tc>
          <w:tcPr>
            <w:tcW w:w="0" w:type="auto"/>
          </w:tcPr>
          <w:p w:rsidR="00582D41" w:rsidRPr="00271DE0" w:rsidRDefault="00582D41" w:rsidP="00465D6E">
            <w:pPr>
              <w:pStyle w:val="Default"/>
              <w:rPr>
                <w:rFonts w:ascii="Sylfaen" w:hAnsi="Sylfaen"/>
                <w:sz w:val="20"/>
                <w:szCs w:val="20"/>
              </w:rPr>
            </w:pPr>
          </w:p>
        </w:tc>
      </w:tr>
      <w:tr w:rsidR="00582D41" w:rsidRPr="00271DE0" w:rsidTr="00582D41">
        <w:trPr>
          <w:trHeight w:val="247"/>
        </w:trPr>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Adult Literacy Rate (% aged 15&lt;): </w:t>
            </w:r>
          </w:p>
        </w:tc>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70.8 (1985-1994) </w:t>
            </w:r>
          </w:p>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82.9 (1995-2005) </w:t>
            </w:r>
          </w:p>
        </w:tc>
        <w:tc>
          <w:tcPr>
            <w:tcW w:w="0" w:type="auto"/>
          </w:tcPr>
          <w:p w:rsidR="00582D41" w:rsidRPr="00271DE0" w:rsidRDefault="00582D41" w:rsidP="00465D6E">
            <w:pPr>
              <w:pStyle w:val="Default"/>
              <w:rPr>
                <w:rFonts w:ascii="Sylfaen" w:hAnsi="Sylfaen"/>
                <w:sz w:val="20"/>
                <w:szCs w:val="20"/>
              </w:rPr>
            </w:pPr>
          </w:p>
        </w:tc>
      </w:tr>
      <w:tr w:rsidR="0069743F" w:rsidRPr="00271DE0" w:rsidTr="00465D6E">
        <w:trPr>
          <w:trHeight w:val="247"/>
        </w:trPr>
        <w:tc>
          <w:tcPr>
            <w:tcW w:w="0" w:type="auto"/>
          </w:tcPr>
          <w:p w:rsidR="0069743F" w:rsidRPr="00271DE0" w:rsidRDefault="0069743F" w:rsidP="00465D6E">
            <w:pPr>
              <w:pStyle w:val="Default"/>
              <w:rPr>
                <w:rFonts w:ascii="Sylfaen" w:hAnsi="Sylfaen"/>
                <w:i/>
                <w:sz w:val="20"/>
                <w:szCs w:val="20"/>
                <w:u w:val="single"/>
              </w:rPr>
            </w:pPr>
            <w:r w:rsidRPr="00271DE0">
              <w:rPr>
                <w:rFonts w:ascii="Sylfaen" w:hAnsi="Sylfaen"/>
                <w:i/>
                <w:sz w:val="20"/>
                <w:szCs w:val="20"/>
                <w:u w:val="single"/>
              </w:rPr>
              <w:t>[Replace below with economic, HDR indicators]</w:t>
            </w:r>
          </w:p>
        </w:tc>
        <w:tc>
          <w:tcPr>
            <w:tcW w:w="0" w:type="auto"/>
          </w:tcPr>
          <w:p w:rsidR="0069743F" w:rsidRPr="00271DE0" w:rsidRDefault="0069743F" w:rsidP="00465D6E">
            <w:pPr>
              <w:pStyle w:val="Default"/>
              <w:rPr>
                <w:rFonts w:ascii="Sylfaen" w:hAnsi="Sylfaen"/>
                <w:sz w:val="20"/>
                <w:szCs w:val="20"/>
              </w:rPr>
            </w:pPr>
          </w:p>
        </w:tc>
        <w:tc>
          <w:tcPr>
            <w:tcW w:w="0" w:type="auto"/>
          </w:tcPr>
          <w:p w:rsidR="0069743F" w:rsidRPr="00271DE0" w:rsidRDefault="0069743F" w:rsidP="00465D6E">
            <w:pPr>
              <w:pStyle w:val="Default"/>
              <w:rPr>
                <w:rFonts w:ascii="Sylfaen" w:hAnsi="Sylfaen"/>
                <w:sz w:val="20"/>
                <w:szCs w:val="20"/>
              </w:rPr>
            </w:pPr>
          </w:p>
        </w:tc>
      </w:tr>
      <w:tr w:rsidR="0069743F" w:rsidRPr="00271DE0" w:rsidTr="00465D6E">
        <w:trPr>
          <w:trHeight w:val="247"/>
        </w:trPr>
        <w:tc>
          <w:tcPr>
            <w:tcW w:w="0" w:type="auto"/>
          </w:tcPr>
          <w:p w:rsidR="0069743F" w:rsidRPr="00271DE0" w:rsidRDefault="0069743F" w:rsidP="00465D6E">
            <w:pPr>
              <w:pStyle w:val="Default"/>
              <w:rPr>
                <w:rFonts w:ascii="Sylfaen" w:hAnsi="Sylfaen"/>
                <w:sz w:val="20"/>
                <w:szCs w:val="20"/>
              </w:rPr>
            </w:pPr>
          </w:p>
        </w:tc>
        <w:tc>
          <w:tcPr>
            <w:tcW w:w="0" w:type="auto"/>
          </w:tcPr>
          <w:p w:rsidR="0069743F" w:rsidRPr="00271DE0" w:rsidRDefault="0069743F" w:rsidP="00465D6E">
            <w:pPr>
              <w:pStyle w:val="Default"/>
              <w:rPr>
                <w:rFonts w:ascii="Sylfaen" w:hAnsi="Sylfaen"/>
                <w:sz w:val="20"/>
                <w:szCs w:val="20"/>
              </w:rPr>
            </w:pPr>
          </w:p>
        </w:tc>
        <w:tc>
          <w:tcPr>
            <w:tcW w:w="0" w:type="auto"/>
          </w:tcPr>
          <w:p w:rsidR="0069743F" w:rsidRPr="00271DE0" w:rsidRDefault="0069743F" w:rsidP="00465D6E">
            <w:pPr>
              <w:pStyle w:val="Default"/>
              <w:rPr>
                <w:rFonts w:ascii="Sylfaen" w:hAnsi="Sylfaen"/>
                <w:sz w:val="20"/>
                <w:szCs w:val="20"/>
              </w:rPr>
            </w:pPr>
          </w:p>
        </w:tc>
      </w:tr>
      <w:tr w:rsidR="0069743F" w:rsidRPr="00271DE0" w:rsidTr="00582D41">
        <w:trPr>
          <w:trHeight w:val="247"/>
        </w:trPr>
        <w:tc>
          <w:tcPr>
            <w:tcW w:w="0" w:type="auto"/>
          </w:tcPr>
          <w:p w:rsidR="0069743F" w:rsidRPr="00271DE0" w:rsidRDefault="0069743F" w:rsidP="00465D6E">
            <w:pPr>
              <w:pStyle w:val="Default"/>
              <w:rPr>
                <w:rFonts w:ascii="Sylfaen" w:hAnsi="Sylfaen"/>
                <w:sz w:val="20"/>
                <w:szCs w:val="20"/>
              </w:rPr>
            </w:pPr>
          </w:p>
        </w:tc>
        <w:tc>
          <w:tcPr>
            <w:tcW w:w="0" w:type="auto"/>
          </w:tcPr>
          <w:p w:rsidR="0069743F" w:rsidRPr="00271DE0" w:rsidRDefault="0069743F" w:rsidP="00465D6E">
            <w:pPr>
              <w:pStyle w:val="Default"/>
              <w:rPr>
                <w:rFonts w:ascii="Sylfaen" w:hAnsi="Sylfaen"/>
                <w:sz w:val="20"/>
                <w:szCs w:val="20"/>
              </w:rPr>
            </w:pPr>
          </w:p>
        </w:tc>
        <w:tc>
          <w:tcPr>
            <w:tcW w:w="0" w:type="auto"/>
          </w:tcPr>
          <w:p w:rsidR="0069743F" w:rsidRPr="00271DE0" w:rsidRDefault="0069743F" w:rsidP="00465D6E">
            <w:pPr>
              <w:pStyle w:val="Default"/>
              <w:rPr>
                <w:rFonts w:ascii="Sylfaen" w:hAnsi="Sylfaen"/>
                <w:sz w:val="20"/>
                <w:szCs w:val="20"/>
              </w:rPr>
            </w:pPr>
          </w:p>
        </w:tc>
      </w:tr>
      <w:tr w:rsidR="00582D41" w:rsidRPr="00271DE0" w:rsidTr="00582D41">
        <w:trPr>
          <w:trHeight w:val="247"/>
        </w:trPr>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Electricity Consumption Per Capita: </w:t>
            </w:r>
          </w:p>
        </w:tc>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6.902 (Kilowatt-hours) 2004 </w:t>
            </w:r>
          </w:p>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57.9 (% Change) 1990-2004 </w:t>
            </w:r>
          </w:p>
        </w:tc>
        <w:tc>
          <w:tcPr>
            <w:tcW w:w="0" w:type="auto"/>
          </w:tcPr>
          <w:p w:rsidR="00582D41" w:rsidRPr="00271DE0" w:rsidRDefault="00582D41" w:rsidP="00465D6E">
            <w:pPr>
              <w:pStyle w:val="Default"/>
              <w:rPr>
                <w:rFonts w:ascii="Sylfaen" w:hAnsi="Sylfaen"/>
                <w:sz w:val="20"/>
                <w:szCs w:val="20"/>
              </w:rPr>
            </w:pPr>
          </w:p>
        </w:tc>
      </w:tr>
      <w:tr w:rsidR="00582D41" w:rsidRPr="00271DE0" w:rsidTr="00582D41">
        <w:trPr>
          <w:trHeight w:val="247"/>
        </w:trPr>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Unemployed People (thousands) </w:t>
            </w:r>
          </w:p>
        </w:tc>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327 (1996-2005) </w:t>
            </w:r>
          </w:p>
        </w:tc>
        <w:tc>
          <w:tcPr>
            <w:tcW w:w="0" w:type="auto"/>
          </w:tcPr>
          <w:p w:rsidR="00582D41" w:rsidRPr="00271DE0" w:rsidRDefault="00582D41" w:rsidP="00465D6E">
            <w:pPr>
              <w:pStyle w:val="Default"/>
              <w:rPr>
                <w:rFonts w:ascii="Sylfaen" w:hAnsi="Sylfaen"/>
                <w:sz w:val="20"/>
                <w:szCs w:val="20"/>
              </w:rPr>
            </w:pPr>
          </w:p>
        </w:tc>
      </w:tr>
      <w:tr w:rsidR="00582D41" w:rsidRPr="00271DE0" w:rsidTr="00582D41">
        <w:trPr>
          <w:trHeight w:val="247"/>
        </w:trPr>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Unemployment Rate (% of labor force) </w:t>
            </w:r>
          </w:p>
        </w:tc>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5.2 (1996-2005) </w:t>
            </w:r>
          </w:p>
        </w:tc>
        <w:tc>
          <w:tcPr>
            <w:tcW w:w="0" w:type="auto"/>
          </w:tcPr>
          <w:p w:rsidR="00582D41" w:rsidRPr="00271DE0" w:rsidRDefault="00582D41" w:rsidP="00465D6E">
            <w:pPr>
              <w:pStyle w:val="Default"/>
              <w:rPr>
                <w:rFonts w:ascii="Sylfaen" w:hAnsi="Sylfaen"/>
                <w:sz w:val="20"/>
                <w:szCs w:val="20"/>
              </w:rPr>
            </w:pPr>
          </w:p>
        </w:tc>
      </w:tr>
      <w:tr w:rsidR="00582D41" w:rsidRPr="00271DE0" w:rsidTr="00582D41">
        <w:trPr>
          <w:trHeight w:val="247"/>
        </w:trPr>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Population without Electricity (millions) </w:t>
            </w:r>
          </w:p>
        </w:tc>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0.5 (2005) </w:t>
            </w:r>
          </w:p>
        </w:tc>
        <w:tc>
          <w:tcPr>
            <w:tcW w:w="0" w:type="auto"/>
          </w:tcPr>
          <w:p w:rsidR="00582D41" w:rsidRPr="00271DE0" w:rsidRDefault="00582D41" w:rsidP="00465D6E">
            <w:pPr>
              <w:pStyle w:val="Default"/>
              <w:rPr>
                <w:rFonts w:ascii="Sylfaen" w:hAnsi="Sylfaen"/>
                <w:sz w:val="20"/>
                <w:szCs w:val="20"/>
              </w:rPr>
            </w:pPr>
          </w:p>
        </w:tc>
      </w:tr>
      <w:tr w:rsidR="00582D41" w:rsidRPr="00271DE0" w:rsidTr="00582D41">
        <w:trPr>
          <w:trHeight w:val="247"/>
        </w:trPr>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Total Carbon Dioxide Emissions </w:t>
            </w:r>
          </w:p>
        </w:tc>
        <w:tc>
          <w:tcPr>
            <w:tcW w:w="0" w:type="auto"/>
          </w:tcPr>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254.8 (1990) </w:t>
            </w:r>
          </w:p>
          <w:p w:rsidR="00582D41" w:rsidRPr="00271DE0" w:rsidRDefault="00582D41" w:rsidP="00465D6E">
            <w:pPr>
              <w:pStyle w:val="Default"/>
              <w:rPr>
                <w:rFonts w:ascii="Sylfaen" w:hAnsi="Sylfaen"/>
                <w:sz w:val="20"/>
                <w:szCs w:val="20"/>
              </w:rPr>
            </w:pPr>
            <w:r w:rsidRPr="00271DE0">
              <w:rPr>
                <w:rFonts w:ascii="Sylfaen" w:hAnsi="Sylfaen"/>
                <w:sz w:val="20"/>
                <w:szCs w:val="20"/>
              </w:rPr>
              <w:t xml:space="preserve">308.2 (2004) </w:t>
            </w:r>
          </w:p>
        </w:tc>
        <w:tc>
          <w:tcPr>
            <w:tcW w:w="0" w:type="auto"/>
          </w:tcPr>
          <w:p w:rsidR="00582D41" w:rsidRPr="00271DE0" w:rsidRDefault="00582D41" w:rsidP="00465D6E">
            <w:pPr>
              <w:pStyle w:val="Default"/>
              <w:rPr>
                <w:rFonts w:ascii="Sylfaen" w:hAnsi="Sylfaen"/>
                <w:sz w:val="20"/>
                <w:szCs w:val="20"/>
              </w:rPr>
            </w:pPr>
          </w:p>
        </w:tc>
      </w:tr>
    </w:tbl>
    <w:p w:rsidR="00F06AC7" w:rsidRDefault="0099227F" w:rsidP="0099227F">
      <w:pPr>
        <w:rPr>
          <w:kern w:val="28"/>
        </w:rPr>
      </w:pPr>
      <w:r>
        <w:rPr>
          <w:kern w:val="28"/>
        </w:rPr>
        <w:t xml:space="preserve">Note:  </w:t>
      </w:r>
      <w:r w:rsidRPr="00271DE0">
        <w:rPr>
          <w:kern w:val="28"/>
          <w:vertAlign w:val="superscript"/>
        </w:rPr>
        <w:t>e</w:t>
      </w:r>
      <w:r>
        <w:rPr>
          <w:kern w:val="28"/>
        </w:rPr>
        <w:t xml:space="preserve"> = estimate</w:t>
      </w:r>
      <w:proofErr w:type="gramStart"/>
      <w:r>
        <w:rPr>
          <w:kern w:val="28"/>
        </w:rPr>
        <w:t xml:space="preserve">;  </w:t>
      </w:r>
      <w:r w:rsidRPr="00271DE0">
        <w:rPr>
          <w:kern w:val="28"/>
          <w:vertAlign w:val="superscript"/>
        </w:rPr>
        <w:t>p</w:t>
      </w:r>
      <w:proofErr w:type="gramEnd"/>
      <w:r>
        <w:rPr>
          <w:kern w:val="28"/>
        </w:rPr>
        <w:t xml:space="preserve"> = projected</w:t>
      </w:r>
    </w:p>
    <w:p w:rsidR="00F06AC7" w:rsidRDefault="00F06AC7" w:rsidP="00271DE0">
      <w:pPr>
        <w:rPr>
          <w:kern w:val="28"/>
        </w:rPr>
      </w:pPr>
      <w:r>
        <w:rPr>
          <w:kern w:val="28"/>
        </w:rPr>
        <w:lastRenderedPageBreak/>
        <w:br w:type="page"/>
      </w:r>
    </w:p>
    <w:p w:rsidR="0011171D" w:rsidRDefault="0011171D" w:rsidP="004A0A24">
      <w:pPr>
        <w:pStyle w:val="Title"/>
      </w:pPr>
      <w:r w:rsidRPr="004A0A24">
        <w:t xml:space="preserve">Outcome Evaluation, </w:t>
      </w:r>
      <w:r w:rsidR="004A0A24" w:rsidRPr="004A0A24">
        <w:t>Economic</w:t>
      </w:r>
      <w:r w:rsidR="004A0A24">
        <w:t xml:space="preserve"> </w:t>
      </w:r>
      <w:r w:rsidR="0069037D" w:rsidRPr="004A0A24">
        <w:t>Diversification</w:t>
      </w:r>
    </w:p>
    <w:p w:rsidR="004A0A24" w:rsidRDefault="004A0A24" w:rsidP="004A0A24">
      <w:pPr>
        <w:pStyle w:val="Subtitle"/>
      </w:pPr>
      <w:r>
        <w:t>UNDP Saudi Arabia, 2007-11</w:t>
      </w:r>
    </w:p>
    <w:sdt>
      <w:sdtPr>
        <w:rPr>
          <w:rFonts w:ascii="Sylfaen" w:eastAsiaTheme="minorHAnsi" w:hAnsi="Sylfaen" w:cstheme="minorBidi"/>
          <w:b w:val="0"/>
          <w:bCs w:val="0"/>
          <w:color w:val="auto"/>
          <w:sz w:val="22"/>
          <w:szCs w:val="22"/>
          <w:lang w:val="en-GB"/>
        </w:rPr>
        <w:id w:val="22483707"/>
        <w:docPartObj>
          <w:docPartGallery w:val="Table of Contents"/>
          <w:docPartUnique/>
        </w:docPartObj>
      </w:sdtPr>
      <w:sdtContent>
        <w:p w:rsidR="00A351AA" w:rsidRDefault="00A351AA">
          <w:pPr>
            <w:pStyle w:val="TOCHeading"/>
          </w:pPr>
          <w:r>
            <w:t>Contents</w:t>
          </w:r>
        </w:p>
        <w:p w:rsidR="00BC1135" w:rsidRDefault="00D96907">
          <w:pPr>
            <w:pStyle w:val="TOC1"/>
            <w:tabs>
              <w:tab w:val="right" w:leader="dot" w:pos="9465"/>
            </w:tabs>
            <w:rPr>
              <w:rFonts w:asciiTheme="minorHAnsi" w:eastAsiaTheme="minorEastAsia" w:hAnsiTheme="minorHAnsi"/>
              <w:noProof/>
              <w:lang w:val="en-CA" w:eastAsia="en-CA"/>
            </w:rPr>
          </w:pPr>
          <w:r>
            <w:fldChar w:fldCharType="begin"/>
          </w:r>
          <w:r w:rsidR="003E617F">
            <w:instrText xml:space="preserve"> TOC \o "1-4" \h \z \u </w:instrText>
          </w:r>
          <w:r>
            <w:fldChar w:fldCharType="separate"/>
          </w:r>
          <w:hyperlink w:anchor="_Toc325871754" w:history="1">
            <w:r w:rsidR="00BC1135" w:rsidRPr="00093885">
              <w:rPr>
                <w:rStyle w:val="Hyperlink"/>
                <w:noProof/>
              </w:rPr>
              <w:t>Abbreviations</w:t>
            </w:r>
            <w:r w:rsidR="00BC1135">
              <w:rPr>
                <w:noProof/>
                <w:webHidden/>
              </w:rPr>
              <w:tab/>
            </w:r>
            <w:r>
              <w:rPr>
                <w:noProof/>
                <w:webHidden/>
              </w:rPr>
              <w:fldChar w:fldCharType="begin"/>
            </w:r>
            <w:r w:rsidR="00BC1135">
              <w:rPr>
                <w:noProof/>
                <w:webHidden/>
              </w:rPr>
              <w:instrText xml:space="preserve"> PAGEREF _Toc325871754 \h </w:instrText>
            </w:r>
            <w:r>
              <w:rPr>
                <w:noProof/>
                <w:webHidden/>
              </w:rPr>
            </w:r>
            <w:r>
              <w:rPr>
                <w:noProof/>
                <w:webHidden/>
              </w:rPr>
              <w:fldChar w:fldCharType="separate"/>
            </w:r>
            <w:r w:rsidR="00BC1135">
              <w:rPr>
                <w:noProof/>
                <w:webHidden/>
              </w:rPr>
              <w:t>6</w:t>
            </w:r>
            <w:r>
              <w:rPr>
                <w:noProof/>
                <w:webHidden/>
              </w:rPr>
              <w:fldChar w:fldCharType="end"/>
            </w:r>
          </w:hyperlink>
        </w:p>
        <w:p w:rsidR="00BC1135" w:rsidRDefault="00D96907">
          <w:pPr>
            <w:pStyle w:val="TOC1"/>
            <w:tabs>
              <w:tab w:val="right" w:leader="dot" w:pos="9465"/>
            </w:tabs>
            <w:rPr>
              <w:rFonts w:asciiTheme="minorHAnsi" w:eastAsiaTheme="minorEastAsia" w:hAnsiTheme="minorHAnsi"/>
              <w:noProof/>
              <w:lang w:val="en-CA" w:eastAsia="en-CA"/>
            </w:rPr>
          </w:pPr>
          <w:hyperlink w:anchor="_Toc325871755" w:history="1">
            <w:r w:rsidR="00BC1135" w:rsidRPr="00093885">
              <w:rPr>
                <w:rStyle w:val="Hyperlink"/>
                <w:noProof/>
              </w:rPr>
              <w:t>Executive Summary</w:t>
            </w:r>
            <w:r w:rsidR="00BC1135">
              <w:rPr>
                <w:noProof/>
                <w:webHidden/>
              </w:rPr>
              <w:tab/>
            </w:r>
            <w:r>
              <w:rPr>
                <w:noProof/>
                <w:webHidden/>
              </w:rPr>
              <w:fldChar w:fldCharType="begin"/>
            </w:r>
            <w:r w:rsidR="00BC1135">
              <w:rPr>
                <w:noProof/>
                <w:webHidden/>
              </w:rPr>
              <w:instrText xml:space="preserve"> PAGEREF _Toc325871755 \h </w:instrText>
            </w:r>
            <w:r>
              <w:rPr>
                <w:noProof/>
                <w:webHidden/>
              </w:rPr>
            </w:r>
            <w:r>
              <w:rPr>
                <w:noProof/>
                <w:webHidden/>
              </w:rPr>
              <w:fldChar w:fldCharType="separate"/>
            </w:r>
            <w:r w:rsidR="00BC1135">
              <w:rPr>
                <w:noProof/>
                <w:webHidden/>
              </w:rPr>
              <w:t>7</w:t>
            </w:r>
            <w:r>
              <w:rPr>
                <w:noProof/>
                <w:webHidden/>
              </w:rPr>
              <w:fldChar w:fldCharType="end"/>
            </w:r>
          </w:hyperlink>
        </w:p>
        <w:p w:rsidR="00BC1135" w:rsidRDefault="00D96907">
          <w:pPr>
            <w:pStyle w:val="TOC1"/>
            <w:tabs>
              <w:tab w:val="left" w:pos="440"/>
              <w:tab w:val="right" w:leader="dot" w:pos="9465"/>
            </w:tabs>
            <w:rPr>
              <w:rFonts w:asciiTheme="minorHAnsi" w:eastAsiaTheme="minorEastAsia" w:hAnsiTheme="minorHAnsi"/>
              <w:noProof/>
              <w:lang w:val="en-CA" w:eastAsia="en-CA"/>
            </w:rPr>
          </w:pPr>
          <w:hyperlink w:anchor="_Toc325871756" w:history="1">
            <w:r w:rsidR="00BC1135" w:rsidRPr="00093885">
              <w:rPr>
                <w:rStyle w:val="Hyperlink"/>
                <w:noProof/>
              </w:rPr>
              <w:t>1.</w:t>
            </w:r>
            <w:r w:rsidR="00BC1135">
              <w:rPr>
                <w:rFonts w:asciiTheme="minorHAnsi" w:eastAsiaTheme="minorEastAsia" w:hAnsiTheme="minorHAnsi"/>
                <w:noProof/>
                <w:lang w:val="en-CA" w:eastAsia="en-CA"/>
              </w:rPr>
              <w:tab/>
            </w:r>
            <w:r w:rsidR="00BC1135" w:rsidRPr="00093885">
              <w:rPr>
                <w:rStyle w:val="Hyperlink"/>
                <w:noProof/>
              </w:rPr>
              <w:t>Introduction</w:t>
            </w:r>
            <w:r w:rsidR="00BC1135">
              <w:rPr>
                <w:noProof/>
                <w:webHidden/>
              </w:rPr>
              <w:tab/>
            </w:r>
            <w:r>
              <w:rPr>
                <w:noProof/>
                <w:webHidden/>
              </w:rPr>
              <w:fldChar w:fldCharType="begin"/>
            </w:r>
            <w:r w:rsidR="00BC1135">
              <w:rPr>
                <w:noProof/>
                <w:webHidden/>
              </w:rPr>
              <w:instrText xml:space="preserve"> PAGEREF _Toc325871756 \h </w:instrText>
            </w:r>
            <w:r>
              <w:rPr>
                <w:noProof/>
                <w:webHidden/>
              </w:rPr>
            </w:r>
            <w:r>
              <w:rPr>
                <w:noProof/>
                <w:webHidden/>
              </w:rPr>
              <w:fldChar w:fldCharType="separate"/>
            </w:r>
            <w:r w:rsidR="00BC1135">
              <w:rPr>
                <w:noProof/>
                <w:webHidden/>
              </w:rPr>
              <w:t>10</w:t>
            </w:r>
            <w:r>
              <w:rPr>
                <w:noProof/>
                <w:webHidden/>
              </w:rPr>
              <w:fldChar w:fldCharType="end"/>
            </w:r>
          </w:hyperlink>
        </w:p>
        <w:p w:rsidR="00BC1135" w:rsidRDefault="00D96907">
          <w:pPr>
            <w:pStyle w:val="TOC1"/>
            <w:tabs>
              <w:tab w:val="left" w:pos="440"/>
              <w:tab w:val="right" w:leader="dot" w:pos="9465"/>
            </w:tabs>
            <w:rPr>
              <w:rFonts w:asciiTheme="minorHAnsi" w:eastAsiaTheme="minorEastAsia" w:hAnsiTheme="minorHAnsi"/>
              <w:noProof/>
              <w:lang w:val="en-CA" w:eastAsia="en-CA"/>
            </w:rPr>
          </w:pPr>
          <w:hyperlink w:anchor="_Toc325871757" w:history="1">
            <w:r w:rsidR="00BC1135" w:rsidRPr="00093885">
              <w:rPr>
                <w:rStyle w:val="Hyperlink"/>
                <w:noProof/>
              </w:rPr>
              <w:t>2.</w:t>
            </w:r>
            <w:r w:rsidR="00BC1135">
              <w:rPr>
                <w:rFonts w:asciiTheme="minorHAnsi" w:eastAsiaTheme="minorEastAsia" w:hAnsiTheme="minorHAnsi"/>
                <w:noProof/>
                <w:lang w:val="en-CA" w:eastAsia="en-CA"/>
              </w:rPr>
              <w:tab/>
            </w:r>
            <w:r w:rsidR="00BC1135" w:rsidRPr="00093885">
              <w:rPr>
                <w:rStyle w:val="Hyperlink"/>
                <w:noProof/>
              </w:rPr>
              <w:t>Saudi Arabia and the Development Context</w:t>
            </w:r>
            <w:r w:rsidR="00BC1135">
              <w:rPr>
                <w:noProof/>
                <w:webHidden/>
              </w:rPr>
              <w:tab/>
            </w:r>
            <w:r>
              <w:rPr>
                <w:noProof/>
                <w:webHidden/>
              </w:rPr>
              <w:fldChar w:fldCharType="begin"/>
            </w:r>
            <w:r w:rsidR="00BC1135">
              <w:rPr>
                <w:noProof/>
                <w:webHidden/>
              </w:rPr>
              <w:instrText xml:space="preserve"> PAGEREF _Toc325871757 \h </w:instrText>
            </w:r>
            <w:r>
              <w:rPr>
                <w:noProof/>
                <w:webHidden/>
              </w:rPr>
            </w:r>
            <w:r>
              <w:rPr>
                <w:noProof/>
                <w:webHidden/>
              </w:rPr>
              <w:fldChar w:fldCharType="separate"/>
            </w:r>
            <w:r w:rsidR="00BC1135">
              <w:rPr>
                <w:noProof/>
                <w:webHidden/>
              </w:rPr>
              <w:t>13</w:t>
            </w:r>
            <w:r>
              <w:rPr>
                <w:noProof/>
                <w:webHidden/>
              </w:rPr>
              <w:fldChar w:fldCharType="end"/>
            </w:r>
          </w:hyperlink>
        </w:p>
        <w:p w:rsidR="00BC1135" w:rsidRDefault="00D96907">
          <w:pPr>
            <w:pStyle w:val="TOC2"/>
            <w:tabs>
              <w:tab w:val="left" w:pos="880"/>
              <w:tab w:val="right" w:leader="dot" w:pos="9465"/>
            </w:tabs>
            <w:rPr>
              <w:rFonts w:asciiTheme="minorHAnsi" w:eastAsiaTheme="minorEastAsia" w:hAnsiTheme="minorHAnsi"/>
              <w:noProof/>
              <w:lang w:val="en-CA" w:eastAsia="en-CA"/>
            </w:rPr>
          </w:pPr>
          <w:hyperlink w:anchor="_Toc325871758" w:history="1">
            <w:r w:rsidR="00BC1135" w:rsidRPr="00093885">
              <w:rPr>
                <w:rStyle w:val="Hyperlink"/>
                <w:noProof/>
              </w:rPr>
              <w:t>2.1.</w:t>
            </w:r>
            <w:r w:rsidR="00BC1135">
              <w:rPr>
                <w:rFonts w:asciiTheme="minorHAnsi" w:eastAsiaTheme="minorEastAsia" w:hAnsiTheme="minorHAnsi"/>
                <w:noProof/>
                <w:lang w:val="en-CA" w:eastAsia="en-CA"/>
              </w:rPr>
              <w:tab/>
            </w:r>
            <w:r w:rsidR="00BC1135" w:rsidRPr="00093885">
              <w:rPr>
                <w:rStyle w:val="Hyperlink"/>
                <w:noProof/>
              </w:rPr>
              <w:t>A long history of cooperation</w:t>
            </w:r>
            <w:r w:rsidR="00BC1135">
              <w:rPr>
                <w:noProof/>
                <w:webHidden/>
              </w:rPr>
              <w:tab/>
            </w:r>
            <w:r>
              <w:rPr>
                <w:noProof/>
                <w:webHidden/>
              </w:rPr>
              <w:fldChar w:fldCharType="begin"/>
            </w:r>
            <w:r w:rsidR="00BC1135">
              <w:rPr>
                <w:noProof/>
                <w:webHidden/>
              </w:rPr>
              <w:instrText xml:space="preserve"> PAGEREF _Toc325871758 \h </w:instrText>
            </w:r>
            <w:r>
              <w:rPr>
                <w:noProof/>
                <w:webHidden/>
              </w:rPr>
            </w:r>
            <w:r>
              <w:rPr>
                <w:noProof/>
                <w:webHidden/>
              </w:rPr>
              <w:fldChar w:fldCharType="separate"/>
            </w:r>
            <w:r w:rsidR="00BC1135">
              <w:rPr>
                <w:noProof/>
                <w:webHidden/>
              </w:rPr>
              <w:t>13</w:t>
            </w:r>
            <w:r>
              <w:rPr>
                <w:noProof/>
                <w:webHidden/>
              </w:rPr>
              <w:fldChar w:fldCharType="end"/>
            </w:r>
          </w:hyperlink>
        </w:p>
        <w:p w:rsidR="00BC1135" w:rsidRDefault="00D96907">
          <w:pPr>
            <w:pStyle w:val="TOC2"/>
            <w:tabs>
              <w:tab w:val="left" w:pos="880"/>
              <w:tab w:val="right" w:leader="dot" w:pos="9465"/>
            </w:tabs>
            <w:rPr>
              <w:rFonts w:asciiTheme="minorHAnsi" w:eastAsiaTheme="minorEastAsia" w:hAnsiTheme="minorHAnsi"/>
              <w:noProof/>
              <w:lang w:val="en-CA" w:eastAsia="en-CA"/>
            </w:rPr>
          </w:pPr>
          <w:hyperlink w:anchor="_Toc325871759" w:history="1">
            <w:r w:rsidR="00BC1135" w:rsidRPr="00093885">
              <w:rPr>
                <w:rStyle w:val="Hyperlink"/>
                <w:noProof/>
              </w:rPr>
              <w:t>2.2.</w:t>
            </w:r>
            <w:r w:rsidR="00BC1135">
              <w:rPr>
                <w:rFonts w:asciiTheme="minorHAnsi" w:eastAsiaTheme="minorEastAsia" w:hAnsiTheme="minorHAnsi"/>
                <w:noProof/>
                <w:lang w:val="en-CA" w:eastAsia="en-CA"/>
              </w:rPr>
              <w:tab/>
            </w:r>
            <w:r w:rsidR="00BC1135" w:rsidRPr="00093885">
              <w:rPr>
                <w:rStyle w:val="Hyperlink"/>
                <w:noProof/>
              </w:rPr>
              <w:t>Framing the Country Programme 2007-11</w:t>
            </w:r>
            <w:r w:rsidR="00BC1135">
              <w:rPr>
                <w:noProof/>
                <w:webHidden/>
              </w:rPr>
              <w:tab/>
            </w:r>
            <w:r>
              <w:rPr>
                <w:noProof/>
                <w:webHidden/>
              </w:rPr>
              <w:fldChar w:fldCharType="begin"/>
            </w:r>
            <w:r w:rsidR="00BC1135">
              <w:rPr>
                <w:noProof/>
                <w:webHidden/>
              </w:rPr>
              <w:instrText xml:space="preserve"> PAGEREF _Toc325871759 \h </w:instrText>
            </w:r>
            <w:r>
              <w:rPr>
                <w:noProof/>
                <w:webHidden/>
              </w:rPr>
            </w:r>
            <w:r>
              <w:rPr>
                <w:noProof/>
                <w:webHidden/>
              </w:rPr>
              <w:fldChar w:fldCharType="separate"/>
            </w:r>
            <w:r w:rsidR="00BC1135">
              <w:rPr>
                <w:noProof/>
                <w:webHidden/>
              </w:rPr>
              <w:t>14</w:t>
            </w:r>
            <w:r>
              <w:rPr>
                <w:noProof/>
                <w:webHidden/>
              </w:rPr>
              <w:fldChar w:fldCharType="end"/>
            </w:r>
          </w:hyperlink>
        </w:p>
        <w:p w:rsidR="00BC1135" w:rsidRDefault="00D96907">
          <w:pPr>
            <w:pStyle w:val="TOC3"/>
            <w:tabs>
              <w:tab w:val="left" w:pos="1320"/>
              <w:tab w:val="right" w:leader="dot" w:pos="9465"/>
            </w:tabs>
            <w:rPr>
              <w:rFonts w:asciiTheme="minorHAnsi" w:eastAsiaTheme="minorEastAsia" w:hAnsiTheme="minorHAnsi"/>
              <w:noProof/>
              <w:lang w:val="en-CA" w:eastAsia="en-CA"/>
            </w:rPr>
          </w:pPr>
          <w:hyperlink w:anchor="_Toc325871760" w:history="1">
            <w:r w:rsidR="00BC1135" w:rsidRPr="00093885">
              <w:rPr>
                <w:rStyle w:val="Hyperlink"/>
                <w:noProof/>
              </w:rPr>
              <w:t>2.2.1.</w:t>
            </w:r>
            <w:r w:rsidR="00BC1135">
              <w:rPr>
                <w:rFonts w:asciiTheme="minorHAnsi" w:eastAsiaTheme="minorEastAsia" w:hAnsiTheme="minorHAnsi"/>
                <w:noProof/>
                <w:lang w:val="en-CA" w:eastAsia="en-CA"/>
              </w:rPr>
              <w:tab/>
            </w:r>
            <w:r w:rsidR="00BC1135" w:rsidRPr="00093885">
              <w:rPr>
                <w:rStyle w:val="Hyperlink"/>
                <w:noProof/>
              </w:rPr>
              <w:t>The economic development setting</w:t>
            </w:r>
            <w:r w:rsidR="00BC1135">
              <w:rPr>
                <w:noProof/>
                <w:webHidden/>
              </w:rPr>
              <w:tab/>
            </w:r>
            <w:r>
              <w:rPr>
                <w:noProof/>
                <w:webHidden/>
              </w:rPr>
              <w:fldChar w:fldCharType="begin"/>
            </w:r>
            <w:r w:rsidR="00BC1135">
              <w:rPr>
                <w:noProof/>
                <w:webHidden/>
              </w:rPr>
              <w:instrText xml:space="preserve"> PAGEREF _Toc325871760 \h </w:instrText>
            </w:r>
            <w:r>
              <w:rPr>
                <w:noProof/>
                <w:webHidden/>
              </w:rPr>
            </w:r>
            <w:r>
              <w:rPr>
                <w:noProof/>
                <w:webHidden/>
              </w:rPr>
              <w:fldChar w:fldCharType="separate"/>
            </w:r>
            <w:r w:rsidR="00BC1135">
              <w:rPr>
                <w:noProof/>
                <w:webHidden/>
              </w:rPr>
              <w:t>14</w:t>
            </w:r>
            <w:r>
              <w:rPr>
                <w:noProof/>
                <w:webHidden/>
              </w:rPr>
              <w:fldChar w:fldCharType="end"/>
            </w:r>
          </w:hyperlink>
        </w:p>
        <w:p w:rsidR="00BC1135" w:rsidRDefault="00D96907">
          <w:pPr>
            <w:pStyle w:val="TOC2"/>
            <w:tabs>
              <w:tab w:val="left" w:pos="880"/>
              <w:tab w:val="right" w:leader="dot" w:pos="9465"/>
            </w:tabs>
            <w:rPr>
              <w:rFonts w:asciiTheme="minorHAnsi" w:eastAsiaTheme="minorEastAsia" w:hAnsiTheme="minorHAnsi"/>
              <w:noProof/>
              <w:lang w:val="en-CA" w:eastAsia="en-CA"/>
            </w:rPr>
          </w:pPr>
          <w:hyperlink w:anchor="_Toc325871761" w:history="1">
            <w:r w:rsidR="00BC1135" w:rsidRPr="00093885">
              <w:rPr>
                <w:rStyle w:val="Hyperlink"/>
                <w:noProof/>
              </w:rPr>
              <w:t>2.3.</w:t>
            </w:r>
            <w:r w:rsidR="00BC1135">
              <w:rPr>
                <w:rFonts w:asciiTheme="minorHAnsi" w:eastAsiaTheme="minorEastAsia" w:hAnsiTheme="minorHAnsi"/>
                <w:noProof/>
                <w:lang w:val="en-CA" w:eastAsia="en-CA"/>
              </w:rPr>
              <w:tab/>
            </w:r>
            <w:r w:rsidR="00BC1135" w:rsidRPr="00093885">
              <w:rPr>
                <w:rStyle w:val="Hyperlink"/>
                <w:noProof/>
              </w:rPr>
              <w:t>Country Programme Outcome</w:t>
            </w:r>
            <w:r w:rsidR="00BC1135">
              <w:rPr>
                <w:noProof/>
                <w:webHidden/>
              </w:rPr>
              <w:tab/>
            </w:r>
            <w:r>
              <w:rPr>
                <w:noProof/>
                <w:webHidden/>
              </w:rPr>
              <w:fldChar w:fldCharType="begin"/>
            </w:r>
            <w:r w:rsidR="00BC1135">
              <w:rPr>
                <w:noProof/>
                <w:webHidden/>
              </w:rPr>
              <w:instrText xml:space="preserve"> PAGEREF _Toc325871761 \h </w:instrText>
            </w:r>
            <w:r>
              <w:rPr>
                <w:noProof/>
                <w:webHidden/>
              </w:rPr>
            </w:r>
            <w:r>
              <w:rPr>
                <w:noProof/>
                <w:webHidden/>
              </w:rPr>
              <w:fldChar w:fldCharType="separate"/>
            </w:r>
            <w:r w:rsidR="00BC1135">
              <w:rPr>
                <w:noProof/>
                <w:webHidden/>
              </w:rPr>
              <w:t>14</w:t>
            </w:r>
            <w:r>
              <w:rPr>
                <w:noProof/>
                <w:webHidden/>
              </w:rPr>
              <w:fldChar w:fldCharType="end"/>
            </w:r>
          </w:hyperlink>
        </w:p>
        <w:p w:rsidR="00BC1135" w:rsidRDefault="00D96907">
          <w:pPr>
            <w:pStyle w:val="TOC2"/>
            <w:tabs>
              <w:tab w:val="left" w:pos="880"/>
              <w:tab w:val="right" w:leader="dot" w:pos="9465"/>
            </w:tabs>
            <w:rPr>
              <w:rFonts w:asciiTheme="minorHAnsi" w:eastAsiaTheme="minorEastAsia" w:hAnsiTheme="minorHAnsi"/>
              <w:noProof/>
              <w:lang w:val="en-CA" w:eastAsia="en-CA"/>
            </w:rPr>
          </w:pPr>
          <w:hyperlink w:anchor="_Toc325871762" w:history="1">
            <w:r w:rsidR="00BC1135" w:rsidRPr="00093885">
              <w:rPr>
                <w:rStyle w:val="Hyperlink"/>
                <w:noProof/>
                <w:lang w:val="en-CA"/>
              </w:rPr>
              <w:t>2.4.</w:t>
            </w:r>
            <w:r w:rsidR="00BC1135">
              <w:rPr>
                <w:rFonts w:asciiTheme="minorHAnsi" w:eastAsiaTheme="minorEastAsia" w:hAnsiTheme="minorHAnsi"/>
                <w:noProof/>
                <w:lang w:val="en-CA" w:eastAsia="en-CA"/>
              </w:rPr>
              <w:tab/>
            </w:r>
            <w:r w:rsidR="00BC1135" w:rsidRPr="00093885">
              <w:rPr>
                <w:rStyle w:val="Hyperlink"/>
                <w:noProof/>
                <w:lang w:val="en-CA"/>
              </w:rPr>
              <w:t>Outcome 2:  Economic Diversification</w:t>
            </w:r>
            <w:r w:rsidR="00BC1135">
              <w:rPr>
                <w:noProof/>
                <w:webHidden/>
              </w:rPr>
              <w:tab/>
            </w:r>
            <w:r>
              <w:rPr>
                <w:noProof/>
                <w:webHidden/>
              </w:rPr>
              <w:fldChar w:fldCharType="begin"/>
            </w:r>
            <w:r w:rsidR="00BC1135">
              <w:rPr>
                <w:noProof/>
                <w:webHidden/>
              </w:rPr>
              <w:instrText xml:space="preserve"> PAGEREF _Toc325871762 \h </w:instrText>
            </w:r>
            <w:r>
              <w:rPr>
                <w:noProof/>
                <w:webHidden/>
              </w:rPr>
            </w:r>
            <w:r>
              <w:rPr>
                <w:noProof/>
                <w:webHidden/>
              </w:rPr>
              <w:fldChar w:fldCharType="separate"/>
            </w:r>
            <w:r w:rsidR="00BC1135">
              <w:rPr>
                <w:noProof/>
                <w:webHidden/>
              </w:rPr>
              <w:t>15</w:t>
            </w:r>
            <w:r>
              <w:rPr>
                <w:noProof/>
                <w:webHidden/>
              </w:rPr>
              <w:fldChar w:fldCharType="end"/>
            </w:r>
          </w:hyperlink>
        </w:p>
        <w:p w:rsidR="00BC1135" w:rsidRDefault="00D96907">
          <w:pPr>
            <w:pStyle w:val="TOC1"/>
            <w:tabs>
              <w:tab w:val="left" w:pos="440"/>
              <w:tab w:val="right" w:leader="dot" w:pos="9465"/>
            </w:tabs>
            <w:rPr>
              <w:rFonts w:asciiTheme="minorHAnsi" w:eastAsiaTheme="minorEastAsia" w:hAnsiTheme="minorHAnsi"/>
              <w:noProof/>
              <w:lang w:val="en-CA" w:eastAsia="en-CA"/>
            </w:rPr>
          </w:pPr>
          <w:hyperlink w:anchor="_Toc325871763" w:history="1">
            <w:r w:rsidR="00BC1135" w:rsidRPr="00093885">
              <w:rPr>
                <w:rStyle w:val="Hyperlink"/>
                <w:noProof/>
              </w:rPr>
              <w:t>3.</w:t>
            </w:r>
            <w:r w:rsidR="00BC1135">
              <w:rPr>
                <w:rFonts w:asciiTheme="minorHAnsi" w:eastAsiaTheme="minorEastAsia" w:hAnsiTheme="minorHAnsi"/>
                <w:noProof/>
                <w:lang w:val="en-CA" w:eastAsia="en-CA"/>
              </w:rPr>
              <w:tab/>
            </w:r>
            <w:r w:rsidR="00BC1135" w:rsidRPr="00093885">
              <w:rPr>
                <w:rStyle w:val="Hyperlink"/>
                <w:noProof/>
              </w:rPr>
              <w:t>Findings of the Outcome Evaluation</w:t>
            </w:r>
            <w:r w:rsidR="00BC1135">
              <w:rPr>
                <w:noProof/>
                <w:webHidden/>
              </w:rPr>
              <w:tab/>
            </w:r>
            <w:r>
              <w:rPr>
                <w:noProof/>
                <w:webHidden/>
              </w:rPr>
              <w:fldChar w:fldCharType="begin"/>
            </w:r>
            <w:r w:rsidR="00BC1135">
              <w:rPr>
                <w:noProof/>
                <w:webHidden/>
              </w:rPr>
              <w:instrText xml:space="preserve"> PAGEREF _Toc325871763 \h </w:instrText>
            </w:r>
            <w:r>
              <w:rPr>
                <w:noProof/>
                <w:webHidden/>
              </w:rPr>
            </w:r>
            <w:r>
              <w:rPr>
                <w:noProof/>
                <w:webHidden/>
              </w:rPr>
              <w:fldChar w:fldCharType="separate"/>
            </w:r>
            <w:r w:rsidR="00BC1135">
              <w:rPr>
                <w:noProof/>
                <w:webHidden/>
              </w:rPr>
              <w:t>16</w:t>
            </w:r>
            <w:r>
              <w:rPr>
                <w:noProof/>
                <w:webHidden/>
              </w:rPr>
              <w:fldChar w:fldCharType="end"/>
            </w:r>
          </w:hyperlink>
        </w:p>
        <w:p w:rsidR="00BC1135" w:rsidRDefault="00D96907">
          <w:pPr>
            <w:pStyle w:val="TOC2"/>
            <w:tabs>
              <w:tab w:val="right" w:leader="dot" w:pos="9465"/>
            </w:tabs>
            <w:rPr>
              <w:rFonts w:asciiTheme="minorHAnsi" w:eastAsiaTheme="minorEastAsia" w:hAnsiTheme="minorHAnsi"/>
              <w:noProof/>
              <w:lang w:val="en-CA" w:eastAsia="en-CA"/>
            </w:rPr>
          </w:pPr>
          <w:hyperlink w:anchor="_Toc325871764" w:history="1">
            <w:r w:rsidR="00BC1135" w:rsidRPr="00093885">
              <w:rPr>
                <w:rStyle w:val="Hyperlink"/>
                <w:noProof/>
              </w:rPr>
              <w:t>3.1. Progress towards the Outcome</w:t>
            </w:r>
            <w:r w:rsidR="00BC1135">
              <w:rPr>
                <w:noProof/>
                <w:webHidden/>
              </w:rPr>
              <w:tab/>
            </w:r>
            <w:r>
              <w:rPr>
                <w:noProof/>
                <w:webHidden/>
              </w:rPr>
              <w:fldChar w:fldCharType="begin"/>
            </w:r>
            <w:r w:rsidR="00BC1135">
              <w:rPr>
                <w:noProof/>
                <w:webHidden/>
              </w:rPr>
              <w:instrText xml:space="preserve"> PAGEREF _Toc325871764 \h </w:instrText>
            </w:r>
            <w:r>
              <w:rPr>
                <w:noProof/>
                <w:webHidden/>
              </w:rPr>
            </w:r>
            <w:r>
              <w:rPr>
                <w:noProof/>
                <w:webHidden/>
              </w:rPr>
              <w:fldChar w:fldCharType="separate"/>
            </w:r>
            <w:r w:rsidR="00BC1135">
              <w:rPr>
                <w:noProof/>
                <w:webHidden/>
              </w:rPr>
              <w:t>16</w:t>
            </w:r>
            <w:r>
              <w:rPr>
                <w:noProof/>
                <w:webHidden/>
              </w:rPr>
              <w:fldChar w:fldCharType="end"/>
            </w:r>
          </w:hyperlink>
        </w:p>
        <w:p w:rsidR="00BC1135" w:rsidRDefault="00D96907">
          <w:pPr>
            <w:pStyle w:val="TOC3"/>
            <w:tabs>
              <w:tab w:val="left" w:pos="1320"/>
              <w:tab w:val="right" w:leader="dot" w:pos="9465"/>
            </w:tabs>
            <w:rPr>
              <w:rFonts w:asciiTheme="minorHAnsi" w:eastAsiaTheme="minorEastAsia" w:hAnsiTheme="minorHAnsi"/>
              <w:noProof/>
              <w:lang w:val="en-CA" w:eastAsia="en-CA"/>
            </w:rPr>
          </w:pPr>
          <w:hyperlink w:anchor="_Toc325871765" w:history="1">
            <w:r w:rsidR="00BC1135" w:rsidRPr="00093885">
              <w:rPr>
                <w:rStyle w:val="Hyperlink"/>
                <w:noProof/>
                <w:lang w:val="en-CA"/>
              </w:rPr>
              <w:t>3.1.1.</w:t>
            </w:r>
            <w:r w:rsidR="00BC1135">
              <w:rPr>
                <w:rFonts w:asciiTheme="minorHAnsi" w:eastAsiaTheme="minorEastAsia" w:hAnsiTheme="minorHAnsi"/>
                <w:noProof/>
                <w:lang w:val="en-CA" w:eastAsia="en-CA"/>
              </w:rPr>
              <w:tab/>
            </w:r>
            <w:r w:rsidR="00BC1135" w:rsidRPr="00093885">
              <w:rPr>
                <w:rStyle w:val="Hyperlink"/>
                <w:noProof/>
                <w:lang w:val="en-CA"/>
              </w:rPr>
              <w:t>A period of growth and diversification</w:t>
            </w:r>
            <w:r w:rsidR="00BC1135">
              <w:rPr>
                <w:noProof/>
                <w:webHidden/>
              </w:rPr>
              <w:tab/>
            </w:r>
            <w:r>
              <w:rPr>
                <w:noProof/>
                <w:webHidden/>
              </w:rPr>
              <w:fldChar w:fldCharType="begin"/>
            </w:r>
            <w:r w:rsidR="00BC1135">
              <w:rPr>
                <w:noProof/>
                <w:webHidden/>
              </w:rPr>
              <w:instrText xml:space="preserve"> PAGEREF _Toc325871765 \h </w:instrText>
            </w:r>
            <w:r>
              <w:rPr>
                <w:noProof/>
                <w:webHidden/>
              </w:rPr>
            </w:r>
            <w:r>
              <w:rPr>
                <w:noProof/>
                <w:webHidden/>
              </w:rPr>
              <w:fldChar w:fldCharType="separate"/>
            </w:r>
            <w:r w:rsidR="00BC1135">
              <w:rPr>
                <w:noProof/>
                <w:webHidden/>
              </w:rPr>
              <w:t>16</w:t>
            </w:r>
            <w:r>
              <w:rPr>
                <w:noProof/>
                <w:webHidden/>
              </w:rPr>
              <w:fldChar w:fldCharType="end"/>
            </w:r>
          </w:hyperlink>
        </w:p>
        <w:p w:rsidR="00BC1135" w:rsidRDefault="00D96907">
          <w:pPr>
            <w:pStyle w:val="TOC3"/>
            <w:tabs>
              <w:tab w:val="left" w:pos="1320"/>
              <w:tab w:val="right" w:leader="dot" w:pos="9465"/>
            </w:tabs>
            <w:rPr>
              <w:rFonts w:asciiTheme="minorHAnsi" w:eastAsiaTheme="minorEastAsia" w:hAnsiTheme="minorHAnsi"/>
              <w:noProof/>
              <w:lang w:val="en-CA" w:eastAsia="en-CA"/>
            </w:rPr>
          </w:pPr>
          <w:hyperlink w:anchor="_Toc325871766" w:history="1">
            <w:r w:rsidR="00BC1135" w:rsidRPr="00093885">
              <w:rPr>
                <w:rStyle w:val="Hyperlink"/>
                <w:noProof/>
                <w:lang w:val="en-CA"/>
              </w:rPr>
              <w:t>3.1.2.</w:t>
            </w:r>
            <w:r w:rsidR="00BC1135">
              <w:rPr>
                <w:rFonts w:asciiTheme="minorHAnsi" w:eastAsiaTheme="minorEastAsia" w:hAnsiTheme="minorHAnsi"/>
                <w:noProof/>
                <w:lang w:val="en-CA" w:eastAsia="en-CA"/>
              </w:rPr>
              <w:tab/>
            </w:r>
            <w:r w:rsidR="00BC1135" w:rsidRPr="00093885">
              <w:rPr>
                <w:rStyle w:val="Hyperlink"/>
                <w:noProof/>
                <w:lang w:val="en-CA"/>
              </w:rPr>
              <w:t>Population and work force</w:t>
            </w:r>
            <w:r w:rsidR="00BC1135">
              <w:rPr>
                <w:noProof/>
                <w:webHidden/>
              </w:rPr>
              <w:tab/>
            </w:r>
            <w:r>
              <w:rPr>
                <w:noProof/>
                <w:webHidden/>
              </w:rPr>
              <w:fldChar w:fldCharType="begin"/>
            </w:r>
            <w:r w:rsidR="00BC1135">
              <w:rPr>
                <w:noProof/>
                <w:webHidden/>
              </w:rPr>
              <w:instrText xml:space="preserve"> PAGEREF _Toc325871766 \h </w:instrText>
            </w:r>
            <w:r>
              <w:rPr>
                <w:noProof/>
                <w:webHidden/>
              </w:rPr>
            </w:r>
            <w:r>
              <w:rPr>
                <w:noProof/>
                <w:webHidden/>
              </w:rPr>
              <w:fldChar w:fldCharType="separate"/>
            </w:r>
            <w:r w:rsidR="00BC1135">
              <w:rPr>
                <w:noProof/>
                <w:webHidden/>
              </w:rPr>
              <w:t>18</w:t>
            </w:r>
            <w:r>
              <w:rPr>
                <w:noProof/>
                <w:webHidden/>
              </w:rPr>
              <w:fldChar w:fldCharType="end"/>
            </w:r>
          </w:hyperlink>
        </w:p>
        <w:p w:rsidR="00BC1135" w:rsidRDefault="00D96907">
          <w:pPr>
            <w:pStyle w:val="TOC2"/>
            <w:tabs>
              <w:tab w:val="right" w:leader="dot" w:pos="9465"/>
            </w:tabs>
            <w:rPr>
              <w:rFonts w:asciiTheme="minorHAnsi" w:eastAsiaTheme="minorEastAsia" w:hAnsiTheme="minorHAnsi"/>
              <w:noProof/>
              <w:lang w:val="en-CA" w:eastAsia="en-CA"/>
            </w:rPr>
          </w:pPr>
          <w:hyperlink w:anchor="_Toc325871767" w:history="1">
            <w:r w:rsidR="00BC1135" w:rsidRPr="00093885">
              <w:rPr>
                <w:rStyle w:val="Hyperlink"/>
                <w:noProof/>
                <w:lang w:val="en-CA"/>
              </w:rPr>
              <w:t xml:space="preserve">3.2. Outcome </w:t>
            </w:r>
            <w:r w:rsidR="00BC1135" w:rsidRPr="00093885">
              <w:rPr>
                <w:rStyle w:val="Hyperlink"/>
                <w:noProof/>
              </w:rPr>
              <w:t>Indicators</w:t>
            </w:r>
            <w:r w:rsidR="00BC1135">
              <w:rPr>
                <w:noProof/>
                <w:webHidden/>
              </w:rPr>
              <w:tab/>
            </w:r>
            <w:r>
              <w:rPr>
                <w:noProof/>
                <w:webHidden/>
              </w:rPr>
              <w:fldChar w:fldCharType="begin"/>
            </w:r>
            <w:r w:rsidR="00BC1135">
              <w:rPr>
                <w:noProof/>
                <w:webHidden/>
              </w:rPr>
              <w:instrText xml:space="preserve"> PAGEREF _Toc325871767 \h </w:instrText>
            </w:r>
            <w:r>
              <w:rPr>
                <w:noProof/>
                <w:webHidden/>
              </w:rPr>
            </w:r>
            <w:r>
              <w:rPr>
                <w:noProof/>
                <w:webHidden/>
              </w:rPr>
              <w:fldChar w:fldCharType="separate"/>
            </w:r>
            <w:r w:rsidR="00BC1135">
              <w:rPr>
                <w:noProof/>
                <w:webHidden/>
              </w:rPr>
              <w:t>19</w:t>
            </w:r>
            <w:r>
              <w:rPr>
                <w:noProof/>
                <w:webHidden/>
              </w:rPr>
              <w:fldChar w:fldCharType="end"/>
            </w:r>
          </w:hyperlink>
        </w:p>
        <w:p w:rsidR="00BC1135" w:rsidRDefault="00D96907">
          <w:pPr>
            <w:pStyle w:val="TOC4"/>
            <w:tabs>
              <w:tab w:val="left" w:pos="1540"/>
              <w:tab w:val="right" w:leader="dot" w:pos="9465"/>
            </w:tabs>
            <w:rPr>
              <w:rFonts w:asciiTheme="minorHAnsi" w:eastAsiaTheme="minorEastAsia" w:hAnsiTheme="minorHAnsi"/>
              <w:noProof/>
              <w:lang w:val="en-CA" w:eastAsia="en-CA"/>
            </w:rPr>
          </w:pPr>
          <w:hyperlink w:anchor="_Toc325871768" w:history="1">
            <w:r w:rsidR="00BC1135" w:rsidRPr="00093885">
              <w:rPr>
                <w:rStyle w:val="Hyperlink"/>
                <w:noProof/>
                <w:lang w:val="en-CA"/>
              </w:rPr>
              <w:t>3.2.1.</w:t>
            </w:r>
            <w:r w:rsidR="00BC1135">
              <w:rPr>
                <w:rFonts w:asciiTheme="minorHAnsi" w:eastAsiaTheme="minorEastAsia" w:hAnsiTheme="minorHAnsi"/>
                <w:noProof/>
                <w:lang w:val="en-CA" w:eastAsia="en-CA"/>
              </w:rPr>
              <w:tab/>
            </w:r>
            <w:r w:rsidR="00BC1135" w:rsidRPr="00093885">
              <w:rPr>
                <w:rStyle w:val="Hyperlink"/>
                <w:noProof/>
                <w:lang w:val="en-CA"/>
              </w:rPr>
              <w:t>Growth of FDI</w:t>
            </w:r>
            <w:r w:rsidR="00BC1135">
              <w:rPr>
                <w:noProof/>
                <w:webHidden/>
              </w:rPr>
              <w:tab/>
            </w:r>
            <w:r>
              <w:rPr>
                <w:noProof/>
                <w:webHidden/>
              </w:rPr>
              <w:fldChar w:fldCharType="begin"/>
            </w:r>
            <w:r w:rsidR="00BC1135">
              <w:rPr>
                <w:noProof/>
                <w:webHidden/>
              </w:rPr>
              <w:instrText xml:space="preserve"> PAGEREF _Toc325871768 \h </w:instrText>
            </w:r>
            <w:r>
              <w:rPr>
                <w:noProof/>
                <w:webHidden/>
              </w:rPr>
            </w:r>
            <w:r>
              <w:rPr>
                <w:noProof/>
                <w:webHidden/>
              </w:rPr>
              <w:fldChar w:fldCharType="separate"/>
            </w:r>
            <w:r w:rsidR="00BC1135">
              <w:rPr>
                <w:noProof/>
                <w:webHidden/>
              </w:rPr>
              <w:t>19</w:t>
            </w:r>
            <w:r>
              <w:rPr>
                <w:noProof/>
                <w:webHidden/>
              </w:rPr>
              <w:fldChar w:fldCharType="end"/>
            </w:r>
          </w:hyperlink>
        </w:p>
        <w:p w:rsidR="00BC1135" w:rsidRDefault="00D96907">
          <w:pPr>
            <w:pStyle w:val="TOC4"/>
            <w:tabs>
              <w:tab w:val="left" w:pos="1540"/>
              <w:tab w:val="right" w:leader="dot" w:pos="9465"/>
            </w:tabs>
            <w:rPr>
              <w:rFonts w:asciiTheme="minorHAnsi" w:eastAsiaTheme="minorEastAsia" w:hAnsiTheme="minorHAnsi"/>
              <w:noProof/>
              <w:lang w:val="en-CA" w:eastAsia="en-CA"/>
            </w:rPr>
          </w:pPr>
          <w:hyperlink w:anchor="_Toc325871769" w:history="1">
            <w:r w:rsidR="00BC1135" w:rsidRPr="00093885">
              <w:rPr>
                <w:rStyle w:val="Hyperlink"/>
                <w:noProof/>
                <w:lang w:val="en-CA"/>
              </w:rPr>
              <w:t>3.2.2.</w:t>
            </w:r>
            <w:r w:rsidR="00BC1135">
              <w:rPr>
                <w:rFonts w:asciiTheme="minorHAnsi" w:eastAsiaTheme="minorEastAsia" w:hAnsiTheme="minorHAnsi"/>
                <w:noProof/>
                <w:lang w:val="en-CA" w:eastAsia="en-CA"/>
              </w:rPr>
              <w:tab/>
            </w:r>
            <w:r w:rsidR="00BC1135" w:rsidRPr="00093885">
              <w:rPr>
                <w:rStyle w:val="Hyperlink"/>
                <w:noProof/>
                <w:lang w:val="en-CA"/>
              </w:rPr>
              <w:t>Expansion of Tourism</w:t>
            </w:r>
            <w:r w:rsidR="00BC1135">
              <w:rPr>
                <w:noProof/>
                <w:webHidden/>
              </w:rPr>
              <w:tab/>
            </w:r>
            <w:r>
              <w:rPr>
                <w:noProof/>
                <w:webHidden/>
              </w:rPr>
              <w:fldChar w:fldCharType="begin"/>
            </w:r>
            <w:r w:rsidR="00BC1135">
              <w:rPr>
                <w:noProof/>
                <w:webHidden/>
              </w:rPr>
              <w:instrText xml:space="preserve"> PAGEREF _Toc325871769 \h </w:instrText>
            </w:r>
            <w:r>
              <w:rPr>
                <w:noProof/>
                <w:webHidden/>
              </w:rPr>
            </w:r>
            <w:r>
              <w:rPr>
                <w:noProof/>
                <w:webHidden/>
              </w:rPr>
              <w:fldChar w:fldCharType="separate"/>
            </w:r>
            <w:r w:rsidR="00BC1135">
              <w:rPr>
                <w:noProof/>
                <w:webHidden/>
              </w:rPr>
              <w:t>22</w:t>
            </w:r>
            <w:r>
              <w:rPr>
                <w:noProof/>
                <w:webHidden/>
              </w:rPr>
              <w:fldChar w:fldCharType="end"/>
            </w:r>
          </w:hyperlink>
        </w:p>
        <w:p w:rsidR="00BC1135" w:rsidRDefault="00D96907">
          <w:pPr>
            <w:pStyle w:val="TOC2"/>
            <w:tabs>
              <w:tab w:val="left" w:pos="660"/>
              <w:tab w:val="right" w:leader="dot" w:pos="9465"/>
            </w:tabs>
            <w:rPr>
              <w:rFonts w:asciiTheme="minorHAnsi" w:eastAsiaTheme="minorEastAsia" w:hAnsiTheme="minorHAnsi"/>
              <w:noProof/>
              <w:lang w:val="en-CA" w:eastAsia="en-CA"/>
            </w:rPr>
          </w:pPr>
          <w:hyperlink w:anchor="_Toc325871770" w:history="1">
            <w:r w:rsidR="00BC1135" w:rsidRPr="00093885">
              <w:rPr>
                <w:rStyle w:val="Hyperlink"/>
                <w:noProof/>
              </w:rPr>
              <w:t>4.</w:t>
            </w:r>
            <w:r w:rsidR="00BC1135">
              <w:rPr>
                <w:rFonts w:asciiTheme="minorHAnsi" w:eastAsiaTheme="minorEastAsia" w:hAnsiTheme="minorHAnsi"/>
                <w:noProof/>
                <w:lang w:val="en-CA" w:eastAsia="en-CA"/>
              </w:rPr>
              <w:tab/>
            </w:r>
            <w:r w:rsidR="00BC1135" w:rsidRPr="00093885">
              <w:rPr>
                <w:rStyle w:val="Hyperlink"/>
                <w:noProof/>
              </w:rPr>
              <w:t>Factors affecting the Outcome</w:t>
            </w:r>
            <w:r w:rsidR="00BC1135">
              <w:rPr>
                <w:noProof/>
                <w:webHidden/>
              </w:rPr>
              <w:tab/>
            </w:r>
            <w:r>
              <w:rPr>
                <w:noProof/>
                <w:webHidden/>
              </w:rPr>
              <w:fldChar w:fldCharType="begin"/>
            </w:r>
            <w:r w:rsidR="00BC1135">
              <w:rPr>
                <w:noProof/>
                <w:webHidden/>
              </w:rPr>
              <w:instrText xml:space="preserve"> PAGEREF _Toc325871770 \h </w:instrText>
            </w:r>
            <w:r>
              <w:rPr>
                <w:noProof/>
                <w:webHidden/>
              </w:rPr>
            </w:r>
            <w:r>
              <w:rPr>
                <w:noProof/>
                <w:webHidden/>
              </w:rPr>
              <w:fldChar w:fldCharType="separate"/>
            </w:r>
            <w:r w:rsidR="00BC1135">
              <w:rPr>
                <w:noProof/>
                <w:webHidden/>
              </w:rPr>
              <w:t>23</w:t>
            </w:r>
            <w:r>
              <w:rPr>
                <w:noProof/>
                <w:webHidden/>
              </w:rPr>
              <w:fldChar w:fldCharType="end"/>
            </w:r>
          </w:hyperlink>
        </w:p>
        <w:p w:rsidR="00BC1135" w:rsidRDefault="00D96907">
          <w:pPr>
            <w:pStyle w:val="TOC3"/>
            <w:tabs>
              <w:tab w:val="left" w:pos="1100"/>
              <w:tab w:val="right" w:leader="dot" w:pos="9465"/>
            </w:tabs>
            <w:rPr>
              <w:rFonts w:asciiTheme="minorHAnsi" w:eastAsiaTheme="minorEastAsia" w:hAnsiTheme="minorHAnsi"/>
              <w:noProof/>
              <w:lang w:val="en-CA" w:eastAsia="en-CA"/>
            </w:rPr>
          </w:pPr>
          <w:hyperlink w:anchor="_Toc325871771" w:history="1">
            <w:r w:rsidR="00BC1135" w:rsidRPr="00093885">
              <w:rPr>
                <w:rStyle w:val="Hyperlink"/>
                <w:noProof/>
              </w:rPr>
              <w:t>4.1.</w:t>
            </w:r>
            <w:r w:rsidR="00BC1135">
              <w:rPr>
                <w:rFonts w:asciiTheme="minorHAnsi" w:eastAsiaTheme="minorEastAsia" w:hAnsiTheme="minorHAnsi"/>
                <w:noProof/>
                <w:lang w:val="en-CA" w:eastAsia="en-CA"/>
              </w:rPr>
              <w:tab/>
            </w:r>
            <w:r w:rsidR="00BC1135" w:rsidRPr="00093885">
              <w:rPr>
                <w:rStyle w:val="Hyperlink"/>
                <w:noProof/>
              </w:rPr>
              <w:t>Diversification strategy of government</w:t>
            </w:r>
            <w:r w:rsidR="00BC1135">
              <w:rPr>
                <w:noProof/>
                <w:webHidden/>
              </w:rPr>
              <w:tab/>
            </w:r>
            <w:r>
              <w:rPr>
                <w:noProof/>
                <w:webHidden/>
              </w:rPr>
              <w:fldChar w:fldCharType="begin"/>
            </w:r>
            <w:r w:rsidR="00BC1135">
              <w:rPr>
                <w:noProof/>
                <w:webHidden/>
              </w:rPr>
              <w:instrText xml:space="preserve"> PAGEREF _Toc325871771 \h </w:instrText>
            </w:r>
            <w:r>
              <w:rPr>
                <w:noProof/>
                <w:webHidden/>
              </w:rPr>
            </w:r>
            <w:r>
              <w:rPr>
                <w:noProof/>
                <w:webHidden/>
              </w:rPr>
              <w:fldChar w:fldCharType="separate"/>
            </w:r>
            <w:r w:rsidR="00BC1135">
              <w:rPr>
                <w:noProof/>
                <w:webHidden/>
              </w:rPr>
              <w:t>23</w:t>
            </w:r>
            <w:r>
              <w:rPr>
                <w:noProof/>
                <w:webHidden/>
              </w:rPr>
              <w:fldChar w:fldCharType="end"/>
            </w:r>
          </w:hyperlink>
        </w:p>
        <w:p w:rsidR="00BC1135" w:rsidRDefault="00D96907">
          <w:pPr>
            <w:pStyle w:val="TOC3"/>
            <w:tabs>
              <w:tab w:val="left" w:pos="1100"/>
              <w:tab w:val="right" w:leader="dot" w:pos="9465"/>
            </w:tabs>
            <w:rPr>
              <w:rFonts w:asciiTheme="minorHAnsi" w:eastAsiaTheme="minorEastAsia" w:hAnsiTheme="minorHAnsi"/>
              <w:noProof/>
              <w:lang w:val="en-CA" w:eastAsia="en-CA"/>
            </w:rPr>
          </w:pPr>
          <w:hyperlink w:anchor="_Toc325871772" w:history="1">
            <w:r w:rsidR="00BC1135" w:rsidRPr="00093885">
              <w:rPr>
                <w:rStyle w:val="Hyperlink"/>
                <w:noProof/>
              </w:rPr>
              <w:t>4.2.</w:t>
            </w:r>
            <w:r w:rsidR="00BC1135">
              <w:rPr>
                <w:rFonts w:asciiTheme="minorHAnsi" w:eastAsiaTheme="minorEastAsia" w:hAnsiTheme="minorHAnsi"/>
                <w:noProof/>
                <w:lang w:val="en-CA" w:eastAsia="en-CA"/>
              </w:rPr>
              <w:tab/>
            </w:r>
            <w:r w:rsidR="00BC1135" w:rsidRPr="00093885">
              <w:rPr>
                <w:rStyle w:val="Hyperlink"/>
                <w:noProof/>
              </w:rPr>
              <w:t>WTO membership</w:t>
            </w:r>
            <w:r w:rsidR="00BC1135">
              <w:rPr>
                <w:noProof/>
                <w:webHidden/>
              </w:rPr>
              <w:tab/>
            </w:r>
            <w:r>
              <w:rPr>
                <w:noProof/>
                <w:webHidden/>
              </w:rPr>
              <w:fldChar w:fldCharType="begin"/>
            </w:r>
            <w:r w:rsidR="00BC1135">
              <w:rPr>
                <w:noProof/>
                <w:webHidden/>
              </w:rPr>
              <w:instrText xml:space="preserve"> PAGEREF _Toc325871772 \h </w:instrText>
            </w:r>
            <w:r>
              <w:rPr>
                <w:noProof/>
                <w:webHidden/>
              </w:rPr>
            </w:r>
            <w:r>
              <w:rPr>
                <w:noProof/>
                <w:webHidden/>
              </w:rPr>
              <w:fldChar w:fldCharType="separate"/>
            </w:r>
            <w:r w:rsidR="00BC1135">
              <w:rPr>
                <w:noProof/>
                <w:webHidden/>
              </w:rPr>
              <w:t>24</w:t>
            </w:r>
            <w:r>
              <w:rPr>
                <w:noProof/>
                <w:webHidden/>
              </w:rPr>
              <w:fldChar w:fldCharType="end"/>
            </w:r>
          </w:hyperlink>
        </w:p>
        <w:p w:rsidR="00BC1135" w:rsidRDefault="00D96907">
          <w:pPr>
            <w:pStyle w:val="TOC3"/>
            <w:tabs>
              <w:tab w:val="left" w:pos="1100"/>
              <w:tab w:val="right" w:leader="dot" w:pos="9465"/>
            </w:tabs>
            <w:rPr>
              <w:rFonts w:asciiTheme="minorHAnsi" w:eastAsiaTheme="minorEastAsia" w:hAnsiTheme="minorHAnsi"/>
              <w:noProof/>
              <w:lang w:val="en-CA" w:eastAsia="en-CA"/>
            </w:rPr>
          </w:pPr>
          <w:hyperlink w:anchor="_Toc325871773" w:history="1">
            <w:r w:rsidR="00BC1135" w:rsidRPr="00093885">
              <w:rPr>
                <w:rStyle w:val="Hyperlink"/>
                <w:noProof/>
              </w:rPr>
              <w:t>4.3.</w:t>
            </w:r>
            <w:r w:rsidR="00BC1135">
              <w:rPr>
                <w:rFonts w:asciiTheme="minorHAnsi" w:eastAsiaTheme="minorEastAsia" w:hAnsiTheme="minorHAnsi"/>
                <w:noProof/>
                <w:lang w:val="en-CA" w:eastAsia="en-CA"/>
              </w:rPr>
              <w:tab/>
            </w:r>
            <w:r w:rsidR="00BC1135" w:rsidRPr="00093885">
              <w:rPr>
                <w:rStyle w:val="Hyperlink"/>
                <w:noProof/>
              </w:rPr>
              <w:t>Expansion of non-oil economic activity</w:t>
            </w:r>
            <w:r w:rsidR="00BC1135">
              <w:rPr>
                <w:noProof/>
                <w:webHidden/>
              </w:rPr>
              <w:tab/>
            </w:r>
            <w:r>
              <w:rPr>
                <w:noProof/>
                <w:webHidden/>
              </w:rPr>
              <w:fldChar w:fldCharType="begin"/>
            </w:r>
            <w:r w:rsidR="00BC1135">
              <w:rPr>
                <w:noProof/>
                <w:webHidden/>
              </w:rPr>
              <w:instrText xml:space="preserve"> PAGEREF _Toc325871773 \h </w:instrText>
            </w:r>
            <w:r>
              <w:rPr>
                <w:noProof/>
                <w:webHidden/>
              </w:rPr>
            </w:r>
            <w:r>
              <w:rPr>
                <w:noProof/>
                <w:webHidden/>
              </w:rPr>
              <w:fldChar w:fldCharType="separate"/>
            </w:r>
            <w:r w:rsidR="00BC1135">
              <w:rPr>
                <w:noProof/>
                <w:webHidden/>
              </w:rPr>
              <w:t>24</w:t>
            </w:r>
            <w:r>
              <w:rPr>
                <w:noProof/>
                <w:webHidden/>
              </w:rPr>
              <w:fldChar w:fldCharType="end"/>
            </w:r>
          </w:hyperlink>
        </w:p>
        <w:p w:rsidR="00BC1135" w:rsidRDefault="00D96907">
          <w:pPr>
            <w:pStyle w:val="TOC3"/>
            <w:tabs>
              <w:tab w:val="left" w:pos="1100"/>
              <w:tab w:val="right" w:leader="dot" w:pos="9465"/>
            </w:tabs>
            <w:rPr>
              <w:rFonts w:asciiTheme="minorHAnsi" w:eastAsiaTheme="minorEastAsia" w:hAnsiTheme="minorHAnsi"/>
              <w:noProof/>
              <w:lang w:val="en-CA" w:eastAsia="en-CA"/>
            </w:rPr>
          </w:pPr>
          <w:hyperlink w:anchor="_Toc325871774" w:history="1">
            <w:r w:rsidR="00BC1135" w:rsidRPr="00093885">
              <w:rPr>
                <w:rStyle w:val="Hyperlink"/>
                <w:noProof/>
              </w:rPr>
              <w:t>4.4.</w:t>
            </w:r>
            <w:r w:rsidR="00BC1135">
              <w:rPr>
                <w:rFonts w:asciiTheme="minorHAnsi" w:eastAsiaTheme="minorEastAsia" w:hAnsiTheme="minorHAnsi"/>
                <w:noProof/>
                <w:lang w:val="en-CA" w:eastAsia="en-CA"/>
              </w:rPr>
              <w:tab/>
            </w:r>
            <w:r w:rsidR="00BC1135" w:rsidRPr="00093885">
              <w:rPr>
                <w:rStyle w:val="Hyperlink"/>
                <w:noProof/>
              </w:rPr>
              <w:t>Government investment strategies and fiscal stimulus</w:t>
            </w:r>
            <w:r w:rsidR="00BC1135">
              <w:rPr>
                <w:noProof/>
                <w:webHidden/>
              </w:rPr>
              <w:tab/>
            </w:r>
            <w:r>
              <w:rPr>
                <w:noProof/>
                <w:webHidden/>
              </w:rPr>
              <w:fldChar w:fldCharType="begin"/>
            </w:r>
            <w:r w:rsidR="00BC1135">
              <w:rPr>
                <w:noProof/>
                <w:webHidden/>
              </w:rPr>
              <w:instrText xml:space="preserve"> PAGEREF _Toc325871774 \h </w:instrText>
            </w:r>
            <w:r>
              <w:rPr>
                <w:noProof/>
                <w:webHidden/>
              </w:rPr>
            </w:r>
            <w:r>
              <w:rPr>
                <w:noProof/>
                <w:webHidden/>
              </w:rPr>
              <w:fldChar w:fldCharType="separate"/>
            </w:r>
            <w:r w:rsidR="00BC1135">
              <w:rPr>
                <w:noProof/>
                <w:webHidden/>
              </w:rPr>
              <w:t>25</w:t>
            </w:r>
            <w:r>
              <w:rPr>
                <w:noProof/>
                <w:webHidden/>
              </w:rPr>
              <w:fldChar w:fldCharType="end"/>
            </w:r>
          </w:hyperlink>
        </w:p>
        <w:p w:rsidR="00BC1135" w:rsidRDefault="00D96907">
          <w:pPr>
            <w:pStyle w:val="TOC3"/>
            <w:tabs>
              <w:tab w:val="left" w:pos="1100"/>
              <w:tab w:val="right" w:leader="dot" w:pos="9465"/>
            </w:tabs>
            <w:rPr>
              <w:rFonts w:asciiTheme="minorHAnsi" w:eastAsiaTheme="minorEastAsia" w:hAnsiTheme="minorHAnsi"/>
              <w:noProof/>
              <w:lang w:val="en-CA" w:eastAsia="en-CA"/>
            </w:rPr>
          </w:pPr>
          <w:hyperlink w:anchor="_Toc325871775" w:history="1">
            <w:r w:rsidR="00BC1135" w:rsidRPr="00093885">
              <w:rPr>
                <w:rStyle w:val="Hyperlink"/>
                <w:noProof/>
              </w:rPr>
              <w:t>4.5.</w:t>
            </w:r>
            <w:r w:rsidR="00BC1135">
              <w:rPr>
                <w:rFonts w:asciiTheme="minorHAnsi" w:eastAsiaTheme="minorEastAsia" w:hAnsiTheme="minorHAnsi"/>
                <w:noProof/>
                <w:lang w:val="en-CA" w:eastAsia="en-CA"/>
              </w:rPr>
              <w:tab/>
            </w:r>
            <w:r w:rsidR="00BC1135" w:rsidRPr="00093885">
              <w:rPr>
                <w:rStyle w:val="Hyperlink"/>
                <w:noProof/>
              </w:rPr>
              <w:t>Labour force participation rates</w:t>
            </w:r>
            <w:r w:rsidR="00BC1135">
              <w:rPr>
                <w:noProof/>
                <w:webHidden/>
              </w:rPr>
              <w:tab/>
            </w:r>
            <w:r>
              <w:rPr>
                <w:noProof/>
                <w:webHidden/>
              </w:rPr>
              <w:fldChar w:fldCharType="begin"/>
            </w:r>
            <w:r w:rsidR="00BC1135">
              <w:rPr>
                <w:noProof/>
                <w:webHidden/>
              </w:rPr>
              <w:instrText xml:space="preserve"> PAGEREF _Toc325871775 \h </w:instrText>
            </w:r>
            <w:r>
              <w:rPr>
                <w:noProof/>
                <w:webHidden/>
              </w:rPr>
            </w:r>
            <w:r>
              <w:rPr>
                <w:noProof/>
                <w:webHidden/>
              </w:rPr>
              <w:fldChar w:fldCharType="separate"/>
            </w:r>
            <w:r w:rsidR="00BC1135">
              <w:rPr>
                <w:noProof/>
                <w:webHidden/>
              </w:rPr>
              <w:t>26</w:t>
            </w:r>
            <w:r>
              <w:rPr>
                <w:noProof/>
                <w:webHidden/>
              </w:rPr>
              <w:fldChar w:fldCharType="end"/>
            </w:r>
          </w:hyperlink>
        </w:p>
        <w:p w:rsidR="00BC1135" w:rsidRDefault="00D96907">
          <w:pPr>
            <w:pStyle w:val="TOC3"/>
            <w:tabs>
              <w:tab w:val="left" w:pos="1100"/>
              <w:tab w:val="right" w:leader="dot" w:pos="9465"/>
            </w:tabs>
            <w:rPr>
              <w:rFonts w:asciiTheme="minorHAnsi" w:eastAsiaTheme="minorEastAsia" w:hAnsiTheme="minorHAnsi"/>
              <w:noProof/>
              <w:lang w:val="en-CA" w:eastAsia="en-CA"/>
            </w:rPr>
          </w:pPr>
          <w:hyperlink w:anchor="_Toc325871776" w:history="1">
            <w:r w:rsidR="00BC1135" w:rsidRPr="00093885">
              <w:rPr>
                <w:rStyle w:val="Hyperlink"/>
                <w:noProof/>
              </w:rPr>
              <w:t>4.6.</w:t>
            </w:r>
            <w:r w:rsidR="00BC1135">
              <w:rPr>
                <w:rFonts w:asciiTheme="minorHAnsi" w:eastAsiaTheme="minorEastAsia" w:hAnsiTheme="minorHAnsi"/>
                <w:noProof/>
                <w:lang w:val="en-CA" w:eastAsia="en-CA"/>
              </w:rPr>
              <w:tab/>
            </w:r>
            <w:r w:rsidR="00BC1135" w:rsidRPr="00093885">
              <w:rPr>
                <w:rStyle w:val="Hyperlink"/>
                <w:noProof/>
              </w:rPr>
              <w:t>Global financial crisis</w:t>
            </w:r>
            <w:r w:rsidR="00BC1135">
              <w:rPr>
                <w:noProof/>
                <w:webHidden/>
              </w:rPr>
              <w:tab/>
            </w:r>
            <w:r>
              <w:rPr>
                <w:noProof/>
                <w:webHidden/>
              </w:rPr>
              <w:fldChar w:fldCharType="begin"/>
            </w:r>
            <w:r w:rsidR="00BC1135">
              <w:rPr>
                <w:noProof/>
                <w:webHidden/>
              </w:rPr>
              <w:instrText xml:space="preserve"> PAGEREF _Toc325871776 \h </w:instrText>
            </w:r>
            <w:r>
              <w:rPr>
                <w:noProof/>
                <w:webHidden/>
              </w:rPr>
            </w:r>
            <w:r>
              <w:rPr>
                <w:noProof/>
                <w:webHidden/>
              </w:rPr>
              <w:fldChar w:fldCharType="separate"/>
            </w:r>
            <w:r w:rsidR="00BC1135">
              <w:rPr>
                <w:noProof/>
                <w:webHidden/>
              </w:rPr>
              <w:t>27</w:t>
            </w:r>
            <w:r>
              <w:rPr>
                <w:noProof/>
                <w:webHidden/>
              </w:rPr>
              <w:fldChar w:fldCharType="end"/>
            </w:r>
          </w:hyperlink>
        </w:p>
        <w:p w:rsidR="00BC1135" w:rsidRDefault="00D96907">
          <w:pPr>
            <w:pStyle w:val="TOC2"/>
            <w:tabs>
              <w:tab w:val="left" w:pos="660"/>
              <w:tab w:val="right" w:leader="dot" w:pos="9465"/>
            </w:tabs>
            <w:rPr>
              <w:rFonts w:asciiTheme="minorHAnsi" w:eastAsiaTheme="minorEastAsia" w:hAnsiTheme="minorHAnsi"/>
              <w:noProof/>
              <w:lang w:val="en-CA" w:eastAsia="en-CA"/>
            </w:rPr>
          </w:pPr>
          <w:hyperlink w:anchor="_Toc325871777" w:history="1">
            <w:r w:rsidR="00BC1135" w:rsidRPr="00093885">
              <w:rPr>
                <w:rStyle w:val="Hyperlink"/>
                <w:noProof/>
              </w:rPr>
              <w:t>5.</w:t>
            </w:r>
            <w:r w:rsidR="00BC1135">
              <w:rPr>
                <w:rFonts w:asciiTheme="minorHAnsi" w:eastAsiaTheme="minorEastAsia" w:hAnsiTheme="minorHAnsi"/>
                <w:noProof/>
                <w:lang w:val="en-CA" w:eastAsia="en-CA"/>
              </w:rPr>
              <w:tab/>
            </w:r>
            <w:r w:rsidR="00BC1135" w:rsidRPr="00093885">
              <w:rPr>
                <w:rStyle w:val="Hyperlink"/>
                <w:noProof/>
              </w:rPr>
              <w:t>UNDP contributions to the Outcome</w:t>
            </w:r>
            <w:r w:rsidR="00BC1135">
              <w:rPr>
                <w:noProof/>
                <w:webHidden/>
              </w:rPr>
              <w:tab/>
            </w:r>
            <w:r>
              <w:rPr>
                <w:noProof/>
                <w:webHidden/>
              </w:rPr>
              <w:fldChar w:fldCharType="begin"/>
            </w:r>
            <w:r w:rsidR="00BC1135">
              <w:rPr>
                <w:noProof/>
                <w:webHidden/>
              </w:rPr>
              <w:instrText xml:space="preserve"> PAGEREF _Toc325871777 \h </w:instrText>
            </w:r>
            <w:r>
              <w:rPr>
                <w:noProof/>
                <w:webHidden/>
              </w:rPr>
            </w:r>
            <w:r>
              <w:rPr>
                <w:noProof/>
                <w:webHidden/>
              </w:rPr>
              <w:fldChar w:fldCharType="separate"/>
            </w:r>
            <w:r w:rsidR="00BC1135">
              <w:rPr>
                <w:noProof/>
                <w:webHidden/>
              </w:rPr>
              <w:t>28</w:t>
            </w:r>
            <w:r>
              <w:rPr>
                <w:noProof/>
                <w:webHidden/>
              </w:rPr>
              <w:fldChar w:fldCharType="end"/>
            </w:r>
          </w:hyperlink>
        </w:p>
        <w:p w:rsidR="00BC1135" w:rsidRDefault="00D96907">
          <w:pPr>
            <w:pStyle w:val="TOC3"/>
            <w:tabs>
              <w:tab w:val="left" w:pos="1100"/>
              <w:tab w:val="right" w:leader="dot" w:pos="9465"/>
            </w:tabs>
            <w:rPr>
              <w:rFonts w:asciiTheme="minorHAnsi" w:eastAsiaTheme="minorEastAsia" w:hAnsiTheme="minorHAnsi"/>
              <w:noProof/>
              <w:lang w:val="en-CA" w:eastAsia="en-CA"/>
            </w:rPr>
          </w:pPr>
          <w:hyperlink w:anchor="_Toc325871778" w:history="1">
            <w:r w:rsidR="00BC1135" w:rsidRPr="00093885">
              <w:rPr>
                <w:rStyle w:val="Hyperlink"/>
                <w:noProof/>
              </w:rPr>
              <w:t>5.1.</w:t>
            </w:r>
            <w:r w:rsidR="00BC1135">
              <w:rPr>
                <w:rFonts w:asciiTheme="minorHAnsi" w:eastAsiaTheme="minorEastAsia" w:hAnsiTheme="minorHAnsi"/>
                <w:noProof/>
                <w:lang w:val="en-CA" w:eastAsia="en-CA"/>
              </w:rPr>
              <w:tab/>
            </w:r>
            <w:r w:rsidR="00BC1135" w:rsidRPr="00093885">
              <w:rPr>
                <w:rStyle w:val="Hyperlink"/>
                <w:noProof/>
              </w:rPr>
              <w:t>Outputs under the CP</w:t>
            </w:r>
            <w:r w:rsidR="00BC1135">
              <w:rPr>
                <w:noProof/>
                <w:webHidden/>
              </w:rPr>
              <w:tab/>
            </w:r>
            <w:r>
              <w:rPr>
                <w:noProof/>
                <w:webHidden/>
              </w:rPr>
              <w:fldChar w:fldCharType="begin"/>
            </w:r>
            <w:r w:rsidR="00BC1135">
              <w:rPr>
                <w:noProof/>
                <w:webHidden/>
              </w:rPr>
              <w:instrText xml:space="preserve"> PAGEREF _Toc325871778 \h </w:instrText>
            </w:r>
            <w:r>
              <w:rPr>
                <w:noProof/>
                <w:webHidden/>
              </w:rPr>
            </w:r>
            <w:r>
              <w:rPr>
                <w:noProof/>
                <w:webHidden/>
              </w:rPr>
              <w:fldChar w:fldCharType="separate"/>
            </w:r>
            <w:r w:rsidR="00BC1135">
              <w:rPr>
                <w:noProof/>
                <w:webHidden/>
              </w:rPr>
              <w:t>28</w:t>
            </w:r>
            <w:r>
              <w:rPr>
                <w:noProof/>
                <w:webHidden/>
              </w:rPr>
              <w:fldChar w:fldCharType="end"/>
            </w:r>
          </w:hyperlink>
        </w:p>
        <w:p w:rsidR="00BC1135" w:rsidRDefault="00D96907">
          <w:pPr>
            <w:pStyle w:val="TOC4"/>
            <w:tabs>
              <w:tab w:val="left" w:pos="1540"/>
              <w:tab w:val="right" w:leader="dot" w:pos="9465"/>
            </w:tabs>
            <w:rPr>
              <w:rFonts w:asciiTheme="minorHAnsi" w:eastAsiaTheme="minorEastAsia" w:hAnsiTheme="minorHAnsi"/>
              <w:noProof/>
              <w:lang w:val="en-CA" w:eastAsia="en-CA"/>
            </w:rPr>
          </w:pPr>
          <w:hyperlink w:anchor="_Toc325871779" w:history="1">
            <w:r w:rsidR="00BC1135" w:rsidRPr="00093885">
              <w:rPr>
                <w:rStyle w:val="Hyperlink"/>
                <w:noProof/>
              </w:rPr>
              <w:t>5.1.1.</w:t>
            </w:r>
            <w:r w:rsidR="00BC1135">
              <w:rPr>
                <w:rFonts w:asciiTheme="minorHAnsi" w:eastAsiaTheme="minorEastAsia" w:hAnsiTheme="minorHAnsi"/>
                <w:noProof/>
                <w:lang w:val="en-CA" w:eastAsia="en-CA"/>
              </w:rPr>
              <w:tab/>
            </w:r>
            <w:r w:rsidR="00BC1135" w:rsidRPr="00093885">
              <w:rPr>
                <w:rStyle w:val="Hyperlink"/>
                <w:noProof/>
              </w:rPr>
              <w:t>Umbrella Programme:  Saudi Arabian General Investment Authority (SAGIA)</w:t>
            </w:r>
            <w:r w:rsidR="00BC1135">
              <w:rPr>
                <w:noProof/>
                <w:webHidden/>
              </w:rPr>
              <w:tab/>
            </w:r>
            <w:r>
              <w:rPr>
                <w:noProof/>
                <w:webHidden/>
              </w:rPr>
              <w:fldChar w:fldCharType="begin"/>
            </w:r>
            <w:r w:rsidR="00BC1135">
              <w:rPr>
                <w:noProof/>
                <w:webHidden/>
              </w:rPr>
              <w:instrText xml:space="preserve"> PAGEREF _Toc325871779 \h </w:instrText>
            </w:r>
            <w:r>
              <w:rPr>
                <w:noProof/>
                <w:webHidden/>
              </w:rPr>
            </w:r>
            <w:r>
              <w:rPr>
                <w:noProof/>
                <w:webHidden/>
              </w:rPr>
              <w:fldChar w:fldCharType="separate"/>
            </w:r>
            <w:r w:rsidR="00BC1135">
              <w:rPr>
                <w:noProof/>
                <w:webHidden/>
              </w:rPr>
              <w:t>28</w:t>
            </w:r>
            <w:r>
              <w:rPr>
                <w:noProof/>
                <w:webHidden/>
              </w:rPr>
              <w:fldChar w:fldCharType="end"/>
            </w:r>
          </w:hyperlink>
        </w:p>
        <w:p w:rsidR="00BC1135" w:rsidRDefault="00D96907">
          <w:pPr>
            <w:pStyle w:val="TOC4"/>
            <w:tabs>
              <w:tab w:val="left" w:pos="1540"/>
              <w:tab w:val="right" w:leader="dot" w:pos="9465"/>
            </w:tabs>
            <w:rPr>
              <w:rFonts w:asciiTheme="minorHAnsi" w:eastAsiaTheme="minorEastAsia" w:hAnsiTheme="minorHAnsi"/>
              <w:noProof/>
              <w:lang w:val="en-CA" w:eastAsia="en-CA"/>
            </w:rPr>
          </w:pPr>
          <w:hyperlink w:anchor="_Toc325871780" w:history="1">
            <w:r w:rsidR="00BC1135" w:rsidRPr="00093885">
              <w:rPr>
                <w:rStyle w:val="Hyperlink"/>
                <w:noProof/>
              </w:rPr>
              <w:t>5.1.2.</w:t>
            </w:r>
            <w:r w:rsidR="00BC1135">
              <w:rPr>
                <w:rFonts w:asciiTheme="minorHAnsi" w:eastAsiaTheme="minorEastAsia" w:hAnsiTheme="minorHAnsi"/>
                <w:noProof/>
                <w:lang w:val="en-CA" w:eastAsia="en-CA"/>
              </w:rPr>
              <w:tab/>
            </w:r>
            <w:r w:rsidR="00BC1135" w:rsidRPr="00093885">
              <w:rPr>
                <w:rStyle w:val="Hyperlink"/>
                <w:noProof/>
              </w:rPr>
              <w:t>Umbrella Programme for the Supreme Commission for Tourism (SCT)</w:t>
            </w:r>
            <w:r w:rsidR="00BC1135">
              <w:rPr>
                <w:noProof/>
                <w:webHidden/>
              </w:rPr>
              <w:tab/>
            </w:r>
            <w:r>
              <w:rPr>
                <w:noProof/>
                <w:webHidden/>
              </w:rPr>
              <w:fldChar w:fldCharType="begin"/>
            </w:r>
            <w:r w:rsidR="00BC1135">
              <w:rPr>
                <w:noProof/>
                <w:webHidden/>
              </w:rPr>
              <w:instrText xml:space="preserve"> PAGEREF _Toc325871780 \h </w:instrText>
            </w:r>
            <w:r>
              <w:rPr>
                <w:noProof/>
                <w:webHidden/>
              </w:rPr>
            </w:r>
            <w:r>
              <w:rPr>
                <w:noProof/>
                <w:webHidden/>
              </w:rPr>
              <w:fldChar w:fldCharType="separate"/>
            </w:r>
            <w:r w:rsidR="00BC1135">
              <w:rPr>
                <w:noProof/>
                <w:webHidden/>
              </w:rPr>
              <w:t>30</w:t>
            </w:r>
            <w:r>
              <w:rPr>
                <w:noProof/>
                <w:webHidden/>
              </w:rPr>
              <w:fldChar w:fldCharType="end"/>
            </w:r>
          </w:hyperlink>
        </w:p>
        <w:p w:rsidR="00BC1135" w:rsidRDefault="00D96907">
          <w:pPr>
            <w:pStyle w:val="TOC4"/>
            <w:tabs>
              <w:tab w:val="left" w:pos="1540"/>
              <w:tab w:val="right" w:leader="dot" w:pos="9465"/>
            </w:tabs>
            <w:rPr>
              <w:rFonts w:asciiTheme="minorHAnsi" w:eastAsiaTheme="minorEastAsia" w:hAnsiTheme="minorHAnsi"/>
              <w:noProof/>
              <w:lang w:val="en-CA" w:eastAsia="en-CA"/>
            </w:rPr>
          </w:pPr>
          <w:hyperlink w:anchor="_Toc325871781" w:history="1">
            <w:r w:rsidR="00BC1135" w:rsidRPr="00093885">
              <w:rPr>
                <w:rStyle w:val="Hyperlink"/>
                <w:noProof/>
              </w:rPr>
              <w:t>5.1.3.</w:t>
            </w:r>
            <w:r w:rsidR="00BC1135">
              <w:rPr>
                <w:rFonts w:asciiTheme="minorHAnsi" w:eastAsiaTheme="minorEastAsia" w:hAnsiTheme="minorHAnsi"/>
                <w:noProof/>
                <w:lang w:val="en-CA" w:eastAsia="en-CA"/>
              </w:rPr>
              <w:tab/>
            </w:r>
            <w:r w:rsidR="00BC1135" w:rsidRPr="00093885">
              <w:rPr>
                <w:rStyle w:val="Hyperlink"/>
                <w:noProof/>
              </w:rPr>
              <w:t>Advisory Services for WTO</w:t>
            </w:r>
            <w:r w:rsidR="00BC1135">
              <w:rPr>
                <w:noProof/>
                <w:webHidden/>
              </w:rPr>
              <w:tab/>
            </w:r>
            <w:r>
              <w:rPr>
                <w:noProof/>
                <w:webHidden/>
              </w:rPr>
              <w:fldChar w:fldCharType="begin"/>
            </w:r>
            <w:r w:rsidR="00BC1135">
              <w:rPr>
                <w:noProof/>
                <w:webHidden/>
              </w:rPr>
              <w:instrText xml:space="preserve"> PAGEREF _Toc325871781 \h </w:instrText>
            </w:r>
            <w:r>
              <w:rPr>
                <w:noProof/>
                <w:webHidden/>
              </w:rPr>
            </w:r>
            <w:r>
              <w:rPr>
                <w:noProof/>
                <w:webHidden/>
              </w:rPr>
              <w:fldChar w:fldCharType="separate"/>
            </w:r>
            <w:r w:rsidR="00BC1135">
              <w:rPr>
                <w:noProof/>
                <w:webHidden/>
              </w:rPr>
              <w:t>32</w:t>
            </w:r>
            <w:r>
              <w:rPr>
                <w:noProof/>
                <w:webHidden/>
              </w:rPr>
              <w:fldChar w:fldCharType="end"/>
            </w:r>
          </w:hyperlink>
        </w:p>
        <w:p w:rsidR="00BC1135" w:rsidRDefault="00D96907">
          <w:pPr>
            <w:pStyle w:val="TOC2"/>
            <w:tabs>
              <w:tab w:val="left" w:pos="660"/>
              <w:tab w:val="right" w:leader="dot" w:pos="9465"/>
            </w:tabs>
            <w:rPr>
              <w:rFonts w:asciiTheme="minorHAnsi" w:eastAsiaTheme="minorEastAsia" w:hAnsiTheme="minorHAnsi"/>
              <w:noProof/>
              <w:lang w:val="en-CA" w:eastAsia="en-CA"/>
            </w:rPr>
          </w:pPr>
          <w:hyperlink w:anchor="_Toc325871782" w:history="1">
            <w:r w:rsidR="00BC1135" w:rsidRPr="00093885">
              <w:rPr>
                <w:rStyle w:val="Hyperlink"/>
                <w:noProof/>
              </w:rPr>
              <w:t>6.</w:t>
            </w:r>
            <w:r w:rsidR="00BC1135">
              <w:rPr>
                <w:rFonts w:asciiTheme="minorHAnsi" w:eastAsiaTheme="minorEastAsia" w:hAnsiTheme="minorHAnsi"/>
                <w:noProof/>
                <w:lang w:val="en-CA" w:eastAsia="en-CA"/>
              </w:rPr>
              <w:tab/>
            </w:r>
            <w:r w:rsidR="00BC1135" w:rsidRPr="00093885">
              <w:rPr>
                <w:rStyle w:val="Hyperlink"/>
                <w:noProof/>
              </w:rPr>
              <w:t>Assessment of the partnership strategy</w:t>
            </w:r>
            <w:r w:rsidR="00BC1135">
              <w:rPr>
                <w:noProof/>
                <w:webHidden/>
              </w:rPr>
              <w:tab/>
            </w:r>
            <w:r>
              <w:rPr>
                <w:noProof/>
                <w:webHidden/>
              </w:rPr>
              <w:fldChar w:fldCharType="begin"/>
            </w:r>
            <w:r w:rsidR="00BC1135">
              <w:rPr>
                <w:noProof/>
                <w:webHidden/>
              </w:rPr>
              <w:instrText xml:space="preserve"> PAGEREF _Toc325871782 \h </w:instrText>
            </w:r>
            <w:r>
              <w:rPr>
                <w:noProof/>
                <w:webHidden/>
              </w:rPr>
            </w:r>
            <w:r>
              <w:rPr>
                <w:noProof/>
                <w:webHidden/>
              </w:rPr>
              <w:fldChar w:fldCharType="separate"/>
            </w:r>
            <w:r w:rsidR="00BC1135">
              <w:rPr>
                <w:noProof/>
                <w:webHidden/>
              </w:rPr>
              <w:t>33</w:t>
            </w:r>
            <w:r>
              <w:rPr>
                <w:noProof/>
                <w:webHidden/>
              </w:rPr>
              <w:fldChar w:fldCharType="end"/>
            </w:r>
          </w:hyperlink>
        </w:p>
        <w:p w:rsidR="00BC1135" w:rsidRDefault="00D96907">
          <w:pPr>
            <w:pStyle w:val="TOC3"/>
            <w:tabs>
              <w:tab w:val="left" w:pos="1100"/>
              <w:tab w:val="right" w:leader="dot" w:pos="9465"/>
            </w:tabs>
            <w:rPr>
              <w:rFonts w:asciiTheme="minorHAnsi" w:eastAsiaTheme="minorEastAsia" w:hAnsiTheme="minorHAnsi"/>
              <w:noProof/>
              <w:lang w:val="en-CA" w:eastAsia="en-CA"/>
            </w:rPr>
          </w:pPr>
          <w:hyperlink w:anchor="_Toc325871783" w:history="1">
            <w:r w:rsidR="00BC1135" w:rsidRPr="00093885">
              <w:rPr>
                <w:rStyle w:val="Hyperlink"/>
                <w:noProof/>
              </w:rPr>
              <w:t>6.1.</w:t>
            </w:r>
            <w:r w:rsidR="00BC1135">
              <w:rPr>
                <w:rFonts w:asciiTheme="minorHAnsi" w:eastAsiaTheme="minorEastAsia" w:hAnsiTheme="minorHAnsi"/>
                <w:noProof/>
                <w:lang w:val="en-CA" w:eastAsia="en-CA"/>
              </w:rPr>
              <w:tab/>
            </w:r>
            <w:r w:rsidR="00BC1135" w:rsidRPr="00093885">
              <w:rPr>
                <w:rStyle w:val="Hyperlink"/>
                <w:noProof/>
              </w:rPr>
              <w:t>Flexibility</w:t>
            </w:r>
            <w:r w:rsidR="00BC1135">
              <w:rPr>
                <w:noProof/>
                <w:webHidden/>
              </w:rPr>
              <w:tab/>
            </w:r>
            <w:r>
              <w:rPr>
                <w:noProof/>
                <w:webHidden/>
              </w:rPr>
              <w:fldChar w:fldCharType="begin"/>
            </w:r>
            <w:r w:rsidR="00BC1135">
              <w:rPr>
                <w:noProof/>
                <w:webHidden/>
              </w:rPr>
              <w:instrText xml:space="preserve"> PAGEREF _Toc325871783 \h </w:instrText>
            </w:r>
            <w:r>
              <w:rPr>
                <w:noProof/>
                <w:webHidden/>
              </w:rPr>
            </w:r>
            <w:r>
              <w:rPr>
                <w:noProof/>
                <w:webHidden/>
              </w:rPr>
              <w:fldChar w:fldCharType="separate"/>
            </w:r>
            <w:r w:rsidR="00BC1135">
              <w:rPr>
                <w:noProof/>
                <w:webHidden/>
              </w:rPr>
              <w:t>33</w:t>
            </w:r>
            <w:r>
              <w:rPr>
                <w:noProof/>
                <w:webHidden/>
              </w:rPr>
              <w:fldChar w:fldCharType="end"/>
            </w:r>
          </w:hyperlink>
        </w:p>
        <w:p w:rsidR="00BC1135" w:rsidRDefault="00D96907">
          <w:pPr>
            <w:pStyle w:val="TOC3"/>
            <w:tabs>
              <w:tab w:val="left" w:pos="1100"/>
              <w:tab w:val="right" w:leader="dot" w:pos="9465"/>
            </w:tabs>
            <w:rPr>
              <w:rFonts w:asciiTheme="minorHAnsi" w:eastAsiaTheme="minorEastAsia" w:hAnsiTheme="minorHAnsi"/>
              <w:noProof/>
              <w:lang w:val="en-CA" w:eastAsia="en-CA"/>
            </w:rPr>
          </w:pPr>
          <w:hyperlink w:anchor="_Toc325871784" w:history="1">
            <w:r w:rsidR="00BC1135" w:rsidRPr="00093885">
              <w:rPr>
                <w:rStyle w:val="Hyperlink"/>
                <w:noProof/>
              </w:rPr>
              <w:t>6.2.</w:t>
            </w:r>
            <w:r w:rsidR="00BC1135">
              <w:rPr>
                <w:rFonts w:asciiTheme="minorHAnsi" w:eastAsiaTheme="minorEastAsia" w:hAnsiTheme="minorHAnsi"/>
                <w:noProof/>
                <w:lang w:val="en-CA" w:eastAsia="en-CA"/>
              </w:rPr>
              <w:tab/>
            </w:r>
            <w:r w:rsidR="00BC1135" w:rsidRPr="00093885">
              <w:rPr>
                <w:rStyle w:val="Hyperlink"/>
                <w:noProof/>
              </w:rPr>
              <w:t>Accessing the UN specialized-agency network</w:t>
            </w:r>
            <w:r w:rsidR="00BC1135">
              <w:rPr>
                <w:noProof/>
                <w:webHidden/>
              </w:rPr>
              <w:tab/>
            </w:r>
            <w:r>
              <w:rPr>
                <w:noProof/>
                <w:webHidden/>
              </w:rPr>
              <w:fldChar w:fldCharType="begin"/>
            </w:r>
            <w:r w:rsidR="00BC1135">
              <w:rPr>
                <w:noProof/>
                <w:webHidden/>
              </w:rPr>
              <w:instrText xml:space="preserve"> PAGEREF _Toc325871784 \h </w:instrText>
            </w:r>
            <w:r>
              <w:rPr>
                <w:noProof/>
                <w:webHidden/>
              </w:rPr>
            </w:r>
            <w:r>
              <w:rPr>
                <w:noProof/>
                <w:webHidden/>
              </w:rPr>
              <w:fldChar w:fldCharType="separate"/>
            </w:r>
            <w:r w:rsidR="00BC1135">
              <w:rPr>
                <w:noProof/>
                <w:webHidden/>
              </w:rPr>
              <w:t>34</w:t>
            </w:r>
            <w:r>
              <w:rPr>
                <w:noProof/>
                <w:webHidden/>
              </w:rPr>
              <w:fldChar w:fldCharType="end"/>
            </w:r>
          </w:hyperlink>
        </w:p>
        <w:p w:rsidR="00BC1135" w:rsidRDefault="00D96907">
          <w:pPr>
            <w:pStyle w:val="TOC1"/>
            <w:tabs>
              <w:tab w:val="left" w:pos="440"/>
              <w:tab w:val="right" w:leader="dot" w:pos="9465"/>
            </w:tabs>
            <w:rPr>
              <w:rFonts w:asciiTheme="minorHAnsi" w:eastAsiaTheme="minorEastAsia" w:hAnsiTheme="minorHAnsi"/>
              <w:noProof/>
              <w:lang w:val="en-CA" w:eastAsia="en-CA"/>
            </w:rPr>
          </w:pPr>
          <w:hyperlink w:anchor="_Toc325871785" w:history="1">
            <w:r w:rsidR="00BC1135" w:rsidRPr="00093885">
              <w:rPr>
                <w:rStyle w:val="Hyperlink"/>
                <w:noProof/>
              </w:rPr>
              <w:t>7.</w:t>
            </w:r>
            <w:r w:rsidR="00BC1135">
              <w:rPr>
                <w:rFonts w:asciiTheme="minorHAnsi" w:eastAsiaTheme="minorEastAsia" w:hAnsiTheme="minorHAnsi"/>
                <w:noProof/>
                <w:lang w:val="en-CA" w:eastAsia="en-CA"/>
              </w:rPr>
              <w:tab/>
            </w:r>
            <w:r w:rsidR="00BC1135" w:rsidRPr="00093885">
              <w:rPr>
                <w:rStyle w:val="Hyperlink"/>
                <w:noProof/>
              </w:rPr>
              <w:t>Conclusions and Recommendations</w:t>
            </w:r>
            <w:r w:rsidR="00BC1135">
              <w:rPr>
                <w:noProof/>
                <w:webHidden/>
              </w:rPr>
              <w:tab/>
            </w:r>
            <w:r>
              <w:rPr>
                <w:noProof/>
                <w:webHidden/>
              </w:rPr>
              <w:fldChar w:fldCharType="begin"/>
            </w:r>
            <w:r w:rsidR="00BC1135">
              <w:rPr>
                <w:noProof/>
                <w:webHidden/>
              </w:rPr>
              <w:instrText xml:space="preserve"> PAGEREF _Toc325871785 \h </w:instrText>
            </w:r>
            <w:r>
              <w:rPr>
                <w:noProof/>
                <w:webHidden/>
              </w:rPr>
            </w:r>
            <w:r>
              <w:rPr>
                <w:noProof/>
                <w:webHidden/>
              </w:rPr>
              <w:fldChar w:fldCharType="separate"/>
            </w:r>
            <w:r w:rsidR="00BC1135">
              <w:rPr>
                <w:noProof/>
                <w:webHidden/>
              </w:rPr>
              <w:t>34</w:t>
            </w:r>
            <w:r>
              <w:rPr>
                <w:noProof/>
                <w:webHidden/>
              </w:rPr>
              <w:fldChar w:fldCharType="end"/>
            </w:r>
          </w:hyperlink>
        </w:p>
        <w:p w:rsidR="00BC1135" w:rsidRDefault="00D96907">
          <w:pPr>
            <w:pStyle w:val="TOC2"/>
            <w:tabs>
              <w:tab w:val="left" w:pos="880"/>
              <w:tab w:val="right" w:leader="dot" w:pos="9465"/>
            </w:tabs>
            <w:rPr>
              <w:rFonts w:asciiTheme="minorHAnsi" w:eastAsiaTheme="minorEastAsia" w:hAnsiTheme="minorHAnsi"/>
              <w:noProof/>
              <w:lang w:val="en-CA" w:eastAsia="en-CA"/>
            </w:rPr>
          </w:pPr>
          <w:hyperlink w:anchor="_Toc325871786" w:history="1">
            <w:r w:rsidR="00BC1135" w:rsidRPr="00093885">
              <w:rPr>
                <w:rStyle w:val="Hyperlink"/>
                <w:noProof/>
              </w:rPr>
              <w:t>7.1.</w:t>
            </w:r>
            <w:r w:rsidR="00BC1135">
              <w:rPr>
                <w:rFonts w:asciiTheme="minorHAnsi" w:eastAsiaTheme="minorEastAsia" w:hAnsiTheme="minorHAnsi"/>
                <w:noProof/>
                <w:lang w:val="en-CA" w:eastAsia="en-CA"/>
              </w:rPr>
              <w:tab/>
            </w:r>
            <w:r w:rsidR="00BC1135" w:rsidRPr="00093885">
              <w:rPr>
                <w:rStyle w:val="Hyperlink"/>
                <w:noProof/>
              </w:rPr>
              <w:t>Programme framing in a High-human-development NCC</w:t>
            </w:r>
            <w:r w:rsidR="00BC1135">
              <w:rPr>
                <w:noProof/>
                <w:webHidden/>
              </w:rPr>
              <w:tab/>
            </w:r>
            <w:r>
              <w:rPr>
                <w:noProof/>
                <w:webHidden/>
              </w:rPr>
              <w:fldChar w:fldCharType="begin"/>
            </w:r>
            <w:r w:rsidR="00BC1135">
              <w:rPr>
                <w:noProof/>
                <w:webHidden/>
              </w:rPr>
              <w:instrText xml:space="preserve"> PAGEREF _Toc325871786 \h </w:instrText>
            </w:r>
            <w:r>
              <w:rPr>
                <w:noProof/>
                <w:webHidden/>
              </w:rPr>
            </w:r>
            <w:r>
              <w:rPr>
                <w:noProof/>
                <w:webHidden/>
              </w:rPr>
              <w:fldChar w:fldCharType="separate"/>
            </w:r>
            <w:r w:rsidR="00BC1135">
              <w:rPr>
                <w:noProof/>
                <w:webHidden/>
              </w:rPr>
              <w:t>34</w:t>
            </w:r>
            <w:r>
              <w:rPr>
                <w:noProof/>
                <w:webHidden/>
              </w:rPr>
              <w:fldChar w:fldCharType="end"/>
            </w:r>
          </w:hyperlink>
        </w:p>
        <w:p w:rsidR="00BC1135" w:rsidRDefault="00D96907">
          <w:pPr>
            <w:pStyle w:val="TOC3"/>
            <w:tabs>
              <w:tab w:val="left" w:pos="1320"/>
              <w:tab w:val="right" w:leader="dot" w:pos="9465"/>
            </w:tabs>
            <w:rPr>
              <w:rFonts w:asciiTheme="minorHAnsi" w:eastAsiaTheme="minorEastAsia" w:hAnsiTheme="minorHAnsi"/>
              <w:noProof/>
              <w:lang w:val="en-CA" w:eastAsia="en-CA"/>
            </w:rPr>
          </w:pPr>
          <w:hyperlink w:anchor="_Toc325871787" w:history="1">
            <w:r w:rsidR="00BC1135" w:rsidRPr="00093885">
              <w:rPr>
                <w:rStyle w:val="Hyperlink"/>
                <w:noProof/>
              </w:rPr>
              <w:t>7.1.1.</w:t>
            </w:r>
            <w:r w:rsidR="00BC1135">
              <w:rPr>
                <w:rFonts w:asciiTheme="minorHAnsi" w:eastAsiaTheme="minorEastAsia" w:hAnsiTheme="minorHAnsi"/>
                <w:noProof/>
                <w:lang w:val="en-CA" w:eastAsia="en-CA"/>
              </w:rPr>
              <w:tab/>
            </w:r>
            <w:r w:rsidR="00BC1135" w:rsidRPr="00093885">
              <w:rPr>
                <w:rStyle w:val="Hyperlink"/>
                <w:noProof/>
              </w:rPr>
              <w:t>Ownership assured</w:t>
            </w:r>
            <w:r w:rsidR="00BC1135">
              <w:rPr>
                <w:noProof/>
                <w:webHidden/>
              </w:rPr>
              <w:tab/>
            </w:r>
            <w:r>
              <w:rPr>
                <w:noProof/>
                <w:webHidden/>
              </w:rPr>
              <w:fldChar w:fldCharType="begin"/>
            </w:r>
            <w:r w:rsidR="00BC1135">
              <w:rPr>
                <w:noProof/>
                <w:webHidden/>
              </w:rPr>
              <w:instrText xml:space="preserve"> PAGEREF _Toc325871787 \h </w:instrText>
            </w:r>
            <w:r>
              <w:rPr>
                <w:noProof/>
                <w:webHidden/>
              </w:rPr>
            </w:r>
            <w:r>
              <w:rPr>
                <w:noProof/>
                <w:webHidden/>
              </w:rPr>
              <w:fldChar w:fldCharType="separate"/>
            </w:r>
            <w:r w:rsidR="00BC1135">
              <w:rPr>
                <w:noProof/>
                <w:webHidden/>
              </w:rPr>
              <w:t>34</w:t>
            </w:r>
            <w:r>
              <w:rPr>
                <w:noProof/>
                <w:webHidden/>
              </w:rPr>
              <w:fldChar w:fldCharType="end"/>
            </w:r>
          </w:hyperlink>
        </w:p>
        <w:p w:rsidR="00BC1135" w:rsidRDefault="00D96907">
          <w:pPr>
            <w:pStyle w:val="TOC3"/>
            <w:tabs>
              <w:tab w:val="left" w:pos="1320"/>
              <w:tab w:val="right" w:leader="dot" w:pos="9465"/>
            </w:tabs>
            <w:rPr>
              <w:rFonts w:asciiTheme="minorHAnsi" w:eastAsiaTheme="minorEastAsia" w:hAnsiTheme="minorHAnsi"/>
              <w:noProof/>
              <w:lang w:val="en-CA" w:eastAsia="en-CA"/>
            </w:rPr>
          </w:pPr>
          <w:hyperlink w:anchor="_Toc325871788" w:history="1">
            <w:r w:rsidR="00BC1135" w:rsidRPr="00093885">
              <w:rPr>
                <w:rStyle w:val="Hyperlink"/>
                <w:noProof/>
              </w:rPr>
              <w:t>7.1.2.</w:t>
            </w:r>
            <w:r w:rsidR="00BC1135">
              <w:rPr>
                <w:rFonts w:asciiTheme="minorHAnsi" w:eastAsiaTheme="minorEastAsia" w:hAnsiTheme="minorHAnsi"/>
                <w:noProof/>
                <w:lang w:val="en-CA" w:eastAsia="en-CA"/>
              </w:rPr>
              <w:tab/>
            </w:r>
            <w:r w:rsidR="00BC1135" w:rsidRPr="00093885">
              <w:rPr>
                <w:rStyle w:val="Hyperlink"/>
                <w:noProof/>
              </w:rPr>
              <w:t>Mutual confidence</w:t>
            </w:r>
            <w:r w:rsidR="00BC1135">
              <w:rPr>
                <w:noProof/>
                <w:webHidden/>
              </w:rPr>
              <w:tab/>
            </w:r>
            <w:r>
              <w:rPr>
                <w:noProof/>
                <w:webHidden/>
              </w:rPr>
              <w:fldChar w:fldCharType="begin"/>
            </w:r>
            <w:r w:rsidR="00BC1135">
              <w:rPr>
                <w:noProof/>
                <w:webHidden/>
              </w:rPr>
              <w:instrText xml:space="preserve"> PAGEREF _Toc325871788 \h </w:instrText>
            </w:r>
            <w:r>
              <w:rPr>
                <w:noProof/>
                <w:webHidden/>
              </w:rPr>
            </w:r>
            <w:r>
              <w:rPr>
                <w:noProof/>
                <w:webHidden/>
              </w:rPr>
              <w:fldChar w:fldCharType="separate"/>
            </w:r>
            <w:r w:rsidR="00BC1135">
              <w:rPr>
                <w:noProof/>
                <w:webHidden/>
              </w:rPr>
              <w:t>34</w:t>
            </w:r>
            <w:r>
              <w:rPr>
                <w:noProof/>
                <w:webHidden/>
              </w:rPr>
              <w:fldChar w:fldCharType="end"/>
            </w:r>
          </w:hyperlink>
        </w:p>
        <w:p w:rsidR="00BC1135" w:rsidRDefault="00D96907">
          <w:pPr>
            <w:pStyle w:val="TOC2"/>
            <w:tabs>
              <w:tab w:val="left" w:pos="880"/>
              <w:tab w:val="right" w:leader="dot" w:pos="9465"/>
            </w:tabs>
            <w:rPr>
              <w:rFonts w:asciiTheme="minorHAnsi" w:eastAsiaTheme="minorEastAsia" w:hAnsiTheme="minorHAnsi"/>
              <w:noProof/>
              <w:lang w:val="en-CA" w:eastAsia="en-CA"/>
            </w:rPr>
          </w:pPr>
          <w:hyperlink w:anchor="_Toc325871789" w:history="1">
            <w:r w:rsidR="00BC1135" w:rsidRPr="00093885">
              <w:rPr>
                <w:rStyle w:val="Hyperlink"/>
                <w:noProof/>
              </w:rPr>
              <w:t>7.2.</w:t>
            </w:r>
            <w:r w:rsidR="00BC1135">
              <w:rPr>
                <w:rFonts w:asciiTheme="minorHAnsi" w:eastAsiaTheme="minorEastAsia" w:hAnsiTheme="minorHAnsi"/>
                <w:noProof/>
                <w:lang w:val="en-CA" w:eastAsia="en-CA"/>
              </w:rPr>
              <w:tab/>
            </w:r>
            <w:r w:rsidR="00BC1135" w:rsidRPr="00093885">
              <w:rPr>
                <w:rStyle w:val="Hyperlink"/>
                <w:noProof/>
              </w:rPr>
              <w:t>Clear and trackable Outcome indicators</w:t>
            </w:r>
            <w:r w:rsidR="00BC1135">
              <w:rPr>
                <w:noProof/>
                <w:webHidden/>
              </w:rPr>
              <w:tab/>
            </w:r>
            <w:r>
              <w:rPr>
                <w:noProof/>
                <w:webHidden/>
              </w:rPr>
              <w:fldChar w:fldCharType="begin"/>
            </w:r>
            <w:r w:rsidR="00BC1135">
              <w:rPr>
                <w:noProof/>
                <w:webHidden/>
              </w:rPr>
              <w:instrText xml:space="preserve"> PAGEREF _Toc325871789 \h </w:instrText>
            </w:r>
            <w:r>
              <w:rPr>
                <w:noProof/>
                <w:webHidden/>
              </w:rPr>
            </w:r>
            <w:r>
              <w:rPr>
                <w:noProof/>
                <w:webHidden/>
              </w:rPr>
              <w:fldChar w:fldCharType="separate"/>
            </w:r>
            <w:r w:rsidR="00BC1135">
              <w:rPr>
                <w:noProof/>
                <w:webHidden/>
              </w:rPr>
              <w:t>35</w:t>
            </w:r>
            <w:r>
              <w:rPr>
                <w:noProof/>
                <w:webHidden/>
              </w:rPr>
              <w:fldChar w:fldCharType="end"/>
            </w:r>
          </w:hyperlink>
        </w:p>
        <w:p w:rsidR="00BC1135" w:rsidRDefault="00D96907">
          <w:pPr>
            <w:pStyle w:val="TOC2"/>
            <w:tabs>
              <w:tab w:val="left" w:pos="880"/>
              <w:tab w:val="right" w:leader="dot" w:pos="9465"/>
            </w:tabs>
            <w:rPr>
              <w:rFonts w:asciiTheme="minorHAnsi" w:eastAsiaTheme="minorEastAsia" w:hAnsiTheme="minorHAnsi"/>
              <w:noProof/>
              <w:lang w:val="en-CA" w:eastAsia="en-CA"/>
            </w:rPr>
          </w:pPr>
          <w:hyperlink w:anchor="_Toc325871790" w:history="1">
            <w:r w:rsidR="00BC1135" w:rsidRPr="00093885">
              <w:rPr>
                <w:rStyle w:val="Hyperlink"/>
                <w:noProof/>
              </w:rPr>
              <w:t>7.3.</w:t>
            </w:r>
            <w:r w:rsidR="00BC1135">
              <w:rPr>
                <w:rFonts w:asciiTheme="minorHAnsi" w:eastAsiaTheme="minorEastAsia" w:hAnsiTheme="minorHAnsi"/>
                <w:noProof/>
                <w:lang w:val="en-CA" w:eastAsia="en-CA"/>
              </w:rPr>
              <w:tab/>
            </w:r>
            <w:r w:rsidR="00BC1135" w:rsidRPr="00093885">
              <w:rPr>
                <w:rStyle w:val="Hyperlink"/>
                <w:noProof/>
              </w:rPr>
              <w:t>Administrative management</w:t>
            </w:r>
            <w:r w:rsidR="00BC1135">
              <w:rPr>
                <w:noProof/>
                <w:webHidden/>
              </w:rPr>
              <w:tab/>
            </w:r>
            <w:r>
              <w:rPr>
                <w:noProof/>
                <w:webHidden/>
              </w:rPr>
              <w:fldChar w:fldCharType="begin"/>
            </w:r>
            <w:r w:rsidR="00BC1135">
              <w:rPr>
                <w:noProof/>
                <w:webHidden/>
              </w:rPr>
              <w:instrText xml:space="preserve"> PAGEREF _Toc325871790 \h </w:instrText>
            </w:r>
            <w:r>
              <w:rPr>
                <w:noProof/>
                <w:webHidden/>
              </w:rPr>
            </w:r>
            <w:r>
              <w:rPr>
                <w:noProof/>
                <w:webHidden/>
              </w:rPr>
              <w:fldChar w:fldCharType="separate"/>
            </w:r>
            <w:r w:rsidR="00BC1135">
              <w:rPr>
                <w:noProof/>
                <w:webHidden/>
              </w:rPr>
              <w:t>36</w:t>
            </w:r>
            <w:r>
              <w:rPr>
                <w:noProof/>
                <w:webHidden/>
              </w:rPr>
              <w:fldChar w:fldCharType="end"/>
            </w:r>
          </w:hyperlink>
        </w:p>
        <w:p w:rsidR="00BC1135" w:rsidRDefault="00D96907">
          <w:pPr>
            <w:pStyle w:val="TOC2"/>
            <w:tabs>
              <w:tab w:val="left" w:pos="880"/>
              <w:tab w:val="right" w:leader="dot" w:pos="9465"/>
            </w:tabs>
            <w:rPr>
              <w:rFonts w:asciiTheme="minorHAnsi" w:eastAsiaTheme="minorEastAsia" w:hAnsiTheme="minorHAnsi"/>
              <w:noProof/>
              <w:lang w:val="en-CA" w:eastAsia="en-CA"/>
            </w:rPr>
          </w:pPr>
          <w:hyperlink w:anchor="_Toc325871791" w:history="1">
            <w:r w:rsidR="00BC1135" w:rsidRPr="00093885">
              <w:rPr>
                <w:rStyle w:val="Hyperlink"/>
                <w:noProof/>
              </w:rPr>
              <w:t>7.4.</w:t>
            </w:r>
            <w:r w:rsidR="00BC1135">
              <w:rPr>
                <w:rFonts w:asciiTheme="minorHAnsi" w:eastAsiaTheme="minorEastAsia" w:hAnsiTheme="minorHAnsi"/>
                <w:noProof/>
                <w:lang w:val="en-CA" w:eastAsia="en-CA"/>
              </w:rPr>
              <w:tab/>
            </w:r>
            <w:r w:rsidR="00BC1135" w:rsidRPr="00093885">
              <w:rPr>
                <w:rStyle w:val="Hyperlink"/>
                <w:noProof/>
              </w:rPr>
              <w:t>Recommendations</w:t>
            </w:r>
            <w:r w:rsidR="00BC1135">
              <w:rPr>
                <w:noProof/>
                <w:webHidden/>
              </w:rPr>
              <w:tab/>
            </w:r>
            <w:r>
              <w:rPr>
                <w:noProof/>
                <w:webHidden/>
              </w:rPr>
              <w:fldChar w:fldCharType="begin"/>
            </w:r>
            <w:r w:rsidR="00BC1135">
              <w:rPr>
                <w:noProof/>
                <w:webHidden/>
              </w:rPr>
              <w:instrText xml:space="preserve"> PAGEREF _Toc325871791 \h </w:instrText>
            </w:r>
            <w:r>
              <w:rPr>
                <w:noProof/>
                <w:webHidden/>
              </w:rPr>
            </w:r>
            <w:r>
              <w:rPr>
                <w:noProof/>
                <w:webHidden/>
              </w:rPr>
              <w:fldChar w:fldCharType="separate"/>
            </w:r>
            <w:r w:rsidR="00BC1135">
              <w:rPr>
                <w:noProof/>
                <w:webHidden/>
              </w:rPr>
              <w:t>36</w:t>
            </w:r>
            <w:r>
              <w:rPr>
                <w:noProof/>
                <w:webHidden/>
              </w:rPr>
              <w:fldChar w:fldCharType="end"/>
            </w:r>
          </w:hyperlink>
        </w:p>
        <w:p w:rsidR="00BC1135" w:rsidRDefault="00D96907">
          <w:pPr>
            <w:pStyle w:val="TOC3"/>
            <w:tabs>
              <w:tab w:val="left" w:pos="1320"/>
              <w:tab w:val="right" w:leader="dot" w:pos="9465"/>
            </w:tabs>
            <w:rPr>
              <w:rFonts w:asciiTheme="minorHAnsi" w:eastAsiaTheme="minorEastAsia" w:hAnsiTheme="minorHAnsi"/>
              <w:noProof/>
              <w:lang w:val="en-CA" w:eastAsia="en-CA"/>
            </w:rPr>
          </w:pPr>
          <w:hyperlink w:anchor="_Toc325871792" w:history="1">
            <w:r w:rsidR="00BC1135" w:rsidRPr="00093885">
              <w:rPr>
                <w:rStyle w:val="Hyperlink"/>
                <w:noProof/>
              </w:rPr>
              <w:t>7.4.1.</w:t>
            </w:r>
            <w:r w:rsidR="00BC1135">
              <w:rPr>
                <w:rFonts w:asciiTheme="minorHAnsi" w:eastAsiaTheme="minorEastAsia" w:hAnsiTheme="minorHAnsi"/>
                <w:noProof/>
                <w:lang w:val="en-CA" w:eastAsia="en-CA"/>
              </w:rPr>
              <w:tab/>
            </w:r>
            <w:r w:rsidR="00BC1135" w:rsidRPr="00093885">
              <w:rPr>
                <w:rStyle w:val="Hyperlink"/>
                <w:noProof/>
              </w:rPr>
              <w:t>Current arrangements work well and should be continued</w:t>
            </w:r>
            <w:r w:rsidR="00BC1135">
              <w:rPr>
                <w:noProof/>
                <w:webHidden/>
              </w:rPr>
              <w:tab/>
            </w:r>
            <w:r>
              <w:rPr>
                <w:noProof/>
                <w:webHidden/>
              </w:rPr>
              <w:fldChar w:fldCharType="begin"/>
            </w:r>
            <w:r w:rsidR="00BC1135">
              <w:rPr>
                <w:noProof/>
                <w:webHidden/>
              </w:rPr>
              <w:instrText xml:space="preserve"> PAGEREF _Toc325871792 \h </w:instrText>
            </w:r>
            <w:r>
              <w:rPr>
                <w:noProof/>
                <w:webHidden/>
              </w:rPr>
            </w:r>
            <w:r>
              <w:rPr>
                <w:noProof/>
                <w:webHidden/>
              </w:rPr>
              <w:fldChar w:fldCharType="separate"/>
            </w:r>
            <w:r w:rsidR="00BC1135">
              <w:rPr>
                <w:noProof/>
                <w:webHidden/>
              </w:rPr>
              <w:t>36</w:t>
            </w:r>
            <w:r>
              <w:rPr>
                <w:noProof/>
                <w:webHidden/>
              </w:rPr>
              <w:fldChar w:fldCharType="end"/>
            </w:r>
          </w:hyperlink>
        </w:p>
        <w:p w:rsidR="00BC1135" w:rsidRDefault="00D96907">
          <w:pPr>
            <w:pStyle w:val="TOC3"/>
            <w:tabs>
              <w:tab w:val="left" w:pos="1320"/>
              <w:tab w:val="right" w:leader="dot" w:pos="9465"/>
            </w:tabs>
            <w:rPr>
              <w:rFonts w:asciiTheme="minorHAnsi" w:eastAsiaTheme="minorEastAsia" w:hAnsiTheme="minorHAnsi"/>
              <w:noProof/>
              <w:lang w:val="en-CA" w:eastAsia="en-CA"/>
            </w:rPr>
          </w:pPr>
          <w:hyperlink w:anchor="_Toc325871793" w:history="1">
            <w:r w:rsidR="00BC1135" w:rsidRPr="00093885">
              <w:rPr>
                <w:rStyle w:val="Hyperlink"/>
                <w:noProof/>
              </w:rPr>
              <w:t>7.4.2.</w:t>
            </w:r>
            <w:r w:rsidR="00BC1135">
              <w:rPr>
                <w:rFonts w:asciiTheme="minorHAnsi" w:eastAsiaTheme="minorEastAsia" w:hAnsiTheme="minorHAnsi"/>
                <w:noProof/>
                <w:lang w:val="en-CA" w:eastAsia="en-CA"/>
              </w:rPr>
              <w:tab/>
            </w:r>
            <w:r w:rsidR="00BC1135" w:rsidRPr="00093885">
              <w:rPr>
                <w:rStyle w:val="Hyperlink"/>
                <w:noProof/>
              </w:rPr>
              <w:t>The current relationship between the partners, articulating Outcomes in relation to national goals, should be continued</w:t>
            </w:r>
            <w:r w:rsidR="00BC1135">
              <w:rPr>
                <w:noProof/>
                <w:webHidden/>
              </w:rPr>
              <w:tab/>
            </w:r>
            <w:r>
              <w:rPr>
                <w:noProof/>
                <w:webHidden/>
              </w:rPr>
              <w:fldChar w:fldCharType="begin"/>
            </w:r>
            <w:r w:rsidR="00BC1135">
              <w:rPr>
                <w:noProof/>
                <w:webHidden/>
              </w:rPr>
              <w:instrText xml:space="preserve"> PAGEREF _Toc325871793 \h </w:instrText>
            </w:r>
            <w:r>
              <w:rPr>
                <w:noProof/>
                <w:webHidden/>
              </w:rPr>
            </w:r>
            <w:r>
              <w:rPr>
                <w:noProof/>
                <w:webHidden/>
              </w:rPr>
              <w:fldChar w:fldCharType="separate"/>
            </w:r>
            <w:r w:rsidR="00BC1135">
              <w:rPr>
                <w:noProof/>
                <w:webHidden/>
              </w:rPr>
              <w:t>37</w:t>
            </w:r>
            <w:r>
              <w:rPr>
                <w:noProof/>
                <w:webHidden/>
              </w:rPr>
              <w:fldChar w:fldCharType="end"/>
            </w:r>
          </w:hyperlink>
        </w:p>
        <w:p w:rsidR="00BC1135" w:rsidRDefault="00D96907">
          <w:pPr>
            <w:pStyle w:val="TOC3"/>
            <w:tabs>
              <w:tab w:val="left" w:pos="1320"/>
              <w:tab w:val="right" w:leader="dot" w:pos="9465"/>
            </w:tabs>
            <w:rPr>
              <w:rFonts w:asciiTheme="minorHAnsi" w:eastAsiaTheme="minorEastAsia" w:hAnsiTheme="minorHAnsi"/>
              <w:noProof/>
              <w:lang w:val="en-CA" w:eastAsia="en-CA"/>
            </w:rPr>
          </w:pPr>
          <w:hyperlink w:anchor="_Toc325871794" w:history="1">
            <w:r w:rsidR="00BC1135" w:rsidRPr="00093885">
              <w:rPr>
                <w:rStyle w:val="Hyperlink"/>
                <w:noProof/>
              </w:rPr>
              <w:t>7.4.3.</w:t>
            </w:r>
            <w:r w:rsidR="00BC1135">
              <w:rPr>
                <w:rFonts w:asciiTheme="minorHAnsi" w:eastAsiaTheme="minorEastAsia" w:hAnsiTheme="minorHAnsi"/>
                <w:noProof/>
                <w:lang w:val="en-CA" w:eastAsia="en-CA"/>
              </w:rPr>
              <w:tab/>
            </w:r>
            <w:r w:rsidR="00BC1135" w:rsidRPr="00093885">
              <w:rPr>
                <w:rStyle w:val="Hyperlink"/>
                <w:noProof/>
              </w:rPr>
              <w:t>It remains appropriate to link UNDP programme components and national goals</w:t>
            </w:r>
            <w:r w:rsidR="00BC1135">
              <w:rPr>
                <w:noProof/>
                <w:webHidden/>
              </w:rPr>
              <w:tab/>
            </w:r>
            <w:r>
              <w:rPr>
                <w:noProof/>
                <w:webHidden/>
              </w:rPr>
              <w:fldChar w:fldCharType="begin"/>
            </w:r>
            <w:r w:rsidR="00BC1135">
              <w:rPr>
                <w:noProof/>
                <w:webHidden/>
              </w:rPr>
              <w:instrText xml:space="preserve"> PAGEREF _Toc325871794 \h </w:instrText>
            </w:r>
            <w:r>
              <w:rPr>
                <w:noProof/>
                <w:webHidden/>
              </w:rPr>
            </w:r>
            <w:r>
              <w:rPr>
                <w:noProof/>
                <w:webHidden/>
              </w:rPr>
              <w:fldChar w:fldCharType="separate"/>
            </w:r>
            <w:r w:rsidR="00BC1135">
              <w:rPr>
                <w:noProof/>
                <w:webHidden/>
              </w:rPr>
              <w:t>37</w:t>
            </w:r>
            <w:r>
              <w:rPr>
                <w:noProof/>
                <w:webHidden/>
              </w:rPr>
              <w:fldChar w:fldCharType="end"/>
            </w:r>
          </w:hyperlink>
        </w:p>
        <w:p w:rsidR="00BC1135" w:rsidRDefault="00D96907">
          <w:pPr>
            <w:pStyle w:val="TOC1"/>
            <w:tabs>
              <w:tab w:val="right" w:leader="dot" w:pos="9465"/>
            </w:tabs>
            <w:rPr>
              <w:rFonts w:asciiTheme="minorHAnsi" w:eastAsiaTheme="minorEastAsia" w:hAnsiTheme="minorHAnsi"/>
              <w:noProof/>
              <w:lang w:val="en-CA" w:eastAsia="en-CA"/>
            </w:rPr>
          </w:pPr>
          <w:hyperlink w:anchor="_Toc325871795" w:history="1">
            <w:r w:rsidR="00BC1135" w:rsidRPr="00093885">
              <w:rPr>
                <w:rStyle w:val="Hyperlink"/>
                <w:noProof/>
              </w:rPr>
              <w:t>Annex 1.  FDI Inflows vs. Net FDI Inflows</w:t>
            </w:r>
            <w:r w:rsidR="00BC1135">
              <w:rPr>
                <w:noProof/>
                <w:webHidden/>
              </w:rPr>
              <w:tab/>
            </w:r>
            <w:r>
              <w:rPr>
                <w:noProof/>
                <w:webHidden/>
              </w:rPr>
              <w:fldChar w:fldCharType="begin"/>
            </w:r>
            <w:r w:rsidR="00BC1135">
              <w:rPr>
                <w:noProof/>
                <w:webHidden/>
              </w:rPr>
              <w:instrText xml:space="preserve"> PAGEREF _Toc325871795 \h </w:instrText>
            </w:r>
            <w:r>
              <w:rPr>
                <w:noProof/>
                <w:webHidden/>
              </w:rPr>
            </w:r>
            <w:r>
              <w:rPr>
                <w:noProof/>
                <w:webHidden/>
              </w:rPr>
              <w:fldChar w:fldCharType="separate"/>
            </w:r>
            <w:r w:rsidR="00BC1135">
              <w:rPr>
                <w:noProof/>
                <w:webHidden/>
              </w:rPr>
              <w:t>38</w:t>
            </w:r>
            <w:r>
              <w:rPr>
                <w:noProof/>
                <w:webHidden/>
              </w:rPr>
              <w:fldChar w:fldCharType="end"/>
            </w:r>
          </w:hyperlink>
        </w:p>
        <w:p w:rsidR="00BC1135" w:rsidRDefault="00D96907">
          <w:pPr>
            <w:pStyle w:val="TOC1"/>
            <w:tabs>
              <w:tab w:val="right" w:leader="dot" w:pos="9465"/>
            </w:tabs>
            <w:rPr>
              <w:rFonts w:asciiTheme="minorHAnsi" w:eastAsiaTheme="minorEastAsia" w:hAnsiTheme="minorHAnsi"/>
              <w:noProof/>
              <w:lang w:val="en-CA" w:eastAsia="en-CA"/>
            </w:rPr>
          </w:pPr>
          <w:hyperlink w:anchor="_Toc325871796" w:history="1">
            <w:r w:rsidR="00BC1135" w:rsidRPr="00093885">
              <w:rPr>
                <w:rStyle w:val="Hyperlink"/>
                <w:noProof/>
              </w:rPr>
              <w:t>Annex 2. Note on Methodology</w:t>
            </w:r>
            <w:r w:rsidR="00BC1135">
              <w:rPr>
                <w:noProof/>
                <w:webHidden/>
              </w:rPr>
              <w:tab/>
            </w:r>
            <w:r>
              <w:rPr>
                <w:noProof/>
                <w:webHidden/>
              </w:rPr>
              <w:fldChar w:fldCharType="begin"/>
            </w:r>
            <w:r w:rsidR="00BC1135">
              <w:rPr>
                <w:noProof/>
                <w:webHidden/>
              </w:rPr>
              <w:instrText xml:space="preserve"> PAGEREF _Toc325871796 \h </w:instrText>
            </w:r>
            <w:r>
              <w:rPr>
                <w:noProof/>
                <w:webHidden/>
              </w:rPr>
            </w:r>
            <w:r>
              <w:rPr>
                <w:noProof/>
                <w:webHidden/>
              </w:rPr>
              <w:fldChar w:fldCharType="separate"/>
            </w:r>
            <w:r w:rsidR="00BC1135">
              <w:rPr>
                <w:noProof/>
                <w:webHidden/>
              </w:rPr>
              <w:t>39</w:t>
            </w:r>
            <w:r>
              <w:rPr>
                <w:noProof/>
                <w:webHidden/>
              </w:rPr>
              <w:fldChar w:fldCharType="end"/>
            </w:r>
          </w:hyperlink>
        </w:p>
        <w:p w:rsidR="00BC1135" w:rsidRDefault="00D96907">
          <w:pPr>
            <w:pStyle w:val="TOC1"/>
            <w:tabs>
              <w:tab w:val="right" w:leader="dot" w:pos="9465"/>
            </w:tabs>
            <w:rPr>
              <w:rFonts w:asciiTheme="minorHAnsi" w:eastAsiaTheme="minorEastAsia" w:hAnsiTheme="minorHAnsi"/>
              <w:noProof/>
              <w:lang w:val="en-CA" w:eastAsia="en-CA"/>
            </w:rPr>
          </w:pPr>
          <w:hyperlink w:anchor="_Toc325871797" w:history="1">
            <w:r w:rsidR="00BC1135" w:rsidRPr="00093885">
              <w:rPr>
                <w:rStyle w:val="Hyperlink"/>
                <w:noProof/>
              </w:rPr>
              <w:t>Annex 3. Terms of Reference, Outcome 2 Evaluation</w:t>
            </w:r>
            <w:r w:rsidR="00BC1135">
              <w:rPr>
                <w:noProof/>
                <w:webHidden/>
              </w:rPr>
              <w:tab/>
            </w:r>
            <w:r>
              <w:rPr>
                <w:noProof/>
                <w:webHidden/>
              </w:rPr>
              <w:fldChar w:fldCharType="begin"/>
            </w:r>
            <w:r w:rsidR="00BC1135">
              <w:rPr>
                <w:noProof/>
                <w:webHidden/>
              </w:rPr>
              <w:instrText xml:space="preserve"> PAGEREF _Toc325871797 \h </w:instrText>
            </w:r>
            <w:r>
              <w:rPr>
                <w:noProof/>
                <w:webHidden/>
              </w:rPr>
            </w:r>
            <w:r>
              <w:rPr>
                <w:noProof/>
                <w:webHidden/>
              </w:rPr>
              <w:fldChar w:fldCharType="separate"/>
            </w:r>
            <w:r w:rsidR="00BC1135">
              <w:rPr>
                <w:noProof/>
                <w:webHidden/>
              </w:rPr>
              <w:t>40</w:t>
            </w:r>
            <w:r>
              <w:rPr>
                <w:noProof/>
                <w:webHidden/>
              </w:rPr>
              <w:fldChar w:fldCharType="end"/>
            </w:r>
          </w:hyperlink>
        </w:p>
        <w:p w:rsidR="00BC1135" w:rsidRDefault="00D96907">
          <w:pPr>
            <w:pStyle w:val="TOC1"/>
            <w:tabs>
              <w:tab w:val="right" w:leader="dot" w:pos="9465"/>
            </w:tabs>
            <w:rPr>
              <w:rFonts w:asciiTheme="minorHAnsi" w:eastAsiaTheme="minorEastAsia" w:hAnsiTheme="minorHAnsi"/>
              <w:noProof/>
              <w:lang w:val="en-CA" w:eastAsia="en-CA"/>
            </w:rPr>
          </w:pPr>
          <w:hyperlink w:anchor="_Toc325871798" w:history="1">
            <w:r w:rsidR="00BC1135" w:rsidRPr="00093885">
              <w:rPr>
                <w:rStyle w:val="Hyperlink"/>
                <w:noProof/>
              </w:rPr>
              <w:t>Annex 4. Persons met</w:t>
            </w:r>
            <w:r w:rsidR="00BC1135">
              <w:rPr>
                <w:noProof/>
                <w:webHidden/>
              </w:rPr>
              <w:tab/>
            </w:r>
            <w:r>
              <w:rPr>
                <w:noProof/>
                <w:webHidden/>
              </w:rPr>
              <w:fldChar w:fldCharType="begin"/>
            </w:r>
            <w:r w:rsidR="00BC1135">
              <w:rPr>
                <w:noProof/>
                <w:webHidden/>
              </w:rPr>
              <w:instrText xml:space="preserve"> PAGEREF _Toc325871798 \h </w:instrText>
            </w:r>
            <w:r>
              <w:rPr>
                <w:noProof/>
                <w:webHidden/>
              </w:rPr>
            </w:r>
            <w:r>
              <w:rPr>
                <w:noProof/>
                <w:webHidden/>
              </w:rPr>
              <w:fldChar w:fldCharType="separate"/>
            </w:r>
            <w:r w:rsidR="00BC1135">
              <w:rPr>
                <w:noProof/>
                <w:webHidden/>
              </w:rPr>
              <w:t>50</w:t>
            </w:r>
            <w:r>
              <w:rPr>
                <w:noProof/>
                <w:webHidden/>
              </w:rPr>
              <w:fldChar w:fldCharType="end"/>
            </w:r>
          </w:hyperlink>
        </w:p>
        <w:p w:rsidR="00BC1135" w:rsidRDefault="00D96907">
          <w:pPr>
            <w:pStyle w:val="TOC1"/>
            <w:tabs>
              <w:tab w:val="right" w:leader="dot" w:pos="9465"/>
            </w:tabs>
            <w:rPr>
              <w:rFonts w:asciiTheme="minorHAnsi" w:eastAsiaTheme="minorEastAsia" w:hAnsiTheme="minorHAnsi"/>
              <w:noProof/>
              <w:lang w:val="en-CA" w:eastAsia="en-CA"/>
            </w:rPr>
          </w:pPr>
          <w:hyperlink w:anchor="_Toc325871799" w:history="1">
            <w:r w:rsidR="00BC1135" w:rsidRPr="00093885">
              <w:rPr>
                <w:rStyle w:val="Hyperlink"/>
                <w:noProof/>
              </w:rPr>
              <w:t>Annex 5.  Selected documents reviewed</w:t>
            </w:r>
            <w:r w:rsidR="00BC1135">
              <w:rPr>
                <w:noProof/>
                <w:webHidden/>
              </w:rPr>
              <w:tab/>
            </w:r>
            <w:r>
              <w:rPr>
                <w:noProof/>
                <w:webHidden/>
              </w:rPr>
              <w:fldChar w:fldCharType="begin"/>
            </w:r>
            <w:r w:rsidR="00BC1135">
              <w:rPr>
                <w:noProof/>
                <w:webHidden/>
              </w:rPr>
              <w:instrText xml:space="preserve"> PAGEREF _Toc325871799 \h </w:instrText>
            </w:r>
            <w:r>
              <w:rPr>
                <w:noProof/>
                <w:webHidden/>
              </w:rPr>
            </w:r>
            <w:r>
              <w:rPr>
                <w:noProof/>
                <w:webHidden/>
              </w:rPr>
              <w:fldChar w:fldCharType="separate"/>
            </w:r>
            <w:r w:rsidR="00BC1135">
              <w:rPr>
                <w:noProof/>
                <w:webHidden/>
              </w:rPr>
              <w:t>51</w:t>
            </w:r>
            <w:r>
              <w:rPr>
                <w:noProof/>
                <w:webHidden/>
              </w:rPr>
              <w:fldChar w:fldCharType="end"/>
            </w:r>
          </w:hyperlink>
        </w:p>
        <w:p w:rsidR="00BC1135" w:rsidRDefault="00D96907">
          <w:pPr>
            <w:pStyle w:val="TOC2"/>
            <w:tabs>
              <w:tab w:val="right" w:leader="dot" w:pos="9465"/>
            </w:tabs>
            <w:rPr>
              <w:rFonts w:asciiTheme="minorHAnsi" w:eastAsiaTheme="minorEastAsia" w:hAnsiTheme="minorHAnsi"/>
              <w:noProof/>
              <w:lang w:val="en-CA" w:eastAsia="en-CA"/>
            </w:rPr>
          </w:pPr>
          <w:hyperlink w:anchor="_Toc325871800" w:history="1">
            <w:r w:rsidR="00BC1135" w:rsidRPr="00093885">
              <w:rPr>
                <w:rStyle w:val="Hyperlink"/>
                <w:noProof/>
              </w:rPr>
              <w:t>Government Plans</w:t>
            </w:r>
            <w:r w:rsidR="00BC1135">
              <w:rPr>
                <w:noProof/>
                <w:webHidden/>
              </w:rPr>
              <w:tab/>
            </w:r>
            <w:r>
              <w:rPr>
                <w:noProof/>
                <w:webHidden/>
              </w:rPr>
              <w:fldChar w:fldCharType="begin"/>
            </w:r>
            <w:r w:rsidR="00BC1135">
              <w:rPr>
                <w:noProof/>
                <w:webHidden/>
              </w:rPr>
              <w:instrText xml:space="preserve"> PAGEREF _Toc325871800 \h </w:instrText>
            </w:r>
            <w:r>
              <w:rPr>
                <w:noProof/>
                <w:webHidden/>
              </w:rPr>
            </w:r>
            <w:r>
              <w:rPr>
                <w:noProof/>
                <w:webHidden/>
              </w:rPr>
              <w:fldChar w:fldCharType="separate"/>
            </w:r>
            <w:r w:rsidR="00BC1135">
              <w:rPr>
                <w:noProof/>
                <w:webHidden/>
              </w:rPr>
              <w:t>51</w:t>
            </w:r>
            <w:r>
              <w:rPr>
                <w:noProof/>
                <w:webHidden/>
              </w:rPr>
              <w:fldChar w:fldCharType="end"/>
            </w:r>
          </w:hyperlink>
        </w:p>
        <w:p w:rsidR="00BC1135" w:rsidRDefault="00D96907">
          <w:pPr>
            <w:pStyle w:val="TOC2"/>
            <w:tabs>
              <w:tab w:val="right" w:leader="dot" w:pos="9465"/>
            </w:tabs>
            <w:rPr>
              <w:rFonts w:asciiTheme="minorHAnsi" w:eastAsiaTheme="minorEastAsia" w:hAnsiTheme="minorHAnsi"/>
              <w:noProof/>
              <w:lang w:val="en-CA" w:eastAsia="en-CA"/>
            </w:rPr>
          </w:pPr>
          <w:hyperlink w:anchor="_Toc325871801" w:history="1">
            <w:r w:rsidR="00BC1135" w:rsidRPr="00093885">
              <w:rPr>
                <w:rStyle w:val="Hyperlink"/>
                <w:noProof/>
              </w:rPr>
              <w:t>UNDP programme materials</w:t>
            </w:r>
            <w:r w:rsidR="00BC1135">
              <w:rPr>
                <w:noProof/>
                <w:webHidden/>
              </w:rPr>
              <w:tab/>
            </w:r>
            <w:r>
              <w:rPr>
                <w:noProof/>
                <w:webHidden/>
              </w:rPr>
              <w:fldChar w:fldCharType="begin"/>
            </w:r>
            <w:r w:rsidR="00BC1135">
              <w:rPr>
                <w:noProof/>
                <w:webHidden/>
              </w:rPr>
              <w:instrText xml:space="preserve"> PAGEREF _Toc325871801 \h </w:instrText>
            </w:r>
            <w:r>
              <w:rPr>
                <w:noProof/>
                <w:webHidden/>
              </w:rPr>
            </w:r>
            <w:r>
              <w:rPr>
                <w:noProof/>
                <w:webHidden/>
              </w:rPr>
              <w:fldChar w:fldCharType="separate"/>
            </w:r>
            <w:r w:rsidR="00BC1135">
              <w:rPr>
                <w:noProof/>
                <w:webHidden/>
              </w:rPr>
              <w:t>51</w:t>
            </w:r>
            <w:r>
              <w:rPr>
                <w:noProof/>
                <w:webHidden/>
              </w:rPr>
              <w:fldChar w:fldCharType="end"/>
            </w:r>
          </w:hyperlink>
        </w:p>
        <w:p w:rsidR="00BC1135" w:rsidRDefault="00D96907">
          <w:pPr>
            <w:pStyle w:val="TOC1"/>
            <w:tabs>
              <w:tab w:val="right" w:leader="dot" w:pos="9465"/>
            </w:tabs>
            <w:rPr>
              <w:rFonts w:asciiTheme="minorHAnsi" w:eastAsiaTheme="minorEastAsia" w:hAnsiTheme="minorHAnsi"/>
              <w:noProof/>
              <w:lang w:val="en-CA" w:eastAsia="en-CA"/>
            </w:rPr>
          </w:pPr>
          <w:hyperlink w:anchor="_Toc325871802" w:history="1">
            <w:r w:rsidR="00BC1135" w:rsidRPr="00093885">
              <w:rPr>
                <w:rStyle w:val="Hyperlink"/>
                <w:noProof/>
              </w:rPr>
              <w:t>Annex 6.  Biography of the Evaluator</w:t>
            </w:r>
            <w:r w:rsidR="00BC1135">
              <w:rPr>
                <w:noProof/>
                <w:webHidden/>
              </w:rPr>
              <w:tab/>
            </w:r>
            <w:r>
              <w:rPr>
                <w:noProof/>
                <w:webHidden/>
              </w:rPr>
              <w:fldChar w:fldCharType="begin"/>
            </w:r>
            <w:r w:rsidR="00BC1135">
              <w:rPr>
                <w:noProof/>
                <w:webHidden/>
              </w:rPr>
              <w:instrText xml:space="preserve"> PAGEREF _Toc325871802 \h </w:instrText>
            </w:r>
            <w:r>
              <w:rPr>
                <w:noProof/>
                <w:webHidden/>
              </w:rPr>
            </w:r>
            <w:r>
              <w:rPr>
                <w:noProof/>
                <w:webHidden/>
              </w:rPr>
              <w:fldChar w:fldCharType="separate"/>
            </w:r>
            <w:r w:rsidR="00BC1135">
              <w:rPr>
                <w:noProof/>
                <w:webHidden/>
              </w:rPr>
              <w:t>51</w:t>
            </w:r>
            <w:r>
              <w:rPr>
                <w:noProof/>
                <w:webHidden/>
              </w:rPr>
              <w:fldChar w:fldCharType="end"/>
            </w:r>
          </w:hyperlink>
        </w:p>
        <w:p w:rsidR="00BC1135" w:rsidRDefault="00D96907">
          <w:pPr>
            <w:pStyle w:val="TOC1"/>
            <w:tabs>
              <w:tab w:val="right" w:leader="dot" w:pos="9465"/>
            </w:tabs>
            <w:rPr>
              <w:rFonts w:asciiTheme="minorHAnsi" w:eastAsiaTheme="minorEastAsia" w:hAnsiTheme="minorHAnsi"/>
              <w:noProof/>
              <w:lang w:val="en-CA" w:eastAsia="en-CA"/>
            </w:rPr>
          </w:pPr>
          <w:hyperlink w:anchor="_Toc325871803" w:history="1">
            <w:r w:rsidR="00BC1135" w:rsidRPr="00093885">
              <w:rPr>
                <w:rStyle w:val="Hyperlink"/>
                <w:noProof/>
              </w:rPr>
              <w:t>Annex 7:  United Nations Evaluation Group Code of Conduct for Evaluation in the UN System</w:t>
            </w:r>
            <w:r w:rsidR="00BC1135">
              <w:rPr>
                <w:noProof/>
                <w:webHidden/>
              </w:rPr>
              <w:tab/>
            </w:r>
            <w:r>
              <w:rPr>
                <w:noProof/>
                <w:webHidden/>
              </w:rPr>
              <w:fldChar w:fldCharType="begin"/>
            </w:r>
            <w:r w:rsidR="00BC1135">
              <w:rPr>
                <w:noProof/>
                <w:webHidden/>
              </w:rPr>
              <w:instrText xml:space="preserve"> PAGEREF _Toc325871803 \h </w:instrText>
            </w:r>
            <w:r>
              <w:rPr>
                <w:noProof/>
                <w:webHidden/>
              </w:rPr>
            </w:r>
            <w:r>
              <w:rPr>
                <w:noProof/>
                <w:webHidden/>
              </w:rPr>
              <w:fldChar w:fldCharType="separate"/>
            </w:r>
            <w:r w:rsidR="00BC1135">
              <w:rPr>
                <w:noProof/>
                <w:webHidden/>
              </w:rPr>
              <w:t>52</w:t>
            </w:r>
            <w:r>
              <w:rPr>
                <w:noProof/>
                <w:webHidden/>
              </w:rPr>
              <w:fldChar w:fldCharType="end"/>
            </w:r>
          </w:hyperlink>
        </w:p>
        <w:p w:rsidR="00BC1135" w:rsidRDefault="00D96907">
          <w:pPr>
            <w:pStyle w:val="TOC1"/>
            <w:tabs>
              <w:tab w:val="right" w:leader="dot" w:pos="9465"/>
            </w:tabs>
            <w:rPr>
              <w:rFonts w:asciiTheme="minorHAnsi" w:eastAsiaTheme="minorEastAsia" w:hAnsiTheme="minorHAnsi"/>
              <w:noProof/>
              <w:lang w:val="en-CA" w:eastAsia="en-CA"/>
            </w:rPr>
          </w:pPr>
          <w:hyperlink w:anchor="_Toc325871804" w:history="1">
            <w:r w:rsidR="00BC1135" w:rsidRPr="00093885">
              <w:rPr>
                <w:rStyle w:val="Hyperlink"/>
                <w:noProof/>
              </w:rPr>
              <w:t>References</w:t>
            </w:r>
            <w:r w:rsidR="00BC1135">
              <w:rPr>
                <w:noProof/>
                <w:webHidden/>
              </w:rPr>
              <w:tab/>
            </w:r>
            <w:r>
              <w:rPr>
                <w:noProof/>
                <w:webHidden/>
              </w:rPr>
              <w:fldChar w:fldCharType="begin"/>
            </w:r>
            <w:r w:rsidR="00BC1135">
              <w:rPr>
                <w:noProof/>
                <w:webHidden/>
              </w:rPr>
              <w:instrText xml:space="preserve"> PAGEREF _Toc325871804 \h </w:instrText>
            </w:r>
            <w:r>
              <w:rPr>
                <w:noProof/>
                <w:webHidden/>
              </w:rPr>
            </w:r>
            <w:r>
              <w:rPr>
                <w:noProof/>
                <w:webHidden/>
              </w:rPr>
              <w:fldChar w:fldCharType="separate"/>
            </w:r>
            <w:r w:rsidR="00BC1135">
              <w:rPr>
                <w:noProof/>
                <w:webHidden/>
              </w:rPr>
              <w:t>53</w:t>
            </w:r>
            <w:r>
              <w:rPr>
                <w:noProof/>
                <w:webHidden/>
              </w:rPr>
              <w:fldChar w:fldCharType="end"/>
            </w:r>
          </w:hyperlink>
        </w:p>
        <w:p w:rsidR="00A351AA" w:rsidRDefault="00D96907">
          <w:r>
            <w:fldChar w:fldCharType="end"/>
          </w:r>
        </w:p>
      </w:sdtContent>
    </w:sdt>
    <w:p w:rsidR="00CE24BA" w:rsidRDefault="00CE24BA" w:rsidP="00655D95">
      <w:r>
        <w:t>List of Figures</w:t>
      </w:r>
    </w:p>
    <w:p w:rsidR="00F66BFC" w:rsidRDefault="00D96907">
      <w:pPr>
        <w:pStyle w:val="TableofFigures"/>
        <w:tabs>
          <w:tab w:val="right" w:leader="dot" w:pos="9465"/>
        </w:tabs>
        <w:rPr>
          <w:rFonts w:asciiTheme="minorHAnsi" w:eastAsiaTheme="minorEastAsia" w:hAnsiTheme="minorHAnsi"/>
          <w:noProof/>
          <w:lang w:val="en-CA" w:eastAsia="en-CA"/>
        </w:rPr>
      </w:pPr>
      <w:r>
        <w:fldChar w:fldCharType="begin"/>
      </w:r>
      <w:r w:rsidR="00CE24BA">
        <w:instrText xml:space="preserve"> TOC \h \z \c "Figure" </w:instrText>
      </w:r>
      <w:r>
        <w:fldChar w:fldCharType="separate"/>
      </w:r>
      <w:hyperlink w:anchor="_Toc325871719" w:history="1">
        <w:r w:rsidR="00F66BFC" w:rsidRPr="00286296">
          <w:rPr>
            <w:rStyle w:val="Hyperlink"/>
            <w:noProof/>
          </w:rPr>
          <w:t>Figure 1</w:t>
        </w:r>
        <w:r w:rsidR="00F66BFC" w:rsidRPr="00286296">
          <w:rPr>
            <w:rStyle w:val="Hyperlink"/>
            <w:noProof/>
          </w:rPr>
          <w:noBreakHyphen/>
          <w:t>1  Saudi Arabia per capita income, USD current equivalent</w:t>
        </w:r>
        <w:r w:rsidR="00F66BFC">
          <w:rPr>
            <w:noProof/>
            <w:webHidden/>
          </w:rPr>
          <w:tab/>
        </w:r>
        <w:r>
          <w:rPr>
            <w:noProof/>
            <w:webHidden/>
          </w:rPr>
          <w:fldChar w:fldCharType="begin"/>
        </w:r>
        <w:r w:rsidR="00F66BFC">
          <w:rPr>
            <w:noProof/>
            <w:webHidden/>
          </w:rPr>
          <w:instrText xml:space="preserve"> PAGEREF _Toc325871719 \h </w:instrText>
        </w:r>
        <w:r>
          <w:rPr>
            <w:noProof/>
            <w:webHidden/>
          </w:rPr>
        </w:r>
        <w:r>
          <w:rPr>
            <w:noProof/>
            <w:webHidden/>
          </w:rPr>
          <w:fldChar w:fldCharType="separate"/>
        </w:r>
        <w:r w:rsidR="00F66BFC">
          <w:rPr>
            <w:noProof/>
            <w:webHidden/>
          </w:rPr>
          <w:t>11</w:t>
        </w:r>
        <w:r>
          <w:rPr>
            <w:noProof/>
            <w:webHidden/>
          </w:rPr>
          <w:fldChar w:fldCharType="end"/>
        </w:r>
      </w:hyperlink>
    </w:p>
    <w:p w:rsidR="00F66BFC" w:rsidRDefault="00D96907">
      <w:pPr>
        <w:pStyle w:val="TableofFigures"/>
        <w:tabs>
          <w:tab w:val="right" w:leader="dot" w:pos="9465"/>
        </w:tabs>
        <w:rPr>
          <w:rFonts w:asciiTheme="minorHAnsi" w:eastAsiaTheme="minorEastAsia" w:hAnsiTheme="minorHAnsi"/>
          <w:noProof/>
          <w:lang w:val="en-CA" w:eastAsia="en-CA"/>
        </w:rPr>
      </w:pPr>
      <w:hyperlink w:anchor="_Toc325871720" w:history="1">
        <w:r w:rsidR="00F66BFC" w:rsidRPr="00286296">
          <w:rPr>
            <w:rStyle w:val="Hyperlink"/>
            <w:noProof/>
          </w:rPr>
          <w:t>Figure 1</w:t>
        </w:r>
        <w:r w:rsidR="00F66BFC" w:rsidRPr="00286296">
          <w:rPr>
            <w:rStyle w:val="Hyperlink"/>
            <w:noProof/>
          </w:rPr>
          <w:noBreakHyphen/>
          <w:t>2.  Income eroded by inflation, 2004-2008</w:t>
        </w:r>
        <w:r w:rsidR="00F66BFC">
          <w:rPr>
            <w:noProof/>
            <w:webHidden/>
          </w:rPr>
          <w:tab/>
        </w:r>
        <w:r>
          <w:rPr>
            <w:noProof/>
            <w:webHidden/>
          </w:rPr>
          <w:fldChar w:fldCharType="begin"/>
        </w:r>
        <w:r w:rsidR="00F66BFC">
          <w:rPr>
            <w:noProof/>
            <w:webHidden/>
          </w:rPr>
          <w:instrText xml:space="preserve"> PAGEREF _Toc325871720 \h </w:instrText>
        </w:r>
        <w:r>
          <w:rPr>
            <w:noProof/>
            <w:webHidden/>
          </w:rPr>
        </w:r>
        <w:r>
          <w:rPr>
            <w:noProof/>
            <w:webHidden/>
          </w:rPr>
          <w:fldChar w:fldCharType="separate"/>
        </w:r>
        <w:r w:rsidR="00F66BFC">
          <w:rPr>
            <w:noProof/>
            <w:webHidden/>
          </w:rPr>
          <w:t>12</w:t>
        </w:r>
        <w:r>
          <w:rPr>
            <w:noProof/>
            <w:webHidden/>
          </w:rPr>
          <w:fldChar w:fldCharType="end"/>
        </w:r>
      </w:hyperlink>
    </w:p>
    <w:p w:rsidR="00F66BFC" w:rsidRDefault="00D96907">
      <w:pPr>
        <w:pStyle w:val="TableofFigures"/>
        <w:tabs>
          <w:tab w:val="right" w:leader="dot" w:pos="9465"/>
        </w:tabs>
        <w:rPr>
          <w:rFonts w:asciiTheme="minorHAnsi" w:eastAsiaTheme="minorEastAsia" w:hAnsiTheme="minorHAnsi"/>
          <w:noProof/>
          <w:lang w:val="en-CA" w:eastAsia="en-CA"/>
        </w:rPr>
      </w:pPr>
      <w:hyperlink w:anchor="_Toc325871721" w:history="1">
        <w:r w:rsidR="00F66BFC" w:rsidRPr="00286296">
          <w:rPr>
            <w:rStyle w:val="Hyperlink"/>
            <w:noProof/>
          </w:rPr>
          <w:t>Figure 3</w:t>
        </w:r>
        <w:r w:rsidR="00F66BFC" w:rsidRPr="00286296">
          <w:rPr>
            <w:rStyle w:val="Hyperlink"/>
            <w:noProof/>
          </w:rPr>
          <w:noBreakHyphen/>
          <w:t>1. Real GDP growth, 2007-2011</w:t>
        </w:r>
        <w:r w:rsidR="00F66BFC">
          <w:rPr>
            <w:noProof/>
            <w:webHidden/>
          </w:rPr>
          <w:tab/>
        </w:r>
        <w:r>
          <w:rPr>
            <w:noProof/>
            <w:webHidden/>
          </w:rPr>
          <w:fldChar w:fldCharType="begin"/>
        </w:r>
        <w:r w:rsidR="00F66BFC">
          <w:rPr>
            <w:noProof/>
            <w:webHidden/>
          </w:rPr>
          <w:instrText xml:space="preserve"> PAGEREF _Toc325871721 \h </w:instrText>
        </w:r>
        <w:r>
          <w:rPr>
            <w:noProof/>
            <w:webHidden/>
          </w:rPr>
        </w:r>
        <w:r>
          <w:rPr>
            <w:noProof/>
            <w:webHidden/>
          </w:rPr>
          <w:fldChar w:fldCharType="separate"/>
        </w:r>
        <w:r w:rsidR="00F66BFC">
          <w:rPr>
            <w:noProof/>
            <w:webHidden/>
          </w:rPr>
          <w:t>16</w:t>
        </w:r>
        <w:r>
          <w:rPr>
            <w:noProof/>
            <w:webHidden/>
          </w:rPr>
          <w:fldChar w:fldCharType="end"/>
        </w:r>
      </w:hyperlink>
    </w:p>
    <w:p w:rsidR="00F66BFC" w:rsidRDefault="00D96907">
      <w:pPr>
        <w:pStyle w:val="TableofFigures"/>
        <w:tabs>
          <w:tab w:val="right" w:leader="dot" w:pos="9465"/>
        </w:tabs>
        <w:rPr>
          <w:rFonts w:asciiTheme="minorHAnsi" w:eastAsiaTheme="minorEastAsia" w:hAnsiTheme="minorHAnsi"/>
          <w:noProof/>
          <w:lang w:val="en-CA" w:eastAsia="en-CA"/>
        </w:rPr>
      </w:pPr>
      <w:hyperlink w:anchor="_Toc325871722" w:history="1">
        <w:r w:rsidR="00F66BFC" w:rsidRPr="00286296">
          <w:rPr>
            <w:rStyle w:val="Hyperlink"/>
            <w:noProof/>
          </w:rPr>
          <w:t>Figure 3</w:t>
        </w:r>
        <w:r w:rsidR="00F66BFC" w:rsidRPr="00286296">
          <w:rPr>
            <w:rStyle w:val="Hyperlink"/>
            <w:noProof/>
          </w:rPr>
          <w:noBreakHyphen/>
          <w:t>2  GDP growth patterns, 2004-2011</w:t>
        </w:r>
        <w:r w:rsidR="00F66BFC">
          <w:rPr>
            <w:noProof/>
            <w:webHidden/>
          </w:rPr>
          <w:tab/>
        </w:r>
        <w:r>
          <w:rPr>
            <w:noProof/>
            <w:webHidden/>
          </w:rPr>
          <w:fldChar w:fldCharType="begin"/>
        </w:r>
        <w:r w:rsidR="00F66BFC">
          <w:rPr>
            <w:noProof/>
            <w:webHidden/>
          </w:rPr>
          <w:instrText xml:space="preserve"> PAGEREF _Toc325871722 \h </w:instrText>
        </w:r>
        <w:r>
          <w:rPr>
            <w:noProof/>
            <w:webHidden/>
          </w:rPr>
        </w:r>
        <w:r>
          <w:rPr>
            <w:noProof/>
            <w:webHidden/>
          </w:rPr>
          <w:fldChar w:fldCharType="separate"/>
        </w:r>
        <w:r w:rsidR="00F66BFC">
          <w:rPr>
            <w:noProof/>
            <w:webHidden/>
          </w:rPr>
          <w:t>17</w:t>
        </w:r>
        <w:r>
          <w:rPr>
            <w:noProof/>
            <w:webHidden/>
          </w:rPr>
          <w:fldChar w:fldCharType="end"/>
        </w:r>
      </w:hyperlink>
    </w:p>
    <w:p w:rsidR="00F66BFC" w:rsidRDefault="00D96907">
      <w:pPr>
        <w:pStyle w:val="TableofFigures"/>
        <w:tabs>
          <w:tab w:val="right" w:leader="dot" w:pos="9465"/>
        </w:tabs>
        <w:rPr>
          <w:rFonts w:asciiTheme="minorHAnsi" w:eastAsiaTheme="minorEastAsia" w:hAnsiTheme="minorHAnsi"/>
          <w:noProof/>
          <w:lang w:val="en-CA" w:eastAsia="en-CA"/>
        </w:rPr>
      </w:pPr>
      <w:hyperlink w:anchor="_Toc325871723" w:history="1">
        <w:r w:rsidR="00F66BFC" w:rsidRPr="00286296">
          <w:rPr>
            <w:rStyle w:val="Hyperlink"/>
            <w:noProof/>
          </w:rPr>
          <w:t>Figure 3</w:t>
        </w:r>
        <w:r w:rsidR="00F66BFC" w:rsidRPr="00286296">
          <w:rPr>
            <w:rStyle w:val="Hyperlink"/>
            <w:noProof/>
          </w:rPr>
          <w:noBreakHyphen/>
          <w:t>3  comparison of total and employed population shares, Saudi and non-Saudi persons</w:t>
        </w:r>
        <w:r w:rsidR="00F66BFC">
          <w:rPr>
            <w:noProof/>
            <w:webHidden/>
          </w:rPr>
          <w:tab/>
        </w:r>
        <w:r>
          <w:rPr>
            <w:noProof/>
            <w:webHidden/>
          </w:rPr>
          <w:fldChar w:fldCharType="begin"/>
        </w:r>
        <w:r w:rsidR="00F66BFC">
          <w:rPr>
            <w:noProof/>
            <w:webHidden/>
          </w:rPr>
          <w:instrText xml:space="preserve"> PAGEREF _Toc325871723 \h </w:instrText>
        </w:r>
        <w:r>
          <w:rPr>
            <w:noProof/>
            <w:webHidden/>
          </w:rPr>
        </w:r>
        <w:r>
          <w:rPr>
            <w:noProof/>
            <w:webHidden/>
          </w:rPr>
          <w:fldChar w:fldCharType="separate"/>
        </w:r>
        <w:r w:rsidR="00F66BFC">
          <w:rPr>
            <w:noProof/>
            <w:webHidden/>
          </w:rPr>
          <w:t>18</w:t>
        </w:r>
        <w:r>
          <w:rPr>
            <w:noProof/>
            <w:webHidden/>
          </w:rPr>
          <w:fldChar w:fldCharType="end"/>
        </w:r>
      </w:hyperlink>
    </w:p>
    <w:p w:rsidR="00F66BFC" w:rsidRDefault="00D96907">
      <w:pPr>
        <w:pStyle w:val="TableofFigures"/>
        <w:tabs>
          <w:tab w:val="right" w:leader="dot" w:pos="9465"/>
        </w:tabs>
        <w:rPr>
          <w:rFonts w:asciiTheme="minorHAnsi" w:eastAsiaTheme="minorEastAsia" w:hAnsiTheme="minorHAnsi"/>
          <w:noProof/>
          <w:lang w:val="en-CA" w:eastAsia="en-CA"/>
        </w:rPr>
      </w:pPr>
      <w:hyperlink w:anchor="_Toc325871724" w:history="1">
        <w:r w:rsidR="00F66BFC" w:rsidRPr="00286296">
          <w:rPr>
            <w:rStyle w:val="Hyperlink"/>
            <w:noProof/>
          </w:rPr>
          <w:t>Figure 3</w:t>
        </w:r>
        <w:r w:rsidR="00F66BFC" w:rsidRPr="00286296">
          <w:rPr>
            <w:rStyle w:val="Hyperlink"/>
            <w:noProof/>
          </w:rPr>
          <w:noBreakHyphen/>
          <w:t>4. Foreign direct investment, 2007-10</w:t>
        </w:r>
        <w:r w:rsidR="00F66BFC">
          <w:rPr>
            <w:noProof/>
            <w:webHidden/>
          </w:rPr>
          <w:tab/>
        </w:r>
        <w:r>
          <w:rPr>
            <w:noProof/>
            <w:webHidden/>
          </w:rPr>
          <w:fldChar w:fldCharType="begin"/>
        </w:r>
        <w:r w:rsidR="00F66BFC">
          <w:rPr>
            <w:noProof/>
            <w:webHidden/>
          </w:rPr>
          <w:instrText xml:space="preserve"> PAGEREF _Toc325871724 \h </w:instrText>
        </w:r>
        <w:r>
          <w:rPr>
            <w:noProof/>
            <w:webHidden/>
          </w:rPr>
        </w:r>
        <w:r>
          <w:rPr>
            <w:noProof/>
            <w:webHidden/>
          </w:rPr>
          <w:fldChar w:fldCharType="separate"/>
        </w:r>
        <w:r w:rsidR="00F66BFC">
          <w:rPr>
            <w:noProof/>
            <w:webHidden/>
          </w:rPr>
          <w:t>19</w:t>
        </w:r>
        <w:r>
          <w:rPr>
            <w:noProof/>
            <w:webHidden/>
          </w:rPr>
          <w:fldChar w:fldCharType="end"/>
        </w:r>
      </w:hyperlink>
    </w:p>
    <w:p w:rsidR="00F66BFC" w:rsidRDefault="00D96907">
      <w:pPr>
        <w:pStyle w:val="TableofFigures"/>
        <w:tabs>
          <w:tab w:val="right" w:leader="dot" w:pos="9465"/>
        </w:tabs>
        <w:rPr>
          <w:rFonts w:asciiTheme="minorHAnsi" w:eastAsiaTheme="minorEastAsia" w:hAnsiTheme="minorHAnsi"/>
          <w:noProof/>
          <w:lang w:val="en-CA" w:eastAsia="en-CA"/>
        </w:rPr>
      </w:pPr>
      <w:hyperlink w:anchor="_Toc325871725" w:history="1">
        <w:r w:rsidR="00F66BFC" w:rsidRPr="00286296">
          <w:rPr>
            <w:rStyle w:val="Hyperlink"/>
            <w:noProof/>
          </w:rPr>
          <w:t>Figure 3</w:t>
        </w:r>
        <w:r w:rsidR="00F66BFC" w:rsidRPr="00286296">
          <w:rPr>
            <w:rStyle w:val="Hyperlink"/>
            <w:noProof/>
          </w:rPr>
          <w:noBreakHyphen/>
          <w:t>5  Investment inflows and outflows, 2000-2010</w:t>
        </w:r>
        <w:r w:rsidR="00F66BFC">
          <w:rPr>
            <w:noProof/>
            <w:webHidden/>
          </w:rPr>
          <w:tab/>
        </w:r>
        <w:r>
          <w:rPr>
            <w:noProof/>
            <w:webHidden/>
          </w:rPr>
          <w:fldChar w:fldCharType="begin"/>
        </w:r>
        <w:r w:rsidR="00F66BFC">
          <w:rPr>
            <w:noProof/>
            <w:webHidden/>
          </w:rPr>
          <w:instrText xml:space="preserve"> PAGEREF _Toc325871725 \h </w:instrText>
        </w:r>
        <w:r>
          <w:rPr>
            <w:noProof/>
            <w:webHidden/>
          </w:rPr>
        </w:r>
        <w:r>
          <w:rPr>
            <w:noProof/>
            <w:webHidden/>
          </w:rPr>
          <w:fldChar w:fldCharType="separate"/>
        </w:r>
        <w:r w:rsidR="00F66BFC">
          <w:rPr>
            <w:noProof/>
            <w:webHidden/>
          </w:rPr>
          <w:t>21</w:t>
        </w:r>
        <w:r>
          <w:rPr>
            <w:noProof/>
            <w:webHidden/>
          </w:rPr>
          <w:fldChar w:fldCharType="end"/>
        </w:r>
      </w:hyperlink>
    </w:p>
    <w:p w:rsidR="00F66BFC" w:rsidRDefault="00D96907">
      <w:pPr>
        <w:pStyle w:val="TableofFigures"/>
        <w:tabs>
          <w:tab w:val="right" w:leader="dot" w:pos="9465"/>
        </w:tabs>
        <w:rPr>
          <w:rFonts w:asciiTheme="minorHAnsi" w:eastAsiaTheme="minorEastAsia" w:hAnsiTheme="minorHAnsi"/>
          <w:noProof/>
          <w:lang w:val="en-CA" w:eastAsia="en-CA"/>
        </w:rPr>
      </w:pPr>
      <w:hyperlink w:anchor="_Toc325871726" w:history="1">
        <w:r w:rsidR="00F66BFC" w:rsidRPr="00286296">
          <w:rPr>
            <w:rStyle w:val="Hyperlink"/>
            <w:noProof/>
          </w:rPr>
          <w:t>Figure 3</w:t>
        </w:r>
        <w:r w:rsidR="00F66BFC" w:rsidRPr="00286296">
          <w:rPr>
            <w:rStyle w:val="Hyperlink"/>
            <w:noProof/>
          </w:rPr>
          <w:noBreakHyphen/>
          <w:t>6  Tourism 2007-2011 (millions)</w:t>
        </w:r>
        <w:r w:rsidR="00F66BFC">
          <w:rPr>
            <w:noProof/>
            <w:webHidden/>
          </w:rPr>
          <w:tab/>
        </w:r>
        <w:r>
          <w:rPr>
            <w:noProof/>
            <w:webHidden/>
          </w:rPr>
          <w:fldChar w:fldCharType="begin"/>
        </w:r>
        <w:r w:rsidR="00F66BFC">
          <w:rPr>
            <w:noProof/>
            <w:webHidden/>
          </w:rPr>
          <w:instrText xml:space="preserve"> PAGEREF _Toc325871726 \h </w:instrText>
        </w:r>
        <w:r>
          <w:rPr>
            <w:noProof/>
            <w:webHidden/>
          </w:rPr>
        </w:r>
        <w:r>
          <w:rPr>
            <w:noProof/>
            <w:webHidden/>
          </w:rPr>
          <w:fldChar w:fldCharType="separate"/>
        </w:r>
        <w:r w:rsidR="00F66BFC">
          <w:rPr>
            <w:noProof/>
            <w:webHidden/>
          </w:rPr>
          <w:t>22</w:t>
        </w:r>
        <w:r>
          <w:rPr>
            <w:noProof/>
            <w:webHidden/>
          </w:rPr>
          <w:fldChar w:fldCharType="end"/>
        </w:r>
      </w:hyperlink>
    </w:p>
    <w:p w:rsidR="00F66BFC" w:rsidRDefault="00D96907">
      <w:pPr>
        <w:pStyle w:val="TableofFigures"/>
        <w:tabs>
          <w:tab w:val="right" w:leader="dot" w:pos="9465"/>
        </w:tabs>
        <w:rPr>
          <w:rFonts w:asciiTheme="minorHAnsi" w:eastAsiaTheme="minorEastAsia" w:hAnsiTheme="minorHAnsi"/>
          <w:noProof/>
          <w:lang w:val="en-CA" w:eastAsia="en-CA"/>
        </w:rPr>
      </w:pPr>
      <w:hyperlink w:anchor="_Toc325871727" w:history="1">
        <w:r w:rsidR="00F66BFC" w:rsidRPr="00286296">
          <w:rPr>
            <w:rStyle w:val="Hyperlink"/>
            <w:noProof/>
          </w:rPr>
          <w:t>Figure 3</w:t>
        </w:r>
        <w:r w:rsidR="00F66BFC" w:rsidRPr="00286296">
          <w:rPr>
            <w:rStyle w:val="Hyperlink"/>
            <w:noProof/>
          </w:rPr>
          <w:noBreakHyphen/>
          <w:t>7.  Shares of GDP by economic activity sector, 2006-2011</w:t>
        </w:r>
        <w:r w:rsidR="00F66BFC">
          <w:rPr>
            <w:noProof/>
            <w:webHidden/>
          </w:rPr>
          <w:tab/>
        </w:r>
        <w:r>
          <w:rPr>
            <w:noProof/>
            <w:webHidden/>
          </w:rPr>
          <w:fldChar w:fldCharType="begin"/>
        </w:r>
        <w:r w:rsidR="00F66BFC">
          <w:rPr>
            <w:noProof/>
            <w:webHidden/>
          </w:rPr>
          <w:instrText xml:space="preserve"> PAGEREF _Toc325871727 \h </w:instrText>
        </w:r>
        <w:r>
          <w:rPr>
            <w:noProof/>
            <w:webHidden/>
          </w:rPr>
        </w:r>
        <w:r>
          <w:rPr>
            <w:noProof/>
            <w:webHidden/>
          </w:rPr>
          <w:fldChar w:fldCharType="separate"/>
        </w:r>
        <w:r w:rsidR="00F66BFC">
          <w:rPr>
            <w:noProof/>
            <w:webHidden/>
          </w:rPr>
          <w:t>24</w:t>
        </w:r>
        <w:r>
          <w:rPr>
            <w:noProof/>
            <w:webHidden/>
          </w:rPr>
          <w:fldChar w:fldCharType="end"/>
        </w:r>
      </w:hyperlink>
    </w:p>
    <w:p w:rsidR="00F66BFC" w:rsidRDefault="00D96907">
      <w:pPr>
        <w:pStyle w:val="TableofFigures"/>
        <w:tabs>
          <w:tab w:val="right" w:leader="dot" w:pos="9465"/>
        </w:tabs>
        <w:rPr>
          <w:rFonts w:asciiTheme="minorHAnsi" w:eastAsiaTheme="minorEastAsia" w:hAnsiTheme="minorHAnsi"/>
          <w:noProof/>
          <w:lang w:val="en-CA" w:eastAsia="en-CA"/>
        </w:rPr>
      </w:pPr>
      <w:hyperlink w:anchor="_Toc325871728" w:history="1">
        <w:r w:rsidR="00F66BFC" w:rsidRPr="00286296">
          <w:rPr>
            <w:rStyle w:val="Hyperlink"/>
            <w:noProof/>
          </w:rPr>
          <w:t>Figure 3</w:t>
        </w:r>
        <w:r w:rsidR="00F66BFC" w:rsidRPr="00286296">
          <w:rPr>
            <w:rStyle w:val="Hyperlink"/>
            <w:noProof/>
          </w:rPr>
          <w:noBreakHyphen/>
          <w:t>8  Diversification of the economy, 2006-2011</w:t>
        </w:r>
        <w:r w:rsidR="00F66BFC">
          <w:rPr>
            <w:noProof/>
            <w:webHidden/>
          </w:rPr>
          <w:tab/>
        </w:r>
        <w:r>
          <w:rPr>
            <w:noProof/>
            <w:webHidden/>
          </w:rPr>
          <w:fldChar w:fldCharType="begin"/>
        </w:r>
        <w:r w:rsidR="00F66BFC">
          <w:rPr>
            <w:noProof/>
            <w:webHidden/>
          </w:rPr>
          <w:instrText xml:space="preserve"> PAGEREF _Toc325871728 \h </w:instrText>
        </w:r>
        <w:r>
          <w:rPr>
            <w:noProof/>
            <w:webHidden/>
          </w:rPr>
        </w:r>
        <w:r>
          <w:rPr>
            <w:noProof/>
            <w:webHidden/>
          </w:rPr>
          <w:fldChar w:fldCharType="separate"/>
        </w:r>
        <w:r w:rsidR="00F66BFC">
          <w:rPr>
            <w:noProof/>
            <w:webHidden/>
          </w:rPr>
          <w:t>26</w:t>
        </w:r>
        <w:r>
          <w:rPr>
            <w:noProof/>
            <w:webHidden/>
          </w:rPr>
          <w:fldChar w:fldCharType="end"/>
        </w:r>
      </w:hyperlink>
    </w:p>
    <w:p w:rsidR="00BC1135" w:rsidRDefault="00D96907" w:rsidP="00866A57">
      <w:r>
        <w:fldChar w:fldCharType="end"/>
      </w:r>
    </w:p>
    <w:p w:rsidR="00F66BFC" w:rsidRDefault="00CE24BA" w:rsidP="00866A57">
      <w:pPr>
        <w:rPr>
          <w:noProof/>
        </w:rPr>
      </w:pPr>
      <w:r>
        <w:t>List of Tables</w:t>
      </w:r>
      <w:r w:rsidR="00D96907">
        <w:fldChar w:fldCharType="begin"/>
      </w:r>
      <w:r>
        <w:instrText xml:space="preserve"> TOC \h \z \c "Table" </w:instrText>
      </w:r>
      <w:r w:rsidR="00D96907">
        <w:fldChar w:fldCharType="separate"/>
      </w:r>
    </w:p>
    <w:p w:rsidR="00F66BFC" w:rsidRDefault="00D96907">
      <w:pPr>
        <w:pStyle w:val="TableofFigures"/>
        <w:tabs>
          <w:tab w:val="right" w:leader="dot" w:pos="9465"/>
        </w:tabs>
        <w:rPr>
          <w:rFonts w:asciiTheme="minorHAnsi" w:eastAsiaTheme="minorEastAsia" w:hAnsiTheme="minorHAnsi"/>
          <w:noProof/>
          <w:lang w:val="en-CA" w:eastAsia="en-CA"/>
        </w:rPr>
      </w:pPr>
      <w:hyperlink w:anchor="_Toc325871729" w:history="1">
        <w:r w:rsidR="00F66BFC" w:rsidRPr="002F6B23">
          <w:rPr>
            <w:rStyle w:val="Hyperlink"/>
            <w:noProof/>
          </w:rPr>
          <w:t>Table 3</w:t>
        </w:r>
        <w:r w:rsidR="00F66BFC" w:rsidRPr="002F6B23">
          <w:rPr>
            <w:rStyle w:val="Hyperlink"/>
            <w:noProof/>
          </w:rPr>
          <w:noBreakHyphen/>
          <w:t>1  Average growth rates, by sector, 2007-2011</w:t>
        </w:r>
        <w:r w:rsidR="00F66BFC">
          <w:rPr>
            <w:noProof/>
            <w:webHidden/>
          </w:rPr>
          <w:tab/>
        </w:r>
        <w:r>
          <w:rPr>
            <w:noProof/>
            <w:webHidden/>
          </w:rPr>
          <w:fldChar w:fldCharType="begin"/>
        </w:r>
        <w:r w:rsidR="00F66BFC">
          <w:rPr>
            <w:noProof/>
            <w:webHidden/>
          </w:rPr>
          <w:instrText xml:space="preserve"> PAGEREF _Toc325871729 \h </w:instrText>
        </w:r>
        <w:r>
          <w:rPr>
            <w:noProof/>
            <w:webHidden/>
          </w:rPr>
        </w:r>
        <w:r>
          <w:rPr>
            <w:noProof/>
            <w:webHidden/>
          </w:rPr>
          <w:fldChar w:fldCharType="separate"/>
        </w:r>
        <w:r w:rsidR="00F66BFC">
          <w:rPr>
            <w:noProof/>
            <w:webHidden/>
          </w:rPr>
          <w:t>17</w:t>
        </w:r>
        <w:r>
          <w:rPr>
            <w:noProof/>
            <w:webHidden/>
          </w:rPr>
          <w:fldChar w:fldCharType="end"/>
        </w:r>
      </w:hyperlink>
    </w:p>
    <w:p w:rsidR="00F66BFC" w:rsidRDefault="00D96907">
      <w:pPr>
        <w:pStyle w:val="TableofFigures"/>
        <w:tabs>
          <w:tab w:val="right" w:leader="dot" w:pos="9465"/>
        </w:tabs>
        <w:rPr>
          <w:rFonts w:asciiTheme="minorHAnsi" w:eastAsiaTheme="minorEastAsia" w:hAnsiTheme="minorHAnsi"/>
          <w:noProof/>
          <w:lang w:val="en-CA" w:eastAsia="en-CA"/>
        </w:rPr>
      </w:pPr>
      <w:hyperlink w:anchor="_Toc325871730" w:history="1">
        <w:r w:rsidR="00F66BFC" w:rsidRPr="002F6B23">
          <w:rPr>
            <w:rStyle w:val="Hyperlink"/>
            <w:noProof/>
          </w:rPr>
          <w:t>Table 3</w:t>
        </w:r>
        <w:r w:rsidR="00F66BFC" w:rsidRPr="002F6B23">
          <w:rPr>
            <w:rStyle w:val="Hyperlink"/>
            <w:noProof/>
          </w:rPr>
          <w:noBreakHyphen/>
          <w:t>2  Saudi Arabia Total and Employed Population, 2004-2011</w:t>
        </w:r>
        <w:r w:rsidR="00F66BFC">
          <w:rPr>
            <w:noProof/>
            <w:webHidden/>
          </w:rPr>
          <w:tab/>
        </w:r>
        <w:r>
          <w:rPr>
            <w:noProof/>
            <w:webHidden/>
          </w:rPr>
          <w:fldChar w:fldCharType="begin"/>
        </w:r>
        <w:r w:rsidR="00F66BFC">
          <w:rPr>
            <w:noProof/>
            <w:webHidden/>
          </w:rPr>
          <w:instrText xml:space="preserve"> PAGEREF _Toc325871730 \h </w:instrText>
        </w:r>
        <w:r>
          <w:rPr>
            <w:noProof/>
            <w:webHidden/>
          </w:rPr>
        </w:r>
        <w:r>
          <w:rPr>
            <w:noProof/>
            <w:webHidden/>
          </w:rPr>
          <w:fldChar w:fldCharType="separate"/>
        </w:r>
        <w:r w:rsidR="00F66BFC">
          <w:rPr>
            <w:noProof/>
            <w:webHidden/>
          </w:rPr>
          <w:t>18</w:t>
        </w:r>
        <w:r>
          <w:rPr>
            <w:noProof/>
            <w:webHidden/>
          </w:rPr>
          <w:fldChar w:fldCharType="end"/>
        </w:r>
      </w:hyperlink>
    </w:p>
    <w:p w:rsidR="00F66BFC" w:rsidRDefault="00D96907">
      <w:pPr>
        <w:pStyle w:val="TableofFigures"/>
        <w:tabs>
          <w:tab w:val="right" w:leader="dot" w:pos="9465"/>
        </w:tabs>
        <w:rPr>
          <w:rFonts w:asciiTheme="minorHAnsi" w:eastAsiaTheme="minorEastAsia" w:hAnsiTheme="minorHAnsi"/>
          <w:noProof/>
          <w:lang w:val="en-CA" w:eastAsia="en-CA"/>
        </w:rPr>
      </w:pPr>
      <w:hyperlink w:anchor="_Toc325871731" w:history="1">
        <w:r w:rsidR="00F66BFC" w:rsidRPr="002F6B23">
          <w:rPr>
            <w:rStyle w:val="Hyperlink"/>
            <w:noProof/>
          </w:rPr>
          <w:t>Table 3</w:t>
        </w:r>
        <w:r w:rsidR="00F66BFC" w:rsidRPr="002F6B23">
          <w:rPr>
            <w:rStyle w:val="Hyperlink"/>
            <w:noProof/>
          </w:rPr>
          <w:noBreakHyphen/>
          <w:t>3  Tourism Expenditures 2007 and 2011</w:t>
        </w:r>
        <w:r w:rsidR="00F66BFC">
          <w:rPr>
            <w:noProof/>
            <w:webHidden/>
          </w:rPr>
          <w:tab/>
        </w:r>
        <w:r>
          <w:rPr>
            <w:noProof/>
            <w:webHidden/>
          </w:rPr>
          <w:fldChar w:fldCharType="begin"/>
        </w:r>
        <w:r w:rsidR="00F66BFC">
          <w:rPr>
            <w:noProof/>
            <w:webHidden/>
          </w:rPr>
          <w:instrText xml:space="preserve"> PAGEREF _Toc325871731 \h </w:instrText>
        </w:r>
        <w:r>
          <w:rPr>
            <w:noProof/>
            <w:webHidden/>
          </w:rPr>
        </w:r>
        <w:r>
          <w:rPr>
            <w:noProof/>
            <w:webHidden/>
          </w:rPr>
          <w:fldChar w:fldCharType="separate"/>
        </w:r>
        <w:r w:rsidR="00F66BFC">
          <w:rPr>
            <w:noProof/>
            <w:webHidden/>
          </w:rPr>
          <w:t>23</w:t>
        </w:r>
        <w:r>
          <w:rPr>
            <w:noProof/>
            <w:webHidden/>
          </w:rPr>
          <w:fldChar w:fldCharType="end"/>
        </w:r>
      </w:hyperlink>
    </w:p>
    <w:p w:rsidR="00F66BFC" w:rsidRDefault="00D96907">
      <w:pPr>
        <w:pStyle w:val="TableofFigures"/>
        <w:tabs>
          <w:tab w:val="right" w:leader="dot" w:pos="9465"/>
        </w:tabs>
        <w:rPr>
          <w:rFonts w:asciiTheme="minorHAnsi" w:eastAsiaTheme="minorEastAsia" w:hAnsiTheme="minorHAnsi"/>
          <w:noProof/>
          <w:lang w:val="en-CA" w:eastAsia="en-CA"/>
        </w:rPr>
      </w:pPr>
      <w:hyperlink w:anchor="_Toc325871732" w:history="1">
        <w:r w:rsidR="00F66BFC" w:rsidRPr="002F6B23">
          <w:rPr>
            <w:rStyle w:val="Hyperlink"/>
            <w:noProof/>
          </w:rPr>
          <w:t>Table 3</w:t>
        </w:r>
        <w:r w:rsidR="00F66BFC" w:rsidRPr="002F6B23">
          <w:rPr>
            <w:rStyle w:val="Hyperlink"/>
            <w:noProof/>
          </w:rPr>
          <w:noBreakHyphen/>
          <w:t>4  Tourism Expenditures 2007 and 2011</w:t>
        </w:r>
        <w:r w:rsidR="00F66BFC">
          <w:rPr>
            <w:noProof/>
            <w:webHidden/>
          </w:rPr>
          <w:tab/>
        </w:r>
        <w:r>
          <w:rPr>
            <w:noProof/>
            <w:webHidden/>
          </w:rPr>
          <w:fldChar w:fldCharType="begin"/>
        </w:r>
        <w:r w:rsidR="00F66BFC">
          <w:rPr>
            <w:noProof/>
            <w:webHidden/>
          </w:rPr>
          <w:instrText xml:space="preserve"> PAGEREF _Toc325871732 \h </w:instrText>
        </w:r>
        <w:r>
          <w:rPr>
            <w:noProof/>
            <w:webHidden/>
          </w:rPr>
        </w:r>
        <w:r>
          <w:rPr>
            <w:noProof/>
            <w:webHidden/>
          </w:rPr>
          <w:fldChar w:fldCharType="separate"/>
        </w:r>
        <w:r w:rsidR="00F66BFC">
          <w:rPr>
            <w:noProof/>
            <w:webHidden/>
          </w:rPr>
          <w:t>23</w:t>
        </w:r>
        <w:r>
          <w:rPr>
            <w:noProof/>
            <w:webHidden/>
          </w:rPr>
          <w:fldChar w:fldCharType="end"/>
        </w:r>
      </w:hyperlink>
    </w:p>
    <w:p w:rsidR="00F66BFC" w:rsidRDefault="00D96907">
      <w:pPr>
        <w:pStyle w:val="TableofFigures"/>
        <w:tabs>
          <w:tab w:val="right" w:leader="dot" w:pos="9465"/>
        </w:tabs>
        <w:rPr>
          <w:rFonts w:asciiTheme="minorHAnsi" w:eastAsiaTheme="minorEastAsia" w:hAnsiTheme="minorHAnsi"/>
          <w:noProof/>
          <w:lang w:val="en-CA" w:eastAsia="en-CA"/>
        </w:rPr>
      </w:pPr>
      <w:hyperlink w:anchor="_Toc325871733" w:history="1">
        <w:r w:rsidR="00F66BFC" w:rsidRPr="002F6B23">
          <w:rPr>
            <w:rStyle w:val="Hyperlink"/>
            <w:noProof/>
          </w:rPr>
          <w:t>Table 3</w:t>
        </w:r>
        <w:r w:rsidR="00F66BFC" w:rsidRPr="002F6B23">
          <w:rPr>
            <w:rStyle w:val="Hyperlink"/>
            <w:noProof/>
          </w:rPr>
          <w:noBreakHyphen/>
          <w:t>6  Shares of tourism expenditures, 2007 and 2011</w:t>
        </w:r>
        <w:r w:rsidR="00F66BFC">
          <w:rPr>
            <w:noProof/>
            <w:webHidden/>
          </w:rPr>
          <w:tab/>
        </w:r>
        <w:r>
          <w:rPr>
            <w:noProof/>
            <w:webHidden/>
          </w:rPr>
          <w:fldChar w:fldCharType="begin"/>
        </w:r>
        <w:r w:rsidR="00F66BFC">
          <w:rPr>
            <w:noProof/>
            <w:webHidden/>
          </w:rPr>
          <w:instrText xml:space="preserve"> PAGEREF _Toc325871733 \h </w:instrText>
        </w:r>
        <w:r>
          <w:rPr>
            <w:noProof/>
            <w:webHidden/>
          </w:rPr>
        </w:r>
        <w:r>
          <w:rPr>
            <w:noProof/>
            <w:webHidden/>
          </w:rPr>
          <w:fldChar w:fldCharType="separate"/>
        </w:r>
        <w:r w:rsidR="00F66BFC">
          <w:rPr>
            <w:noProof/>
            <w:webHidden/>
          </w:rPr>
          <w:t>31</w:t>
        </w:r>
        <w:r>
          <w:rPr>
            <w:noProof/>
            <w:webHidden/>
          </w:rPr>
          <w:fldChar w:fldCharType="end"/>
        </w:r>
      </w:hyperlink>
    </w:p>
    <w:p w:rsidR="00E41BFC" w:rsidRDefault="00D96907" w:rsidP="00E41BFC">
      <w:r>
        <w:fldChar w:fldCharType="end"/>
      </w:r>
      <w:r w:rsidR="00E41BFC">
        <w:t xml:space="preserve"> </w:t>
      </w:r>
    </w:p>
    <w:p w:rsidR="00770977" w:rsidRDefault="00770977">
      <w:pPr>
        <w:rPr>
          <w:rFonts w:asciiTheme="majorHAnsi" w:eastAsiaTheme="majorEastAsia" w:hAnsiTheme="majorHAnsi" w:cstheme="majorBidi"/>
          <w:b/>
          <w:bCs/>
          <w:color w:val="365F91" w:themeColor="accent1" w:themeShade="BF"/>
          <w:sz w:val="28"/>
          <w:szCs w:val="28"/>
        </w:rPr>
      </w:pPr>
      <w:r>
        <w:br w:type="page"/>
      </w:r>
    </w:p>
    <w:p w:rsidR="003B614C" w:rsidRDefault="003B614C" w:rsidP="00AA52EB">
      <w:pPr>
        <w:pStyle w:val="Heading1"/>
        <w:jc w:val="center"/>
      </w:pPr>
      <w:bookmarkStart w:id="0" w:name="_Toc325871754"/>
      <w:r w:rsidRPr="005C55C3">
        <w:t>Abbreviations</w:t>
      </w:r>
      <w:bookmarkEnd w:id="0"/>
    </w:p>
    <w:p w:rsidR="00770977" w:rsidRPr="00770977" w:rsidRDefault="00770977" w:rsidP="00770977"/>
    <w:tbl>
      <w:tblPr>
        <w:tblStyle w:val="TableGrid"/>
        <w:tblW w:w="0" w:type="auto"/>
        <w:jc w:val="center"/>
        <w:tblLook w:val="04A0"/>
      </w:tblPr>
      <w:tblGrid>
        <w:gridCol w:w="984"/>
        <w:gridCol w:w="4315"/>
      </w:tblGrid>
      <w:tr w:rsidR="00D47C0C" w:rsidRPr="00AA52EB" w:rsidTr="00AA52EB">
        <w:trPr>
          <w:jc w:val="center"/>
        </w:trPr>
        <w:tc>
          <w:tcPr>
            <w:tcW w:w="0" w:type="auto"/>
          </w:tcPr>
          <w:p w:rsidR="00D47C0C" w:rsidRPr="00AA52EB" w:rsidRDefault="00D47C0C" w:rsidP="003B614C">
            <w:pPr>
              <w:rPr>
                <w:sz w:val="20"/>
              </w:rPr>
            </w:pPr>
          </w:p>
        </w:tc>
        <w:tc>
          <w:tcPr>
            <w:tcW w:w="0" w:type="auto"/>
          </w:tcPr>
          <w:p w:rsidR="00D47C0C" w:rsidRPr="00AA52EB" w:rsidRDefault="00D47C0C" w:rsidP="003B614C">
            <w:pPr>
              <w:rPr>
                <w:sz w:val="20"/>
              </w:rPr>
            </w:pPr>
          </w:p>
        </w:tc>
      </w:tr>
      <w:tr w:rsidR="00D47C0C" w:rsidRPr="00AA52EB" w:rsidTr="00AA52EB">
        <w:trPr>
          <w:jc w:val="center"/>
        </w:trPr>
        <w:tc>
          <w:tcPr>
            <w:tcW w:w="0" w:type="auto"/>
          </w:tcPr>
          <w:p w:rsidR="00D47C0C" w:rsidRPr="00AA52EB" w:rsidRDefault="00D47C0C" w:rsidP="003B614C">
            <w:pPr>
              <w:rPr>
                <w:sz w:val="20"/>
              </w:rPr>
            </w:pPr>
            <w:r w:rsidRPr="00AA52EB">
              <w:rPr>
                <w:sz w:val="20"/>
              </w:rPr>
              <w:t xml:space="preserve">CDSI </w:t>
            </w:r>
          </w:p>
        </w:tc>
        <w:tc>
          <w:tcPr>
            <w:tcW w:w="0" w:type="auto"/>
          </w:tcPr>
          <w:p w:rsidR="00D47C0C" w:rsidRPr="00AA52EB" w:rsidRDefault="00D47C0C" w:rsidP="003B614C">
            <w:pPr>
              <w:rPr>
                <w:sz w:val="20"/>
              </w:rPr>
            </w:pPr>
            <w:r w:rsidRPr="00AA52EB">
              <w:rPr>
                <w:sz w:val="20"/>
              </w:rPr>
              <w:t>Central Department of Statistics and Information</w:t>
            </w:r>
          </w:p>
        </w:tc>
      </w:tr>
      <w:tr w:rsidR="005445E1" w:rsidRPr="00AA52EB" w:rsidTr="00AA52EB">
        <w:trPr>
          <w:jc w:val="center"/>
        </w:trPr>
        <w:tc>
          <w:tcPr>
            <w:tcW w:w="0" w:type="auto"/>
          </w:tcPr>
          <w:p w:rsidR="005445E1" w:rsidRPr="00AA52EB" w:rsidRDefault="005445E1" w:rsidP="003B614C">
            <w:pPr>
              <w:rPr>
                <w:sz w:val="20"/>
              </w:rPr>
            </w:pPr>
            <w:r>
              <w:rPr>
                <w:sz w:val="20"/>
              </w:rPr>
              <w:t xml:space="preserve">CO </w:t>
            </w:r>
          </w:p>
        </w:tc>
        <w:tc>
          <w:tcPr>
            <w:tcW w:w="0" w:type="auto"/>
          </w:tcPr>
          <w:p w:rsidR="005445E1" w:rsidRPr="00AA52EB" w:rsidRDefault="005445E1" w:rsidP="003B614C">
            <w:pPr>
              <w:rPr>
                <w:sz w:val="20"/>
              </w:rPr>
            </w:pPr>
            <w:r>
              <w:rPr>
                <w:sz w:val="20"/>
              </w:rPr>
              <w:t>country office</w:t>
            </w:r>
          </w:p>
        </w:tc>
      </w:tr>
      <w:tr w:rsidR="00D47C0C" w:rsidRPr="00AA52EB" w:rsidTr="00AA52EB">
        <w:trPr>
          <w:jc w:val="center"/>
        </w:trPr>
        <w:tc>
          <w:tcPr>
            <w:tcW w:w="0" w:type="auto"/>
          </w:tcPr>
          <w:p w:rsidR="00D47C0C" w:rsidRPr="00AA52EB" w:rsidRDefault="00D47C0C" w:rsidP="003B614C">
            <w:pPr>
              <w:rPr>
                <w:sz w:val="20"/>
              </w:rPr>
            </w:pPr>
            <w:r w:rsidRPr="00AA52EB">
              <w:rPr>
                <w:sz w:val="20"/>
              </w:rPr>
              <w:t>CP</w:t>
            </w:r>
          </w:p>
        </w:tc>
        <w:tc>
          <w:tcPr>
            <w:tcW w:w="0" w:type="auto"/>
          </w:tcPr>
          <w:p w:rsidR="00D47C0C" w:rsidRPr="00AA52EB" w:rsidRDefault="00D47C0C" w:rsidP="00695460">
            <w:pPr>
              <w:rPr>
                <w:sz w:val="20"/>
              </w:rPr>
            </w:pPr>
            <w:r w:rsidRPr="00AA52EB">
              <w:rPr>
                <w:sz w:val="20"/>
              </w:rPr>
              <w:t xml:space="preserve">country programme </w:t>
            </w:r>
          </w:p>
        </w:tc>
      </w:tr>
      <w:tr w:rsidR="00D47C0C" w:rsidRPr="00AA52EB" w:rsidTr="00AA52EB">
        <w:trPr>
          <w:jc w:val="center"/>
        </w:trPr>
        <w:tc>
          <w:tcPr>
            <w:tcW w:w="0" w:type="auto"/>
          </w:tcPr>
          <w:p w:rsidR="00D47C0C" w:rsidRPr="00AA52EB" w:rsidRDefault="00D47C0C" w:rsidP="003B614C">
            <w:pPr>
              <w:rPr>
                <w:sz w:val="20"/>
              </w:rPr>
            </w:pPr>
            <w:r w:rsidRPr="00AA52EB">
              <w:rPr>
                <w:sz w:val="20"/>
              </w:rPr>
              <w:t xml:space="preserve">CPAP </w:t>
            </w:r>
          </w:p>
        </w:tc>
        <w:tc>
          <w:tcPr>
            <w:tcW w:w="0" w:type="auto"/>
          </w:tcPr>
          <w:p w:rsidR="00D47C0C" w:rsidRPr="00AA52EB" w:rsidRDefault="00D47C0C" w:rsidP="003B614C">
            <w:pPr>
              <w:rPr>
                <w:sz w:val="20"/>
              </w:rPr>
            </w:pPr>
            <w:r w:rsidRPr="00AA52EB">
              <w:rPr>
                <w:sz w:val="20"/>
              </w:rPr>
              <w:t>Country Programme Action Plan</w:t>
            </w:r>
          </w:p>
        </w:tc>
      </w:tr>
      <w:tr w:rsidR="00D47C0C" w:rsidRPr="00AA52EB" w:rsidTr="00AA52EB">
        <w:trPr>
          <w:jc w:val="center"/>
        </w:trPr>
        <w:tc>
          <w:tcPr>
            <w:tcW w:w="0" w:type="auto"/>
          </w:tcPr>
          <w:p w:rsidR="00D47C0C" w:rsidRPr="00AA52EB" w:rsidRDefault="00D47C0C" w:rsidP="003B614C">
            <w:pPr>
              <w:rPr>
                <w:sz w:val="20"/>
              </w:rPr>
            </w:pPr>
            <w:r w:rsidRPr="00AA52EB">
              <w:rPr>
                <w:sz w:val="20"/>
              </w:rPr>
              <w:t>CPD</w:t>
            </w:r>
          </w:p>
        </w:tc>
        <w:tc>
          <w:tcPr>
            <w:tcW w:w="0" w:type="auto"/>
          </w:tcPr>
          <w:p w:rsidR="00D47C0C" w:rsidRPr="00AA52EB" w:rsidRDefault="00D47C0C" w:rsidP="003B614C">
            <w:pPr>
              <w:rPr>
                <w:sz w:val="20"/>
              </w:rPr>
            </w:pPr>
            <w:r w:rsidRPr="00AA52EB">
              <w:rPr>
                <w:sz w:val="20"/>
              </w:rPr>
              <w:t>Country Programme Document</w:t>
            </w:r>
          </w:p>
        </w:tc>
      </w:tr>
      <w:tr w:rsidR="00814F82" w:rsidRPr="00AA52EB" w:rsidTr="00AA52EB">
        <w:trPr>
          <w:jc w:val="center"/>
        </w:trPr>
        <w:tc>
          <w:tcPr>
            <w:tcW w:w="0" w:type="auto"/>
          </w:tcPr>
          <w:p w:rsidR="00814F82" w:rsidRDefault="00814F82" w:rsidP="003B614C">
            <w:pPr>
              <w:rPr>
                <w:sz w:val="20"/>
              </w:rPr>
            </w:pPr>
            <w:r>
              <w:rPr>
                <w:sz w:val="20"/>
              </w:rPr>
              <w:t>CPI</w:t>
            </w:r>
          </w:p>
        </w:tc>
        <w:tc>
          <w:tcPr>
            <w:tcW w:w="0" w:type="auto"/>
          </w:tcPr>
          <w:p w:rsidR="00814F82" w:rsidRDefault="00814F82" w:rsidP="003B614C">
            <w:pPr>
              <w:rPr>
                <w:sz w:val="20"/>
              </w:rPr>
            </w:pPr>
            <w:r>
              <w:rPr>
                <w:sz w:val="20"/>
              </w:rPr>
              <w:t>Consumer Price Index</w:t>
            </w:r>
          </w:p>
        </w:tc>
      </w:tr>
      <w:tr w:rsidR="00C156D6" w:rsidRPr="00AA52EB" w:rsidTr="00AA52EB">
        <w:trPr>
          <w:jc w:val="center"/>
        </w:trPr>
        <w:tc>
          <w:tcPr>
            <w:tcW w:w="0" w:type="auto"/>
          </w:tcPr>
          <w:p w:rsidR="00C156D6" w:rsidRPr="00AA52EB" w:rsidRDefault="00C156D6" w:rsidP="003B614C">
            <w:pPr>
              <w:rPr>
                <w:sz w:val="20"/>
              </w:rPr>
            </w:pPr>
            <w:r>
              <w:rPr>
                <w:sz w:val="20"/>
              </w:rPr>
              <w:t>CPPS</w:t>
            </w:r>
          </w:p>
        </w:tc>
        <w:tc>
          <w:tcPr>
            <w:tcW w:w="0" w:type="auto"/>
          </w:tcPr>
          <w:p w:rsidR="00C156D6" w:rsidRPr="00AA52EB" w:rsidRDefault="00C156D6" w:rsidP="003B614C">
            <w:pPr>
              <w:rPr>
                <w:sz w:val="20"/>
              </w:rPr>
            </w:pPr>
            <w:r>
              <w:rPr>
                <w:sz w:val="20"/>
              </w:rPr>
              <w:t>Country Programme Performance Summary</w:t>
            </w:r>
          </w:p>
        </w:tc>
      </w:tr>
      <w:tr w:rsidR="00814F82" w:rsidRPr="00AA52EB" w:rsidTr="00AA52EB">
        <w:trPr>
          <w:jc w:val="center"/>
        </w:trPr>
        <w:tc>
          <w:tcPr>
            <w:tcW w:w="0" w:type="auto"/>
          </w:tcPr>
          <w:p w:rsidR="00814F82" w:rsidRPr="00AA52EB" w:rsidRDefault="00814F82" w:rsidP="003B614C">
            <w:pPr>
              <w:rPr>
                <w:sz w:val="20"/>
              </w:rPr>
            </w:pPr>
            <w:r>
              <w:rPr>
                <w:sz w:val="20"/>
              </w:rPr>
              <w:t>CSR</w:t>
            </w:r>
          </w:p>
        </w:tc>
        <w:tc>
          <w:tcPr>
            <w:tcW w:w="0" w:type="auto"/>
          </w:tcPr>
          <w:p w:rsidR="00814F82" w:rsidRDefault="00814F82" w:rsidP="003B614C">
            <w:pPr>
              <w:rPr>
                <w:sz w:val="20"/>
              </w:rPr>
            </w:pPr>
            <w:r>
              <w:rPr>
                <w:sz w:val="20"/>
              </w:rPr>
              <w:t>corporate social responsibility</w:t>
            </w:r>
          </w:p>
        </w:tc>
      </w:tr>
      <w:tr w:rsidR="00D47C0C" w:rsidRPr="00AA52EB" w:rsidTr="00AA52EB">
        <w:trPr>
          <w:jc w:val="center"/>
        </w:trPr>
        <w:tc>
          <w:tcPr>
            <w:tcW w:w="0" w:type="auto"/>
          </w:tcPr>
          <w:p w:rsidR="00D47C0C" w:rsidRPr="00AA52EB" w:rsidRDefault="00D47C0C" w:rsidP="003B614C">
            <w:pPr>
              <w:rPr>
                <w:sz w:val="20"/>
              </w:rPr>
            </w:pPr>
            <w:r w:rsidRPr="00AA52EB">
              <w:rPr>
                <w:sz w:val="20"/>
              </w:rPr>
              <w:t>EO</w:t>
            </w:r>
          </w:p>
        </w:tc>
        <w:tc>
          <w:tcPr>
            <w:tcW w:w="0" w:type="auto"/>
          </w:tcPr>
          <w:p w:rsidR="00D47C0C" w:rsidRPr="00AA52EB" w:rsidRDefault="00572B7D" w:rsidP="003B614C">
            <w:pPr>
              <w:rPr>
                <w:sz w:val="20"/>
              </w:rPr>
            </w:pPr>
            <w:r>
              <w:rPr>
                <w:sz w:val="20"/>
              </w:rPr>
              <w:t xml:space="preserve">(UN) </w:t>
            </w:r>
            <w:r w:rsidR="00D47C0C" w:rsidRPr="00AA52EB">
              <w:rPr>
                <w:sz w:val="20"/>
              </w:rPr>
              <w:t>Evaluation Office</w:t>
            </w:r>
          </w:p>
        </w:tc>
      </w:tr>
      <w:tr w:rsidR="0012292B" w:rsidRPr="00AA52EB" w:rsidTr="00AA52EB">
        <w:trPr>
          <w:jc w:val="center"/>
        </w:trPr>
        <w:tc>
          <w:tcPr>
            <w:tcW w:w="0" w:type="auto"/>
          </w:tcPr>
          <w:p w:rsidR="0012292B" w:rsidRPr="00AA52EB" w:rsidRDefault="0012292B" w:rsidP="003B614C">
            <w:pPr>
              <w:rPr>
                <w:sz w:val="20"/>
              </w:rPr>
            </w:pPr>
            <w:r w:rsidRPr="00AA52EB">
              <w:rPr>
                <w:sz w:val="20"/>
              </w:rPr>
              <w:t>HDR</w:t>
            </w:r>
          </w:p>
        </w:tc>
        <w:tc>
          <w:tcPr>
            <w:tcW w:w="0" w:type="auto"/>
          </w:tcPr>
          <w:p w:rsidR="0012292B" w:rsidRPr="00AA52EB" w:rsidRDefault="0012292B" w:rsidP="003B614C">
            <w:pPr>
              <w:rPr>
                <w:sz w:val="20"/>
              </w:rPr>
            </w:pPr>
            <w:r w:rsidRPr="00AA52EB">
              <w:rPr>
                <w:sz w:val="20"/>
              </w:rPr>
              <w:t>Human Development Report (UNDP)</w:t>
            </w:r>
          </w:p>
        </w:tc>
      </w:tr>
      <w:tr w:rsidR="00D47C0C" w:rsidRPr="00AA52EB" w:rsidTr="00AA52EB">
        <w:trPr>
          <w:jc w:val="center"/>
        </w:trPr>
        <w:tc>
          <w:tcPr>
            <w:tcW w:w="0" w:type="auto"/>
          </w:tcPr>
          <w:p w:rsidR="00D47C0C" w:rsidRPr="00AA52EB" w:rsidRDefault="00D47C0C" w:rsidP="003B614C">
            <w:pPr>
              <w:rPr>
                <w:sz w:val="20"/>
              </w:rPr>
            </w:pPr>
            <w:r w:rsidRPr="00AA52EB">
              <w:rPr>
                <w:sz w:val="20"/>
              </w:rPr>
              <w:t>KSA</w:t>
            </w:r>
          </w:p>
        </w:tc>
        <w:tc>
          <w:tcPr>
            <w:tcW w:w="0" w:type="auto"/>
          </w:tcPr>
          <w:p w:rsidR="00D47C0C" w:rsidRPr="00AA52EB" w:rsidRDefault="00D47C0C" w:rsidP="003B614C">
            <w:pPr>
              <w:rPr>
                <w:sz w:val="20"/>
              </w:rPr>
            </w:pPr>
            <w:r w:rsidRPr="00AA52EB">
              <w:rPr>
                <w:sz w:val="20"/>
              </w:rPr>
              <w:t>Kingdom of Saudi Arabia</w:t>
            </w:r>
          </w:p>
        </w:tc>
      </w:tr>
      <w:tr w:rsidR="00AA52EB" w:rsidRPr="00AA52EB" w:rsidTr="00AA52EB">
        <w:trPr>
          <w:jc w:val="center"/>
        </w:trPr>
        <w:tc>
          <w:tcPr>
            <w:tcW w:w="0" w:type="auto"/>
          </w:tcPr>
          <w:p w:rsidR="00AA52EB" w:rsidRPr="00AA52EB" w:rsidRDefault="00AA52EB" w:rsidP="003B614C">
            <w:pPr>
              <w:rPr>
                <w:sz w:val="20"/>
              </w:rPr>
            </w:pPr>
            <w:r w:rsidRPr="00AA52EB">
              <w:rPr>
                <w:sz w:val="20"/>
              </w:rPr>
              <w:t>MEP</w:t>
            </w:r>
          </w:p>
        </w:tc>
        <w:tc>
          <w:tcPr>
            <w:tcW w:w="0" w:type="auto"/>
          </w:tcPr>
          <w:p w:rsidR="00AA52EB" w:rsidRPr="00AA52EB" w:rsidRDefault="00AA52EB" w:rsidP="003B614C">
            <w:pPr>
              <w:rPr>
                <w:sz w:val="20"/>
              </w:rPr>
            </w:pPr>
            <w:r w:rsidRPr="00AA52EB">
              <w:rPr>
                <w:sz w:val="20"/>
              </w:rPr>
              <w:t>Ministry of Economy and Planning</w:t>
            </w:r>
          </w:p>
        </w:tc>
      </w:tr>
      <w:tr w:rsidR="00D47C0C" w:rsidRPr="00AA52EB" w:rsidTr="00AA52EB">
        <w:trPr>
          <w:jc w:val="center"/>
        </w:trPr>
        <w:tc>
          <w:tcPr>
            <w:tcW w:w="0" w:type="auto"/>
          </w:tcPr>
          <w:p w:rsidR="00D47C0C" w:rsidRPr="00AA52EB" w:rsidRDefault="00D47C0C" w:rsidP="003B614C">
            <w:pPr>
              <w:rPr>
                <w:sz w:val="20"/>
              </w:rPr>
            </w:pPr>
            <w:r w:rsidRPr="00AA52EB">
              <w:rPr>
                <w:sz w:val="20"/>
              </w:rPr>
              <w:t>NDP</w:t>
            </w:r>
          </w:p>
        </w:tc>
        <w:tc>
          <w:tcPr>
            <w:tcW w:w="0" w:type="auto"/>
          </w:tcPr>
          <w:p w:rsidR="00D47C0C" w:rsidRPr="00AA52EB" w:rsidRDefault="00D47C0C" w:rsidP="003B614C">
            <w:pPr>
              <w:rPr>
                <w:sz w:val="20"/>
              </w:rPr>
            </w:pPr>
            <w:r w:rsidRPr="00AA52EB">
              <w:rPr>
                <w:sz w:val="20"/>
              </w:rPr>
              <w:t>National Development Plan</w:t>
            </w:r>
          </w:p>
        </w:tc>
      </w:tr>
      <w:tr w:rsidR="0044138C" w:rsidRPr="00AA52EB" w:rsidTr="00AA52EB">
        <w:trPr>
          <w:jc w:val="center"/>
        </w:trPr>
        <w:tc>
          <w:tcPr>
            <w:tcW w:w="0" w:type="auto"/>
          </w:tcPr>
          <w:p w:rsidR="0044138C" w:rsidRPr="00AA52EB" w:rsidRDefault="0044138C" w:rsidP="003B614C">
            <w:pPr>
              <w:rPr>
                <w:sz w:val="20"/>
              </w:rPr>
            </w:pPr>
            <w:r>
              <w:rPr>
                <w:sz w:val="20"/>
              </w:rPr>
              <w:t>NIM</w:t>
            </w:r>
          </w:p>
        </w:tc>
        <w:tc>
          <w:tcPr>
            <w:tcW w:w="0" w:type="auto"/>
          </w:tcPr>
          <w:p w:rsidR="0044138C" w:rsidRPr="00AA52EB" w:rsidRDefault="0044138C" w:rsidP="003B614C">
            <w:pPr>
              <w:rPr>
                <w:sz w:val="20"/>
              </w:rPr>
            </w:pPr>
            <w:r>
              <w:rPr>
                <w:sz w:val="20"/>
              </w:rPr>
              <w:t>national implementation model</w:t>
            </w:r>
          </w:p>
        </w:tc>
      </w:tr>
      <w:tr w:rsidR="00D47C0C" w:rsidRPr="00AA52EB" w:rsidTr="00AA52EB">
        <w:trPr>
          <w:jc w:val="center"/>
        </w:trPr>
        <w:tc>
          <w:tcPr>
            <w:tcW w:w="0" w:type="auto"/>
          </w:tcPr>
          <w:p w:rsidR="00D47C0C" w:rsidRPr="00AA52EB" w:rsidRDefault="00D47C0C" w:rsidP="003B614C">
            <w:pPr>
              <w:rPr>
                <w:sz w:val="20"/>
              </w:rPr>
            </w:pPr>
            <w:r w:rsidRPr="00AA52EB">
              <w:rPr>
                <w:sz w:val="20"/>
              </w:rPr>
              <w:t>ODA</w:t>
            </w:r>
          </w:p>
        </w:tc>
        <w:tc>
          <w:tcPr>
            <w:tcW w:w="0" w:type="auto"/>
          </w:tcPr>
          <w:p w:rsidR="00D47C0C" w:rsidRPr="00AA52EB" w:rsidRDefault="00D47C0C" w:rsidP="003B614C">
            <w:pPr>
              <w:rPr>
                <w:sz w:val="20"/>
              </w:rPr>
            </w:pPr>
            <w:r w:rsidRPr="00AA52EB">
              <w:rPr>
                <w:sz w:val="20"/>
              </w:rPr>
              <w:t>official development assistance</w:t>
            </w:r>
          </w:p>
        </w:tc>
      </w:tr>
      <w:tr w:rsidR="000279A0" w:rsidRPr="00AA52EB" w:rsidTr="00AA52EB">
        <w:trPr>
          <w:jc w:val="center"/>
        </w:trPr>
        <w:tc>
          <w:tcPr>
            <w:tcW w:w="0" w:type="auto"/>
          </w:tcPr>
          <w:p w:rsidR="000279A0" w:rsidRDefault="000279A0" w:rsidP="003B614C">
            <w:pPr>
              <w:rPr>
                <w:sz w:val="20"/>
              </w:rPr>
            </w:pPr>
            <w:r>
              <w:rPr>
                <w:sz w:val="20"/>
              </w:rPr>
              <w:t>PPP</w:t>
            </w:r>
          </w:p>
        </w:tc>
        <w:tc>
          <w:tcPr>
            <w:tcW w:w="0" w:type="auto"/>
          </w:tcPr>
          <w:p w:rsidR="000279A0" w:rsidRDefault="000279A0" w:rsidP="003B614C">
            <w:pPr>
              <w:rPr>
                <w:sz w:val="20"/>
              </w:rPr>
            </w:pPr>
            <w:r>
              <w:rPr>
                <w:sz w:val="20"/>
              </w:rPr>
              <w:t>public-private partnership</w:t>
            </w:r>
          </w:p>
        </w:tc>
      </w:tr>
      <w:tr w:rsidR="00885F9C" w:rsidRPr="00AA52EB" w:rsidTr="00AA52EB">
        <w:trPr>
          <w:jc w:val="center"/>
        </w:trPr>
        <w:tc>
          <w:tcPr>
            <w:tcW w:w="0" w:type="auto"/>
          </w:tcPr>
          <w:p w:rsidR="00885F9C" w:rsidRPr="00AA52EB" w:rsidRDefault="00885F9C" w:rsidP="003B614C">
            <w:pPr>
              <w:rPr>
                <w:sz w:val="20"/>
              </w:rPr>
            </w:pPr>
            <w:r>
              <w:rPr>
                <w:sz w:val="20"/>
              </w:rPr>
              <w:t>RRF</w:t>
            </w:r>
          </w:p>
        </w:tc>
        <w:tc>
          <w:tcPr>
            <w:tcW w:w="0" w:type="auto"/>
          </w:tcPr>
          <w:p w:rsidR="00885F9C" w:rsidRPr="00AA52EB" w:rsidRDefault="00885F9C" w:rsidP="003B614C">
            <w:pPr>
              <w:rPr>
                <w:sz w:val="20"/>
              </w:rPr>
            </w:pPr>
            <w:r>
              <w:rPr>
                <w:sz w:val="20"/>
              </w:rPr>
              <w:t>results and resources framework</w:t>
            </w:r>
          </w:p>
        </w:tc>
      </w:tr>
      <w:tr w:rsidR="00D47C0C" w:rsidRPr="00AA52EB" w:rsidTr="00AA52EB">
        <w:trPr>
          <w:jc w:val="center"/>
        </w:trPr>
        <w:tc>
          <w:tcPr>
            <w:tcW w:w="0" w:type="auto"/>
          </w:tcPr>
          <w:p w:rsidR="00D47C0C" w:rsidRPr="00AA52EB" w:rsidRDefault="00D47C0C" w:rsidP="003B614C">
            <w:pPr>
              <w:rPr>
                <w:sz w:val="20"/>
              </w:rPr>
            </w:pPr>
            <w:r w:rsidRPr="00AA52EB">
              <w:rPr>
                <w:sz w:val="20"/>
              </w:rPr>
              <w:t xml:space="preserve">SA </w:t>
            </w:r>
          </w:p>
        </w:tc>
        <w:tc>
          <w:tcPr>
            <w:tcW w:w="0" w:type="auto"/>
          </w:tcPr>
          <w:p w:rsidR="00D47C0C" w:rsidRPr="00AA52EB" w:rsidRDefault="00D47C0C" w:rsidP="003B614C">
            <w:pPr>
              <w:rPr>
                <w:sz w:val="20"/>
              </w:rPr>
            </w:pPr>
            <w:r w:rsidRPr="00AA52EB">
              <w:rPr>
                <w:sz w:val="20"/>
              </w:rPr>
              <w:t>Saudi Arabia</w:t>
            </w:r>
          </w:p>
        </w:tc>
      </w:tr>
      <w:tr w:rsidR="005E6D9C" w:rsidRPr="00AA52EB" w:rsidTr="00AA52EB">
        <w:trPr>
          <w:jc w:val="center"/>
        </w:trPr>
        <w:tc>
          <w:tcPr>
            <w:tcW w:w="0" w:type="auto"/>
          </w:tcPr>
          <w:p w:rsidR="005E6D9C" w:rsidRPr="00AA52EB" w:rsidRDefault="005E6D9C" w:rsidP="003B614C">
            <w:pPr>
              <w:rPr>
                <w:sz w:val="20"/>
              </w:rPr>
            </w:pPr>
            <w:r w:rsidRPr="00AA52EB">
              <w:rPr>
                <w:sz w:val="20"/>
              </w:rPr>
              <w:t xml:space="preserve">SME </w:t>
            </w:r>
          </w:p>
        </w:tc>
        <w:tc>
          <w:tcPr>
            <w:tcW w:w="0" w:type="auto"/>
          </w:tcPr>
          <w:p w:rsidR="005E6D9C" w:rsidRPr="00AA52EB" w:rsidRDefault="005E6D9C" w:rsidP="003B614C">
            <w:pPr>
              <w:rPr>
                <w:sz w:val="20"/>
              </w:rPr>
            </w:pPr>
            <w:r w:rsidRPr="00AA52EB">
              <w:rPr>
                <w:sz w:val="20"/>
              </w:rPr>
              <w:t>small and medium enterprise</w:t>
            </w:r>
          </w:p>
        </w:tc>
      </w:tr>
      <w:tr w:rsidR="00AA52EB" w:rsidRPr="00AA52EB" w:rsidTr="00AA52EB">
        <w:trPr>
          <w:jc w:val="center"/>
        </w:trPr>
        <w:tc>
          <w:tcPr>
            <w:tcW w:w="0" w:type="auto"/>
          </w:tcPr>
          <w:p w:rsidR="00AA52EB" w:rsidRPr="00AA52EB" w:rsidRDefault="00AA52EB" w:rsidP="003B614C">
            <w:pPr>
              <w:rPr>
                <w:sz w:val="20"/>
              </w:rPr>
            </w:pPr>
            <w:r w:rsidRPr="00AA52EB">
              <w:rPr>
                <w:sz w:val="20"/>
              </w:rPr>
              <w:t>SR</w:t>
            </w:r>
          </w:p>
        </w:tc>
        <w:tc>
          <w:tcPr>
            <w:tcW w:w="0" w:type="auto"/>
          </w:tcPr>
          <w:p w:rsidR="00AA52EB" w:rsidRPr="00AA52EB" w:rsidRDefault="00AA52EB" w:rsidP="003B614C">
            <w:pPr>
              <w:rPr>
                <w:sz w:val="20"/>
              </w:rPr>
            </w:pPr>
            <w:r w:rsidRPr="00AA52EB">
              <w:rPr>
                <w:sz w:val="20"/>
              </w:rPr>
              <w:t>Saudi riyal</w:t>
            </w:r>
          </w:p>
        </w:tc>
      </w:tr>
      <w:tr w:rsidR="00D47C0C" w:rsidRPr="00AA52EB" w:rsidTr="00AA52EB">
        <w:trPr>
          <w:jc w:val="center"/>
        </w:trPr>
        <w:tc>
          <w:tcPr>
            <w:tcW w:w="0" w:type="auto"/>
          </w:tcPr>
          <w:p w:rsidR="00D47C0C" w:rsidRPr="00AA52EB" w:rsidRDefault="00D47C0C" w:rsidP="003B614C">
            <w:pPr>
              <w:rPr>
                <w:sz w:val="20"/>
              </w:rPr>
            </w:pPr>
            <w:r w:rsidRPr="00AA52EB">
              <w:rPr>
                <w:sz w:val="20"/>
              </w:rPr>
              <w:t>UN</w:t>
            </w:r>
          </w:p>
        </w:tc>
        <w:tc>
          <w:tcPr>
            <w:tcW w:w="0" w:type="auto"/>
          </w:tcPr>
          <w:p w:rsidR="00D47C0C" w:rsidRPr="00AA52EB" w:rsidRDefault="00D47C0C" w:rsidP="003B614C">
            <w:pPr>
              <w:rPr>
                <w:sz w:val="20"/>
              </w:rPr>
            </w:pPr>
            <w:r w:rsidRPr="00AA52EB">
              <w:rPr>
                <w:sz w:val="20"/>
              </w:rPr>
              <w:t>United Nations</w:t>
            </w:r>
          </w:p>
        </w:tc>
      </w:tr>
      <w:tr w:rsidR="00D47C0C" w:rsidRPr="00AA52EB" w:rsidTr="00AA52EB">
        <w:trPr>
          <w:jc w:val="center"/>
        </w:trPr>
        <w:tc>
          <w:tcPr>
            <w:tcW w:w="0" w:type="auto"/>
          </w:tcPr>
          <w:p w:rsidR="00D47C0C" w:rsidRPr="00AA52EB" w:rsidRDefault="00D47C0C" w:rsidP="003B614C">
            <w:pPr>
              <w:rPr>
                <w:sz w:val="20"/>
              </w:rPr>
            </w:pPr>
            <w:r w:rsidRPr="00AA52EB">
              <w:rPr>
                <w:sz w:val="20"/>
              </w:rPr>
              <w:t xml:space="preserve">UNDP </w:t>
            </w:r>
          </w:p>
        </w:tc>
        <w:tc>
          <w:tcPr>
            <w:tcW w:w="0" w:type="auto"/>
          </w:tcPr>
          <w:p w:rsidR="00D47C0C" w:rsidRPr="00AA52EB" w:rsidRDefault="00D47C0C" w:rsidP="003B614C">
            <w:pPr>
              <w:rPr>
                <w:sz w:val="20"/>
              </w:rPr>
            </w:pPr>
            <w:r w:rsidRPr="00AA52EB">
              <w:rPr>
                <w:sz w:val="20"/>
              </w:rPr>
              <w:t xml:space="preserve">United Nations Development Programme </w:t>
            </w:r>
          </w:p>
        </w:tc>
      </w:tr>
      <w:tr w:rsidR="00D47C0C" w:rsidRPr="00AA52EB" w:rsidTr="00AA52EB">
        <w:trPr>
          <w:jc w:val="center"/>
        </w:trPr>
        <w:tc>
          <w:tcPr>
            <w:tcW w:w="0" w:type="auto"/>
          </w:tcPr>
          <w:p w:rsidR="00D47C0C" w:rsidRPr="00AA52EB" w:rsidRDefault="00D47C0C" w:rsidP="003B614C">
            <w:pPr>
              <w:rPr>
                <w:sz w:val="20"/>
              </w:rPr>
            </w:pPr>
            <w:r w:rsidRPr="00AA52EB">
              <w:rPr>
                <w:sz w:val="20"/>
              </w:rPr>
              <w:t>UNWTO</w:t>
            </w:r>
          </w:p>
        </w:tc>
        <w:tc>
          <w:tcPr>
            <w:tcW w:w="0" w:type="auto"/>
          </w:tcPr>
          <w:p w:rsidR="00D47C0C" w:rsidRPr="00AA52EB" w:rsidRDefault="00D47C0C" w:rsidP="003B614C">
            <w:pPr>
              <w:rPr>
                <w:sz w:val="20"/>
              </w:rPr>
            </w:pPr>
            <w:r w:rsidRPr="00AA52EB">
              <w:rPr>
                <w:sz w:val="20"/>
              </w:rPr>
              <w:t>UN World Tourism Organisation</w:t>
            </w:r>
          </w:p>
        </w:tc>
      </w:tr>
      <w:tr w:rsidR="003B630C" w:rsidRPr="00AA52EB" w:rsidTr="00AA52EB">
        <w:trPr>
          <w:jc w:val="center"/>
        </w:trPr>
        <w:tc>
          <w:tcPr>
            <w:tcW w:w="0" w:type="auto"/>
          </w:tcPr>
          <w:p w:rsidR="003B630C" w:rsidRPr="00AA52EB" w:rsidRDefault="003B630C" w:rsidP="003B614C">
            <w:pPr>
              <w:rPr>
                <w:sz w:val="20"/>
              </w:rPr>
            </w:pPr>
            <w:r w:rsidRPr="00AA52EB">
              <w:rPr>
                <w:sz w:val="20"/>
              </w:rPr>
              <w:t>USD</w:t>
            </w:r>
          </w:p>
        </w:tc>
        <w:tc>
          <w:tcPr>
            <w:tcW w:w="0" w:type="auto"/>
          </w:tcPr>
          <w:p w:rsidR="003B630C" w:rsidRPr="00AA52EB" w:rsidRDefault="003B630C" w:rsidP="003B614C">
            <w:pPr>
              <w:rPr>
                <w:sz w:val="20"/>
              </w:rPr>
            </w:pPr>
            <w:r w:rsidRPr="00AA52EB">
              <w:rPr>
                <w:sz w:val="20"/>
              </w:rPr>
              <w:t>United States dollars</w:t>
            </w:r>
          </w:p>
        </w:tc>
      </w:tr>
      <w:tr w:rsidR="00AA52EB" w:rsidRPr="00AA52EB" w:rsidTr="00AA52EB">
        <w:trPr>
          <w:jc w:val="center"/>
        </w:trPr>
        <w:tc>
          <w:tcPr>
            <w:tcW w:w="0" w:type="auto"/>
          </w:tcPr>
          <w:p w:rsidR="00AA52EB" w:rsidRPr="00AA52EB" w:rsidRDefault="00AA52EB" w:rsidP="003B614C">
            <w:pPr>
              <w:rPr>
                <w:sz w:val="20"/>
              </w:rPr>
            </w:pPr>
            <w:r w:rsidRPr="00AA52EB">
              <w:rPr>
                <w:sz w:val="20"/>
              </w:rPr>
              <w:t>WB</w:t>
            </w:r>
          </w:p>
        </w:tc>
        <w:tc>
          <w:tcPr>
            <w:tcW w:w="0" w:type="auto"/>
          </w:tcPr>
          <w:p w:rsidR="00AA52EB" w:rsidRPr="00AA52EB" w:rsidRDefault="00AA52EB" w:rsidP="003B614C">
            <w:pPr>
              <w:rPr>
                <w:sz w:val="20"/>
              </w:rPr>
            </w:pPr>
            <w:r w:rsidRPr="00AA52EB">
              <w:rPr>
                <w:sz w:val="20"/>
              </w:rPr>
              <w:t>World Bank</w:t>
            </w:r>
          </w:p>
        </w:tc>
      </w:tr>
      <w:tr w:rsidR="00AA52EB" w:rsidRPr="00AA52EB" w:rsidTr="00AA52EB">
        <w:trPr>
          <w:jc w:val="center"/>
        </w:trPr>
        <w:tc>
          <w:tcPr>
            <w:tcW w:w="0" w:type="auto"/>
          </w:tcPr>
          <w:p w:rsidR="00AA52EB" w:rsidRPr="00AA52EB" w:rsidRDefault="00AA52EB" w:rsidP="003B614C">
            <w:pPr>
              <w:rPr>
                <w:sz w:val="20"/>
              </w:rPr>
            </w:pPr>
            <w:r w:rsidRPr="00AA52EB">
              <w:rPr>
                <w:sz w:val="20"/>
              </w:rPr>
              <w:t>WDI</w:t>
            </w:r>
          </w:p>
        </w:tc>
        <w:tc>
          <w:tcPr>
            <w:tcW w:w="0" w:type="auto"/>
          </w:tcPr>
          <w:p w:rsidR="00AA52EB" w:rsidRPr="00AA52EB" w:rsidRDefault="00AA52EB" w:rsidP="003B614C">
            <w:pPr>
              <w:rPr>
                <w:sz w:val="20"/>
              </w:rPr>
            </w:pPr>
            <w:r w:rsidRPr="00AA52EB">
              <w:rPr>
                <w:sz w:val="20"/>
              </w:rPr>
              <w:t>World Development Indicators</w:t>
            </w:r>
          </w:p>
        </w:tc>
      </w:tr>
      <w:tr w:rsidR="00D47C0C" w:rsidRPr="00AA52EB" w:rsidTr="00AA52EB">
        <w:trPr>
          <w:jc w:val="center"/>
        </w:trPr>
        <w:tc>
          <w:tcPr>
            <w:tcW w:w="0" w:type="auto"/>
          </w:tcPr>
          <w:p w:rsidR="00D47C0C" w:rsidRPr="00AA52EB" w:rsidRDefault="00D47C0C" w:rsidP="003B614C">
            <w:pPr>
              <w:rPr>
                <w:sz w:val="20"/>
              </w:rPr>
            </w:pPr>
            <w:r w:rsidRPr="00AA52EB">
              <w:rPr>
                <w:sz w:val="20"/>
              </w:rPr>
              <w:t xml:space="preserve">WTO </w:t>
            </w:r>
          </w:p>
        </w:tc>
        <w:tc>
          <w:tcPr>
            <w:tcW w:w="0" w:type="auto"/>
          </w:tcPr>
          <w:p w:rsidR="00D47C0C" w:rsidRPr="00AA52EB" w:rsidRDefault="00D47C0C" w:rsidP="003B614C">
            <w:pPr>
              <w:rPr>
                <w:sz w:val="20"/>
              </w:rPr>
            </w:pPr>
            <w:r w:rsidRPr="00AA52EB">
              <w:rPr>
                <w:sz w:val="20"/>
              </w:rPr>
              <w:t>World Trade Organisation</w:t>
            </w:r>
          </w:p>
        </w:tc>
      </w:tr>
      <w:tr w:rsidR="00814F82" w:rsidRPr="00AA52EB" w:rsidTr="00FB6775">
        <w:trPr>
          <w:jc w:val="center"/>
        </w:trPr>
        <w:tc>
          <w:tcPr>
            <w:tcW w:w="0" w:type="auto"/>
          </w:tcPr>
          <w:p w:rsidR="00814F82" w:rsidRPr="00AA52EB" w:rsidRDefault="00814F82" w:rsidP="00FB6775">
            <w:pPr>
              <w:rPr>
                <w:sz w:val="20"/>
              </w:rPr>
            </w:pPr>
            <w:r>
              <w:rPr>
                <w:sz w:val="20"/>
              </w:rPr>
              <w:t>GCF</w:t>
            </w:r>
          </w:p>
        </w:tc>
        <w:tc>
          <w:tcPr>
            <w:tcW w:w="0" w:type="auto"/>
          </w:tcPr>
          <w:p w:rsidR="00814F82" w:rsidRPr="00AA52EB" w:rsidRDefault="00814F82" w:rsidP="00FB6775">
            <w:pPr>
              <w:rPr>
                <w:sz w:val="20"/>
              </w:rPr>
            </w:pPr>
            <w:r>
              <w:rPr>
                <w:sz w:val="20"/>
              </w:rPr>
              <w:t>Global Competitiveness Forum</w:t>
            </w:r>
          </w:p>
        </w:tc>
      </w:tr>
      <w:tr w:rsidR="00814F82" w:rsidRPr="00AA52EB" w:rsidTr="00FB6775">
        <w:trPr>
          <w:jc w:val="center"/>
        </w:trPr>
        <w:tc>
          <w:tcPr>
            <w:tcW w:w="0" w:type="auto"/>
          </w:tcPr>
          <w:p w:rsidR="00814F82" w:rsidRPr="00AA52EB" w:rsidRDefault="00814F82" w:rsidP="00FB6775">
            <w:pPr>
              <w:rPr>
                <w:sz w:val="20"/>
              </w:rPr>
            </w:pPr>
            <w:r>
              <w:rPr>
                <w:sz w:val="20"/>
              </w:rPr>
              <w:t>NCC</w:t>
            </w:r>
          </w:p>
        </w:tc>
        <w:tc>
          <w:tcPr>
            <w:tcW w:w="0" w:type="auto"/>
          </w:tcPr>
          <w:p w:rsidR="00814F82" w:rsidRPr="00AA52EB" w:rsidRDefault="00814F82" w:rsidP="00814F82">
            <w:pPr>
              <w:rPr>
                <w:sz w:val="20"/>
              </w:rPr>
            </w:pPr>
            <w:r>
              <w:rPr>
                <w:sz w:val="20"/>
              </w:rPr>
              <w:t>National Competitiveness Council</w:t>
            </w:r>
          </w:p>
        </w:tc>
      </w:tr>
      <w:tr w:rsidR="00814F82" w:rsidRPr="00AA52EB" w:rsidTr="00FB6775">
        <w:trPr>
          <w:jc w:val="center"/>
        </w:trPr>
        <w:tc>
          <w:tcPr>
            <w:tcW w:w="0" w:type="auto"/>
          </w:tcPr>
          <w:p w:rsidR="00814F82" w:rsidRPr="00AA52EB" w:rsidRDefault="00814F82" w:rsidP="00FB6775">
            <w:pPr>
              <w:rPr>
                <w:sz w:val="20"/>
              </w:rPr>
            </w:pPr>
            <w:r>
              <w:rPr>
                <w:sz w:val="20"/>
              </w:rPr>
              <w:t xml:space="preserve">NCC </w:t>
            </w:r>
          </w:p>
        </w:tc>
        <w:tc>
          <w:tcPr>
            <w:tcW w:w="0" w:type="auto"/>
          </w:tcPr>
          <w:p w:rsidR="00814F82" w:rsidRPr="00AA52EB" w:rsidRDefault="00814F82" w:rsidP="00814F82">
            <w:pPr>
              <w:rPr>
                <w:sz w:val="20"/>
              </w:rPr>
            </w:pPr>
            <w:r>
              <w:rPr>
                <w:sz w:val="20"/>
              </w:rPr>
              <w:t>net contributing country</w:t>
            </w:r>
          </w:p>
        </w:tc>
      </w:tr>
      <w:tr w:rsidR="00814F82" w:rsidRPr="00AA52EB" w:rsidTr="00FB6775">
        <w:trPr>
          <w:jc w:val="center"/>
        </w:trPr>
        <w:tc>
          <w:tcPr>
            <w:tcW w:w="0" w:type="auto"/>
          </w:tcPr>
          <w:p w:rsidR="00814F82" w:rsidRPr="00AA52EB" w:rsidRDefault="00814F82" w:rsidP="00FB6775">
            <w:pPr>
              <w:rPr>
                <w:sz w:val="20"/>
              </w:rPr>
            </w:pPr>
          </w:p>
        </w:tc>
        <w:tc>
          <w:tcPr>
            <w:tcW w:w="0" w:type="auto"/>
          </w:tcPr>
          <w:p w:rsidR="00814F82" w:rsidRPr="00AA52EB" w:rsidRDefault="00814F82" w:rsidP="00FB6775">
            <w:pPr>
              <w:rPr>
                <w:sz w:val="20"/>
              </w:rPr>
            </w:pPr>
          </w:p>
        </w:tc>
      </w:tr>
      <w:tr w:rsidR="00D47C0C" w:rsidRPr="00AA52EB" w:rsidTr="00AA52EB">
        <w:trPr>
          <w:jc w:val="center"/>
        </w:trPr>
        <w:tc>
          <w:tcPr>
            <w:tcW w:w="0" w:type="auto"/>
          </w:tcPr>
          <w:p w:rsidR="00D47C0C" w:rsidRPr="00AA52EB" w:rsidRDefault="00D47C0C" w:rsidP="003B614C">
            <w:pPr>
              <w:rPr>
                <w:sz w:val="20"/>
              </w:rPr>
            </w:pPr>
          </w:p>
        </w:tc>
        <w:tc>
          <w:tcPr>
            <w:tcW w:w="0" w:type="auto"/>
          </w:tcPr>
          <w:p w:rsidR="00D47C0C" w:rsidRPr="00AA52EB" w:rsidRDefault="00D47C0C" w:rsidP="003B614C">
            <w:pPr>
              <w:rPr>
                <w:sz w:val="20"/>
              </w:rPr>
            </w:pPr>
          </w:p>
        </w:tc>
      </w:tr>
      <w:tr w:rsidR="00D47C0C" w:rsidRPr="00AA52EB" w:rsidTr="00AA52EB">
        <w:trPr>
          <w:jc w:val="center"/>
        </w:trPr>
        <w:tc>
          <w:tcPr>
            <w:tcW w:w="0" w:type="auto"/>
          </w:tcPr>
          <w:p w:rsidR="00D47C0C" w:rsidRPr="00AA52EB" w:rsidRDefault="00D47C0C" w:rsidP="003B614C">
            <w:pPr>
              <w:rPr>
                <w:sz w:val="20"/>
              </w:rPr>
            </w:pPr>
          </w:p>
        </w:tc>
        <w:tc>
          <w:tcPr>
            <w:tcW w:w="0" w:type="auto"/>
          </w:tcPr>
          <w:p w:rsidR="00D47C0C" w:rsidRPr="00AA52EB" w:rsidRDefault="00D47C0C" w:rsidP="003B614C">
            <w:pPr>
              <w:rPr>
                <w:sz w:val="20"/>
              </w:rPr>
            </w:pPr>
          </w:p>
        </w:tc>
      </w:tr>
    </w:tbl>
    <w:p w:rsidR="003B614C" w:rsidRDefault="003B614C" w:rsidP="003B614C"/>
    <w:p w:rsidR="005D5EFF" w:rsidRPr="007F7192" w:rsidRDefault="005D5EFF" w:rsidP="00770977">
      <w:pPr>
        <w:spacing w:before="0" w:after="0"/>
        <w:jc w:val="center"/>
        <w:rPr>
          <w:rFonts w:ascii="Arial" w:hAnsi="Arial" w:cs="Arial"/>
          <w:sz w:val="18"/>
          <w:szCs w:val="18"/>
        </w:rPr>
      </w:pPr>
      <w:r w:rsidRPr="007F7192">
        <w:rPr>
          <w:rFonts w:ascii="Arial" w:hAnsi="Arial" w:cs="Arial"/>
          <w:sz w:val="18"/>
          <w:szCs w:val="18"/>
        </w:rPr>
        <w:t>Note on currency equivalents:</w:t>
      </w:r>
    </w:p>
    <w:p w:rsidR="005D5EFF" w:rsidRPr="007F7192" w:rsidRDefault="005D5EFF" w:rsidP="00770977">
      <w:pPr>
        <w:spacing w:before="0"/>
        <w:jc w:val="center"/>
        <w:rPr>
          <w:rFonts w:ascii="Arial" w:hAnsi="Arial" w:cs="Arial"/>
          <w:sz w:val="14"/>
          <w:szCs w:val="18"/>
        </w:rPr>
      </w:pPr>
      <w:r w:rsidRPr="007F7192">
        <w:rPr>
          <w:rFonts w:ascii="Arial" w:hAnsi="Arial" w:cs="Arial"/>
          <w:sz w:val="14"/>
          <w:szCs w:val="18"/>
        </w:rPr>
        <w:t xml:space="preserve">(As of </w:t>
      </w:r>
      <w:r>
        <w:rPr>
          <w:rFonts w:ascii="Arial" w:hAnsi="Arial" w:cs="Arial"/>
          <w:sz w:val="14"/>
          <w:szCs w:val="18"/>
        </w:rPr>
        <w:t>April</w:t>
      </w:r>
      <w:r w:rsidRPr="007F7192">
        <w:rPr>
          <w:rFonts w:ascii="Arial" w:hAnsi="Arial" w:cs="Arial"/>
          <w:sz w:val="14"/>
          <w:szCs w:val="18"/>
        </w:rPr>
        <w:t xml:space="preserve"> 2012)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7"/>
        <w:gridCol w:w="322"/>
        <w:gridCol w:w="1467"/>
      </w:tblGrid>
      <w:tr w:rsidR="005D5EFF" w:rsidRPr="007F7192" w:rsidTr="0037155A">
        <w:trPr>
          <w:jc w:val="center"/>
        </w:trPr>
        <w:tc>
          <w:tcPr>
            <w:tcW w:w="0" w:type="auto"/>
          </w:tcPr>
          <w:p w:rsidR="005D5EFF" w:rsidRPr="007F7192" w:rsidRDefault="005D5EFF" w:rsidP="00770977">
            <w:pPr>
              <w:jc w:val="center"/>
              <w:rPr>
                <w:rFonts w:ascii="Arial" w:hAnsi="Arial" w:cs="Arial"/>
                <w:sz w:val="18"/>
                <w:szCs w:val="18"/>
              </w:rPr>
            </w:pPr>
            <w:r w:rsidRPr="007F7192">
              <w:rPr>
                <w:rFonts w:ascii="Arial" w:hAnsi="Arial" w:cs="Arial"/>
                <w:sz w:val="18"/>
                <w:szCs w:val="18"/>
              </w:rPr>
              <w:t xml:space="preserve">1 </w:t>
            </w:r>
            <w:r w:rsidR="0037155A">
              <w:rPr>
                <w:rFonts w:ascii="Arial" w:hAnsi="Arial" w:cs="Arial"/>
                <w:sz w:val="18"/>
                <w:szCs w:val="18"/>
              </w:rPr>
              <w:t>Saudi riyal</w:t>
            </w:r>
            <w:r w:rsidRPr="007F7192">
              <w:rPr>
                <w:rFonts w:ascii="Arial" w:hAnsi="Arial" w:cs="Arial"/>
                <w:sz w:val="18"/>
                <w:szCs w:val="18"/>
              </w:rPr>
              <w:t xml:space="preserve"> (</w:t>
            </w:r>
            <w:r w:rsidR="0037155A">
              <w:rPr>
                <w:rFonts w:ascii="Arial" w:hAnsi="Arial" w:cs="Arial"/>
                <w:sz w:val="18"/>
                <w:szCs w:val="18"/>
              </w:rPr>
              <w:t>SR</w:t>
            </w:r>
            <w:r w:rsidRPr="007F7192">
              <w:rPr>
                <w:rFonts w:ascii="Arial" w:hAnsi="Arial" w:cs="Arial"/>
                <w:sz w:val="18"/>
                <w:szCs w:val="18"/>
              </w:rPr>
              <w:t>)</w:t>
            </w:r>
          </w:p>
        </w:tc>
        <w:tc>
          <w:tcPr>
            <w:tcW w:w="0" w:type="auto"/>
          </w:tcPr>
          <w:p w:rsidR="005D5EFF" w:rsidRPr="007F7192" w:rsidRDefault="005D5EFF" w:rsidP="00770977">
            <w:pPr>
              <w:jc w:val="center"/>
              <w:rPr>
                <w:rFonts w:ascii="Arial" w:hAnsi="Arial" w:cs="Arial"/>
                <w:sz w:val="18"/>
                <w:szCs w:val="18"/>
              </w:rPr>
            </w:pPr>
            <w:r w:rsidRPr="007F7192">
              <w:rPr>
                <w:rFonts w:ascii="Arial" w:hAnsi="Arial" w:cs="Arial"/>
                <w:sz w:val="18"/>
                <w:szCs w:val="18"/>
              </w:rPr>
              <w:t>=</w:t>
            </w:r>
          </w:p>
        </w:tc>
        <w:tc>
          <w:tcPr>
            <w:tcW w:w="0" w:type="auto"/>
          </w:tcPr>
          <w:p w:rsidR="005D5EFF" w:rsidRPr="007F7192" w:rsidRDefault="00FC4034" w:rsidP="00770977">
            <w:pPr>
              <w:jc w:val="center"/>
              <w:rPr>
                <w:rFonts w:ascii="Arial" w:hAnsi="Arial" w:cs="Arial"/>
                <w:sz w:val="18"/>
                <w:szCs w:val="18"/>
              </w:rPr>
            </w:pPr>
            <w:r>
              <w:rPr>
                <w:rFonts w:ascii="Arial" w:hAnsi="Arial" w:cs="Arial"/>
                <w:sz w:val="18"/>
                <w:szCs w:val="18"/>
              </w:rPr>
              <w:t>0.204</w:t>
            </w:r>
            <w:r w:rsidR="005D5EFF" w:rsidRPr="007F7192">
              <w:rPr>
                <w:rFonts w:ascii="Arial" w:hAnsi="Arial" w:cs="Arial"/>
                <w:sz w:val="18"/>
                <w:szCs w:val="18"/>
              </w:rPr>
              <w:t xml:space="preserve"> EUR</w:t>
            </w:r>
          </w:p>
        </w:tc>
      </w:tr>
      <w:tr w:rsidR="005D5EFF" w:rsidRPr="007F7192" w:rsidTr="0037155A">
        <w:trPr>
          <w:jc w:val="center"/>
        </w:trPr>
        <w:tc>
          <w:tcPr>
            <w:tcW w:w="0" w:type="auto"/>
          </w:tcPr>
          <w:p w:rsidR="005D5EFF" w:rsidRPr="007F7192" w:rsidRDefault="005D5EFF" w:rsidP="00770977">
            <w:pPr>
              <w:jc w:val="center"/>
              <w:rPr>
                <w:rFonts w:ascii="Arial" w:hAnsi="Arial" w:cs="Arial"/>
                <w:sz w:val="18"/>
                <w:szCs w:val="18"/>
              </w:rPr>
            </w:pPr>
            <w:r w:rsidRPr="007F7192">
              <w:rPr>
                <w:rFonts w:ascii="Arial" w:hAnsi="Arial" w:cs="Arial"/>
                <w:sz w:val="18"/>
                <w:szCs w:val="18"/>
              </w:rPr>
              <w:t xml:space="preserve">1 </w:t>
            </w:r>
            <w:r w:rsidR="0037155A">
              <w:rPr>
                <w:rFonts w:ascii="Arial" w:hAnsi="Arial" w:cs="Arial"/>
                <w:sz w:val="18"/>
                <w:szCs w:val="18"/>
              </w:rPr>
              <w:t>riyal</w:t>
            </w:r>
            <w:r w:rsidR="0037155A" w:rsidRPr="007F7192">
              <w:rPr>
                <w:rFonts w:ascii="Arial" w:hAnsi="Arial" w:cs="Arial"/>
                <w:sz w:val="18"/>
                <w:szCs w:val="18"/>
              </w:rPr>
              <w:t xml:space="preserve"> </w:t>
            </w:r>
            <w:r w:rsidRPr="007F7192">
              <w:rPr>
                <w:rFonts w:ascii="Arial" w:hAnsi="Arial" w:cs="Arial"/>
                <w:sz w:val="18"/>
                <w:szCs w:val="18"/>
              </w:rPr>
              <w:t>(</w:t>
            </w:r>
            <w:r w:rsidR="0037155A">
              <w:rPr>
                <w:rFonts w:ascii="Arial" w:hAnsi="Arial" w:cs="Arial"/>
                <w:sz w:val="18"/>
                <w:szCs w:val="18"/>
              </w:rPr>
              <w:t>SR</w:t>
            </w:r>
            <w:r w:rsidRPr="007F7192">
              <w:rPr>
                <w:rFonts w:ascii="Arial" w:hAnsi="Arial" w:cs="Arial"/>
                <w:sz w:val="18"/>
                <w:szCs w:val="18"/>
              </w:rPr>
              <w:t>)</w:t>
            </w:r>
          </w:p>
        </w:tc>
        <w:tc>
          <w:tcPr>
            <w:tcW w:w="0" w:type="auto"/>
          </w:tcPr>
          <w:p w:rsidR="005D5EFF" w:rsidRPr="007F7192" w:rsidRDefault="005D5EFF" w:rsidP="00770977">
            <w:pPr>
              <w:jc w:val="center"/>
              <w:rPr>
                <w:rFonts w:ascii="Arial" w:hAnsi="Arial" w:cs="Arial"/>
                <w:sz w:val="18"/>
                <w:szCs w:val="18"/>
              </w:rPr>
            </w:pPr>
            <w:r w:rsidRPr="007F7192">
              <w:rPr>
                <w:rFonts w:ascii="Arial" w:hAnsi="Arial" w:cs="Arial"/>
                <w:sz w:val="18"/>
                <w:szCs w:val="18"/>
              </w:rPr>
              <w:t>=</w:t>
            </w:r>
          </w:p>
        </w:tc>
        <w:tc>
          <w:tcPr>
            <w:tcW w:w="0" w:type="auto"/>
          </w:tcPr>
          <w:p w:rsidR="005D5EFF" w:rsidRPr="007F7192" w:rsidRDefault="00FC4034" w:rsidP="00770977">
            <w:pPr>
              <w:jc w:val="center"/>
              <w:rPr>
                <w:rFonts w:ascii="Arial" w:hAnsi="Arial" w:cs="Arial"/>
                <w:sz w:val="18"/>
                <w:szCs w:val="18"/>
              </w:rPr>
            </w:pPr>
            <w:r>
              <w:rPr>
                <w:rFonts w:ascii="Arial" w:hAnsi="Arial" w:cs="Arial"/>
                <w:sz w:val="18"/>
                <w:szCs w:val="18"/>
              </w:rPr>
              <w:t>0.267</w:t>
            </w:r>
            <w:r w:rsidR="005D5EFF" w:rsidRPr="007F7192">
              <w:rPr>
                <w:rFonts w:ascii="Arial" w:hAnsi="Arial" w:cs="Arial"/>
                <w:sz w:val="18"/>
                <w:szCs w:val="18"/>
              </w:rPr>
              <w:t xml:space="preserve"> USD</w:t>
            </w:r>
          </w:p>
        </w:tc>
      </w:tr>
      <w:tr w:rsidR="005D5EFF" w:rsidRPr="007F7192" w:rsidTr="0037155A">
        <w:trPr>
          <w:jc w:val="center"/>
        </w:trPr>
        <w:tc>
          <w:tcPr>
            <w:tcW w:w="0" w:type="auto"/>
          </w:tcPr>
          <w:p w:rsidR="005D5EFF" w:rsidRPr="007F7192" w:rsidRDefault="005D5EFF" w:rsidP="00770977">
            <w:pPr>
              <w:jc w:val="center"/>
              <w:rPr>
                <w:rFonts w:ascii="Arial" w:hAnsi="Arial" w:cs="Arial"/>
                <w:sz w:val="18"/>
                <w:szCs w:val="18"/>
              </w:rPr>
            </w:pPr>
            <w:r w:rsidRPr="007F7192">
              <w:rPr>
                <w:rFonts w:ascii="Arial" w:hAnsi="Arial" w:cs="Arial"/>
                <w:sz w:val="18"/>
                <w:szCs w:val="18"/>
              </w:rPr>
              <w:t>1 € (EUR)</w:t>
            </w:r>
          </w:p>
        </w:tc>
        <w:tc>
          <w:tcPr>
            <w:tcW w:w="0" w:type="auto"/>
          </w:tcPr>
          <w:p w:rsidR="005D5EFF" w:rsidRPr="007F7192" w:rsidRDefault="005D5EFF" w:rsidP="00770977">
            <w:pPr>
              <w:jc w:val="center"/>
              <w:rPr>
                <w:rFonts w:ascii="Arial" w:hAnsi="Arial" w:cs="Arial"/>
                <w:sz w:val="18"/>
                <w:szCs w:val="18"/>
              </w:rPr>
            </w:pPr>
            <w:r w:rsidRPr="007F7192">
              <w:rPr>
                <w:rFonts w:ascii="Arial" w:hAnsi="Arial" w:cs="Arial"/>
                <w:sz w:val="18"/>
                <w:szCs w:val="18"/>
              </w:rPr>
              <w:t>=</w:t>
            </w:r>
          </w:p>
        </w:tc>
        <w:tc>
          <w:tcPr>
            <w:tcW w:w="0" w:type="auto"/>
          </w:tcPr>
          <w:p w:rsidR="005D5EFF" w:rsidRPr="007F7192" w:rsidRDefault="00FC4034" w:rsidP="00770977">
            <w:pPr>
              <w:jc w:val="center"/>
              <w:rPr>
                <w:rFonts w:ascii="Arial" w:hAnsi="Arial" w:cs="Arial"/>
                <w:sz w:val="18"/>
                <w:szCs w:val="18"/>
              </w:rPr>
            </w:pPr>
            <w:r>
              <w:rPr>
                <w:rFonts w:ascii="Arial" w:hAnsi="Arial" w:cs="Arial"/>
                <w:sz w:val="18"/>
                <w:szCs w:val="18"/>
              </w:rPr>
              <w:t>4.903</w:t>
            </w:r>
            <w:r w:rsidR="005D5EFF" w:rsidRPr="007F7192">
              <w:rPr>
                <w:rFonts w:ascii="Arial" w:hAnsi="Arial" w:cs="Arial"/>
                <w:sz w:val="18"/>
                <w:szCs w:val="18"/>
              </w:rPr>
              <w:t xml:space="preserve"> </w:t>
            </w:r>
            <w:r w:rsidR="0037155A">
              <w:rPr>
                <w:rFonts w:ascii="Arial" w:hAnsi="Arial" w:cs="Arial"/>
                <w:sz w:val="18"/>
                <w:szCs w:val="18"/>
              </w:rPr>
              <w:t>riyal</w:t>
            </w:r>
            <w:r w:rsidR="0037155A" w:rsidRPr="007F7192">
              <w:rPr>
                <w:rFonts w:ascii="Arial" w:hAnsi="Arial" w:cs="Arial"/>
                <w:sz w:val="18"/>
                <w:szCs w:val="18"/>
              </w:rPr>
              <w:t xml:space="preserve"> </w:t>
            </w:r>
            <w:r w:rsidR="005D5EFF" w:rsidRPr="007F7192">
              <w:rPr>
                <w:rFonts w:ascii="Arial" w:hAnsi="Arial" w:cs="Arial"/>
                <w:sz w:val="18"/>
                <w:szCs w:val="18"/>
              </w:rPr>
              <w:t>(</w:t>
            </w:r>
            <w:r w:rsidR="0037155A">
              <w:rPr>
                <w:rFonts w:ascii="Arial" w:hAnsi="Arial" w:cs="Arial"/>
                <w:sz w:val="18"/>
                <w:szCs w:val="18"/>
              </w:rPr>
              <w:t>SR</w:t>
            </w:r>
            <w:r w:rsidR="005D5EFF" w:rsidRPr="007F7192">
              <w:rPr>
                <w:rFonts w:ascii="Arial" w:hAnsi="Arial" w:cs="Arial"/>
                <w:sz w:val="18"/>
                <w:szCs w:val="18"/>
              </w:rPr>
              <w:t>)</w:t>
            </w:r>
          </w:p>
        </w:tc>
      </w:tr>
      <w:tr w:rsidR="005D5EFF" w:rsidRPr="007F7192" w:rsidTr="0037155A">
        <w:trPr>
          <w:jc w:val="center"/>
        </w:trPr>
        <w:tc>
          <w:tcPr>
            <w:tcW w:w="0" w:type="auto"/>
          </w:tcPr>
          <w:p w:rsidR="005D5EFF" w:rsidRPr="007F7192" w:rsidRDefault="005D5EFF" w:rsidP="00770977">
            <w:pPr>
              <w:jc w:val="center"/>
              <w:rPr>
                <w:rFonts w:ascii="Arial" w:hAnsi="Arial" w:cs="Arial"/>
                <w:sz w:val="18"/>
                <w:szCs w:val="18"/>
              </w:rPr>
            </w:pPr>
            <w:r w:rsidRPr="007F7192">
              <w:rPr>
                <w:rFonts w:ascii="Arial" w:hAnsi="Arial" w:cs="Arial"/>
                <w:sz w:val="18"/>
                <w:szCs w:val="18"/>
              </w:rPr>
              <w:t>$1 (USD)</w:t>
            </w:r>
          </w:p>
        </w:tc>
        <w:tc>
          <w:tcPr>
            <w:tcW w:w="0" w:type="auto"/>
          </w:tcPr>
          <w:p w:rsidR="005D5EFF" w:rsidRPr="007F7192" w:rsidRDefault="005D5EFF" w:rsidP="00770977">
            <w:pPr>
              <w:jc w:val="center"/>
              <w:rPr>
                <w:rFonts w:ascii="Arial" w:hAnsi="Arial" w:cs="Arial"/>
                <w:sz w:val="18"/>
                <w:szCs w:val="18"/>
              </w:rPr>
            </w:pPr>
            <w:r w:rsidRPr="007F7192">
              <w:rPr>
                <w:rFonts w:ascii="Arial" w:hAnsi="Arial" w:cs="Arial"/>
                <w:sz w:val="18"/>
                <w:szCs w:val="18"/>
              </w:rPr>
              <w:t>=</w:t>
            </w:r>
          </w:p>
        </w:tc>
        <w:tc>
          <w:tcPr>
            <w:tcW w:w="0" w:type="auto"/>
          </w:tcPr>
          <w:p w:rsidR="005D5EFF" w:rsidRPr="007F7192" w:rsidRDefault="00FC4034" w:rsidP="00770977">
            <w:pPr>
              <w:jc w:val="center"/>
              <w:rPr>
                <w:rFonts w:ascii="Arial" w:hAnsi="Arial" w:cs="Arial"/>
                <w:sz w:val="18"/>
                <w:szCs w:val="18"/>
              </w:rPr>
            </w:pPr>
            <w:r>
              <w:rPr>
                <w:rFonts w:ascii="Arial" w:hAnsi="Arial" w:cs="Arial"/>
                <w:sz w:val="18"/>
                <w:szCs w:val="18"/>
              </w:rPr>
              <w:t>3.749</w:t>
            </w:r>
            <w:r w:rsidR="005D5EFF" w:rsidRPr="007F7192">
              <w:rPr>
                <w:rFonts w:ascii="Arial" w:hAnsi="Arial" w:cs="Arial"/>
                <w:sz w:val="18"/>
                <w:szCs w:val="18"/>
              </w:rPr>
              <w:t xml:space="preserve"> </w:t>
            </w:r>
            <w:r w:rsidR="0037155A">
              <w:rPr>
                <w:rFonts w:ascii="Arial" w:hAnsi="Arial" w:cs="Arial"/>
                <w:sz w:val="18"/>
                <w:szCs w:val="18"/>
              </w:rPr>
              <w:t>riyal</w:t>
            </w:r>
            <w:r w:rsidR="0037155A" w:rsidRPr="007F7192">
              <w:rPr>
                <w:rFonts w:ascii="Arial" w:hAnsi="Arial" w:cs="Arial"/>
                <w:sz w:val="18"/>
                <w:szCs w:val="18"/>
              </w:rPr>
              <w:t xml:space="preserve"> </w:t>
            </w:r>
            <w:r w:rsidR="005D5EFF" w:rsidRPr="007F7192">
              <w:rPr>
                <w:rFonts w:ascii="Arial" w:hAnsi="Arial" w:cs="Arial"/>
                <w:sz w:val="18"/>
                <w:szCs w:val="18"/>
              </w:rPr>
              <w:t>(</w:t>
            </w:r>
            <w:r w:rsidR="0037155A">
              <w:rPr>
                <w:rFonts w:ascii="Arial" w:hAnsi="Arial" w:cs="Arial"/>
                <w:sz w:val="18"/>
                <w:szCs w:val="18"/>
              </w:rPr>
              <w:t>SR</w:t>
            </w:r>
            <w:r w:rsidR="005D5EFF" w:rsidRPr="007F7192">
              <w:rPr>
                <w:rFonts w:ascii="Arial" w:hAnsi="Arial" w:cs="Arial"/>
                <w:sz w:val="18"/>
                <w:szCs w:val="18"/>
              </w:rPr>
              <w:t>)</w:t>
            </w:r>
          </w:p>
        </w:tc>
      </w:tr>
      <w:tr w:rsidR="0008385C" w:rsidRPr="007F7192" w:rsidTr="0008385C">
        <w:trPr>
          <w:jc w:val="center"/>
        </w:trPr>
        <w:tc>
          <w:tcPr>
            <w:tcW w:w="0" w:type="auto"/>
            <w:gridSpan w:val="3"/>
          </w:tcPr>
          <w:p w:rsidR="0008385C" w:rsidRDefault="0008385C" w:rsidP="00770977">
            <w:pPr>
              <w:jc w:val="center"/>
              <w:rPr>
                <w:rFonts w:ascii="Arial" w:hAnsi="Arial" w:cs="Arial"/>
                <w:sz w:val="18"/>
                <w:szCs w:val="18"/>
              </w:rPr>
            </w:pPr>
          </w:p>
          <w:p w:rsidR="0008385C" w:rsidRPr="0008385C" w:rsidRDefault="0008385C" w:rsidP="00770977">
            <w:pPr>
              <w:jc w:val="center"/>
              <w:rPr>
                <w:rFonts w:ascii="Arial" w:hAnsi="Arial" w:cs="Arial"/>
                <w:sz w:val="14"/>
                <w:szCs w:val="18"/>
              </w:rPr>
            </w:pPr>
            <w:r w:rsidRPr="007F7192">
              <w:rPr>
                <w:rFonts w:ascii="Arial" w:hAnsi="Arial" w:cs="Arial"/>
                <w:sz w:val="14"/>
                <w:szCs w:val="18"/>
              </w:rPr>
              <w:t>(As of 20</w:t>
            </w:r>
            <w:r>
              <w:rPr>
                <w:rFonts w:ascii="Arial" w:hAnsi="Arial" w:cs="Arial"/>
                <w:sz w:val="14"/>
                <w:szCs w:val="18"/>
              </w:rPr>
              <w:t>01</w:t>
            </w:r>
            <w:r w:rsidRPr="007F7192">
              <w:rPr>
                <w:rFonts w:ascii="Arial" w:hAnsi="Arial" w:cs="Arial"/>
                <w:sz w:val="14"/>
                <w:szCs w:val="18"/>
              </w:rPr>
              <w:t>)</w:t>
            </w:r>
          </w:p>
        </w:tc>
      </w:tr>
      <w:tr w:rsidR="0008385C" w:rsidRPr="007F7192" w:rsidTr="0037155A">
        <w:trPr>
          <w:jc w:val="center"/>
        </w:trPr>
        <w:tc>
          <w:tcPr>
            <w:tcW w:w="0" w:type="auto"/>
          </w:tcPr>
          <w:p w:rsidR="0008385C" w:rsidRPr="007F7192" w:rsidRDefault="0008385C" w:rsidP="00770977">
            <w:pPr>
              <w:jc w:val="center"/>
              <w:rPr>
                <w:rFonts w:ascii="Arial" w:hAnsi="Arial" w:cs="Arial"/>
                <w:sz w:val="18"/>
                <w:szCs w:val="18"/>
              </w:rPr>
            </w:pPr>
            <w:r w:rsidRPr="007F7192">
              <w:rPr>
                <w:rFonts w:ascii="Arial" w:hAnsi="Arial" w:cs="Arial"/>
                <w:sz w:val="18"/>
                <w:szCs w:val="18"/>
              </w:rPr>
              <w:t>$1 (USD)</w:t>
            </w:r>
          </w:p>
        </w:tc>
        <w:tc>
          <w:tcPr>
            <w:tcW w:w="0" w:type="auto"/>
          </w:tcPr>
          <w:p w:rsidR="0008385C" w:rsidRPr="007F7192" w:rsidRDefault="0008385C" w:rsidP="00770977">
            <w:pPr>
              <w:jc w:val="center"/>
              <w:rPr>
                <w:rFonts w:ascii="Arial" w:hAnsi="Arial" w:cs="Arial"/>
                <w:sz w:val="18"/>
                <w:szCs w:val="18"/>
              </w:rPr>
            </w:pPr>
            <w:r w:rsidRPr="007F7192">
              <w:rPr>
                <w:rFonts w:ascii="Arial" w:hAnsi="Arial" w:cs="Arial"/>
                <w:sz w:val="18"/>
                <w:szCs w:val="18"/>
              </w:rPr>
              <w:t>=</w:t>
            </w:r>
          </w:p>
        </w:tc>
        <w:tc>
          <w:tcPr>
            <w:tcW w:w="0" w:type="auto"/>
          </w:tcPr>
          <w:p w:rsidR="0008385C" w:rsidRPr="007F7192" w:rsidRDefault="0008385C" w:rsidP="00770977">
            <w:pPr>
              <w:jc w:val="center"/>
              <w:rPr>
                <w:rFonts w:ascii="Arial" w:hAnsi="Arial" w:cs="Arial"/>
                <w:sz w:val="18"/>
                <w:szCs w:val="18"/>
              </w:rPr>
            </w:pPr>
            <w:r>
              <w:rPr>
                <w:rFonts w:ascii="Arial" w:hAnsi="Arial" w:cs="Arial"/>
                <w:sz w:val="18"/>
                <w:szCs w:val="18"/>
              </w:rPr>
              <w:t>3.749</w:t>
            </w:r>
            <w:r w:rsidRPr="007F7192">
              <w:rPr>
                <w:rFonts w:ascii="Arial" w:hAnsi="Arial" w:cs="Arial"/>
                <w:sz w:val="18"/>
                <w:szCs w:val="18"/>
              </w:rPr>
              <w:t xml:space="preserve"> </w:t>
            </w:r>
            <w:r>
              <w:rPr>
                <w:rFonts w:ascii="Arial" w:hAnsi="Arial" w:cs="Arial"/>
                <w:sz w:val="18"/>
                <w:szCs w:val="18"/>
              </w:rPr>
              <w:t>riyal</w:t>
            </w:r>
            <w:r w:rsidRPr="007F7192">
              <w:rPr>
                <w:rFonts w:ascii="Arial" w:hAnsi="Arial" w:cs="Arial"/>
                <w:sz w:val="18"/>
                <w:szCs w:val="18"/>
              </w:rPr>
              <w:t xml:space="preserve"> (</w:t>
            </w:r>
            <w:r>
              <w:rPr>
                <w:rFonts w:ascii="Arial" w:hAnsi="Arial" w:cs="Arial"/>
                <w:sz w:val="18"/>
                <w:szCs w:val="18"/>
              </w:rPr>
              <w:t>SR</w:t>
            </w:r>
            <w:r w:rsidRPr="007F7192">
              <w:rPr>
                <w:rFonts w:ascii="Arial" w:hAnsi="Arial" w:cs="Arial"/>
                <w:sz w:val="18"/>
                <w:szCs w:val="18"/>
              </w:rPr>
              <w:t>)</w:t>
            </w:r>
          </w:p>
        </w:tc>
      </w:tr>
    </w:tbl>
    <w:p w:rsidR="00506274" w:rsidRDefault="00506274" w:rsidP="00506274">
      <w:pPr>
        <w:pStyle w:val="Heading1"/>
        <w:ind w:left="360"/>
      </w:pPr>
      <w:bookmarkStart w:id="1" w:name="_Toc324775650"/>
      <w:bookmarkStart w:id="2" w:name="_Toc325871755"/>
      <w:r>
        <w:t>Executive Summary</w:t>
      </w:r>
      <w:bookmarkEnd w:id="1"/>
      <w:bookmarkEnd w:id="2"/>
    </w:p>
    <w:p w:rsidR="00506274" w:rsidRDefault="00506274" w:rsidP="00506274">
      <w:r w:rsidRPr="00082C71">
        <w:t xml:space="preserve">This report presents an Outcome Evaluation focusing on the economic diversification objective shared by the government of Saudi Arabia (SA) and the UNDP country office in SA, in the period 2007-2011.  </w:t>
      </w:r>
      <w:r>
        <w:t>Outcome 2</w:t>
      </w:r>
      <w:r w:rsidRPr="00082C71">
        <w:t xml:space="preserve"> was </w:t>
      </w:r>
      <w:r>
        <w:t>defined</w:t>
      </w:r>
      <w:r w:rsidRPr="00082C71">
        <w:t xml:space="preserve"> as:  “The economic framework is diversified to encourage tourism, international trade and foreign direct investment (FDI).”</w:t>
      </w:r>
      <w:r>
        <w:t xml:space="preserve">  The target indicators for progress towards this Outcome were:  (1) An increased number</w:t>
      </w:r>
      <w:r w:rsidRPr="007D08EE">
        <w:t xml:space="preserve"> of tourists in KSA by 15%</w:t>
      </w:r>
      <w:r>
        <w:t xml:space="preserve">, and (2) </w:t>
      </w:r>
      <w:r w:rsidRPr="007D08EE">
        <w:t>Increased foreign investment in KSA by 15%</w:t>
      </w:r>
      <w:r>
        <w:t>.</w:t>
      </w:r>
    </w:p>
    <w:p w:rsidR="00506274" w:rsidRDefault="00506274" w:rsidP="00506274">
      <w:pPr>
        <w:rPr>
          <w:lang w:val="en-CA"/>
        </w:rPr>
      </w:pPr>
      <w:r>
        <w:rPr>
          <w:lang w:val="en-CA"/>
        </w:rPr>
        <w:t xml:space="preserve">The eighth plan had focussed on diversification of the economy, optimizing domestic processing, downstream petrochemical and other industries to capture more value-added, </w:t>
      </w:r>
      <w:r>
        <w:t xml:space="preserve">improve technology and foster </w:t>
      </w:r>
      <w:r w:rsidRPr="00C370D8">
        <w:t>sustainable growth</w:t>
      </w:r>
      <w:r>
        <w:t>.  In parallel, it aimed to solve</w:t>
      </w:r>
      <w:r>
        <w:rPr>
          <w:lang w:val="en-CA"/>
        </w:rPr>
        <w:t xml:space="preserve"> human</w:t>
      </w:r>
      <w:r w:rsidRPr="00C370D8">
        <w:t xml:space="preserve"> resource</w:t>
      </w:r>
      <w:r>
        <w:t xml:space="preserve"> and employment</w:t>
      </w:r>
      <w:r w:rsidRPr="00C370D8">
        <w:t xml:space="preserve"> </w:t>
      </w:r>
      <w:proofErr w:type="spellStart"/>
      <w:r>
        <w:t>mis</w:t>
      </w:r>
      <w:proofErr w:type="spellEnd"/>
      <w:r>
        <w:t>-matches with improved training of its young population, widening job opportunities and increased Saudization of the work force.  The ninth plan focused on a</w:t>
      </w:r>
      <w:proofErr w:type="spellStart"/>
      <w:r>
        <w:rPr>
          <w:lang w:val="en-CA"/>
        </w:rPr>
        <w:t>ccelerating</w:t>
      </w:r>
      <w:proofErr w:type="spellEnd"/>
      <w:r>
        <w:rPr>
          <w:lang w:val="en-CA"/>
        </w:rPr>
        <w:t xml:space="preserve"> regionally balanced development with improved living standards and quality, enhancing human resource efficiency and competitiveness, moving towards a knowledge economy.</w:t>
      </w:r>
      <w:r>
        <w:t xml:space="preserve">  It was prepared by government during the course of the CP activities, and the CPD took the updated focus into account in its review and final years.  </w:t>
      </w:r>
    </w:p>
    <w:p w:rsidR="00506274" w:rsidRDefault="00506274" w:rsidP="00506274">
      <w:r>
        <w:t xml:space="preserve">UNDP </w:t>
      </w:r>
      <w:r w:rsidRPr="00CF5029">
        <w:t xml:space="preserve">undertook a series of round-table </w:t>
      </w:r>
      <w:r>
        <w:t xml:space="preserve">discussions </w:t>
      </w:r>
      <w:r w:rsidRPr="00CF5029">
        <w:rPr>
          <w:rFonts w:cs="TimesNewRoman"/>
          <w:lang w:val="en-CA"/>
        </w:rPr>
        <w:t>involving all stakeholders,</w:t>
      </w:r>
      <w:r>
        <w:rPr>
          <w:rFonts w:cs="TimesNewRoman"/>
          <w:lang w:val="en-CA"/>
        </w:rPr>
        <w:t xml:space="preserve"> the g</w:t>
      </w:r>
      <w:r w:rsidRPr="00CF5029">
        <w:rPr>
          <w:rFonts w:cs="TimesNewRoman"/>
          <w:lang w:val="en-CA"/>
        </w:rPr>
        <w:t>overnment, the private sector, civil society and</w:t>
      </w:r>
      <w:r>
        <w:rPr>
          <w:rFonts w:cs="TimesNewRoman"/>
          <w:lang w:val="en-CA"/>
        </w:rPr>
        <w:t xml:space="preserve"> UN </w:t>
      </w:r>
      <w:r w:rsidRPr="00CA6CE1">
        <w:rPr>
          <w:rFonts w:cs="TimesNewRoman"/>
          <w:lang w:val="en-CA"/>
        </w:rPr>
        <w:t xml:space="preserve">agencies.  The </w:t>
      </w:r>
      <w:r w:rsidRPr="00CA6CE1">
        <w:t xml:space="preserve">resulting CPD emerged as a flexible partnership between Saudi Arabia and UNDP, which </w:t>
      </w:r>
      <w:r>
        <w:t>focused on furthering</w:t>
      </w:r>
      <w:r w:rsidRPr="00CA6CE1">
        <w:t xml:space="preserve"> the development priorities of </w:t>
      </w:r>
      <w:r>
        <w:t>each plan in turn</w:t>
      </w:r>
      <w:r w:rsidRPr="00CA6CE1">
        <w:t>.</w:t>
      </w:r>
    </w:p>
    <w:p w:rsidR="00506274" w:rsidRDefault="00506274" w:rsidP="00506274">
      <w:r>
        <w:t>In 2006, a</w:t>
      </w:r>
      <w:r w:rsidRPr="009C4E28">
        <w:t xml:space="preserve">t the time of developing the </w:t>
      </w:r>
      <w:r>
        <w:t xml:space="preserve">2007-11 </w:t>
      </w:r>
      <w:r w:rsidRPr="009C4E28">
        <w:t xml:space="preserve">country programme (CP) with UNDP, Saudi Arabia had a population of 22.7 million, of whom 6.1 million </w:t>
      </w:r>
      <w:r>
        <w:t xml:space="preserve">or 27 percent </w:t>
      </w:r>
      <w:r w:rsidRPr="009C4E28">
        <w:t>were expatriates</w:t>
      </w:r>
      <w:r>
        <w:t xml:space="preserve">.  </w:t>
      </w:r>
      <w:r>
        <w:rPr>
          <w:rFonts w:cs="TimesNewRoman"/>
          <w:lang w:val="en-CA"/>
        </w:rPr>
        <w:t>The economy had</w:t>
      </w:r>
      <w:r w:rsidRPr="009C4E28">
        <w:rPr>
          <w:rFonts w:cs="TimesNewRoman"/>
          <w:lang w:val="en-CA"/>
        </w:rPr>
        <w:t xml:space="preserve"> gradually reduced dependence on oil revenues by diversifying into export industries such as metals, plastics</w:t>
      </w:r>
      <w:r>
        <w:rPr>
          <w:rFonts w:cs="TimesNewRoman"/>
          <w:lang w:val="en-CA"/>
        </w:rPr>
        <w:t xml:space="preserve"> </w:t>
      </w:r>
      <w:r w:rsidRPr="009C4E28">
        <w:rPr>
          <w:rFonts w:cs="TimesNewRoman"/>
          <w:lang w:val="en-CA"/>
        </w:rPr>
        <w:t xml:space="preserve">and chemicals. </w:t>
      </w:r>
      <w:r>
        <w:rPr>
          <w:rFonts w:cs="TimesNewRoman"/>
          <w:lang w:val="en-CA"/>
        </w:rPr>
        <w:t>G</w:t>
      </w:r>
      <w:r w:rsidRPr="009C4E28">
        <w:rPr>
          <w:rFonts w:cs="TimesNewRoman"/>
          <w:lang w:val="en-CA"/>
        </w:rPr>
        <w:t>ross domestic product</w:t>
      </w:r>
      <w:r>
        <w:rPr>
          <w:rFonts w:cs="TimesNewRoman"/>
          <w:lang w:val="en-CA"/>
        </w:rPr>
        <w:t xml:space="preserve"> had steadied and begun rising, and the country had acceded to </w:t>
      </w:r>
      <w:r w:rsidRPr="003A322E">
        <w:t>the</w:t>
      </w:r>
      <w:r>
        <w:t xml:space="preserve"> </w:t>
      </w:r>
      <w:r w:rsidRPr="003A322E">
        <w:t>World Trade Organization (WTO)</w:t>
      </w:r>
      <w:r>
        <w:t xml:space="preserve"> in 2005.</w:t>
      </w:r>
    </w:p>
    <w:p w:rsidR="00506274" w:rsidRDefault="00506274" w:rsidP="00506274">
      <w:r>
        <w:t>T</w:t>
      </w:r>
      <w:r w:rsidRPr="004B7157">
        <w:t>he country had made major achievements</w:t>
      </w:r>
      <w:r>
        <w:t xml:space="preserve"> in social development, reducing</w:t>
      </w:r>
      <w:r w:rsidRPr="003A322E">
        <w:t xml:space="preserve"> extreme poverty </w:t>
      </w:r>
      <w:r>
        <w:t>to</w:t>
      </w:r>
      <w:r w:rsidRPr="003A322E">
        <w:t xml:space="preserve"> 1.6 per cent. The enrolment rate in primary education </w:t>
      </w:r>
      <w:r>
        <w:t>was</w:t>
      </w:r>
      <w:r w:rsidRPr="003A322E">
        <w:t xml:space="preserve"> 94.5 per cent for boys and 93 per cent for girls, and the net enrolment in secondary and tertiary education </w:t>
      </w:r>
      <w:r>
        <w:t>was</w:t>
      </w:r>
      <w:r w:rsidRPr="003A322E">
        <w:t xml:space="preserve"> 65 per cent for both.</w:t>
      </w:r>
      <w:r>
        <w:t xml:space="preserve">  While </w:t>
      </w:r>
      <w:r w:rsidRPr="003A322E">
        <w:t xml:space="preserve">the unemployment rate for females </w:t>
      </w:r>
      <w:r>
        <w:t>remained</w:t>
      </w:r>
      <w:r w:rsidRPr="003A322E">
        <w:t xml:space="preserve"> higher than for males, the gap </w:t>
      </w:r>
      <w:r>
        <w:t xml:space="preserve">seemed to be </w:t>
      </w:r>
      <w:r w:rsidRPr="003A322E">
        <w:t>closing.</w:t>
      </w:r>
    </w:p>
    <w:p w:rsidR="00506274" w:rsidRDefault="00506274" w:rsidP="00506274">
      <w:pPr>
        <w:rPr>
          <w:rFonts w:cs="TimesNewRoman"/>
          <w:lang w:val="en-CA"/>
        </w:rPr>
      </w:pPr>
      <w:r>
        <w:t xml:space="preserve">The CP period marked a time of real growth of the economy, and improving human development outcomes.  By 2011, </w:t>
      </w:r>
      <w:r>
        <w:rPr>
          <w:rFonts w:cs="TimesNewRoman"/>
          <w:lang w:val="en-CA"/>
        </w:rPr>
        <w:t>the population reached 28</w:t>
      </w:r>
      <w:r w:rsidRPr="005F0AAA">
        <w:rPr>
          <w:rFonts w:cs="TimesNewRoman"/>
          <w:lang w:val="en-CA"/>
        </w:rPr>
        <w:t xml:space="preserve">.4 million, </w:t>
      </w:r>
      <w:r>
        <w:rPr>
          <w:rFonts w:cs="TimesNewRoman"/>
          <w:lang w:val="en-CA"/>
        </w:rPr>
        <w:t xml:space="preserve">and real GDP annual growth over the term had averaged 3.6 percent.  Despite the global financial crisis, SA had not gone into recession, and personal incomes were rising in excess of inflation.  Economic diversification played a vital role in keeping the economy in positive territory, as did stimulus spending by the government.  </w:t>
      </w:r>
    </w:p>
    <w:p w:rsidR="00506274" w:rsidRDefault="00506274" w:rsidP="00506274">
      <w:pPr>
        <w:rPr>
          <w:lang w:val="en-CA"/>
        </w:rPr>
      </w:pPr>
      <w:r>
        <w:rPr>
          <w:rFonts w:cs="TimesNewRoman"/>
          <w:lang w:val="en-CA"/>
        </w:rPr>
        <w:t xml:space="preserve">Finding Saudi nationals to fill certain posts that demand specific skill sets has remained a challenge.  </w:t>
      </w:r>
      <w:r>
        <w:rPr>
          <w:lang w:val="en-CA"/>
        </w:rPr>
        <w:t>While expatriates make up almost one in three of the population, they account for more than half of the working population.</w:t>
      </w:r>
    </w:p>
    <w:p w:rsidR="00506274" w:rsidRDefault="00506274" w:rsidP="00506274">
      <w:pPr>
        <w:rPr>
          <w:lang w:val="en-CA"/>
        </w:rPr>
      </w:pPr>
      <w:r>
        <w:rPr>
          <w:lang w:val="en-CA"/>
        </w:rPr>
        <w:t xml:space="preserve">During the period, FDI grew by more than the target 15 percent.  By 2010, FDI had grown by 23 percent, according to the latest data available.  In 2010, the country attracted more than $28 billion of foreign capital.  Further, during the global financial crisis, Saudi Arabian investment abroad moved in a counter direction; while other countries slowed investment into Saudi Arabia, the country was increasing its own capital investments abroad.  </w:t>
      </w:r>
    </w:p>
    <w:p w:rsidR="00506274" w:rsidRDefault="00506274" w:rsidP="00506274">
      <w:pPr>
        <w:rPr>
          <w:lang w:val="en-CA"/>
        </w:rPr>
      </w:pPr>
      <w:r>
        <w:rPr>
          <w:lang w:val="en-CA"/>
        </w:rPr>
        <w:t>The targeted expansion of tourism by 15 percent met overall success, looking at both volume and revenues.  While an increase of international arrivals of 52 percent was offset by a decrease in domestic tourism, revenues from tourism grew overall by 70 percent.</w:t>
      </w:r>
    </w:p>
    <w:p w:rsidR="00506274" w:rsidRDefault="00506274" w:rsidP="00506274">
      <w:r>
        <w:t xml:space="preserve">Clear successes in achieving the targets of Outcome 2 – increases in tourism and in FDI within a more diversified economy – were largely determined by several factors, in which the interventions of UNDP can be said to have played a role; and at the same time, government actions have been a major facilitator. Not only had the government actively pursued the diversification objective; as well, </w:t>
      </w:r>
      <w:r w:rsidRPr="009550B9">
        <w:t xml:space="preserve">since joining the WTO in 2005, </w:t>
      </w:r>
      <w:r>
        <w:t xml:space="preserve">the country had made improvements to </w:t>
      </w:r>
      <w:r w:rsidRPr="009550B9">
        <w:t xml:space="preserve">its regulatory regime, opened up key sectors such as telecommunications and banking to foreign investors, begun developing tourism </w:t>
      </w:r>
      <w:r>
        <w:t xml:space="preserve">and other new sectors, </w:t>
      </w:r>
      <w:r w:rsidRPr="009550B9">
        <w:t>and directed oil revenue into major infrastructure project</w:t>
      </w:r>
      <w:r>
        <w:t>s, which themselves attracted foreign investment.</w:t>
      </w:r>
    </w:p>
    <w:p w:rsidR="00506274" w:rsidRDefault="00506274" w:rsidP="00506274">
      <w:r>
        <w:t>The expansion of economic activities outside oil extraction is evident in GDP data.  During the CP period the petroleum sector decreased as a proportion of GDP from almost 28 percent to less than 23 percent.  Other sectors, significantly manufacturing, commerce – including the trade and hospitality sub-sectors – and transport and communications grew steadily.  All non-oil sectors as a group expanded from 67 to 73 percent of the economy.  Government drove a large part of non-oil expansion, using petroleum earnings to support other sectors.</w:t>
      </w:r>
    </w:p>
    <w:p w:rsidR="00506274" w:rsidRDefault="00506274" w:rsidP="00506274">
      <w:r>
        <w:t xml:space="preserve">On a darker note, one anomaly in the labour market may have slowed growth and competitiveness.  Although Saudi education rates improved markedly over the past two decades, with the gender gap closing significantly, gains in education have not been reflected in equivalent entry by women into the paid labour force.  </w:t>
      </w:r>
      <w:r>
        <w:rPr>
          <w:lang w:val="en-CA"/>
        </w:rPr>
        <w:t xml:space="preserve">The World Bank has contended per capita income in the Gulf region overall could have grown substantially more, had women had greater access to economic opportunity.  </w:t>
      </w:r>
      <w:r>
        <w:t xml:space="preserve">The current SA national development plan calls for greater participation of women in all aspects of development.  </w:t>
      </w:r>
    </w:p>
    <w:p w:rsidR="00506274" w:rsidRPr="00544CB6" w:rsidRDefault="00506274" w:rsidP="00506274">
      <w:pPr>
        <w:rPr>
          <w:b/>
          <w:sz w:val="24"/>
          <w:lang w:val="en-CA"/>
        </w:rPr>
      </w:pPr>
      <w:r w:rsidRPr="00544CB6">
        <w:rPr>
          <w:b/>
          <w:sz w:val="24"/>
          <w:lang w:val="en-CA"/>
        </w:rPr>
        <w:t>UNDP contributions to the Outcome</w:t>
      </w:r>
    </w:p>
    <w:p w:rsidR="00506274" w:rsidRPr="00A81285" w:rsidRDefault="00506274" w:rsidP="00506274">
      <w:pPr>
        <w:rPr>
          <w:rFonts w:cs="Tahoma"/>
        </w:rPr>
      </w:pPr>
      <w:r w:rsidRPr="00A81285">
        <w:t>A major part of UNDP’s contribution to the Output of FDI, DDI and expansion of entrepreneurship took place prior to 2007.  Looking at the achievements of SAGIA and UNDP’s contribution to the outcome of FDI, domestic investment, and diversification of the economy, SAGIA counterparts noted that the key achievements of the partnership included:  developing the national capacity for formulation of effective economic policies geared to attract FDI, developing a competitiveness ranking strategy for Saudi Arabia, and exploring implications of accession to WTO for both DDI and FDI</w:t>
      </w:r>
      <w:r w:rsidRPr="00A81285">
        <w:rPr>
          <w:rFonts w:cs="Tahoma"/>
        </w:rPr>
        <w:t>.</w:t>
      </w:r>
    </w:p>
    <w:p w:rsidR="00506274" w:rsidRDefault="00506274" w:rsidP="00506274">
      <w:r w:rsidRPr="00A81285">
        <w:t xml:space="preserve">This work </w:t>
      </w:r>
      <w:r>
        <w:t>has</w:t>
      </w:r>
      <w:r w:rsidRPr="00A81285">
        <w:t xml:space="preserve"> led to the creation of the National Competitiveness Center</w:t>
      </w:r>
      <w:r>
        <w:t xml:space="preserve">, and </w:t>
      </w:r>
      <w:r w:rsidRPr="00A81285">
        <w:t>during this period</w:t>
      </w:r>
      <w:r>
        <w:t xml:space="preserve"> SAGIA </w:t>
      </w:r>
      <w:r w:rsidRPr="00A81285">
        <w:t xml:space="preserve">adopted its “10x10" strategy– with the objective to position KSA as one of the world’s top 10 </w:t>
      </w:r>
      <w:r w:rsidRPr="00A81285">
        <w:rPr>
          <w:rFonts w:ascii="Times New Roman" w:eastAsia="Times New Roman" w:hAnsi="Times New Roman" w:cs="Times New Roman"/>
          <w:sz w:val="24"/>
          <w:szCs w:val="24"/>
        </w:rPr>
        <w:t xml:space="preserve">most competitive economies by 2010.  The country has </w:t>
      </w:r>
      <w:proofErr w:type="gramStart"/>
      <w:r w:rsidRPr="00A81285">
        <w:rPr>
          <w:rFonts w:ascii="Times New Roman" w:eastAsia="Times New Roman" w:hAnsi="Times New Roman" w:cs="Times New Roman"/>
          <w:sz w:val="24"/>
          <w:szCs w:val="24"/>
        </w:rPr>
        <w:t>risen</w:t>
      </w:r>
      <w:proofErr w:type="gramEnd"/>
      <w:r w:rsidRPr="00A81285">
        <w:rPr>
          <w:rFonts w:ascii="Times New Roman" w:eastAsia="Times New Roman" w:hAnsi="Times New Roman" w:cs="Times New Roman"/>
          <w:sz w:val="24"/>
          <w:szCs w:val="24"/>
        </w:rPr>
        <w:t xml:space="preserve"> to 11th place in the WB group’s “Ease of</w:t>
      </w:r>
      <w:r w:rsidRPr="00A81285">
        <w:t xml:space="preserve"> Doing Business” rankings, and in the World Economic Forum’s Global Competitiveness Index in 2011-12</w:t>
      </w:r>
      <w:r>
        <w:t>,</w:t>
      </w:r>
      <w:r w:rsidRPr="00A81285">
        <w:t xml:space="preserve"> it placed number 17 in the </w:t>
      </w:r>
      <w:r>
        <w:t>overall ranking.</w:t>
      </w:r>
    </w:p>
    <w:p w:rsidR="00506274" w:rsidRDefault="00506274" w:rsidP="00506274">
      <w:r>
        <w:t xml:space="preserve">UNDP support to the Supreme Commission for Tourism (formed in 1999) first provided an “umbrella programme” of advisory services in 2004.  From that period </w:t>
      </w:r>
      <w:proofErr w:type="spellStart"/>
      <w:r>
        <w:t>onwar</w:t>
      </w:r>
      <w:proofErr w:type="spellEnd"/>
      <w:r>
        <w:t xml:space="preserve">, </w:t>
      </w:r>
      <w:r w:rsidRPr="00D070C9">
        <w:t xml:space="preserve">government was keenly aware that tourism harboured an untapped potential for job creation for a growing population, </w:t>
      </w:r>
      <w:r>
        <w:t>demanding</w:t>
      </w:r>
      <w:r w:rsidRPr="00D070C9">
        <w:t xml:space="preserve"> an expansion of public services and infrastructure</w:t>
      </w:r>
      <w:r>
        <w:t xml:space="preserve">.  Tourism also </w:t>
      </w:r>
      <w:r w:rsidRPr="00D070C9">
        <w:t>poses the challenge of increasing Saudization</w:t>
      </w:r>
      <w:r>
        <w:t xml:space="preserve"> in a sector where reliance on expatriate employment predominates.  To meet its goals, government needed its maturing tourism authority to adapt to new demands, providing a framework for world-class hospitality services.  Such requirements fitted well into UNDP’s goal of strengthening the capacity of key governance institutions.  </w:t>
      </w:r>
    </w:p>
    <w:p w:rsidR="00506274" w:rsidRDefault="00506274" w:rsidP="00506274">
      <w:r>
        <w:t xml:space="preserve">The Commission is working with UNDP to broaden the dimensions of tourism.  This means seeing domestic tourism as potentially a much larger area for expansion, and extending the mandate of the Commission to develop new fields such as environmental and nature sites, historic sites and antiquities.  In the view of staff, the partnership with UNDP helped make this wider approach feasible.  </w:t>
      </w:r>
    </w:p>
    <w:p w:rsidR="00506274" w:rsidRDefault="00506274" w:rsidP="00506274">
      <w:r>
        <w:t xml:space="preserve">Following </w:t>
      </w:r>
      <w:r w:rsidRPr="005C28E5">
        <w:t>Saudi Arabia</w:t>
      </w:r>
      <w:r>
        <w:t xml:space="preserve">’s accession </w:t>
      </w:r>
      <w:r w:rsidRPr="005C28E5">
        <w:t>to WTO in 2005</w:t>
      </w:r>
      <w:r>
        <w:t xml:space="preserve">, </w:t>
      </w:r>
      <w:r w:rsidRPr="005C28E5">
        <w:t xml:space="preserve">and under the </w:t>
      </w:r>
      <w:r>
        <w:t>CPD programme component</w:t>
      </w:r>
      <w:r w:rsidRPr="005C28E5">
        <w:rPr>
          <w:lang w:val="en-CA"/>
        </w:rPr>
        <w:t xml:space="preserve">, “Globalization benefiting the poor”, UNDP outputs included assistance to the Kingdom to develop new policies and capacities for liberalization in key industry sectors such as the service sector.  </w:t>
      </w:r>
      <w:r w:rsidRPr="005C28E5">
        <w:t xml:space="preserve">UNDP </w:t>
      </w:r>
      <w:r>
        <w:t>assisted</w:t>
      </w:r>
      <w:r w:rsidRPr="005C28E5">
        <w:t xml:space="preserve"> the Government </w:t>
      </w:r>
      <w:r>
        <w:t>to start</w:t>
      </w:r>
      <w:r w:rsidRPr="005C28E5">
        <w:t xml:space="preserve"> formulation of a post-accession intervention with the </w:t>
      </w:r>
      <w:r>
        <w:t>support</w:t>
      </w:r>
      <w:r w:rsidRPr="005C28E5">
        <w:t xml:space="preserve"> of the UN Conference on Trade and Development (UNCTAD).</w:t>
      </w:r>
    </w:p>
    <w:p w:rsidR="00506274" w:rsidRPr="00D13B50" w:rsidRDefault="00506274" w:rsidP="00506274">
      <w:pPr>
        <w:rPr>
          <w:b/>
          <w:sz w:val="24"/>
        </w:rPr>
      </w:pPr>
      <w:r w:rsidRPr="00D13B50">
        <w:rPr>
          <w:b/>
          <w:sz w:val="24"/>
        </w:rPr>
        <w:t>Partnership strategy</w:t>
      </w:r>
    </w:p>
    <w:p w:rsidR="00506274" w:rsidRDefault="00506274" w:rsidP="00506274">
      <w:r>
        <w:t xml:space="preserve">The partnership strategy in a net contributing country is fairly straightforward.  In the NCC context, the government is the donor partner on the financing side.  SA projects are funded using the national implementation modality, with the partner ministry assuming administrative control, as Executing Agency in conjunction with the UNDP CO.  As the narrative review has repeatedly observed, the SA partners expressed sincere appreciation for the effective skills, networks and management model that UNDP SA has contributed to the government’s successes in working for the objectives of its strategic development plans.  </w:t>
      </w:r>
      <w:r w:rsidRPr="00DA7619">
        <w:t xml:space="preserve">It is clear from discussions with all projects and programmes that SA </w:t>
      </w:r>
      <w:r>
        <w:t xml:space="preserve">as a partner </w:t>
      </w:r>
      <w:r w:rsidRPr="00DA7619">
        <w:t xml:space="preserve">greatly appreciates several roles specific to UNDP and the UN as a whole.  </w:t>
      </w:r>
    </w:p>
    <w:p w:rsidR="00506274" w:rsidRPr="00DA7619" w:rsidRDefault="00506274" w:rsidP="00506274">
      <w:r>
        <w:t xml:space="preserve">The </w:t>
      </w:r>
      <w:r w:rsidRPr="00DA7619">
        <w:t>institutional access</w:t>
      </w:r>
      <w:r>
        <w:t xml:space="preserve"> to the specialized agencies and knowledge pool linked to UNDP is appreciated by the SA partner.  The range of international organizations, </w:t>
      </w:r>
      <w:r w:rsidRPr="00DA7619">
        <w:t>committ</w:t>
      </w:r>
      <w:r>
        <w:t>ees, commissions and expertise that have been called on during the CP 2007-11 has been enormous, and is particularly highlighted by the scope of outputs under Outcome 3.  Partner staff met by the Evaluation mission confirmed the high regard in which they hold the reputation, profile and standard of the UN network.</w:t>
      </w:r>
    </w:p>
    <w:p w:rsidR="00506274" w:rsidRPr="009E3376" w:rsidRDefault="00506274" w:rsidP="00506274">
      <w:pPr>
        <w:rPr>
          <w:b/>
          <w:sz w:val="24"/>
        </w:rPr>
      </w:pPr>
      <w:r w:rsidRPr="009E3376">
        <w:rPr>
          <w:b/>
          <w:sz w:val="24"/>
        </w:rPr>
        <w:t>Conclusions and recommendations</w:t>
      </w:r>
    </w:p>
    <w:p w:rsidR="00506274" w:rsidRDefault="00506274" w:rsidP="00506274">
      <w:r>
        <w:t>As an NCC, the SA</w:t>
      </w:r>
      <w:r w:rsidRPr="00DA7619">
        <w:t xml:space="preserve"> government finance</w:t>
      </w:r>
      <w:r>
        <w:t xml:space="preserve">s its relatively </w:t>
      </w:r>
      <w:r w:rsidRPr="00DA7619">
        <w:t>large programme, and is clear as to its objectives and needs</w:t>
      </w:r>
      <w:r>
        <w:t>.  Ownership by government is assured, and the role of UNDP is one of facilitating access to the best possible resources.  The relationship of mutual trust and cooperation has been built over time.  The rapport established on both sides serves as an excellent example of successful partnerships in an NCC setting.</w:t>
      </w:r>
    </w:p>
    <w:p w:rsidR="00506274" w:rsidRPr="00B63069" w:rsidRDefault="00506274" w:rsidP="00506274">
      <w:pPr>
        <w:rPr>
          <w:b/>
          <w:sz w:val="24"/>
        </w:rPr>
      </w:pPr>
      <w:bookmarkStart w:id="3" w:name="_Toc324775690"/>
      <w:r w:rsidRPr="00B63069">
        <w:rPr>
          <w:b/>
          <w:sz w:val="24"/>
        </w:rPr>
        <w:t>Current arrangements work well and should be continued</w:t>
      </w:r>
      <w:bookmarkEnd w:id="3"/>
    </w:p>
    <w:p w:rsidR="00506274" w:rsidRDefault="00506274" w:rsidP="00506274">
      <w:r>
        <w:t xml:space="preserve">UNDP experience has demonstrated that administrative modalities within NIM execution are best designed as flexible and simple protocols.  Success with this flexible model has highlighted the benefit to SA deriving from UNDP partnership in the access provided to advisory and capacity development services.  </w:t>
      </w:r>
      <w:r w:rsidRPr="00481A50">
        <w:t xml:space="preserve">UNDP </w:t>
      </w:r>
      <w:r>
        <w:t xml:space="preserve">has followed its partners’ wishes to </w:t>
      </w:r>
      <w:r w:rsidRPr="00481A50">
        <w:t>extend its support beyond financial management to the active use of the international experiences of its network of country offices and expertise around the world</w:t>
      </w:r>
      <w:r>
        <w:t xml:space="preserve">, including </w:t>
      </w:r>
      <w:r w:rsidRPr="00481A50">
        <w:t>the United Nations specialized agencies</w:t>
      </w:r>
    </w:p>
    <w:p w:rsidR="00506274" w:rsidRPr="00B63069" w:rsidRDefault="00506274" w:rsidP="00506274">
      <w:pPr>
        <w:rPr>
          <w:b/>
          <w:sz w:val="24"/>
        </w:rPr>
      </w:pPr>
      <w:bookmarkStart w:id="4" w:name="_Toc324775691"/>
      <w:r w:rsidRPr="00B63069">
        <w:rPr>
          <w:b/>
          <w:sz w:val="24"/>
        </w:rPr>
        <w:t>The current relationship between the partners, articulating Outcomes in relation to national goals, should be continued</w:t>
      </w:r>
      <w:bookmarkEnd w:id="4"/>
      <w:r w:rsidRPr="00B63069">
        <w:rPr>
          <w:b/>
          <w:sz w:val="24"/>
        </w:rPr>
        <w:t xml:space="preserve"> </w:t>
      </w:r>
    </w:p>
    <w:p w:rsidR="00506274" w:rsidRDefault="00506274" w:rsidP="00506274">
      <w:r>
        <w:t>The UNDP CPD articulated its objectives in relation to the government’s national plan emphasis on globalization, diversification and competitiveness.  Taking up this national goal and the emphasis identified, Outcome 2 was formulated as “</w:t>
      </w:r>
      <w:r w:rsidRPr="009A12DA">
        <w:rPr>
          <w:lang w:val="en-CA"/>
        </w:rPr>
        <w:t xml:space="preserve">Enhanced employment opportunities and overall economic performance through increase in foreign and domestic direct </w:t>
      </w:r>
      <w:r w:rsidRPr="00A9312C">
        <w:rPr>
          <w:i/>
          <w:lang w:val="en-CA"/>
        </w:rPr>
        <w:t>investment</w:t>
      </w:r>
      <w:r w:rsidRPr="009A12DA">
        <w:rPr>
          <w:lang w:val="en-CA"/>
        </w:rPr>
        <w:t>,</w:t>
      </w:r>
      <w:r>
        <w:rPr>
          <w:lang w:val="en-CA"/>
        </w:rPr>
        <w:t xml:space="preserve"> </w:t>
      </w:r>
      <w:r w:rsidRPr="009A12DA">
        <w:rPr>
          <w:lang w:val="en-CA"/>
        </w:rPr>
        <w:t xml:space="preserve">strengthened </w:t>
      </w:r>
      <w:r w:rsidRPr="00A9312C">
        <w:rPr>
          <w:i/>
          <w:lang w:val="en-CA"/>
        </w:rPr>
        <w:t>competitiveness</w:t>
      </w:r>
      <w:r w:rsidRPr="009A12DA">
        <w:rPr>
          <w:lang w:val="en-CA"/>
        </w:rPr>
        <w:t xml:space="preserve"> and </w:t>
      </w:r>
      <w:r w:rsidRPr="00A9312C">
        <w:rPr>
          <w:i/>
          <w:lang w:val="en-CA"/>
        </w:rPr>
        <w:t>diversity</w:t>
      </w:r>
      <w:r w:rsidRPr="009A12DA">
        <w:rPr>
          <w:lang w:val="en-CA"/>
        </w:rPr>
        <w:t xml:space="preserve"> of the</w:t>
      </w:r>
      <w:r>
        <w:rPr>
          <w:lang w:val="en-CA"/>
        </w:rPr>
        <w:t xml:space="preserve"> </w:t>
      </w:r>
      <w:r w:rsidRPr="009A12DA">
        <w:rPr>
          <w:lang w:val="en-CA"/>
        </w:rPr>
        <w:t xml:space="preserve">national economy in the knowledge </w:t>
      </w:r>
      <w:r w:rsidRPr="009F6E77">
        <w:t>sector</w:t>
      </w:r>
      <w:r>
        <w:t>,</w:t>
      </w:r>
      <w:r w:rsidRPr="009F6E77">
        <w:t xml:space="preserve"> among others</w:t>
      </w:r>
      <w:r>
        <w:t>.”  This formulation is a suitable reflection of the national goal, and does indeed direct attention to the change in conditions desired by the CP partners to help meet the country’s goal.</w:t>
      </w:r>
      <w:r w:rsidRPr="007D1B7F">
        <w:t xml:space="preserve"> </w:t>
      </w:r>
      <w:r>
        <w:t xml:space="preserve"> </w:t>
      </w:r>
    </w:p>
    <w:p w:rsidR="00506274" w:rsidRPr="00B63D64" w:rsidRDefault="00506274" w:rsidP="00506274">
      <w:pPr>
        <w:rPr>
          <w:b/>
          <w:sz w:val="24"/>
        </w:rPr>
      </w:pPr>
      <w:bookmarkStart w:id="5" w:name="_Toc324775692"/>
      <w:r w:rsidRPr="00B63D64">
        <w:rPr>
          <w:b/>
          <w:sz w:val="24"/>
        </w:rPr>
        <w:t>It remains appropriate to link UNDP programme components and national goals</w:t>
      </w:r>
      <w:bookmarkEnd w:id="5"/>
      <w:r w:rsidRPr="00B63D64">
        <w:rPr>
          <w:b/>
          <w:sz w:val="24"/>
        </w:rPr>
        <w:t xml:space="preserve"> </w:t>
      </w:r>
    </w:p>
    <w:p w:rsidR="00506274" w:rsidRDefault="00506274" w:rsidP="00506274">
      <w:pPr>
        <w:rPr>
          <w:lang w:val="en-CA"/>
        </w:rPr>
      </w:pPr>
      <w:r>
        <w:t>UNDP linked the national goal of “optimizing the benefits of globalization” to its corporate objective of poverty reduction.  This link was articulated as, “</w:t>
      </w:r>
      <w:r w:rsidRPr="009A12DA">
        <w:rPr>
          <w:lang w:val="en-CA"/>
        </w:rPr>
        <w:t>Achieving the MDGs and reducing human poverty – Globalization</w:t>
      </w:r>
      <w:r>
        <w:rPr>
          <w:lang w:val="en-CA"/>
        </w:rPr>
        <w:t xml:space="preserve"> </w:t>
      </w:r>
      <w:r w:rsidRPr="009A12DA">
        <w:rPr>
          <w:lang w:val="en-CA"/>
        </w:rPr>
        <w:t>benefiting the poor</w:t>
      </w:r>
      <w:r>
        <w:rPr>
          <w:lang w:val="en-CA"/>
        </w:rPr>
        <w:t xml:space="preserve">”, and “Managing globalization to support the poor.”  It is apparent that several of the outputs of this component, such as increasing FDI and the expansion of tourism, contributed to job creation and potentially to poverty reduction. </w:t>
      </w:r>
    </w:p>
    <w:p w:rsidR="003B614C" w:rsidRPr="005C55C3" w:rsidRDefault="003B614C" w:rsidP="00C17F2D">
      <w:pPr>
        <w:pStyle w:val="Heading1"/>
        <w:numPr>
          <w:ilvl w:val="0"/>
          <w:numId w:val="1"/>
        </w:numPr>
      </w:pPr>
      <w:bookmarkStart w:id="6" w:name="_Toc325871756"/>
      <w:r w:rsidRPr="005C55C3">
        <w:t>Introduction</w:t>
      </w:r>
      <w:bookmarkEnd w:id="6"/>
    </w:p>
    <w:p w:rsidR="0037591D" w:rsidRDefault="004A0A24" w:rsidP="000E5662">
      <w:r>
        <w:t>This</w:t>
      </w:r>
      <w:r w:rsidR="00D47C0C">
        <w:t xml:space="preserve"> report presents an </w:t>
      </w:r>
      <w:r w:rsidR="0092249E">
        <w:t>Outcome E</w:t>
      </w:r>
      <w:r w:rsidR="00D47C0C">
        <w:t xml:space="preserve">valuation </w:t>
      </w:r>
      <w:r w:rsidR="0092249E">
        <w:t>focusing on</w:t>
      </w:r>
      <w:r w:rsidR="00D47C0C">
        <w:t xml:space="preserve"> </w:t>
      </w:r>
      <w:r w:rsidR="008C027E">
        <w:t xml:space="preserve">the </w:t>
      </w:r>
      <w:r w:rsidR="00D47C0C">
        <w:t>economic diversification</w:t>
      </w:r>
      <w:r w:rsidR="008C027E" w:rsidRPr="008C027E">
        <w:t xml:space="preserve"> </w:t>
      </w:r>
      <w:r w:rsidR="00C309E3">
        <w:t xml:space="preserve">objective </w:t>
      </w:r>
      <w:r w:rsidR="008C027E">
        <w:t xml:space="preserve">shared by the government of Saudi Arabia (SA) and </w:t>
      </w:r>
      <w:r w:rsidR="005E6284">
        <w:t xml:space="preserve">the </w:t>
      </w:r>
      <w:r w:rsidR="008C027E">
        <w:t xml:space="preserve">UNDP </w:t>
      </w:r>
      <w:r w:rsidR="00F57861">
        <w:t xml:space="preserve">country office in </w:t>
      </w:r>
      <w:r w:rsidR="008C027E">
        <w:t xml:space="preserve">SA, in the period </w:t>
      </w:r>
      <w:r w:rsidR="008C027E" w:rsidRPr="005C55C3">
        <w:t>2007-2011</w:t>
      </w:r>
      <w:r w:rsidR="008C027E">
        <w:t xml:space="preserve">.  </w:t>
      </w:r>
      <w:r w:rsidR="00C309E3">
        <w:t xml:space="preserve">This objective constituted one of five “outcomes” </w:t>
      </w:r>
      <w:r w:rsidR="0037591D">
        <w:t xml:space="preserve">incorporated </w:t>
      </w:r>
      <w:r w:rsidR="00C309E3">
        <w:t xml:space="preserve">in the </w:t>
      </w:r>
      <w:r w:rsidR="005E6284">
        <w:t>UNDP-</w:t>
      </w:r>
      <w:r w:rsidR="00B92243">
        <w:t>SA</w:t>
      </w:r>
      <w:r w:rsidR="0073515B">
        <w:t xml:space="preserve"> </w:t>
      </w:r>
      <w:r w:rsidR="00DC5A10" w:rsidRPr="005C55C3">
        <w:t xml:space="preserve">Country Programme </w:t>
      </w:r>
      <w:r w:rsidR="00AA0E26" w:rsidRPr="005C55C3">
        <w:t>Document (CPD)</w:t>
      </w:r>
      <w:r w:rsidR="00F63863">
        <w:t>.</w:t>
      </w:r>
      <w:r w:rsidR="00AA0E26" w:rsidRPr="005C55C3">
        <w:t xml:space="preserve"> </w:t>
      </w:r>
      <w:r w:rsidR="00F63863">
        <w:t xml:space="preserve">The CPD </w:t>
      </w:r>
      <w:r w:rsidR="003B614C" w:rsidRPr="005C55C3">
        <w:t xml:space="preserve">for 2007-2011 </w:t>
      </w:r>
      <w:r w:rsidR="0073515B">
        <w:t>was completed on schedule</w:t>
      </w:r>
      <w:r w:rsidR="0037591D">
        <w:t>; its achievements have been welcomed by the government,</w:t>
      </w:r>
      <w:r w:rsidR="0073515B">
        <w:t xml:space="preserve"> and the </w:t>
      </w:r>
      <w:r w:rsidR="00F63863">
        <w:t xml:space="preserve">UNDP-SA </w:t>
      </w:r>
      <w:r w:rsidR="0073515B">
        <w:t xml:space="preserve">partnership has continued under the aegis of a new CPD for 2012-16.  </w:t>
      </w:r>
    </w:p>
    <w:p w:rsidR="00733B3B" w:rsidRDefault="000E5662" w:rsidP="000E5662">
      <w:r>
        <w:t xml:space="preserve">Since the turn of the new millennium, Saudi Arabia has been determined to diversify its economic base </w:t>
      </w:r>
      <w:r w:rsidR="00733B3B">
        <w:t xml:space="preserve">away </w:t>
      </w:r>
      <w:r>
        <w:t xml:space="preserve">from </w:t>
      </w:r>
      <w:r w:rsidR="00CE3592">
        <w:t xml:space="preserve">total </w:t>
      </w:r>
      <w:r>
        <w:t xml:space="preserve">reliance on oil and natural gas as the major source of national income. </w:t>
      </w:r>
      <w:r w:rsidR="00CE3592">
        <w:t xml:space="preserve"> To do this, its national plans identified</w:t>
      </w:r>
      <w:r>
        <w:t xml:space="preserve"> the drivers </w:t>
      </w:r>
      <w:r w:rsidR="00CE3592">
        <w:t xml:space="preserve">of </w:t>
      </w:r>
      <w:r>
        <w:t xml:space="preserve">economic diversification </w:t>
      </w:r>
      <w:r w:rsidR="00733B3B">
        <w:t>as</w:t>
      </w:r>
      <w:r>
        <w:t>:</w:t>
      </w:r>
      <w:r w:rsidR="00CE3592">
        <w:t xml:space="preserve"> </w:t>
      </w:r>
      <w:r>
        <w:t xml:space="preserve"> </w:t>
      </w:r>
    </w:p>
    <w:p w:rsidR="00733B3B" w:rsidRDefault="000E5662" w:rsidP="00733B3B">
      <w:pPr>
        <w:pStyle w:val="ListParagraph"/>
        <w:numPr>
          <w:ilvl w:val="0"/>
          <w:numId w:val="21"/>
        </w:numPr>
      </w:pPr>
      <w:r>
        <w:t>a</w:t>
      </w:r>
      <w:r w:rsidR="00CE3592" w:rsidRPr="00CE3592">
        <w:t xml:space="preserve"> </w:t>
      </w:r>
      <w:r w:rsidR="00CE3592">
        <w:t>greater role for</w:t>
      </w:r>
      <w:r>
        <w:t xml:space="preserve"> the private sector i</w:t>
      </w:r>
      <w:r w:rsidR="00CE3592">
        <w:t>n the management of the economy, and</w:t>
      </w:r>
      <w:r>
        <w:t xml:space="preserve"> </w:t>
      </w:r>
    </w:p>
    <w:p w:rsidR="000E5662" w:rsidRDefault="000E5662" w:rsidP="00733B3B">
      <w:pPr>
        <w:pStyle w:val="ListParagraph"/>
        <w:numPr>
          <w:ilvl w:val="0"/>
          <w:numId w:val="21"/>
        </w:numPr>
      </w:pPr>
      <w:proofErr w:type="gramStart"/>
      <w:r>
        <w:t>promoting</w:t>
      </w:r>
      <w:proofErr w:type="gramEnd"/>
      <w:r>
        <w:t xml:space="preserve"> the efficiency and accountability of the public sector to </w:t>
      </w:r>
      <w:r w:rsidR="00CE3592">
        <w:t>foster</w:t>
      </w:r>
      <w:r>
        <w:t xml:space="preserve"> a strong institutional framework conducive to growth and stability.</w:t>
      </w:r>
    </w:p>
    <w:p w:rsidR="00CE3592" w:rsidRDefault="000E5662" w:rsidP="00CE3592">
      <w:r>
        <w:t>The present Outcome Evaluation review</w:t>
      </w:r>
      <w:r w:rsidR="00CE3592">
        <w:t>s the</w:t>
      </w:r>
      <w:r>
        <w:t xml:space="preserve"> performance of </w:t>
      </w:r>
      <w:r w:rsidR="00CE3592">
        <w:t>one of these</w:t>
      </w:r>
      <w:r>
        <w:t xml:space="preserve"> targeted results in the partnership between UNDP and the Government of Saudi Arabia in</w:t>
      </w:r>
      <w:r w:rsidR="00CE3592">
        <w:t xml:space="preserve"> the programme cycle 2007-2011.  Outcome 2, the subject of the present report, was</w:t>
      </w:r>
      <w:r w:rsidR="00733B3B">
        <w:t xml:space="preserve"> articulated as follows</w:t>
      </w:r>
      <w:r w:rsidR="00CE3592">
        <w:t xml:space="preserve">:  “The economic framework is diversified to encourage tourism, </w:t>
      </w:r>
      <w:r w:rsidR="00733B3B">
        <w:t>international</w:t>
      </w:r>
      <w:r w:rsidR="00CE3592">
        <w:t xml:space="preserve"> trade and foreign direct investment (FDI).”</w:t>
      </w:r>
    </w:p>
    <w:p w:rsidR="000E5662" w:rsidRDefault="000E5662" w:rsidP="00CE3592">
      <w:r w:rsidRPr="000E5662">
        <w:t>In this report, and in line with the Terms of Reference of the Outcome</w:t>
      </w:r>
      <w:r>
        <w:t xml:space="preserve"> Evaluation exercise (annexed), a number of separate projects were reviewed to gauge UNDP’s contributions to </w:t>
      </w:r>
      <w:r w:rsidR="00733B3B">
        <w:t>this key result</w:t>
      </w:r>
      <w:r>
        <w:t xml:space="preserve"> and to </w:t>
      </w:r>
      <w:r w:rsidR="00733B3B">
        <w:t>monitor</w:t>
      </w:r>
      <w:r>
        <w:t xml:space="preserve"> achievements in 2011 against the benchmarks set for 2007 as stated in the </w:t>
      </w:r>
      <w:r w:rsidR="00733B3B">
        <w:t xml:space="preserve">CPD </w:t>
      </w:r>
      <w:r>
        <w:t xml:space="preserve">for 2007-2011. </w:t>
      </w:r>
    </w:p>
    <w:p w:rsidR="000E5662" w:rsidRDefault="000E5662" w:rsidP="000E5662"/>
    <w:p w:rsidR="00880653" w:rsidRDefault="00B92243" w:rsidP="00880653">
      <w:r>
        <w:t>At the start of</w:t>
      </w:r>
      <w:r w:rsidR="0073515B">
        <w:t xml:space="preserve"> the </w:t>
      </w:r>
      <w:r w:rsidR="00234EC3">
        <w:t>time-span</w:t>
      </w:r>
      <w:r w:rsidR="0073515B">
        <w:t xml:space="preserve"> </w:t>
      </w:r>
      <w:r w:rsidR="0037591D">
        <w:t>examined under</w:t>
      </w:r>
      <w:r w:rsidR="0073515B">
        <w:t xml:space="preserve"> the present Outcome Evaluation, </w:t>
      </w:r>
      <w:r w:rsidR="005E6284">
        <w:t>the Kingdom of Saudi Arabia (KSA)</w:t>
      </w:r>
      <w:r w:rsidR="00367992">
        <w:t xml:space="preserve"> was ready to make great strides in </w:t>
      </w:r>
      <w:r w:rsidR="00234EC3" w:rsidRPr="00234EC3">
        <w:t>plans</w:t>
      </w:r>
      <w:r w:rsidR="00367992" w:rsidRPr="00234EC3">
        <w:t xml:space="preserve"> it</w:t>
      </w:r>
      <w:r w:rsidR="00367992">
        <w:t xml:space="preserve"> had </w:t>
      </w:r>
      <w:r w:rsidR="00234EC3">
        <w:t xml:space="preserve">already </w:t>
      </w:r>
      <w:r w:rsidR="00367992">
        <w:t xml:space="preserve">launched in </w:t>
      </w:r>
      <w:r w:rsidR="00234EC3">
        <w:t>previous periods</w:t>
      </w:r>
      <w:r>
        <w:t xml:space="preserve">.  </w:t>
      </w:r>
      <w:r w:rsidR="00234EC3">
        <w:t>As the new millennium began, the Kingdom realised</w:t>
      </w:r>
      <w:r>
        <w:t xml:space="preserve"> strong revenues generated by </w:t>
      </w:r>
      <w:r w:rsidR="00367992">
        <w:t>its oil resources</w:t>
      </w:r>
      <w:r w:rsidR="003A2740">
        <w:t xml:space="preserve"> and high net exports</w:t>
      </w:r>
      <w:r w:rsidR="00234EC3">
        <w:t>.  P</w:t>
      </w:r>
      <w:r w:rsidR="00152A81">
        <w:t>er capita income</w:t>
      </w:r>
      <w:r w:rsidR="00B635D5">
        <w:t xml:space="preserve">, which had remained in the </w:t>
      </w:r>
      <w:r w:rsidR="008B6754">
        <w:t>$</w:t>
      </w:r>
      <w:r w:rsidR="00152A81">
        <w:t xml:space="preserve">8000 </w:t>
      </w:r>
      <w:r w:rsidR="008B6754">
        <w:t xml:space="preserve">(USD) </w:t>
      </w:r>
      <w:r w:rsidR="00152A81">
        <w:t xml:space="preserve">range </w:t>
      </w:r>
      <w:r w:rsidR="00B635D5">
        <w:t>since the early 19</w:t>
      </w:r>
      <w:r w:rsidR="00152A81">
        <w:t>9</w:t>
      </w:r>
      <w:r w:rsidR="008B6754">
        <w:t xml:space="preserve">0s, had begun rising, </w:t>
      </w:r>
      <w:r w:rsidR="00B635D5">
        <w:t xml:space="preserve">and by 2004 had broken the $10,000 mark.  SA </w:t>
      </w:r>
      <w:r w:rsidR="004A341E">
        <w:t xml:space="preserve">had </w:t>
      </w:r>
      <w:r w:rsidR="008B6754">
        <w:t>moved from a middle-income to</w:t>
      </w:r>
      <w:r w:rsidR="00B635D5">
        <w:t xml:space="preserve"> a high-income country, and</w:t>
      </w:r>
      <w:r w:rsidR="004A341E">
        <w:t xml:space="preserve"> was </w:t>
      </w:r>
      <w:r w:rsidR="00B635D5">
        <w:t xml:space="preserve">ambitious to achieve </w:t>
      </w:r>
      <w:r w:rsidR="005E6284">
        <w:t xml:space="preserve">as a nation </w:t>
      </w:r>
      <w:r w:rsidR="00B635D5">
        <w:t xml:space="preserve">the Millennium Development Goals (MDGs) adopted by world leaders in 2000.  </w:t>
      </w:r>
      <w:r w:rsidR="004A341E">
        <w:t xml:space="preserve">The rapid and steady rise in incomes is </w:t>
      </w:r>
      <w:r w:rsidR="00F20485">
        <w:t xml:space="preserve">shown in Figure 2.1, below.  </w:t>
      </w:r>
    </w:p>
    <w:p w:rsidR="00E83AF2" w:rsidRDefault="00E83AF2" w:rsidP="00E83AF2">
      <w:pPr>
        <w:pStyle w:val="Caption"/>
      </w:pPr>
      <w:bookmarkStart w:id="7" w:name="_Toc325871719"/>
      <w:r>
        <w:t xml:space="preserve">Figure </w:t>
      </w:r>
      <w:fldSimple w:instr=" STYLEREF 1 \s ">
        <w:r w:rsidR="00E41BFC">
          <w:rPr>
            <w:noProof/>
          </w:rPr>
          <w:t>1</w:t>
        </w:r>
      </w:fldSimple>
      <w:r w:rsidR="00E41BFC">
        <w:noBreakHyphen/>
      </w:r>
      <w:fldSimple w:instr=" SEQ Figure \* ARABIC \s 1 ">
        <w:r w:rsidR="00E41BFC">
          <w:rPr>
            <w:noProof/>
          </w:rPr>
          <w:t>1</w:t>
        </w:r>
      </w:fldSimple>
      <w:r>
        <w:t xml:space="preserve">  </w:t>
      </w:r>
      <w:r w:rsidRPr="00385D98">
        <w:t>Saudi Arabia per capita income, USD current equivalent</w:t>
      </w:r>
      <w:bookmarkEnd w:id="7"/>
    </w:p>
    <w:p w:rsidR="00B635D5" w:rsidRDefault="00B635D5" w:rsidP="00DC5A10">
      <w:r w:rsidRPr="00B635D5">
        <w:rPr>
          <w:noProof/>
          <w:lang w:val="en-US"/>
        </w:rPr>
        <w:drawing>
          <wp:inline distT="0" distB="0" distL="0" distR="0">
            <wp:extent cx="5945734" cy="2184070"/>
            <wp:effectExtent l="19050" t="0" r="16916" b="66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35D5" w:rsidRDefault="00F16CE5" w:rsidP="00DC5A10">
      <w:r w:rsidRPr="00234EC3">
        <w:rPr>
          <w:sz w:val="18"/>
          <w:szCs w:val="18"/>
        </w:rPr>
        <w:t>Source:  WB WDI</w:t>
      </w:r>
      <w:r>
        <w:rPr>
          <w:rStyle w:val="FootnoteReference"/>
        </w:rPr>
        <w:footnoteReference w:id="1"/>
      </w:r>
    </w:p>
    <w:p w:rsidR="00EB274C" w:rsidRDefault="008B6754" w:rsidP="00EB274C">
      <w:r>
        <w:t xml:space="preserve">While these numbers show the impact of SA’s oil exports, </w:t>
      </w:r>
      <w:r w:rsidR="00733B3B" w:rsidRPr="00DA7619">
        <w:t xml:space="preserve">the indicator is in </w:t>
      </w:r>
      <w:r w:rsidR="00733B3B">
        <w:t>current – not constant – dollar</w:t>
      </w:r>
      <w:r>
        <w:t xml:space="preserve">s.  </w:t>
      </w:r>
      <w:r w:rsidR="00EB274C">
        <w:t xml:space="preserve">As petroleum revenues worked their way through the economy, cost-of-living price rises reduced the real gains for the population, and the government </w:t>
      </w:r>
      <w:r>
        <w:t>was exploring</w:t>
      </w:r>
      <w:r w:rsidR="00EB274C">
        <w:t xml:space="preserve"> alternative development </w:t>
      </w:r>
      <w:r>
        <w:t>elements</w:t>
      </w:r>
      <w:r w:rsidR="00EB274C">
        <w:t xml:space="preserve"> to reduce the country’s dependence on oil resources.  (The cost of living index rose from </w:t>
      </w:r>
      <w:proofErr w:type="gramStart"/>
      <w:r w:rsidR="00EB274C">
        <w:t xml:space="preserve">just </w:t>
      </w:r>
      <w:r>
        <w:t xml:space="preserve"> a</w:t>
      </w:r>
      <w:proofErr w:type="gramEnd"/>
      <w:r>
        <w:t xml:space="preserve"> </w:t>
      </w:r>
      <w:r w:rsidR="00EB274C">
        <w:t xml:space="preserve">0.3 percent annual increase in 2004, climbing with the oil boom to 4.1 percent in 2007, and was to hit 9.9% by 2008; see Figure 2.2.  This means that the fruits of rising national revenues were being </w:t>
      </w:r>
      <w:r w:rsidR="00311582">
        <w:t>denied to</w:t>
      </w:r>
      <w:r w:rsidR="00EB274C">
        <w:t xml:space="preserve"> the population </w:t>
      </w:r>
      <w:r w:rsidR="00311582">
        <w:t xml:space="preserve">by </w:t>
      </w:r>
      <w:r>
        <w:t xml:space="preserve">the pressures of </w:t>
      </w:r>
      <w:r w:rsidR="00311582">
        <w:t>inflation</w:t>
      </w:r>
      <w:r w:rsidR="00EB274C">
        <w:t>.)  The eighth five-year development plan (2005-2009) was designed to address a number of emerging issues.</w:t>
      </w:r>
    </w:p>
    <w:p w:rsidR="008B6754" w:rsidRDefault="008B6754">
      <w:pPr>
        <w:rPr>
          <w:b/>
          <w:bCs/>
          <w:color w:val="4F81BD" w:themeColor="accent1"/>
          <w:sz w:val="18"/>
          <w:szCs w:val="18"/>
        </w:rPr>
      </w:pPr>
      <w:r>
        <w:br w:type="page"/>
      </w:r>
    </w:p>
    <w:p w:rsidR="00EB274C" w:rsidRDefault="008B6754" w:rsidP="008B6754">
      <w:pPr>
        <w:pStyle w:val="Caption"/>
      </w:pPr>
      <w:bookmarkStart w:id="8" w:name="_Toc325871720"/>
      <w:proofErr w:type="gramStart"/>
      <w:r>
        <w:t xml:space="preserve">Figure </w:t>
      </w:r>
      <w:fldSimple w:instr=" STYLEREF 1 \s ">
        <w:r w:rsidR="00E41BFC">
          <w:rPr>
            <w:noProof/>
          </w:rPr>
          <w:t>1</w:t>
        </w:r>
      </w:fldSimple>
      <w:r w:rsidR="00E41BFC">
        <w:noBreakHyphen/>
      </w:r>
      <w:fldSimple w:instr=" SEQ Figure \* ARABIC \s 1 ">
        <w:r w:rsidR="00E41BFC">
          <w:rPr>
            <w:noProof/>
          </w:rPr>
          <w:t>2</w:t>
        </w:r>
      </w:fldSimple>
      <w:r>
        <w:t>.</w:t>
      </w:r>
      <w:proofErr w:type="gramEnd"/>
      <w:r>
        <w:t xml:space="preserve">  Income eroded by inflation, 2004-2008</w:t>
      </w:r>
      <w:bookmarkEnd w:id="8"/>
    </w:p>
    <w:p w:rsidR="00EB274C" w:rsidRDefault="00EB274C" w:rsidP="00EB274C">
      <w:pPr>
        <w:jc w:val="center"/>
        <w:rPr>
          <w:lang w:val="en-CA"/>
        </w:rPr>
      </w:pPr>
      <w:r w:rsidRPr="00EB274C">
        <w:rPr>
          <w:noProof/>
          <w:lang w:val="en-US"/>
        </w:rPr>
        <w:drawing>
          <wp:inline distT="0" distB="0" distL="0" distR="0">
            <wp:extent cx="4572000" cy="2746375"/>
            <wp:effectExtent l="19050" t="0" r="1905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274C" w:rsidRPr="008B6754" w:rsidRDefault="008B6754" w:rsidP="00C370D8">
      <w:pPr>
        <w:rPr>
          <w:sz w:val="18"/>
          <w:lang w:val="en-CA"/>
        </w:rPr>
      </w:pPr>
      <w:r w:rsidRPr="008B6754">
        <w:rPr>
          <w:sz w:val="18"/>
          <w:lang w:val="en-CA"/>
        </w:rPr>
        <w:t>Source:  Author’s construction from WDI and KSA-MEP (see References)</w:t>
      </w:r>
    </w:p>
    <w:p w:rsidR="00C370D8" w:rsidRPr="00C370D8" w:rsidRDefault="00C370D8" w:rsidP="00C370D8">
      <w:r>
        <w:rPr>
          <w:lang w:val="en-CA"/>
        </w:rPr>
        <w:t>The eighth plan focussed on diversification of the economy, optimizing domestic processing, downstream petrochemical and other industries to capture more value</w:t>
      </w:r>
      <w:r w:rsidR="008B6754">
        <w:rPr>
          <w:lang w:val="en-CA"/>
        </w:rPr>
        <w:t>-added</w:t>
      </w:r>
      <w:r>
        <w:rPr>
          <w:lang w:val="en-CA"/>
        </w:rPr>
        <w:t xml:space="preserve">, </w:t>
      </w:r>
      <w:r>
        <w:t xml:space="preserve">improve technology and foster </w:t>
      </w:r>
      <w:r w:rsidRPr="00C370D8">
        <w:t>sustainable growth</w:t>
      </w:r>
      <w:r>
        <w:t>.  In parallel, it aimed to solve</w:t>
      </w:r>
      <w:r>
        <w:rPr>
          <w:lang w:val="en-CA"/>
        </w:rPr>
        <w:t xml:space="preserve"> human</w:t>
      </w:r>
      <w:r w:rsidRPr="00C370D8">
        <w:t xml:space="preserve"> resource</w:t>
      </w:r>
      <w:r w:rsidR="00311582">
        <w:t xml:space="preserve"> and employment</w:t>
      </w:r>
      <w:r w:rsidRPr="00C370D8">
        <w:t xml:space="preserve"> </w:t>
      </w:r>
      <w:proofErr w:type="spellStart"/>
      <w:r w:rsidR="008B6754">
        <w:t>mis</w:t>
      </w:r>
      <w:proofErr w:type="spellEnd"/>
      <w:r w:rsidR="008B6754">
        <w:t>-matches</w:t>
      </w:r>
      <w:r>
        <w:t xml:space="preserve"> with improved training of its young population, widening job opportunities and increased Saudization of the work force.  These objectives were set in a context of preparing for greater integration into the globalizing economy including accession to the World Trade Organization (WTO)</w:t>
      </w:r>
      <w:r w:rsidR="00311582">
        <w:t>, and accelerating</w:t>
      </w:r>
      <w:r w:rsidR="0050021E">
        <w:t xml:space="preserve"> the process of privatization and export enhancement.</w:t>
      </w:r>
    </w:p>
    <w:p w:rsidR="00DC5A10" w:rsidRPr="005C55C3" w:rsidRDefault="00880653" w:rsidP="00DC5A10">
      <w:r w:rsidRPr="00CF5029">
        <w:t xml:space="preserve">UNDP-SA was </w:t>
      </w:r>
      <w:r w:rsidR="00E83AF2">
        <w:t>well prepared</w:t>
      </w:r>
      <w:r w:rsidRPr="00CF5029">
        <w:t xml:space="preserve"> to support </w:t>
      </w:r>
      <w:r w:rsidR="0002124E" w:rsidRPr="00CF5029">
        <w:t xml:space="preserve">the country’s </w:t>
      </w:r>
      <w:r w:rsidR="0050021E" w:rsidRPr="00CF5029">
        <w:t xml:space="preserve">efforts, and undertook a series of round-table </w:t>
      </w:r>
      <w:r w:rsidR="00CF5029">
        <w:t xml:space="preserve">discussions </w:t>
      </w:r>
      <w:r w:rsidR="00CF5029" w:rsidRPr="00CF5029">
        <w:rPr>
          <w:rFonts w:cs="TimesNewRoman"/>
          <w:lang w:val="en-CA"/>
        </w:rPr>
        <w:t>involving all stakeholders,</w:t>
      </w:r>
      <w:r w:rsidR="00CF5029">
        <w:rPr>
          <w:rFonts w:cs="TimesNewRoman"/>
          <w:lang w:val="en-CA"/>
        </w:rPr>
        <w:t xml:space="preserve"> </w:t>
      </w:r>
      <w:r w:rsidR="00E83AF2">
        <w:rPr>
          <w:rFonts w:cs="TimesNewRoman"/>
          <w:lang w:val="en-CA"/>
        </w:rPr>
        <w:t>the g</w:t>
      </w:r>
      <w:r w:rsidR="00CF5029" w:rsidRPr="00CF5029">
        <w:rPr>
          <w:rFonts w:cs="TimesNewRoman"/>
          <w:lang w:val="en-CA"/>
        </w:rPr>
        <w:t>overnment, the private sector, civil society and</w:t>
      </w:r>
      <w:r w:rsidR="00CF5029">
        <w:rPr>
          <w:rFonts w:cs="TimesNewRoman"/>
          <w:lang w:val="en-CA"/>
        </w:rPr>
        <w:t xml:space="preserve"> UN agencies.  </w:t>
      </w:r>
      <w:r w:rsidR="00CF5029">
        <w:t>T</w:t>
      </w:r>
      <w:r w:rsidR="0073515B">
        <w:t xml:space="preserve">he CPD </w:t>
      </w:r>
      <w:r w:rsidR="00CF5029">
        <w:t xml:space="preserve">resulting from these consultations </w:t>
      </w:r>
      <w:r w:rsidR="00DE1B6E">
        <w:t xml:space="preserve">described the </w:t>
      </w:r>
      <w:r w:rsidR="00CF5029">
        <w:t xml:space="preserve">new </w:t>
      </w:r>
      <w:r w:rsidR="0073515B">
        <w:t>coo</w:t>
      </w:r>
      <w:r w:rsidR="00D47C0C">
        <w:t xml:space="preserve">peration </w:t>
      </w:r>
      <w:r w:rsidR="00DE1B6E">
        <w:t xml:space="preserve">programme as </w:t>
      </w:r>
      <w:r w:rsidR="00DE1B6E" w:rsidRPr="005C55C3">
        <w:t>“</w:t>
      </w:r>
      <w:r w:rsidR="00D47C0C">
        <w:t>a flexible</w:t>
      </w:r>
      <w:r w:rsidR="003B614C" w:rsidRPr="005C55C3">
        <w:t xml:space="preserve"> </w:t>
      </w:r>
      <w:r w:rsidR="0073515B" w:rsidRPr="005C55C3">
        <w:t xml:space="preserve">partnership between Saudi Arabia and </w:t>
      </w:r>
      <w:r w:rsidR="0073515B">
        <w:t>UNDP</w:t>
      </w:r>
      <w:r w:rsidR="00DE1B6E">
        <w:t xml:space="preserve">, </w:t>
      </w:r>
      <w:r w:rsidR="00DE1B6E" w:rsidRPr="005C55C3">
        <w:t>anchored</w:t>
      </w:r>
      <w:r w:rsidR="00DC5A10" w:rsidRPr="005C55C3">
        <w:t xml:space="preserve"> in the overall development priorities of the country, as outlined in the eighth and ninth development plans.</w:t>
      </w:r>
      <w:r w:rsidR="00CF5029">
        <w:t xml:space="preserve"> </w:t>
      </w:r>
      <w:r w:rsidR="00DC5A10" w:rsidRPr="003D3DA5">
        <w:t>The plans recognize challenges that the Country Programme intends to address, including greater diversification of the sustainable base of the economy, enhanced efficiency of the public sector and the full participation of youth and women in socio-economic progress. The plan’s overall objectives aim at enhancing the living standards of Saudi citizens by increasing their livelihood opportunities through entrepreneurship, investment and employment, and at maximizing the benefits from the current growth trends and the integration into the global economy. Moreover, the country believes it has a regional and global responsibility and has a substantial official development assistance (</w:t>
      </w:r>
      <w:r w:rsidR="00DC5A10" w:rsidRPr="005C55C3">
        <w:t xml:space="preserve">ODA) programme </w:t>
      </w:r>
      <w:r w:rsidR="003B614C" w:rsidRPr="005C55C3">
        <w:t xml:space="preserve">that benefits poorer countries” </w:t>
      </w:r>
      <w:r w:rsidR="00D96907" w:rsidRPr="005C55C3">
        <w:fldChar w:fldCharType="begin"/>
      </w:r>
      <w:r w:rsidR="002B3DEF">
        <w:instrText xml:space="preserve"> ADDIN EN.CITE &lt;EndNote&gt;&lt;Cite&gt;&lt;Author&gt;UNDP Saudi Arabia&lt;/Author&gt;&lt;Year&gt;2006&lt;/Year&gt;&lt;RecNum&gt;1054&lt;/RecNum&gt;&lt;Suffix&gt;, pp. 3-4&lt;/Suffix&gt;&lt;record&gt;&lt;rec-number&gt;1054&lt;/rec-number&gt;&lt;ref-type name="Report"&gt;27&lt;/ref-type&gt;&lt;contributors&gt;&lt;authors&gt;&lt;author&gt;UNDP Saudi Arabia,&lt;/author&gt;&lt;/authors&gt;&lt;/contributors&gt;&lt;titles&gt;&lt;title&gt;Country programme document for Saudi Arabia (2007-2011)&lt;/title&gt;&lt;/titles&gt;&lt;pages&gt;9&lt;/pages&gt;&lt;dates&gt;&lt;year&gt;2006&lt;/year&gt;&lt;/dates&gt;&lt;pub-location&gt;New York&lt;/pub-location&gt;&lt;publisher&gt;Executive Board of the United Nations Development Programme and of the United Nations Population Fund&lt;/publisher&gt;&lt;urls&gt;&lt;related-urls&gt;&lt;url&gt;http://www.undp.org.sa/sa/documents/home/cpd_2007_2011.pdf&lt;/url&gt;&lt;/related-urls&gt;&lt;/urls&gt;&lt;/record&gt;&lt;/Cite&gt;&lt;/EndNote&gt;</w:instrText>
      </w:r>
      <w:r w:rsidR="00D96907" w:rsidRPr="005C55C3">
        <w:fldChar w:fldCharType="separate"/>
      </w:r>
      <w:r w:rsidR="003B614C" w:rsidRPr="005C55C3">
        <w:t>(UNDP Saudi Arabia 2006, pp. 3-4)</w:t>
      </w:r>
      <w:r w:rsidR="00D96907" w:rsidRPr="005C55C3">
        <w:fldChar w:fldCharType="end"/>
      </w:r>
      <w:r w:rsidR="003B614C" w:rsidRPr="005C55C3">
        <w:t>.</w:t>
      </w:r>
      <w:r w:rsidR="005658D1" w:rsidRPr="005658D1">
        <w:rPr>
          <w:rStyle w:val="FootnoteReference"/>
        </w:rPr>
        <w:t xml:space="preserve"> </w:t>
      </w:r>
      <w:r w:rsidR="005658D1">
        <w:rPr>
          <w:rStyle w:val="FootnoteReference"/>
        </w:rPr>
        <w:footnoteReference w:id="2"/>
      </w:r>
    </w:p>
    <w:p w:rsidR="00DC5A10" w:rsidRDefault="00AA0E26" w:rsidP="00DC5A10">
      <w:r w:rsidRPr="005C55C3">
        <w:t xml:space="preserve">The CPD </w:t>
      </w:r>
      <w:r w:rsidR="00DC5A10" w:rsidRPr="005C55C3">
        <w:t xml:space="preserve">and the </w:t>
      </w:r>
      <w:r w:rsidR="00C17F2D">
        <w:t xml:space="preserve">subsequent </w:t>
      </w:r>
      <w:r w:rsidR="00DC5A10" w:rsidRPr="005C55C3">
        <w:t xml:space="preserve">Country Programme Action Plan </w:t>
      </w:r>
      <w:r w:rsidR="00C17F2D">
        <w:t xml:space="preserve">review </w:t>
      </w:r>
      <w:r w:rsidR="00E83AF2">
        <w:t>of 2008 articulated</w:t>
      </w:r>
      <w:r w:rsidR="00DC5A10" w:rsidRPr="005C55C3">
        <w:t xml:space="preserve"> five development outcomes to which UNDP would contribute. Outcome 2 </w:t>
      </w:r>
      <w:r w:rsidR="00D55252">
        <w:t>was defined as</w:t>
      </w:r>
      <w:r w:rsidR="005C55C3" w:rsidRPr="005C55C3">
        <w:t>: “</w:t>
      </w:r>
      <w:r w:rsidR="00E83AF2">
        <w:t>The e</w:t>
      </w:r>
      <w:r w:rsidR="00DC5A10" w:rsidRPr="005C55C3">
        <w:t xml:space="preserve">conomic framework </w:t>
      </w:r>
      <w:r w:rsidR="005C55C3" w:rsidRPr="005C55C3">
        <w:t xml:space="preserve">is </w:t>
      </w:r>
      <w:r w:rsidR="00DC5A10" w:rsidRPr="005C55C3">
        <w:t xml:space="preserve">diversified to encourage tourism, international trade and </w:t>
      </w:r>
      <w:r w:rsidR="005C55C3" w:rsidRPr="005C55C3">
        <w:t>foreign direct investment (</w:t>
      </w:r>
      <w:r w:rsidR="00DC5A10" w:rsidRPr="005C55C3">
        <w:t>FDI</w:t>
      </w:r>
      <w:r w:rsidR="005C55C3" w:rsidRPr="005C55C3">
        <w:t>)”</w:t>
      </w:r>
      <w:r w:rsidR="005C55C3">
        <w:t xml:space="preserve"> </w:t>
      </w:r>
      <w:r w:rsidR="00D96907">
        <w:fldChar w:fldCharType="begin"/>
      </w:r>
      <w:r w:rsidR="002B3DEF">
        <w:instrText xml:space="preserve"> ADDIN EN.CITE &lt;EndNote&gt;&lt;Cite&gt;&lt;Author&gt;UNDP Saudi Arabia&lt;/Author&gt;&lt;Year&gt;2008&lt;/Year&gt;&lt;RecNum&gt;1056&lt;/RecNum&gt;&lt;record&gt;&lt;rec-number&gt;1056&lt;/rec-number&gt;&lt;ref-type name="Report"&gt;27&lt;/ref-type&gt;&lt;contributors&gt;&lt;authors&gt;&lt;author&gt;UNDP Saudi Arabia,&lt;/author&gt;&lt;/authors&gt;&lt;/contributors&gt;&lt;titles&gt;&lt;title&gt;Country Programme Action Plan&lt;/title&gt;&lt;/titles&gt;&lt;pages&gt;9&lt;/pages&gt;&lt;dates&gt;&lt;year&gt;2008&lt;/year&gt;&lt;/dates&gt;&lt;pub-location&gt;Riyadh&lt;/pub-location&gt;&lt;publisher&gt;Government of the Kingdom of Saudi Arabia and UNDP SA Country Office&lt;/publisher&gt;&lt;urls&gt;&lt;related-urls&gt;&lt;url&gt;www.undp.org.sa/sa/.../cpap_narrative_review_final-mwt-matrix.doc&lt;/url&gt;&lt;/related-urls&gt;&lt;/urls&gt;&lt;research-notes&gt;link ?? dsnt work, but doc found Srch - COMMON FRAMEWORK FOR THE COUNTRY PROGRAMME ...&amp;#xD;or, try:  saudi cpap rrf&lt;/research-notes&gt;&lt;/record&gt;&lt;/Cite&gt;&lt;/EndNote&gt;</w:instrText>
      </w:r>
      <w:r w:rsidR="00D96907">
        <w:fldChar w:fldCharType="separate"/>
      </w:r>
      <w:r w:rsidR="005C55C3">
        <w:t>(UNDP Saudi Arabia 2008)</w:t>
      </w:r>
      <w:r w:rsidR="00D96907">
        <w:fldChar w:fldCharType="end"/>
      </w:r>
      <w:r w:rsidR="00DC5A10" w:rsidRPr="005C55C3">
        <w:t xml:space="preserve">.  </w:t>
      </w:r>
    </w:p>
    <w:p w:rsidR="00C17F2D" w:rsidRDefault="00C17F2D" w:rsidP="00C17F2D">
      <w:r w:rsidRPr="005C55C3">
        <w:t xml:space="preserve">This outcome evaluation will provide </w:t>
      </w:r>
      <w:r w:rsidR="00E83AF2">
        <w:t xml:space="preserve">an assessment of </w:t>
      </w:r>
      <w:r w:rsidRPr="005C55C3">
        <w:t>(</w:t>
      </w:r>
      <w:proofErr w:type="spellStart"/>
      <w:r w:rsidRPr="005C55C3">
        <w:t>i</w:t>
      </w:r>
      <w:proofErr w:type="spellEnd"/>
      <w:r w:rsidRPr="005C55C3">
        <w:t>) the contributions that UNDP has made to the diversification of economy outputs under Outcome 2 of the CP, (ii) whether the UNDP strategy has been effective, and (iii) whether some adjustments are needed so that UNDP can stay relevant in the field in future.</w:t>
      </w:r>
      <w:r w:rsidR="00E83AF2">
        <w:t xml:space="preserve">  The report is organized as follows:  following this </w:t>
      </w:r>
      <w:r w:rsidR="00725264">
        <w:t>Introduction</w:t>
      </w:r>
      <w:r w:rsidR="00E83AF2">
        <w:t xml:space="preserve">, Chapter 2 gives some background to </w:t>
      </w:r>
      <w:r w:rsidR="007A735C">
        <w:t>the SA development setting</w:t>
      </w:r>
      <w:r w:rsidR="00CD0D1C">
        <w:t xml:space="preserve">.  Chapter 3, Findings and Conclusions, presents </w:t>
      </w:r>
      <w:r w:rsidR="004F746F">
        <w:t>the assessment in four sections:  the progress the Kingdom has made toward achievement of Outcome 2; factors in the economy, and in the institutional and global setting, that may have affected the outcome under consideration; the contributions UNDP’s programme made toward achievement of the outcome; and lastly, the role of UNDP’s partnership strategy in the observed progress.</w:t>
      </w:r>
      <w:r w:rsidR="00882F51">
        <w:t xml:space="preserve">  Chapter 4 presents lessons learned and recommendations for the future cooperation programme.</w:t>
      </w:r>
    </w:p>
    <w:p w:rsidR="007F74FF" w:rsidRDefault="007F74FF" w:rsidP="00C17F2D">
      <w:r>
        <w:t xml:space="preserve">The Annexes </w:t>
      </w:r>
      <w:r w:rsidR="00D57EF4">
        <w:t xml:space="preserve">and References </w:t>
      </w:r>
      <w:r>
        <w:t xml:space="preserve">are ordered as follows:  </w:t>
      </w:r>
    </w:p>
    <w:p w:rsidR="007F74FF" w:rsidRDefault="007F74FF" w:rsidP="007F74FF">
      <w:pPr>
        <w:spacing w:before="0" w:after="0"/>
      </w:pPr>
      <w:r>
        <w:t>Annex</w:t>
      </w:r>
      <w:r w:rsidR="00727B15">
        <w:t xml:space="preserve"> 1.  FDI Inflows vs. Net FDI </w:t>
      </w:r>
      <w:r w:rsidR="00D57EF4">
        <w:t>Inf</w:t>
      </w:r>
      <w:r w:rsidR="00727B15">
        <w:t>lows</w:t>
      </w:r>
    </w:p>
    <w:p w:rsidR="007F74FF" w:rsidRDefault="007F74FF" w:rsidP="007F74FF">
      <w:pPr>
        <w:spacing w:before="0" w:after="0"/>
      </w:pPr>
      <w:r>
        <w:t>Annex</w:t>
      </w:r>
      <w:r w:rsidR="00727B15">
        <w:t xml:space="preserve"> 2.  Note on Methodology</w:t>
      </w:r>
    </w:p>
    <w:p w:rsidR="007F74FF" w:rsidRDefault="007F74FF" w:rsidP="007F74FF">
      <w:pPr>
        <w:spacing w:before="0" w:after="0"/>
      </w:pPr>
      <w:r>
        <w:t>Annex</w:t>
      </w:r>
      <w:r w:rsidR="00727B15">
        <w:t xml:space="preserve"> 3.  Terms of Reference of the Assignment </w:t>
      </w:r>
    </w:p>
    <w:p w:rsidR="007F74FF" w:rsidRPr="005C55C3" w:rsidRDefault="007F74FF" w:rsidP="007F74FF">
      <w:pPr>
        <w:spacing w:before="0" w:after="0"/>
      </w:pPr>
      <w:r>
        <w:t>Annex</w:t>
      </w:r>
      <w:r w:rsidR="00727B15">
        <w:t xml:space="preserve"> 4.  Persons Met</w:t>
      </w:r>
    </w:p>
    <w:p w:rsidR="007F74FF" w:rsidRDefault="007F74FF" w:rsidP="007F74FF">
      <w:pPr>
        <w:spacing w:before="0" w:after="0"/>
      </w:pPr>
      <w:r>
        <w:t>Annex</w:t>
      </w:r>
      <w:r w:rsidR="00727B15">
        <w:t xml:space="preserve"> 5.  Selected Documents Reviewed</w:t>
      </w:r>
    </w:p>
    <w:p w:rsidR="007F74FF" w:rsidRDefault="007F74FF" w:rsidP="007F74FF">
      <w:pPr>
        <w:spacing w:before="0" w:after="0"/>
      </w:pPr>
      <w:r>
        <w:t>Annex</w:t>
      </w:r>
      <w:r w:rsidR="00727B15">
        <w:t xml:space="preserve"> 6.  Biography of the Evaluator</w:t>
      </w:r>
    </w:p>
    <w:p w:rsidR="00727B15" w:rsidRDefault="00727B15" w:rsidP="007F74FF">
      <w:pPr>
        <w:spacing w:before="0" w:after="0"/>
      </w:pPr>
      <w:r>
        <w:t>Annex 7.  Code of Conduct of the Evaluator</w:t>
      </w:r>
    </w:p>
    <w:p w:rsidR="00D57EF4" w:rsidRDefault="00D57EF4" w:rsidP="007F74FF">
      <w:pPr>
        <w:spacing w:before="0" w:after="0"/>
      </w:pPr>
      <w:r>
        <w:t>References</w:t>
      </w:r>
    </w:p>
    <w:p w:rsidR="00C17F2D" w:rsidRDefault="007A735C" w:rsidP="00C17F2D">
      <w:pPr>
        <w:pStyle w:val="Heading1"/>
        <w:numPr>
          <w:ilvl w:val="0"/>
          <w:numId w:val="1"/>
        </w:numPr>
      </w:pPr>
      <w:bookmarkStart w:id="9" w:name="_Toc325871757"/>
      <w:r>
        <w:t>Saudi Arabia</w:t>
      </w:r>
      <w:r w:rsidR="00C17F2D">
        <w:t xml:space="preserve"> and </w:t>
      </w:r>
      <w:r w:rsidR="00124802">
        <w:t xml:space="preserve">the </w:t>
      </w:r>
      <w:r w:rsidR="00C17F2D">
        <w:t>Development Context</w:t>
      </w:r>
      <w:bookmarkEnd w:id="9"/>
    </w:p>
    <w:p w:rsidR="007F60D5" w:rsidRPr="007F60D5" w:rsidRDefault="007A735C" w:rsidP="007F60D5">
      <w:pPr>
        <w:pStyle w:val="Heading2"/>
        <w:numPr>
          <w:ilvl w:val="1"/>
          <w:numId w:val="1"/>
        </w:numPr>
      </w:pPr>
      <w:bookmarkStart w:id="10" w:name="_Toc325871758"/>
      <w:r>
        <w:t>A long history of cooperation</w:t>
      </w:r>
      <w:bookmarkEnd w:id="10"/>
    </w:p>
    <w:p w:rsidR="007A735C" w:rsidRDefault="00695460" w:rsidP="00FE0894">
      <w:r w:rsidRPr="002B1675">
        <w:t xml:space="preserve">UNDP and Saudi Arabia have </w:t>
      </w:r>
      <w:r w:rsidR="00A351AA" w:rsidRPr="002B1675">
        <w:t>a long history of</w:t>
      </w:r>
      <w:r w:rsidRPr="002B1675">
        <w:t xml:space="preserve"> cooperation</w:t>
      </w:r>
      <w:r w:rsidR="00A351AA" w:rsidRPr="002B1675">
        <w:t xml:space="preserve">, since </w:t>
      </w:r>
      <w:r w:rsidR="009F3790">
        <w:t>UNDP’s</w:t>
      </w:r>
      <w:r w:rsidR="00A351AA" w:rsidRPr="002B1675">
        <w:t xml:space="preserve"> launch in</w:t>
      </w:r>
      <w:r w:rsidR="00D84875" w:rsidRPr="002B1675">
        <w:t xml:space="preserve"> 1966.  Projects in the early years focussed on the initial foundations of national development including natural resource management and environment.  In the 1980s </w:t>
      </w:r>
      <w:r w:rsidR="00C3413D">
        <w:t>and ’</w:t>
      </w:r>
      <w:r w:rsidR="00D84875" w:rsidRPr="002B1675">
        <w:t>90s, emphasis moved to industrial development for economic diversification beyond oil exports, issues posed by globalization and trade participation, development of the private sector, education, social protection and community development, as well as more upstream policy advice and governance activities</w:t>
      </w:r>
      <w:r w:rsidR="002B1675" w:rsidRPr="002B1675">
        <w:t>, design of national development plans and related policies for public administration</w:t>
      </w:r>
      <w:r w:rsidR="002B1675">
        <w:t xml:space="preserve">.  </w:t>
      </w:r>
      <w:r w:rsidR="004D0F1A">
        <w:t xml:space="preserve">By the turn of the millennium, the development agenda became focused on achieving the Millennium Development Goals (MDGs), alongside the continuing attention to sustainable development and public sector reform.  </w:t>
      </w:r>
      <w:r w:rsidR="002B1675">
        <w:t xml:space="preserve">From the beginning, cooperation programmes were financed entirely from government resources </w:t>
      </w:r>
      <w:r w:rsidR="00D96907">
        <w:fldChar w:fldCharType="begin"/>
      </w:r>
      <w:r w:rsidR="002B3DEF">
        <w:instrText xml:space="preserve"> ADDIN EN.CITE &lt;EndNote&gt;&lt;Cite&gt;&lt;Author&gt;Khoday&lt;/Author&gt;&lt;Year&gt;2010&lt;/Year&gt;&lt;RecNum&gt;1059&lt;/RecNum&gt;&lt;record&gt;&lt;rec-number&gt;1059&lt;/rec-number&gt;&lt;ref-type name="Report"&gt;27&lt;/ref-type&gt;&lt;contributors&gt;&lt;authors&gt;&lt;author&gt;Kishan Khoday&lt;/author&gt;&lt;/authors&gt;&lt;/contributors&gt;&lt;titles&gt;&lt;title&gt;UNDP and Saudi Arabia:  A Partnership in Human Development, 1965-2010&lt;/title&gt;&lt;/titles&gt;&lt;pages&gt;18&lt;/pages&gt;&lt;dates&gt;&lt;year&gt;2010&lt;/year&gt;&lt;/dates&gt;&lt;pub-location&gt;Riyadh&lt;/pub-location&gt;&lt;publisher&gt;UNDP Saudi Arabia&lt;/publisher&gt;&lt;urls&gt;&lt;related-urls&gt;&lt;url&gt;unpublished manuscript&lt;/url&gt;&lt;/related-urls&gt;&lt;/urls&gt;&lt;/record&gt;&lt;/Cite&gt;&lt;/EndNote&gt;</w:instrText>
      </w:r>
      <w:r w:rsidR="00D96907">
        <w:fldChar w:fldCharType="separate"/>
      </w:r>
      <w:r w:rsidR="002B1675">
        <w:t>(Khoday 2010)</w:t>
      </w:r>
      <w:r w:rsidR="00D96907">
        <w:fldChar w:fldCharType="end"/>
      </w:r>
      <w:r w:rsidR="00D84875" w:rsidRPr="002B1675">
        <w:t>.</w:t>
      </w:r>
      <w:r w:rsidR="007A735C">
        <w:t xml:space="preserve">  </w:t>
      </w:r>
      <w:r w:rsidR="007A735C" w:rsidRPr="00DA7619">
        <w:t>Saudi Arabia</w:t>
      </w:r>
      <w:r w:rsidR="007A735C">
        <w:t xml:space="preserve"> is a net donor to the UN system, classified as a net contributing country (NCC)</w:t>
      </w:r>
      <w:r w:rsidR="007A735C" w:rsidRPr="00DA7619">
        <w:t>.</w:t>
      </w:r>
      <w:r w:rsidR="007A735C">
        <w:t xml:space="preserve">  NCCs </w:t>
      </w:r>
      <w:r w:rsidR="007A735C" w:rsidRPr="00DA7619">
        <w:t xml:space="preserve">finance their programmes almost entirely </w:t>
      </w:r>
      <w:r w:rsidR="007A735C">
        <w:t>via financing by</w:t>
      </w:r>
      <w:r w:rsidR="007A735C" w:rsidRPr="00DA7619">
        <w:t xml:space="preserve"> their respective governments.</w:t>
      </w:r>
      <w:r w:rsidR="007A735C">
        <w:t xml:space="preserve">  </w:t>
      </w:r>
    </w:p>
    <w:p w:rsidR="00695460" w:rsidRDefault="007656CB" w:rsidP="00B82A60">
      <w:pPr>
        <w:pStyle w:val="Heading2"/>
        <w:numPr>
          <w:ilvl w:val="1"/>
          <w:numId w:val="1"/>
        </w:numPr>
      </w:pPr>
      <w:bookmarkStart w:id="11" w:name="_Toc325871759"/>
      <w:r>
        <w:t>Framing</w:t>
      </w:r>
      <w:r w:rsidR="002B1675">
        <w:t xml:space="preserve"> the Country Programme 2007-11</w:t>
      </w:r>
      <w:bookmarkEnd w:id="11"/>
    </w:p>
    <w:p w:rsidR="007656CB" w:rsidRPr="007656CB" w:rsidRDefault="007656CB" w:rsidP="007656CB">
      <w:pPr>
        <w:pStyle w:val="Heading3"/>
        <w:numPr>
          <w:ilvl w:val="2"/>
          <w:numId w:val="1"/>
        </w:numPr>
      </w:pPr>
      <w:bookmarkStart w:id="12" w:name="_Toc325871760"/>
      <w:r>
        <w:t>The economic development setting</w:t>
      </w:r>
      <w:bookmarkEnd w:id="12"/>
    </w:p>
    <w:p w:rsidR="00A93ADC" w:rsidRDefault="002B1675" w:rsidP="00DB5C92">
      <w:pPr>
        <w:rPr>
          <w:rFonts w:cs="TimesNewRoman"/>
          <w:lang w:val="en-CA"/>
        </w:rPr>
      </w:pPr>
      <w:r>
        <w:t>In 2006, a</w:t>
      </w:r>
      <w:r w:rsidR="00B75A21" w:rsidRPr="009C4E28">
        <w:t xml:space="preserve">t the time of developing the </w:t>
      </w:r>
      <w:r>
        <w:t xml:space="preserve">2007-11 </w:t>
      </w:r>
      <w:r w:rsidR="00B75A21" w:rsidRPr="009C4E28">
        <w:t>country programme (CP)</w:t>
      </w:r>
      <w:r w:rsidR="00AC4974" w:rsidRPr="009C4E28">
        <w:t xml:space="preserve"> with UNDP,</w:t>
      </w:r>
      <w:r w:rsidR="00B75A21" w:rsidRPr="009C4E28">
        <w:t xml:space="preserve"> </w:t>
      </w:r>
      <w:r w:rsidR="00A93ADC" w:rsidRPr="009C4E28">
        <w:t xml:space="preserve">Saudi Arabia had a population of 22.7 million, of whom 6.1 million </w:t>
      </w:r>
      <w:r w:rsidR="005F0AAA">
        <w:t xml:space="preserve">or 27 percent </w:t>
      </w:r>
      <w:r w:rsidR="00A93ADC" w:rsidRPr="009C4E28">
        <w:t>were expatriates.</w:t>
      </w:r>
      <w:r w:rsidR="009D505C">
        <w:rPr>
          <w:rStyle w:val="FootnoteReference"/>
        </w:rPr>
        <w:footnoteReference w:id="3"/>
      </w:r>
      <w:r w:rsidR="00A93ADC" w:rsidRPr="009C4E28">
        <w:t xml:space="preserve">  These numbers posed a particular human development challenge, </w:t>
      </w:r>
      <w:r w:rsidR="005B3980">
        <w:t>as the country envisaged</w:t>
      </w:r>
      <w:r w:rsidR="00A93ADC" w:rsidRPr="009C4E28">
        <w:t xml:space="preserve"> </w:t>
      </w:r>
      <w:r w:rsidR="00A93ADC" w:rsidRPr="009C4E28">
        <w:rPr>
          <w:rFonts w:cs="TimesNewRoman"/>
          <w:lang w:val="en-CA"/>
        </w:rPr>
        <w:t xml:space="preserve">a gradual shift away from dependence on expatriate labour, and </w:t>
      </w:r>
      <w:r w:rsidR="005B3980">
        <w:rPr>
          <w:rFonts w:cs="TimesNewRoman"/>
          <w:lang w:val="en-CA"/>
        </w:rPr>
        <w:t>the creation of</w:t>
      </w:r>
      <w:r w:rsidR="00A93ADC" w:rsidRPr="009C4E28">
        <w:rPr>
          <w:rFonts w:cs="TimesNewRoman"/>
          <w:lang w:val="en-CA"/>
        </w:rPr>
        <w:t xml:space="preserve"> an environment for viable, value-adding and sustainable employment opportunities for new entrants in the labour market, especially youth and women.</w:t>
      </w:r>
      <w:r w:rsidR="009C4E28" w:rsidRPr="009C4E28">
        <w:rPr>
          <w:rFonts w:cs="TimesNewRoman"/>
          <w:lang w:val="en-CA"/>
        </w:rPr>
        <w:t xml:space="preserve">  Earning relatively high annual revenues from natural</w:t>
      </w:r>
      <w:r w:rsidR="009C4E28">
        <w:rPr>
          <w:rFonts w:cs="TimesNewRoman"/>
          <w:lang w:val="en-CA"/>
        </w:rPr>
        <w:t xml:space="preserve"> resources, Saudi Arabia had</w:t>
      </w:r>
      <w:r w:rsidR="009C4E28" w:rsidRPr="009C4E28">
        <w:rPr>
          <w:rFonts w:cs="TimesNewRoman"/>
          <w:lang w:val="en-CA"/>
        </w:rPr>
        <w:t xml:space="preserve"> invested significantly in physical infrastructure during the </w:t>
      </w:r>
      <w:r w:rsidR="005B3980">
        <w:rPr>
          <w:rFonts w:cs="TimesNewRoman"/>
          <w:lang w:val="en-CA"/>
        </w:rPr>
        <w:t>previous</w:t>
      </w:r>
      <w:r w:rsidR="009C4E28" w:rsidRPr="009C4E28">
        <w:rPr>
          <w:rFonts w:cs="TimesNewRoman"/>
          <w:lang w:val="en-CA"/>
        </w:rPr>
        <w:t xml:space="preserve"> few decades, in road</w:t>
      </w:r>
      <w:r w:rsidR="009C4E28">
        <w:rPr>
          <w:rFonts w:cs="TimesNewRoman"/>
          <w:lang w:val="en-CA"/>
        </w:rPr>
        <w:t xml:space="preserve"> </w:t>
      </w:r>
      <w:r w:rsidR="009C4E28" w:rsidRPr="009C4E28">
        <w:rPr>
          <w:rFonts w:cs="TimesNewRoman"/>
          <w:lang w:val="en-CA"/>
        </w:rPr>
        <w:t xml:space="preserve">networks, housing, hospitals, schools and </w:t>
      </w:r>
      <w:r w:rsidR="005B3980">
        <w:rPr>
          <w:rFonts w:cs="TimesNewRoman"/>
          <w:lang w:val="en-CA"/>
        </w:rPr>
        <w:t>more</w:t>
      </w:r>
      <w:r w:rsidR="009C4E28" w:rsidRPr="009C4E28">
        <w:rPr>
          <w:rFonts w:cs="TimesNewRoman"/>
          <w:lang w:val="en-CA"/>
        </w:rPr>
        <w:t xml:space="preserve"> recently, the information technology</w:t>
      </w:r>
      <w:r w:rsidR="009C4E28">
        <w:rPr>
          <w:rFonts w:cs="TimesNewRoman"/>
          <w:lang w:val="en-CA"/>
        </w:rPr>
        <w:t xml:space="preserve"> infrastructure. The economy had</w:t>
      </w:r>
      <w:r w:rsidR="009C4E28" w:rsidRPr="009C4E28">
        <w:rPr>
          <w:rFonts w:cs="TimesNewRoman"/>
          <w:lang w:val="en-CA"/>
        </w:rPr>
        <w:t xml:space="preserve"> gradually reduced dependence on oil revenues by diversifying into export industries such as metals, plastics</w:t>
      </w:r>
      <w:r w:rsidR="009C4E28">
        <w:rPr>
          <w:rFonts w:cs="TimesNewRoman"/>
          <w:lang w:val="en-CA"/>
        </w:rPr>
        <w:t xml:space="preserve"> </w:t>
      </w:r>
      <w:r w:rsidR="009C4E28" w:rsidRPr="009C4E28">
        <w:rPr>
          <w:rFonts w:cs="TimesNewRoman"/>
          <w:lang w:val="en-CA"/>
        </w:rPr>
        <w:t xml:space="preserve">and chemicals. </w:t>
      </w:r>
      <w:r w:rsidR="009C4E28">
        <w:rPr>
          <w:rFonts w:cs="TimesNewRoman"/>
          <w:lang w:val="en-CA"/>
        </w:rPr>
        <w:t>G</w:t>
      </w:r>
      <w:r w:rsidR="009C4E28" w:rsidRPr="009C4E28">
        <w:rPr>
          <w:rFonts w:cs="TimesNewRoman"/>
          <w:lang w:val="en-CA"/>
        </w:rPr>
        <w:t>ross domestic product</w:t>
      </w:r>
      <w:r w:rsidR="009C4E28">
        <w:rPr>
          <w:rFonts w:cs="TimesNewRoman"/>
          <w:lang w:val="en-CA"/>
        </w:rPr>
        <w:t>, always</w:t>
      </w:r>
      <w:r w:rsidR="009C4E28" w:rsidRPr="009C4E28">
        <w:rPr>
          <w:rFonts w:cs="TimesNewRoman"/>
          <w:lang w:val="en-CA"/>
        </w:rPr>
        <w:t xml:space="preserve"> impacted by global oil prices, after two decades of slow growth and </w:t>
      </w:r>
      <w:r w:rsidR="00E9436D">
        <w:rPr>
          <w:rFonts w:cs="TimesNewRoman"/>
          <w:lang w:val="en-CA"/>
        </w:rPr>
        <w:t xml:space="preserve">budget and trade deficits </w:t>
      </w:r>
      <w:r w:rsidR="009C4E28">
        <w:rPr>
          <w:rFonts w:cs="TimesNewRoman"/>
          <w:lang w:val="en-CA"/>
        </w:rPr>
        <w:t xml:space="preserve">recorded </w:t>
      </w:r>
      <w:r w:rsidR="009C4E28" w:rsidRPr="009C4E28">
        <w:rPr>
          <w:rFonts w:cs="TimesNewRoman"/>
          <w:lang w:val="en-CA"/>
        </w:rPr>
        <w:t>surpluses in 2004 an</w:t>
      </w:r>
      <w:r w:rsidR="00E9436D">
        <w:rPr>
          <w:rFonts w:cs="TimesNewRoman"/>
          <w:lang w:val="en-CA"/>
        </w:rPr>
        <w:t>d 2005, when growth rates of 5.3</w:t>
      </w:r>
      <w:r w:rsidR="009C4E28" w:rsidRPr="009C4E28">
        <w:rPr>
          <w:rFonts w:cs="TimesNewRoman"/>
          <w:lang w:val="en-CA"/>
        </w:rPr>
        <w:t xml:space="preserve"> per cent and </w:t>
      </w:r>
      <w:r w:rsidR="00E9436D">
        <w:rPr>
          <w:rFonts w:cs="TimesNewRoman"/>
          <w:lang w:val="en-CA"/>
        </w:rPr>
        <w:t>5.6</w:t>
      </w:r>
      <w:r w:rsidR="009C4E28" w:rsidRPr="009C4E28">
        <w:rPr>
          <w:rFonts w:cs="TimesNewRoman"/>
          <w:lang w:val="en-CA"/>
        </w:rPr>
        <w:t xml:space="preserve"> per </w:t>
      </w:r>
      <w:r w:rsidR="009C4E28">
        <w:rPr>
          <w:rFonts w:cs="TimesNewRoman"/>
          <w:lang w:val="en-CA"/>
        </w:rPr>
        <w:t>cent, r</w:t>
      </w:r>
      <w:r w:rsidR="009C4E28" w:rsidRPr="009C4E28">
        <w:rPr>
          <w:rFonts w:cs="TimesNewRoman"/>
          <w:lang w:val="en-CA"/>
        </w:rPr>
        <w:t>espectively, were recorded</w:t>
      </w:r>
      <w:r w:rsidR="003A322E">
        <w:rPr>
          <w:rFonts w:cs="TimesNewRoman"/>
          <w:lang w:val="en-CA"/>
        </w:rPr>
        <w:t>.</w:t>
      </w:r>
      <w:r w:rsidR="00E9436D">
        <w:rPr>
          <w:rFonts w:cs="TimesNewRoman"/>
          <w:lang w:val="en-CA"/>
        </w:rPr>
        <w:t xml:space="preserve"> </w:t>
      </w:r>
      <w:r w:rsidR="003A322E" w:rsidRPr="003A322E">
        <w:t>To sustain and strengthen the momentum towards economic growth resulting from its 2005 accession to the</w:t>
      </w:r>
      <w:r w:rsidR="003A322E">
        <w:t xml:space="preserve"> </w:t>
      </w:r>
      <w:r w:rsidR="003A322E" w:rsidRPr="003A322E">
        <w:t>World Trade Organization (WTO), the Government was making efforts to improve the investment climate in the</w:t>
      </w:r>
      <w:r w:rsidR="003A322E">
        <w:t xml:space="preserve"> </w:t>
      </w:r>
      <w:r w:rsidR="003A322E" w:rsidRPr="003A322E">
        <w:t>country</w:t>
      </w:r>
      <w:r w:rsidR="00F81EF9">
        <w:t xml:space="preserve"> </w:t>
      </w:r>
      <w:r w:rsidR="00D96907">
        <w:rPr>
          <w:rFonts w:cs="TimesNewRoman"/>
          <w:lang w:val="en-CA"/>
        </w:rPr>
        <w:fldChar w:fldCharType="begin"/>
      </w:r>
      <w:r w:rsidR="002B3DEF">
        <w:rPr>
          <w:rFonts w:cs="TimesNewRoman"/>
          <w:lang w:val="en-CA"/>
        </w:rPr>
        <w:instrText xml:space="preserve"> ADDIN EN.CITE &lt;EndNote&gt;&lt;Cite&gt;&lt;Author&gt;UNDP Saudi Arabia&lt;/Author&gt;&lt;Year&gt;2006&lt;/Year&gt;&lt;RecNum&gt;1054&lt;/RecNum&gt;&lt;Suffix&gt;, p. 2&lt;/Suffix&gt;&lt;record&gt;&lt;rec-number&gt;1054&lt;/rec-number&gt;&lt;ref-type name="Report"&gt;27&lt;/ref-type&gt;&lt;contributors&gt;&lt;authors&gt;&lt;author&gt;UNDP Saudi Arabia,&lt;/author&gt;&lt;/authors&gt;&lt;/contributors&gt;&lt;titles&gt;&lt;title&gt;Country programme document for Saudi Arabia (2007-2011)&lt;/title&gt;&lt;/titles&gt;&lt;pages&gt;9&lt;/pages&gt;&lt;dates&gt;&lt;year&gt;2006&lt;/year&gt;&lt;/dates&gt;&lt;pub-location&gt;New York&lt;/pub-location&gt;&lt;publisher&gt;Executive Board of the United Nations Development Programme and of the United Nations Population Fund&lt;/publisher&gt;&lt;urls&gt;&lt;related-urls&gt;&lt;url&gt;http://www.undp.org.sa/sa/documents/home/cpd_2007_2011.pdf&lt;/url&gt;&lt;/related-urls&gt;&lt;/urls&gt;&lt;/record&gt;&lt;/Cite&gt;&lt;/EndNote&gt;</w:instrText>
      </w:r>
      <w:r w:rsidR="00D96907">
        <w:rPr>
          <w:rFonts w:cs="TimesNewRoman"/>
          <w:lang w:val="en-CA"/>
        </w:rPr>
        <w:fldChar w:fldCharType="separate"/>
      </w:r>
      <w:r w:rsidR="005B3980">
        <w:rPr>
          <w:rFonts w:cs="TimesNewRoman"/>
          <w:lang w:val="en-CA"/>
        </w:rPr>
        <w:t>(UNDP Saudi Arabia 2006, p. 2)</w:t>
      </w:r>
      <w:r w:rsidR="00D96907">
        <w:rPr>
          <w:rFonts w:cs="TimesNewRoman"/>
          <w:lang w:val="en-CA"/>
        </w:rPr>
        <w:fldChar w:fldCharType="end"/>
      </w:r>
      <w:r w:rsidR="00E9436D">
        <w:rPr>
          <w:rFonts w:cs="TimesNewRoman"/>
          <w:lang w:val="en-CA"/>
        </w:rPr>
        <w:t xml:space="preserve"> </w:t>
      </w:r>
      <w:r w:rsidR="00D96907">
        <w:rPr>
          <w:rFonts w:cs="TimesNewRoman"/>
          <w:lang w:val="en-CA"/>
        </w:rPr>
        <w:fldChar w:fldCharType="begin"/>
      </w:r>
      <w:r w:rsidR="002B3DEF">
        <w:rPr>
          <w:rFonts w:cs="TimesNewRoman"/>
          <w:lang w:val="en-CA"/>
        </w:rPr>
        <w:instrText xml:space="preserve"> ADDIN EN.CITE &lt;EndNote&gt;&lt;Cite&gt;&lt;Author&gt;World Bank&lt;/Author&gt;&lt;Year&gt;various years&lt;/Year&gt;&lt;RecNum&gt;1058&lt;/RecNum&gt;&lt;record&gt;&lt;rec-number&gt;1058&lt;/rec-number&gt;&lt;ref-type name="Online Database"&gt;45&lt;/ref-type&gt;&lt;contributors&gt;&lt;authors&gt;&lt;author&gt;World Bank,&lt;/author&gt;&lt;/authors&gt;&lt;/contributors&gt;&lt;titles&gt;&lt;title&gt;World Development Indicators&lt;/title&gt;&lt;/titles&gt;&lt;dates&gt;&lt;year&gt;various years&lt;/year&gt;&lt;pub-dates&gt;&lt;date&gt;GDP growth (annual %) &lt;/date&gt;&lt;/pub-dates&gt;&lt;/dates&gt;&lt;publisher&gt;International Bank for Reconstruction and Development (The World Bank)&lt;/publisher&gt;&lt;urls&gt;&lt;related-urls&gt;&lt;url&gt;http://data.worldbank.org/indicator/NY.GDP.MKTP.KD.ZG?page=1&lt;/url&gt;&lt;/related-urls&gt;&lt;/urls&gt;&lt;/record&gt;&lt;/Cite&gt;&lt;/EndNote&gt;</w:instrText>
      </w:r>
      <w:r w:rsidR="00D96907">
        <w:rPr>
          <w:rFonts w:cs="TimesNewRoman"/>
          <w:lang w:val="en-CA"/>
        </w:rPr>
        <w:fldChar w:fldCharType="separate"/>
      </w:r>
      <w:r w:rsidR="00E9436D">
        <w:rPr>
          <w:rFonts w:cs="TimesNewRoman"/>
          <w:lang w:val="en-CA"/>
        </w:rPr>
        <w:t>(World Bank various years)</w:t>
      </w:r>
      <w:r w:rsidR="00D96907">
        <w:rPr>
          <w:rFonts w:cs="TimesNewRoman"/>
          <w:lang w:val="en-CA"/>
        </w:rPr>
        <w:fldChar w:fldCharType="end"/>
      </w:r>
      <w:r w:rsidR="009C4E28" w:rsidRPr="009C4E28">
        <w:rPr>
          <w:rFonts w:cs="TimesNewRoman"/>
          <w:lang w:val="en-CA"/>
        </w:rPr>
        <w:t>.</w:t>
      </w:r>
    </w:p>
    <w:p w:rsidR="003A322E" w:rsidRDefault="00F81EF9" w:rsidP="00DB5C92">
      <w:r>
        <w:t>As the CP stated, i</w:t>
      </w:r>
      <w:r w:rsidR="003A322E">
        <w:t>n terms of social development, the country had made</w:t>
      </w:r>
      <w:r w:rsidR="003A322E" w:rsidRPr="003A322E">
        <w:t xml:space="preserve"> major achievements. </w:t>
      </w:r>
      <w:r w:rsidR="003A322E">
        <w:t>It was</w:t>
      </w:r>
      <w:r w:rsidR="003A322E" w:rsidRPr="003A322E">
        <w:t xml:space="preserve"> well on its way to achieving the Millennium Development Goals (MDGs) by 2015. The extreme poverty rate in the country </w:t>
      </w:r>
      <w:r>
        <w:t>had declined to</w:t>
      </w:r>
      <w:r w:rsidR="003A322E" w:rsidRPr="003A322E">
        <w:t xml:space="preserve"> 1.6 per cent. The enrolment rate in primary education </w:t>
      </w:r>
      <w:r w:rsidR="003A322E">
        <w:t>was</w:t>
      </w:r>
      <w:r w:rsidR="003A322E" w:rsidRPr="003A322E">
        <w:t xml:space="preserve"> 94.5 per cent for boys and 93 per cent for girls, and the net enrolment in secondary and tertiary education </w:t>
      </w:r>
      <w:r w:rsidR="003A322E">
        <w:t>was</w:t>
      </w:r>
      <w:r w:rsidR="003A322E" w:rsidRPr="003A322E">
        <w:t xml:space="preserve"> 65 per cent for both.</w:t>
      </w:r>
      <w:r w:rsidR="002F771E">
        <w:t xml:space="preserve">  While </w:t>
      </w:r>
      <w:r w:rsidR="003A322E" w:rsidRPr="003A322E">
        <w:t xml:space="preserve">the unemployment rate for females </w:t>
      </w:r>
      <w:r w:rsidR="003A322E">
        <w:t>remained</w:t>
      </w:r>
      <w:r w:rsidR="003A322E" w:rsidRPr="003A322E">
        <w:t xml:space="preserve"> higher than for males, the gap </w:t>
      </w:r>
      <w:r w:rsidR="002F771E">
        <w:t xml:space="preserve">seemed to be </w:t>
      </w:r>
      <w:r w:rsidR="003A322E" w:rsidRPr="003A322E">
        <w:t xml:space="preserve">closing. The under-five child mortality rate </w:t>
      </w:r>
      <w:r w:rsidR="003A322E">
        <w:t>was</w:t>
      </w:r>
      <w:r w:rsidR="003A322E" w:rsidRPr="003A322E">
        <w:t xml:space="preserve"> 22.4 per 1,000 births, and the maternal mortality rate </w:t>
      </w:r>
      <w:r w:rsidR="003A322E">
        <w:t>was</w:t>
      </w:r>
      <w:r w:rsidR="003A322E" w:rsidRPr="003A322E">
        <w:t xml:space="preserve"> 1.4</w:t>
      </w:r>
      <w:r w:rsidR="003A322E">
        <w:t xml:space="preserve"> </w:t>
      </w:r>
      <w:r w:rsidR="003A322E" w:rsidRPr="003A322E">
        <w:t xml:space="preserve">per 100,000 live births. The cumulative number of reported cases of HIV/AIDS-infected people since 1984 </w:t>
      </w:r>
      <w:r w:rsidR="003A322E">
        <w:t>was</w:t>
      </w:r>
      <w:r w:rsidR="003A322E" w:rsidRPr="003A322E">
        <w:t xml:space="preserve"> estimated at 10,000</w:t>
      </w:r>
      <w:r w:rsidR="006001BB">
        <w:t xml:space="preserve"> (p. 2)</w:t>
      </w:r>
      <w:r w:rsidR="003A322E" w:rsidRPr="003A322E">
        <w:t>.</w:t>
      </w:r>
    </w:p>
    <w:p w:rsidR="005C7FDF" w:rsidRDefault="005C7FDF" w:rsidP="005D4CF2">
      <w:pPr>
        <w:pStyle w:val="Heading2"/>
        <w:numPr>
          <w:ilvl w:val="1"/>
          <w:numId w:val="1"/>
        </w:numPr>
      </w:pPr>
      <w:bookmarkStart w:id="13" w:name="_Toc325871761"/>
      <w:r>
        <w:t>Country Programme Outcome</w:t>
      </w:r>
      <w:bookmarkEnd w:id="13"/>
    </w:p>
    <w:p w:rsidR="00225DE0" w:rsidRDefault="00A93ADC" w:rsidP="00225DE0">
      <w:pPr>
        <w:rPr>
          <w:lang w:val="en-CA"/>
        </w:rPr>
      </w:pPr>
      <w:r w:rsidRPr="006001BB">
        <w:t xml:space="preserve">The CP was </w:t>
      </w:r>
      <w:r w:rsidR="00DB5C92">
        <w:t xml:space="preserve">drafted, as </w:t>
      </w:r>
      <w:r w:rsidR="002F771E">
        <w:t xml:space="preserve">we have </w:t>
      </w:r>
      <w:r w:rsidR="00DB5C92">
        <w:t>noted in the Introduction,</w:t>
      </w:r>
      <w:r w:rsidRPr="006001BB">
        <w:t xml:space="preserve"> on </w:t>
      </w:r>
      <w:r w:rsidR="00882F51">
        <w:t xml:space="preserve">the basis of the country’s </w:t>
      </w:r>
      <w:r w:rsidRPr="006001BB">
        <w:rPr>
          <w:rFonts w:cs="TimesNewRoman"/>
          <w:lang w:val="en-CA"/>
        </w:rPr>
        <w:t>national priorities as reflected in the eighth national</w:t>
      </w:r>
      <w:r w:rsidR="006001BB" w:rsidRPr="006001BB">
        <w:rPr>
          <w:rFonts w:cs="TimesNewRoman"/>
          <w:lang w:val="en-CA"/>
        </w:rPr>
        <w:t xml:space="preserve"> </w:t>
      </w:r>
      <w:r w:rsidRPr="006001BB">
        <w:rPr>
          <w:rFonts w:cs="TimesNewRoman"/>
          <w:lang w:val="en-CA"/>
        </w:rPr>
        <w:t>development plan</w:t>
      </w:r>
      <w:r w:rsidR="00DE688C">
        <w:rPr>
          <w:rFonts w:cs="TimesNewRoman"/>
          <w:lang w:val="en-CA"/>
        </w:rPr>
        <w:t>,</w:t>
      </w:r>
      <w:r w:rsidRPr="006001BB">
        <w:rPr>
          <w:rFonts w:cs="TimesNewRoman"/>
          <w:lang w:val="en-CA"/>
        </w:rPr>
        <w:t xml:space="preserve"> and </w:t>
      </w:r>
      <w:r w:rsidR="003F58FA">
        <w:rPr>
          <w:rFonts w:cs="TimesNewRoman"/>
          <w:lang w:val="en-CA"/>
        </w:rPr>
        <w:t xml:space="preserve">on </w:t>
      </w:r>
      <w:r w:rsidRPr="006001BB">
        <w:rPr>
          <w:rFonts w:cs="TimesNewRoman"/>
          <w:lang w:val="en-CA"/>
        </w:rPr>
        <w:t>a review of the previous country</w:t>
      </w:r>
      <w:r w:rsidR="006001BB" w:rsidRPr="006001BB">
        <w:rPr>
          <w:rFonts w:cs="TimesNewRoman"/>
          <w:lang w:val="en-CA"/>
        </w:rPr>
        <w:t xml:space="preserve"> </w:t>
      </w:r>
      <w:r w:rsidRPr="006001BB">
        <w:rPr>
          <w:rFonts w:cs="TimesNewRoman"/>
          <w:lang w:val="en-CA"/>
        </w:rPr>
        <w:t>cooperation framework (CCF) for 2001-2005</w:t>
      </w:r>
      <w:r w:rsidR="006001BB" w:rsidRPr="006001BB">
        <w:rPr>
          <w:rFonts w:cs="TimesNewRoman"/>
          <w:lang w:val="en-CA"/>
        </w:rPr>
        <w:t xml:space="preserve">.  </w:t>
      </w:r>
      <w:r w:rsidR="00225DE0" w:rsidRPr="007D08EE">
        <w:rPr>
          <w:lang w:val="en-CA"/>
        </w:rPr>
        <w:t xml:space="preserve">The second Outcome </w:t>
      </w:r>
      <w:r w:rsidR="00225DE0">
        <w:rPr>
          <w:lang w:val="en-CA"/>
        </w:rPr>
        <w:t>of the CP w</w:t>
      </w:r>
      <w:r w:rsidR="00225DE0" w:rsidRPr="007D08EE">
        <w:rPr>
          <w:lang w:val="en-CA"/>
        </w:rPr>
        <w:t>as:  “</w:t>
      </w:r>
      <w:r w:rsidR="00225DE0" w:rsidRPr="009A12DA">
        <w:t xml:space="preserve">Economic framework is diversified to encourage tourism, international trade and </w:t>
      </w:r>
      <w:r w:rsidR="00225DE0">
        <w:t xml:space="preserve">FDI.”  </w:t>
      </w:r>
    </w:p>
    <w:p w:rsidR="00F31561" w:rsidRDefault="00B63C20" w:rsidP="00B63C20">
      <w:pPr>
        <w:rPr>
          <w:lang w:val="en-CA"/>
        </w:rPr>
      </w:pPr>
      <w:r>
        <w:rPr>
          <w:lang w:val="en-CA"/>
        </w:rPr>
        <w:t xml:space="preserve">The prevailing or baseline condition was described as:  “Economic and </w:t>
      </w:r>
      <w:r w:rsidR="00CB393F">
        <w:rPr>
          <w:lang w:val="en-CA"/>
        </w:rPr>
        <w:t>i</w:t>
      </w:r>
      <w:r>
        <w:rPr>
          <w:lang w:val="en-CA"/>
        </w:rPr>
        <w:t>nstitutional</w:t>
      </w:r>
      <w:r w:rsidR="00CB393F">
        <w:rPr>
          <w:lang w:val="en-CA"/>
        </w:rPr>
        <w:t xml:space="preserve"> </w:t>
      </w:r>
      <w:r>
        <w:rPr>
          <w:lang w:val="en-CA"/>
        </w:rPr>
        <w:t xml:space="preserve">frameworks </w:t>
      </w:r>
      <w:r w:rsidR="00CB393F">
        <w:rPr>
          <w:lang w:val="en-CA"/>
        </w:rPr>
        <w:t xml:space="preserve">are </w:t>
      </w:r>
      <w:r>
        <w:rPr>
          <w:lang w:val="en-CA"/>
        </w:rPr>
        <w:t>not fully utilizing global integration</w:t>
      </w:r>
      <w:r w:rsidR="00CB393F">
        <w:rPr>
          <w:lang w:val="en-CA"/>
        </w:rPr>
        <w:t xml:space="preserve"> </w:t>
      </w:r>
      <w:r>
        <w:rPr>
          <w:lang w:val="en-CA"/>
        </w:rPr>
        <w:t>opportunities in favor of SME promotion and</w:t>
      </w:r>
      <w:r w:rsidR="00CB393F">
        <w:rPr>
          <w:lang w:val="en-CA"/>
        </w:rPr>
        <w:t xml:space="preserve"> </w:t>
      </w:r>
      <w:r>
        <w:rPr>
          <w:lang w:val="en-CA"/>
        </w:rPr>
        <w:t>sustainable employment creation.</w:t>
      </w:r>
      <w:r w:rsidR="00CB393F">
        <w:rPr>
          <w:lang w:val="en-CA"/>
        </w:rPr>
        <w:t xml:space="preserve">”  </w:t>
      </w:r>
    </w:p>
    <w:p w:rsidR="007D08EE" w:rsidRPr="007D08EE" w:rsidRDefault="00225DE0" w:rsidP="007D08EE">
      <w:r>
        <w:t>T</w:t>
      </w:r>
      <w:r w:rsidR="007D08EE">
        <w:t xml:space="preserve">he two </w:t>
      </w:r>
      <w:r>
        <w:t>measurable indicators for this O</w:t>
      </w:r>
      <w:r w:rsidR="007D08EE">
        <w:t>utcome</w:t>
      </w:r>
      <w:r>
        <w:t xml:space="preserve"> were</w:t>
      </w:r>
      <w:r w:rsidR="007D08EE">
        <w:t>:  (1) An increased number</w:t>
      </w:r>
      <w:r w:rsidR="007D08EE" w:rsidRPr="007D08EE">
        <w:t xml:space="preserve"> of tourists in KSA by 15%</w:t>
      </w:r>
      <w:r w:rsidR="007D08EE">
        <w:t xml:space="preserve">, and (2) </w:t>
      </w:r>
      <w:r w:rsidR="007D08EE" w:rsidRPr="007D08EE">
        <w:t>Increased foreign investment in KSA by 15%</w:t>
      </w:r>
      <w:r w:rsidR="007D08EE">
        <w:t>.</w:t>
      </w:r>
      <w:r w:rsidR="007D08EE">
        <w:rPr>
          <w:rStyle w:val="FootnoteReference"/>
        </w:rPr>
        <w:footnoteReference w:id="4"/>
      </w:r>
    </w:p>
    <w:p w:rsidR="006557A3" w:rsidRDefault="006557A3" w:rsidP="00BA2613">
      <w:r>
        <w:rPr>
          <w:lang w:val="en-CA"/>
        </w:rPr>
        <w:t xml:space="preserve">The Country Programme Performance Summary, completed in 2011, </w:t>
      </w:r>
      <w:r w:rsidR="00CC4285">
        <w:rPr>
          <w:lang w:val="en-CA"/>
        </w:rPr>
        <w:t>summarized</w:t>
      </w:r>
      <w:r>
        <w:rPr>
          <w:lang w:val="en-CA"/>
        </w:rPr>
        <w:t xml:space="preserve"> the 2</w:t>
      </w:r>
      <w:r w:rsidRPr="006557A3">
        <w:rPr>
          <w:vertAlign w:val="superscript"/>
          <w:lang w:val="en-CA"/>
        </w:rPr>
        <w:t>nd</w:t>
      </w:r>
      <w:r>
        <w:rPr>
          <w:lang w:val="en-CA"/>
        </w:rPr>
        <w:t xml:space="preserve"> Outcome</w:t>
      </w:r>
      <w:r w:rsidR="00BA2613">
        <w:rPr>
          <w:lang w:val="en-CA"/>
        </w:rPr>
        <w:t>:  “</w:t>
      </w:r>
      <w:r w:rsidR="00BA2613" w:rsidRPr="004B2E1C">
        <w:t>To optimize the benefits of globalization by improving the productivity of the economy, diversifying its base especially into R&amp;D and strengthening its competitiveness</w:t>
      </w:r>
      <w:r w:rsidR="00BA2613">
        <w:t xml:space="preserve">.”  It further detailed the meaning of this outcome as:  </w:t>
      </w:r>
      <w:r w:rsidR="00BA2613" w:rsidRPr="00BA2613">
        <w:t>“Enhanced employment opportunities and overall economic performance through increase in foreign and domestic direct investment, strengthened competitiveness and diversity of the national economy in the knowledge sector among others.”</w:t>
      </w:r>
      <w:r w:rsidR="00BA2613">
        <w:t xml:space="preserve">  </w:t>
      </w:r>
    </w:p>
    <w:p w:rsidR="006557A3" w:rsidRDefault="006557A3" w:rsidP="006A1CD8">
      <w:pPr>
        <w:pStyle w:val="Heading2"/>
        <w:numPr>
          <w:ilvl w:val="1"/>
          <w:numId w:val="1"/>
        </w:numPr>
        <w:rPr>
          <w:lang w:val="en-CA"/>
        </w:rPr>
      </w:pPr>
      <w:bookmarkStart w:id="14" w:name="_Toc325871762"/>
      <w:r>
        <w:rPr>
          <w:lang w:val="en-CA"/>
        </w:rPr>
        <w:t>Outcome 2:  Economic Diversification</w:t>
      </w:r>
      <w:bookmarkEnd w:id="14"/>
    </w:p>
    <w:p w:rsidR="00B8283A" w:rsidRPr="00C35E31" w:rsidRDefault="00976006" w:rsidP="00976006">
      <w:r>
        <w:rPr>
          <w:color w:val="000000"/>
        </w:rPr>
        <w:t xml:space="preserve">As section 2.3 explains, the Outcome statement used in this </w:t>
      </w:r>
      <w:r w:rsidR="00CC4285">
        <w:rPr>
          <w:color w:val="000000"/>
        </w:rPr>
        <w:t>Report</w:t>
      </w:r>
      <w:r>
        <w:rPr>
          <w:color w:val="000000"/>
        </w:rPr>
        <w:t xml:space="preserve"> is </w:t>
      </w:r>
      <w:r w:rsidR="00CC4285">
        <w:rPr>
          <w:color w:val="000000"/>
        </w:rPr>
        <w:t>restated in the</w:t>
      </w:r>
      <w:r>
        <w:rPr>
          <w:color w:val="000000"/>
        </w:rPr>
        <w:t xml:space="preserve"> Terms of Reference </w:t>
      </w:r>
      <w:r w:rsidR="00CC4285">
        <w:rPr>
          <w:color w:val="000000"/>
        </w:rPr>
        <w:t>for the Outcome Evaluation</w:t>
      </w:r>
      <w:r>
        <w:rPr>
          <w:color w:val="000000"/>
        </w:rPr>
        <w:t xml:space="preserve">:  Outcome 2. </w:t>
      </w:r>
      <w:r w:rsidR="00B8283A">
        <w:t>“</w:t>
      </w:r>
      <w:r w:rsidR="00882F51">
        <w:t>The e</w:t>
      </w:r>
      <w:r w:rsidR="00DB132A" w:rsidRPr="004A4ADB">
        <w:t>conomic framework is diversified to encourage tourism, international trade and FDI</w:t>
      </w:r>
      <w:r w:rsidR="00DB132A">
        <w:t>”</w:t>
      </w:r>
      <w:r w:rsidR="00446E34">
        <w:t xml:space="preserve">.  </w:t>
      </w:r>
      <w:r w:rsidR="00DF6448">
        <w:t xml:space="preserve">The </w:t>
      </w:r>
      <w:r w:rsidR="002F771E">
        <w:t>Outcome Indicators</w:t>
      </w:r>
      <w:r w:rsidR="00DF6448">
        <w:t xml:space="preserve">, as already discussed, are:  </w:t>
      </w:r>
    </w:p>
    <w:p w:rsidR="00B8283A" w:rsidRDefault="00B8283A" w:rsidP="00B8283A">
      <w:pPr>
        <w:pStyle w:val="ListParagraph"/>
        <w:numPr>
          <w:ilvl w:val="0"/>
          <w:numId w:val="6"/>
        </w:numPr>
        <w:spacing w:before="0" w:after="0"/>
      </w:pPr>
      <w:r w:rsidRPr="00C35E31">
        <w:t xml:space="preserve">Increased foreign </w:t>
      </w:r>
      <w:r w:rsidR="00DF6448">
        <w:t>direct investment in KSA by 15</w:t>
      </w:r>
      <w:r>
        <w:t xml:space="preserve"> percent </w:t>
      </w:r>
    </w:p>
    <w:p w:rsidR="00B8283A" w:rsidRDefault="00B8283A" w:rsidP="00B8283A">
      <w:pPr>
        <w:pStyle w:val="ListParagraph"/>
        <w:numPr>
          <w:ilvl w:val="0"/>
          <w:numId w:val="6"/>
        </w:numPr>
        <w:spacing w:before="0" w:after="0"/>
      </w:pPr>
      <w:r w:rsidRPr="00C35E31">
        <w:t>Increased number of tourists in KSA by 1</w:t>
      </w:r>
      <w:r>
        <w:t xml:space="preserve">5 percent </w:t>
      </w:r>
    </w:p>
    <w:p w:rsidR="00446E34" w:rsidRPr="00C35E31" w:rsidRDefault="00CC4285" w:rsidP="00446E34">
      <w:r>
        <w:t xml:space="preserve">The prevailing situation in 2007 </w:t>
      </w:r>
      <w:r w:rsidR="00446E34">
        <w:t xml:space="preserve">with respect to the target indicators was identified by the </w:t>
      </w:r>
      <w:r w:rsidR="00446E34" w:rsidRPr="00CC4285">
        <w:rPr>
          <w:b/>
        </w:rPr>
        <w:t>baseline</w:t>
      </w:r>
      <w:r w:rsidR="00446E34">
        <w:t xml:space="preserve"> statement.</w:t>
      </w:r>
    </w:p>
    <w:p w:rsidR="00B8283A" w:rsidRDefault="00B8283A" w:rsidP="00B8283A">
      <w:pPr>
        <w:pStyle w:val="ListParagraph"/>
        <w:numPr>
          <w:ilvl w:val="0"/>
          <w:numId w:val="5"/>
        </w:numPr>
        <w:spacing w:before="0" w:after="0"/>
        <w:ind w:left="360"/>
      </w:pPr>
      <w:r w:rsidRPr="00C35E31">
        <w:t xml:space="preserve">Economic and Institutional frameworks </w:t>
      </w:r>
      <w:r>
        <w:t xml:space="preserve">are </w:t>
      </w:r>
      <w:r w:rsidRPr="00C35E31">
        <w:t>not fully utilizing global integration opportunities in favo</w:t>
      </w:r>
      <w:r>
        <w:t>u</w:t>
      </w:r>
      <w:r w:rsidRPr="00C35E31">
        <w:t xml:space="preserve">r of SME </w:t>
      </w:r>
      <w:r w:rsidR="00446E34">
        <w:t xml:space="preserve">[small and medium enterprise] </w:t>
      </w:r>
      <w:r w:rsidRPr="00C35E31">
        <w:t>promotion and sustainable employment creation.</w:t>
      </w:r>
    </w:p>
    <w:p w:rsidR="00B8283A" w:rsidRDefault="00B8283A" w:rsidP="00B8283A">
      <w:pPr>
        <w:pStyle w:val="ListParagraph"/>
        <w:numPr>
          <w:ilvl w:val="0"/>
          <w:numId w:val="5"/>
        </w:numPr>
        <w:spacing w:before="0" w:after="0"/>
        <w:ind w:left="360"/>
      </w:pPr>
      <w:r w:rsidRPr="00C35E31">
        <w:t>Not all tourist are</w:t>
      </w:r>
      <w:r>
        <w:t>as/sites in KSA are fully developed</w:t>
      </w:r>
    </w:p>
    <w:p w:rsidR="00B8283A" w:rsidRDefault="00B8283A" w:rsidP="00B8283A">
      <w:pPr>
        <w:pStyle w:val="ListParagraph"/>
        <w:numPr>
          <w:ilvl w:val="0"/>
          <w:numId w:val="5"/>
        </w:numPr>
        <w:spacing w:before="0" w:after="0"/>
        <w:ind w:left="360"/>
      </w:pPr>
      <w:r w:rsidRPr="00C35E31">
        <w:t xml:space="preserve">National focus </w:t>
      </w:r>
      <w:r>
        <w:t xml:space="preserve">is </w:t>
      </w:r>
      <w:r w:rsidRPr="00C35E31">
        <w:t>solely on WTO commitments rather than benefits.</w:t>
      </w:r>
    </w:p>
    <w:p w:rsidR="009F57C0" w:rsidRDefault="009F57C0" w:rsidP="009F57C0">
      <w:pPr>
        <w:spacing w:before="0" w:after="0"/>
      </w:pPr>
    </w:p>
    <w:p w:rsidR="009F57C0" w:rsidRDefault="009F57C0" w:rsidP="00C825E4">
      <w:pPr>
        <w:rPr>
          <w:bCs/>
          <w:lang w:val="en-CA"/>
        </w:rPr>
      </w:pPr>
      <w:r>
        <w:t xml:space="preserve">Under the UNDP conception of evaluating for results, </w:t>
      </w:r>
      <w:r w:rsidR="00A7306F" w:rsidRPr="009F57C0">
        <w:rPr>
          <w:bCs/>
          <w:lang w:val="en-CA"/>
        </w:rPr>
        <w:t>outcomes</w:t>
      </w:r>
      <w:r w:rsidRPr="009F57C0">
        <w:rPr>
          <w:lang w:val="en-CA"/>
        </w:rPr>
        <w:t xml:space="preserve"> are </w:t>
      </w:r>
      <w:proofErr w:type="gramStart"/>
      <w:r w:rsidRPr="009F57C0">
        <w:rPr>
          <w:lang w:val="en-CA"/>
        </w:rPr>
        <w:t>actual</w:t>
      </w:r>
      <w:proofErr w:type="gramEnd"/>
      <w:r w:rsidRPr="009F57C0">
        <w:rPr>
          <w:lang w:val="en-CA"/>
        </w:rPr>
        <w:t xml:space="preserve"> or intended changes in development conditions that </w:t>
      </w:r>
      <w:r>
        <w:rPr>
          <w:lang w:val="en-CA"/>
        </w:rPr>
        <w:t>the agency’s</w:t>
      </w:r>
      <w:r w:rsidRPr="009F57C0">
        <w:rPr>
          <w:lang w:val="en-CA"/>
        </w:rPr>
        <w:t xml:space="preserve"> interventions are seeking to support.  </w:t>
      </w:r>
      <w:r>
        <w:rPr>
          <w:lang w:val="en-CA"/>
        </w:rPr>
        <w:t>Outcomes</w:t>
      </w:r>
      <w:r w:rsidRPr="009F57C0">
        <w:rPr>
          <w:lang w:val="en-CA"/>
        </w:rPr>
        <w:t xml:space="preserve"> </w:t>
      </w:r>
      <w:r w:rsidR="00DF6448">
        <w:rPr>
          <w:lang w:val="en-CA"/>
        </w:rPr>
        <w:t>“</w:t>
      </w:r>
      <w:r w:rsidRPr="009F57C0">
        <w:rPr>
          <w:lang w:val="en-CA"/>
        </w:rPr>
        <w:t xml:space="preserve">describe a </w:t>
      </w:r>
      <w:r w:rsidRPr="00DF6448">
        <w:rPr>
          <w:b/>
          <w:i/>
          <w:lang w:val="en-CA"/>
        </w:rPr>
        <w:t>change that takes place in the capacities or conditions of a partner</w:t>
      </w:r>
      <w:r>
        <w:rPr>
          <w:lang w:val="en-CA"/>
        </w:rPr>
        <w:t xml:space="preserve">, in part – but only in part – as a consequence of the delivery of UNDP’s </w:t>
      </w:r>
      <w:r w:rsidRPr="009F57C0">
        <w:rPr>
          <w:lang w:val="en-CA"/>
        </w:rPr>
        <w:t xml:space="preserve">outputs and </w:t>
      </w:r>
      <w:r w:rsidR="00171F43">
        <w:rPr>
          <w:lang w:val="en-CA"/>
        </w:rPr>
        <w:t>those of other partners</w:t>
      </w:r>
      <w:r w:rsidR="00DF6448">
        <w:rPr>
          <w:lang w:val="en-CA"/>
        </w:rPr>
        <w:t>”</w:t>
      </w:r>
      <w:r>
        <w:rPr>
          <w:lang w:val="en-CA"/>
        </w:rPr>
        <w:t xml:space="preserve"> </w:t>
      </w:r>
      <w:r w:rsidR="00D96907">
        <w:rPr>
          <w:bCs/>
          <w:lang w:val="en-CA"/>
        </w:rPr>
        <w:fldChar w:fldCharType="begin"/>
      </w:r>
      <w:r w:rsidR="002B3DEF">
        <w:rPr>
          <w:bCs/>
          <w:lang w:val="en-CA"/>
        </w:rPr>
        <w:instrText xml:space="preserve"> ADDIN EN.CITE &lt;EndNote&gt;&lt;Cite&gt;&lt;Author&gt;UNDP&lt;/Author&gt;&lt;Year&gt;2007&lt;/Year&gt;&lt;RecNum&gt;865&lt;/RecNum&gt;&lt;Suffix&gt;, pp. 2-3; emphasis added&lt;/Suffix&gt;&lt;record&gt;&lt;rec-number&gt;865&lt;/rec-number&gt;&lt;ref-type name="Electronic Article"&gt;43&lt;/ref-type&gt;&lt;contributors&gt;&lt;authors&gt;&lt;author&gt;UNDP&lt;/author&gt;&lt;/authors&gt;&lt;tertiary-authors&gt;&lt;author&gt;United Nations&lt;/author&gt;&lt;/tertiary-authors&gt;&lt;/contributors&gt;&lt;titles&gt;&lt;title&gt;&lt;style face="normal" font="Times New Roman" size="100%"&gt;Knowing the What and the How. RBM in UNDP:  Technical Note&lt;/style&gt;&lt;/title&gt;&lt;/titles&gt;&lt;dates&gt;&lt;year&gt;2007&lt;/year&gt;&lt;/dates&gt;&lt;pub-location&gt;New York&lt;/pub-location&gt;&lt;publisher&gt;UNDP&lt;/publisher&gt;&lt;urls&gt;&lt;related-urls&gt;&lt;url&gt;&lt;style face="underline" font="Times New Roman" size="100%"&gt;Knowing the What and the How &amp;lt;http://intra.undp.org/eo/documents/methodology/rbm/RBM-technical-note.doc&amp;gt;&lt;/style&gt;&lt;/url&gt;&lt;/related-urls&gt;&lt;/urls&gt;&lt;custom2&gt;2006-05-02&lt;/custom2&gt;&lt;research-notes&gt;&lt;style face="normal" font="Times New Roman" size="10"&gt;intra.undp.org/eo/documents/methodology/rbm/RBM-technical-note.doc - 2006-05-02&lt;/style&gt;&lt;style face="normal" font="Times New Roman" size="100%"&gt; - &lt;/style&gt;&lt;style face="underline" font="Times New Roman" size="100%"&gt;Text Version &amp;lt;search?q=cache:p3AnAJTHnMkJ:intra.undp.org/eo/documents/methodology/rbm/RBM-technical-note.doc+rbm+outcome&amp;amp;access=a&amp;amp;output=xml_no_dtd&amp;amp;ie=UTF-8&amp;amp;client=undp_intranet_frontend&amp;amp;site=default_collection&amp;amp;oe=UTF-8&amp;amp;proxystylesheet=undp_intranet_frontend&amp;gt;&lt;/style&gt;&lt;style face="normal" font="default" size="100%"&gt;&amp;#xD;&lt;/style&gt;&lt;/research-notes&gt;&lt;/record&gt;&lt;/Cite&gt;&lt;/EndNote&gt;</w:instrText>
      </w:r>
      <w:r w:rsidR="00D96907">
        <w:rPr>
          <w:bCs/>
          <w:lang w:val="en-CA"/>
        </w:rPr>
        <w:fldChar w:fldCharType="separate"/>
      </w:r>
      <w:r w:rsidR="00DF6448">
        <w:rPr>
          <w:bCs/>
          <w:lang w:val="en-CA"/>
        </w:rPr>
        <w:t>(UNDP 2007, pp. 2-3; emphasis added)</w:t>
      </w:r>
      <w:r w:rsidR="00D96907">
        <w:rPr>
          <w:bCs/>
          <w:lang w:val="en-CA"/>
        </w:rPr>
        <w:fldChar w:fldCharType="end"/>
      </w:r>
      <w:r w:rsidR="00165DF2">
        <w:rPr>
          <w:bCs/>
          <w:lang w:val="en-CA"/>
        </w:rPr>
        <w:t xml:space="preserve">.  </w:t>
      </w:r>
      <w:r w:rsidR="00171F43">
        <w:rPr>
          <w:lang w:val="en-CA"/>
        </w:rPr>
        <w:t xml:space="preserve">They are markers of eventual </w:t>
      </w:r>
      <w:r w:rsidR="00171F43" w:rsidRPr="009F57C0">
        <w:rPr>
          <w:lang w:val="en-CA"/>
        </w:rPr>
        <w:t>impact</w:t>
      </w:r>
      <w:r w:rsidR="00171F43">
        <w:rPr>
          <w:lang w:val="en-CA"/>
        </w:rPr>
        <w:t>, but are more readily observed than is impact, which often cannot be directly observed and may be achieved over a longer period than that of the programme under review.  “</w:t>
      </w:r>
      <w:r w:rsidR="00171F43" w:rsidRPr="009F57C0">
        <w:rPr>
          <w:bCs/>
          <w:lang w:val="en-CA"/>
        </w:rPr>
        <w:t>An individual UNDP output or even a cluster of outputs will not guarantee the achievement of a related outcome, since the contribution of a wider group o</w:t>
      </w:r>
      <w:r w:rsidR="00171F43">
        <w:rPr>
          <w:bCs/>
          <w:lang w:val="en-CA"/>
        </w:rPr>
        <w:t xml:space="preserve">f partners is usually essential”.   In the case of a country programme, the group of desired </w:t>
      </w:r>
      <w:r w:rsidR="00171F43" w:rsidRPr="009F57C0">
        <w:rPr>
          <w:lang w:val="en-CA"/>
        </w:rPr>
        <w:t xml:space="preserve">outcomes </w:t>
      </w:r>
      <w:r w:rsidR="00171F43">
        <w:rPr>
          <w:lang w:val="en-CA"/>
        </w:rPr>
        <w:t xml:space="preserve">will have been </w:t>
      </w:r>
      <w:r w:rsidR="00171F43" w:rsidRPr="009F57C0">
        <w:rPr>
          <w:lang w:val="en-CA"/>
        </w:rPr>
        <w:t xml:space="preserve">agreed to by the </w:t>
      </w:r>
      <w:r w:rsidR="00171F43">
        <w:rPr>
          <w:lang w:val="en-CA"/>
        </w:rPr>
        <w:t xml:space="preserve">country and cooperating partners.  All of these stakeholders will have an </w:t>
      </w:r>
      <w:r w:rsidR="00171F43" w:rsidRPr="009F57C0">
        <w:rPr>
          <w:lang w:val="en-CA"/>
        </w:rPr>
        <w:t xml:space="preserve">influence on a </w:t>
      </w:r>
      <w:r w:rsidR="00171F43">
        <w:rPr>
          <w:lang w:val="en-CA"/>
        </w:rPr>
        <w:t xml:space="preserve">given </w:t>
      </w:r>
      <w:r w:rsidR="00171F43" w:rsidRPr="009F57C0">
        <w:rPr>
          <w:lang w:val="en-CA"/>
        </w:rPr>
        <w:t xml:space="preserve">development issue within </w:t>
      </w:r>
      <w:r w:rsidR="00171F43">
        <w:rPr>
          <w:lang w:val="en-CA"/>
        </w:rPr>
        <w:t xml:space="preserve">the limited </w:t>
      </w:r>
      <w:r w:rsidR="00171F43" w:rsidRPr="009F57C0">
        <w:rPr>
          <w:lang w:val="en-CA"/>
        </w:rPr>
        <w:t>period of time</w:t>
      </w:r>
      <w:r w:rsidR="00171F43">
        <w:rPr>
          <w:lang w:val="en-CA"/>
        </w:rPr>
        <w:t xml:space="preserve"> under consideration</w:t>
      </w:r>
      <w:r w:rsidR="00171F43" w:rsidRPr="009F57C0">
        <w:rPr>
          <w:lang w:val="en-CA"/>
        </w:rPr>
        <w:t xml:space="preserve">. </w:t>
      </w:r>
      <w:r w:rsidR="00171F43">
        <w:rPr>
          <w:lang w:val="en-CA"/>
        </w:rPr>
        <w:t>It is evident that seeking to influence outcomes is</w:t>
      </w:r>
      <w:r w:rsidR="00171F43" w:rsidRPr="009F57C0">
        <w:rPr>
          <w:lang w:val="en-CA"/>
        </w:rPr>
        <w:t xml:space="preserve"> by its very nature dependent on partnerships. Since several actors are involved, outcomes cannot necessarily</w:t>
      </w:r>
      <w:r w:rsidR="00171F43">
        <w:rPr>
          <w:lang w:val="en-CA"/>
        </w:rPr>
        <w:t xml:space="preserve"> be attributed to any one party, including UNDP, on its own.</w:t>
      </w:r>
    </w:p>
    <w:p w:rsidR="009F57C0" w:rsidRDefault="00C825E4" w:rsidP="00C825E4">
      <w:pPr>
        <w:rPr>
          <w:bCs/>
          <w:lang w:val="en-CA"/>
        </w:rPr>
      </w:pPr>
      <w:r>
        <w:rPr>
          <w:bCs/>
          <w:lang w:val="en-CA"/>
        </w:rPr>
        <w:t xml:space="preserve">In the special case of NCCs, the role of the country itself is of primordial importance, since the country is at once the funder and the beneficiary of the commissioned outputs.  </w:t>
      </w:r>
      <w:r w:rsidR="00B23AC2">
        <w:rPr>
          <w:bCs/>
          <w:lang w:val="en-CA"/>
        </w:rPr>
        <w:t>As will be seen in the findings of the evaluation report, the principal partnership is that with the Kingdom of Saudi Arabia</w:t>
      </w:r>
      <w:r w:rsidR="00171F43">
        <w:rPr>
          <w:bCs/>
          <w:lang w:val="en-CA"/>
        </w:rPr>
        <w:t xml:space="preserve"> and its ministries and agencies</w:t>
      </w:r>
      <w:r w:rsidR="00B23AC2">
        <w:rPr>
          <w:bCs/>
          <w:lang w:val="en-CA"/>
        </w:rPr>
        <w:t>, which more than any other factor has shaped the achievement of the outcome under review.</w:t>
      </w:r>
      <w:r w:rsidR="00171F43">
        <w:rPr>
          <w:bCs/>
          <w:lang w:val="en-CA"/>
        </w:rPr>
        <w:t xml:space="preserve">  Other members of the UN group of </w:t>
      </w:r>
      <w:r w:rsidR="006A1CD8">
        <w:rPr>
          <w:bCs/>
          <w:lang w:val="en-CA"/>
        </w:rPr>
        <w:t>agencies</w:t>
      </w:r>
      <w:r w:rsidR="00171F43">
        <w:rPr>
          <w:bCs/>
          <w:lang w:val="en-CA"/>
        </w:rPr>
        <w:t xml:space="preserve"> have also joined in outputs of the CP.</w:t>
      </w:r>
    </w:p>
    <w:p w:rsidR="004162B4" w:rsidRPr="009F57C0" w:rsidRDefault="004162B4" w:rsidP="004162B4">
      <w:r>
        <w:rPr>
          <w:bCs/>
          <w:lang w:val="en-CA"/>
        </w:rPr>
        <w:t xml:space="preserve">More specifically, however, in the particular case of SA, UNDP noted that </w:t>
      </w:r>
      <w:r>
        <w:rPr>
          <w:color w:val="2A2A2A"/>
        </w:rPr>
        <w:t xml:space="preserve">based on the concept of national ownership, achievement of an outcome is an entire responsibility of the Government.  UNDP, along with other UN Agencies, will confine their contribution to the output level. In view of this, the two interrelated dimensions (discussed in this report and a separate report on Outcome </w:t>
      </w:r>
      <w:r w:rsidR="00CD7387">
        <w:rPr>
          <w:color w:val="2A2A2A"/>
        </w:rPr>
        <w:t>3</w:t>
      </w:r>
      <w:r>
        <w:rPr>
          <w:color w:val="2A2A2A"/>
        </w:rPr>
        <w:t>) of economic diversification and efficient performance</w:t>
      </w:r>
      <w:r w:rsidRPr="00FB4CF3">
        <w:rPr>
          <w:color w:val="2A2A2A"/>
        </w:rPr>
        <w:t xml:space="preserve"> </w:t>
      </w:r>
      <w:r>
        <w:rPr>
          <w:color w:val="2A2A2A"/>
        </w:rPr>
        <w:t>of the public sector have been achievements of the KSA, and cooperation with UNDP has been a positive element in these achievements, related to the UNDP contributions made as outputs and shown in the CPD.</w:t>
      </w:r>
    </w:p>
    <w:p w:rsidR="00C17F2D" w:rsidRDefault="00C17F2D" w:rsidP="006A1CD8">
      <w:pPr>
        <w:pStyle w:val="Heading1"/>
        <w:numPr>
          <w:ilvl w:val="0"/>
          <w:numId w:val="1"/>
        </w:numPr>
      </w:pPr>
      <w:bookmarkStart w:id="15" w:name="_Toc325871763"/>
      <w:r>
        <w:t xml:space="preserve">Findings </w:t>
      </w:r>
      <w:r w:rsidR="00955B86">
        <w:t>of the Outcome Evaluation</w:t>
      </w:r>
      <w:bookmarkEnd w:id="15"/>
    </w:p>
    <w:p w:rsidR="00C17F2D" w:rsidRDefault="009D13CA" w:rsidP="009D13CA">
      <w:pPr>
        <w:pStyle w:val="Heading2"/>
      </w:pPr>
      <w:bookmarkStart w:id="16" w:name="_Toc325871764"/>
      <w:r>
        <w:t>3.</w:t>
      </w:r>
      <w:r w:rsidR="005F0D3D">
        <w:t xml:space="preserve">1. </w:t>
      </w:r>
      <w:r w:rsidR="00C17F2D">
        <w:t xml:space="preserve">Progress </w:t>
      </w:r>
      <w:r w:rsidR="00124802">
        <w:t>towards the Outcome</w:t>
      </w:r>
      <w:bookmarkEnd w:id="16"/>
    </w:p>
    <w:p w:rsidR="005F0D3D" w:rsidRPr="00C73AF9" w:rsidRDefault="005F0D3D" w:rsidP="00C73AF9">
      <w:pPr>
        <w:pStyle w:val="Heading3"/>
        <w:numPr>
          <w:ilvl w:val="2"/>
          <w:numId w:val="15"/>
        </w:numPr>
        <w:rPr>
          <w:lang w:val="en-CA"/>
        </w:rPr>
      </w:pPr>
      <w:bookmarkStart w:id="17" w:name="_Toc325871765"/>
      <w:r w:rsidRPr="00C73AF9">
        <w:rPr>
          <w:lang w:val="en-CA"/>
        </w:rPr>
        <w:t>A period of growth and diversification</w:t>
      </w:r>
      <w:bookmarkEnd w:id="17"/>
      <w:r w:rsidRPr="00C73AF9">
        <w:rPr>
          <w:lang w:val="en-CA"/>
        </w:rPr>
        <w:t xml:space="preserve"> </w:t>
      </w:r>
    </w:p>
    <w:p w:rsidR="0071232B" w:rsidRDefault="0071232B" w:rsidP="0071232B">
      <w:r>
        <w:t xml:space="preserve">This section looks at the progress </w:t>
      </w:r>
      <w:r w:rsidR="00B23AC2">
        <w:t>K</w:t>
      </w:r>
      <w:r>
        <w:t xml:space="preserve">SA has made in </w:t>
      </w:r>
      <w:r w:rsidR="00545C23">
        <w:t xml:space="preserve">the </w:t>
      </w:r>
      <w:r>
        <w:t xml:space="preserve">achievement of its target indicators, which were identified as markers on the road to reaching the </w:t>
      </w:r>
      <w:r w:rsidR="006C2157">
        <w:t xml:space="preserve">economic </w:t>
      </w:r>
      <w:r>
        <w:t>diversification outcome.  As underlined</w:t>
      </w:r>
      <w:r w:rsidR="00545C23">
        <w:t xml:space="preserve"> above</w:t>
      </w:r>
      <w:r>
        <w:t xml:space="preserve">, progress in the achievement of development outcomes is not the result of the efforts of UNDP or any </w:t>
      </w:r>
      <w:r w:rsidR="00EC46A0">
        <w:t xml:space="preserve">one </w:t>
      </w:r>
      <w:r>
        <w:t>partner agency alone.  These results should be understood as the product of the efforts of government, of the population, of various stakeholders including enterprises and development partners</w:t>
      </w:r>
      <w:r w:rsidR="00545C23">
        <w:t>.  At the same time,</w:t>
      </w:r>
      <w:r>
        <w:t xml:space="preserve"> </w:t>
      </w:r>
      <w:r w:rsidR="00FC5FF9">
        <w:t>results</w:t>
      </w:r>
      <w:r>
        <w:t xml:space="preserve"> are also influenced by conditions in the world economy and environment, which may </w:t>
      </w:r>
      <w:r w:rsidR="00DC48D0">
        <w:t>embody</w:t>
      </w:r>
      <w:r>
        <w:t xml:space="preserve"> supporting as well as challenging factors.</w:t>
      </w:r>
    </w:p>
    <w:p w:rsidR="002D3FB3" w:rsidRDefault="008A1C2C" w:rsidP="002D3FB3">
      <w:pPr>
        <w:rPr>
          <w:rFonts w:cs="TimesNewRoman"/>
          <w:lang w:val="en-CA"/>
        </w:rPr>
      </w:pPr>
      <w:r>
        <w:t xml:space="preserve">The CP period marked </w:t>
      </w:r>
      <w:r w:rsidR="00A95AE7">
        <w:t xml:space="preserve">a time of real growth of the economy, and improving human development </w:t>
      </w:r>
      <w:r w:rsidR="002D3FB3">
        <w:t>outcomes</w:t>
      </w:r>
      <w:r w:rsidR="00A95AE7">
        <w:t xml:space="preserve">.  </w:t>
      </w:r>
      <w:r w:rsidR="00387A34">
        <w:t>By</w:t>
      </w:r>
      <w:r w:rsidR="00803939">
        <w:t xml:space="preserve"> 2011, </w:t>
      </w:r>
      <w:r w:rsidR="00803939">
        <w:rPr>
          <w:rFonts w:cs="TimesNewRoman"/>
          <w:lang w:val="en-CA"/>
        </w:rPr>
        <w:t xml:space="preserve">the population </w:t>
      </w:r>
      <w:r w:rsidR="00545C23">
        <w:rPr>
          <w:rFonts w:cs="TimesNewRoman"/>
          <w:lang w:val="en-CA"/>
        </w:rPr>
        <w:t>reached</w:t>
      </w:r>
      <w:r w:rsidR="00803939">
        <w:rPr>
          <w:rFonts w:cs="TimesNewRoman"/>
          <w:lang w:val="en-CA"/>
        </w:rPr>
        <w:t xml:space="preserve"> 28</w:t>
      </w:r>
      <w:r w:rsidR="005F0AAA" w:rsidRPr="005F0AAA">
        <w:rPr>
          <w:rFonts w:cs="TimesNewRoman"/>
          <w:lang w:val="en-CA"/>
        </w:rPr>
        <w:t xml:space="preserve">.4 million, </w:t>
      </w:r>
      <w:r w:rsidR="00A95AE7">
        <w:rPr>
          <w:rFonts w:cs="TimesNewRoman"/>
          <w:lang w:val="en-CA"/>
        </w:rPr>
        <w:t xml:space="preserve">and real GDP </w:t>
      </w:r>
      <w:r w:rsidR="0018539E">
        <w:rPr>
          <w:rFonts w:cs="TimesNewRoman"/>
          <w:lang w:val="en-CA"/>
        </w:rPr>
        <w:t xml:space="preserve">annual growth </w:t>
      </w:r>
      <w:r w:rsidR="00243808">
        <w:rPr>
          <w:rFonts w:cs="TimesNewRoman"/>
          <w:lang w:val="en-CA"/>
        </w:rPr>
        <w:t>over the term had averaged 3.6 percent</w:t>
      </w:r>
      <w:r w:rsidR="00270B9C">
        <w:rPr>
          <w:rFonts w:cs="TimesNewRoman"/>
          <w:lang w:val="en-CA"/>
        </w:rPr>
        <w:t>.  Despite the global financial crisis, SA had not gone into recession</w:t>
      </w:r>
      <w:r w:rsidR="006C2157">
        <w:rPr>
          <w:rFonts w:cs="TimesNewRoman"/>
          <w:lang w:val="en-CA"/>
        </w:rPr>
        <w:t xml:space="preserve"> (although growth in 2009 came very close to zero)</w:t>
      </w:r>
      <w:r w:rsidR="002D3FB3">
        <w:rPr>
          <w:rFonts w:cs="TimesNewRoman"/>
          <w:lang w:val="en-CA"/>
        </w:rPr>
        <w:t>, and personal incomes were rising in excess of inflation</w:t>
      </w:r>
      <w:r w:rsidR="002D3FB3" w:rsidRPr="002D3FB3">
        <w:rPr>
          <w:rFonts w:cs="TimesNewRoman"/>
          <w:lang w:val="en-CA"/>
        </w:rPr>
        <w:t xml:space="preserve"> </w:t>
      </w:r>
      <w:r w:rsidR="00D96907">
        <w:rPr>
          <w:rFonts w:cs="TimesNewRoman"/>
          <w:lang w:val="en-CA"/>
        </w:rPr>
        <w:fldChar w:fldCharType="begin"/>
      </w:r>
      <w:r w:rsidR="002B3DEF">
        <w:rPr>
          <w:rFonts w:cs="TimesNewRoman"/>
          <w:lang w:val="en-CA"/>
        </w:rPr>
        <w:instrText xml:space="preserve"> ADDIN EN.CITE &lt;EndNote&gt;&lt;Cite&gt;&lt;Author&gt;Saudi Arabia Ministry of Economy and Planning&lt;/Author&gt;&lt;Year&gt;2012&lt;/Year&gt;&lt;RecNum&gt;1066&lt;/RecNum&gt;&lt;Suffix&gt; (MEP)&lt;/Suffix&gt;&lt;record&gt;&lt;rec-number&gt;1066&lt;/rec-number&gt;&lt;ref-type name="Online Database"&gt;45&lt;/ref-type&gt;&lt;contributors&gt;&lt;authors&gt;&lt;author&gt;Saudi Arabia Ministry of Economy and Planning,&lt;/author&gt;&lt;/authors&gt;&lt;/contributors&gt;&lt;titles&gt;&lt;title&gt;KSA Economy&lt;/title&gt;&lt;/titles&gt;&lt;dates&gt;&lt;year&gt;2012&lt;/year&gt;&lt;pub-dates&gt;&lt;date&gt;12 April 2012&lt;/date&gt;&lt;/pub-dates&gt;&lt;/dates&gt;&lt;publisher&gt;Kingdom of Saudi Arabia&lt;/publisher&gt;&lt;urls&gt;&lt;related-urls&gt;&lt;url&gt;http://www.mep.gov.sa/index.jsp;jsessionid=7587746E923F7BF1B822164456479332.beta?event=ArticleView&amp;amp;Article.ObjectID=45&lt;/url&gt;&lt;/related-urls&gt;&lt;/urls&gt;&lt;/record&gt;&lt;/Cite&gt;&lt;/EndNote&gt;</w:instrText>
      </w:r>
      <w:r w:rsidR="00D96907">
        <w:rPr>
          <w:rFonts w:cs="TimesNewRoman"/>
          <w:lang w:val="en-CA"/>
        </w:rPr>
        <w:fldChar w:fldCharType="separate"/>
      </w:r>
      <w:r w:rsidR="002D3FB3">
        <w:rPr>
          <w:rFonts w:cs="TimesNewRoman"/>
          <w:lang w:val="en-CA"/>
        </w:rPr>
        <w:t>(Saudi Arabia Ministry of Economy and Planning 2012 (MEP))</w:t>
      </w:r>
      <w:r w:rsidR="00D96907">
        <w:rPr>
          <w:rFonts w:cs="TimesNewRoman"/>
          <w:lang w:val="en-CA"/>
        </w:rPr>
        <w:fldChar w:fldCharType="end"/>
      </w:r>
      <w:r w:rsidR="002D3FB3">
        <w:rPr>
          <w:rFonts w:cs="TimesNewRoman"/>
          <w:lang w:val="en-CA"/>
        </w:rPr>
        <w:t>.</w:t>
      </w:r>
    </w:p>
    <w:p w:rsidR="00243808" w:rsidRDefault="00243808" w:rsidP="00243808">
      <w:pPr>
        <w:pStyle w:val="Caption"/>
        <w:rPr>
          <w:rFonts w:cs="TimesNewRoman"/>
          <w:lang w:val="en-CA"/>
        </w:rPr>
      </w:pPr>
      <w:bookmarkStart w:id="18" w:name="_Toc325871721"/>
      <w:proofErr w:type="gramStart"/>
      <w:r>
        <w:t xml:space="preserve">Figure </w:t>
      </w:r>
      <w:fldSimple w:instr=" STYLEREF 1 \s ">
        <w:r w:rsidR="00E41BFC">
          <w:rPr>
            <w:noProof/>
          </w:rPr>
          <w:t>3</w:t>
        </w:r>
      </w:fldSimple>
      <w:r w:rsidR="00E41BFC">
        <w:noBreakHyphen/>
      </w:r>
      <w:fldSimple w:instr=" SEQ Figure \* ARABIC \s 1 ">
        <w:r w:rsidR="00E41BFC">
          <w:rPr>
            <w:noProof/>
          </w:rPr>
          <w:t>1</w:t>
        </w:r>
      </w:fldSimple>
      <w:r>
        <w:t>.</w:t>
      </w:r>
      <w:proofErr w:type="gramEnd"/>
      <w:r>
        <w:t xml:space="preserve"> Real GDP growth, 2007-2011</w:t>
      </w:r>
      <w:bookmarkEnd w:id="18"/>
    </w:p>
    <w:p w:rsidR="00A95AE7" w:rsidRDefault="00A95AE7" w:rsidP="00270B9C">
      <w:pPr>
        <w:jc w:val="center"/>
        <w:rPr>
          <w:rFonts w:cs="TimesNewRoman"/>
          <w:lang w:val="en-CA"/>
        </w:rPr>
      </w:pPr>
      <w:r w:rsidRPr="00A95AE7">
        <w:rPr>
          <w:rFonts w:cs="TimesNewRoman"/>
          <w:noProof/>
          <w:lang w:val="en-US"/>
        </w:rPr>
        <w:drawing>
          <wp:inline distT="0" distB="0" distL="0" distR="0">
            <wp:extent cx="4182015" cy="2346385"/>
            <wp:effectExtent l="19050" t="0" r="28035"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3808" w:rsidRDefault="00243808" w:rsidP="00820899">
      <w:pPr>
        <w:spacing w:before="0" w:after="0"/>
        <w:rPr>
          <w:rFonts w:cs="TimesNewRoman"/>
          <w:sz w:val="18"/>
          <w:lang w:val="en-CA"/>
        </w:rPr>
      </w:pPr>
      <w:r w:rsidRPr="00387A34">
        <w:rPr>
          <w:rFonts w:cs="TimesNewRoman"/>
          <w:sz w:val="18"/>
          <w:lang w:val="en-CA"/>
        </w:rPr>
        <w:t>Note:  r:  revised</w:t>
      </w:r>
      <w:proofErr w:type="gramStart"/>
      <w:r w:rsidRPr="00387A34">
        <w:rPr>
          <w:rFonts w:cs="TimesNewRoman"/>
          <w:sz w:val="18"/>
          <w:lang w:val="en-CA"/>
        </w:rPr>
        <w:t>;  p</w:t>
      </w:r>
      <w:proofErr w:type="gramEnd"/>
      <w:r w:rsidRPr="00387A34">
        <w:rPr>
          <w:rFonts w:cs="TimesNewRoman"/>
          <w:sz w:val="18"/>
          <w:lang w:val="en-CA"/>
        </w:rPr>
        <w:t>:  preliminary estimates</w:t>
      </w:r>
    </w:p>
    <w:p w:rsidR="00820899" w:rsidRDefault="00820899" w:rsidP="00820899">
      <w:pPr>
        <w:spacing w:before="0" w:after="0"/>
        <w:rPr>
          <w:rFonts w:cs="TimesNewRoman"/>
          <w:lang w:val="en-CA"/>
        </w:rPr>
      </w:pPr>
      <w:r w:rsidRPr="004C70E7">
        <w:rPr>
          <w:rFonts w:cs="TimesNewRoman"/>
          <w:sz w:val="18"/>
          <w:lang w:val="en-CA"/>
        </w:rPr>
        <w:t xml:space="preserve">Source:  Author’s construction </w:t>
      </w:r>
      <w:r>
        <w:rPr>
          <w:rFonts w:cs="TimesNewRoman"/>
          <w:sz w:val="18"/>
          <w:lang w:val="en-CA"/>
        </w:rPr>
        <w:t xml:space="preserve">based </w:t>
      </w:r>
      <w:r w:rsidRPr="004C70E7">
        <w:rPr>
          <w:rFonts w:cs="TimesNewRoman"/>
          <w:sz w:val="18"/>
          <w:lang w:val="en-CA"/>
        </w:rPr>
        <w:t>on MEP</w:t>
      </w:r>
    </w:p>
    <w:p w:rsidR="009B22F4" w:rsidRDefault="009B22F4">
      <w:pPr>
        <w:rPr>
          <w:rFonts w:cs="TimesNewRoman"/>
          <w:lang w:val="en-CA"/>
        </w:rPr>
      </w:pPr>
      <w:r>
        <w:rPr>
          <w:rFonts w:cs="TimesNewRoman"/>
          <w:lang w:val="en-CA"/>
        </w:rPr>
        <w:t>Breaking down the growth rate by sectors</w:t>
      </w:r>
      <w:r w:rsidR="00705196">
        <w:rPr>
          <w:rFonts w:cs="TimesNewRoman"/>
          <w:lang w:val="en-CA"/>
        </w:rPr>
        <w:t xml:space="preserve"> (see Figure 3.2)</w:t>
      </w:r>
      <w:r>
        <w:rPr>
          <w:rFonts w:cs="TimesNewRoman"/>
          <w:lang w:val="en-CA"/>
        </w:rPr>
        <w:t xml:space="preserve">, we see that economic diversification played a vital role in keeping the economy in positive territory, as did stimulus spending by the government.  The oil sector plunged into negative numbers as oil demand responded to global downturns, most spectacularly following the 2008 financial crisis, but </w:t>
      </w:r>
      <w:r w:rsidR="00705196">
        <w:rPr>
          <w:rFonts w:cs="TimesNewRoman"/>
          <w:lang w:val="en-CA"/>
        </w:rPr>
        <w:t>in earlier years as well, as world oil market</w:t>
      </w:r>
      <w:r w:rsidR="0075473B">
        <w:rPr>
          <w:rFonts w:cs="TimesNewRoman"/>
          <w:lang w:val="en-CA"/>
        </w:rPr>
        <w:t xml:space="preserve"> demand and prices</w:t>
      </w:r>
      <w:r w:rsidR="00705196">
        <w:rPr>
          <w:rFonts w:cs="TimesNewRoman"/>
          <w:lang w:val="en-CA"/>
        </w:rPr>
        <w:t xml:space="preserve"> fluctuated.</w:t>
      </w:r>
    </w:p>
    <w:p w:rsidR="00705196" w:rsidRDefault="00705196" w:rsidP="00705196">
      <w:pPr>
        <w:pStyle w:val="Caption"/>
        <w:rPr>
          <w:rFonts w:cs="TimesNewRoman"/>
          <w:lang w:val="en-CA"/>
        </w:rPr>
      </w:pPr>
      <w:bookmarkStart w:id="19" w:name="_Toc325871722"/>
      <w:r>
        <w:t xml:space="preserve">Figure </w:t>
      </w:r>
      <w:fldSimple w:instr=" STYLEREF 1 \s ">
        <w:r w:rsidR="00E41BFC">
          <w:rPr>
            <w:noProof/>
          </w:rPr>
          <w:t>3</w:t>
        </w:r>
      </w:fldSimple>
      <w:r w:rsidR="00E41BFC">
        <w:noBreakHyphen/>
      </w:r>
      <w:fldSimple w:instr=" SEQ Figure \* ARABIC \s 1 ">
        <w:r w:rsidR="00E41BFC">
          <w:rPr>
            <w:noProof/>
          </w:rPr>
          <w:t>2</w:t>
        </w:r>
      </w:fldSimple>
      <w:r>
        <w:t xml:space="preserve">  GDP growth patterns, 2004-2011</w:t>
      </w:r>
      <w:bookmarkEnd w:id="19"/>
    </w:p>
    <w:p w:rsidR="009B22F4" w:rsidRDefault="009B22F4" w:rsidP="009B22F4">
      <w:pPr>
        <w:jc w:val="center"/>
        <w:rPr>
          <w:rFonts w:cs="TimesNewRoman"/>
          <w:lang w:val="en-CA"/>
        </w:rPr>
      </w:pPr>
      <w:r w:rsidRPr="009B22F4">
        <w:rPr>
          <w:rFonts w:cs="TimesNewRoman"/>
          <w:noProof/>
          <w:lang w:val="en-US"/>
        </w:rPr>
        <w:drawing>
          <wp:inline distT="0" distB="0" distL="0" distR="0">
            <wp:extent cx="4572000" cy="2743200"/>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0" w:type="auto"/>
        <w:jc w:val="center"/>
        <w:tblInd w:w="103" w:type="dxa"/>
        <w:tblLook w:val="04A0"/>
      </w:tblPr>
      <w:tblGrid>
        <w:gridCol w:w="2687"/>
        <w:gridCol w:w="706"/>
        <w:gridCol w:w="706"/>
        <w:gridCol w:w="706"/>
        <w:gridCol w:w="706"/>
        <w:gridCol w:w="706"/>
        <w:gridCol w:w="706"/>
        <w:gridCol w:w="760"/>
        <w:gridCol w:w="791"/>
      </w:tblGrid>
      <w:tr w:rsidR="009B22F4" w:rsidRPr="009B22F4" w:rsidTr="009B22F4">
        <w:trPr>
          <w:trHeight w:val="360"/>
          <w:jc w:val="center"/>
        </w:trPr>
        <w:tc>
          <w:tcPr>
            <w:tcW w:w="0" w:type="auto"/>
            <w:tcBorders>
              <w:top w:val="single" w:sz="8" w:space="0" w:color="808080"/>
              <w:left w:val="single" w:sz="4" w:space="0" w:color="808080"/>
              <w:bottom w:val="single" w:sz="8" w:space="0" w:color="808080"/>
              <w:right w:val="single" w:sz="4" w:space="0" w:color="808080"/>
            </w:tcBorders>
            <w:shd w:val="clear" w:color="000000" w:fill="C2D69A"/>
            <w:noWrap/>
            <w:vAlign w:val="center"/>
            <w:hideMark/>
          </w:tcPr>
          <w:p w:rsidR="009B22F4" w:rsidRPr="009B22F4" w:rsidRDefault="009B22F4" w:rsidP="009B22F4">
            <w:pPr>
              <w:spacing w:before="0" w:after="0"/>
              <w:rPr>
                <w:rFonts w:ascii="Arial" w:eastAsia="Times New Roman" w:hAnsi="Arial" w:cs="Arial"/>
                <w:lang w:val="en-CA" w:eastAsia="en-CA"/>
              </w:rPr>
            </w:pPr>
            <w:r w:rsidRPr="009B22F4">
              <w:rPr>
                <w:rFonts w:ascii="Arial" w:eastAsia="Times New Roman" w:hAnsi="Arial" w:cs="Arial"/>
                <w:lang w:val="en-CA" w:eastAsia="en-CA"/>
              </w:rPr>
              <w:t> </w:t>
            </w:r>
          </w:p>
        </w:tc>
        <w:tc>
          <w:tcPr>
            <w:tcW w:w="0" w:type="auto"/>
            <w:tcBorders>
              <w:top w:val="single" w:sz="8" w:space="0" w:color="808080"/>
              <w:left w:val="nil"/>
              <w:bottom w:val="single" w:sz="8" w:space="0" w:color="808080"/>
              <w:right w:val="single" w:sz="4" w:space="0" w:color="A5A5A5"/>
            </w:tcBorders>
            <w:shd w:val="clear" w:color="000000" w:fill="C2D69A"/>
            <w:noWrap/>
            <w:vAlign w:val="bottom"/>
            <w:hideMark/>
          </w:tcPr>
          <w:p w:rsidR="009B22F4" w:rsidRPr="009B22F4" w:rsidRDefault="009B22F4" w:rsidP="009B22F4">
            <w:pPr>
              <w:spacing w:before="0" w:after="0"/>
              <w:jc w:val="right"/>
              <w:rPr>
                <w:rFonts w:ascii="Arial" w:eastAsia="Times New Roman" w:hAnsi="Arial" w:cs="Arial"/>
                <w:b/>
                <w:bCs/>
                <w:lang w:val="en-CA" w:eastAsia="en-CA"/>
              </w:rPr>
            </w:pPr>
            <w:r w:rsidRPr="009B22F4">
              <w:rPr>
                <w:rFonts w:ascii="Arial" w:eastAsia="Times New Roman" w:hAnsi="Arial" w:cs="Arial"/>
                <w:b/>
                <w:bCs/>
                <w:lang w:val="en-CA" w:eastAsia="en-CA"/>
              </w:rPr>
              <w:t>2004</w:t>
            </w:r>
          </w:p>
        </w:tc>
        <w:tc>
          <w:tcPr>
            <w:tcW w:w="0" w:type="auto"/>
            <w:tcBorders>
              <w:top w:val="single" w:sz="8" w:space="0" w:color="808080"/>
              <w:left w:val="nil"/>
              <w:bottom w:val="single" w:sz="8" w:space="0" w:color="808080"/>
              <w:right w:val="single" w:sz="4" w:space="0" w:color="A5A5A5"/>
            </w:tcBorders>
            <w:shd w:val="clear" w:color="000000" w:fill="C2D69A"/>
            <w:noWrap/>
            <w:vAlign w:val="bottom"/>
            <w:hideMark/>
          </w:tcPr>
          <w:p w:rsidR="009B22F4" w:rsidRPr="009B22F4" w:rsidRDefault="009B22F4" w:rsidP="009B22F4">
            <w:pPr>
              <w:spacing w:before="0" w:after="0"/>
              <w:jc w:val="right"/>
              <w:rPr>
                <w:rFonts w:ascii="Arial" w:eastAsia="Times New Roman" w:hAnsi="Arial" w:cs="Arial"/>
                <w:b/>
                <w:bCs/>
                <w:lang w:val="en-CA" w:eastAsia="en-CA"/>
              </w:rPr>
            </w:pPr>
            <w:r w:rsidRPr="009B22F4">
              <w:rPr>
                <w:rFonts w:ascii="Arial" w:eastAsia="Times New Roman" w:hAnsi="Arial" w:cs="Arial"/>
                <w:b/>
                <w:bCs/>
                <w:lang w:val="en-CA" w:eastAsia="en-CA"/>
              </w:rPr>
              <w:t>2005</w:t>
            </w:r>
          </w:p>
        </w:tc>
        <w:tc>
          <w:tcPr>
            <w:tcW w:w="0" w:type="auto"/>
            <w:tcBorders>
              <w:top w:val="single" w:sz="8" w:space="0" w:color="808080"/>
              <w:left w:val="nil"/>
              <w:bottom w:val="single" w:sz="8" w:space="0" w:color="808080"/>
              <w:right w:val="single" w:sz="4" w:space="0" w:color="A5A5A5"/>
            </w:tcBorders>
            <w:shd w:val="clear" w:color="000000" w:fill="C2D69A"/>
            <w:noWrap/>
            <w:vAlign w:val="bottom"/>
            <w:hideMark/>
          </w:tcPr>
          <w:p w:rsidR="009B22F4" w:rsidRPr="009B22F4" w:rsidRDefault="009B22F4" w:rsidP="009B22F4">
            <w:pPr>
              <w:spacing w:before="0" w:after="0"/>
              <w:jc w:val="right"/>
              <w:rPr>
                <w:rFonts w:ascii="Arial" w:eastAsia="Times New Roman" w:hAnsi="Arial" w:cs="Arial"/>
                <w:b/>
                <w:bCs/>
                <w:lang w:val="en-CA" w:eastAsia="en-CA"/>
              </w:rPr>
            </w:pPr>
            <w:r w:rsidRPr="009B22F4">
              <w:rPr>
                <w:rFonts w:ascii="Arial" w:eastAsia="Times New Roman" w:hAnsi="Arial" w:cs="Arial"/>
                <w:b/>
                <w:bCs/>
                <w:lang w:val="en-CA" w:eastAsia="en-CA"/>
              </w:rPr>
              <w:t>2006</w:t>
            </w:r>
          </w:p>
        </w:tc>
        <w:tc>
          <w:tcPr>
            <w:tcW w:w="0" w:type="auto"/>
            <w:tcBorders>
              <w:top w:val="single" w:sz="8" w:space="0" w:color="808080"/>
              <w:left w:val="nil"/>
              <w:bottom w:val="single" w:sz="8" w:space="0" w:color="808080"/>
              <w:right w:val="single" w:sz="4" w:space="0" w:color="A5A5A5"/>
            </w:tcBorders>
            <w:shd w:val="clear" w:color="000000" w:fill="C2D69A"/>
            <w:noWrap/>
            <w:vAlign w:val="bottom"/>
            <w:hideMark/>
          </w:tcPr>
          <w:p w:rsidR="009B22F4" w:rsidRPr="009B22F4" w:rsidRDefault="009B22F4" w:rsidP="009B22F4">
            <w:pPr>
              <w:spacing w:before="0" w:after="0"/>
              <w:jc w:val="right"/>
              <w:rPr>
                <w:rFonts w:ascii="Arial" w:eastAsia="Times New Roman" w:hAnsi="Arial" w:cs="Arial"/>
                <w:b/>
                <w:bCs/>
                <w:lang w:val="en-CA" w:eastAsia="en-CA"/>
              </w:rPr>
            </w:pPr>
            <w:r w:rsidRPr="009B22F4">
              <w:rPr>
                <w:rFonts w:ascii="Arial" w:eastAsia="Times New Roman" w:hAnsi="Arial" w:cs="Arial"/>
                <w:b/>
                <w:bCs/>
                <w:lang w:val="en-CA" w:eastAsia="en-CA"/>
              </w:rPr>
              <w:t>2007</w:t>
            </w:r>
          </w:p>
        </w:tc>
        <w:tc>
          <w:tcPr>
            <w:tcW w:w="0" w:type="auto"/>
            <w:tcBorders>
              <w:top w:val="single" w:sz="8" w:space="0" w:color="808080"/>
              <w:left w:val="nil"/>
              <w:bottom w:val="single" w:sz="8" w:space="0" w:color="808080"/>
              <w:right w:val="single" w:sz="4" w:space="0" w:color="A5A5A5"/>
            </w:tcBorders>
            <w:shd w:val="clear" w:color="000000" w:fill="C2D69A"/>
            <w:noWrap/>
            <w:vAlign w:val="bottom"/>
            <w:hideMark/>
          </w:tcPr>
          <w:p w:rsidR="009B22F4" w:rsidRPr="009B22F4" w:rsidRDefault="009B22F4" w:rsidP="009B22F4">
            <w:pPr>
              <w:spacing w:before="0" w:after="0"/>
              <w:jc w:val="right"/>
              <w:rPr>
                <w:rFonts w:ascii="Arial" w:eastAsia="Times New Roman" w:hAnsi="Arial" w:cs="Arial"/>
                <w:b/>
                <w:bCs/>
                <w:lang w:val="en-CA" w:eastAsia="en-CA"/>
              </w:rPr>
            </w:pPr>
            <w:r w:rsidRPr="009B22F4">
              <w:rPr>
                <w:rFonts w:ascii="Arial" w:eastAsia="Times New Roman" w:hAnsi="Arial" w:cs="Arial"/>
                <w:b/>
                <w:bCs/>
                <w:lang w:val="en-CA" w:eastAsia="en-CA"/>
              </w:rPr>
              <w:t>2008</w:t>
            </w:r>
          </w:p>
        </w:tc>
        <w:tc>
          <w:tcPr>
            <w:tcW w:w="0" w:type="auto"/>
            <w:tcBorders>
              <w:top w:val="single" w:sz="8" w:space="0" w:color="808080"/>
              <w:left w:val="nil"/>
              <w:bottom w:val="single" w:sz="8" w:space="0" w:color="808080"/>
              <w:right w:val="single" w:sz="4" w:space="0" w:color="A5A5A5"/>
            </w:tcBorders>
            <w:shd w:val="clear" w:color="000000" w:fill="C2D69A"/>
            <w:noWrap/>
            <w:vAlign w:val="bottom"/>
            <w:hideMark/>
          </w:tcPr>
          <w:p w:rsidR="009B22F4" w:rsidRPr="009B22F4" w:rsidRDefault="009B22F4" w:rsidP="009B22F4">
            <w:pPr>
              <w:spacing w:before="0" w:after="0"/>
              <w:jc w:val="right"/>
              <w:rPr>
                <w:rFonts w:ascii="Arial" w:eastAsia="Times New Roman" w:hAnsi="Arial" w:cs="Arial"/>
                <w:b/>
                <w:bCs/>
                <w:lang w:val="en-CA" w:eastAsia="en-CA"/>
              </w:rPr>
            </w:pPr>
            <w:r w:rsidRPr="009B22F4">
              <w:rPr>
                <w:rFonts w:ascii="Arial" w:eastAsia="Times New Roman" w:hAnsi="Arial" w:cs="Arial"/>
                <w:b/>
                <w:bCs/>
                <w:lang w:val="en-CA" w:eastAsia="en-CA"/>
              </w:rPr>
              <w:t>2009</w:t>
            </w:r>
          </w:p>
        </w:tc>
        <w:tc>
          <w:tcPr>
            <w:tcW w:w="0" w:type="auto"/>
            <w:tcBorders>
              <w:top w:val="single" w:sz="8" w:space="0" w:color="808080"/>
              <w:left w:val="nil"/>
              <w:bottom w:val="single" w:sz="8" w:space="0" w:color="808080"/>
              <w:right w:val="single" w:sz="4" w:space="0" w:color="A5A5A5"/>
            </w:tcBorders>
            <w:shd w:val="clear" w:color="000000" w:fill="C2D69A"/>
            <w:noWrap/>
            <w:vAlign w:val="bottom"/>
            <w:hideMark/>
          </w:tcPr>
          <w:p w:rsidR="009B22F4" w:rsidRPr="009B22F4" w:rsidRDefault="009B22F4" w:rsidP="009B22F4">
            <w:pPr>
              <w:spacing w:before="0" w:after="0"/>
              <w:jc w:val="right"/>
              <w:rPr>
                <w:rFonts w:ascii="Arial" w:eastAsia="Times New Roman" w:hAnsi="Arial" w:cs="Arial"/>
                <w:b/>
                <w:bCs/>
                <w:lang w:val="en-CA" w:eastAsia="en-CA"/>
              </w:rPr>
            </w:pPr>
            <w:r w:rsidRPr="009B22F4">
              <w:rPr>
                <w:rFonts w:ascii="Arial" w:eastAsia="Times New Roman" w:hAnsi="Arial" w:cs="Arial"/>
                <w:b/>
                <w:bCs/>
                <w:lang w:val="en-CA" w:eastAsia="en-CA"/>
              </w:rPr>
              <w:t>2010</w:t>
            </w:r>
            <w:r w:rsidRPr="009B22F4">
              <w:rPr>
                <w:rFonts w:ascii="Arial" w:eastAsia="Times New Roman" w:hAnsi="Arial" w:cs="Arial"/>
                <w:b/>
                <w:bCs/>
                <w:vertAlign w:val="superscript"/>
                <w:lang w:val="en-CA" w:eastAsia="en-CA"/>
              </w:rPr>
              <w:t>r</w:t>
            </w:r>
          </w:p>
        </w:tc>
        <w:tc>
          <w:tcPr>
            <w:tcW w:w="0" w:type="auto"/>
            <w:tcBorders>
              <w:top w:val="single" w:sz="8" w:space="0" w:color="808080"/>
              <w:left w:val="nil"/>
              <w:bottom w:val="single" w:sz="8" w:space="0" w:color="808080"/>
              <w:right w:val="single" w:sz="4" w:space="0" w:color="808080"/>
            </w:tcBorders>
            <w:shd w:val="clear" w:color="000000" w:fill="C2D69A"/>
            <w:noWrap/>
            <w:vAlign w:val="bottom"/>
            <w:hideMark/>
          </w:tcPr>
          <w:p w:rsidR="009B22F4" w:rsidRPr="009B22F4" w:rsidRDefault="009B22F4" w:rsidP="009B22F4">
            <w:pPr>
              <w:spacing w:before="0" w:after="0"/>
              <w:jc w:val="right"/>
              <w:rPr>
                <w:rFonts w:ascii="Arial" w:eastAsia="Times New Roman" w:hAnsi="Arial" w:cs="Arial"/>
                <w:b/>
                <w:bCs/>
                <w:lang w:val="en-CA" w:eastAsia="en-CA"/>
              </w:rPr>
            </w:pPr>
            <w:r w:rsidRPr="009B22F4">
              <w:rPr>
                <w:rFonts w:ascii="Arial" w:eastAsia="Times New Roman" w:hAnsi="Arial" w:cs="Arial"/>
                <w:b/>
                <w:bCs/>
                <w:lang w:val="en-CA" w:eastAsia="en-CA"/>
              </w:rPr>
              <w:t>2011</w:t>
            </w:r>
            <w:r w:rsidRPr="009B22F4">
              <w:rPr>
                <w:rFonts w:ascii="Arial" w:eastAsia="Times New Roman" w:hAnsi="Arial" w:cs="Arial"/>
                <w:b/>
                <w:bCs/>
                <w:vertAlign w:val="superscript"/>
                <w:lang w:val="en-CA" w:eastAsia="en-CA"/>
              </w:rPr>
              <w:t>p</w:t>
            </w:r>
          </w:p>
        </w:tc>
      </w:tr>
      <w:tr w:rsidR="009B22F4" w:rsidRPr="009B22F4" w:rsidTr="009B22F4">
        <w:trPr>
          <w:trHeight w:val="255"/>
          <w:jc w:val="center"/>
        </w:trPr>
        <w:tc>
          <w:tcPr>
            <w:tcW w:w="0" w:type="auto"/>
            <w:tcBorders>
              <w:top w:val="nil"/>
              <w:left w:val="single" w:sz="4" w:space="0" w:color="808080"/>
              <w:bottom w:val="nil"/>
              <w:right w:val="single" w:sz="4" w:space="0" w:color="808080"/>
            </w:tcBorders>
            <w:shd w:val="clear" w:color="000000" w:fill="FFFFFF"/>
            <w:noWrap/>
            <w:vAlign w:val="center"/>
            <w:hideMark/>
          </w:tcPr>
          <w:p w:rsidR="009B22F4" w:rsidRPr="009B22F4" w:rsidRDefault="009B22F4" w:rsidP="009B22F4">
            <w:pPr>
              <w:spacing w:before="0" w:after="0"/>
              <w:rPr>
                <w:rFonts w:ascii="Arial Narrow" w:eastAsia="Times New Roman" w:hAnsi="Arial Narrow" w:cs="Times New Roman"/>
                <w:sz w:val="20"/>
                <w:szCs w:val="20"/>
                <w:lang w:val="en-CA" w:eastAsia="en-CA"/>
              </w:rPr>
            </w:pPr>
            <w:r w:rsidRPr="009B22F4">
              <w:rPr>
                <w:rFonts w:ascii="Arial Narrow" w:eastAsia="Times New Roman" w:hAnsi="Arial Narrow" w:cs="Times New Roman"/>
                <w:sz w:val="20"/>
                <w:szCs w:val="20"/>
                <w:lang w:val="en-CA" w:eastAsia="en-CA"/>
              </w:rPr>
              <w:t xml:space="preserve">Growth in Real-GDP (%)  </w:t>
            </w:r>
          </w:p>
        </w:tc>
        <w:tc>
          <w:tcPr>
            <w:tcW w:w="0" w:type="auto"/>
            <w:tcBorders>
              <w:top w:val="nil"/>
              <w:left w:val="nil"/>
              <w:bottom w:val="nil"/>
              <w:right w:val="single" w:sz="4" w:space="0" w:color="A5A5A5"/>
            </w:tcBorders>
            <w:shd w:val="clear" w:color="000000" w:fill="FFFFFF"/>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5.3</w:t>
            </w:r>
          </w:p>
        </w:tc>
        <w:tc>
          <w:tcPr>
            <w:tcW w:w="0" w:type="auto"/>
            <w:tcBorders>
              <w:top w:val="nil"/>
              <w:left w:val="nil"/>
              <w:bottom w:val="nil"/>
              <w:right w:val="single" w:sz="4" w:space="0" w:color="A5A5A5"/>
            </w:tcBorders>
            <w:shd w:val="clear" w:color="000000" w:fill="FFFFFF"/>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5.6</w:t>
            </w:r>
          </w:p>
        </w:tc>
        <w:tc>
          <w:tcPr>
            <w:tcW w:w="0" w:type="auto"/>
            <w:tcBorders>
              <w:top w:val="nil"/>
              <w:left w:val="nil"/>
              <w:bottom w:val="nil"/>
              <w:right w:val="single" w:sz="4" w:space="0" w:color="A5A5A5"/>
            </w:tcBorders>
            <w:shd w:val="clear" w:color="000000" w:fill="FFFFFF"/>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3.2</w:t>
            </w:r>
          </w:p>
        </w:tc>
        <w:tc>
          <w:tcPr>
            <w:tcW w:w="0" w:type="auto"/>
            <w:tcBorders>
              <w:top w:val="nil"/>
              <w:left w:val="nil"/>
              <w:bottom w:val="nil"/>
              <w:right w:val="single" w:sz="4" w:space="0" w:color="A5A5A5"/>
            </w:tcBorders>
            <w:shd w:val="clear" w:color="000000" w:fill="FFFFFF"/>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2.0</w:t>
            </w:r>
          </w:p>
        </w:tc>
        <w:tc>
          <w:tcPr>
            <w:tcW w:w="0" w:type="auto"/>
            <w:tcBorders>
              <w:top w:val="nil"/>
              <w:left w:val="nil"/>
              <w:bottom w:val="nil"/>
              <w:right w:val="single" w:sz="4" w:space="0" w:color="A5A5A5"/>
            </w:tcBorders>
            <w:shd w:val="clear" w:color="000000" w:fill="FFFFFF"/>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4.2</w:t>
            </w:r>
          </w:p>
        </w:tc>
        <w:tc>
          <w:tcPr>
            <w:tcW w:w="0" w:type="auto"/>
            <w:tcBorders>
              <w:top w:val="nil"/>
              <w:left w:val="nil"/>
              <w:bottom w:val="nil"/>
              <w:right w:val="single" w:sz="4" w:space="0" w:color="A5A5A5"/>
            </w:tcBorders>
            <w:shd w:val="clear" w:color="FFFFFF" w:fill="FFFFFF"/>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0.1</w:t>
            </w:r>
          </w:p>
        </w:tc>
        <w:tc>
          <w:tcPr>
            <w:tcW w:w="0" w:type="auto"/>
            <w:tcBorders>
              <w:top w:val="nil"/>
              <w:left w:val="nil"/>
              <w:bottom w:val="nil"/>
              <w:right w:val="single" w:sz="4" w:space="0" w:color="A5A5A5"/>
            </w:tcBorders>
            <w:shd w:val="clear" w:color="FFFFFF" w:fill="FFFFFF"/>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4.6</w:t>
            </w:r>
          </w:p>
        </w:tc>
        <w:tc>
          <w:tcPr>
            <w:tcW w:w="0" w:type="auto"/>
            <w:tcBorders>
              <w:top w:val="nil"/>
              <w:left w:val="nil"/>
              <w:bottom w:val="nil"/>
              <w:right w:val="single" w:sz="4" w:space="0" w:color="808080"/>
            </w:tcBorders>
            <w:shd w:val="clear" w:color="FFFFFF" w:fill="FFFFFF"/>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6.8</w:t>
            </w:r>
          </w:p>
        </w:tc>
      </w:tr>
      <w:tr w:rsidR="009B22F4" w:rsidRPr="009B22F4" w:rsidTr="009B22F4">
        <w:trPr>
          <w:trHeight w:val="255"/>
          <w:jc w:val="center"/>
        </w:trPr>
        <w:tc>
          <w:tcPr>
            <w:tcW w:w="0" w:type="auto"/>
            <w:tcBorders>
              <w:top w:val="nil"/>
              <w:left w:val="single" w:sz="4" w:space="0" w:color="808080"/>
              <w:bottom w:val="nil"/>
              <w:right w:val="single" w:sz="4" w:space="0" w:color="808080"/>
            </w:tcBorders>
            <w:shd w:val="clear" w:color="000000" w:fill="D7E4BC"/>
            <w:noWrap/>
            <w:vAlign w:val="center"/>
            <w:hideMark/>
          </w:tcPr>
          <w:p w:rsidR="009B22F4" w:rsidRPr="009B22F4" w:rsidRDefault="009B22F4" w:rsidP="009B22F4">
            <w:pPr>
              <w:spacing w:before="0" w:after="0"/>
              <w:rPr>
                <w:rFonts w:ascii="Arial Narrow" w:eastAsia="Times New Roman" w:hAnsi="Arial Narrow" w:cs="Times New Roman"/>
                <w:sz w:val="20"/>
                <w:szCs w:val="20"/>
                <w:lang w:val="en-CA" w:eastAsia="en-CA"/>
              </w:rPr>
            </w:pPr>
            <w:r w:rsidRPr="009B22F4">
              <w:rPr>
                <w:rFonts w:ascii="Arial Narrow" w:eastAsia="Times New Roman" w:hAnsi="Arial Narrow" w:cs="Times New Roman"/>
                <w:sz w:val="20"/>
                <w:szCs w:val="20"/>
                <w:lang w:val="en-CA" w:eastAsia="en-CA"/>
              </w:rPr>
              <w:t xml:space="preserve">Growth in Private Sector (%)  </w:t>
            </w:r>
          </w:p>
        </w:tc>
        <w:tc>
          <w:tcPr>
            <w:tcW w:w="0" w:type="auto"/>
            <w:tcBorders>
              <w:top w:val="nil"/>
              <w:left w:val="nil"/>
              <w:bottom w:val="nil"/>
              <w:right w:val="single" w:sz="4" w:space="0" w:color="A5A5A5"/>
            </w:tcBorders>
            <w:shd w:val="clear" w:color="000000" w:fill="D7E4BC"/>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5.7</w:t>
            </w:r>
          </w:p>
        </w:tc>
        <w:tc>
          <w:tcPr>
            <w:tcW w:w="0" w:type="auto"/>
            <w:tcBorders>
              <w:top w:val="nil"/>
              <w:left w:val="nil"/>
              <w:bottom w:val="nil"/>
              <w:right w:val="single" w:sz="4" w:space="0" w:color="A5A5A5"/>
            </w:tcBorders>
            <w:shd w:val="clear" w:color="000000" w:fill="D7E4BC"/>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5.7</w:t>
            </w:r>
          </w:p>
        </w:tc>
        <w:tc>
          <w:tcPr>
            <w:tcW w:w="0" w:type="auto"/>
            <w:tcBorders>
              <w:top w:val="nil"/>
              <w:left w:val="nil"/>
              <w:bottom w:val="nil"/>
              <w:right w:val="single" w:sz="4" w:space="0" w:color="A5A5A5"/>
            </w:tcBorders>
            <w:shd w:val="clear" w:color="000000" w:fill="D7E4BC"/>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5.9</w:t>
            </w:r>
          </w:p>
        </w:tc>
        <w:tc>
          <w:tcPr>
            <w:tcW w:w="0" w:type="auto"/>
            <w:tcBorders>
              <w:top w:val="nil"/>
              <w:left w:val="nil"/>
              <w:bottom w:val="nil"/>
              <w:right w:val="single" w:sz="4" w:space="0" w:color="A5A5A5"/>
            </w:tcBorders>
            <w:shd w:val="clear" w:color="000000" w:fill="D7E4BC"/>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5.2</w:t>
            </w:r>
          </w:p>
        </w:tc>
        <w:tc>
          <w:tcPr>
            <w:tcW w:w="0" w:type="auto"/>
            <w:tcBorders>
              <w:top w:val="nil"/>
              <w:left w:val="nil"/>
              <w:bottom w:val="nil"/>
              <w:right w:val="single" w:sz="4" w:space="0" w:color="A5A5A5"/>
            </w:tcBorders>
            <w:shd w:val="clear" w:color="000000" w:fill="D7E4BC"/>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4.8</w:t>
            </w:r>
          </w:p>
        </w:tc>
        <w:tc>
          <w:tcPr>
            <w:tcW w:w="0" w:type="auto"/>
            <w:tcBorders>
              <w:top w:val="nil"/>
              <w:left w:val="nil"/>
              <w:bottom w:val="nil"/>
              <w:right w:val="single" w:sz="4" w:space="0" w:color="A5A5A5"/>
            </w:tcBorders>
            <w:shd w:val="clear" w:color="FFFFFF" w:fill="D7E4BC"/>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2.6</w:t>
            </w:r>
          </w:p>
        </w:tc>
        <w:tc>
          <w:tcPr>
            <w:tcW w:w="0" w:type="auto"/>
            <w:tcBorders>
              <w:top w:val="nil"/>
              <w:left w:val="nil"/>
              <w:bottom w:val="nil"/>
              <w:right w:val="single" w:sz="4" w:space="0" w:color="A5A5A5"/>
            </w:tcBorders>
            <w:shd w:val="clear" w:color="FFFFFF" w:fill="D7E4BC"/>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5.4</w:t>
            </w:r>
          </w:p>
        </w:tc>
        <w:tc>
          <w:tcPr>
            <w:tcW w:w="0" w:type="auto"/>
            <w:tcBorders>
              <w:top w:val="nil"/>
              <w:left w:val="nil"/>
              <w:bottom w:val="nil"/>
              <w:right w:val="single" w:sz="4" w:space="0" w:color="808080"/>
            </w:tcBorders>
            <w:shd w:val="clear" w:color="FFFFFF" w:fill="D7E4BC"/>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8.1</w:t>
            </w:r>
          </w:p>
        </w:tc>
      </w:tr>
      <w:tr w:rsidR="009B22F4" w:rsidRPr="009B22F4" w:rsidTr="009B22F4">
        <w:trPr>
          <w:trHeight w:val="255"/>
          <w:jc w:val="center"/>
        </w:trPr>
        <w:tc>
          <w:tcPr>
            <w:tcW w:w="0" w:type="auto"/>
            <w:tcBorders>
              <w:top w:val="nil"/>
              <w:left w:val="single" w:sz="4" w:space="0" w:color="808080"/>
              <w:bottom w:val="nil"/>
              <w:right w:val="single" w:sz="4" w:space="0" w:color="808080"/>
            </w:tcBorders>
            <w:shd w:val="clear" w:color="000000" w:fill="FFFFFF"/>
            <w:noWrap/>
            <w:vAlign w:val="center"/>
            <w:hideMark/>
          </w:tcPr>
          <w:p w:rsidR="009B22F4" w:rsidRPr="009B22F4" w:rsidRDefault="009B22F4" w:rsidP="009B22F4">
            <w:pPr>
              <w:spacing w:before="0" w:after="0"/>
              <w:rPr>
                <w:rFonts w:ascii="Arial Narrow" w:eastAsia="Times New Roman" w:hAnsi="Arial Narrow" w:cs="Times New Roman"/>
                <w:sz w:val="20"/>
                <w:szCs w:val="20"/>
                <w:lang w:val="en-CA" w:eastAsia="en-CA"/>
              </w:rPr>
            </w:pPr>
            <w:r w:rsidRPr="009B22F4">
              <w:rPr>
                <w:rFonts w:ascii="Arial Narrow" w:eastAsia="Times New Roman" w:hAnsi="Arial Narrow" w:cs="Times New Roman"/>
                <w:sz w:val="20"/>
                <w:szCs w:val="20"/>
                <w:lang w:val="en-CA" w:eastAsia="en-CA"/>
              </w:rPr>
              <w:t xml:space="preserve">Growth in Government Sector (%)  </w:t>
            </w:r>
          </w:p>
        </w:tc>
        <w:tc>
          <w:tcPr>
            <w:tcW w:w="0" w:type="auto"/>
            <w:tcBorders>
              <w:top w:val="nil"/>
              <w:left w:val="nil"/>
              <w:bottom w:val="nil"/>
              <w:right w:val="single" w:sz="4" w:space="0" w:color="A5A5A5"/>
            </w:tcBorders>
            <w:shd w:val="clear" w:color="000000" w:fill="FFFFFF"/>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2.2</w:t>
            </w:r>
          </w:p>
        </w:tc>
        <w:tc>
          <w:tcPr>
            <w:tcW w:w="0" w:type="auto"/>
            <w:tcBorders>
              <w:top w:val="nil"/>
              <w:left w:val="nil"/>
              <w:bottom w:val="nil"/>
              <w:right w:val="single" w:sz="4" w:space="0" w:color="A5A5A5"/>
            </w:tcBorders>
            <w:shd w:val="clear" w:color="000000" w:fill="FFFFFF"/>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3.3</w:t>
            </w:r>
          </w:p>
        </w:tc>
        <w:tc>
          <w:tcPr>
            <w:tcW w:w="0" w:type="auto"/>
            <w:tcBorders>
              <w:top w:val="nil"/>
              <w:left w:val="nil"/>
              <w:bottom w:val="nil"/>
              <w:right w:val="single" w:sz="4" w:space="0" w:color="A5A5A5"/>
            </w:tcBorders>
            <w:shd w:val="clear" w:color="000000" w:fill="FFFFFF"/>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1.9</w:t>
            </w:r>
          </w:p>
        </w:tc>
        <w:tc>
          <w:tcPr>
            <w:tcW w:w="0" w:type="auto"/>
            <w:tcBorders>
              <w:top w:val="nil"/>
              <w:left w:val="nil"/>
              <w:bottom w:val="nil"/>
              <w:right w:val="single" w:sz="4" w:space="0" w:color="A5A5A5"/>
            </w:tcBorders>
            <w:shd w:val="clear" w:color="000000" w:fill="FFFFFF"/>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1.9</w:t>
            </w:r>
          </w:p>
        </w:tc>
        <w:tc>
          <w:tcPr>
            <w:tcW w:w="0" w:type="auto"/>
            <w:tcBorders>
              <w:top w:val="nil"/>
              <w:left w:val="nil"/>
              <w:bottom w:val="nil"/>
              <w:right w:val="single" w:sz="4" w:space="0" w:color="A5A5A5"/>
            </w:tcBorders>
            <w:shd w:val="clear" w:color="000000" w:fill="FFFFFF"/>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2.4</w:t>
            </w:r>
          </w:p>
        </w:tc>
        <w:tc>
          <w:tcPr>
            <w:tcW w:w="0" w:type="auto"/>
            <w:tcBorders>
              <w:top w:val="nil"/>
              <w:left w:val="nil"/>
              <w:bottom w:val="nil"/>
              <w:right w:val="single" w:sz="4" w:space="0" w:color="A5A5A5"/>
            </w:tcBorders>
            <w:shd w:val="clear" w:color="FFFFFF" w:fill="FFFFFF"/>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5.0</w:t>
            </w:r>
          </w:p>
        </w:tc>
        <w:tc>
          <w:tcPr>
            <w:tcW w:w="0" w:type="auto"/>
            <w:tcBorders>
              <w:top w:val="nil"/>
              <w:left w:val="nil"/>
              <w:bottom w:val="nil"/>
              <w:right w:val="single" w:sz="4" w:space="0" w:color="A5A5A5"/>
            </w:tcBorders>
            <w:shd w:val="clear" w:color="FFFFFF" w:fill="FFFFFF"/>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5.3</w:t>
            </w:r>
          </w:p>
        </w:tc>
        <w:tc>
          <w:tcPr>
            <w:tcW w:w="0" w:type="auto"/>
            <w:tcBorders>
              <w:top w:val="nil"/>
              <w:left w:val="nil"/>
              <w:bottom w:val="nil"/>
              <w:right w:val="single" w:sz="4" w:space="0" w:color="808080"/>
            </w:tcBorders>
            <w:shd w:val="clear" w:color="FFFFFF" w:fill="FFFFFF"/>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6.2</w:t>
            </w:r>
          </w:p>
        </w:tc>
      </w:tr>
      <w:tr w:rsidR="009B22F4" w:rsidRPr="009B22F4" w:rsidTr="009B22F4">
        <w:trPr>
          <w:trHeight w:val="255"/>
          <w:jc w:val="center"/>
        </w:trPr>
        <w:tc>
          <w:tcPr>
            <w:tcW w:w="0" w:type="auto"/>
            <w:tcBorders>
              <w:top w:val="nil"/>
              <w:left w:val="single" w:sz="4" w:space="0" w:color="808080"/>
              <w:bottom w:val="single" w:sz="4" w:space="0" w:color="808080"/>
              <w:right w:val="single" w:sz="4" w:space="0" w:color="808080"/>
            </w:tcBorders>
            <w:shd w:val="clear" w:color="000000" w:fill="D7E4BC"/>
            <w:noWrap/>
            <w:vAlign w:val="center"/>
            <w:hideMark/>
          </w:tcPr>
          <w:p w:rsidR="009B22F4" w:rsidRPr="009B22F4" w:rsidRDefault="009B22F4" w:rsidP="009B22F4">
            <w:pPr>
              <w:spacing w:before="0" w:after="0"/>
              <w:rPr>
                <w:rFonts w:ascii="Arial Narrow" w:eastAsia="Times New Roman" w:hAnsi="Arial Narrow" w:cs="Times New Roman"/>
                <w:sz w:val="20"/>
                <w:szCs w:val="20"/>
                <w:lang w:val="en-CA" w:eastAsia="en-CA"/>
              </w:rPr>
            </w:pPr>
            <w:r w:rsidRPr="009B22F4">
              <w:rPr>
                <w:rFonts w:ascii="Arial Narrow" w:eastAsia="Times New Roman" w:hAnsi="Arial Narrow" w:cs="Times New Roman"/>
                <w:sz w:val="20"/>
                <w:szCs w:val="20"/>
                <w:lang w:val="en-CA" w:eastAsia="en-CA"/>
              </w:rPr>
              <w:t>Growth in Oil Sector (%)</w:t>
            </w:r>
          </w:p>
        </w:tc>
        <w:tc>
          <w:tcPr>
            <w:tcW w:w="0" w:type="auto"/>
            <w:tcBorders>
              <w:top w:val="nil"/>
              <w:left w:val="nil"/>
              <w:bottom w:val="single" w:sz="4" w:space="0" w:color="808080"/>
              <w:right w:val="single" w:sz="4" w:space="0" w:color="A5A5A5"/>
            </w:tcBorders>
            <w:shd w:val="clear" w:color="000000" w:fill="D7E4BC"/>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6.6</w:t>
            </w:r>
          </w:p>
        </w:tc>
        <w:tc>
          <w:tcPr>
            <w:tcW w:w="0" w:type="auto"/>
            <w:tcBorders>
              <w:top w:val="nil"/>
              <w:left w:val="nil"/>
              <w:bottom w:val="single" w:sz="4" w:space="0" w:color="808080"/>
              <w:right w:val="single" w:sz="4" w:space="0" w:color="A5A5A5"/>
            </w:tcBorders>
            <w:shd w:val="clear" w:color="000000" w:fill="D7E4BC"/>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6.6</w:t>
            </w:r>
          </w:p>
        </w:tc>
        <w:tc>
          <w:tcPr>
            <w:tcW w:w="0" w:type="auto"/>
            <w:tcBorders>
              <w:top w:val="nil"/>
              <w:left w:val="nil"/>
              <w:bottom w:val="single" w:sz="4" w:space="0" w:color="808080"/>
              <w:right w:val="single" w:sz="4" w:space="0" w:color="A5A5A5"/>
            </w:tcBorders>
            <w:shd w:val="clear" w:color="000000" w:fill="D7E4BC"/>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-1.1</w:t>
            </w:r>
          </w:p>
        </w:tc>
        <w:tc>
          <w:tcPr>
            <w:tcW w:w="0" w:type="auto"/>
            <w:tcBorders>
              <w:top w:val="nil"/>
              <w:left w:val="nil"/>
              <w:bottom w:val="single" w:sz="4" w:space="0" w:color="808080"/>
              <w:right w:val="single" w:sz="4" w:space="0" w:color="A5A5A5"/>
            </w:tcBorders>
            <w:shd w:val="clear" w:color="000000" w:fill="D7E4BC"/>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-4.1</w:t>
            </w:r>
          </w:p>
        </w:tc>
        <w:tc>
          <w:tcPr>
            <w:tcW w:w="0" w:type="auto"/>
            <w:tcBorders>
              <w:top w:val="nil"/>
              <w:left w:val="nil"/>
              <w:bottom w:val="single" w:sz="4" w:space="0" w:color="808080"/>
              <w:right w:val="single" w:sz="4" w:space="0" w:color="A5A5A5"/>
            </w:tcBorders>
            <w:shd w:val="clear" w:color="000000" w:fill="D7E4BC"/>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4.3</w:t>
            </w:r>
          </w:p>
        </w:tc>
        <w:tc>
          <w:tcPr>
            <w:tcW w:w="0" w:type="auto"/>
            <w:tcBorders>
              <w:top w:val="nil"/>
              <w:left w:val="nil"/>
              <w:bottom w:val="single" w:sz="4" w:space="0" w:color="808080"/>
              <w:right w:val="single" w:sz="4" w:space="0" w:color="A5A5A5"/>
            </w:tcBorders>
            <w:shd w:val="clear" w:color="FFFFFF" w:fill="D7E4BC"/>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-8.8</w:t>
            </w:r>
          </w:p>
        </w:tc>
        <w:tc>
          <w:tcPr>
            <w:tcW w:w="0" w:type="auto"/>
            <w:tcBorders>
              <w:top w:val="nil"/>
              <w:left w:val="nil"/>
              <w:bottom w:val="single" w:sz="4" w:space="0" w:color="808080"/>
              <w:right w:val="single" w:sz="4" w:space="0" w:color="A5A5A5"/>
            </w:tcBorders>
            <w:shd w:val="clear" w:color="FFFFFF" w:fill="D7E4BC"/>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2.2</w:t>
            </w:r>
          </w:p>
        </w:tc>
        <w:tc>
          <w:tcPr>
            <w:tcW w:w="0" w:type="auto"/>
            <w:tcBorders>
              <w:top w:val="nil"/>
              <w:left w:val="nil"/>
              <w:bottom w:val="single" w:sz="4" w:space="0" w:color="808080"/>
              <w:right w:val="single" w:sz="4" w:space="0" w:color="808080"/>
            </w:tcBorders>
            <w:shd w:val="clear" w:color="FFFFFF" w:fill="D7E4BC"/>
            <w:noWrap/>
            <w:vAlign w:val="center"/>
            <w:hideMark/>
          </w:tcPr>
          <w:p w:rsidR="009B22F4" w:rsidRPr="009B22F4" w:rsidRDefault="009B22F4" w:rsidP="009B22F4">
            <w:pPr>
              <w:spacing w:before="0" w:after="0"/>
              <w:jc w:val="right"/>
              <w:rPr>
                <w:rFonts w:ascii="Arial" w:eastAsia="Times New Roman" w:hAnsi="Arial" w:cs="Arial"/>
                <w:i/>
                <w:iCs/>
                <w:sz w:val="18"/>
                <w:szCs w:val="18"/>
                <w:lang w:val="en-CA" w:eastAsia="en-CA"/>
              </w:rPr>
            </w:pPr>
            <w:r w:rsidRPr="009B22F4">
              <w:rPr>
                <w:rFonts w:ascii="Arial" w:eastAsia="Times New Roman" w:hAnsi="Arial" w:cs="Arial"/>
                <w:i/>
                <w:iCs/>
                <w:sz w:val="18"/>
                <w:szCs w:val="18"/>
                <w:lang w:val="en-CA" w:eastAsia="en-CA"/>
              </w:rPr>
              <w:t>4.3</w:t>
            </w:r>
          </w:p>
        </w:tc>
      </w:tr>
    </w:tbl>
    <w:p w:rsidR="009B22F4" w:rsidRPr="004C70E7" w:rsidRDefault="004C70E7" w:rsidP="004C70E7">
      <w:pPr>
        <w:spacing w:before="0" w:after="0"/>
        <w:ind w:firstLine="720"/>
        <w:rPr>
          <w:rFonts w:cs="TimesNewRoman"/>
          <w:sz w:val="18"/>
          <w:lang w:val="en-CA"/>
        </w:rPr>
      </w:pPr>
      <w:r w:rsidRPr="004C70E7">
        <w:rPr>
          <w:rFonts w:cs="TimesNewRoman"/>
          <w:sz w:val="18"/>
          <w:lang w:val="en-CA"/>
        </w:rPr>
        <w:t xml:space="preserve">Note:  </w:t>
      </w:r>
      <w:proofErr w:type="gramStart"/>
      <w:r w:rsidRPr="004C70E7">
        <w:rPr>
          <w:rFonts w:cs="TimesNewRoman"/>
          <w:sz w:val="18"/>
          <w:vertAlign w:val="superscript"/>
          <w:lang w:val="en-CA"/>
        </w:rPr>
        <w:t>r</w:t>
      </w:r>
      <w:r w:rsidRPr="004C70E7">
        <w:rPr>
          <w:rFonts w:cs="TimesNewRoman"/>
          <w:sz w:val="18"/>
          <w:lang w:val="en-CA"/>
        </w:rPr>
        <w:t xml:space="preserve"> :</w:t>
      </w:r>
      <w:proofErr w:type="gramEnd"/>
      <w:r w:rsidRPr="004C70E7">
        <w:rPr>
          <w:rFonts w:cs="TimesNewRoman"/>
          <w:sz w:val="18"/>
          <w:lang w:val="en-CA"/>
        </w:rPr>
        <w:t xml:space="preserve"> revised;  </w:t>
      </w:r>
      <w:r w:rsidRPr="004C70E7">
        <w:rPr>
          <w:rFonts w:cs="TimesNewRoman"/>
          <w:sz w:val="18"/>
          <w:vertAlign w:val="superscript"/>
          <w:lang w:val="en-CA"/>
        </w:rPr>
        <w:t>p</w:t>
      </w:r>
      <w:r w:rsidRPr="004C70E7">
        <w:rPr>
          <w:rFonts w:cs="TimesNewRoman"/>
          <w:sz w:val="18"/>
          <w:lang w:val="en-CA"/>
        </w:rPr>
        <w:t xml:space="preserve"> : preliminary estimates</w:t>
      </w:r>
    </w:p>
    <w:p w:rsidR="009B22F4" w:rsidRDefault="004C70E7" w:rsidP="004C70E7">
      <w:pPr>
        <w:spacing w:before="0" w:after="0"/>
        <w:rPr>
          <w:rFonts w:cs="TimesNewRoman"/>
          <w:lang w:val="en-CA"/>
        </w:rPr>
      </w:pPr>
      <w:r>
        <w:rPr>
          <w:rFonts w:cs="TimesNewRoman"/>
          <w:lang w:val="en-CA"/>
        </w:rPr>
        <w:tab/>
      </w:r>
      <w:r w:rsidRPr="004C70E7">
        <w:rPr>
          <w:rFonts w:cs="TimesNewRoman"/>
          <w:sz w:val="18"/>
          <w:lang w:val="en-CA"/>
        </w:rPr>
        <w:t xml:space="preserve">Source:  Author’s construction </w:t>
      </w:r>
      <w:r w:rsidR="009F7154">
        <w:rPr>
          <w:rFonts w:cs="TimesNewRoman"/>
          <w:sz w:val="18"/>
          <w:lang w:val="en-CA"/>
        </w:rPr>
        <w:t xml:space="preserve">based </w:t>
      </w:r>
      <w:r w:rsidRPr="004C70E7">
        <w:rPr>
          <w:rFonts w:cs="TimesNewRoman"/>
          <w:sz w:val="18"/>
          <w:lang w:val="en-CA"/>
        </w:rPr>
        <w:t>on MEP</w:t>
      </w:r>
    </w:p>
    <w:p w:rsidR="00705196" w:rsidRDefault="00705196">
      <w:pPr>
        <w:rPr>
          <w:rFonts w:cs="TimesNewRoman"/>
          <w:lang w:val="en-CA"/>
        </w:rPr>
      </w:pPr>
      <w:r>
        <w:rPr>
          <w:rFonts w:cs="TimesNewRoman"/>
          <w:lang w:val="en-CA"/>
        </w:rPr>
        <w:t>Figure 3.2</w:t>
      </w:r>
      <w:r w:rsidR="00EC46A0">
        <w:rPr>
          <w:rFonts w:cs="TimesNewRoman"/>
          <w:lang w:val="en-CA"/>
        </w:rPr>
        <w:t xml:space="preserve"> highlights the important role of the private sector, where growth was high and relatively stable, showing less slowdown in 2009 than the oil sector, and rapid recovery in the following two years.  </w:t>
      </w:r>
      <w:r w:rsidR="008F3E7B">
        <w:rPr>
          <w:rFonts w:cs="TimesNewRoman"/>
          <w:lang w:val="en-CA"/>
        </w:rPr>
        <w:t xml:space="preserve">Indeed, all sectors showed greater stability of growth rates than the oil sector, where results fluctuated widely.  </w:t>
      </w:r>
      <w:r w:rsidR="00EC46A0">
        <w:rPr>
          <w:rFonts w:cs="TimesNewRoman"/>
          <w:lang w:val="en-CA"/>
        </w:rPr>
        <w:t xml:space="preserve">Table 3.1 indicates that the growth rate of the private sector averaged 5.2 percent over the CP period (2007-11), higher than all other sectors in this breakdown.  It also demonstrates the important role played </w:t>
      </w:r>
      <w:r w:rsidR="00A2125A">
        <w:rPr>
          <w:rFonts w:cs="TimesNewRoman"/>
          <w:lang w:val="en-CA"/>
        </w:rPr>
        <w:t>by government, which boosted spending in 2010 and 2011, thereby countering the impact of falling incomes in other sectors.</w:t>
      </w:r>
      <w:r w:rsidR="00A2125A">
        <w:rPr>
          <w:rStyle w:val="FootnoteReference"/>
          <w:rFonts w:cs="TimesNewRoman"/>
          <w:lang w:val="en-CA"/>
        </w:rPr>
        <w:footnoteReference w:id="5"/>
      </w:r>
    </w:p>
    <w:p w:rsidR="00EC46A0" w:rsidRDefault="00EC46A0" w:rsidP="00EC46A0">
      <w:pPr>
        <w:pStyle w:val="Caption"/>
        <w:rPr>
          <w:rFonts w:cs="TimesNewRoman"/>
          <w:lang w:val="en-CA"/>
        </w:rPr>
      </w:pPr>
      <w:bookmarkStart w:id="20" w:name="_Toc325871729"/>
      <w:r>
        <w:t xml:space="preserve">Table </w:t>
      </w:r>
      <w:fldSimple w:instr=" STYLEREF 1 \s ">
        <w:r w:rsidR="00DC37BE">
          <w:rPr>
            <w:noProof/>
          </w:rPr>
          <w:t>3</w:t>
        </w:r>
      </w:fldSimple>
      <w:r w:rsidR="00DC37BE">
        <w:noBreakHyphen/>
      </w:r>
      <w:fldSimple w:instr=" SEQ Table \* ARABIC \s 1 ">
        <w:r w:rsidR="00DC37BE">
          <w:rPr>
            <w:noProof/>
          </w:rPr>
          <w:t>1</w:t>
        </w:r>
      </w:fldSimple>
      <w:r>
        <w:t xml:space="preserve">  Average growth rates, by sector, 2007-2011</w:t>
      </w:r>
      <w:bookmarkEnd w:id="20"/>
    </w:p>
    <w:tbl>
      <w:tblPr>
        <w:tblW w:w="0" w:type="auto"/>
        <w:jc w:val="center"/>
        <w:tblInd w:w="103" w:type="dxa"/>
        <w:tblLook w:val="04A0"/>
      </w:tblPr>
      <w:tblGrid>
        <w:gridCol w:w="2687"/>
        <w:gridCol w:w="706"/>
        <w:gridCol w:w="706"/>
        <w:gridCol w:w="706"/>
        <w:gridCol w:w="760"/>
        <w:gridCol w:w="791"/>
        <w:gridCol w:w="1020"/>
      </w:tblGrid>
      <w:tr w:rsidR="00705196" w:rsidRPr="00705196" w:rsidTr="005200F9">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705196" w:rsidRPr="00705196" w:rsidRDefault="00705196" w:rsidP="00705196">
            <w:pPr>
              <w:spacing w:before="0" w:after="0"/>
              <w:rPr>
                <w:rFonts w:ascii="Arial" w:eastAsia="Times New Roman" w:hAnsi="Arial" w:cs="Arial"/>
                <w:lang w:val="en-CA" w:eastAsia="en-CA"/>
              </w:rPr>
            </w:pPr>
            <w:r w:rsidRPr="00705196">
              <w:rPr>
                <w:rFonts w:ascii="Arial" w:eastAsia="Times New Roman" w:hAnsi="Arial" w:cs="Arial"/>
                <w:lang w:val="en-CA" w:eastAsia="en-CA"/>
              </w:rPr>
              <w:t> </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705196" w:rsidRPr="00705196" w:rsidRDefault="00705196" w:rsidP="00705196">
            <w:pPr>
              <w:spacing w:before="0" w:after="0"/>
              <w:jc w:val="right"/>
              <w:rPr>
                <w:rFonts w:ascii="Arial" w:eastAsia="Times New Roman" w:hAnsi="Arial" w:cs="Arial"/>
                <w:b/>
                <w:bCs/>
                <w:lang w:val="en-CA" w:eastAsia="en-CA"/>
              </w:rPr>
            </w:pPr>
            <w:r w:rsidRPr="00705196">
              <w:rPr>
                <w:rFonts w:ascii="Arial" w:eastAsia="Times New Roman" w:hAnsi="Arial" w:cs="Arial"/>
                <w:b/>
                <w:bCs/>
                <w:lang w:val="en-CA" w:eastAsia="en-CA"/>
              </w:rPr>
              <w:t>2007</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705196" w:rsidRPr="00705196" w:rsidRDefault="00705196" w:rsidP="00705196">
            <w:pPr>
              <w:spacing w:before="0" w:after="0"/>
              <w:jc w:val="right"/>
              <w:rPr>
                <w:rFonts w:ascii="Arial" w:eastAsia="Times New Roman" w:hAnsi="Arial" w:cs="Arial"/>
                <w:b/>
                <w:bCs/>
                <w:lang w:val="en-CA" w:eastAsia="en-CA"/>
              </w:rPr>
            </w:pPr>
            <w:r w:rsidRPr="00705196">
              <w:rPr>
                <w:rFonts w:ascii="Arial" w:eastAsia="Times New Roman" w:hAnsi="Arial" w:cs="Arial"/>
                <w:b/>
                <w:bCs/>
                <w:lang w:val="en-CA" w:eastAsia="en-CA"/>
              </w:rPr>
              <w:t>2008</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705196" w:rsidRPr="00705196" w:rsidRDefault="00705196" w:rsidP="00705196">
            <w:pPr>
              <w:spacing w:before="0" w:after="0"/>
              <w:jc w:val="right"/>
              <w:rPr>
                <w:rFonts w:ascii="Arial" w:eastAsia="Times New Roman" w:hAnsi="Arial" w:cs="Arial"/>
                <w:b/>
                <w:bCs/>
                <w:lang w:val="en-CA" w:eastAsia="en-CA"/>
              </w:rPr>
            </w:pPr>
            <w:r w:rsidRPr="00705196">
              <w:rPr>
                <w:rFonts w:ascii="Arial" w:eastAsia="Times New Roman" w:hAnsi="Arial" w:cs="Arial"/>
                <w:b/>
                <w:bCs/>
                <w:lang w:val="en-CA" w:eastAsia="en-CA"/>
              </w:rPr>
              <w:t>2009</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705196" w:rsidRPr="00705196" w:rsidRDefault="00705196" w:rsidP="00705196">
            <w:pPr>
              <w:spacing w:before="0" w:after="0"/>
              <w:jc w:val="right"/>
              <w:rPr>
                <w:rFonts w:ascii="Arial" w:eastAsia="Times New Roman" w:hAnsi="Arial" w:cs="Arial"/>
                <w:b/>
                <w:bCs/>
                <w:lang w:val="en-CA" w:eastAsia="en-CA"/>
              </w:rPr>
            </w:pPr>
            <w:r w:rsidRPr="00705196">
              <w:rPr>
                <w:rFonts w:ascii="Arial" w:eastAsia="Times New Roman" w:hAnsi="Arial" w:cs="Arial"/>
                <w:b/>
                <w:bCs/>
                <w:lang w:val="en-CA" w:eastAsia="en-CA"/>
              </w:rPr>
              <w:t>2010</w:t>
            </w:r>
            <w:r w:rsidRPr="00705196">
              <w:rPr>
                <w:rFonts w:ascii="Arial" w:eastAsia="Times New Roman" w:hAnsi="Arial" w:cs="Arial"/>
                <w:b/>
                <w:bCs/>
                <w:vertAlign w:val="superscript"/>
                <w:lang w:val="en-CA" w:eastAsia="en-CA"/>
              </w:rPr>
              <w:t>r</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705196" w:rsidRPr="00705196" w:rsidRDefault="00705196" w:rsidP="00705196">
            <w:pPr>
              <w:spacing w:before="0" w:after="0"/>
              <w:jc w:val="right"/>
              <w:rPr>
                <w:rFonts w:ascii="Arial" w:eastAsia="Times New Roman" w:hAnsi="Arial" w:cs="Arial"/>
                <w:b/>
                <w:bCs/>
                <w:lang w:val="en-CA" w:eastAsia="en-CA"/>
              </w:rPr>
            </w:pPr>
            <w:r w:rsidRPr="00705196">
              <w:rPr>
                <w:rFonts w:ascii="Arial" w:eastAsia="Times New Roman" w:hAnsi="Arial" w:cs="Arial"/>
                <w:b/>
                <w:bCs/>
                <w:lang w:val="en-CA" w:eastAsia="en-CA"/>
              </w:rPr>
              <w:t>2011</w:t>
            </w:r>
            <w:r w:rsidRPr="00705196">
              <w:rPr>
                <w:rFonts w:ascii="Arial" w:eastAsia="Times New Roman" w:hAnsi="Arial" w:cs="Arial"/>
                <w:b/>
                <w:bCs/>
                <w:vertAlign w:val="superscript"/>
                <w:lang w:val="en-CA" w:eastAsia="en-CA"/>
              </w:rPr>
              <w:t>p</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705196" w:rsidRPr="00705196" w:rsidRDefault="00705196" w:rsidP="005200F9">
            <w:pPr>
              <w:spacing w:before="0" w:after="0"/>
              <w:jc w:val="center"/>
              <w:rPr>
                <w:rFonts w:ascii="MS Sans Serif" w:eastAsia="Times New Roman" w:hAnsi="MS Sans Serif" w:cs="Times New Roman"/>
                <w:sz w:val="20"/>
                <w:szCs w:val="20"/>
                <w:lang w:val="en-CA" w:eastAsia="en-CA"/>
              </w:rPr>
            </w:pPr>
            <w:r w:rsidRPr="00705196">
              <w:rPr>
                <w:rFonts w:ascii="MS Sans Serif" w:eastAsia="Times New Roman" w:hAnsi="MS Sans Serif" w:cs="Times New Roman"/>
                <w:sz w:val="20"/>
                <w:szCs w:val="20"/>
                <w:lang w:val="en-CA" w:eastAsia="en-CA"/>
              </w:rPr>
              <w:t>Average 2007-11</w:t>
            </w:r>
          </w:p>
        </w:tc>
      </w:tr>
      <w:tr w:rsidR="00705196" w:rsidRPr="00705196" w:rsidTr="005200F9">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05196" w:rsidRPr="00705196" w:rsidRDefault="00705196" w:rsidP="00705196">
            <w:pPr>
              <w:spacing w:before="0" w:after="0"/>
              <w:rPr>
                <w:rFonts w:ascii="Arial Narrow" w:eastAsia="Times New Roman" w:hAnsi="Arial Narrow" w:cs="Times New Roman"/>
                <w:sz w:val="20"/>
                <w:szCs w:val="20"/>
                <w:lang w:val="en-CA" w:eastAsia="en-CA"/>
              </w:rPr>
            </w:pPr>
            <w:r w:rsidRPr="00705196">
              <w:rPr>
                <w:rFonts w:ascii="Arial Narrow" w:eastAsia="Times New Roman" w:hAnsi="Arial Narrow" w:cs="Times New Roman"/>
                <w:sz w:val="20"/>
                <w:szCs w:val="20"/>
                <w:lang w:val="en-CA" w:eastAsia="en-CA"/>
              </w:rPr>
              <w:t xml:space="preserve">Growth in Real-GDP (%)  </w:t>
            </w:r>
          </w:p>
        </w:tc>
        <w:tc>
          <w:tcPr>
            <w:tcW w:w="0" w:type="auto"/>
            <w:tcBorders>
              <w:top w:val="nil"/>
              <w:left w:val="nil"/>
              <w:bottom w:val="single" w:sz="4" w:space="0" w:color="auto"/>
              <w:right w:val="single" w:sz="4" w:space="0" w:color="auto"/>
            </w:tcBorders>
            <w:shd w:val="clear" w:color="000000" w:fill="FFFFFF"/>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4.2</w:t>
            </w:r>
          </w:p>
        </w:tc>
        <w:tc>
          <w:tcPr>
            <w:tcW w:w="0" w:type="auto"/>
            <w:tcBorders>
              <w:top w:val="nil"/>
              <w:left w:val="nil"/>
              <w:bottom w:val="single" w:sz="4" w:space="0" w:color="auto"/>
              <w:right w:val="single" w:sz="4" w:space="0" w:color="auto"/>
            </w:tcBorders>
            <w:shd w:val="clear" w:color="FFFFFF" w:fill="FFFFFF"/>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0.1</w:t>
            </w:r>
          </w:p>
        </w:tc>
        <w:tc>
          <w:tcPr>
            <w:tcW w:w="0" w:type="auto"/>
            <w:tcBorders>
              <w:top w:val="nil"/>
              <w:left w:val="nil"/>
              <w:bottom w:val="single" w:sz="4" w:space="0" w:color="auto"/>
              <w:right w:val="single" w:sz="4" w:space="0" w:color="auto"/>
            </w:tcBorders>
            <w:shd w:val="clear" w:color="FFFFFF" w:fill="FFFFFF"/>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4.6</w:t>
            </w:r>
          </w:p>
        </w:tc>
        <w:tc>
          <w:tcPr>
            <w:tcW w:w="0" w:type="auto"/>
            <w:tcBorders>
              <w:top w:val="nil"/>
              <w:left w:val="nil"/>
              <w:bottom w:val="single" w:sz="4" w:space="0" w:color="auto"/>
              <w:right w:val="single" w:sz="4" w:space="0" w:color="auto"/>
            </w:tcBorders>
            <w:shd w:val="clear" w:color="FFFFFF" w:fill="FFFFFF"/>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6.8</w:t>
            </w:r>
          </w:p>
        </w:tc>
        <w:tc>
          <w:tcPr>
            <w:tcW w:w="1020" w:type="dxa"/>
            <w:tcBorders>
              <w:top w:val="nil"/>
              <w:left w:val="nil"/>
              <w:bottom w:val="single" w:sz="4" w:space="0" w:color="auto"/>
              <w:right w:val="single" w:sz="4" w:space="0" w:color="auto"/>
            </w:tcBorders>
            <w:shd w:val="clear" w:color="auto" w:fill="auto"/>
            <w:noWrap/>
            <w:vAlign w:val="bottom"/>
            <w:hideMark/>
          </w:tcPr>
          <w:p w:rsidR="00705196" w:rsidRPr="00705196" w:rsidRDefault="00705196" w:rsidP="00705196">
            <w:pPr>
              <w:spacing w:before="0" w:after="0"/>
              <w:jc w:val="right"/>
              <w:rPr>
                <w:rFonts w:ascii="MS Sans Serif" w:eastAsia="Times New Roman" w:hAnsi="MS Sans Serif" w:cs="Times New Roman"/>
                <w:sz w:val="20"/>
                <w:szCs w:val="20"/>
                <w:lang w:val="en-CA" w:eastAsia="en-CA"/>
              </w:rPr>
            </w:pPr>
            <w:r w:rsidRPr="00705196">
              <w:rPr>
                <w:rFonts w:ascii="MS Sans Serif" w:eastAsia="Times New Roman" w:hAnsi="MS Sans Serif" w:cs="Times New Roman"/>
                <w:sz w:val="20"/>
                <w:szCs w:val="20"/>
                <w:lang w:val="en-CA" w:eastAsia="en-CA"/>
              </w:rPr>
              <w:t>3.6</w:t>
            </w:r>
          </w:p>
        </w:tc>
      </w:tr>
      <w:tr w:rsidR="00705196" w:rsidRPr="00705196" w:rsidTr="005200F9">
        <w:trPr>
          <w:trHeight w:val="255"/>
          <w:jc w:val="center"/>
        </w:trPr>
        <w:tc>
          <w:tcPr>
            <w:tcW w:w="0" w:type="auto"/>
            <w:tcBorders>
              <w:top w:val="nil"/>
              <w:left w:val="single" w:sz="4" w:space="0" w:color="auto"/>
              <w:bottom w:val="single" w:sz="4" w:space="0" w:color="auto"/>
              <w:right w:val="single" w:sz="4" w:space="0" w:color="auto"/>
            </w:tcBorders>
            <w:shd w:val="clear" w:color="000000" w:fill="D7E4BC"/>
            <w:noWrap/>
            <w:vAlign w:val="center"/>
            <w:hideMark/>
          </w:tcPr>
          <w:p w:rsidR="00705196" w:rsidRPr="00705196" w:rsidRDefault="00705196" w:rsidP="00705196">
            <w:pPr>
              <w:spacing w:before="0" w:after="0"/>
              <w:rPr>
                <w:rFonts w:ascii="Arial Narrow" w:eastAsia="Times New Roman" w:hAnsi="Arial Narrow" w:cs="Times New Roman"/>
                <w:sz w:val="20"/>
                <w:szCs w:val="20"/>
                <w:lang w:val="en-CA" w:eastAsia="en-CA"/>
              </w:rPr>
            </w:pPr>
            <w:r w:rsidRPr="00705196">
              <w:rPr>
                <w:rFonts w:ascii="Arial Narrow" w:eastAsia="Times New Roman" w:hAnsi="Arial Narrow" w:cs="Times New Roman"/>
                <w:sz w:val="20"/>
                <w:szCs w:val="20"/>
                <w:lang w:val="en-CA" w:eastAsia="en-CA"/>
              </w:rPr>
              <w:t xml:space="preserve">Growth in Private Sector (%)  </w:t>
            </w:r>
          </w:p>
        </w:tc>
        <w:tc>
          <w:tcPr>
            <w:tcW w:w="0" w:type="auto"/>
            <w:tcBorders>
              <w:top w:val="nil"/>
              <w:left w:val="nil"/>
              <w:bottom w:val="single" w:sz="4" w:space="0" w:color="auto"/>
              <w:right w:val="single" w:sz="4" w:space="0" w:color="auto"/>
            </w:tcBorders>
            <w:shd w:val="clear" w:color="000000" w:fill="D7E4BC"/>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5.2</w:t>
            </w:r>
          </w:p>
        </w:tc>
        <w:tc>
          <w:tcPr>
            <w:tcW w:w="0" w:type="auto"/>
            <w:tcBorders>
              <w:top w:val="nil"/>
              <w:left w:val="nil"/>
              <w:bottom w:val="single" w:sz="4" w:space="0" w:color="auto"/>
              <w:right w:val="single" w:sz="4" w:space="0" w:color="auto"/>
            </w:tcBorders>
            <w:shd w:val="clear" w:color="000000" w:fill="D7E4BC"/>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4.8</w:t>
            </w:r>
          </w:p>
        </w:tc>
        <w:tc>
          <w:tcPr>
            <w:tcW w:w="0" w:type="auto"/>
            <w:tcBorders>
              <w:top w:val="nil"/>
              <w:left w:val="nil"/>
              <w:bottom w:val="single" w:sz="4" w:space="0" w:color="auto"/>
              <w:right w:val="single" w:sz="4" w:space="0" w:color="auto"/>
            </w:tcBorders>
            <w:shd w:val="clear" w:color="FFFFFF" w:fill="D7E4BC"/>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2.6</w:t>
            </w:r>
          </w:p>
        </w:tc>
        <w:tc>
          <w:tcPr>
            <w:tcW w:w="0" w:type="auto"/>
            <w:tcBorders>
              <w:top w:val="nil"/>
              <w:left w:val="nil"/>
              <w:bottom w:val="single" w:sz="4" w:space="0" w:color="auto"/>
              <w:right w:val="single" w:sz="4" w:space="0" w:color="auto"/>
            </w:tcBorders>
            <w:shd w:val="clear" w:color="FFFFFF" w:fill="D7E4BC"/>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5.4</w:t>
            </w:r>
          </w:p>
        </w:tc>
        <w:tc>
          <w:tcPr>
            <w:tcW w:w="0" w:type="auto"/>
            <w:tcBorders>
              <w:top w:val="nil"/>
              <w:left w:val="nil"/>
              <w:bottom w:val="single" w:sz="4" w:space="0" w:color="auto"/>
              <w:right w:val="single" w:sz="4" w:space="0" w:color="auto"/>
            </w:tcBorders>
            <w:shd w:val="clear" w:color="FFFFFF" w:fill="D7E4BC"/>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8.1</w:t>
            </w:r>
          </w:p>
        </w:tc>
        <w:tc>
          <w:tcPr>
            <w:tcW w:w="1020" w:type="dxa"/>
            <w:tcBorders>
              <w:top w:val="nil"/>
              <w:left w:val="nil"/>
              <w:bottom w:val="single" w:sz="4" w:space="0" w:color="auto"/>
              <w:right w:val="single" w:sz="4" w:space="0" w:color="auto"/>
            </w:tcBorders>
            <w:shd w:val="clear" w:color="auto" w:fill="auto"/>
            <w:noWrap/>
            <w:vAlign w:val="bottom"/>
            <w:hideMark/>
          </w:tcPr>
          <w:p w:rsidR="00705196" w:rsidRPr="00705196" w:rsidRDefault="00705196" w:rsidP="00705196">
            <w:pPr>
              <w:spacing w:before="0" w:after="0"/>
              <w:jc w:val="right"/>
              <w:rPr>
                <w:rFonts w:ascii="MS Sans Serif" w:eastAsia="Times New Roman" w:hAnsi="MS Sans Serif" w:cs="Times New Roman"/>
                <w:sz w:val="20"/>
                <w:szCs w:val="20"/>
                <w:lang w:val="en-CA" w:eastAsia="en-CA"/>
              </w:rPr>
            </w:pPr>
            <w:r w:rsidRPr="00705196">
              <w:rPr>
                <w:rFonts w:ascii="MS Sans Serif" w:eastAsia="Times New Roman" w:hAnsi="MS Sans Serif" w:cs="Times New Roman"/>
                <w:sz w:val="20"/>
                <w:szCs w:val="20"/>
                <w:lang w:val="en-CA" w:eastAsia="en-CA"/>
              </w:rPr>
              <w:t>5.2</w:t>
            </w:r>
          </w:p>
        </w:tc>
      </w:tr>
      <w:tr w:rsidR="00705196" w:rsidRPr="00705196" w:rsidTr="005200F9">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05196" w:rsidRPr="00705196" w:rsidRDefault="00705196" w:rsidP="00705196">
            <w:pPr>
              <w:spacing w:before="0" w:after="0"/>
              <w:rPr>
                <w:rFonts w:ascii="Arial Narrow" w:eastAsia="Times New Roman" w:hAnsi="Arial Narrow" w:cs="Times New Roman"/>
                <w:sz w:val="20"/>
                <w:szCs w:val="20"/>
                <w:lang w:val="en-CA" w:eastAsia="en-CA"/>
              </w:rPr>
            </w:pPr>
            <w:r w:rsidRPr="00705196">
              <w:rPr>
                <w:rFonts w:ascii="Arial Narrow" w:eastAsia="Times New Roman" w:hAnsi="Arial Narrow" w:cs="Times New Roman"/>
                <w:sz w:val="20"/>
                <w:szCs w:val="20"/>
                <w:lang w:val="en-CA" w:eastAsia="en-CA"/>
              </w:rPr>
              <w:t xml:space="preserve">Growth in Government Sector (%)  </w:t>
            </w:r>
          </w:p>
        </w:tc>
        <w:tc>
          <w:tcPr>
            <w:tcW w:w="0" w:type="auto"/>
            <w:tcBorders>
              <w:top w:val="nil"/>
              <w:left w:val="nil"/>
              <w:bottom w:val="single" w:sz="4" w:space="0" w:color="auto"/>
              <w:right w:val="single" w:sz="4" w:space="0" w:color="auto"/>
            </w:tcBorders>
            <w:shd w:val="clear" w:color="000000" w:fill="FFFFFF"/>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2.4</w:t>
            </w:r>
          </w:p>
        </w:tc>
        <w:tc>
          <w:tcPr>
            <w:tcW w:w="0" w:type="auto"/>
            <w:tcBorders>
              <w:top w:val="nil"/>
              <w:left w:val="nil"/>
              <w:bottom w:val="single" w:sz="4" w:space="0" w:color="auto"/>
              <w:right w:val="single" w:sz="4" w:space="0" w:color="auto"/>
            </w:tcBorders>
            <w:shd w:val="clear" w:color="FFFFFF" w:fill="FFFFFF"/>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5.0</w:t>
            </w:r>
          </w:p>
        </w:tc>
        <w:tc>
          <w:tcPr>
            <w:tcW w:w="0" w:type="auto"/>
            <w:tcBorders>
              <w:top w:val="nil"/>
              <w:left w:val="nil"/>
              <w:bottom w:val="single" w:sz="4" w:space="0" w:color="auto"/>
              <w:right w:val="single" w:sz="4" w:space="0" w:color="auto"/>
            </w:tcBorders>
            <w:shd w:val="clear" w:color="FFFFFF" w:fill="FFFFFF"/>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5.3</w:t>
            </w:r>
          </w:p>
        </w:tc>
        <w:tc>
          <w:tcPr>
            <w:tcW w:w="0" w:type="auto"/>
            <w:tcBorders>
              <w:top w:val="nil"/>
              <w:left w:val="nil"/>
              <w:bottom w:val="single" w:sz="4" w:space="0" w:color="auto"/>
              <w:right w:val="single" w:sz="4" w:space="0" w:color="auto"/>
            </w:tcBorders>
            <w:shd w:val="clear" w:color="FFFFFF" w:fill="FFFFFF"/>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6.2</w:t>
            </w:r>
          </w:p>
        </w:tc>
        <w:tc>
          <w:tcPr>
            <w:tcW w:w="1020" w:type="dxa"/>
            <w:tcBorders>
              <w:top w:val="nil"/>
              <w:left w:val="nil"/>
              <w:bottom w:val="single" w:sz="4" w:space="0" w:color="auto"/>
              <w:right w:val="single" w:sz="4" w:space="0" w:color="auto"/>
            </w:tcBorders>
            <w:shd w:val="clear" w:color="auto" w:fill="auto"/>
            <w:noWrap/>
            <w:vAlign w:val="bottom"/>
            <w:hideMark/>
          </w:tcPr>
          <w:p w:rsidR="00705196" w:rsidRPr="00705196" w:rsidRDefault="00705196" w:rsidP="00705196">
            <w:pPr>
              <w:spacing w:before="0" w:after="0"/>
              <w:jc w:val="right"/>
              <w:rPr>
                <w:rFonts w:ascii="MS Sans Serif" w:eastAsia="Times New Roman" w:hAnsi="MS Sans Serif" w:cs="Times New Roman"/>
                <w:sz w:val="20"/>
                <w:szCs w:val="20"/>
                <w:lang w:val="en-CA" w:eastAsia="en-CA"/>
              </w:rPr>
            </w:pPr>
            <w:r w:rsidRPr="00705196">
              <w:rPr>
                <w:rFonts w:ascii="MS Sans Serif" w:eastAsia="Times New Roman" w:hAnsi="MS Sans Serif" w:cs="Times New Roman"/>
                <w:sz w:val="20"/>
                <w:szCs w:val="20"/>
                <w:lang w:val="en-CA" w:eastAsia="en-CA"/>
              </w:rPr>
              <w:t>4.2</w:t>
            </w:r>
          </w:p>
        </w:tc>
      </w:tr>
      <w:tr w:rsidR="00705196" w:rsidRPr="00705196" w:rsidTr="005200F9">
        <w:trPr>
          <w:trHeight w:val="255"/>
          <w:jc w:val="center"/>
        </w:trPr>
        <w:tc>
          <w:tcPr>
            <w:tcW w:w="0" w:type="auto"/>
            <w:tcBorders>
              <w:top w:val="nil"/>
              <w:left w:val="single" w:sz="4" w:space="0" w:color="auto"/>
              <w:bottom w:val="single" w:sz="4" w:space="0" w:color="auto"/>
              <w:right w:val="single" w:sz="4" w:space="0" w:color="auto"/>
            </w:tcBorders>
            <w:shd w:val="clear" w:color="000000" w:fill="D7E4BC"/>
            <w:noWrap/>
            <w:vAlign w:val="center"/>
            <w:hideMark/>
          </w:tcPr>
          <w:p w:rsidR="00705196" w:rsidRPr="00705196" w:rsidRDefault="00705196" w:rsidP="00705196">
            <w:pPr>
              <w:spacing w:before="0" w:after="0"/>
              <w:rPr>
                <w:rFonts w:ascii="Arial Narrow" w:eastAsia="Times New Roman" w:hAnsi="Arial Narrow" w:cs="Times New Roman"/>
                <w:sz w:val="20"/>
                <w:szCs w:val="20"/>
                <w:lang w:val="en-CA" w:eastAsia="en-CA"/>
              </w:rPr>
            </w:pPr>
            <w:r w:rsidRPr="00705196">
              <w:rPr>
                <w:rFonts w:ascii="Arial Narrow" w:eastAsia="Times New Roman" w:hAnsi="Arial Narrow" w:cs="Times New Roman"/>
                <w:sz w:val="20"/>
                <w:szCs w:val="20"/>
                <w:lang w:val="en-CA" w:eastAsia="en-CA"/>
              </w:rPr>
              <w:t>Growth in Oil Sector (%)</w:t>
            </w:r>
          </w:p>
        </w:tc>
        <w:tc>
          <w:tcPr>
            <w:tcW w:w="0" w:type="auto"/>
            <w:tcBorders>
              <w:top w:val="nil"/>
              <w:left w:val="nil"/>
              <w:bottom w:val="single" w:sz="4" w:space="0" w:color="auto"/>
              <w:right w:val="single" w:sz="4" w:space="0" w:color="auto"/>
            </w:tcBorders>
            <w:shd w:val="clear" w:color="000000" w:fill="D7E4BC"/>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-4.1</w:t>
            </w:r>
          </w:p>
        </w:tc>
        <w:tc>
          <w:tcPr>
            <w:tcW w:w="0" w:type="auto"/>
            <w:tcBorders>
              <w:top w:val="nil"/>
              <w:left w:val="nil"/>
              <w:bottom w:val="single" w:sz="4" w:space="0" w:color="auto"/>
              <w:right w:val="single" w:sz="4" w:space="0" w:color="auto"/>
            </w:tcBorders>
            <w:shd w:val="clear" w:color="000000" w:fill="D7E4BC"/>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4.3</w:t>
            </w:r>
          </w:p>
        </w:tc>
        <w:tc>
          <w:tcPr>
            <w:tcW w:w="0" w:type="auto"/>
            <w:tcBorders>
              <w:top w:val="nil"/>
              <w:left w:val="nil"/>
              <w:bottom w:val="single" w:sz="4" w:space="0" w:color="auto"/>
              <w:right w:val="single" w:sz="4" w:space="0" w:color="auto"/>
            </w:tcBorders>
            <w:shd w:val="clear" w:color="FFFFFF" w:fill="D7E4BC"/>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-8.8</w:t>
            </w:r>
          </w:p>
        </w:tc>
        <w:tc>
          <w:tcPr>
            <w:tcW w:w="0" w:type="auto"/>
            <w:tcBorders>
              <w:top w:val="nil"/>
              <w:left w:val="nil"/>
              <w:bottom w:val="single" w:sz="4" w:space="0" w:color="auto"/>
              <w:right w:val="single" w:sz="4" w:space="0" w:color="auto"/>
            </w:tcBorders>
            <w:shd w:val="clear" w:color="FFFFFF" w:fill="D7E4BC"/>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2.2</w:t>
            </w:r>
          </w:p>
        </w:tc>
        <w:tc>
          <w:tcPr>
            <w:tcW w:w="0" w:type="auto"/>
            <w:tcBorders>
              <w:top w:val="nil"/>
              <w:left w:val="nil"/>
              <w:bottom w:val="single" w:sz="4" w:space="0" w:color="auto"/>
              <w:right w:val="single" w:sz="4" w:space="0" w:color="auto"/>
            </w:tcBorders>
            <w:shd w:val="clear" w:color="FFFFFF" w:fill="D7E4BC"/>
            <w:noWrap/>
            <w:vAlign w:val="center"/>
            <w:hideMark/>
          </w:tcPr>
          <w:p w:rsidR="00705196" w:rsidRPr="00705196" w:rsidRDefault="00705196" w:rsidP="00705196">
            <w:pPr>
              <w:spacing w:before="0" w:after="0"/>
              <w:jc w:val="right"/>
              <w:rPr>
                <w:rFonts w:ascii="Arial" w:eastAsia="Times New Roman" w:hAnsi="Arial" w:cs="Arial"/>
                <w:i/>
                <w:iCs/>
                <w:sz w:val="18"/>
                <w:szCs w:val="18"/>
                <w:lang w:val="en-CA" w:eastAsia="en-CA"/>
              </w:rPr>
            </w:pPr>
            <w:r w:rsidRPr="00705196">
              <w:rPr>
                <w:rFonts w:ascii="Arial" w:eastAsia="Times New Roman" w:hAnsi="Arial" w:cs="Arial"/>
                <w:i/>
                <w:iCs/>
                <w:sz w:val="18"/>
                <w:szCs w:val="18"/>
                <w:lang w:val="en-CA" w:eastAsia="en-CA"/>
              </w:rPr>
              <w:t>4.3</w:t>
            </w:r>
          </w:p>
        </w:tc>
        <w:tc>
          <w:tcPr>
            <w:tcW w:w="1020" w:type="dxa"/>
            <w:tcBorders>
              <w:top w:val="nil"/>
              <w:left w:val="nil"/>
              <w:bottom w:val="single" w:sz="4" w:space="0" w:color="auto"/>
              <w:right w:val="single" w:sz="4" w:space="0" w:color="auto"/>
            </w:tcBorders>
            <w:shd w:val="clear" w:color="auto" w:fill="auto"/>
            <w:noWrap/>
            <w:vAlign w:val="bottom"/>
            <w:hideMark/>
          </w:tcPr>
          <w:p w:rsidR="00705196" w:rsidRPr="00705196" w:rsidRDefault="00705196" w:rsidP="00705196">
            <w:pPr>
              <w:spacing w:before="0" w:after="0"/>
              <w:jc w:val="right"/>
              <w:rPr>
                <w:rFonts w:ascii="MS Sans Serif" w:eastAsia="Times New Roman" w:hAnsi="MS Sans Serif" w:cs="Times New Roman"/>
                <w:sz w:val="20"/>
                <w:szCs w:val="20"/>
                <w:lang w:val="en-CA" w:eastAsia="en-CA"/>
              </w:rPr>
            </w:pPr>
            <w:r w:rsidRPr="00705196">
              <w:rPr>
                <w:rFonts w:ascii="MS Sans Serif" w:eastAsia="Times New Roman" w:hAnsi="MS Sans Serif" w:cs="Times New Roman"/>
                <w:sz w:val="20"/>
                <w:szCs w:val="20"/>
                <w:lang w:val="en-CA" w:eastAsia="en-CA"/>
              </w:rPr>
              <w:t>-0.4</w:t>
            </w:r>
          </w:p>
        </w:tc>
      </w:tr>
    </w:tbl>
    <w:p w:rsidR="00705196" w:rsidRDefault="00705196">
      <w:pPr>
        <w:rPr>
          <w:rFonts w:cs="TimesNewRoman"/>
          <w:lang w:val="en-CA"/>
        </w:rPr>
      </w:pPr>
    </w:p>
    <w:p w:rsidR="005F0D3D" w:rsidRDefault="005F0D3D" w:rsidP="00C73AF9">
      <w:pPr>
        <w:pStyle w:val="Heading3"/>
        <w:numPr>
          <w:ilvl w:val="2"/>
          <w:numId w:val="15"/>
        </w:numPr>
        <w:rPr>
          <w:lang w:val="en-CA"/>
        </w:rPr>
      </w:pPr>
      <w:bookmarkStart w:id="21" w:name="_Toc325871766"/>
      <w:r>
        <w:rPr>
          <w:lang w:val="en-CA"/>
        </w:rPr>
        <w:t>Population and work force</w:t>
      </w:r>
      <w:bookmarkEnd w:id="21"/>
      <w:r>
        <w:rPr>
          <w:lang w:val="en-CA"/>
        </w:rPr>
        <w:t xml:space="preserve"> </w:t>
      </w:r>
    </w:p>
    <w:p w:rsidR="008A1C2C" w:rsidRDefault="002D3FB3">
      <w:pPr>
        <w:rPr>
          <w:rFonts w:cs="TimesNewRoman"/>
          <w:lang w:val="en-CA"/>
        </w:rPr>
      </w:pPr>
      <w:r>
        <w:rPr>
          <w:rFonts w:cs="TimesNewRoman"/>
          <w:lang w:val="en-CA"/>
        </w:rPr>
        <w:t xml:space="preserve">Of the total population, </w:t>
      </w:r>
      <w:r w:rsidR="00387A34">
        <w:rPr>
          <w:rFonts w:cs="TimesNewRoman"/>
          <w:lang w:val="en-CA"/>
        </w:rPr>
        <w:t xml:space="preserve">as of 2010 </w:t>
      </w:r>
      <w:r w:rsidR="005F0AAA" w:rsidRPr="005F0AAA">
        <w:rPr>
          <w:rFonts w:cs="TimesNewRoman"/>
          <w:lang w:val="en-CA"/>
        </w:rPr>
        <w:t>some 8</w:t>
      </w:r>
      <w:r w:rsidR="00803939">
        <w:rPr>
          <w:rFonts w:cs="TimesNewRoman"/>
          <w:lang w:val="en-CA"/>
        </w:rPr>
        <w:t>.</w:t>
      </w:r>
      <w:r w:rsidR="00387A34">
        <w:rPr>
          <w:rFonts w:cs="TimesNewRoman"/>
          <w:lang w:val="en-CA"/>
        </w:rPr>
        <w:t>6 million or 31</w:t>
      </w:r>
      <w:r w:rsidR="005F0AAA" w:rsidRPr="005F0AAA">
        <w:rPr>
          <w:rFonts w:cs="TimesNewRoman"/>
          <w:lang w:val="en-CA"/>
        </w:rPr>
        <w:t xml:space="preserve"> percent were expatriates.</w:t>
      </w:r>
      <w:r w:rsidR="005F0AAA">
        <w:rPr>
          <w:rFonts w:cs="TimesNewRoman"/>
          <w:lang w:val="en-CA"/>
        </w:rPr>
        <w:t xml:space="preserve"> </w:t>
      </w:r>
      <w:r w:rsidR="00387A34">
        <w:rPr>
          <w:rFonts w:cs="TimesNewRoman"/>
          <w:lang w:val="en-CA"/>
        </w:rPr>
        <w:t xml:space="preserve">Although the non-Saudi share of the population had not </w:t>
      </w:r>
      <w:r w:rsidR="00545C23">
        <w:rPr>
          <w:rFonts w:cs="TimesNewRoman"/>
          <w:lang w:val="en-CA"/>
        </w:rPr>
        <w:t>fallen</w:t>
      </w:r>
      <w:r w:rsidR="00387A34">
        <w:rPr>
          <w:rFonts w:cs="TimesNewRoman"/>
          <w:lang w:val="en-CA"/>
        </w:rPr>
        <w:t xml:space="preserve">, there was some small decrease in </w:t>
      </w:r>
      <w:r w:rsidR="008A1C2C">
        <w:rPr>
          <w:rFonts w:cs="TimesNewRoman"/>
          <w:lang w:val="en-CA"/>
        </w:rPr>
        <w:t xml:space="preserve">the share of </w:t>
      </w:r>
      <w:r w:rsidR="00387A34">
        <w:rPr>
          <w:rFonts w:cs="TimesNewRoman"/>
          <w:lang w:val="en-CA"/>
        </w:rPr>
        <w:t>non-nationals among the employed population:  this percentage declined slightly from 54.4 percent in 2006 to just below 53 percent</w:t>
      </w:r>
      <w:r w:rsidR="008A1C2C">
        <w:rPr>
          <w:rFonts w:cs="TimesNewRoman"/>
          <w:lang w:val="en-CA"/>
        </w:rPr>
        <w:t xml:space="preserve"> in 2009 (the latest year for which data are available.  </w:t>
      </w:r>
    </w:p>
    <w:p w:rsidR="00545C23" w:rsidRDefault="00545C23" w:rsidP="00545C23">
      <w:pPr>
        <w:pStyle w:val="Caption"/>
        <w:rPr>
          <w:rFonts w:cs="TimesNewRoman"/>
          <w:lang w:val="en-CA"/>
        </w:rPr>
      </w:pPr>
      <w:bookmarkStart w:id="22" w:name="_Toc325871730"/>
      <w:r>
        <w:t xml:space="preserve">Table </w:t>
      </w:r>
      <w:fldSimple w:instr=" STYLEREF 1 \s ">
        <w:r w:rsidR="00DC37BE">
          <w:rPr>
            <w:noProof/>
          </w:rPr>
          <w:t>3</w:t>
        </w:r>
      </w:fldSimple>
      <w:r w:rsidR="00DC37BE">
        <w:noBreakHyphen/>
      </w:r>
      <w:fldSimple w:instr=" SEQ Table \* ARABIC \s 1 ">
        <w:r w:rsidR="00DC37BE">
          <w:rPr>
            <w:noProof/>
          </w:rPr>
          <w:t>2</w:t>
        </w:r>
      </w:fldSimple>
      <w:r>
        <w:t xml:space="preserve">  </w:t>
      </w:r>
      <w:r w:rsidRPr="00B5777C">
        <w:t>Saudi Arabia Total and Employed Population, 2004-2011</w:t>
      </w:r>
      <w:bookmarkEnd w:id="22"/>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3"/>
        <w:gridCol w:w="764"/>
        <w:gridCol w:w="764"/>
        <w:gridCol w:w="764"/>
        <w:gridCol w:w="764"/>
        <w:gridCol w:w="764"/>
        <w:gridCol w:w="764"/>
        <w:gridCol w:w="682"/>
        <w:gridCol w:w="641"/>
      </w:tblGrid>
      <w:tr w:rsidR="00387A34" w:rsidRPr="00387A34" w:rsidTr="005F0D3D">
        <w:trPr>
          <w:trHeight w:val="360"/>
          <w:jc w:val="center"/>
        </w:trPr>
        <w:tc>
          <w:tcPr>
            <w:tcW w:w="0" w:type="auto"/>
            <w:shd w:val="clear" w:color="auto" w:fill="auto"/>
            <w:noWrap/>
            <w:vAlign w:val="bottom"/>
            <w:hideMark/>
          </w:tcPr>
          <w:p w:rsidR="00387A34" w:rsidRPr="00387A34" w:rsidRDefault="00387A34" w:rsidP="00387A34">
            <w:pPr>
              <w:spacing w:before="0" w:after="0"/>
              <w:rPr>
                <w:rFonts w:ascii="Arial Narrow" w:eastAsia="Times New Roman" w:hAnsi="Arial Narrow" w:cs="Times New Roman"/>
                <w:sz w:val="20"/>
                <w:szCs w:val="20"/>
                <w:lang w:val="en-CA" w:eastAsia="en-CA"/>
              </w:rPr>
            </w:pPr>
          </w:p>
        </w:tc>
        <w:tc>
          <w:tcPr>
            <w:tcW w:w="0" w:type="auto"/>
            <w:shd w:val="clear" w:color="000000" w:fill="C2D69A"/>
            <w:noWrap/>
            <w:vAlign w:val="bottom"/>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2004</w:t>
            </w:r>
          </w:p>
        </w:tc>
        <w:tc>
          <w:tcPr>
            <w:tcW w:w="0" w:type="auto"/>
            <w:shd w:val="clear" w:color="000000" w:fill="C2D69A"/>
            <w:noWrap/>
            <w:vAlign w:val="bottom"/>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2005</w:t>
            </w:r>
          </w:p>
        </w:tc>
        <w:tc>
          <w:tcPr>
            <w:tcW w:w="0" w:type="auto"/>
            <w:shd w:val="clear" w:color="000000" w:fill="C2D69A"/>
            <w:noWrap/>
            <w:vAlign w:val="bottom"/>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2006</w:t>
            </w:r>
          </w:p>
        </w:tc>
        <w:tc>
          <w:tcPr>
            <w:tcW w:w="0" w:type="auto"/>
            <w:shd w:val="clear" w:color="000000" w:fill="C2D69A"/>
            <w:noWrap/>
            <w:vAlign w:val="bottom"/>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2007</w:t>
            </w:r>
          </w:p>
        </w:tc>
        <w:tc>
          <w:tcPr>
            <w:tcW w:w="0" w:type="auto"/>
            <w:shd w:val="clear" w:color="000000" w:fill="C2D69A"/>
            <w:noWrap/>
            <w:vAlign w:val="bottom"/>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2008</w:t>
            </w:r>
          </w:p>
        </w:tc>
        <w:tc>
          <w:tcPr>
            <w:tcW w:w="0" w:type="auto"/>
            <w:shd w:val="clear" w:color="000000" w:fill="C2D69A"/>
            <w:noWrap/>
            <w:vAlign w:val="bottom"/>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2009</w:t>
            </w:r>
          </w:p>
        </w:tc>
        <w:tc>
          <w:tcPr>
            <w:tcW w:w="0" w:type="auto"/>
            <w:shd w:val="clear" w:color="000000" w:fill="C2D69A"/>
            <w:noWrap/>
            <w:vAlign w:val="bottom"/>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2010</w:t>
            </w:r>
            <w:r w:rsidRPr="00387A34">
              <w:rPr>
                <w:rFonts w:ascii="Arial Narrow" w:eastAsia="Times New Roman" w:hAnsi="Arial Narrow" w:cs="Arial"/>
                <w:bCs/>
                <w:sz w:val="20"/>
                <w:szCs w:val="20"/>
                <w:vertAlign w:val="superscript"/>
                <w:lang w:val="en-CA" w:eastAsia="en-CA"/>
              </w:rPr>
              <w:t>r</w:t>
            </w:r>
          </w:p>
        </w:tc>
        <w:tc>
          <w:tcPr>
            <w:tcW w:w="0" w:type="auto"/>
            <w:shd w:val="clear" w:color="000000" w:fill="C2D69A"/>
            <w:noWrap/>
            <w:vAlign w:val="bottom"/>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2011</w:t>
            </w:r>
            <w:r w:rsidRPr="00387A34">
              <w:rPr>
                <w:rFonts w:ascii="Arial Narrow" w:eastAsia="Times New Roman" w:hAnsi="Arial Narrow" w:cs="Arial"/>
                <w:bCs/>
                <w:sz w:val="20"/>
                <w:szCs w:val="20"/>
                <w:vertAlign w:val="superscript"/>
                <w:lang w:val="en-CA" w:eastAsia="en-CA"/>
              </w:rPr>
              <w:t>p</w:t>
            </w:r>
          </w:p>
        </w:tc>
      </w:tr>
      <w:tr w:rsidR="00387A34" w:rsidRPr="00387A34" w:rsidTr="005F0D3D">
        <w:trPr>
          <w:trHeight w:val="255"/>
          <w:jc w:val="center"/>
        </w:trPr>
        <w:tc>
          <w:tcPr>
            <w:tcW w:w="0" w:type="auto"/>
            <w:shd w:val="clear" w:color="000000" w:fill="D7E4BC"/>
            <w:noWrap/>
            <w:vAlign w:val="center"/>
            <w:hideMark/>
          </w:tcPr>
          <w:p w:rsidR="00387A34" w:rsidRPr="00387A34" w:rsidRDefault="00387A34" w:rsidP="00CA59BE">
            <w:pPr>
              <w:spacing w:before="0" w:after="0"/>
              <w:rPr>
                <w:rFonts w:ascii="Arial Narrow" w:eastAsia="Times New Roman" w:hAnsi="Arial Narrow" w:cs="Times New Roman"/>
                <w:bCs/>
                <w:sz w:val="20"/>
                <w:szCs w:val="20"/>
                <w:lang w:val="en-CA" w:eastAsia="en-CA"/>
              </w:rPr>
            </w:pPr>
            <w:r w:rsidRPr="00387A34">
              <w:rPr>
                <w:rFonts w:ascii="Arial Narrow" w:eastAsia="Times New Roman" w:hAnsi="Arial Narrow" w:cs="Times New Roman"/>
                <w:bCs/>
                <w:sz w:val="20"/>
                <w:szCs w:val="20"/>
                <w:lang w:val="en-CA" w:eastAsia="en-CA"/>
              </w:rPr>
              <w:t>Total Population</w:t>
            </w:r>
            <w:r w:rsidRPr="00387A34">
              <w:rPr>
                <w:rFonts w:ascii="Arial Narrow" w:eastAsia="Times New Roman" w:hAnsi="Arial Narrow" w:cs="Times New Roman"/>
                <w:sz w:val="20"/>
                <w:szCs w:val="20"/>
                <w:lang w:val="en-CA" w:eastAsia="en-CA"/>
              </w:rPr>
              <w:t xml:space="preserve"> (</w:t>
            </w:r>
            <w:r w:rsidR="00CA59BE">
              <w:rPr>
                <w:rFonts w:ascii="Arial Narrow" w:eastAsia="Times New Roman" w:hAnsi="Arial Narrow" w:cs="Times New Roman"/>
                <w:sz w:val="20"/>
                <w:szCs w:val="20"/>
                <w:lang w:val="en-CA" w:eastAsia="en-CA"/>
              </w:rPr>
              <w:t>millions</w:t>
            </w:r>
            <w:r w:rsidRPr="00387A34">
              <w:rPr>
                <w:rFonts w:ascii="Arial Narrow" w:eastAsia="Times New Roman" w:hAnsi="Arial Narrow" w:cs="Times New Roman"/>
                <w:sz w:val="20"/>
                <w:szCs w:val="20"/>
                <w:lang w:val="en-CA" w:eastAsia="en-CA"/>
              </w:rPr>
              <w:t>)</w:t>
            </w:r>
          </w:p>
        </w:tc>
        <w:tc>
          <w:tcPr>
            <w:tcW w:w="0" w:type="auto"/>
            <w:shd w:val="clear" w:color="000000" w:fill="D7E4BC"/>
            <w:noWrap/>
            <w:vAlign w:val="center"/>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22.56</w:t>
            </w:r>
          </w:p>
        </w:tc>
        <w:tc>
          <w:tcPr>
            <w:tcW w:w="0" w:type="auto"/>
            <w:shd w:val="clear" w:color="000000" w:fill="D7E4BC"/>
            <w:noWrap/>
            <w:vAlign w:val="center"/>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23.33</w:t>
            </w:r>
          </w:p>
        </w:tc>
        <w:tc>
          <w:tcPr>
            <w:tcW w:w="0" w:type="auto"/>
            <w:shd w:val="clear" w:color="000000" w:fill="D7E4BC"/>
            <w:noWrap/>
            <w:vAlign w:val="center"/>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24.12</w:t>
            </w:r>
          </w:p>
        </w:tc>
        <w:tc>
          <w:tcPr>
            <w:tcW w:w="0" w:type="auto"/>
            <w:shd w:val="clear" w:color="000000" w:fill="D7E4BC"/>
            <w:noWrap/>
            <w:vAlign w:val="center"/>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24.94</w:t>
            </w:r>
          </w:p>
        </w:tc>
        <w:tc>
          <w:tcPr>
            <w:tcW w:w="0" w:type="auto"/>
            <w:shd w:val="clear" w:color="000000" w:fill="D7E4BC"/>
            <w:noWrap/>
            <w:vAlign w:val="center"/>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25.79</w:t>
            </w:r>
          </w:p>
        </w:tc>
        <w:tc>
          <w:tcPr>
            <w:tcW w:w="0" w:type="auto"/>
            <w:shd w:val="clear" w:color="FFFFFF" w:fill="D7E4BC"/>
            <w:noWrap/>
            <w:vAlign w:val="center"/>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26.66</w:t>
            </w:r>
          </w:p>
        </w:tc>
        <w:tc>
          <w:tcPr>
            <w:tcW w:w="0" w:type="auto"/>
            <w:shd w:val="clear" w:color="FFFFFF" w:fill="D7E4BC"/>
            <w:noWrap/>
            <w:vAlign w:val="center"/>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27.56</w:t>
            </w:r>
          </w:p>
        </w:tc>
        <w:tc>
          <w:tcPr>
            <w:tcW w:w="0" w:type="auto"/>
            <w:shd w:val="clear" w:color="FFFFFF" w:fill="D7E4BC"/>
            <w:noWrap/>
            <w:vAlign w:val="center"/>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28.38</w:t>
            </w:r>
          </w:p>
        </w:tc>
      </w:tr>
      <w:tr w:rsidR="00387A34" w:rsidRPr="00387A34" w:rsidTr="005F0D3D">
        <w:trPr>
          <w:trHeight w:val="255"/>
          <w:jc w:val="center"/>
        </w:trPr>
        <w:tc>
          <w:tcPr>
            <w:tcW w:w="0" w:type="auto"/>
            <w:shd w:val="clear" w:color="000000" w:fill="FFFFFF"/>
            <w:noWrap/>
            <w:vAlign w:val="center"/>
            <w:hideMark/>
          </w:tcPr>
          <w:p w:rsidR="00387A34" w:rsidRPr="00387A34" w:rsidRDefault="00387A34" w:rsidP="00387A34">
            <w:pPr>
              <w:spacing w:before="0" w:after="0"/>
              <w:rPr>
                <w:rFonts w:ascii="Arial Narrow" w:eastAsia="Times New Roman" w:hAnsi="Arial Narrow" w:cs="Times New Roman"/>
                <w:sz w:val="20"/>
                <w:szCs w:val="20"/>
                <w:lang w:val="en-CA" w:eastAsia="en-CA"/>
              </w:rPr>
            </w:pPr>
            <w:r w:rsidRPr="00387A34">
              <w:rPr>
                <w:rFonts w:ascii="Arial Narrow" w:eastAsia="Times New Roman" w:hAnsi="Arial Narrow" w:cs="Times New Roman"/>
                <w:sz w:val="20"/>
                <w:szCs w:val="20"/>
                <w:lang w:val="en-CA" w:eastAsia="en-CA"/>
              </w:rPr>
              <w:t xml:space="preserve">Saudis </w:t>
            </w:r>
          </w:p>
        </w:tc>
        <w:tc>
          <w:tcPr>
            <w:tcW w:w="0" w:type="auto"/>
            <w:shd w:val="clear" w:color="000000" w:fill="FFFFFF"/>
            <w:noWrap/>
            <w:vAlign w:val="center"/>
            <w:hideMark/>
          </w:tcPr>
          <w:p w:rsidR="00387A34" w:rsidRPr="00387A34" w:rsidRDefault="00387A34"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16.44</w:t>
            </w:r>
          </w:p>
        </w:tc>
        <w:tc>
          <w:tcPr>
            <w:tcW w:w="0" w:type="auto"/>
            <w:shd w:val="clear" w:color="000000" w:fill="FFFFFF"/>
            <w:noWrap/>
            <w:vAlign w:val="center"/>
            <w:hideMark/>
          </w:tcPr>
          <w:p w:rsidR="00387A34" w:rsidRPr="00387A34" w:rsidRDefault="00387A34"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16.85</w:t>
            </w:r>
          </w:p>
        </w:tc>
        <w:tc>
          <w:tcPr>
            <w:tcW w:w="0" w:type="auto"/>
            <w:shd w:val="clear" w:color="000000" w:fill="FFFFFF"/>
            <w:noWrap/>
            <w:vAlign w:val="center"/>
            <w:hideMark/>
          </w:tcPr>
          <w:p w:rsidR="00387A34" w:rsidRPr="00387A34" w:rsidRDefault="00387A34"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17.27</w:t>
            </w:r>
          </w:p>
        </w:tc>
        <w:tc>
          <w:tcPr>
            <w:tcW w:w="0" w:type="auto"/>
            <w:shd w:val="clear" w:color="000000" w:fill="FFFFFF"/>
            <w:noWrap/>
            <w:vAlign w:val="center"/>
            <w:hideMark/>
          </w:tcPr>
          <w:p w:rsidR="00387A34" w:rsidRPr="00387A34" w:rsidRDefault="00387A34"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17.69</w:t>
            </w:r>
          </w:p>
        </w:tc>
        <w:tc>
          <w:tcPr>
            <w:tcW w:w="0" w:type="auto"/>
            <w:shd w:val="clear" w:color="000000" w:fill="FFFFFF"/>
            <w:noWrap/>
            <w:vAlign w:val="center"/>
            <w:hideMark/>
          </w:tcPr>
          <w:p w:rsidR="00387A34" w:rsidRPr="00387A34" w:rsidRDefault="00387A34"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18.12</w:t>
            </w:r>
          </w:p>
        </w:tc>
        <w:tc>
          <w:tcPr>
            <w:tcW w:w="0" w:type="auto"/>
            <w:shd w:val="clear" w:color="FFFFFF" w:fill="FFFFFF"/>
            <w:noWrap/>
            <w:vAlign w:val="center"/>
            <w:hideMark/>
          </w:tcPr>
          <w:p w:rsidR="00387A34" w:rsidRPr="00387A34" w:rsidRDefault="00387A34"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18.54</w:t>
            </w:r>
          </w:p>
        </w:tc>
        <w:tc>
          <w:tcPr>
            <w:tcW w:w="0" w:type="auto"/>
            <w:shd w:val="clear" w:color="FFFFFF" w:fill="FFFFFF"/>
            <w:noWrap/>
            <w:vAlign w:val="center"/>
            <w:hideMark/>
          </w:tcPr>
          <w:p w:rsidR="00387A34" w:rsidRPr="00387A34" w:rsidRDefault="00387A34"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18.97</w:t>
            </w:r>
          </w:p>
        </w:tc>
        <w:tc>
          <w:tcPr>
            <w:tcW w:w="0" w:type="auto"/>
            <w:shd w:val="clear" w:color="FFFFFF" w:fill="FFFFFF"/>
            <w:noWrap/>
            <w:vAlign w:val="center"/>
            <w:hideMark/>
          </w:tcPr>
          <w:p w:rsidR="00387A34" w:rsidRPr="00387A34" w:rsidRDefault="00C3683A" w:rsidP="00C3683A">
            <w:pPr>
              <w:spacing w:before="0" w:after="0"/>
              <w:jc w:val="center"/>
              <w:rPr>
                <w:rFonts w:ascii="Arial Narrow" w:eastAsia="Times New Roman" w:hAnsi="Arial Narrow" w:cs="Arial"/>
                <w:sz w:val="20"/>
                <w:szCs w:val="20"/>
                <w:lang w:val="en-CA" w:eastAsia="en-CA"/>
              </w:rPr>
            </w:pPr>
            <w:r>
              <w:rPr>
                <w:rFonts w:ascii="Arial Narrow" w:eastAsia="Times New Roman" w:hAnsi="Arial Narrow" w:cs="Arial"/>
                <w:sz w:val="20"/>
                <w:szCs w:val="20"/>
                <w:lang w:val="en-CA" w:eastAsia="en-CA"/>
              </w:rPr>
              <w:t>-</w:t>
            </w:r>
          </w:p>
        </w:tc>
      </w:tr>
      <w:tr w:rsidR="00387A34" w:rsidRPr="00387A34" w:rsidTr="005F0D3D">
        <w:trPr>
          <w:trHeight w:val="255"/>
          <w:jc w:val="center"/>
        </w:trPr>
        <w:tc>
          <w:tcPr>
            <w:tcW w:w="0" w:type="auto"/>
            <w:shd w:val="clear" w:color="000000" w:fill="D7E4BC"/>
            <w:noWrap/>
            <w:vAlign w:val="center"/>
            <w:hideMark/>
          </w:tcPr>
          <w:p w:rsidR="00387A34" w:rsidRPr="00387A34" w:rsidRDefault="00387A34" w:rsidP="00387A34">
            <w:pPr>
              <w:spacing w:before="0" w:after="0"/>
              <w:rPr>
                <w:rFonts w:ascii="Arial Narrow" w:eastAsia="Times New Roman" w:hAnsi="Arial Narrow" w:cs="Times New Roman"/>
                <w:sz w:val="20"/>
                <w:szCs w:val="20"/>
                <w:lang w:val="en-CA" w:eastAsia="en-CA"/>
              </w:rPr>
            </w:pPr>
            <w:r w:rsidRPr="00387A34">
              <w:rPr>
                <w:rFonts w:ascii="Arial Narrow" w:eastAsia="Times New Roman" w:hAnsi="Arial Narrow" w:cs="Times New Roman"/>
                <w:sz w:val="20"/>
                <w:szCs w:val="20"/>
                <w:lang w:val="en-CA" w:eastAsia="en-CA"/>
              </w:rPr>
              <w:t xml:space="preserve">Non-Saudis </w:t>
            </w:r>
          </w:p>
        </w:tc>
        <w:tc>
          <w:tcPr>
            <w:tcW w:w="0" w:type="auto"/>
            <w:shd w:val="clear" w:color="000000" w:fill="D7E4BC"/>
            <w:noWrap/>
            <w:vAlign w:val="center"/>
            <w:hideMark/>
          </w:tcPr>
          <w:p w:rsidR="00387A34" w:rsidRPr="00387A34" w:rsidRDefault="00387A34"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6.12</w:t>
            </w:r>
          </w:p>
        </w:tc>
        <w:tc>
          <w:tcPr>
            <w:tcW w:w="0" w:type="auto"/>
            <w:shd w:val="clear" w:color="000000" w:fill="D7E4BC"/>
            <w:noWrap/>
            <w:vAlign w:val="center"/>
            <w:hideMark/>
          </w:tcPr>
          <w:p w:rsidR="00387A34" w:rsidRPr="00387A34" w:rsidRDefault="00387A34"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6.48</w:t>
            </w:r>
          </w:p>
        </w:tc>
        <w:tc>
          <w:tcPr>
            <w:tcW w:w="0" w:type="auto"/>
            <w:shd w:val="clear" w:color="000000" w:fill="D7E4BC"/>
            <w:noWrap/>
            <w:vAlign w:val="center"/>
            <w:hideMark/>
          </w:tcPr>
          <w:p w:rsidR="00387A34" w:rsidRPr="00387A34" w:rsidRDefault="00387A34"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6.85</w:t>
            </w:r>
          </w:p>
        </w:tc>
        <w:tc>
          <w:tcPr>
            <w:tcW w:w="0" w:type="auto"/>
            <w:shd w:val="clear" w:color="000000" w:fill="D7E4BC"/>
            <w:noWrap/>
            <w:vAlign w:val="center"/>
            <w:hideMark/>
          </w:tcPr>
          <w:p w:rsidR="00387A34" w:rsidRPr="00387A34" w:rsidRDefault="00387A34"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7.25</w:t>
            </w:r>
          </w:p>
        </w:tc>
        <w:tc>
          <w:tcPr>
            <w:tcW w:w="0" w:type="auto"/>
            <w:shd w:val="clear" w:color="000000" w:fill="D7E4BC"/>
            <w:noWrap/>
            <w:vAlign w:val="center"/>
            <w:hideMark/>
          </w:tcPr>
          <w:p w:rsidR="00387A34" w:rsidRPr="00387A34" w:rsidRDefault="00387A34"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7.67</w:t>
            </w:r>
          </w:p>
        </w:tc>
        <w:tc>
          <w:tcPr>
            <w:tcW w:w="0" w:type="auto"/>
            <w:shd w:val="clear" w:color="FFFFFF" w:fill="D7E4BC"/>
            <w:noWrap/>
            <w:vAlign w:val="center"/>
            <w:hideMark/>
          </w:tcPr>
          <w:p w:rsidR="00387A34" w:rsidRPr="00387A34" w:rsidRDefault="00387A34"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8.12</w:t>
            </w:r>
          </w:p>
        </w:tc>
        <w:tc>
          <w:tcPr>
            <w:tcW w:w="0" w:type="auto"/>
            <w:shd w:val="clear" w:color="FFFFFF" w:fill="D7E4BC"/>
            <w:noWrap/>
            <w:vAlign w:val="center"/>
            <w:hideMark/>
          </w:tcPr>
          <w:p w:rsidR="00387A34" w:rsidRPr="00387A34" w:rsidRDefault="00387A34"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8.59</w:t>
            </w:r>
          </w:p>
        </w:tc>
        <w:tc>
          <w:tcPr>
            <w:tcW w:w="0" w:type="auto"/>
            <w:shd w:val="clear" w:color="FFFFFF" w:fill="D7E4BC"/>
            <w:noWrap/>
            <w:vAlign w:val="center"/>
            <w:hideMark/>
          </w:tcPr>
          <w:p w:rsidR="00387A34" w:rsidRPr="00387A34" w:rsidRDefault="00C3683A" w:rsidP="00C3683A">
            <w:pPr>
              <w:spacing w:before="0" w:after="0"/>
              <w:jc w:val="center"/>
              <w:rPr>
                <w:rFonts w:ascii="Arial Narrow" w:eastAsia="Times New Roman" w:hAnsi="Arial Narrow" w:cs="Arial"/>
                <w:sz w:val="20"/>
                <w:szCs w:val="20"/>
                <w:lang w:val="en-CA" w:eastAsia="en-CA"/>
              </w:rPr>
            </w:pPr>
            <w:r>
              <w:rPr>
                <w:rFonts w:ascii="Arial Narrow" w:eastAsia="Times New Roman" w:hAnsi="Arial Narrow" w:cs="Arial"/>
                <w:sz w:val="20"/>
                <w:szCs w:val="20"/>
                <w:lang w:val="en-CA" w:eastAsia="en-CA"/>
              </w:rPr>
              <w:t>-</w:t>
            </w:r>
          </w:p>
        </w:tc>
      </w:tr>
      <w:tr w:rsidR="00387A34" w:rsidRPr="00387A34" w:rsidTr="005F0D3D">
        <w:trPr>
          <w:trHeight w:val="270"/>
          <w:jc w:val="center"/>
        </w:trPr>
        <w:tc>
          <w:tcPr>
            <w:tcW w:w="0" w:type="auto"/>
            <w:shd w:val="clear" w:color="auto" w:fill="auto"/>
            <w:noWrap/>
            <w:vAlign w:val="bottom"/>
            <w:hideMark/>
          </w:tcPr>
          <w:p w:rsidR="00387A34" w:rsidRPr="00387A34" w:rsidRDefault="00387A34" w:rsidP="00387A34">
            <w:pPr>
              <w:spacing w:before="0" w:after="0"/>
              <w:rPr>
                <w:rFonts w:ascii="Arial Narrow" w:eastAsia="Times New Roman" w:hAnsi="Arial Narrow" w:cs="Times New Roman"/>
                <w:sz w:val="20"/>
                <w:szCs w:val="20"/>
                <w:lang w:val="en-CA" w:eastAsia="en-CA"/>
              </w:rPr>
            </w:pPr>
            <w:r w:rsidRPr="00387A34">
              <w:rPr>
                <w:rFonts w:ascii="Arial Narrow" w:eastAsia="Times New Roman" w:hAnsi="Arial Narrow" w:cs="Times New Roman"/>
                <w:sz w:val="20"/>
                <w:szCs w:val="20"/>
                <w:lang w:val="en-CA" w:eastAsia="en-CA"/>
              </w:rPr>
              <w:t xml:space="preserve">% </w:t>
            </w:r>
            <w:r>
              <w:rPr>
                <w:rFonts w:ascii="Arial Narrow" w:eastAsia="Times New Roman" w:hAnsi="Arial Narrow" w:cs="Times New Roman"/>
                <w:sz w:val="20"/>
                <w:szCs w:val="20"/>
                <w:lang w:val="en-CA" w:eastAsia="en-CA"/>
              </w:rPr>
              <w:t>N</w:t>
            </w:r>
            <w:r w:rsidRPr="00387A34">
              <w:rPr>
                <w:rFonts w:ascii="Arial Narrow" w:eastAsia="Times New Roman" w:hAnsi="Arial Narrow" w:cs="Times New Roman"/>
                <w:sz w:val="20"/>
                <w:szCs w:val="20"/>
                <w:lang w:val="en-CA" w:eastAsia="en-CA"/>
              </w:rPr>
              <w:t>on-Saudis</w:t>
            </w:r>
          </w:p>
        </w:tc>
        <w:tc>
          <w:tcPr>
            <w:tcW w:w="0" w:type="auto"/>
            <w:shd w:val="clear" w:color="auto" w:fill="auto"/>
            <w:noWrap/>
            <w:vAlign w:val="bottom"/>
            <w:hideMark/>
          </w:tcPr>
          <w:p w:rsidR="00387A34" w:rsidRPr="00387A34" w:rsidRDefault="00387A34" w:rsidP="00387A34">
            <w:pPr>
              <w:spacing w:before="0" w:after="0"/>
              <w:jc w:val="right"/>
              <w:rPr>
                <w:rFonts w:ascii="Arial Narrow" w:eastAsia="Times New Roman" w:hAnsi="Arial Narrow" w:cs="Times New Roman"/>
                <w:sz w:val="20"/>
                <w:szCs w:val="20"/>
                <w:lang w:val="en-CA" w:eastAsia="en-CA"/>
              </w:rPr>
            </w:pPr>
            <w:r w:rsidRPr="00387A34">
              <w:rPr>
                <w:rFonts w:ascii="Arial Narrow" w:eastAsia="Times New Roman" w:hAnsi="Arial Narrow" w:cs="Times New Roman"/>
                <w:sz w:val="20"/>
                <w:szCs w:val="20"/>
                <w:lang w:val="en-CA" w:eastAsia="en-CA"/>
              </w:rPr>
              <w:t>27.1%</w:t>
            </w:r>
          </w:p>
        </w:tc>
        <w:tc>
          <w:tcPr>
            <w:tcW w:w="0" w:type="auto"/>
            <w:shd w:val="clear" w:color="auto" w:fill="auto"/>
            <w:noWrap/>
            <w:vAlign w:val="bottom"/>
            <w:hideMark/>
          </w:tcPr>
          <w:p w:rsidR="00387A34" w:rsidRPr="00387A34" w:rsidRDefault="00387A34" w:rsidP="00387A34">
            <w:pPr>
              <w:spacing w:before="0" w:after="0"/>
              <w:jc w:val="right"/>
              <w:rPr>
                <w:rFonts w:ascii="Arial Narrow" w:eastAsia="Times New Roman" w:hAnsi="Arial Narrow" w:cs="Times New Roman"/>
                <w:sz w:val="20"/>
                <w:szCs w:val="20"/>
                <w:lang w:val="en-CA" w:eastAsia="en-CA"/>
              </w:rPr>
            </w:pPr>
            <w:r w:rsidRPr="00387A34">
              <w:rPr>
                <w:rFonts w:ascii="Arial Narrow" w:eastAsia="Times New Roman" w:hAnsi="Arial Narrow" w:cs="Times New Roman"/>
                <w:sz w:val="20"/>
                <w:szCs w:val="20"/>
                <w:lang w:val="en-CA" w:eastAsia="en-CA"/>
              </w:rPr>
              <w:t>27.8%</w:t>
            </w:r>
          </w:p>
        </w:tc>
        <w:tc>
          <w:tcPr>
            <w:tcW w:w="0" w:type="auto"/>
            <w:shd w:val="clear" w:color="auto" w:fill="auto"/>
            <w:noWrap/>
            <w:vAlign w:val="bottom"/>
            <w:hideMark/>
          </w:tcPr>
          <w:p w:rsidR="00387A34" w:rsidRPr="00387A34" w:rsidRDefault="00387A34" w:rsidP="00387A34">
            <w:pPr>
              <w:spacing w:before="0" w:after="0"/>
              <w:jc w:val="right"/>
              <w:rPr>
                <w:rFonts w:ascii="Arial Narrow" w:eastAsia="Times New Roman" w:hAnsi="Arial Narrow" w:cs="Times New Roman"/>
                <w:sz w:val="20"/>
                <w:szCs w:val="20"/>
                <w:lang w:val="en-CA" w:eastAsia="en-CA"/>
              </w:rPr>
            </w:pPr>
            <w:r w:rsidRPr="00387A34">
              <w:rPr>
                <w:rFonts w:ascii="Arial Narrow" w:eastAsia="Times New Roman" w:hAnsi="Arial Narrow" w:cs="Times New Roman"/>
                <w:sz w:val="20"/>
                <w:szCs w:val="20"/>
                <w:lang w:val="en-CA" w:eastAsia="en-CA"/>
              </w:rPr>
              <w:t>28.4%</w:t>
            </w:r>
          </w:p>
        </w:tc>
        <w:tc>
          <w:tcPr>
            <w:tcW w:w="0" w:type="auto"/>
            <w:shd w:val="clear" w:color="auto" w:fill="auto"/>
            <w:noWrap/>
            <w:vAlign w:val="bottom"/>
            <w:hideMark/>
          </w:tcPr>
          <w:p w:rsidR="00387A34" w:rsidRPr="00387A34" w:rsidRDefault="00387A34" w:rsidP="00387A34">
            <w:pPr>
              <w:spacing w:before="0" w:after="0"/>
              <w:jc w:val="right"/>
              <w:rPr>
                <w:rFonts w:ascii="Arial Narrow" w:eastAsia="Times New Roman" w:hAnsi="Arial Narrow" w:cs="Times New Roman"/>
                <w:sz w:val="20"/>
                <w:szCs w:val="20"/>
                <w:lang w:val="en-CA" w:eastAsia="en-CA"/>
              </w:rPr>
            </w:pPr>
            <w:r w:rsidRPr="00387A34">
              <w:rPr>
                <w:rFonts w:ascii="Arial Narrow" w:eastAsia="Times New Roman" w:hAnsi="Arial Narrow" w:cs="Times New Roman"/>
                <w:sz w:val="20"/>
                <w:szCs w:val="20"/>
                <w:lang w:val="en-CA" w:eastAsia="en-CA"/>
              </w:rPr>
              <w:t>29.1%</w:t>
            </w:r>
          </w:p>
        </w:tc>
        <w:tc>
          <w:tcPr>
            <w:tcW w:w="0" w:type="auto"/>
            <w:shd w:val="clear" w:color="auto" w:fill="auto"/>
            <w:noWrap/>
            <w:vAlign w:val="bottom"/>
            <w:hideMark/>
          </w:tcPr>
          <w:p w:rsidR="00387A34" w:rsidRPr="00387A34" w:rsidRDefault="00387A34" w:rsidP="00387A34">
            <w:pPr>
              <w:spacing w:before="0" w:after="0"/>
              <w:jc w:val="right"/>
              <w:rPr>
                <w:rFonts w:ascii="Arial Narrow" w:eastAsia="Times New Roman" w:hAnsi="Arial Narrow" w:cs="Times New Roman"/>
                <w:sz w:val="20"/>
                <w:szCs w:val="20"/>
                <w:lang w:val="en-CA" w:eastAsia="en-CA"/>
              </w:rPr>
            </w:pPr>
            <w:r w:rsidRPr="00387A34">
              <w:rPr>
                <w:rFonts w:ascii="Arial Narrow" w:eastAsia="Times New Roman" w:hAnsi="Arial Narrow" w:cs="Times New Roman"/>
                <w:sz w:val="20"/>
                <w:szCs w:val="20"/>
                <w:lang w:val="en-CA" w:eastAsia="en-CA"/>
              </w:rPr>
              <w:t>29.7%</w:t>
            </w:r>
          </w:p>
        </w:tc>
        <w:tc>
          <w:tcPr>
            <w:tcW w:w="0" w:type="auto"/>
            <w:shd w:val="clear" w:color="auto" w:fill="auto"/>
            <w:noWrap/>
            <w:vAlign w:val="bottom"/>
            <w:hideMark/>
          </w:tcPr>
          <w:p w:rsidR="00387A34" w:rsidRPr="00387A34" w:rsidRDefault="00387A34" w:rsidP="00387A34">
            <w:pPr>
              <w:spacing w:before="0" w:after="0"/>
              <w:jc w:val="right"/>
              <w:rPr>
                <w:rFonts w:ascii="Arial Narrow" w:eastAsia="Times New Roman" w:hAnsi="Arial Narrow" w:cs="Times New Roman"/>
                <w:sz w:val="20"/>
                <w:szCs w:val="20"/>
                <w:lang w:val="en-CA" w:eastAsia="en-CA"/>
              </w:rPr>
            </w:pPr>
            <w:r w:rsidRPr="00387A34">
              <w:rPr>
                <w:rFonts w:ascii="Arial Narrow" w:eastAsia="Times New Roman" w:hAnsi="Arial Narrow" w:cs="Times New Roman"/>
                <w:sz w:val="20"/>
                <w:szCs w:val="20"/>
                <w:lang w:val="en-CA" w:eastAsia="en-CA"/>
              </w:rPr>
              <w:t>30.4%</w:t>
            </w:r>
          </w:p>
        </w:tc>
        <w:tc>
          <w:tcPr>
            <w:tcW w:w="0" w:type="auto"/>
            <w:shd w:val="clear" w:color="auto" w:fill="auto"/>
            <w:noWrap/>
            <w:vAlign w:val="bottom"/>
            <w:hideMark/>
          </w:tcPr>
          <w:p w:rsidR="00387A34" w:rsidRPr="00387A34" w:rsidRDefault="00387A34" w:rsidP="00387A34">
            <w:pPr>
              <w:spacing w:before="0" w:after="0"/>
              <w:jc w:val="right"/>
              <w:rPr>
                <w:rFonts w:ascii="Arial Narrow" w:eastAsia="Times New Roman" w:hAnsi="Arial Narrow" w:cs="Times New Roman"/>
                <w:sz w:val="20"/>
                <w:szCs w:val="20"/>
                <w:lang w:val="en-CA" w:eastAsia="en-CA"/>
              </w:rPr>
            </w:pPr>
            <w:r w:rsidRPr="00387A34">
              <w:rPr>
                <w:rFonts w:ascii="Arial Narrow" w:eastAsia="Times New Roman" w:hAnsi="Arial Narrow" w:cs="Times New Roman"/>
                <w:sz w:val="20"/>
                <w:szCs w:val="20"/>
                <w:lang w:val="en-CA" w:eastAsia="en-CA"/>
              </w:rPr>
              <w:t>31.2%</w:t>
            </w:r>
          </w:p>
        </w:tc>
        <w:tc>
          <w:tcPr>
            <w:tcW w:w="0" w:type="auto"/>
            <w:shd w:val="clear" w:color="auto" w:fill="auto"/>
            <w:noWrap/>
            <w:vAlign w:val="bottom"/>
            <w:hideMark/>
          </w:tcPr>
          <w:p w:rsidR="00387A34" w:rsidRPr="00387A34" w:rsidRDefault="00C3683A" w:rsidP="00C3683A">
            <w:pPr>
              <w:spacing w:before="0" w:after="0"/>
              <w:jc w:val="center"/>
              <w:rPr>
                <w:rFonts w:ascii="Arial Narrow" w:eastAsia="Times New Roman" w:hAnsi="Arial Narrow" w:cs="Times New Roman"/>
                <w:sz w:val="20"/>
                <w:szCs w:val="20"/>
                <w:lang w:val="en-CA" w:eastAsia="en-CA"/>
              </w:rPr>
            </w:pPr>
            <w:r>
              <w:rPr>
                <w:rFonts w:ascii="Arial Narrow" w:eastAsia="Times New Roman" w:hAnsi="Arial Narrow" w:cs="Arial"/>
                <w:sz w:val="20"/>
                <w:szCs w:val="20"/>
                <w:lang w:val="en-CA" w:eastAsia="en-CA"/>
              </w:rPr>
              <w:t>-</w:t>
            </w:r>
          </w:p>
        </w:tc>
      </w:tr>
      <w:tr w:rsidR="00387A34" w:rsidRPr="00387A34" w:rsidTr="005F0D3D">
        <w:trPr>
          <w:trHeight w:val="360"/>
          <w:jc w:val="center"/>
        </w:trPr>
        <w:tc>
          <w:tcPr>
            <w:tcW w:w="0" w:type="auto"/>
            <w:shd w:val="clear" w:color="auto" w:fill="auto"/>
            <w:noWrap/>
            <w:vAlign w:val="bottom"/>
            <w:hideMark/>
          </w:tcPr>
          <w:p w:rsidR="00387A34" w:rsidRPr="00387A34" w:rsidRDefault="00387A34" w:rsidP="00387A34">
            <w:pPr>
              <w:spacing w:before="0" w:after="0"/>
              <w:rPr>
                <w:rFonts w:ascii="Arial Narrow" w:eastAsia="Times New Roman" w:hAnsi="Arial Narrow" w:cs="Times New Roman"/>
                <w:sz w:val="20"/>
                <w:szCs w:val="20"/>
                <w:lang w:val="en-CA" w:eastAsia="en-CA"/>
              </w:rPr>
            </w:pPr>
          </w:p>
        </w:tc>
        <w:tc>
          <w:tcPr>
            <w:tcW w:w="0" w:type="auto"/>
            <w:shd w:val="clear" w:color="000000" w:fill="C2D69A"/>
            <w:noWrap/>
            <w:vAlign w:val="bottom"/>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2004</w:t>
            </w:r>
          </w:p>
        </w:tc>
        <w:tc>
          <w:tcPr>
            <w:tcW w:w="0" w:type="auto"/>
            <w:shd w:val="clear" w:color="000000" w:fill="C2D69A"/>
            <w:noWrap/>
            <w:vAlign w:val="bottom"/>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2005</w:t>
            </w:r>
          </w:p>
        </w:tc>
        <w:tc>
          <w:tcPr>
            <w:tcW w:w="0" w:type="auto"/>
            <w:shd w:val="clear" w:color="000000" w:fill="C2D69A"/>
            <w:noWrap/>
            <w:vAlign w:val="bottom"/>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2006</w:t>
            </w:r>
          </w:p>
        </w:tc>
        <w:tc>
          <w:tcPr>
            <w:tcW w:w="0" w:type="auto"/>
            <w:shd w:val="clear" w:color="000000" w:fill="C2D69A"/>
            <w:noWrap/>
            <w:vAlign w:val="bottom"/>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2007</w:t>
            </w:r>
          </w:p>
        </w:tc>
        <w:tc>
          <w:tcPr>
            <w:tcW w:w="0" w:type="auto"/>
            <w:shd w:val="clear" w:color="000000" w:fill="C2D69A"/>
            <w:noWrap/>
            <w:vAlign w:val="bottom"/>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2008</w:t>
            </w:r>
          </w:p>
        </w:tc>
        <w:tc>
          <w:tcPr>
            <w:tcW w:w="0" w:type="auto"/>
            <w:shd w:val="clear" w:color="000000" w:fill="C2D69A"/>
            <w:noWrap/>
            <w:vAlign w:val="bottom"/>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2009</w:t>
            </w:r>
          </w:p>
        </w:tc>
        <w:tc>
          <w:tcPr>
            <w:tcW w:w="0" w:type="auto"/>
            <w:shd w:val="clear" w:color="000000" w:fill="C2D69A"/>
            <w:noWrap/>
            <w:vAlign w:val="bottom"/>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2010</w:t>
            </w:r>
            <w:r w:rsidRPr="00387A34">
              <w:rPr>
                <w:rFonts w:ascii="Arial Narrow" w:eastAsia="Times New Roman" w:hAnsi="Arial Narrow" w:cs="Arial"/>
                <w:bCs/>
                <w:sz w:val="20"/>
                <w:szCs w:val="20"/>
                <w:vertAlign w:val="superscript"/>
                <w:lang w:val="en-CA" w:eastAsia="en-CA"/>
              </w:rPr>
              <w:t>r</w:t>
            </w:r>
          </w:p>
        </w:tc>
        <w:tc>
          <w:tcPr>
            <w:tcW w:w="0" w:type="auto"/>
            <w:shd w:val="clear" w:color="000000" w:fill="C2D69A"/>
            <w:noWrap/>
            <w:vAlign w:val="bottom"/>
            <w:hideMark/>
          </w:tcPr>
          <w:p w:rsidR="00387A34" w:rsidRPr="00387A34" w:rsidRDefault="00387A34"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2011</w:t>
            </w:r>
            <w:r w:rsidRPr="00387A34">
              <w:rPr>
                <w:rFonts w:ascii="Arial Narrow" w:eastAsia="Times New Roman" w:hAnsi="Arial Narrow" w:cs="Arial"/>
                <w:bCs/>
                <w:sz w:val="20"/>
                <w:szCs w:val="20"/>
                <w:vertAlign w:val="superscript"/>
                <w:lang w:val="en-CA" w:eastAsia="en-CA"/>
              </w:rPr>
              <w:t>p</w:t>
            </w:r>
          </w:p>
        </w:tc>
      </w:tr>
      <w:tr w:rsidR="00C3683A" w:rsidRPr="00387A34" w:rsidTr="005F0D3D">
        <w:trPr>
          <w:trHeight w:val="300"/>
          <w:jc w:val="center"/>
        </w:trPr>
        <w:tc>
          <w:tcPr>
            <w:tcW w:w="0" w:type="auto"/>
            <w:shd w:val="clear" w:color="auto" w:fill="auto"/>
            <w:noWrap/>
            <w:vAlign w:val="center"/>
            <w:hideMark/>
          </w:tcPr>
          <w:p w:rsidR="00C3683A" w:rsidRPr="00387A34" w:rsidRDefault="00C3683A" w:rsidP="00CA59BE">
            <w:pPr>
              <w:spacing w:before="0" w:after="0"/>
              <w:rPr>
                <w:rFonts w:ascii="Arial Narrow" w:eastAsia="Times New Roman" w:hAnsi="Arial Narrow" w:cs="Times New Roman"/>
                <w:bCs/>
                <w:sz w:val="20"/>
                <w:szCs w:val="20"/>
                <w:lang w:val="en-CA" w:eastAsia="en-CA"/>
              </w:rPr>
            </w:pPr>
            <w:r w:rsidRPr="00387A34">
              <w:rPr>
                <w:rFonts w:ascii="Arial Narrow" w:eastAsia="Times New Roman" w:hAnsi="Arial Narrow" w:cs="Times New Roman"/>
                <w:bCs/>
                <w:sz w:val="20"/>
                <w:szCs w:val="20"/>
                <w:lang w:val="en-CA" w:eastAsia="en-CA"/>
              </w:rPr>
              <w:t xml:space="preserve">Total Employment </w:t>
            </w:r>
            <w:r w:rsidR="00427117">
              <w:rPr>
                <w:rFonts w:ascii="Arial Narrow" w:eastAsia="Times New Roman" w:hAnsi="Arial Narrow" w:cs="Times New Roman"/>
                <w:sz w:val="20"/>
                <w:szCs w:val="20"/>
                <w:lang w:val="en-CA" w:eastAsia="en-CA"/>
              </w:rPr>
              <w:t>(</w:t>
            </w:r>
            <w:r w:rsidR="00CA59BE">
              <w:rPr>
                <w:rFonts w:ascii="Arial Narrow" w:eastAsia="Times New Roman" w:hAnsi="Arial Narrow" w:cs="Times New Roman"/>
                <w:sz w:val="20"/>
                <w:szCs w:val="20"/>
                <w:lang w:val="en-CA" w:eastAsia="en-CA"/>
              </w:rPr>
              <w:t>‘000</w:t>
            </w:r>
            <w:r w:rsidRPr="00387A34">
              <w:rPr>
                <w:rFonts w:ascii="Arial Narrow" w:eastAsia="Times New Roman" w:hAnsi="Arial Narrow" w:cs="Times New Roman"/>
                <w:sz w:val="20"/>
                <w:szCs w:val="20"/>
                <w:lang w:val="en-CA" w:eastAsia="en-CA"/>
              </w:rPr>
              <w:t>)</w:t>
            </w:r>
            <w:r w:rsidRPr="00387A34">
              <w:rPr>
                <w:rFonts w:ascii="Arial Narrow" w:eastAsia="Times New Roman" w:hAnsi="Arial Narrow" w:cs="Times New Roman"/>
                <w:sz w:val="20"/>
                <w:szCs w:val="20"/>
                <w:vertAlign w:val="superscript"/>
                <w:lang w:val="en-CA" w:eastAsia="en-CA"/>
              </w:rPr>
              <w:t xml:space="preserve"> </w:t>
            </w:r>
          </w:p>
        </w:tc>
        <w:tc>
          <w:tcPr>
            <w:tcW w:w="0" w:type="auto"/>
            <w:shd w:val="clear" w:color="auto" w:fill="auto"/>
            <w:noWrap/>
            <w:vAlign w:val="center"/>
            <w:hideMark/>
          </w:tcPr>
          <w:p w:rsidR="00C3683A" w:rsidRPr="00387A34" w:rsidRDefault="00C3683A"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7,180.6</w:t>
            </w:r>
          </w:p>
        </w:tc>
        <w:tc>
          <w:tcPr>
            <w:tcW w:w="0" w:type="auto"/>
            <w:shd w:val="clear" w:color="auto" w:fill="auto"/>
            <w:noWrap/>
            <w:vAlign w:val="center"/>
            <w:hideMark/>
          </w:tcPr>
          <w:p w:rsidR="00C3683A" w:rsidRPr="00387A34" w:rsidRDefault="00C3683A"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7,371.5</w:t>
            </w:r>
          </w:p>
        </w:tc>
        <w:tc>
          <w:tcPr>
            <w:tcW w:w="0" w:type="auto"/>
            <w:shd w:val="clear" w:color="auto" w:fill="auto"/>
            <w:noWrap/>
            <w:vAlign w:val="center"/>
            <w:hideMark/>
          </w:tcPr>
          <w:p w:rsidR="00C3683A" w:rsidRPr="00387A34" w:rsidRDefault="00C3683A"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7,523.0</w:t>
            </w:r>
          </w:p>
        </w:tc>
        <w:tc>
          <w:tcPr>
            <w:tcW w:w="0" w:type="auto"/>
            <w:shd w:val="clear" w:color="auto" w:fill="auto"/>
            <w:noWrap/>
            <w:vAlign w:val="center"/>
            <w:hideMark/>
          </w:tcPr>
          <w:p w:rsidR="00C3683A" w:rsidRPr="00387A34" w:rsidRDefault="00C3683A"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7,744.4</w:t>
            </w:r>
          </w:p>
        </w:tc>
        <w:tc>
          <w:tcPr>
            <w:tcW w:w="0" w:type="auto"/>
            <w:shd w:val="clear" w:color="auto" w:fill="auto"/>
            <w:noWrap/>
            <w:vAlign w:val="center"/>
            <w:hideMark/>
          </w:tcPr>
          <w:p w:rsidR="00C3683A" w:rsidRPr="00387A34" w:rsidRDefault="00C3683A"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8,017.3</w:t>
            </w:r>
          </w:p>
        </w:tc>
        <w:tc>
          <w:tcPr>
            <w:tcW w:w="0" w:type="auto"/>
            <w:shd w:val="clear" w:color="auto" w:fill="auto"/>
            <w:noWrap/>
            <w:vAlign w:val="center"/>
            <w:hideMark/>
          </w:tcPr>
          <w:p w:rsidR="00C3683A" w:rsidRPr="00387A34" w:rsidRDefault="00C3683A" w:rsidP="00387A34">
            <w:pPr>
              <w:spacing w:before="0" w:after="0"/>
              <w:jc w:val="right"/>
              <w:rPr>
                <w:rFonts w:ascii="Arial Narrow" w:eastAsia="Times New Roman" w:hAnsi="Arial Narrow" w:cs="Arial"/>
                <w:bCs/>
                <w:sz w:val="20"/>
                <w:szCs w:val="20"/>
                <w:lang w:val="en-CA" w:eastAsia="en-CA"/>
              </w:rPr>
            </w:pPr>
            <w:r w:rsidRPr="00387A34">
              <w:rPr>
                <w:rFonts w:ascii="Arial Narrow" w:eastAsia="Times New Roman" w:hAnsi="Arial Narrow" w:cs="Arial"/>
                <w:bCs/>
                <w:sz w:val="20"/>
                <w:szCs w:val="20"/>
                <w:lang w:val="en-CA" w:eastAsia="en-CA"/>
              </w:rPr>
              <w:t>8,148.0</w:t>
            </w:r>
          </w:p>
        </w:tc>
        <w:tc>
          <w:tcPr>
            <w:tcW w:w="0" w:type="auto"/>
            <w:shd w:val="clear" w:color="auto" w:fill="auto"/>
            <w:noWrap/>
            <w:vAlign w:val="center"/>
            <w:hideMark/>
          </w:tcPr>
          <w:p w:rsidR="00C3683A" w:rsidRPr="00387A34" w:rsidRDefault="00C3683A" w:rsidP="0037155A">
            <w:pPr>
              <w:spacing w:before="0" w:after="0"/>
              <w:jc w:val="center"/>
              <w:rPr>
                <w:rFonts w:ascii="Arial Narrow" w:eastAsia="Times New Roman" w:hAnsi="Arial Narrow" w:cs="Arial"/>
                <w:sz w:val="20"/>
                <w:szCs w:val="20"/>
                <w:lang w:val="en-CA" w:eastAsia="en-CA"/>
              </w:rPr>
            </w:pPr>
            <w:r>
              <w:rPr>
                <w:rFonts w:ascii="Arial Narrow" w:eastAsia="Times New Roman" w:hAnsi="Arial Narrow" w:cs="Arial"/>
                <w:sz w:val="20"/>
                <w:szCs w:val="20"/>
                <w:lang w:val="en-CA" w:eastAsia="en-CA"/>
              </w:rPr>
              <w:t>-</w:t>
            </w:r>
          </w:p>
        </w:tc>
        <w:tc>
          <w:tcPr>
            <w:tcW w:w="0" w:type="auto"/>
            <w:shd w:val="clear" w:color="auto" w:fill="auto"/>
            <w:noWrap/>
            <w:vAlign w:val="center"/>
            <w:hideMark/>
          </w:tcPr>
          <w:p w:rsidR="00C3683A" w:rsidRPr="00387A34" w:rsidRDefault="00C3683A" w:rsidP="0037155A">
            <w:pPr>
              <w:spacing w:before="0" w:after="0"/>
              <w:jc w:val="center"/>
              <w:rPr>
                <w:rFonts w:ascii="Arial Narrow" w:eastAsia="Times New Roman" w:hAnsi="Arial Narrow" w:cs="Arial"/>
                <w:sz w:val="20"/>
                <w:szCs w:val="20"/>
                <w:lang w:val="en-CA" w:eastAsia="en-CA"/>
              </w:rPr>
            </w:pPr>
            <w:r>
              <w:rPr>
                <w:rFonts w:ascii="Arial Narrow" w:eastAsia="Times New Roman" w:hAnsi="Arial Narrow" w:cs="Arial"/>
                <w:sz w:val="20"/>
                <w:szCs w:val="20"/>
                <w:lang w:val="en-CA" w:eastAsia="en-CA"/>
              </w:rPr>
              <w:t>-</w:t>
            </w:r>
          </w:p>
        </w:tc>
      </w:tr>
      <w:tr w:rsidR="00C3683A" w:rsidRPr="00387A34" w:rsidTr="005F0D3D">
        <w:trPr>
          <w:trHeight w:val="300"/>
          <w:jc w:val="center"/>
        </w:trPr>
        <w:tc>
          <w:tcPr>
            <w:tcW w:w="0" w:type="auto"/>
            <w:shd w:val="clear" w:color="000000" w:fill="D7E4BC"/>
            <w:noWrap/>
            <w:vAlign w:val="center"/>
            <w:hideMark/>
          </w:tcPr>
          <w:p w:rsidR="00C3683A" w:rsidRPr="00387A34" w:rsidRDefault="00C3683A" w:rsidP="00387A34">
            <w:pPr>
              <w:spacing w:before="0" w:after="0"/>
              <w:rPr>
                <w:rFonts w:ascii="Arial Narrow" w:eastAsia="Times New Roman" w:hAnsi="Arial Narrow" w:cs="Times New Roman"/>
                <w:sz w:val="20"/>
                <w:szCs w:val="20"/>
                <w:lang w:val="en-CA" w:eastAsia="en-CA"/>
              </w:rPr>
            </w:pPr>
            <w:r w:rsidRPr="00387A34">
              <w:rPr>
                <w:rFonts w:ascii="Arial Narrow" w:eastAsia="Times New Roman" w:hAnsi="Arial Narrow" w:cs="Times New Roman"/>
                <w:sz w:val="20"/>
                <w:szCs w:val="20"/>
                <w:lang w:val="en-CA" w:eastAsia="en-CA"/>
              </w:rPr>
              <w:t>Saudis</w:t>
            </w:r>
          </w:p>
        </w:tc>
        <w:tc>
          <w:tcPr>
            <w:tcW w:w="0" w:type="auto"/>
            <w:shd w:val="clear" w:color="000000" w:fill="D7E4BC"/>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3,298.2</w:t>
            </w:r>
          </w:p>
        </w:tc>
        <w:tc>
          <w:tcPr>
            <w:tcW w:w="0" w:type="auto"/>
            <w:shd w:val="clear" w:color="000000" w:fill="D7E4BC"/>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3,367.2</w:t>
            </w:r>
          </w:p>
        </w:tc>
        <w:tc>
          <w:tcPr>
            <w:tcW w:w="0" w:type="auto"/>
            <w:shd w:val="clear" w:color="000000" w:fill="D7E4BC"/>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3,431.6</w:t>
            </w:r>
          </w:p>
        </w:tc>
        <w:tc>
          <w:tcPr>
            <w:tcW w:w="0" w:type="auto"/>
            <w:shd w:val="clear" w:color="000000" w:fill="D7E4BC"/>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3,600.8</w:t>
            </w:r>
          </w:p>
        </w:tc>
        <w:tc>
          <w:tcPr>
            <w:tcW w:w="0" w:type="auto"/>
            <w:shd w:val="clear" w:color="000000" w:fill="D7E4BC"/>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3,756.7</w:t>
            </w:r>
          </w:p>
        </w:tc>
        <w:tc>
          <w:tcPr>
            <w:tcW w:w="0" w:type="auto"/>
            <w:shd w:val="clear" w:color="FFFFFF" w:fill="D7E4BC"/>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3,838.0</w:t>
            </w:r>
          </w:p>
        </w:tc>
        <w:tc>
          <w:tcPr>
            <w:tcW w:w="0" w:type="auto"/>
            <w:shd w:val="clear" w:color="FFFFFF" w:fill="D7E4BC"/>
            <w:noWrap/>
            <w:vAlign w:val="center"/>
            <w:hideMark/>
          </w:tcPr>
          <w:p w:rsidR="00C3683A" w:rsidRPr="00387A34" w:rsidRDefault="00C3683A" w:rsidP="0037155A">
            <w:pPr>
              <w:spacing w:before="0" w:after="0"/>
              <w:jc w:val="center"/>
              <w:rPr>
                <w:rFonts w:ascii="Arial Narrow" w:eastAsia="Times New Roman" w:hAnsi="Arial Narrow" w:cs="Arial"/>
                <w:sz w:val="20"/>
                <w:szCs w:val="20"/>
                <w:lang w:val="en-CA" w:eastAsia="en-CA"/>
              </w:rPr>
            </w:pPr>
            <w:r>
              <w:rPr>
                <w:rFonts w:ascii="Arial Narrow" w:eastAsia="Times New Roman" w:hAnsi="Arial Narrow" w:cs="Arial"/>
                <w:sz w:val="20"/>
                <w:szCs w:val="20"/>
                <w:lang w:val="en-CA" w:eastAsia="en-CA"/>
              </w:rPr>
              <w:t>-</w:t>
            </w:r>
          </w:p>
        </w:tc>
        <w:tc>
          <w:tcPr>
            <w:tcW w:w="0" w:type="auto"/>
            <w:shd w:val="clear" w:color="FFFFFF" w:fill="D7E4BC"/>
            <w:noWrap/>
            <w:vAlign w:val="center"/>
            <w:hideMark/>
          </w:tcPr>
          <w:p w:rsidR="00C3683A" w:rsidRPr="00387A34" w:rsidRDefault="00C3683A" w:rsidP="0037155A">
            <w:pPr>
              <w:spacing w:before="0" w:after="0"/>
              <w:jc w:val="center"/>
              <w:rPr>
                <w:rFonts w:ascii="Arial Narrow" w:eastAsia="Times New Roman" w:hAnsi="Arial Narrow" w:cs="Arial"/>
                <w:sz w:val="20"/>
                <w:szCs w:val="20"/>
                <w:lang w:val="en-CA" w:eastAsia="en-CA"/>
              </w:rPr>
            </w:pPr>
            <w:r>
              <w:rPr>
                <w:rFonts w:ascii="Arial Narrow" w:eastAsia="Times New Roman" w:hAnsi="Arial Narrow" w:cs="Arial"/>
                <w:sz w:val="20"/>
                <w:szCs w:val="20"/>
                <w:lang w:val="en-CA" w:eastAsia="en-CA"/>
              </w:rPr>
              <w:t>-</w:t>
            </w:r>
          </w:p>
        </w:tc>
      </w:tr>
      <w:tr w:rsidR="00C3683A" w:rsidRPr="00387A34" w:rsidTr="005F0D3D">
        <w:trPr>
          <w:trHeight w:val="255"/>
          <w:jc w:val="center"/>
        </w:trPr>
        <w:tc>
          <w:tcPr>
            <w:tcW w:w="0" w:type="auto"/>
            <w:shd w:val="clear" w:color="000000" w:fill="FFFFFF"/>
            <w:noWrap/>
            <w:vAlign w:val="center"/>
            <w:hideMark/>
          </w:tcPr>
          <w:p w:rsidR="00C3683A" w:rsidRPr="00387A34" w:rsidRDefault="00C3683A" w:rsidP="00387A34">
            <w:pPr>
              <w:spacing w:before="0" w:after="0"/>
              <w:rPr>
                <w:rFonts w:ascii="Arial Narrow" w:eastAsia="Times New Roman" w:hAnsi="Arial Narrow" w:cs="Times New Roman"/>
                <w:sz w:val="20"/>
                <w:szCs w:val="20"/>
                <w:lang w:val="en-CA" w:eastAsia="en-CA"/>
              </w:rPr>
            </w:pPr>
            <w:r w:rsidRPr="00387A34">
              <w:rPr>
                <w:rFonts w:ascii="Arial Narrow" w:eastAsia="Times New Roman" w:hAnsi="Arial Narrow" w:cs="Times New Roman"/>
                <w:sz w:val="20"/>
                <w:szCs w:val="20"/>
                <w:lang w:val="en-CA" w:eastAsia="en-CA"/>
              </w:rPr>
              <w:t>Non-Saudis</w:t>
            </w:r>
          </w:p>
        </w:tc>
        <w:tc>
          <w:tcPr>
            <w:tcW w:w="0" w:type="auto"/>
            <w:shd w:val="clear" w:color="000000" w:fill="FFFFFF"/>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3,882.4</w:t>
            </w:r>
          </w:p>
        </w:tc>
        <w:tc>
          <w:tcPr>
            <w:tcW w:w="0" w:type="auto"/>
            <w:shd w:val="clear" w:color="000000" w:fill="FFFFFF"/>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4,004.3</w:t>
            </w:r>
          </w:p>
        </w:tc>
        <w:tc>
          <w:tcPr>
            <w:tcW w:w="0" w:type="auto"/>
            <w:shd w:val="clear" w:color="000000" w:fill="FFFFFF"/>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4,091.4</w:t>
            </w:r>
          </w:p>
        </w:tc>
        <w:tc>
          <w:tcPr>
            <w:tcW w:w="0" w:type="auto"/>
            <w:shd w:val="clear" w:color="000000" w:fill="FFFFFF"/>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4,143.6</w:t>
            </w:r>
          </w:p>
        </w:tc>
        <w:tc>
          <w:tcPr>
            <w:tcW w:w="0" w:type="auto"/>
            <w:shd w:val="clear" w:color="000000" w:fill="FFFFFF"/>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4,260.6</w:t>
            </w:r>
          </w:p>
        </w:tc>
        <w:tc>
          <w:tcPr>
            <w:tcW w:w="0" w:type="auto"/>
            <w:shd w:val="clear" w:color="FFFFFF" w:fill="FFFFFF"/>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4,310.0</w:t>
            </w:r>
          </w:p>
        </w:tc>
        <w:tc>
          <w:tcPr>
            <w:tcW w:w="0" w:type="auto"/>
            <w:shd w:val="clear" w:color="FFFFFF" w:fill="FFFFFF"/>
            <w:noWrap/>
            <w:vAlign w:val="bottom"/>
            <w:hideMark/>
          </w:tcPr>
          <w:p w:rsidR="00C3683A" w:rsidRPr="00387A34" w:rsidRDefault="00C3683A" w:rsidP="0037155A">
            <w:pPr>
              <w:spacing w:before="0" w:after="0"/>
              <w:jc w:val="center"/>
              <w:rPr>
                <w:rFonts w:ascii="Arial Narrow" w:eastAsia="Times New Roman" w:hAnsi="Arial Narrow" w:cs="Times New Roman"/>
                <w:sz w:val="20"/>
                <w:szCs w:val="20"/>
                <w:lang w:val="en-CA" w:eastAsia="en-CA"/>
              </w:rPr>
            </w:pPr>
            <w:r>
              <w:rPr>
                <w:rFonts w:ascii="Arial Narrow" w:eastAsia="Times New Roman" w:hAnsi="Arial Narrow" w:cs="Arial"/>
                <w:sz w:val="20"/>
                <w:szCs w:val="20"/>
                <w:lang w:val="en-CA" w:eastAsia="en-CA"/>
              </w:rPr>
              <w:t>-</w:t>
            </w:r>
          </w:p>
        </w:tc>
        <w:tc>
          <w:tcPr>
            <w:tcW w:w="0" w:type="auto"/>
            <w:shd w:val="clear" w:color="FFFFFF" w:fill="FFFFFF"/>
            <w:noWrap/>
            <w:vAlign w:val="bottom"/>
            <w:hideMark/>
          </w:tcPr>
          <w:p w:rsidR="00C3683A" w:rsidRPr="00387A34" w:rsidRDefault="00C3683A" w:rsidP="0037155A">
            <w:pPr>
              <w:spacing w:before="0" w:after="0"/>
              <w:jc w:val="center"/>
              <w:rPr>
                <w:rFonts w:ascii="Arial Narrow" w:eastAsia="Times New Roman" w:hAnsi="Arial Narrow" w:cs="Times New Roman"/>
                <w:sz w:val="20"/>
                <w:szCs w:val="20"/>
                <w:lang w:val="en-CA" w:eastAsia="en-CA"/>
              </w:rPr>
            </w:pPr>
            <w:r>
              <w:rPr>
                <w:rFonts w:ascii="Arial Narrow" w:eastAsia="Times New Roman" w:hAnsi="Arial Narrow" w:cs="Arial"/>
                <w:sz w:val="20"/>
                <w:szCs w:val="20"/>
                <w:lang w:val="en-CA" w:eastAsia="en-CA"/>
              </w:rPr>
              <w:t>-</w:t>
            </w:r>
          </w:p>
        </w:tc>
      </w:tr>
      <w:tr w:rsidR="00C3683A" w:rsidRPr="00387A34" w:rsidTr="005F0D3D">
        <w:trPr>
          <w:trHeight w:val="255"/>
          <w:jc w:val="center"/>
        </w:trPr>
        <w:tc>
          <w:tcPr>
            <w:tcW w:w="0" w:type="auto"/>
            <w:shd w:val="clear" w:color="000000" w:fill="FFFFFF"/>
            <w:noWrap/>
            <w:vAlign w:val="center"/>
            <w:hideMark/>
          </w:tcPr>
          <w:p w:rsidR="00C3683A" w:rsidRPr="00387A34" w:rsidRDefault="00C3683A" w:rsidP="00C3683A">
            <w:pPr>
              <w:spacing w:before="0" w:after="0"/>
              <w:rPr>
                <w:rFonts w:ascii="Arial Narrow" w:eastAsia="Times New Roman" w:hAnsi="Arial Narrow" w:cs="Times New Roman"/>
                <w:sz w:val="20"/>
                <w:szCs w:val="20"/>
                <w:lang w:val="en-CA" w:eastAsia="en-CA"/>
              </w:rPr>
            </w:pPr>
            <w:r w:rsidRPr="00387A34">
              <w:rPr>
                <w:rFonts w:ascii="Arial Narrow" w:eastAsia="Times New Roman" w:hAnsi="Arial Narrow" w:cs="Times New Roman"/>
                <w:sz w:val="20"/>
                <w:szCs w:val="20"/>
                <w:lang w:val="en-CA" w:eastAsia="en-CA"/>
              </w:rPr>
              <w:t>% non-Saudis</w:t>
            </w:r>
          </w:p>
        </w:tc>
        <w:tc>
          <w:tcPr>
            <w:tcW w:w="0" w:type="auto"/>
            <w:shd w:val="clear" w:color="000000" w:fill="FFFFFF"/>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54.1%</w:t>
            </w:r>
          </w:p>
        </w:tc>
        <w:tc>
          <w:tcPr>
            <w:tcW w:w="0" w:type="auto"/>
            <w:shd w:val="clear" w:color="000000" w:fill="FFFFFF"/>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54.3%</w:t>
            </w:r>
          </w:p>
        </w:tc>
        <w:tc>
          <w:tcPr>
            <w:tcW w:w="0" w:type="auto"/>
            <w:shd w:val="clear" w:color="000000" w:fill="FFFFFF"/>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54.4%</w:t>
            </w:r>
          </w:p>
        </w:tc>
        <w:tc>
          <w:tcPr>
            <w:tcW w:w="0" w:type="auto"/>
            <w:shd w:val="clear" w:color="000000" w:fill="FFFFFF"/>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53.5%</w:t>
            </w:r>
          </w:p>
        </w:tc>
        <w:tc>
          <w:tcPr>
            <w:tcW w:w="0" w:type="auto"/>
            <w:shd w:val="clear" w:color="000000" w:fill="FFFFFF"/>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53.1%</w:t>
            </w:r>
          </w:p>
        </w:tc>
        <w:tc>
          <w:tcPr>
            <w:tcW w:w="0" w:type="auto"/>
            <w:shd w:val="clear" w:color="000000" w:fill="FFFFFF"/>
            <w:noWrap/>
            <w:vAlign w:val="center"/>
            <w:hideMark/>
          </w:tcPr>
          <w:p w:rsidR="00C3683A" w:rsidRPr="00387A34" w:rsidRDefault="00C3683A" w:rsidP="00387A34">
            <w:pPr>
              <w:spacing w:before="0" w:after="0"/>
              <w:jc w:val="right"/>
              <w:rPr>
                <w:rFonts w:ascii="Arial Narrow" w:eastAsia="Times New Roman" w:hAnsi="Arial Narrow" w:cs="Arial"/>
                <w:sz w:val="20"/>
                <w:szCs w:val="20"/>
                <w:lang w:val="en-CA" w:eastAsia="en-CA"/>
              </w:rPr>
            </w:pPr>
            <w:r w:rsidRPr="00387A34">
              <w:rPr>
                <w:rFonts w:ascii="Arial Narrow" w:eastAsia="Times New Roman" w:hAnsi="Arial Narrow" w:cs="Arial"/>
                <w:sz w:val="20"/>
                <w:szCs w:val="20"/>
                <w:lang w:val="en-CA" w:eastAsia="en-CA"/>
              </w:rPr>
              <w:t>52.9%</w:t>
            </w:r>
          </w:p>
        </w:tc>
        <w:tc>
          <w:tcPr>
            <w:tcW w:w="0" w:type="auto"/>
            <w:shd w:val="clear" w:color="FFFFFF" w:fill="FFFFFF"/>
            <w:noWrap/>
            <w:vAlign w:val="center"/>
            <w:hideMark/>
          </w:tcPr>
          <w:p w:rsidR="00C3683A" w:rsidRPr="00387A34" w:rsidRDefault="00C3683A" w:rsidP="00C3683A">
            <w:pPr>
              <w:spacing w:before="0" w:after="0"/>
              <w:jc w:val="center"/>
              <w:rPr>
                <w:rFonts w:ascii="Arial Narrow" w:eastAsia="Times New Roman" w:hAnsi="Arial Narrow" w:cs="Arial"/>
                <w:sz w:val="20"/>
                <w:szCs w:val="20"/>
                <w:lang w:val="en-CA" w:eastAsia="en-CA"/>
              </w:rPr>
            </w:pPr>
            <w:r>
              <w:rPr>
                <w:rFonts w:ascii="Arial Narrow" w:eastAsia="Times New Roman" w:hAnsi="Arial Narrow" w:cs="Arial"/>
                <w:sz w:val="20"/>
                <w:szCs w:val="20"/>
                <w:lang w:val="en-CA" w:eastAsia="en-CA"/>
              </w:rPr>
              <w:t>-</w:t>
            </w:r>
          </w:p>
        </w:tc>
        <w:tc>
          <w:tcPr>
            <w:tcW w:w="0" w:type="auto"/>
            <w:shd w:val="clear" w:color="FFFFFF" w:fill="FFFFFF"/>
            <w:noWrap/>
            <w:vAlign w:val="center"/>
            <w:hideMark/>
          </w:tcPr>
          <w:p w:rsidR="00C3683A" w:rsidRPr="00387A34" w:rsidRDefault="00C3683A" w:rsidP="00C3683A">
            <w:pPr>
              <w:spacing w:before="0" w:after="0"/>
              <w:jc w:val="center"/>
              <w:rPr>
                <w:rFonts w:ascii="Arial Narrow" w:eastAsia="Times New Roman" w:hAnsi="Arial Narrow" w:cs="Arial"/>
                <w:sz w:val="20"/>
                <w:szCs w:val="20"/>
                <w:lang w:val="en-CA" w:eastAsia="en-CA"/>
              </w:rPr>
            </w:pPr>
            <w:r>
              <w:rPr>
                <w:rFonts w:ascii="Arial Narrow" w:eastAsia="Times New Roman" w:hAnsi="Arial Narrow" w:cs="Arial"/>
                <w:sz w:val="20"/>
                <w:szCs w:val="20"/>
                <w:lang w:val="en-CA" w:eastAsia="en-CA"/>
              </w:rPr>
              <w:t>-</w:t>
            </w:r>
          </w:p>
        </w:tc>
      </w:tr>
    </w:tbl>
    <w:p w:rsidR="00387A34" w:rsidRDefault="00387A34" w:rsidP="002D3FB3">
      <w:pPr>
        <w:spacing w:before="0" w:after="0"/>
        <w:rPr>
          <w:rFonts w:cs="TimesNewRoman"/>
          <w:sz w:val="18"/>
          <w:lang w:val="en-CA"/>
        </w:rPr>
      </w:pPr>
      <w:r w:rsidRPr="00387A34">
        <w:rPr>
          <w:rFonts w:cs="TimesNewRoman"/>
          <w:sz w:val="18"/>
          <w:lang w:val="en-CA"/>
        </w:rPr>
        <w:t xml:space="preserve">Note:  </w:t>
      </w:r>
      <w:proofErr w:type="gramStart"/>
      <w:r w:rsidRPr="00387A34">
        <w:rPr>
          <w:rFonts w:cs="TimesNewRoman"/>
          <w:sz w:val="18"/>
          <w:lang w:val="en-CA"/>
        </w:rPr>
        <w:t>r</w:t>
      </w:r>
      <w:r w:rsidR="00CA59BE">
        <w:rPr>
          <w:rFonts w:cs="TimesNewRoman"/>
          <w:sz w:val="18"/>
          <w:lang w:val="en-CA"/>
        </w:rPr>
        <w:t xml:space="preserve"> </w:t>
      </w:r>
      <w:r w:rsidRPr="00387A34">
        <w:rPr>
          <w:rFonts w:cs="TimesNewRoman"/>
          <w:sz w:val="18"/>
          <w:lang w:val="en-CA"/>
        </w:rPr>
        <w:t>:</w:t>
      </w:r>
      <w:proofErr w:type="gramEnd"/>
      <w:r w:rsidRPr="00387A34">
        <w:rPr>
          <w:rFonts w:cs="TimesNewRoman"/>
          <w:sz w:val="18"/>
          <w:lang w:val="en-CA"/>
        </w:rPr>
        <w:t xml:space="preserve">  revised;  p</w:t>
      </w:r>
      <w:r w:rsidR="00CA59BE">
        <w:rPr>
          <w:rFonts w:cs="TimesNewRoman"/>
          <w:sz w:val="18"/>
          <w:lang w:val="en-CA"/>
        </w:rPr>
        <w:t xml:space="preserve"> </w:t>
      </w:r>
      <w:r w:rsidRPr="00387A34">
        <w:rPr>
          <w:rFonts w:cs="TimesNewRoman"/>
          <w:sz w:val="18"/>
          <w:lang w:val="en-CA"/>
        </w:rPr>
        <w:t>:  preliminary estimates</w:t>
      </w:r>
      <w:r w:rsidR="00C3683A">
        <w:rPr>
          <w:rFonts w:cs="TimesNewRoman"/>
          <w:sz w:val="18"/>
          <w:lang w:val="en-CA"/>
        </w:rPr>
        <w:t>; -</w:t>
      </w:r>
      <w:r w:rsidR="00CA59BE">
        <w:rPr>
          <w:rFonts w:cs="TimesNewRoman"/>
          <w:sz w:val="18"/>
          <w:lang w:val="en-CA"/>
        </w:rPr>
        <w:t xml:space="preserve"> </w:t>
      </w:r>
      <w:r w:rsidR="00C3683A">
        <w:rPr>
          <w:rFonts w:cs="TimesNewRoman"/>
          <w:sz w:val="18"/>
          <w:lang w:val="en-CA"/>
        </w:rPr>
        <w:t>:  no data available</w:t>
      </w:r>
    </w:p>
    <w:p w:rsidR="00270B9C" w:rsidRDefault="00C3683A" w:rsidP="002D3FB3">
      <w:pPr>
        <w:spacing w:before="0" w:after="0"/>
        <w:rPr>
          <w:rFonts w:cs="TimesNewRoman"/>
          <w:lang w:val="en-CA"/>
        </w:rPr>
      </w:pPr>
      <w:r>
        <w:rPr>
          <w:rFonts w:cs="TimesNewRoman"/>
          <w:sz w:val="18"/>
          <w:lang w:val="en-CA"/>
        </w:rPr>
        <w:t xml:space="preserve">Source:  </w:t>
      </w:r>
      <w:r w:rsidR="00270B9C" w:rsidRPr="002D3FB3">
        <w:rPr>
          <w:rFonts w:cs="TimesNewRoman"/>
          <w:sz w:val="18"/>
          <w:lang w:val="en-CA"/>
        </w:rPr>
        <w:t>SA-MEP</w:t>
      </w:r>
      <w:r w:rsidR="00270B9C">
        <w:rPr>
          <w:rStyle w:val="FootnoteReference"/>
          <w:rFonts w:cs="TimesNewRoman"/>
          <w:lang w:val="en-CA"/>
        </w:rPr>
        <w:footnoteReference w:id="6"/>
      </w:r>
    </w:p>
    <w:p w:rsidR="00270B9C" w:rsidRDefault="00FC5FF9" w:rsidP="0004505C">
      <w:pPr>
        <w:rPr>
          <w:lang w:val="en-CA"/>
        </w:rPr>
      </w:pPr>
      <w:r>
        <w:rPr>
          <w:rFonts w:cs="TimesNewRoman"/>
          <w:lang w:val="en-CA"/>
        </w:rPr>
        <w:t xml:space="preserve">It is apparent </w:t>
      </w:r>
      <w:r w:rsidRPr="003E703F">
        <w:rPr>
          <w:rFonts w:cs="TimesNewRoman"/>
          <w:lang w:val="en-CA"/>
        </w:rPr>
        <w:t xml:space="preserve">that </w:t>
      </w:r>
      <w:r w:rsidR="005F0D3D" w:rsidRPr="003E703F">
        <w:rPr>
          <w:rFonts w:cs="TimesNewRoman"/>
          <w:lang w:val="en-CA"/>
        </w:rPr>
        <w:t xml:space="preserve">finding Saudi nationals to fill certain posts </w:t>
      </w:r>
      <w:r w:rsidR="00E9552C" w:rsidRPr="003E703F">
        <w:rPr>
          <w:rFonts w:cs="TimesNewRoman"/>
          <w:lang w:val="en-CA"/>
        </w:rPr>
        <w:t>that</w:t>
      </w:r>
      <w:r w:rsidR="005F0D3D" w:rsidRPr="003E703F">
        <w:rPr>
          <w:rFonts w:cs="TimesNewRoman"/>
          <w:lang w:val="en-CA"/>
        </w:rPr>
        <w:t xml:space="preserve"> </w:t>
      </w:r>
      <w:r w:rsidRPr="003E703F">
        <w:rPr>
          <w:rFonts w:cs="TimesNewRoman"/>
          <w:lang w:val="en-CA"/>
        </w:rPr>
        <w:t>demand specific skill sets has remained a challenge.</w:t>
      </w:r>
      <w:r>
        <w:rPr>
          <w:rFonts w:cs="TimesNewRoman"/>
          <w:lang w:val="en-CA"/>
        </w:rPr>
        <w:t xml:space="preserve">  </w:t>
      </w:r>
      <w:r w:rsidR="0004505C">
        <w:rPr>
          <w:lang w:val="en-CA"/>
        </w:rPr>
        <w:t xml:space="preserve">The portion of Table 3-1 for which data are complete is illustrated below in Figure 3-2.  </w:t>
      </w:r>
      <w:r w:rsidR="00C3683A">
        <w:rPr>
          <w:lang w:val="en-CA"/>
        </w:rPr>
        <w:t>The figure</w:t>
      </w:r>
      <w:r w:rsidR="0004505C">
        <w:rPr>
          <w:lang w:val="en-CA"/>
        </w:rPr>
        <w:t xml:space="preserve"> </w:t>
      </w:r>
      <w:r w:rsidR="005F0D3D">
        <w:rPr>
          <w:lang w:val="en-CA"/>
        </w:rPr>
        <w:t>illustrates the continuing</w:t>
      </w:r>
      <w:r w:rsidR="0004505C">
        <w:rPr>
          <w:lang w:val="en-CA"/>
        </w:rPr>
        <w:t xml:space="preserve"> </w:t>
      </w:r>
      <w:r w:rsidR="005F0D3D">
        <w:rPr>
          <w:lang w:val="en-CA"/>
        </w:rPr>
        <w:t xml:space="preserve">key </w:t>
      </w:r>
      <w:r w:rsidR="0004505C">
        <w:rPr>
          <w:lang w:val="en-CA"/>
        </w:rPr>
        <w:t xml:space="preserve">role of non-Saudi personnel in the Kingdom’s labour force.  While expatriates make up </w:t>
      </w:r>
      <w:r w:rsidR="005F0D3D">
        <w:rPr>
          <w:lang w:val="en-CA"/>
        </w:rPr>
        <w:t>almost one in three</w:t>
      </w:r>
      <w:r w:rsidR="0004505C">
        <w:rPr>
          <w:lang w:val="en-CA"/>
        </w:rPr>
        <w:t xml:space="preserve"> of the population</w:t>
      </w:r>
      <w:r w:rsidR="003F1775">
        <w:rPr>
          <w:lang w:val="en-CA"/>
        </w:rPr>
        <w:t xml:space="preserve"> (panel a)</w:t>
      </w:r>
      <w:r w:rsidR="0004505C">
        <w:rPr>
          <w:lang w:val="en-CA"/>
        </w:rPr>
        <w:t xml:space="preserve">, they account for more than </w:t>
      </w:r>
      <w:r w:rsidR="005F0D3D">
        <w:rPr>
          <w:lang w:val="en-CA"/>
        </w:rPr>
        <w:t xml:space="preserve">half of the working population </w:t>
      </w:r>
      <w:r w:rsidR="003F1775">
        <w:rPr>
          <w:lang w:val="en-CA"/>
        </w:rPr>
        <w:t>(panel b)</w:t>
      </w:r>
      <w:r w:rsidR="0004505C">
        <w:rPr>
          <w:lang w:val="en-CA"/>
        </w:rPr>
        <w:t>.</w:t>
      </w:r>
    </w:p>
    <w:p w:rsidR="0004505C" w:rsidRPr="00387A34" w:rsidRDefault="0004505C" w:rsidP="0004505C">
      <w:pPr>
        <w:pStyle w:val="Caption"/>
        <w:rPr>
          <w:lang w:val="en-CA"/>
        </w:rPr>
      </w:pPr>
      <w:bookmarkStart w:id="23" w:name="_Toc325871723"/>
      <w:r>
        <w:t xml:space="preserve">Figure </w:t>
      </w:r>
      <w:fldSimple w:instr=" STYLEREF 1 \s ">
        <w:r w:rsidR="00E41BFC">
          <w:rPr>
            <w:noProof/>
          </w:rPr>
          <w:t>3</w:t>
        </w:r>
      </w:fldSimple>
      <w:r w:rsidR="00E41BFC">
        <w:noBreakHyphen/>
      </w:r>
      <w:fldSimple w:instr=" SEQ Figure \* ARABIC \s 1 ">
        <w:r w:rsidR="00E41BFC">
          <w:rPr>
            <w:noProof/>
          </w:rPr>
          <w:t>3</w:t>
        </w:r>
      </w:fldSimple>
      <w:r>
        <w:t xml:space="preserve">  comparison of total and employed population shares, Saudi and non-Saudi persons</w:t>
      </w:r>
      <w:bookmarkEnd w:id="23"/>
    </w:p>
    <w:tbl>
      <w:tblPr>
        <w:tblStyle w:val="TableGrid"/>
        <w:tblW w:w="0" w:type="auto"/>
        <w:tblLook w:val="04A0"/>
      </w:tblPr>
      <w:tblGrid>
        <w:gridCol w:w="4776"/>
        <w:gridCol w:w="4915"/>
      </w:tblGrid>
      <w:tr w:rsidR="0004505C" w:rsidTr="00FC5FF9">
        <w:trPr>
          <w:trHeight w:val="3872"/>
        </w:trPr>
        <w:tc>
          <w:tcPr>
            <w:tcW w:w="3292" w:type="dxa"/>
          </w:tcPr>
          <w:p w:rsidR="0004505C" w:rsidRDefault="0004505C" w:rsidP="00FC5FF9">
            <w:r w:rsidRPr="0000441D">
              <w:rPr>
                <w:noProof/>
                <w:lang w:val="en-US"/>
              </w:rPr>
              <w:drawing>
                <wp:inline distT="0" distB="0" distL="0" distR="0">
                  <wp:extent cx="2853546" cy="2394333"/>
                  <wp:effectExtent l="19050" t="0" r="23004" b="5967"/>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128" w:type="dxa"/>
          </w:tcPr>
          <w:p w:rsidR="0004505C" w:rsidRDefault="0004505C" w:rsidP="00FC5FF9">
            <w:r w:rsidRPr="0000441D">
              <w:rPr>
                <w:noProof/>
                <w:lang w:val="en-US"/>
              </w:rPr>
              <w:drawing>
                <wp:inline distT="0" distB="0" distL="0" distR="0">
                  <wp:extent cx="2846189" cy="2380890"/>
                  <wp:effectExtent l="19050" t="0" r="11311" b="36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04505C" w:rsidTr="0004505C">
        <w:trPr>
          <w:trHeight w:val="105"/>
        </w:trPr>
        <w:tc>
          <w:tcPr>
            <w:tcW w:w="3292" w:type="dxa"/>
          </w:tcPr>
          <w:p w:rsidR="0004505C" w:rsidRPr="0000441D" w:rsidRDefault="0004505C" w:rsidP="0004505C">
            <w:r>
              <w:rPr>
                <w:sz w:val="18"/>
              </w:rPr>
              <w:t xml:space="preserve">Source;  </w:t>
            </w:r>
            <w:r w:rsidRPr="0004505C">
              <w:rPr>
                <w:sz w:val="18"/>
              </w:rPr>
              <w:t xml:space="preserve">Author’s compilation </w:t>
            </w:r>
            <w:r>
              <w:rPr>
                <w:sz w:val="18"/>
              </w:rPr>
              <w:t xml:space="preserve">from Table </w:t>
            </w:r>
            <w:r w:rsidR="00C3683A">
              <w:rPr>
                <w:sz w:val="18"/>
              </w:rPr>
              <w:t>3-1</w:t>
            </w:r>
          </w:p>
        </w:tc>
        <w:tc>
          <w:tcPr>
            <w:tcW w:w="5128" w:type="dxa"/>
          </w:tcPr>
          <w:p w:rsidR="0004505C" w:rsidRPr="0000441D" w:rsidRDefault="0004505C" w:rsidP="00FC5FF9"/>
        </w:tc>
      </w:tr>
    </w:tbl>
    <w:p w:rsidR="00B16181" w:rsidRPr="005F0AAA" w:rsidRDefault="00B16181" w:rsidP="005F0AAA">
      <w:pPr>
        <w:autoSpaceDE w:val="0"/>
        <w:autoSpaceDN w:val="0"/>
        <w:adjustRightInd w:val="0"/>
        <w:spacing w:before="0" w:after="0"/>
        <w:ind w:left="360"/>
        <w:rPr>
          <w:rFonts w:cs="TimesNewRoman"/>
          <w:lang w:val="en-CA"/>
        </w:rPr>
      </w:pPr>
    </w:p>
    <w:p w:rsidR="00E33409" w:rsidRDefault="00A41EEF" w:rsidP="00F07C1C">
      <w:r>
        <w:t>Despite years of government plans to bring more Saudi nationals into all sectors</w:t>
      </w:r>
      <w:r>
        <w:rPr>
          <w:lang w:val="en-CA"/>
        </w:rPr>
        <w:t xml:space="preserve">, </w:t>
      </w:r>
      <w:r>
        <w:t>according to some observers</w:t>
      </w:r>
      <w:r w:rsidR="00D10167">
        <w:t xml:space="preserve"> the private sector in particular is increasingly turning to non-nationals, because their salary expectations are lower, </w:t>
      </w:r>
      <w:r w:rsidR="007D5296">
        <w:t xml:space="preserve">while </w:t>
      </w:r>
      <w:r w:rsidR="00D10167">
        <w:t xml:space="preserve">many are </w:t>
      </w:r>
      <w:r w:rsidR="007D5296">
        <w:t xml:space="preserve">also </w:t>
      </w:r>
      <w:r w:rsidR="00D10167">
        <w:t xml:space="preserve">highly skilled </w:t>
      </w:r>
      <w:r w:rsidR="00D96907">
        <w:fldChar w:fldCharType="begin"/>
      </w:r>
      <w:r w:rsidR="002B3DEF">
        <w:instrText xml:space="preserve"> ADDIN EN.CITE &lt;EndNote&gt;&lt;Cite&gt;&lt;Author&gt;Sfakianakis&lt;/Author&gt;&lt;Year&gt;2011&lt;/Year&gt;&lt;RecNum&gt;1067&lt;/RecNum&gt;&lt;record&gt;&lt;rec-number&gt;1067&lt;/rec-number&gt;&lt;ref-type name="Newspaper Article"&gt;23&lt;/ref-type&gt;&lt;contributors&gt;&lt;authors&gt;&lt;author&gt;John Sfakianakis&lt;/author&gt;&lt;/authors&gt;&lt;/contributors&gt;&lt;titles&gt;&lt;title&gt;New employment rules to shake up Saudi private sector&lt;/title&gt;&lt;secondary-title&gt;Arab News&lt;/secondary-title&gt;&lt;/titles&gt;&lt;dates&gt;&lt;year&gt;2011&lt;/year&gt;&lt;pub-dates&gt;&lt;date&gt;June 15, 2011&lt;/date&gt;&lt;/pub-dates&gt;&lt;/dates&gt;&lt;pub-location&gt;Riyadh&lt;/pub-location&gt;&lt;urls&gt;&lt;related-urls&gt;&lt;url&gt;http://arabnews.com/economy/article454902.ece&lt;/url&gt;&lt;/related-urls&gt;&lt;/urls&gt;&lt;/record&gt;&lt;/Cite&gt;&lt;/EndNote&gt;</w:instrText>
      </w:r>
      <w:r w:rsidR="00D96907">
        <w:fldChar w:fldCharType="separate"/>
      </w:r>
      <w:r w:rsidR="00D10167">
        <w:t>(Sfakianakis 2011)</w:t>
      </w:r>
      <w:r w:rsidR="00D96907">
        <w:fldChar w:fldCharType="end"/>
      </w:r>
      <w:r w:rsidR="00D10167">
        <w:t xml:space="preserve">.  </w:t>
      </w:r>
    </w:p>
    <w:p w:rsidR="00F07C1C" w:rsidRDefault="00F07C1C" w:rsidP="00F07C1C">
      <w:pPr>
        <w:rPr>
          <w:lang w:val="en-CA"/>
        </w:rPr>
      </w:pPr>
      <w:r>
        <w:rPr>
          <w:lang w:val="en-CA"/>
        </w:rPr>
        <w:t xml:space="preserve">A new plan launched in 2011, to reward firms that </w:t>
      </w:r>
      <w:r w:rsidR="00F84335">
        <w:rPr>
          <w:lang w:val="en-CA"/>
        </w:rPr>
        <w:t>complied with required</w:t>
      </w:r>
      <w:r>
        <w:rPr>
          <w:lang w:val="en-CA"/>
        </w:rPr>
        <w:t xml:space="preserve"> </w:t>
      </w:r>
      <w:proofErr w:type="spellStart"/>
      <w:r>
        <w:rPr>
          <w:lang w:val="en-CA"/>
        </w:rPr>
        <w:t>Saudization</w:t>
      </w:r>
      <w:proofErr w:type="spellEnd"/>
      <w:r>
        <w:rPr>
          <w:lang w:val="en-CA"/>
        </w:rPr>
        <w:t xml:space="preserve"> rates, was not meeting targets within deadlines set by government </w:t>
      </w:r>
      <w:r w:rsidR="00D96907">
        <w:rPr>
          <w:lang w:val="en-CA"/>
        </w:rPr>
        <w:fldChar w:fldCharType="begin"/>
      </w:r>
      <w:r w:rsidR="002B3DEF">
        <w:rPr>
          <w:lang w:val="en-CA"/>
        </w:rPr>
        <w:instrText xml:space="preserve"> ADDIN EN.CITE &lt;EndNote&gt;&lt;Cite&gt;&lt;Author&gt;Mohapatra&lt;/Author&gt;&lt;Year&gt;2011&lt;/Year&gt;&lt;RecNum&gt;1077&lt;/RecNum&gt;&lt;record&gt;&lt;rec-number&gt;1077&lt;/rec-number&gt;&lt;ref-type name="Electronic Article"&gt;43&lt;/ref-type&gt;&lt;contributors&gt;&lt;authors&gt;&lt;author&gt;Sanket Mohapatra&lt;/author&gt;&lt;/authors&gt;&lt;/contributors&gt;&lt;titles&gt;&lt;title&gt;Implications of “Nitaqat”, Saudi Arabia&amp;apos;s Indigenization Program, Likely to be Modest for Migrants&lt;/title&gt;&lt;secondary-title&gt;blogs.worldbank.org&lt;/secondary-title&gt;&lt;/titles&gt;&lt;periodical&gt;&lt;full-title&gt;blogs.worldbank.org&lt;/full-title&gt;&lt;/periodical&gt;&lt;number&gt;28 September 2011&lt;/number&gt;&lt;dates&gt;&lt;year&gt;2011&lt;/year&gt;&lt;pub-dates&gt;&lt;date&gt;10 April 2012&lt;/date&gt;&lt;/pub-dates&gt;&lt;/dates&gt;&lt;urls&gt;&lt;related-urls&gt;&lt;url&gt;http://blogs.worldbank.org/peoplemove/node/1392&lt;/url&gt;&lt;/related-urls&gt;&lt;/urls&gt;&lt;/record&gt;&lt;/Cite&gt;&lt;/EndNote&gt;</w:instrText>
      </w:r>
      <w:r w:rsidR="00D96907">
        <w:rPr>
          <w:lang w:val="en-CA"/>
        </w:rPr>
        <w:fldChar w:fldCharType="separate"/>
      </w:r>
      <w:r>
        <w:rPr>
          <w:lang w:val="en-CA"/>
        </w:rPr>
        <w:t>(Mohapatra 2011)</w:t>
      </w:r>
      <w:r w:rsidR="00D96907">
        <w:rPr>
          <w:lang w:val="en-CA"/>
        </w:rPr>
        <w:fldChar w:fldCharType="end"/>
      </w:r>
      <w:r>
        <w:rPr>
          <w:lang w:val="en-CA"/>
        </w:rPr>
        <w:t xml:space="preserve">.  </w:t>
      </w:r>
      <w:r w:rsidR="00310B01">
        <w:rPr>
          <w:lang w:val="en-CA"/>
        </w:rPr>
        <w:t xml:space="preserve">The new plan, called </w:t>
      </w:r>
      <w:proofErr w:type="spellStart"/>
      <w:r w:rsidR="00310B01">
        <w:rPr>
          <w:lang w:val="en-CA"/>
        </w:rPr>
        <w:t>Nitaqat</w:t>
      </w:r>
      <w:proofErr w:type="spellEnd"/>
      <w:r w:rsidR="00310B01">
        <w:rPr>
          <w:lang w:val="en-CA"/>
        </w:rPr>
        <w:t>, applies colour codes to firms according to their compliance, with requirements varying from segment to segment.  For example, quotas for Saudis employed are above 6 percent for construction jobs, 30 percent for the oil and gas sector, and as high as 50 percent for the financial sector.</w:t>
      </w:r>
      <w:r w:rsidR="00F84335">
        <w:rPr>
          <w:lang w:val="en-CA"/>
        </w:rPr>
        <w:t xml:space="preserve"> Firms that do not meet their quotas will be unable to renew their expatriate workers’ visas.</w:t>
      </w:r>
      <w:r w:rsidR="00E33409">
        <w:rPr>
          <w:rStyle w:val="FootnoteReference"/>
          <w:lang w:val="en-CA"/>
        </w:rPr>
        <w:footnoteReference w:id="7"/>
      </w:r>
      <w:r w:rsidR="00F84335">
        <w:rPr>
          <w:lang w:val="en-CA"/>
        </w:rPr>
        <w:t xml:space="preserve">  The new rules put Saudi workers in high demand; nevertheless</w:t>
      </w:r>
      <w:r w:rsidR="00F84335">
        <w:t xml:space="preserve">, </w:t>
      </w:r>
      <w:r w:rsidR="00F84335">
        <w:rPr>
          <w:lang w:val="en-CA"/>
        </w:rPr>
        <w:t xml:space="preserve">employers still appeared frustrated in matching potential employees with available jobs at the prevailing wages. </w:t>
      </w:r>
      <w:r w:rsidR="00D96907">
        <w:rPr>
          <w:lang w:val="en-CA"/>
        </w:rPr>
        <w:fldChar w:fldCharType="begin"/>
      </w:r>
      <w:r w:rsidR="002B3DEF">
        <w:rPr>
          <w:lang w:val="en-CA"/>
        </w:rPr>
        <w:instrText xml:space="preserve"> ADDIN EN.CITE &lt;EndNote&gt;&lt;Cite&gt;&lt;Author&gt;Hasan&lt;/Author&gt;&lt;Year&gt;2012&lt;/Year&gt;&lt;RecNum&gt;1078&lt;/RecNum&gt;&lt;Suffix&gt;, p. 21&lt;/Suffix&gt;&lt;record&gt;&lt;rec-number&gt;1078&lt;/rec-number&gt;&lt;ref-type name="Electronic Article"&gt;43&lt;/ref-type&gt;&lt;contributors&gt;&lt;authors&gt;&lt;author&gt;Faisal Hasan&lt;/author&gt;&lt;author&gt;Naveed Ahmed&lt;/author&gt;&lt;/authors&gt;&lt;/contributors&gt;&lt;titles&gt;&lt;title&gt;KSA Economic Overview&lt;/title&gt;&lt;secondary-title&gt;Global Research Economy&lt;/secondary-title&gt;&lt;/titles&gt;&lt;periodical&gt;&lt;full-title&gt;Global Research Economy&lt;/full-title&gt;&lt;/periodical&gt;&lt;number&gt;Saudi Arabia February 2012&lt;/number&gt;&lt;dates&gt;&lt;year&gt;2012&lt;/year&gt;&lt;pub-dates&gt;&lt;date&gt;12 April 2012&lt;/date&gt;&lt;/pub-dates&gt;&lt;/dates&gt;&lt;urls&gt;&lt;related-urls&gt;&lt;url&gt; http://www.globalinv.net/research/KSA-economic-overview-022012.pdf&lt;/url&gt;&lt;/related-urls&gt;&lt;/urls&gt;&lt;/record&gt;&lt;/Cite&gt;&lt;/EndNote&gt;</w:instrText>
      </w:r>
      <w:r w:rsidR="00D96907">
        <w:rPr>
          <w:lang w:val="en-CA"/>
        </w:rPr>
        <w:fldChar w:fldCharType="separate"/>
      </w:r>
      <w:r w:rsidR="00FB03D1">
        <w:rPr>
          <w:lang w:val="en-CA"/>
        </w:rPr>
        <w:t>(Hasan and Ahmed 2012, p. 21)</w:t>
      </w:r>
      <w:r w:rsidR="00D96907">
        <w:rPr>
          <w:lang w:val="en-CA"/>
        </w:rPr>
        <w:fldChar w:fldCharType="end"/>
      </w:r>
    </w:p>
    <w:p w:rsidR="004355EC" w:rsidRDefault="00A41EEF" w:rsidP="00C3683A">
      <w:r>
        <w:t>As this section has underlined, the CP was carried out during a period of impressive growth, significant diversification within the economy, and persistent problems of a mismatch between</w:t>
      </w:r>
      <w:r w:rsidR="00CC26F2">
        <w:t xml:space="preserve"> jobs and </w:t>
      </w:r>
      <w:r>
        <w:t>skills</w:t>
      </w:r>
      <w:r w:rsidR="00CC26F2">
        <w:t xml:space="preserve"> in the domestic labour market, resulting in continuing reliance on expatriate personnel in several segments.</w:t>
      </w:r>
    </w:p>
    <w:p w:rsidR="00304D0B" w:rsidRDefault="00CC26F2" w:rsidP="00C3683A">
      <w:r>
        <w:t>Turning</w:t>
      </w:r>
      <w:r w:rsidR="00304D0B">
        <w:t xml:space="preserve"> to the outcome indicators adopted by the CPD for the 20</w:t>
      </w:r>
      <w:r>
        <w:t xml:space="preserve">07-2011 </w:t>
      </w:r>
      <w:proofErr w:type="gramStart"/>
      <w:r>
        <w:t>period</w:t>
      </w:r>
      <w:proofErr w:type="gramEnd"/>
      <w:r>
        <w:t>, we look specifically at FDI and tourism, in the context of the situation described in the foregoing section.</w:t>
      </w:r>
    </w:p>
    <w:p w:rsidR="006C7084" w:rsidRDefault="00C73AF9" w:rsidP="00C73AF9">
      <w:pPr>
        <w:pStyle w:val="Heading2"/>
        <w:rPr>
          <w:lang w:val="en-CA"/>
        </w:rPr>
      </w:pPr>
      <w:bookmarkStart w:id="24" w:name="_Toc325871767"/>
      <w:r>
        <w:rPr>
          <w:lang w:val="en-CA"/>
        </w:rPr>
        <w:t xml:space="preserve">3.2. </w:t>
      </w:r>
      <w:r w:rsidR="00980442">
        <w:rPr>
          <w:lang w:val="en-CA"/>
        </w:rPr>
        <w:t xml:space="preserve">Outcome </w:t>
      </w:r>
      <w:r w:rsidR="006C7084" w:rsidRPr="00C73AF9">
        <w:t>Indicators</w:t>
      </w:r>
      <w:bookmarkEnd w:id="24"/>
    </w:p>
    <w:p w:rsidR="006C7084" w:rsidRDefault="006C7084" w:rsidP="00C73AF9">
      <w:pPr>
        <w:pStyle w:val="Heading4"/>
        <w:numPr>
          <w:ilvl w:val="2"/>
          <w:numId w:val="16"/>
        </w:numPr>
        <w:rPr>
          <w:lang w:val="en-CA"/>
        </w:rPr>
      </w:pPr>
      <w:bookmarkStart w:id="25" w:name="_Toc325871768"/>
      <w:r>
        <w:rPr>
          <w:lang w:val="en-CA"/>
        </w:rPr>
        <w:t xml:space="preserve">Growth of </w:t>
      </w:r>
      <w:r w:rsidR="00AE7626">
        <w:rPr>
          <w:lang w:val="en-CA"/>
        </w:rPr>
        <w:t>FDI</w:t>
      </w:r>
      <w:bookmarkEnd w:id="25"/>
      <w:r w:rsidR="00B16181" w:rsidRPr="00B16181">
        <w:rPr>
          <w:lang w:val="en-CA"/>
        </w:rPr>
        <w:t xml:space="preserve"> </w:t>
      </w:r>
    </w:p>
    <w:p w:rsidR="00AE7626" w:rsidRDefault="003C74AA" w:rsidP="007F7D73">
      <w:pPr>
        <w:rPr>
          <w:lang w:val="en-CA"/>
        </w:rPr>
      </w:pPr>
      <w:r>
        <w:rPr>
          <w:lang w:val="en-CA"/>
        </w:rPr>
        <w:t xml:space="preserve">As the graph in Figure </w:t>
      </w:r>
      <w:r w:rsidR="00304D0B">
        <w:rPr>
          <w:lang w:val="en-CA"/>
        </w:rPr>
        <w:t>3-3</w:t>
      </w:r>
      <w:r>
        <w:rPr>
          <w:lang w:val="en-CA"/>
        </w:rPr>
        <w:t xml:space="preserve"> shows, </w:t>
      </w:r>
      <w:r w:rsidR="00304D0B">
        <w:rPr>
          <w:lang w:val="en-CA"/>
        </w:rPr>
        <w:t>foreign direct investment</w:t>
      </w:r>
      <w:r w:rsidR="00B45350">
        <w:rPr>
          <w:lang w:val="en-CA"/>
        </w:rPr>
        <w:t xml:space="preserve"> </w:t>
      </w:r>
      <w:r w:rsidR="00B16181">
        <w:rPr>
          <w:lang w:val="en-CA"/>
        </w:rPr>
        <w:t>grew</w:t>
      </w:r>
      <w:r w:rsidR="00B45350">
        <w:rPr>
          <w:lang w:val="en-CA"/>
        </w:rPr>
        <w:t xml:space="preserve"> by more than the target 15 percent</w:t>
      </w:r>
      <w:r w:rsidR="003363D8">
        <w:rPr>
          <w:lang w:val="en-CA"/>
        </w:rPr>
        <w:t xml:space="preserve"> </w:t>
      </w:r>
      <w:r w:rsidR="007D5296">
        <w:rPr>
          <w:lang w:val="en-CA"/>
        </w:rPr>
        <w:t>called for in the CPAP.  B</w:t>
      </w:r>
      <w:r w:rsidR="00B16181">
        <w:rPr>
          <w:lang w:val="en-CA"/>
        </w:rPr>
        <w:t xml:space="preserve">y 2010, FDI had grown </w:t>
      </w:r>
      <w:r w:rsidR="003363D8">
        <w:rPr>
          <w:lang w:val="en-CA"/>
        </w:rPr>
        <w:t>by 23 percent, according to the latest data available</w:t>
      </w:r>
      <w:r w:rsidR="00B45350">
        <w:rPr>
          <w:lang w:val="en-CA"/>
        </w:rPr>
        <w:t xml:space="preserve">.  </w:t>
      </w:r>
      <w:r w:rsidR="007F7D73">
        <w:rPr>
          <w:lang w:val="en-CA"/>
        </w:rPr>
        <w:t>In 2010, the country attracted more than $28 billion of foreign investment.</w:t>
      </w:r>
    </w:p>
    <w:p w:rsidR="007F7D73" w:rsidRDefault="007F7D73" w:rsidP="007F7D73">
      <w:pPr>
        <w:pStyle w:val="Caption"/>
        <w:rPr>
          <w:lang w:val="en-CA"/>
        </w:rPr>
      </w:pPr>
      <w:bookmarkStart w:id="26" w:name="_Toc325871724"/>
      <w:proofErr w:type="gramStart"/>
      <w:r>
        <w:t xml:space="preserve">Figure </w:t>
      </w:r>
      <w:fldSimple w:instr=" STYLEREF 1 \s ">
        <w:r w:rsidR="00E41BFC">
          <w:rPr>
            <w:noProof/>
          </w:rPr>
          <w:t>3</w:t>
        </w:r>
      </w:fldSimple>
      <w:r w:rsidR="00E41BFC">
        <w:noBreakHyphen/>
      </w:r>
      <w:fldSimple w:instr=" SEQ Figure \* ARABIC \s 1 ">
        <w:r w:rsidR="00E41BFC">
          <w:rPr>
            <w:noProof/>
          </w:rPr>
          <w:t>4</w:t>
        </w:r>
      </w:fldSimple>
      <w:r>
        <w:t>.</w:t>
      </w:r>
      <w:proofErr w:type="gramEnd"/>
      <w:r>
        <w:t xml:space="preserve"> Foreign direct investment, 2007-10</w:t>
      </w:r>
      <w:bookmarkEnd w:id="26"/>
    </w:p>
    <w:p w:rsidR="003C74AA" w:rsidRDefault="003363D8" w:rsidP="003363D8">
      <w:pPr>
        <w:jc w:val="center"/>
        <w:rPr>
          <w:lang w:val="en-CA"/>
        </w:rPr>
      </w:pPr>
      <w:r w:rsidRPr="003363D8">
        <w:rPr>
          <w:noProof/>
          <w:lang w:val="en-US"/>
        </w:rPr>
        <w:drawing>
          <wp:inline distT="0" distB="0" distL="0" distR="0">
            <wp:extent cx="4572000" cy="2746375"/>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B184E" w:rsidRDefault="000B184E" w:rsidP="003363D8">
      <w:pPr>
        <w:jc w:val="center"/>
        <w:rPr>
          <w:lang w:val="en-CA"/>
        </w:rPr>
      </w:pPr>
    </w:p>
    <w:tbl>
      <w:tblPr>
        <w:tblW w:w="0" w:type="auto"/>
        <w:jc w:val="center"/>
        <w:tblInd w:w="103" w:type="dxa"/>
        <w:tblLook w:val="04A0"/>
      </w:tblPr>
      <w:tblGrid>
        <w:gridCol w:w="1462"/>
        <w:gridCol w:w="819"/>
        <w:gridCol w:w="819"/>
        <w:gridCol w:w="819"/>
        <w:gridCol w:w="819"/>
      </w:tblGrid>
      <w:tr w:rsidR="00B45350" w:rsidRPr="00B45350" w:rsidTr="00B45350">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350" w:rsidRPr="00B45350" w:rsidRDefault="00B45350" w:rsidP="00B45350">
            <w:pPr>
              <w:spacing w:before="0" w:after="0"/>
              <w:rPr>
                <w:rFonts w:ascii="Arial" w:eastAsia="Times New Roman" w:hAnsi="Arial" w:cs="Arial"/>
                <w:sz w:val="16"/>
                <w:szCs w:val="16"/>
                <w:lang w:val="en-CA" w:eastAsia="en-CA"/>
              </w:rPr>
            </w:pPr>
            <w:r w:rsidRPr="00B45350">
              <w:rPr>
                <w:rFonts w:ascii="Arial" w:eastAsia="Times New Roman" w:hAnsi="Arial" w:cs="Arial"/>
                <w:sz w:val="16"/>
                <w:szCs w:val="16"/>
                <w:lang w:val="en-CA" w:eastAsia="en-CA"/>
              </w:rPr>
              <w:t> </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B45350" w:rsidRPr="00B45350" w:rsidRDefault="00B45350" w:rsidP="00B45350">
            <w:pPr>
              <w:spacing w:before="0" w:after="0"/>
              <w:jc w:val="center"/>
              <w:rPr>
                <w:rFonts w:ascii="Arial" w:eastAsia="Times New Roman" w:hAnsi="Arial" w:cs="Arial"/>
                <w:sz w:val="16"/>
                <w:szCs w:val="16"/>
                <w:lang w:val="en-CA" w:eastAsia="en-CA"/>
              </w:rPr>
            </w:pPr>
            <w:r w:rsidRPr="00B45350">
              <w:rPr>
                <w:rFonts w:ascii="Arial" w:eastAsia="Times New Roman" w:hAnsi="Arial" w:cs="Arial"/>
                <w:sz w:val="16"/>
                <w:szCs w:val="16"/>
                <w:lang w:val="en-CA" w:eastAsia="en-CA"/>
              </w:rPr>
              <w:t>FDI Inflows, 2007-10 (current $US millions)</w:t>
            </w:r>
          </w:p>
        </w:tc>
      </w:tr>
      <w:tr w:rsidR="00B45350" w:rsidRPr="00B45350" w:rsidTr="00B45350">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45350" w:rsidRPr="00B45350" w:rsidRDefault="00B45350" w:rsidP="00B45350">
            <w:pPr>
              <w:spacing w:before="0" w:after="0"/>
              <w:rPr>
                <w:rFonts w:ascii="Arial" w:eastAsia="Times New Roman" w:hAnsi="Arial" w:cs="Arial"/>
                <w:sz w:val="16"/>
                <w:szCs w:val="16"/>
                <w:lang w:val="en-CA" w:eastAsia="en-CA"/>
              </w:rPr>
            </w:pPr>
            <w:r w:rsidRPr="00B45350">
              <w:rPr>
                <w:rFonts w:ascii="Arial" w:eastAsia="Times New Roman" w:hAnsi="Arial" w:cs="Arial"/>
                <w:sz w:val="16"/>
                <w:szCs w:val="16"/>
                <w:lang w:val="en-CA" w:eastAsia="en-CA"/>
              </w:rPr>
              <w:t> </w:t>
            </w:r>
          </w:p>
        </w:tc>
        <w:tc>
          <w:tcPr>
            <w:tcW w:w="0" w:type="auto"/>
            <w:tcBorders>
              <w:top w:val="nil"/>
              <w:left w:val="nil"/>
              <w:bottom w:val="single" w:sz="4" w:space="0" w:color="auto"/>
              <w:right w:val="single" w:sz="4" w:space="0" w:color="auto"/>
            </w:tcBorders>
            <w:shd w:val="clear" w:color="auto" w:fill="auto"/>
            <w:noWrap/>
            <w:vAlign w:val="center"/>
            <w:hideMark/>
          </w:tcPr>
          <w:p w:rsidR="00B45350" w:rsidRPr="00B45350" w:rsidRDefault="00B45350" w:rsidP="00B45350">
            <w:pPr>
              <w:spacing w:before="0" w:after="0"/>
              <w:jc w:val="center"/>
              <w:rPr>
                <w:rFonts w:ascii="Arial" w:eastAsia="Times New Roman" w:hAnsi="Arial" w:cs="Arial"/>
                <w:sz w:val="16"/>
                <w:szCs w:val="16"/>
                <w:lang w:val="en-CA" w:eastAsia="en-CA"/>
              </w:rPr>
            </w:pPr>
            <w:r w:rsidRPr="00B45350">
              <w:rPr>
                <w:rFonts w:ascii="Arial" w:eastAsia="Times New Roman" w:hAnsi="Arial" w:cs="Arial"/>
                <w:sz w:val="16"/>
                <w:szCs w:val="16"/>
                <w:lang w:val="en-CA" w:eastAsia="en-CA"/>
              </w:rPr>
              <w:t>2007</w:t>
            </w:r>
          </w:p>
        </w:tc>
        <w:tc>
          <w:tcPr>
            <w:tcW w:w="0" w:type="auto"/>
            <w:tcBorders>
              <w:top w:val="nil"/>
              <w:left w:val="nil"/>
              <w:bottom w:val="single" w:sz="4" w:space="0" w:color="auto"/>
              <w:right w:val="single" w:sz="4" w:space="0" w:color="auto"/>
            </w:tcBorders>
            <w:shd w:val="clear" w:color="auto" w:fill="auto"/>
            <w:noWrap/>
            <w:vAlign w:val="center"/>
            <w:hideMark/>
          </w:tcPr>
          <w:p w:rsidR="00B45350" w:rsidRPr="00B45350" w:rsidRDefault="00B45350" w:rsidP="00B45350">
            <w:pPr>
              <w:spacing w:before="0" w:after="0"/>
              <w:jc w:val="center"/>
              <w:rPr>
                <w:rFonts w:ascii="Arial" w:eastAsia="Times New Roman" w:hAnsi="Arial" w:cs="Arial"/>
                <w:sz w:val="16"/>
                <w:szCs w:val="16"/>
                <w:lang w:val="en-CA" w:eastAsia="en-CA"/>
              </w:rPr>
            </w:pPr>
            <w:r w:rsidRPr="00B45350">
              <w:rPr>
                <w:rFonts w:ascii="Arial" w:eastAsia="Times New Roman" w:hAnsi="Arial" w:cs="Arial"/>
                <w:sz w:val="16"/>
                <w:szCs w:val="16"/>
                <w:lang w:val="en-CA" w:eastAsia="en-CA"/>
              </w:rPr>
              <w:t>2008</w:t>
            </w:r>
          </w:p>
        </w:tc>
        <w:tc>
          <w:tcPr>
            <w:tcW w:w="0" w:type="auto"/>
            <w:tcBorders>
              <w:top w:val="nil"/>
              <w:left w:val="nil"/>
              <w:bottom w:val="single" w:sz="4" w:space="0" w:color="auto"/>
              <w:right w:val="single" w:sz="4" w:space="0" w:color="auto"/>
            </w:tcBorders>
            <w:shd w:val="clear" w:color="auto" w:fill="auto"/>
            <w:noWrap/>
            <w:vAlign w:val="center"/>
            <w:hideMark/>
          </w:tcPr>
          <w:p w:rsidR="00B45350" w:rsidRPr="00B45350" w:rsidRDefault="00B45350" w:rsidP="00B45350">
            <w:pPr>
              <w:spacing w:before="0" w:after="0"/>
              <w:jc w:val="center"/>
              <w:rPr>
                <w:rFonts w:ascii="Arial" w:eastAsia="Times New Roman" w:hAnsi="Arial" w:cs="Arial"/>
                <w:sz w:val="16"/>
                <w:szCs w:val="16"/>
                <w:lang w:val="en-CA" w:eastAsia="en-CA"/>
              </w:rPr>
            </w:pPr>
            <w:r w:rsidRPr="00B45350">
              <w:rPr>
                <w:rFonts w:ascii="Arial" w:eastAsia="Times New Roman" w:hAnsi="Arial" w:cs="Arial"/>
                <w:sz w:val="16"/>
                <w:szCs w:val="16"/>
                <w:lang w:val="en-CA" w:eastAsia="en-CA"/>
              </w:rPr>
              <w:t>2009</w:t>
            </w:r>
          </w:p>
        </w:tc>
        <w:tc>
          <w:tcPr>
            <w:tcW w:w="0" w:type="auto"/>
            <w:tcBorders>
              <w:top w:val="nil"/>
              <w:left w:val="nil"/>
              <w:bottom w:val="single" w:sz="4" w:space="0" w:color="auto"/>
              <w:right w:val="single" w:sz="4" w:space="0" w:color="auto"/>
            </w:tcBorders>
            <w:shd w:val="clear" w:color="auto" w:fill="auto"/>
            <w:noWrap/>
            <w:vAlign w:val="center"/>
            <w:hideMark/>
          </w:tcPr>
          <w:p w:rsidR="00B45350" w:rsidRPr="00B45350" w:rsidRDefault="00B45350" w:rsidP="00B45350">
            <w:pPr>
              <w:spacing w:before="0" w:after="0"/>
              <w:jc w:val="center"/>
              <w:rPr>
                <w:rFonts w:ascii="Arial" w:eastAsia="Times New Roman" w:hAnsi="Arial" w:cs="Arial"/>
                <w:sz w:val="16"/>
                <w:szCs w:val="16"/>
                <w:lang w:val="en-CA" w:eastAsia="en-CA"/>
              </w:rPr>
            </w:pPr>
            <w:r w:rsidRPr="00B45350">
              <w:rPr>
                <w:rFonts w:ascii="Arial" w:eastAsia="Times New Roman" w:hAnsi="Arial" w:cs="Arial"/>
                <w:sz w:val="16"/>
                <w:szCs w:val="16"/>
                <w:lang w:val="en-CA" w:eastAsia="en-CA"/>
              </w:rPr>
              <w:t>2010</w:t>
            </w:r>
          </w:p>
        </w:tc>
      </w:tr>
      <w:tr w:rsidR="00B45350" w:rsidRPr="00B45350" w:rsidTr="00B45350">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45350" w:rsidRPr="00B45350" w:rsidRDefault="00B45350" w:rsidP="00B45350">
            <w:pPr>
              <w:spacing w:before="0" w:after="0"/>
              <w:rPr>
                <w:rFonts w:ascii="Arial" w:eastAsia="Times New Roman" w:hAnsi="Arial" w:cs="Arial"/>
                <w:sz w:val="16"/>
                <w:szCs w:val="16"/>
                <w:lang w:val="en-CA" w:eastAsia="en-CA"/>
              </w:rPr>
            </w:pPr>
            <w:r w:rsidRPr="00B45350">
              <w:rPr>
                <w:rFonts w:ascii="Arial" w:eastAsia="Times New Roman" w:hAnsi="Arial" w:cs="Arial"/>
                <w:sz w:val="16"/>
                <w:szCs w:val="16"/>
                <w:lang w:val="en-CA" w:eastAsia="en-CA"/>
              </w:rPr>
              <w:t>FDI Inflows</w:t>
            </w:r>
          </w:p>
        </w:tc>
        <w:tc>
          <w:tcPr>
            <w:tcW w:w="0" w:type="auto"/>
            <w:tcBorders>
              <w:top w:val="nil"/>
              <w:left w:val="nil"/>
              <w:bottom w:val="single" w:sz="4" w:space="0" w:color="auto"/>
              <w:right w:val="single" w:sz="4" w:space="0" w:color="auto"/>
            </w:tcBorders>
            <w:shd w:val="clear" w:color="auto" w:fill="auto"/>
            <w:noWrap/>
            <w:vAlign w:val="bottom"/>
            <w:hideMark/>
          </w:tcPr>
          <w:p w:rsidR="00B45350" w:rsidRPr="00B45350" w:rsidRDefault="00B45350" w:rsidP="00B45350">
            <w:pPr>
              <w:spacing w:before="0" w:after="0"/>
              <w:jc w:val="right"/>
              <w:rPr>
                <w:rFonts w:ascii="Arial" w:eastAsia="Times New Roman" w:hAnsi="Arial" w:cs="Arial"/>
                <w:sz w:val="16"/>
                <w:szCs w:val="16"/>
                <w:lang w:val="en-CA" w:eastAsia="en-CA"/>
              </w:rPr>
            </w:pPr>
            <w:r w:rsidRPr="00B45350">
              <w:rPr>
                <w:rFonts w:ascii="Arial" w:eastAsia="Times New Roman" w:hAnsi="Arial" w:cs="Arial"/>
                <w:sz w:val="16"/>
                <w:szCs w:val="16"/>
                <w:lang w:val="en-CA" w:eastAsia="en-CA"/>
              </w:rPr>
              <w:t>22,821</w:t>
            </w:r>
          </w:p>
        </w:tc>
        <w:tc>
          <w:tcPr>
            <w:tcW w:w="0" w:type="auto"/>
            <w:tcBorders>
              <w:top w:val="nil"/>
              <w:left w:val="nil"/>
              <w:bottom w:val="single" w:sz="4" w:space="0" w:color="auto"/>
              <w:right w:val="single" w:sz="4" w:space="0" w:color="auto"/>
            </w:tcBorders>
            <w:shd w:val="clear" w:color="auto" w:fill="auto"/>
            <w:noWrap/>
            <w:vAlign w:val="bottom"/>
            <w:hideMark/>
          </w:tcPr>
          <w:p w:rsidR="00B45350" w:rsidRPr="00B45350" w:rsidRDefault="00B45350" w:rsidP="00B45350">
            <w:pPr>
              <w:spacing w:before="0" w:after="0"/>
              <w:jc w:val="right"/>
              <w:rPr>
                <w:rFonts w:ascii="Arial" w:eastAsia="Times New Roman" w:hAnsi="Arial" w:cs="Arial"/>
                <w:sz w:val="16"/>
                <w:szCs w:val="16"/>
                <w:lang w:val="en-CA" w:eastAsia="en-CA"/>
              </w:rPr>
            </w:pPr>
            <w:r w:rsidRPr="00B45350">
              <w:rPr>
                <w:rFonts w:ascii="Arial" w:eastAsia="Times New Roman" w:hAnsi="Arial" w:cs="Arial"/>
                <w:sz w:val="16"/>
                <w:szCs w:val="16"/>
                <w:lang w:val="en-CA" w:eastAsia="en-CA"/>
              </w:rPr>
              <w:t>38,151</w:t>
            </w:r>
          </w:p>
        </w:tc>
        <w:tc>
          <w:tcPr>
            <w:tcW w:w="0" w:type="auto"/>
            <w:tcBorders>
              <w:top w:val="nil"/>
              <w:left w:val="nil"/>
              <w:bottom w:val="single" w:sz="4" w:space="0" w:color="auto"/>
              <w:right w:val="single" w:sz="4" w:space="0" w:color="auto"/>
            </w:tcBorders>
            <w:shd w:val="clear" w:color="auto" w:fill="auto"/>
            <w:noWrap/>
            <w:vAlign w:val="bottom"/>
            <w:hideMark/>
          </w:tcPr>
          <w:p w:rsidR="00B45350" w:rsidRPr="00B45350" w:rsidRDefault="00B45350" w:rsidP="00B45350">
            <w:pPr>
              <w:spacing w:before="0" w:after="0"/>
              <w:jc w:val="right"/>
              <w:rPr>
                <w:rFonts w:ascii="Arial" w:eastAsia="Times New Roman" w:hAnsi="Arial" w:cs="Arial"/>
                <w:sz w:val="16"/>
                <w:szCs w:val="16"/>
                <w:lang w:val="en-CA" w:eastAsia="en-CA"/>
              </w:rPr>
            </w:pPr>
            <w:r w:rsidRPr="00B45350">
              <w:rPr>
                <w:rFonts w:ascii="Arial" w:eastAsia="Times New Roman" w:hAnsi="Arial" w:cs="Arial"/>
                <w:sz w:val="16"/>
                <w:szCs w:val="16"/>
                <w:lang w:val="en-CA" w:eastAsia="en-CA"/>
              </w:rPr>
              <w:t>32,100</w:t>
            </w:r>
          </w:p>
        </w:tc>
        <w:tc>
          <w:tcPr>
            <w:tcW w:w="0" w:type="auto"/>
            <w:tcBorders>
              <w:top w:val="nil"/>
              <w:left w:val="nil"/>
              <w:bottom w:val="single" w:sz="4" w:space="0" w:color="auto"/>
              <w:right w:val="single" w:sz="4" w:space="0" w:color="auto"/>
            </w:tcBorders>
            <w:shd w:val="clear" w:color="auto" w:fill="auto"/>
            <w:noWrap/>
            <w:vAlign w:val="bottom"/>
            <w:hideMark/>
          </w:tcPr>
          <w:p w:rsidR="00B45350" w:rsidRPr="00B45350" w:rsidRDefault="00B45350" w:rsidP="00B45350">
            <w:pPr>
              <w:spacing w:before="0" w:after="0"/>
              <w:jc w:val="right"/>
              <w:rPr>
                <w:rFonts w:ascii="Arial" w:eastAsia="Times New Roman" w:hAnsi="Arial" w:cs="Arial"/>
                <w:sz w:val="16"/>
                <w:szCs w:val="16"/>
                <w:lang w:val="en-CA" w:eastAsia="en-CA"/>
              </w:rPr>
            </w:pPr>
            <w:r w:rsidRPr="00B45350">
              <w:rPr>
                <w:rFonts w:ascii="Arial" w:eastAsia="Times New Roman" w:hAnsi="Arial" w:cs="Arial"/>
                <w:sz w:val="16"/>
                <w:szCs w:val="16"/>
                <w:lang w:val="en-CA" w:eastAsia="en-CA"/>
              </w:rPr>
              <w:t>28,105</w:t>
            </w:r>
          </w:p>
        </w:tc>
      </w:tr>
      <w:tr w:rsidR="00B45350" w:rsidRPr="00B45350" w:rsidTr="00B4535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45350" w:rsidRPr="00B45350" w:rsidRDefault="00B45350" w:rsidP="00B45350">
            <w:pPr>
              <w:spacing w:before="0" w:after="0"/>
              <w:rPr>
                <w:rFonts w:ascii="Arial" w:eastAsia="Times New Roman" w:hAnsi="Arial" w:cs="Arial"/>
                <w:sz w:val="16"/>
                <w:szCs w:val="16"/>
                <w:lang w:val="en-CA" w:eastAsia="en-CA"/>
              </w:rPr>
            </w:pPr>
            <w:r w:rsidRPr="00B45350">
              <w:rPr>
                <w:rFonts w:ascii="Arial" w:eastAsia="Times New Roman" w:hAnsi="Arial" w:cs="Arial"/>
                <w:sz w:val="16"/>
                <w:szCs w:val="16"/>
                <w:lang w:val="en-CA" w:eastAsia="en-CA"/>
              </w:rPr>
              <w:t>Increase 2007-10</w:t>
            </w:r>
          </w:p>
        </w:tc>
        <w:tc>
          <w:tcPr>
            <w:tcW w:w="0" w:type="auto"/>
            <w:tcBorders>
              <w:top w:val="nil"/>
              <w:left w:val="nil"/>
              <w:bottom w:val="single" w:sz="4" w:space="0" w:color="auto"/>
              <w:right w:val="single" w:sz="4" w:space="0" w:color="auto"/>
            </w:tcBorders>
            <w:shd w:val="clear" w:color="auto" w:fill="auto"/>
            <w:noWrap/>
            <w:vAlign w:val="bottom"/>
            <w:hideMark/>
          </w:tcPr>
          <w:p w:rsidR="00B45350" w:rsidRPr="00B45350" w:rsidRDefault="00B45350" w:rsidP="00B45350">
            <w:pPr>
              <w:spacing w:before="0" w:after="0"/>
              <w:rPr>
                <w:rFonts w:ascii="Arial" w:eastAsia="Times New Roman" w:hAnsi="Arial" w:cs="Arial"/>
                <w:sz w:val="16"/>
                <w:szCs w:val="16"/>
                <w:lang w:val="en-CA" w:eastAsia="en-CA"/>
              </w:rPr>
            </w:pPr>
            <w:r w:rsidRPr="00B45350">
              <w:rPr>
                <w:rFonts w:ascii="Arial" w:eastAsia="Times New Roman" w:hAnsi="Arial" w:cs="Arial"/>
                <w:sz w:val="16"/>
                <w:szCs w:val="16"/>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B45350" w:rsidRPr="00B45350" w:rsidRDefault="00B45350" w:rsidP="00B45350">
            <w:pPr>
              <w:spacing w:before="0" w:after="0"/>
              <w:rPr>
                <w:rFonts w:ascii="Arial" w:eastAsia="Times New Roman" w:hAnsi="Arial" w:cs="Arial"/>
                <w:sz w:val="16"/>
                <w:szCs w:val="16"/>
                <w:lang w:val="en-CA" w:eastAsia="en-CA"/>
              </w:rPr>
            </w:pPr>
            <w:r w:rsidRPr="00B45350">
              <w:rPr>
                <w:rFonts w:ascii="Arial" w:eastAsia="Times New Roman" w:hAnsi="Arial" w:cs="Arial"/>
                <w:sz w:val="16"/>
                <w:szCs w:val="16"/>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B45350" w:rsidRPr="00B45350" w:rsidRDefault="00B45350" w:rsidP="00B45350">
            <w:pPr>
              <w:spacing w:before="0" w:after="0"/>
              <w:rPr>
                <w:rFonts w:ascii="Arial" w:eastAsia="Times New Roman" w:hAnsi="Arial" w:cs="Arial"/>
                <w:sz w:val="16"/>
                <w:szCs w:val="16"/>
                <w:lang w:val="en-CA" w:eastAsia="en-CA"/>
              </w:rPr>
            </w:pPr>
            <w:r w:rsidRPr="00B45350">
              <w:rPr>
                <w:rFonts w:ascii="Arial" w:eastAsia="Times New Roman" w:hAnsi="Arial" w:cs="Arial"/>
                <w:sz w:val="16"/>
                <w:szCs w:val="16"/>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B45350" w:rsidRPr="00B45350" w:rsidRDefault="00B45350" w:rsidP="00B45350">
            <w:pPr>
              <w:spacing w:before="0" w:after="0"/>
              <w:jc w:val="right"/>
              <w:rPr>
                <w:rFonts w:ascii="Arial" w:eastAsia="Times New Roman" w:hAnsi="Arial" w:cs="Arial"/>
                <w:sz w:val="16"/>
                <w:szCs w:val="16"/>
                <w:lang w:val="en-CA" w:eastAsia="en-CA"/>
              </w:rPr>
            </w:pPr>
            <w:r w:rsidRPr="00B45350">
              <w:rPr>
                <w:rFonts w:ascii="Arial" w:eastAsia="Times New Roman" w:hAnsi="Arial" w:cs="Arial"/>
                <w:sz w:val="16"/>
                <w:szCs w:val="16"/>
                <w:lang w:val="en-CA" w:eastAsia="en-CA"/>
              </w:rPr>
              <w:t>23%</w:t>
            </w:r>
          </w:p>
        </w:tc>
      </w:tr>
    </w:tbl>
    <w:p w:rsidR="00B16181" w:rsidRPr="007D5296" w:rsidRDefault="00B16181" w:rsidP="006C7084">
      <w:pPr>
        <w:rPr>
          <w:sz w:val="18"/>
          <w:lang w:val="en-CA"/>
        </w:rPr>
      </w:pPr>
      <w:r w:rsidRPr="007D5296">
        <w:rPr>
          <w:sz w:val="18"/>
          <w:lang w:val="en-CA"/>
        </w:rPr>
        <w:t>Source:  Author’s compilation, from IMF-WEO</w:t>
      </w:r>
      <w:r w:rsidRPr="007D5296">
        <w:rPr>
          <w:rStyle w:val="FootnoteReference"/>
          <w:sz w:val="18"/>
          <w:lang w:val="en-CA"/>
        </w:rPr>
        <w:footnoteReference w:id="8"/>
      </w:r>
    </w:p>
    <w:p w:rsidR="0026018F" w:rsidRDefault="007F7D73" w:rsidP="0026018F">
      <w:pPr>
        <w:rPr>
          <w:lang w:val="en-CA"/>
        </w:rPr>
      </w:pPr>
      <w:r>
        <w:rPr>
          <w:lang w:val="en-CA"/>
        </w:rPr>
        <w:t xml:space="preserve">While this result indicates that the country had achieved the desired increase in attracting FDI, the short time period covered brings into sharp relief the downturn in inflows following the global financial crisis that began in late 2008.  </w:t>
      </w:r>
      <w:r w:rsidR="000B184E">
        <w:rPr>
          <w:lang w:val="en-CA"/>
        </w:rPr>
        <w:t xml:space="preserve">Looking at the longer time frame of the whole decade, it is apparent that </w:t>
      </w:r>
      <w:r w:rsidR="00450EDB">
        <w:rPr>
          <w:lang w:val="en-CA"/>
        </w:rPr>
        <w:t xml:space="preserve">the </w:t>
      </w:r>
      <w:r w:rsidR="00795F16">
        <w:rPr>
          <w:lang w:val="en-CA"/>
        </w:rPr>
        <w:t>SA</w:t>
      </w:r>
      <w:r w:rsidR="00450EDB">
        <w:rPr>
          <w:lang w:val="en-CA"/>
        </w:rPr>
        <w:t xml:space="preserve"> economy has attracted enormous flows of foreign investment</w:t>
      </w:r>
      <w:r w:rsidR="0026018F">
        <w:rPr>
          <w:lang w:val="en-CA"/>
        </w:rPr>
        <w:t xml:space="preserve"> (see Figure 3.4)</w:t>
      </w:r>
      <w:r w:rsidR="00795F16">
        <w:rPr>
          <w:lang w:val="en-CA"/>
        </w:rPr>
        <w:t>.  What is more</w:t>
      </w:r>
      <w:r w:rsidR="00450EDB">
        <w:rPr>
          <w:lang w:val="en-CA"/>
        </w:rPr>
        <w:t xml:space="preserve">, </w:t>
      </w:r>
      <w:r w:rsidR="0026018F">
        <w:rPr>
          <w:lang w:val="en-CA"/>
        </w:rPr>
        <w:t xml:space="preserve">as Figure 3.4 shows, </w:t>
      </w:r>
      <w:r w:rsidR="00450EDB">
        <w:rPr>
          <w:lang w:val="en-CA"/>
        </w:rPr>
        <w:t xml:space="preserve">in recent years </w:t>
      </w:r>
      <w:r w:rsidR="0026018F">
        <w:rPr>
          <w:lang w:val="en-CA"/>
        </w:rPr>
        <w:t>the country’s</w:t>
      </w:r>
      <w:r w:rsidR="00450EDB">
        <w:rPr>
          <w:lang w:val="en-CA"/>
        </w:rPr>
        <w:t xml:space="preserve"> own ability to venture into foreign markets has risen significantly, particularly during the global slowd</w:t>
      </w:r>
      <w:r w:rsidR="00A90AB5">
        <w:rPr>
          <w:lang w:val="en-CA"/>
        </w:rPr>
        <w:t>own that has limited inflows of foreign sources to SA.</w:t>
      </w:r>
      <w:r w:rsidR="002C2C12">
        <w:rPr>
          <w:lang w:val="en-CA"/>
        </w:rPr>
        <w:t xml:space="preserve">  At the same time as the crisis decreased inflows of foreign capital, Saudi Arabian investment abroad moved in a counter direction; while other countries decreased their investments in Saudi Arabia, the country was increasing its own capital investments abroad.</w:t>
      </w:r>
      <w:r w:rsidR="0026018F">
        <w:rPr>
          <w:lang w:val="en-CA"/>
        </w:rPr>
        <w:t xml:space="preserve">  The data indicate that SA investors found major investment opportunities as asset prices abroad began to fall.</w:t>
      </w:r>
    </w:p>
    <w:p w:rsidR="00C73965" w:rsidRDefault="00C73965" w:rsidP="007F7D73">
      <w:pPr>
        <w:rPr>
          <w:rFonts w:ascii="Arial" w:hAnsi="Arial" w:cs="Arial"/>
          <w:szCs w:val="24"/>
          <w:lang w:val="en-CA"/>
        </w:rPr>
      </w:pPr>
      <w:r w:rsidRPr="00C73965">
        <w:rPr>
          <w:rFonts w:cs="Arial"/>
          <w:szCs w:val="24"/>
          <w:lang w:val="en-CA"/>
        </w:rPr>
        <w:t xml:space="preserve">FDI net inflows are the value of inward direct investment made by non-resident investors in the reporting economy. FDI net outflows are the value of outward direct investment made by the residents of the reporting economy to external economies </w:t>
      </w:r>
      <w:r w:rsidR="00D96907" w:rsidRPr="00C73965">
        <w:rPr>
          <w:rFonts w:cs="Arial"/>
          <w:szCs w:val="24"/>
          <w:lang w:val="en-CA"/>
        </w:rPr>
        <w:fldChar w:fldCharType="begin"/>
      </w:r>
      <w:r w:rsidR="002B3DEF">
        <w:rPr>
          <w:rFonts w:cs="Arial"/>
          <w:szCs w:val="24"/>
          <w:lang w:val="en-CA"/>
        </w:rPr>
        <w:instrText xml:space="preserve"> ADDIN EN.CITE &lt;EndNote&gt;&lt;Cite&gt;&lt;Author&gt;World Bank&lt;/Author&gt;&lt;Year&gt;2012&lt;/Year&gt;&lt;RecNum&gt;1065&lt;/RecNum&gt;&lt;record&gt;&lt;rec-number&gt;1065&lt;/rec-number&gt;&lt;ref-type name="Electronic Source"&gt;12&lt;/ref-type&gt;&lt;contributors&gt;&lt;authors&gt;&lt;author&gt;World Bank,&lt;/author&gt;&lt;/authors&gt;&lt;/contributors&gt;&lt;titles&gt;&lt;title&gt;Specific Data Series&lt;/title&gt;&lt;/titles&gt;&lt;volume&gt;2012&lt;/volume&gt;&lt;dates&gt;&lt;year&gt;2012&lt;/year&gt;&lt;/dates&gt;&lt;pub-location&gt;Washington DC&lt;/pub-location&gt;&lt;urls&gt;&lt;related-urls&gt;&lt;url&gt;http://data.worldbank.org/about/faq/specific-data-series&lt;/url&gt;&lt;/related-urls&gt;&lt;/urls&gt;&lt;/record&gt;&lt;/Cite&gt;&lt;/EndNote&gt;</w:instrText>
      </w:r>
      <w:r w:rsidR="00D96907" w:rsidRPr="00C73965">
        <w:rPr>
          <w:rFonts w:cs="Arial"/>
          <w:szCs w:val="24"/>
          <w:lang w:val="en-CA"/>
        </w:rPr>
        <w:fldChar w:fldCharType="separate"/>
      </w:r>
      <w:r w:rsidRPr="00C73965">
        <w:rPr>
          <w:rFonts w:cs="Arial"/>
          <w:szCs w:val="24"/>
          <w:lang w:val="en-CA"/>
        </w:rPr>
        <w:t>(World Bank 2012)</w:t>
      </w:r>
      <w:r w:rsidR="00D96907" w:rsidRPr="00C73965">
        <w:rPr>
          <w:rFonts w:cs="Arial"/>
          <w:szCs w:val="24"/>
          <w:lang w:val="en-CA"/>
        </w:rPr>
        <w:fldChar w:fldCharType="end"/>
      </w:r>
      <w:r w:rsidRPr="00C73965">
        <w:rPr>
          <w:rFonts w:cs="Arial"/>
          <w:szCs w:val="24"/>
          <w:lang w:val="en-CA"/>
        </w:rPr>
        <w:t>.</w:t>
      </w:r>
      <w:r w:rsidRPr="00C73965">
        <w:rPr>
          <w:rFonts w:ascii="Arial" w:hAnsi="Arial" w:cs="Arial"/>
          <w:szCs w:val="24"/>
          <w:lang w:val="en-CA"/>
        </w:rPr>
        <w:t xml:space="preserve"> </w:t>
      </w:r>
      <w:r>
        <w:rPr>
          <w:rStyle w:val="FootnoteReference"/>
          <w:rFonts w:ascii="Arial" w:hAnsi="Arial" w:cs="Arial"/>
          <w:sz w:val="24"/>
          <w:szCs w:val="24"/>
          <w:lang w:val="en-CA"/>
        </w:rPr>
        <w:footnoteReference w:id="9"/>
      </w:r>
    </w:p>
    <w:p w:rsidR="007D5296" w:rsidRDefault="007D5296" w:rsidP="007D5296">
      <w:pPr>
        <w:pStyle w:val="Caption"/>
        <w:rPr>
          <w:lang w:val="en-CA"/>
        </w:rPr>
      </w:pPr>
      <w:bookmarkStart w:id="27" w:name="_Toc325871725"/>
      <w:r>
        <w:t xml:space="preserve">Figure </w:t>
      </w:r>
      <w:fldSimple w:instr=" STYLEREF 1 \s ">
        <w:r w:rsidR="00E41BFC">
          <w:rPr>
            <w:noProof/>
          </w:rPr>
          <w:t>3</w:t>
        </w:r>
      </w:fldSimple>
      <w:r w:rsidR="00E41BFC">
        <w:noBreakHyphen/>
      </w:r>
      <w:fldSimple w:instr=" SEQ Figure \* ARABIC \s 1 ">
        <w:r w:rsidR="00E41BFC">
          <w:rPr>
            <w:noProof/>
          </w:rPr>
          <w:t>5</w:t>
        </w:r>
      </w:fldSimple>
      <w:r w:rsidRPr="0053256F">
        <w:t xml:space="preserve"> </w:t>
      </w:r>
      <w:r w:rsidR="00795F16">
        <w:t xml:space="preserve"> </w:t>
      </w:r>
      <w:r w:rsidRPr="0053256F">
        <w:t>Investment inflows and outflows, 2000-2010</w:t>
      </w:r>
      <w:bookmarkEnd w:id="27"/>
    </w:p>
    <w:p w:rsidR="007F7D73" w:rsidRDefault="007F7D73" w:rsidP="00187691">
      <w:pPr>
        <w:jc w:val="center"/>
        <w:rPr>
          <w:lang w:val="en-CA"/>
        </w:rPr>
      </w:pPr>
      <w:r w:rsidRPr="007F7D73">
        <w:rPr>
          <w:noProof/>
          <w:lang w:val="en-US"/>
        </w:rPr>
        <w:drawing>
          <wp:inline distT="0" distB="0" distL="0" distR="0">
            <wp:extent cx="5283200" cy="3098800"/>
            <wp:effectExtent l="19050" t="0" r="1270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0" w:type="auto"/>
        <w:jc w:val="center"/>
        <w:tblInd w:w="103" w:type="dxa"/>
        <w:tblLook w:val="04A0"/>
      </w:tblPr>
      <w:tblGrid>
        <w:gridCol w:w="1500"/>
        <w:gridCol w:w="1866"/>
      </w:tblGrid>
      <w:tr w:rsidR="00450EDB" w:rsidRPr="00450EDB" w:rsidTr="00450EDB">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EDB" w:rsidRPr="00450EDB" w:rsidRDefault="00450EDB" w:rsidP="00450EDB">
            <w:pPr>
              <w:spacing w:before="0" w:after="0"/>
              <w:jc w:val="center"/>
              <w:rPr>
                <w:rFonts w:ascii="MS Sans Serif" w:eastAsia="Times New Roman" w:hAnsi="MS Sans Serif" w:cs="Times New Roman"/>
                <w:sz w:val="20"/>
                <w:szCs w:val="20"/>
                <w:lang w:val="en-CA" w:eastAsia="en-CA"/>
              </w:rPr>
            </w:pPr>
            <w:r w:rsidRPr="00450EDB">
              <w:rPr>
                <w:rFonts w:ascii="MS Sans Serif" w:eastAsia="Times New Roman" w:hAnsi="MS Sans Serif" w:cs="Times New Roman"/>
                <w:sz w:val="20"/>
                <w:szCs w:val="20"/>
                <w:lang w:val="en-CA" w:eastAsia="en-CA"/>
              </w:rPr>
              <w:t>FDI, 2000-2010 (current $US millions)</w:t>
            </w:r>
          </w:p>
        </w:tc>
      </w:tr>
      <w:tr w:rsidR="00450EDB" w:rsidRPr="00450EDB" w:rsidTr="00450EDB">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0EDB" w:rsidRPr="00450EDB" w:rsidRDefault="00450EDB" w:rsidP="00450EDB">
            <w:pPr>
              <w:spacing w:before="0" w:after="0"/>
              <w:jc w:val="right"/>
              <w:rPr>
                <w:rFonts w:ascii="MS Sans Serif" w:eastAsia="Times New Roman" w:hAnsi="MS Sans Serif" w:cs="Times New Roman"/>
                <w:sz w:val="20"/>
                <w:szCs w:val="20"/>
                <w:lang w:val="en-CA" w:eastAsia="en-CA"/>
              </w:rPr>
            </w:pPr>
            <w:r w:rsidRPr="00450EDB">
              <w:rPr>
                <w:rFonts w:ascii="MS Sans Serif" w:eastAsia="Times New Roman" w:hAnsi="MS Sans Serif" w:cs="Times New Roman"/>
                <w:sz w:val="20"/>
                <w:szCs w:val="20"/>
                <w:lang w:val="en-CA" w:eastAsia="en-CA"/>
              </w:rPr>
              <w:t>2000</w:t>
            </w:r>
          </w:p>
        </w:tc>
        <w:tc>
          <w:tcPr>
            <w:tcW w:w="0" w:type="auto"/>
            <w:tcBorders>
              <w:top w:val="nil"/>
              <w:left w:val="nil"/>
              <w:bottom w:val="single" w:sz="4" w:space="0" w:color="auto"/>
              <w:right w:val="single" w:sz="4" w:space="0" w:color="auto"/>
            </w:tcBorders>
            <w:shd w:val="clear" w:color="auto" w:fill="auto"/>
            <w:noWrap/>
            <w:vAlign w:val="bottom"/>
            <w:hideMark/>
          </w:tcPr>
          <w:p w:rsidR="00450EDB" w:rsidRPr="00450EDB" w:rsidRDefault="00450EDB" w:rsidP="00450EDB">
            <w:pPr>
              <w:spacing w:before="0" w:after="0"/>
              <w:jc w:val="right"/>
              <w:rPr>
                <w:rFonts w:ascii="MS Sans Serif" w:eastAsia="Times New Roman" w:hAnsi="MS Sans Serif" w:cs="Times New Roman"/>
                <w:sz w:val="20"/>
                <w:szCs w:val="20"/>
                <w:lang w:val="en-CA" w:eastAsia="en-CA"/>
              </w:rPr>
            </w:pPr>
            <w:r w:rsidRPr="00450EDB">
              <w:rPr>
                <w:rFonts w:ascii="MS Sans Serif" w:eastAsia="Times New Roman" w:hAnsi="MS Sans Serif" w:cs="Times New Roman"/>
                <w:sz w:val="20"/>
                <w:szCs w:val="20"/>
                <w:lang w:val="en-CA" w:eastAsia="en-CA"/>
              </w:rPr>
              <w:t>183</w:t>
            </w:r>
          </w:p>
        </w:tc>
      </w:tr>
      <w:tr w:rsidR="00450EDB" w:rsidRPr="00450EDB" w:rsidTr="00450EDB">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0EDB" w:rsidRPr="00450EDB" w:rsidRDefault="00450EDB" w:rsidP="00450EDB">
            <w:pPr>
              <w:spacing w:before="0" w:after="0"/>
              <w:jc w:val="right"/>
              <w:rPr>
                <w:rFonts w:ascii="MS Sans Serif" w:eastAsia="Times New Roman" w:hAnsi="MS Sans Serif" w:cs="Times New Roman"/>
                <w:sz w:val="20"/>
                <w:szCs w:val="20"/>
                <w:lang w:val="en-CA" w:eastAsia="en-CA"/>
              </w:rPr>
            </w:pPr>
            <w:r w:rsidRPr="00450EDB">
              <w:rPr>
                <w:rFonts w:ascii="MS Sans Serif" w:eastAsia="Times New Roman" w:hAnsi="MS Sans Serif" w:cs="Times New Roman"/>
                <w:sz w:val="20"/>
                <w:szCs w:val="20"/>
                <w:lang w:val="en-CA" w:eastAsia="en-CA"/>
              </w:rPr>
              <w:t>2010</w:t>
            </w:r>
          </w:p>
        </w:tc>
        <w:tc>
          <w:tcPr>
            <w:tcW w:w="0" w:type="auto"/>
            <w:tcBorders>
              <w:top w:val="nil"/>
              <w:left w:val="nil"/>
              <w:bottom w:val="single" w:sz="4" w:space="0" w:color="auto"/>
              <w:right w:val="single" w:sz="4" w:space="0" w:color="auto"/>
            </w:tcBorders>
            <w:shd w:val="clear" w:color="auto" w:fill="auto"/>
            <w:noWrap/>
            <w:vAlign w:val="bottom"/>
            <w:hideMark/>
          </w:tcPr>
          <w:p w:rsidR="00450EDB" w:rsidRPr="00450EDB" w:rsidRDefault="00450EDB" w:rsidP="00450EDB">
            <w:pPr>
              <w:spacing w:before="0" w:after="0"/>
              <w:jc w:val="right"/>
              <w:rPr>
                <w:rFonts w:ascii="MS Sans Serif" w:eastAsia="Times New Roman" w:hAnsi="MS Sans Serif" w:cs="Times New Roman"/>
                <w:sz w:val="20"/>
                <w:szCs w:val="20"/>
                <w:lang w:val="en-CA" w:eastAsia="en-CA"/>
              </w:rPr>
            </w:pPr>
            <w:r w:rsidRPr="00450EDB">
              <w:rPr>
                <w:rFonts w:ascii="MS Sans Serif" w:eastAsia="Times New Roman" w:hAnsi="MS Sans Serif" w:cs="Times New Roman"/>
                <w:sz w:val="20"/>
                <w:szCs w:val="20"/>
                <w:lang w:val="en-CA" w:eastAsia="en-CA"/>
              </w:rPr>
              <w:t>28,105</w:t>
            </w:r>
          </w:p>
        </w:tc>
      </w:tr>
    </w:tbl>
    <w:p w:rsidR="00795F16" w:rsidRDefault="00A90AB5" w:rsidP="006C7084">
      <w:pPr>
        <w:rPr>
          <w:lang w:val="en-CA"/>
        </w:rPr>
      </w:pPr>
      <w:r>
        <w:rPr>
          <w:lang w:val="en-CA"/>
        </w:rPr>
        <w:t>Over the decade, FDI into SA has grown appreciably, rising from just $183 million in 2000</w:t>
      </w:r>
      <w:r w:rsidR="00795F16">
        <w:rPr>
          <w:lang w:val="en-CA"/>
        </w:rPr>
        <w:t xml:space="preserve"> to more than $38 billion in 2008</w:t>
      </w:r>
      <w:r>
        <w:rPr>
          <w:lang w:val="en-CA"/>
        </w:rPr>
        <w:t xml:space="preserve">.  The greatest increases came in 2005, at the time of WTO accession, </w:t>
      </w:r>
      <w:r w:rsidR="00795F16">
        <w:rPr>
          <w:lang w:val="en-CA"/>
        </w:rPr>
        <w:t>continuing at an accelerating rate until</w:t>
      </w:r>
      <w:r>
        <w:rPr>
          <w:lang w:val="en-CA"/>
        </w:rPr>
        <w:t xml:space="preserve"> 2008, </w:t>
      </w:r>
      <w:r w:rsidR="00795F16">
        <w:rPr>
          <w:lang w:val="en-CA"/>
        </w:rPr>
        <w:t>after which the global financial crisis, as noted, brought about a sharp fall in FDI flows, although they remained well above the pre-crisis volumes.</w:t>
      </w:r>
      <w:r w:rsidR="00CC26F2">
        <w:rPr>
          <w:lang w:val="en-CA"/>
        </w:rPr>
        <w:t xml:space="preserve">  </w:t>
      </w:r>
    </w:p>
    <w:p w:rsidR="00FB03D1" w:rsidRDefault="00CC26F2" w:rsidP="006C7084">
      <w:pPr>
        <w:rPr>
          <w:lang w:val="en-CA"/>
        </w:rPr>
      </w:pPr>
      <w:r>
        <w:rPr>
          <w:lang w:val="en-CA"/>
        </w:rPr>
        <w:t xml:space="preserve">In the view of some observers, </w:t>
      </w:r>
      <w:r w:rsidR="00FB03D1">
        <w:rPr>
          <w:lang w:val="en-CA"/>
        </w:rPr>
        <w:t xml:space="preserve">although </w:t>
      </w:r>
      <w:r>
        <w:rPr>
          <w:lang w:val="en-CA"/>
        </w:rPr>
        <w:t xml:space="preserve">FDI </w:t>
      </w:r>
      <w:r w:rsidR="00FB03D1">
        <w:rPr>
          <w:lang w:val="en-CA"/>
        </w:rPr>
        <w:t>is a success story for SA, it is not one whose future is assured.</w:t>
      </w:r>
    </w:p>
    <w:p w:rsidR="00CC26F2" w:rsidRPr="00FB03D1" w:rsidRDefault="00FB03D1" w:rsidP="00FB03D1">
      <w:pPr>
        <w:ind w:left="720"/>
      </w:pPr>
      <w:r w:rsidRPr="00FB03D1">
        <w:t>FDI to KSA has been on a decline ever since it peaked in 2008 and fel</w:t>
      </w:r>
      <w:r>
        <w:t>l 21% in 2010 while another 3–</w:t>
      </w:r>
      <w:r w:rsidRPr="00FB03D1">
        <w:t xml:space="preserve">10% decline is expected in 2011. KSA nevertheless still boasts the highest FDI inflows in the GCC, averaging </w:t>
      </w:r>
      <w:proofErr w:type="gramStart"/>
      <w:r w:rsidRPr="00FB03D1">
        <w:t>between 60% to 70% of total FDI to the region</w:t>
      </w:r>
      <w:proofErr w:type="gramEnd"/>
      <w:r w:rsidRPr="00FB03D1">
        <w:t>. FDI to GDP ratio for KSA has come down steadily after making a high of 9.5% in 2009 to 6.5% in 2010. We see the ratio sliding further in the vicinity of 4.5% - 5% for 2011</w:t>
      </w:r>
      <w:r>
        <w:t xml:space="preserve"> (Hasan and Ahmed, p. 15)</w:t>
      </w:r>
      <w:r w:rsidRPr="00FB03D1">
        <w:t>.</w:t>
      </w:r>
    </w:p>
    <w:p w:rsidR="00CC26F2" w:rsidRDefault="00CC26F2" w:rsidP="006C7084">
      <w:pPr>
        <w:rPr>
          <w:lang w:val="en-CA"/>
        </w:rPr>
      </w:pPr>
    </w:p>
    <w:p w:rsidR="00C63E33" w:rsidRDefault="00F66BFC" w:rsidP="00C73AF9">
      <w:pPr>
        <w:pStyle w:val="Heading4"/>
        <w:numPr>
          <w:ilvl w:val="2"/>
          <w:numId w:val="16"/>
        </w:numPr>
        <w:rPr>
          <w:lang w:val="en-CA"/>
        </w:rPr>
      </w:pPr>
      <w:bookmarkStart w:id="28" w:name="_Toc325871769"/>
      <w:r>
        <w:rPr>
          <w:lang w:val="en-CA"/>
        </w:rPr>
        <w:t xml:space="preserve">Expansion of </w:t>
      </w:r>
      <w:r w:rsidR="00C63E33">
        <w:rPr>
          <w:lang w:val="en-CA"/>
        </w:rPr>
        <w:t>Tourism</w:t>
      </w:r>
      <w:bookmarkEnd w:id="28"/>
    </w:p>
    <w:p w:rsidR="0092091F" w:rsidRDefault="00C63E33" w:rsidP="00E21DCE">
      <w:pPr>
        <w:rPr>
          <w:lang w:val="en-CA"/>
        </w:rPr>
      </w:pPr>
      <w:r>
        <w:rPr>
          <w:lang w:val="en-CA"/>
        </w:rPr>
        <w:t>The other target selected in the CP review</w:t>
      </w:r>
      <w:r w:rsidR="00412D75">
        <w:rPr>
          <w:lang w:val="en-CA"/>
        </w:rPr>
        <w:t xml:space="preserve"> (2008)</w:t>
      </w:r>
      <w:r>
        <w:rPr>
          <w:lang w:val="en-CA"/>
        </w:rPr>
        <w:t xml:space="preserve"> was the expansio</w:t>
      </w:r>
      <w:r w:rsidR="008F1822">
        <w:rPr>
          <w:lang w:val="en-CA"/>
        </w:rPr>
        <w:t>n of tourism</w:t>
      </w:r>
      <w:r>
        <w:rPr>
          <w:lang w:val="en-CA"/>
        </w:rPr>
        <w:t xml:space="preserve"> by 15 percent.</w:t>
      </w:r>
      <w:r w:rsidR="008C1F91">
        <w:rPr>
          <w:rStyle w:val="FootnoteReference"/>
          <w:lang w:val="en-CA"/>
        </w:rPr>
        <w:footnoteReference w:id="10"/>
      </w:r>
      <w:r>
        <w:rPr>
          <w:lang w:val="en-CA"/>
        </w:rPr>
        <w:t xml:space="preserve">  </w:t>
      </w:r>
      <w:r w:rsidR="00B56AAB">
        <w:rPr>
          <w:lang w:val="en-CA"/>
        </w:rPr>
        <w:t xml:space="preserve">In 2011, an estimated 17.5 million international travellers visited Saudi Arabia  </w:t>
      </w:r>
      <w:r w:rsidR="00D96907">
        <w:rPr>
          <w:lang w:val="en-CA"/>
        </w:rPr>
        <w:fldChar w:fldCharType="begin"/>
      </w:r>
      <w:r w:rsidR="002B3DEF">
        <w:rPr>
          <w:lang w:val="en-CA"/>
        </w:rPr>
        <w:instrText xml:space="preserve"> ADDIN EN.CITE &lt;EndNote&gt;&lt;Cite&gt;&lt;Author&gt;Tourism Information and Research Center&lt;/Author&gt;&lt;Year&gt;2012&lt;/Year&gt;&lt;RecNum&gt;1069&lt;/RecNum&gt;&lt;Suffix&gt;, p. 4&lt;/Suffix&gt;&lt;record&gt;&lt;rec-number&gt;1069&lt;/rec-number&gt;&lt;ref-type name="Electronic Source"&gt;12&lt;/ref-type&gt;&lt;contributors&gt;&lt;authors&gt;&lt;author&gt;Tourism Information and Research Center,&lt;/author&gt;&lt;/authors&gt;&lt;/contributors&gt;&lt;titles&gt;&lt;title&gt;Saudi Tourism Outlook. A monthly electronic publication&lt;/title&gt;&lt;secondary-title&gt;January&lt;/secondary-title&gt;&lt;/titles&gt;&lt;volume&gt;2012&lt;/volume&gt;&lt;number&gt;12 April 2012&lt;/number&gt;&lt;dates&gt;&lt;year&gt;2012&lt;/year&gt;&lt;/dates&gt;&lt;pub-location&gt;Riyadh&lt;/pub-location&gt;&lt;publisher&gt;Kingdom of Saudi Arabia&lt;/publisher&gt;&lt;urls&gt;&lt;related-urls&gt;&lt;url&gt;www.sct.gov.sa/publications/DownloadServlet?fid...&lt;/url&gt;&lt;/related-urls&gt;&lt;/urls&gt;&lt;/record&gt;&lt;/Cite&gt;&lt;/EndNote&gt;</w:instrText>
      </w:r>
      <w:r w:rsidR="00D96907">
        <w:rPr>
          <w:lang w:val="en-CA"/>
        </w:rPr>
        <w:fldChar w:fldCharType="separate"/>
      </w:r>
      <w:r w:rsidR="00B56AAB">
        <w:rPr>
          <w:lang w:val="en-CA"/>
        </w:rPr>
        <w:t>(Tourism Information and Research Center 2012, p. 4)</w:t>
      </w:r>
      <w:r w:rsidR="00D96907">
        <w:rPr>
          <w:lang w:val="en-CA"/>
        </w:rPr>
        <w:fldChar w:fldCharType="end"/>
      </w:r>
      <w:r w:rsidR="00B56AAB">
        <w:rPr>
          <w:lang w:val="en-CA"/>
        </w:rPr>
        <w:t>.</w:t>
      </w:r>
      <w:r w:rsidR="00E21DCE" w:rsidRPr="00E21DCE">
        <w:rPr>
          <w:rStyle w:val="FootnoteReference"/>
          <w:lang w:val="en-CA"/>
        </w:rPr>
        <w:t xml:space="preserve"> </w:t>
      </w:r>
      <w:r w:rsidR="00E21DCE" w:rsidRPr="006B54EE">
        <w:rPr>
          <w:rStyle w:val="FootnoteReference"/>
          <w:lang w:val="en-CA"/>
        </w:rPr>
        <w:footnoteReference w:id="11"/>
      </w:r>
      <w:r w:rsidR="00B56AAB">
        <w:rPr>
          <w:lang w:val="en-CA"/>
        </w:rPr>
        <w:t xml:space="preserve">  Compared with</w:t>
      </w:r>
      <w:r w:rsidR="00B56AAB" w:rsidRPr="00107431">
        <w:rPr>
          <w:lang w:val="en-CA"/>
        </w:rPr>
        <w:t xml:space="preserve"> </w:t>
      </w:r>
      <w:r w:rsidR="00B56AAB">
        <w:rPr>
          <w:lang w:val="en-CA"/>
        </w:rPr>
        <w:t xml:space="preserve">2007, the first year of the CP, when arrivals </w:t>
      </w:r>
      <w:r w:rsidR="00C8326D">
        <w:rPr>
          <w:lang w:val="en-CA"/>
        </w:rPr>
        <w:t>were</w:t>
      </w:r>
      <w:r w:rsidR="00B56AAB">
        <w:rPr>
          <w:lang w:val="en-CA"/>
        </w:rPr>
        <w:t xml:space="preserve"> 11.5 million, this represented an increase of 52 percent, well above the target </w:t>
      </w:r>
      <w:r w:rsidR="00D96907">
        <w:rPr>
          <w:lang w:val="en-CA"/>
        </w:rPr>
        <w:fldChar w:fldCharType="begin"/>
      </w:r>
      <w:r w:rsidR="002B3DEF">
        <w:rPr>
          <w:lang w:val="en-CA"/>
        </w:rPr>
        <w:instrText xml:space="preserve"> ADDIN EN.CITE &lt;EndNote&gt;&lt;Cite&gt;&lt;Author&gt;Kingdom of Saudi Arabia&lt;/Author&gt;&lt;Year&gt;2011&lt;/Year&gt;&lt;RecNum&gt;1051&lt;/RecNum&gt;&lt;record&gt;&lt;rec-number&gt;1051&lt;/rec-number&gt;&lt;ref-type name="Government Document"&gt;46&lt;/ref-type&gt;&lt;contributors&gt;&lt;authors&gt;&lt;author&gt;Kingdom of Saudi Arabia,&lt;/author&gt;&lt;/authors&gt;&lt;secondary-authors&gt;&lt;author&gt;General Secretariat&lt;/author&gt;&lt;/secondary-authors&gt;&lt;/contributors&gt;&lt;titles&gt;&lt;title&gt;Tourism Statistics 2010&lt;/title&gt;&lt;secondary-title&gt;Kingdom of Saudi Arabia&amp;#xD;The Saudi Commission for Tourism &amp;amp; Antiquities&amp;#xD;General Secretariat&lt;/secondary-title&gt;&lt;/titles&gt;&lt;pages&gt;120&lt;/pages&gt;&lt;dates&gt;&lt;year&gt;2011&lt;/year&gt;&lt;/dates&gt;&lt;publisher&gt;The Saudi Commission for Tourism &amp;amp; Antiquities&amp;#xD;&lt;/publisher&gt;&lt;urls&gt;&lt;related-urls&gt;&lt;url&gt;http://www.mas.gov.sa/ShowPage?UseFM=yes&amp;amp;Template=ais/frmAis.htm&amp;amp;Location=getdocs:///DocMapCSDOCS.MAS/3096&amp;amp;Scale=FULLWIDTH&amp;amp;Page=1&amp;amp;ContextParams=&lt;/url&gt;&lt;/related-urls&gt;&lt;/urls&gt;&lt;/record&gt;&lt;/Cite&gt;&lt;/EndNote&gt;</w:instrText>
      </w:r>
      <w:r w:rsidR="00D96907">
        <w:rPr>
          <w:lang w:val="en-CA"/>
        </w:rPr>
        <w:fldChar w:fldCharType="separate"/>
      </w:r>
      <w:r w:rsidR="00C92079">
        <w:rPr>
          <w:lang w:val="en-CA"/>
        </w:rPr>
        <w:t>(Kingdom of Saudi Arabia 2011)</w:t>
      </w:r>
      <w:r w:rsidR="00D96907">
        <w:rPr>
          <w:lang w:val="en-CA"/>
        </w:rPr>
        <w:fldChar w:fldCharType="end"/>
      </w:r>
      <w:r w:rsidR="00B56AAB">
        <w:rPr>
          <w:lang w:val="en-CA"/>
        </w:rPr>
        <w:t>.</w:t>
      </w:r>
      <w:r w:rsidR="00C8326D">
        <w:rPr>
          <w:lang w:val="en-CA"/>
        </w:rPr>
        <w:t xml:space="preserve">  However, domestic tourism, which represents higher numbers of travellers, told a different story.  </w:t>
      </w:r>
    </w:p>
    <w:p w:rsidR="00E21DCE" w:rsidRPr="00E21DCE" w:rsidRDefault="00C8326D" w:rsidP="00E21DCE">
      <w:pPr>
        <w:rPr>
          <w:lang w:val="en-CA"/>
        </w:rPr>
      </w:pPr>
      <w:r>
        <w:rPr>
          <w:lang w:val="en-CA"/>
        </w:rPr>
        <w:t xml:space="preserve">As the data for Figure 3.5 show, 2007 saw more than twice as many domestic travellers as visitors from abroad, some 28.6 million.  But in 2011 </w:t>
      </w:r>
      <w:r w:rsidR="005A13CA">
        <w:rPr>
          <w:lang w:val="en-CA"/>
        </w:rPr>
        <w:t xml:space="preserve">the </w:t>
      </w:r>
      <w:r>
        <w:rPr>
          <w:lang w:val="en-CA"/>
        </w:rPr>
        <w:t xml:space="preserve">numbers of domestic tourists were down, to 22.5 million.  </w:t>
      </w:r>
      <w:r w:rsidR="00E21DCE">
        <w:rPr>
          <w:lang w:val="en-CA"/>
        </w:rPr>
        <w:t>This represented a decline of 21 percent in domestic tourist numbers</w:t>
      </w:r>
      <w:r w:rsidR="005A13CA">
        <w:rPr>
          <w:lang w:val="en-CA"/>
        </w:rPr>
        <w:t xml:space="preserve"> over the 2007-11 </w:t>
      </w:r>
      <w:proofErr w:type="gramStart"/>
      <w:r w:rsidR="005A13CA">
        <w:rPr>
          <w:lang w:val="en-CA"/>
        </w:rPr>
        <w:t>period</w:t>
      </w:r>
      <w:proofErr w:type="gramEnd"/>
      <w:r w:rsidR="00E21DCE">
        <w:rPr>
          <w:lang w:val="en-CA"/>
        </w:rPr>
        <w:t xml:space="preserve">. </w:t>
      </w:r>
      <w:r w:rsidR="00E21DCE" w:rsidRPr="006B54EE">
        <w:rPr>
          <w:lang w:val="en-CA"/>
        </w:rPr>
        <w:t xml:space="preserve"> </w:t>
      </w:r>
      <w:r w:rsidR="00865992">
        <w:rPr>
          <w:lang w:val="en-CA"/>
        </w:rPr>
        <w:t>Overall, tourist numbers, with international and domestic travellers combined, declined marginal</w:t>
      </w:r>
      <w:r w:rsidR="006F7CA7">
        <w:rPr>
          <w:lang w:val="en-CA"/>
        </w:rPr>
        <w:t>ly (</w:t>
      </w:r>
      <w:r w:rsidR="00865992">
        <w:rPr>
          <w:lang w:val="en-CA"/>
        </w:rPr>
        <w:t>less than 1 percent</w:t>
      </w:r>
      <w:r w:rsidR="006F7CA7">
        <w:rPr>
          <w:lang w:val="en-CA"/>
        </w:rPr>
        <w:t>)</w:t>
      </w:r>
      <w:r w:rsidR="00865992">
        <w:rPr>
          <w:lang w:val="en-CA"/>
        </w:rPr>
        <w:t>.</w:t>
      </w:r>
    </w:p>
    <w:p w:rsidR="00187691" w:rsidRDefault="00C92079" w:rsidP="00C92079">
      <w:pPr>
        <w:pStyle w:val="Caption"/>
        <w:rPr>
          <w:lang w:val="en-CA"/>
        </w:rPr>
      </w:pPr>
      <w:bookmarkStart w:id="29" w:name="_Toc325871726"/>
      <w:r>
        <w:t xml:space="preserve">Figure </w:t>
      </w:r>
      <w:fldSimple w:instr=" STYLEREF 1 \s ">
        <w:r w:rsidR="00E41BFC">
          <w:rPr>
            <w:noProof/>
          </w:rPr>
          <w:t>3</w:t>
        </w:r>
      </w:fldSimple>
      <w:r w:rsidR="00E41BFC">
        <w:noBreakHyphen/>
      </w:r>
      <w:fldSimple w:instr=" SEQ Figure \* ARABIC \s 1 ">
        <w:r w:rsidR="00E41BFC">
          <w:rPr>
            <w:noProof/>
          </w:rPr>
          <w:t>6</w:t>
        </w:r>
      </w:fldSimple>
      <w:r>
        <w:t xml:space="preserve">  Tourism 2007-2011</w:t>
      </w:r>
      <w:r w:rsidR="00445C85">
        <w:t xml:space="preserve"> (millions)</w:t>
      </w:r>
      <w:bookmarkEnd w:id="29"/>
    </w:p>
    <w:p w:rsidR="00187691" w:rsidRDefault="00445C85" w:rsidP="00445C85">
      <w:pPr>
        <w:jc w:val="center"/>
        <w:rPr>
          <w:lang w:val="en-CA"/>
        </w:rPr>
      </w:pPr>
      <w:r w:rsidRPr="00445C85">
        <w:rPr>
          <w:noProof/>
          <w:lang w:val="en-US"/>
        </w:rPr>
        <w:drawing>
          <wp:inline distT="0" distB="0" distL="0" distR="0">
            <wp:extent cx="4570476" cy="2340864"/>
            <wp:effectExtent l="19050" t="0" r="20574" b="2286"/>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0" w:type="auto"/>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545"/>
        <w:gridCol w:w="545"/>
        <w:gridCol w:w="545"/>
        <w:gridCol w:w="545"/>
        <w:gridCol w:w="554"/>
        <w:gridCol w:w="1340"/>
      </w:tblGrid>
      <w:tr w:rsidR="00187691" w:rsidRPr="009458D0" w:rsidTr="00B4207A">
        <w:trPr>
          <w:trHeight w:val="285"/>
          <w:jc w:val="center"/>
        </w:trPr>
        <w:tc>
          <w:tcPr>
            <w:tcW w:w="0" w:type="auto"/>
            <w:shd w:val="clear" w:color="auto" w:fill="auto"/>
            <w:noWrap/>
            <w:vAlign w:val="center"/>
            <w:hideMark/>
          </w:tcPr>
          <w:p w:rsidR="00187691" w:rsidRPr="009458D0" w:rsidRDefault="00B4207A" w:rsidP="00B4207A">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(‘000,000)</w:t>
            </w:r>
          </w:p>
        </w:tc>
        <w:tc>
          <w:tcPr>
            <w:tcW w:w="0" w:type="auto"/>
            <w:shd w:val="clear" w:color="auto" w:fill="auto"/>
            <w:noWrap/>
            <w:vAlign w:val="center"/>
            <w:hideMark/>
          </w:tcPr>
          <w:p w:rsidR="00187691" w:rsidRPr="009458D0" w:rsidRDefault="00187691" w:rsidP="00187691">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2007</w:t>
            </w:r>
          </w:p>
        </w:tc>
        <w:tc>
          <w:tcPr>
            <w:tcW w:w="0" w:type="auto"/>
            <w:shd w:val="clear" w:color="auto" w:fill="auto"/>
            <w:noWrap/>
            <w:vAlign w:val="center"/>
            <w:hideMark/>
          </w:tcPr>
          <w:p w:rsidR="00187691" w:rsidRPr="009458D0" w:rsidRDefault="00187691" w:rsidP="00187691">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2008</w:t>
            </w:r>
          </w:p>
        </w:tc>
        <w:tc>
          <w:tcPr>
            <w:tcW w:w="0" w:type="auto"/>
            <w:shd w:val="clear" w:color="auto" w:fill="auto"/>
            <w:noWrap/>
            <w:vAlign w:val="center"/>
            <w:hideMark/>
          </w:tcPr>
          <w:p w:rsidR="00187691" w:rsidRPr="009458D0" w:rsidRDefault="00187691" w:rsidP="00187691">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2009</w:t>
            </w:r>
          </w:p>
        </w:tc>
        <w:tc>
          <w:tcPr>
            <w:tcW w:w="0" w:type="auto"/>
            <w:shd w:val="clear" w:color="auto" w:fill="auto"/>
            <w:noWrap/>
            <w:vAlign w:val="center"/>
            <w:hideMark/>
          </w:tcPr>
          <w:p w:rsidR="00187691" w:rsidRPr="009458D0" w:rsidRDefault="00187691" w:rsidP="00187691">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2010</w:t>
            </w:r>
          </w:p>
        </w:tc>
        <w:tc>
          <w:tcPr>
            <w:tcW w:w="0" w:type="auto"/>
            <w:shd w:val="clear" w:color="auto" w:fill="auto"/>
            <w:noWrap/>
            <w:vAlign w:val="center"/>
            <w:hideMark/>
          </w:tcPr>
          <w:p w:rsidR="00187691" w:rsidRPr="009458D0" w:rsidRDefault="00187691" w:rsidP="00187691">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2011</w:t>
            </w:r>
            <w:r w:rsidRPr="009458D0">
              <w:rPr>
                <w:rFonts w:ascii="Arial Narrow" w:eastAsia="Times New Roman" w:hAnsi="Arial Narrow" w:cs="Arial"/>
                <w:sz w:val="16"/>
                <w:szCs w:val="16"/>
                <w:vertAlign w:val="superscript"/>
                <w:lang w:val="en-CA" w:eastAsia="en-CA"/>
              </w:rPr>
              <w:t>e</w:t>
            </w:r>
          </w:p>
        </w:tc>
        <w:tc>
          <w:tcPr>
            <w:tcW w:w="0" w:type="auto"/>
            <w:shd w:val="clear" w:color="auto" w:fill="auto"/>
            <w:noWrap/>
            <w:vAlign w:val="center"/>
            <w:hideMark/>
          </w:tcPr>
          <w:p w:rsidR="00187691" w:rsidRPr="009458D0" w:rsidRDefault="00187691" w:rsidP="00187691">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Change 2007-2011</w:t>
            </w:r>
          </w:p>
        </w:tc>
      </w:tr>
      <w:tr w:rsidR="00187691" w:rsidRPr="009458D0" w:rsidTr="00187691">
        <w:trPr>
          <w:trHeight w:val="255"/>
          <w:jc w:val="center"/>
        </w:trPr>
        <w:tc>
          <w:tcPr>
            <w:tcW w:w="0" w:type="auto"/>
            <w:shd w:val="clear" w:color="auto" w:fill="auto"/>
            <w:noWrap/>
            <w:vAlign w:val="bottom"/>
            <w:hideMark/>
          </w:tcPr>
          <w:p w:rsidR="00187691" w:rsidRPr="009458D0" w:rsidRDefault="00187691" w:rsidP="00187691">
            <w:pPr>
              <w:spacing w:before="0" w:after="0"/>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International tourists</w:t>
            </w:r>
            <w:r w:rsidR="00E21DCE" w:rsidRPr="009458D0">
              <w:rPr>
                <w:rFonts w:ascii="Arial Narrow" w:eastAsia="Times New Roman" w:hAnsi="Arial Narrow" w:cs="Arial"/>
                <w:sz w:val="16"/>
                <w:szCs w:val="16"/>
                <w:lang w:val="en-CA" w:eastAsia="en-CA"/>
              </w:rPr>
              <w:t xml:space="preserve"> </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11.53</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14.76</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10.9</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10.85</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17.50</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51.8%</w:t>
            </w:r>
          </w:p>
        </w:tc>
      </w:tr>
      <w:tr w:rsidR="00187691" w:rsidRPr="009458D0" w:rsidTr="00187691">
        <w:trPr>
          <w:trHeight w:val="255"/>
          <w:jc w:val="center"/>
        </w:trPr>
        <w:tc>
          <w:tcPr>
            <w:tcW w:w="0" w:type="auto"/>
            <w:shd w:val="clear" w:color="auto" w:fill="auto"/>
            <w:noWrap/>
            <w:vAlign w:val="bottom"/>
            <w:hideMark/>
          </w:tcPr>
          <w:p w:rsidR="00187691" w:rsidRPr="009458D0" w:rsidRDefault="00187691" w:rsidP="00187691">
            <w:pPr>
              <w:spacing w:before="0" w:after="0"/>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Domestic tourists</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28.55</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28.77</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32.01</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22.78</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22.47</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-21.3%</w:t>
            </w:r>
          </w:p>
        </w:tc>
      </w:tr>
      <w:tr w:rsidR="00187691" w:rsidRPr="009458D0" w:rsidTr="00187691">
        <w:trPr>
          <w:trHeight w:val="255"/>
          <w:jc w:val="center"/>
        </w:trPr>
        <w:tc>
          <w:tcPr>
            <w:tcW w:w="0" w:type="auto"/>
            <w:shd w:val="clear" w:color="auto" w:fill="auto"/>
            <w:noWrap/>
            <w:vAlign w:val="bottom"/>
            <w:hideMark/>
          </w:tcPr>
          <w:p w:rsidR="00187691" w:rsidRPr="009458D0" w:rsidRDefault="00187691" w:rsidP="00187691">
            <w:pPr>
              <w:spacing w:before="0" w:after="0"/>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International and Domestic Tourism</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40.08</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43.53</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42.91</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33.63</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39.97</w:t>
            </w:r>
          </w:p>
        </w:tc>
        <w:tc>
          <w:tcPr>
            <w:tcW w:w="0" w:type="auto"/>
            <w:shd w:val="clear" w:color="auto" w:fill="auto"/>
            <w:noWrap/>
            <w:vAlign w:val="bottom"/>
            <w:hideMark/>
          </w:tcPr>
          <w:p w:rsidR="00187691" w:rsidRPr="009458D0" w:rsidRDefault="00187691" w:rsidP="00187691">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-0.3%</w:t>
            </w:r>
          </w:p>
        </w:tc>
      </w:tr>
    </w:tbl>
    <w:p w:rsidR="00D54EB7" w:rsidRDefault="009458D0" w:rsidP="00E91800">
      <w:pPr>
        <w:spacing w:before="0" w:after="0"/>
        <w:rPr>
          <w:sz w:val="18"/>
          <w:szCs w:val="20"/>
          <w:lang w:val="en-CA"/>
        </w:rPr>
      </w:pPr>
      <w:r>
        <w:rPr>
          <w:sz w:val="18"/>
          <w:szCs w:val="20"/>
          <w:lang w:val="en-CA"/>
        </w:rPr>
        <w:tab/>
      </w:r>
      <w:r>
        <w:rPr>
          <w:sz w:val="18"/>
          <w:szCs w:val="20"/>
          <w:lang w:val="en-CA"/>
        </w:rPr>
        <w:tab/>
      </w:r>
    </w:p>
    <w:p w:rsidR="009458D0" w:rsidRDefault="009458D0" w:rsidP="00D54EB7">
      <w:pPr>
        <w:spacing w:before="0" w:after="0"/>
        <w:ind w:left="720" w:firstLine="720"/>
        <w:rPr>
          <w:sz w:val="18"/>
          <w:szCs w:val="20"/>
          <w:lang w:val="en-CA"/>
        </w:rPr>
      </w:pPr>
      <w:r w:rsidRPr="009458D0">
        <w:rPr>
          <w:sz w:val="16"/>
          <w:szCs w:val="20"/>
          <w:lang w:val="en-CA"/>
        </w:rPr>
        <w:t xml:space="preserve">Note:  </w:t>
      </w:r>
      <w:proofErr w:type="gramStart"/>
      <w:r w:rsidRPr="009458D0">
        <w:rPr>
          <w:sz w:val="16"/>
          <w:szCs w:val="20"/>
          <w:vertAlign w:val="superscript"/>
          <w:lang w:val="en-CA"/>
        </w:rPr>
        <w:t>e</w:t>
      </w:r>
      <w:r w:rsidRPr="009458D0">
        <w:rPr>
          <w:sz w:val="16"/>
          <w:szCs w:val="20"/>
          <w:lang w:val="en-CA"/>
        </w:rPr>
        <w:t xml:space="preserve"> :</w:t>
      </w:r>
      <w:proofErr w:type="gramEnd"/>
      <w:r w:rsidRPr="009458D0">
        <w:rPr>
          <w:sz w:val="16"/>
          <w:szCs w:val="20"/>
          <w:lang w:val="en-CA"/>
        </w:rPr>
        <w:t xml:space="preserve"> estimate</w:t>
      </w:r>
    </w:p>
    <w:p w:rsidR="00E21DCE" w:rsidRDefault="00187691" w:rsidP="00E91800">
      <w:pPr>
        <w:spacing w:before="0" w:after="0"/>
        <w:ind w:left="720" w:firstLine="720"/>
        <w:rPr>
          <w:lang w:val="en-CA"/>
        </w:rPr>
      </w:pPr>
      <w:r w:rsidRPr="00865992">
        <w:rPr>
          <w:sz w:val="18"/>
          <w:szCs w:val="20"/>
          <w:lang w:val="en-CA"/>
        </w:rPr>
        <w:t>Source:  Author’s compilation from</w:t>
      </w:r>
      <w:r w:rsidR="00E21DCE" w:rsidRPr="00865992">
        <w:rPr>
          <w:sz w:val="18"/>
          <w:szCs w:val="20"/>
          <w:lang w:val="en-CA"/>
        </w:rPr>
        <w:t xml:space="preserve"> STO and TSDB</w:t>
      </w:r>
      <w:r w:rsidR="00E21DCE" w:rsidRPr="00865992">
        <w:rPr>
          <w:sz w:val="16"/>
          <w:lang w:val="en-CA"/>
        </w:rPr>
        <w:t xml:space="preserve"> </w:t>
      </w:r>
      <w:r w:rsidR="00E21DCE">
        <w:rPr>
          <w:rStyle w:val="FootnoteReference"/>
          <w:lang w:val="en-CA"/>
        </w:rPr>
        <w:footnoteReference w:id="12"/>
      </w:r>
      <w:r w:rsidR="00E21DCE">
        <w:rPr>
          <w:lang w:val="en-CA"/>
        </w:rPr>
        <w:t xml:space="preserve"> </w:t>
      </w:r>
    </w:p>
    <w:p w:rsidR="00E83C6B" w:rsidRDefault="00865992" w:rsidP="00865992">
      <w:pPr>
        <w:rPr>
          <w:lang w:val="en-CA"/>
        </w:rPr>
      </w:pPr>
      <w:r>
        <w:rPr>
          <w:lang w:val="en-CA"/>
        </w:rPr>
        <w:t>Nevertheless, when</w:t>
      </w:r>
      <w:r w:rsidR="00F22D76">
        <w:rPr>
          <w:lang w:val="en-CA"/>
        </w:rPr>
        <w:t xml:space="preserve"> tourism</w:t>
      </w:r>
      <w:r>
        <w:rPr>
          <w:lang w:val="en-CA"/>
        </w:rPr>
        <w:t xml:space="preserve"> expenditures</w:t>
      </w:r>
      <w:r w:rsidR="00F22D76">
        <w:rPr>
          <w:lang w:val="en-CA"/>
        </w:rPr>
        <w:t xml:space="preserve"> </w:t>
      </w:r>
      <w:r w:rsidR="006F7CA7">
        <w:rPr>
          <w:lang w:val="en-CA"/>
        </w:rPr>
        <w:t xml:space="preserve">on these arrivals numbers </w:t>
      </w:r>
      <w:r w:rsidR="00F22D76">
        <w:rPr>
          <w:lang w:val="en-CA"/>
        </w:rPr>
        <w:t>are</w:t>
      </w:r>
      <w:r w:rsidR="006F7CA7">
        <w:rPr>
          <w:lang w:val="en-CA"/>
        </w:rPr>
        <w:t xml:space="preserve"> considered</w:t>
      </w:r>
      <w:r w:rsidR="00F22D76">
        <w:rPr>
          <w:lang w:val="en-CA"/>
        </w:rPr>
        <w:t xml:space="preserve">, a picture of significant growth emerges.  Table 3.2 </w:t>
      </w:r>
      <w:r w:rsidR="003E6CFC">
        <w:rPr>
          <w:lang w:val="en-CA"/>
        </w:rPr>
        <w:t xml:space="preserve">shows the annual expenditures made by tourists, both international and domestic, in </w:t>
      </w:r>
      <w:r w:rsidR="006F7CA7">
        <w:rPr>
          <w:lang w:val="en-CA"/>
        </w:rPr>
        <w:t xml:space="preserve">2011 compared with </w:t>
      </w:r>
      <w:r w:rsidR="003E6CFC">
        <w:rPr>
          <w:lang w:val="en-CA"/>
        </w:rPr>
        <w:t xml:space="preserve">2007.  Taken together, the total increase in tourism expenditures over the five-year period was 70 percent.  </w:t>
      </w:r>
    </w:p>
    <w:p w:rsidR="002C557A" w:rsidRDefault="002C557A" w:rsidP="002C557A">
      <w:pPr>
        <w:pStyle w:val="Caption"/>
        <w:rPr>
          <w:lang w:val="en-CA"/>
        </w:rPr>
      </w:pPr>
      <w:bookmarkStart w:id="30" w:name="_Toc325871731"/>
      <w:r>
        <w:t xml:space="preserve">Table </w:t>
      </w:r>
      <w:fldSimple w:instr=" STYLEREF 1 \s ">
        <w:r w:rsidR="00DC37BE">
          <w:rPr>
            <w:noProof/>
          </w:rPr>
          <w:t>3</w:t>
        </w:r>
      </w:fldSimple>
      <w:r w:rsidR="00DC37BE">
        <w:noBreakHyphen/>
      </w:r>
      <w:fldSimple w:instr=" SEQ Table \* ARABIC \s 1 ">
        <w:r w:rsidR="00DC37BE">
          <w:rPr>
            <w:noProof/>
          </w:rPr>
          <w:t>3</w:t>
        </w:r>
      </w:fldSimple>
      <w:r>
        <w:t xml:space="preserve">  Tourism Expenditures 2007 and 2011</w:t>
      </w:r>
      <w:bookmarkEnd w:id="30"/>
    </w:p>
    <w:tbl>
      <w:tblPr>
        <w:tblW w:w="0" w:type="auto"/>
        <w:jc w:val="center"/>
        <w:tblInd w:w="96" w:type="dxa"/>
        <w:tblLook w:val="04A0"/>
      </w:tblPr>
      <w:tblGrid>
        <w:gridCol w:w="939"/>
        <w:gridCol w:w="1639"/>
        <w:gridCol w:w="1676"/>
        <w:gridCol w:w="1340"/>
      </w:tblGrid>
      <w:tr w:rsidR="002C557A" w:rsidRPr="009458D0" w:rsidTr="007A4A43">
        <w:trPr>
          <w:trHeight w:val="255"/>
          <w:jc w:val="center"/>
        </w:trPr>
        <w:tc>
          <w:tcPr>
            <w:tcW w:w="0" w:type="auto"/>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2C557A" w:rsidRPr="009458D0" w:rsidRDefault="002C557A" w:rsidP="007A4A43">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Expenditure on Tourist Trips (million SR)</w:t>
            </w:r>
          </w:p>
        </w:tc>
      </w:tr>
      <w:tr w:rsidR="002C557A" w:rsidRPr="009458D0" w:rsidTr="007A4A43">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557A" w:rsidRPr="009458D0" w:rsidRDefault="002C557A" w:rsidP="007A4A43">
            <w:pPr>
              <w:spacing w:before="0" w:after="0"/>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 </w:t>
            </w:r>
          </w:p>
        </w:tc>
        <w:tc>
          <w:tcPr>
            <w:tcW w:w="0" w:type="auto"/>
            <w:tcBorders>
              <w:top w:val="nil"/>
              <w:left w:val="nil"/>
              <w:bottom w:val="single" w:sz="4" w:space="0" w:color="auto"/>
              <w:right w:val="single" w:sz="4" w:space="0" w:color="auto"/>
            </w:tcBorders>
            <w:shd w:val="clear" w:color="auto" w:fill="auto"/>
            <w:noWrap/>
            <w:vAlign w:val="center"/>
            <w:hideMark/>
          </w:tcPr>
          <w:p w:rsidR="002C557A" w:rsidRPr="009458D0" w:rsidRDefault="002C557A" w:rsidP="007A4A43">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2007</w:t>
            </w:r>
          </w:p>
        </w:tc>
        <w:tc>
          <w:tcPr>
            <w:tcW w:w="0" w:type="auto"/>
            <w:tcBorders>
              <w:top w:val="nil"/>
              <w:left w:val="nil"/>
              <w:bottom w:val="single" w:sz="4" w:space="0" w:color="auto"/>
              <w:right w:val="single" w:sz="4" w:space="0" w:color="auto"/>
            </w:tcBorders>
            <w:shd w:val="clear" w:color="auto" w:fill="auto"/>
            <w:noWrap/>
            <w:vAlign w:val="center"/>
            <w:hideMark/>
          </w:tcPr>
          <w:p w:rsidR="002C557A" w:rsidRPr="009458D0" w:rsidRDefault="002C557A" w:rsidP="007A4A43">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2011</w:t>
            </w:r>
          </w:p>
        </w:tc>
        <w:tc>
          <w:tcPr>
            <w:tcW w:w="0" w:type="auto"/>
            <w:tcBorders>
              <w:top w:val="nil"/>
              <w:left w:val="nil"/>
              <w:bottom w:val="single" w:sz="4" w:space="0" w:color="auto"/>
              <w:right w:val="single" w:sz="4" w:space="0" w:color="auto"/>
            </w:tcBorders>
            <w:shd w:val="clear" w:color="auto" w:fill="auto"/>
            <w:noWrap/>
            <w:vAlign w:val="bottom"/>
            <w:hideMark/>
          </w:tcPr>
          <w:p w:rsidR="002C557A" w:rsidRPr="009458D0" w:rsidRDefault="002C557A" w:rsidP="007A4A43">
            <w:pPr>
              <w:spacing w:before="0" w:after="0"/>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Change 2007-2011</w:t>
            </w:r>
          </w:p>
        </w:tc>
      </w:tr>
      <w:tr w:rsidR="002C557A" w:rsidRPr="009458D0" w:rsidTr="007A4A43">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557A" w:rsidRPr="009458D0" w:rsidRDefault="002C557A" w:rsidP="007A4A43">
            <w:pPr>
              <w:spacing w:before="0" w:after="0"/>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International</w:t>
            </w:r>
          </w:p>
        </w:tc>
        <w:tc>
          <w:tcPr>
            <w:tcW w:w="0" w:type="auto"/>
            <w:tcBorders>
              <w:top w:val="nil"/>
              <w:left w:val="nil"/>
              <w:bottom w:val="single" w:sz="4" w:space="0" w:color="auto"/>
              <w:right w:val="single" w:sz="4" w:space="0" w:color="auto"/>
            </w:tcBorders>
            <w:shd w:val="clear" w:color="auto" w:fill="auto"/>
            <w:noWrap/>
            <w:vAlign w:val="bottom"/>
            <w:hideMark/>
          </w:tcPr>
          <w:p w:rsidR="002C557A" w:rsidRPr="009458D0" w:rsidRDefault="002C557A" w:rsidP="007A4A43">
            <w:pPr>
              <w:spacing w:before="0" w:after="0"/>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 xml:space="preserve">                            32,451 </w:t>
            </w:r>
          </w:p>
        </w:tc>
        <w:tc>
          <w:tcPr>
            <w:tcW w:w="0" w:type="auto"/>
            <w:tcBorders>
              <w:top w:val="nil"/>
              <w:left w:val="nil"/>
              <w:bottom w:val="single" w:sz="4" w:space="0" w:color="auto"/>
              <w:right w:val="single" w:sz="4" w:space="0" w:color="auto"/>
            </w:tcBorders>
            <w:shd w:val="clear" w:color="auto" w:fill="auto"/>
            <w:noWrap/>
            <w:vAlign w:val="bottom"/>
            <w:hideMark/>
          </w:tcPr>
          <w:p w:rsidR="002C557A" w:rsidRPr="009458D0" w:rsidRDefault="002C557A" w:rsidP="007A4A43">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49,015</w:t>
            </w:r>
          </w:p>
        </w:tc>
        <w:tc>
          <w:tcPr>
            <w:tcW w:w="0" w:type="auto"/>
            <w:tcBorders>
              <w:top w:val="nil"/>
              <w:left w:val="nil"/>
              <w:bottom w:val="single" w:sz="4" w:space="0" w:color="auto"/>
              <w:right w:val="single" w:sz="4" w:space="0" w:color="auto"/>
            </w:tcBorders>
            <w:shd w:val="clear" w:color="auto" w:fill="auto"/>
            <w:noWrap/>
            <w:vAlign w:val="bottom"/>
            <w:hideMark/>
          </w:tcPr>
          <w:p w:rsidR="002C557A" w:rsidRPr="009458D0" w:rsidRDefault="002C557A" w:rsidP="007A4A43">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51%</w:t>
            </w:r>
          </w:p>
        </w:tc>
      </w:tr>
      <w:tr w:rsidR="002C557A" w:rsidRPr="009458D0" w:rsidTr="007A4A43">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557A" w:rsidRPr="009458D0" w:rsidRDefault="002C557A" w:rsidP="007A4A43">
            <w:pPr>
              <w:spacing w:before="0" w:after="0"/>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Domestic</w:t>
            </w:r>
          </w:p>
        </w:tc>
        <w:tc>
          <w:tcPr>
            <w:tcW w:w="0" w:type="auto"/>
            <w:tcBorders>
              <w:top w:val="nil"/>
              <w:left w:val="nil"/>
              <w:bottom w:val="single" w:sz="4" w:space="0" w:color="auto"/>
              <w:right w:val="single" w:sz="4" w:space="0" w:color="auto"/>
            </w:tcBorders>
            <w:shd w:val="clear" w:color="auto" w:fill="auto"/>
            <w:noWrap/>
            <w:vAlign w:val="bottom"/>
            <w:hideMark/>
          </w:tcPr>
          <w:p w:rsidR="002C557A" w:rsidRPr="009458D0" w:rsidRDefault="002C557A" w:rsidP="007A4A43">
            <w:pPr>
              <w:spacing w:before="0" w:after="0"/>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 xml:space="preserve">                            17,434 </w:t>
            </w:r>
          </w:p>
        </w:tc>
        <w:tc>
          <w:tcPr>
            <w:tcW w:w="0" w:type="auto"/>
            <w:tcBorders>
              <w:top w:val="nil"/>
              <w:left w:val="nil"/>
              <w:bottom w:val="single" w:sz="4" w:space="0" w:color="auto"/>
              <w:right w:val="single" w:sz="4" w:space="0" w:color="auto"/>
            </w:tcBorders>
            <w:shd w:val="clear" w:color="auto" w:fill="auto"/>
            <w:noWrap/>
            <w:vAlign w:val="bottom"/>
            <w:hideMark/>
          </w:tcPr>
          <w:p w:rsidR="002C557A" w:rsidRPr="009458D0" w:rsidRDefault="002C557A" w:rsidP="007A4A43">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35,548</w:t>
            </w:r>
          </w:p>
        </w:tc>
        <w:tc>
          <w:tcPr>
            <w:tcW w:w="0" w:type="auto"/>
            <w:tcBorders>
              <w:top w:val="nil"/>
              <w:left w:val="nil"/>
              <w:bottom w:val="single" w:sz="4" w:space="0" w:color="auto"/>
              <w:right w:val="single" w:sz="4" w:space="0" w:color="auto"/>
            </w:tcBorders>
            <w:shd w:val="clear" w:color="auto" w:fill="auto"/>
            <w:noWrap/>
            <w:vAlign w:val="bottom"/>
            <w:hideMark/>
          </w:tcPr>
          <w:p w:rsidR="002C557A" w:rsidRPr="009458D0" w:rsidRDefault="002C557A" w:rsidP="007A4A43">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104%</w:t>
            </w:r>
          </w:p>
        </w:tc>
      </w:tr>
      <w:tr w:rsidR="002C557A" w:rsidRPr="009458D0" w:rsidTr="007A4A43">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557A" w:rsidRPr="009458D0" w:rsidRDefault="002C557A" w:rsidP="007A4A43">
            <w:pPr>
              <w:spacing w:before="0" w:after="0"/>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Total</w:t>
            </w:r>
          </w:p>
        </w:tc>
        <w:tc>
          <w:tcPr>
            <w:tcW w:w="0" w:type="auto"/>
            <w:tcBorders>
              <w:top w:val="nil"/>
              <w:left w:val="nil"/>
              <w:bottom w:val="single" w:sz="4" w:space="0" w:color="auto"/>
              <w:right w:val="single" w:sz="4" w:space="0" w:color="auto"/>
            </w:tcBorders>
            <w:shd w:val="clear" w:color="auto" w:fill="auto"/>
            <w:noWrap/>
            <w:vAlign w:val="bottom"/>
            <w:hideMark/>
          </w:tcPr>
          <w:p w:rsidR="002C557A" w:rsidRPr="009458D0" w:rsidRDefault="002C557A" w:rsidP="007A4A43">
            <w:pPr>
              <w:spacing w:before="0" w:after="0"/>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 xml:space="preserve">                            49,884 </w:t>
            </w:r>
          </w:p>
        </w:tc>
        <w:tc>
          <w:tcPr>
            <w:tcW w:w="0" w:type="auto"/>
            <w:tcBorders>
              <w:top w:val="nil"/>
              <w:left w:val="nil"/>
              <w:bottom w:val="single" w:sz="4" w:space="0" w:color="auto"/>
              <w:right w:val="single" w:sz="4" w:space="0" w:color="auto"/>
            </w:tcBorders>
            <w:shd w:val="clear" w:color="auto" w:fill="auto"/>
            <w:noWrap/>
            <w:vAlign w:val="bottom"/>
            <w:hideMark/>
          </w:tcPr>
          <w:p w:rsidR="002C557A" w:rsidRPr="009458D0" w:rsidRDefault="002C557A" w:rsidP="007A4A43">
            <w:pPr>
              <w:spacing w:before="0" w:after="0"/>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 xml:space="preserve">                             84,563 </w:t>
            </w:r>
          </w:p>
        </w:tc>
        <w:tc>
          <w:tcPr>
            <w:tcW w:w="0" w:type="auto"/>
            <w:tcBorders>
              <w:top w:val="nil"/>
              <w:left w:val="nil"/>
              <w:bottom w:val="single" w:sz="4" w:space="0" w:color="auto"/>
              <w:right w:val="single" w:sz="4" w:space="0" w:color="auto"/>
            </w:tcBorders>
            <w:shd w:val="clear" w:color="auto" w:fill="auto"/>
            <w:noWrap/>
            <w:vAlign w:val="bottom"/>
            <w:hideMark/>
          </w:tcPr>
          <w:p w:rsidR="002C557A" w:rsidRPr="009458D0" w:rsidRDefault="002C557A" w:rsidP="007A4A43">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70%</w:t>
            </w:r>
          </w:p>
        </w:tc>
      </w:tr>
    </w:tbl>
    <w:p w:rsidR="002C557A" w:rsidRPr="00F22D76" w:rsidRDefault="002C557A" w:rsidP="00371EB3">
      <w:pPr>
        <w:ind w:left="1440" w:firstLine="720"/>
        <w:rPr>
          <w:sz w:val="18"/>
          <w:szCs w:val="18"/>
          <w:lang w:val="en-CA"/>
        </w:rPr>
      </w:pPr>
      <w:r w:rsidRPr="00F22D76">
        <w:rPr>
          <w:sz w:val="18"/>
          <w:szCs w:val="18"/>
          <w:lang w:val="en-CA"/>
        </w:rPr>
        <w:t>Source:  STO, TSDB</w:t>
      </w:r>
    </w:p>
    <w:p w:rsidR="009458D0" w:rsidRDefault="00B4207A">
      <w:pPr>
        <w:rPr>
          <w:lang w:val="en-CA"/>
        </w:rPr>
      </w:pPr>
      <w:r>
        <w:rPr>
          <w:lang w:val="en-CA"/>
        </w:rPr>
        <w:t xml:space="preserve">The breakdown </w:t>
      </w:r>
      <w:r w:rsidR="004D37F1">
        <w:rPr>
          <w:lang w:val="en-CA"/>
        </w:rPr>
        <w:t>of expenditures in the table indicates that while international tourists’ spending increased at exactly the same pace as their increase in numbers</w:t>
      </w:r>
      <w:r w:rsidR="00E83C6B">
        <w:rPr>
          <w:lang w:val="en-CA"/>
        </w:rPr>
        <w:t>,</w:t>
      </w:r>
      <w:r w:rsidR="004D37F1">
        <w:rPr>
          <w:lang w:val="en-CA"/>
        </w:rPr>
        <w:t xml:space="preserve"> spending by domestic travellers </w:t>
      </w:r>
      <w:r w:rsidR="007D6420">
        <w:rPr>
          <w:lang w:val="en-CA"/>
        </w:rPr>
        <w:t xml:space="preserve">on each tourist trip </w:t>
      </w:r>
      <w:r w:rsidR="003E6CFC">
        <w:rPr>
          <w:lang w:val="en-CA"/>
        </w:rPr>
        <w:t>more than doubled</w:t>
      </w:r>
      <w:r w:rsidR="004D37F1">
        <w:rPr>
          <w:lang w:val="en-CA"/>
        </w:rPr>
        <w:t xml:space="preserve">.  </w:t>
      </w:r>
      <w:r w:rsidR="007D6420">
        <w:rPr>
          <w:lang w:val="en-CA"/>
        </w:rPr>
        <w:t>That is, while the numbers of international (inbound) travellers increased by almost 52 percent, as Figure 3.5 shows, expenditures of these travellers</w:t>
      </w:r>
      <w:r w:rsidR="002C557A">
        <w:rPr>
          <w:lang w:val="en-CA"/>
        </w:rPr>
        <w:t xml:space="preserve"> while in SA</w:t>
      </w:r>
      <w:r w:rsidR="007D6420">
        <w:rPr>
          <w:lang w:val="en-CA"/>
        </w:rPr>
        <w:t xml:space="preserve">, shown in Table 3.2, </w:t>
      </w:r>
      <w:r w:rsidR="002C557A">
        <w:rPr>
          <w:lang w:val="en-CA"/>
        </w:rPr>
        <w:t xml:space="preserve">kept pace with the higher numbers, and </w:t>
      </w:r>
      <w:r w:rsidR="007D6420">
        <w:rPr>
          <w:lang w:val="en-CA"/>
        </w:rPr>
        <w:t>did not in fact grow</w:t>
      </w:r>
      <w:r w:rsidR="002C557A">
        <w:rPr>
          <w:lang w:val="en-CA"/>
        </w:rPr>
        <w:t xml:space="preserve"> on a per-visitor basis</w:t>
      </w:r>
      <w:r w:rsidR="007D6420">
        <w:rPr>
          <w:lang w:val="en-CA"/>
        </w:rPr>
        <w:t>.</w:t>
      </w:r>
      <w:r w:rsidR="002C557A">
        <w:rPr>
          <w:lang w:val="en-CA"/>
        </w:rPr>
        <w:t xml:space="preserve">  It was domestic tourists who spent more.  </w:t>
      </w:r>
      <w:r w:rsidR="007D6420">
        <w:rPr>
          <w:lang w:val="en-CA"/>
        </w:rPr>
        <w:t>Expenditures per trip are summarized in Table 3.3.</w:t>
      </w:r>
      <w:r w:rsidR="002C557A">
        <w:rPr>
          <w:lang w:val="en-CA"/>
        </w:rPr>
        <w:t xml:space="preserve">  The table shows the impact of </w:t>
      </w:r>
      <w:r w:rsidR="004D37F1">
        <w:rPr>
          <w:lang w:val="en-CA"/>
        </w:rPr>
        <w:t xml:space="preserve">spending </w:t>
      </w:r>
      <w:r w:rsidR="002C557A">
        <w:rPr>
          <w:lang w:val="en-CA"/>
        </w:rPr>
        <w:t xml:space="preserve">by domestic travellers.  As Table 3.3 shows, </w:t>
      </w:r>
      <w:r w:rsidR="007D6420">
        <w:rPr>
          <w:lang w:val="en-CA"/>
        </w:rPr>
        <w:t>international tourists continued to spend the same average amount, about 2800 SR per visitor/trip</w:t>
      </w:r>
      <w:r w:rsidR="00D97C51">
        <w:rPr>
          <w:lang w:val="en-CA"/>
        </w:rPr>
        <w:t xml:space="preserve"> – with no real growth on a per-visitor basis (although the growth in numbers of visitors from abroad, as already noted,  </w:t>
      </w:r>
      <w:r w:rsidR="000A3F4B">
        <w:rPr>
          <w:lang w:val="en-CA"/>
        </w:rPr>
        <w:t>raised tourism sector receipts significantly).  Looking at expenditure per domestic tourist trip, the table shows that spending by within-country travellers more than doubled – in fact, domestic tourists increased their expenditure per trip by almost 160 percent.</w:t>
      </w:r>
      <w:r w:rsidR="007A4A43">
        <w:rPr>
          <w:lang w:val="en-CA"/>
        </w:rPr>
        <w:t xml:space="preserve"> In 2007, a domestic tourist trip resulted in just 611 SR of expenditure, in 2011 domestic travellers were spending 1582 SR per trip. </w:t>
      </w:r>
    </w:p>
    <w:p w:rsidR="00E92109" w:rsidRDefault="00E92109" w:rsidP="00025563">
      <w:pPr>
        <w:autoSpaceDE w:val="0"/>
        <w:autoSpaceDN w:val="0"/>
        <w:adjustRightInd w:val="0"/>
        <w:spacing w:before="0" w:after="0"/>
        <w:rPr>
          <w:rFonts w:cs="Arial-BoldMT"/>
          <w:bCs/>
          <w:sz w:val="18"/>
          <w:szCs w:val="18"/>
          <w:lang w:val="en-CA"/>
        </w:rPr>
      </w:pPr>
    </w:p>
    <w:p w:rsidR="002646B2" w:rsidRPr="00412B1C" w:rsidRDefault="0086179C" w:rsidP="0086179C">
      <w:pPr>
        <w:pStyle w:val="Caption"/>
        <w:rPr>
          <w:rFonts w:cs="Arial-BoldMT"/>
          <w:bCs w:val="0"/>
          <w:lang w:val="en-CA"/>
        </w:rPr>
      </w:pPr>
      <w:bookmarkStart w:id="31" w:name="_Toc325871732"/>
      <w:r>
        <w:t xml:space="preserve">Table </w:t>
      </w:r>
      <w:fldSimple w:instr=" STYLEREF 1 \s ">
        <w:r w:rsidR="00DC37BE">
          <w:rPr>
            <w:noProof/>
          </w:rPr>
          <w:t>3</w:t>
        </w:r>
      </w:fldSimple>
      <w:r w:rsidR="00DC37BE">
        <w:noBreakHyphen/>
      </w:r>
      <w:fldSimple w:instr=" SEQ Table \* ARABIC \s 1 ">
        <w:r w:rsidR="00DC37BE">
          <w:rPr>
            <w:noProof/>
          </w:rPr>
          <w:t>4</w:t>
        </w:r>
      </w:fldSimple>
      <w:r>
        <w:t xml:space="preserve">  </w:t>
      </w:r>
      <w:r w:rsidRPr="00524CAB">
        <w:t>Tourism Expenditures 2007 and 2011</w:t>
      </w:r>
      <w:bookmarkEnd w:id="31"/>
    </w:p>
    <w:tbl>
      <w:tblPr>
        <w:tblW w:w="0" w:type="auto"/>
        <w:tblInd w:w="99" w:type="dxa"/>
        <w:tblLayout w:type="fixed"/>
        <w:tblLook w:val="04A0"/>
      </w:tblPr>
      <w:tblGrid>
        <w:gridCol w:w="1427"/>
        <w:gridCol w:w="1219"/>
        <w:gridCol w:w="1254"/>
        <w:gridCol w:w="1176"/>
        <w:gridCol w:w="951"/>
        <w:gridCol w:w="1254"/>
        <w:gridCol w:w="1176"/>
        <w:gridCol w:w="1020"/>
      </w:tblGrid>
      <w:tr w:rsidR="00E92109" w:rsidRPr="009458D0" w:rsidTr="00E92109">
        <w:trPr>
          <w:trHeight w:val="255"/>
        </w:trPr>
        <w:tc>
          <w:tcPr>
            <w:tcW w:w="9477" w:type="dxa"/>
            <w:gridSpan w:val="8"/>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rsidR="00E92109" w:rsidRPr="009458D0" w:rsidRDefault="00E92109" w:rsidP="00E92109">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Change in tourism expenditures</w:t>
            </w:r>
            <w:r w:rsidR="00E83C6B">
              <w:rPr>
                <w:rFonts w:ascii="Arial Narrow" w:eastAsia="Times New Roman" w:hAnsi="Arial Narrow" w:cs="Arial"/>
                <w:sz w:val="16"/>
                <w:szCs w:val="16"/>
                <w:lang w:val="en-CA" w:eastAsia="en-CA"/>
              </w:rPr>
              <w:t>, per trip</w:t>
            </w:r>
            <w:r w:rsidRPr="009458D0">
              <w:rPr>
                <w:rFonts w:ascii="Arial Narrow" w:eastAsia="Times New Roman" w:hAnsi="Arial Narrow" w:cs="Arial"/>
                <w:sz w:val="16"/>
                <w:szCs w:val="16"/>
                <w:lang w:val="en-CA" w:eastAsia="en-CA"/>
              </w:rPr>
              <w:t>, 2007-2011</w:t>
            </w:r>
          </w:p>
        </w:tc>
      </w:tr>
      <w:tr w:rsidR="00412B1C" w:rsidRPr="009458D0" w:rsidTr="007D6420">
        <w:trPr>
          <w:trHeight w:val="285"/>
        </w:trPr>
        <w:tc>
          <w:tcPr>
            <w:tcW w:w="1427" w:type="dxa"/>
            <w:vMerge w:val="restart"/>
            <w:tcBorders>
              <w:top w:val="nil"/>
              <w:left w:val="single" w:sz="4" w:space="0" w:color="auto"/>
              <w:right w:val="single" w:sz="4" w:space="0" w:color="auto"/>
            </w:tcBorders>
            <w:shd w:val="clear" w:color="auto" w:fill="E6E6E6"/>
            <w:noWrap/>
            <w:vAlign w:val="bottom"/>
            <w:hideMark/>
          </w:tcPr>
          <w:p w:rsidR="00412B1C" w:rsidRPr="009458D0" w:rsidRDefault="00412B1C" w:rsidP="00E92109">
            <w:pPr>
              <w:spacing w:before="0" w:after="0"/>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 </w:t>
            </w:r>
          </w:p>
          <w:p w:rsidR="00412B1C" w:rsidRPr="009458D0" w:rsidRDefault="00412B1C" w:rsidP="00E92109">
            <w:pPr>
              <w:spacing w:before="0" w:after="0"/>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 </w:t>
            </w:r>
          </w:p>
        </w:tc>
        <w:tc>
          <w:tcPr>
            <w:tcW w:w="3649"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12B1C" w:rsidRPr="009458D0" w:rsidRDefault="00412B1C" w:rsidP="00E92109">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2007</w:t>
            </w:r>
          </w:p>
        </w:tc>
        <w:tc>
          <w:tcPr>
            <w:tcW w:w="338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12B1C" w:rsidRPr="009458D0" w:rsidRDefault="00412B1C" w:rsidP="00E92109">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2011</w:t>
            </w:r>
            <w:r w:rsidRPr="009458D0">
              <w:rPr>
                <w:rFonts w:ascii="Arial Narrow" w:eastAsia="Times New Roman" w:hAnsi="Arial Narrow" w:cs="Arial"/>
                <w:sz w:val="16"/>
                <w:szCs w:val="16"/>
                <w:vertAlign w:val="superscript"/>
                <w:lang w:val="en-CA" w:eastAsia="en-CA"/>
              </w:rPr>
              <w:t>e</w:t>
            </w:r>
          </w:p>
        </w:tc>
        <w:tc>
          <w:tcPr>
            <w:tcW w:w="1020" w:type="dxa"/>
            <w:vMerge w:val="restart"/>
            <w:tcBorders>
              <w:top w:val="nil"/>
              <w:left w:val="nil"/>
              <w:right w:val="single" w:sz="4" w:space="0" w:color="auto"/>
            </w:tcBorders>
            <w:shd w:val="clear" w:color="auto" w:fill="D9D9D9" w:themeFill="background1" w:themeFillShade="D9"/>
            <w:noWrap/>
            <w:vAlign w:val="center"/>
            <w:hideMark/>
          </w:tcPr>
          <w:p w:rsidR="00412B1C" w:rsidRPr="00E83C6B" w:rsidRDefault="00412B1C" w:rsidP="007D6420">
            <w:pPr>
              <w:spacing w:before="0" w:after="0"/>
              <w:jc w:val="center"/>
              <w:rPr>
                <w:rFonts w:ascii="Arial Narrow" w:eastAsia="Times New Roman" w:hAnsi="Arial Narrow" w:cs="Arial"/>
                <w:sz w:val="16"/>
                <w:szCs w:val="16"/>
                <w:lang w:val="en-CA" w:eastAsia="en-CA"/>
              </w:rPr>
            </w:pPr>
            <w:r w:rsidRPr="00E83C6B">
              <w:rPr>
                <w:rFonts w:ascii="Arial Narrow" w:eastAsia="Times New Roman" w:hAnsi="Arial Narrow" w:cs="Arial"/>
                <w:sz w:val="16"/>
                <w:szCs w:val="16"/>
                <w:lang w:val="en-CA" w:eastAsia="en-CA"/>
              </w:rPr>
              <w:t>Change</w:t>
            </w:r>
            <w:r w:rsidR="00E83C6B">
              <w:rPr>
                <w:rFonts w:ascii="Arial Narrow" w:eastAsia="Times New Roman" w:hAnsi="Arial Narrow" w:cs="Arial"/>
                <w:sz w:val="16"/>
                <w:szCs w:val="16"/>
                <w:lang w:val="en-CA" w:eastAsia="en-CA"/>
              </w:rPr>
              <w:t>, expenditure</w:t>
            </w:r>
            <w:r w:rsidRPr="00E83C6B">
              <w:rPr>
                <w:rFonts w:ascii="Arial Narrow" w:eastAsia="Times New Roman" w:hAnsi="Arial Narrow" w:cs="Arial"/>
                <w:sz w:val="16"/>
                <w:szCs w:val="16"/>
                <w:lang w:val="en-CA" w:eastAsia="en-CA"/>
              </w:rPr>
              <w:t xml:space="preserve"> </w:t>
            </w:r>
            <w:r w:rsidR="00E83C6B" w:rsidRPr="00E83C6B">
              <w:rPr>
                <w:rFonts w:ascii="Arial Narrow" w:eastAsia="Times New Roman" w:hAnsi="Arial Narrow" w:cs="Arial"/>
                <w:sz w:val="16"/>
                <w:szCs w:val="16"/>
                <w:lang w:val="en-CA" w:eastAsia="en-CA"/>
              </w:rPr>
              <w:t>/</w:t>
            </w:r>
            <w:r w:rsidR="007A4A43">
              <w:rPr>
                <w:rFonts w:ascii="Arial Narrow" w:eastAsia="Times New Roman" w:hAnsi="Arial Narrow" w:cs="Arial"/>
                <w:sz w:val="16"/>
                <w:szCs w:val="16"/>
                <w:lang w:val="en-CA" w:eastAsia="en-CA"/>
              </w:rPr>
              <w:t xml:space="preserve"> </w:t>
            </w:r>
            <w:r w:rsidR="00E83C6B">
              <w:rPr>
                <w:rFonts w:ascii="Arial Narrow" w:eastAsia="Times New Roman" w:hAnsi="Arial Narrow" w:cs="Arial"/>
                <w:sz w:val="16"/>
                <w:szCs w:val="16"/>
                <w:lang w:val="en-CA" w:eastAsia="en-CA"/>
              </w:rPr>
              <w:t>trip</w:t>
            </w:r>
          </w:p>
        </w:tc>
      </w:tr>
      <w:tr w:rsidR="00412B1C" w:rsidRPr="009458D0" w:rsidTr="00412B1C">
        <w:trPr>
          <w:trHeight w:val="255"/>
        </w:trPr>
        <w:tc>
          <w:tcPr>
            <w:tcW w:w="1427" w:type="dxa"/>
            <w:vMerge/>
            <w:tcBorders>
              <w:left w:val="single" w:sz="4" w:space="0" w:color="auto"/>
              <w:bottom w:val="single" w:sz="4" w:space="0" w:color="auto"/>
              <w:right w:val="single" w:sz="4" w:space="0" w:color="auto"/>
            </w:tcBorders>
            <w:shd w:val="clear" w:color="auto" w:fill="E6E6E6"/>
            <w:noWrap/>
            <w:vAlign w:val="bottom"/>
            <w:hideMark/>
          </w:tcPr>
          <w:p w:rsidR="00412B1C" w:rsidRPr="009458D0" w:rsidRDefault="00412B1C" w:rsidP="00E92109">
            <w:pPr>
              <w:spacing w:before="0" w:after="0"/>
              <w:rPr>
                <w:rFonts w:ascii="Arial Narrow" w:eastAsia="Times New Roman" w:hAnsi="Arial Narrow" w:cs="Arial"/>
                <w:sz w:val="16"/>
                <w:szCs w:val="16"/>
                <w:lang w:val="en-CA" w:eastAsia="en-CA"/>
              </w:rPr>
            </w:pPr>
          </w:p>
        </w:tc>
        <w:tc>
          <w:tcPr>
            <w:tcW w:w="1219" w:type="dxa"/>
            <w:tcBorders>
              <w:top w:val="nil"/>
              <w:left w:val="nil"/>
              <w:bottom w:val="single" w:sz="4" w:space="0" w:color="auto"/>
              <w:right w:val="single" w:sz="4" w:space="0" w:color="auto"/>
            </w:tcBorders>
            <w:shd w:val="clear" w:color="auto" w:fill="auto"/>
            <w:noWrap/>
            <w:vAlign w:val="center"/>
            <w:hideMark/>
          </w:tcPr>
          <w:p w:rsidR="00412B1C" w:rsidRPr="009458D0" w:rsidRDefault="00412B1C" w:rsidP="00E92109">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Tourists (millions)</w:t>
            </w:r>
          </w:p>
        </w:tc>
        <w:tc>
          <w:tcPr>
            <w:tcW w:w="1254" w:type="dxa"/>
            <w:tcBorders>
              <w:top w:val="nil"/>
              <w:left w:val="nil"/>
              <w:bottom w:val="single" w:sz="4" w:space="0" w:color="auto"/>
              <w:right w:val="single" w:sz="4" w:space="0" w:color="auto"/>
            </w:tcBorders>
            <w:shd w:val="clear" w:color="auto" w:fill="auto"/>
            <w:noWrap/>
            <w:vAlign w:val="center"/>
            <w:hideMark/>
          </w:tcPr>
          <w:p w:rsidR="00412B1C" w:rsidRPr="009458D0" w:rsidRDefault="00412B1C" w:rsidP="00E92109">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Expenditure  (million SR)</w:t>
            </w:r>
          </w:p>
        </w:tc>
        <w:tc>
          <w:tcPr>
            <w:tcW w:w="1176" w:type="dxa"/>
            <w:tcBorders>
              <w:top w:val="nil"/>
              <w:left w:val="nil"/>
              <w:bottom w:val="single" w:sz="4" w:space="0" w:color="auto"/>
              <w:right w:val="single" w:sz="4" w:space="0" w:color="auto"/>
            </w:tcBorders>
            <w:shd w:val="clear" w:color="auto" w:fill="auto"/>
            <w:noWrap/>
            <w:vAlign w:val="center"/>
            <w:hideMark/>
          </w:tcPr>
          <w:p w:rsidR="00412B1C" w:rsidRPr="009458D0" w:rsidRDefault="00412B1C" w:rsidP="00E92109">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Expenditure  per visitor (SR)</w:t>
            </w:r>
          </w:p>
        </w:tc>
        <w:tc>
          <w:tcPr>
            <w:tcW w:w="951" w:type="dxa"/>
            <w:tcBorders>
              <w:top w:val="nil"/>
              <w:left w:val="nil"/>
              <w:bottom w:val="single" w:sz="4" w:space="0" w:color="auto"/>
              <w:right w:val="single" w:sz="4" w:space="0" w:color="auto"/>
            </w:tcBorders>
            <w:shd w:val="clear" w:color="auto" w:fill="auto"/>
            <w:noWrap/>
            <w:vAlign w:val="center"/>
            <w:hideMark/>
          </w:tcPr>
          <w:p w:rsidR="00412B1C" w:rsidRPr="009458D0" w:rsidRDefault="00412B1C" w:rsidP="00E92109">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Tourists (millions)</w:t>
            </w:r>
          </w:p>
        </w:tc>
        <w:tc>
          <w:tcPr>
            <w:tcW w:w="1254" w:type="dxa"/>
            <w:tcBorders>
              <w:top w:val="nil"/>
              <w:left w:val="nil"/>
              <w:bottom w:val="single" w:sz="4" w:space="0" w:color="auto"/>
              <w:right w:val="single" w:sz="4" w:space="0" w:color="auto"/>
            </w:tcBorders>
            <w:shd w:val="clear" w:color="auto" w:fill="auto"/>
            <w:noWrap/>
            <w:vAlign w:val="center"/>
            <w:hideMark/>
          </w:tcPr>
          <w:p w:rsidR="00412B1C" w:rsidRPr="009458D0" w:rsidRDefault="00412B1C" w:rsidP="00E92109">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Expenditure  (million SR)</w:t>
            </w:r>
          </w:p>
        </w:tc>
        <w:tc>
          <w:tcPr>
            <w:tcW w:w="1176" w:type="dxa"/>
            <w:tcBorders>
              <w:top w:val="nil"/>
              <w:left w:val="nil"/>
              <w:bottom w:val="single" w:sz="4" w:space="0" w:color="auto"/>
              <w:right w:val="single" w:sz="4" w:space="0" w:color="auto"/>
            </w:tcBorders>
            <w:shd w:val="clear" w:color="auto" w:fill="auto"/>
            <w:noWrap/>
            <w:vAlign w:val="center"/>
            <w:hideMark/>
          </w:tcPr>
          <w:p w:rsidR="00412B1C" w:rsidRPr="009458D0" w:rsidRDefault="00412B1C" w:rsidP="00E92109">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Expenditure  per visitor (SR)</w:t>
            </w:r>
          </w:p>
        </w:tc>
        <w:tc>
          <w:tcPr>
            <w:tcW w:w="1020" w:type="dxa"/>
            <w:vMerge/>
            <w:tcBorders>
              <w:left w:val="nil"/>
              <w:bottom w:val="single" w:sz="4" w:space="0" w:color="auto"/>
              <w:right w:val="single" w:sz="4" w:space="0" w:color="auto"/>
            </w:tcBorders>
            <w:shd w:val="clear" w:color="auto" w:fill="D9D9D9" w:themeFill="background1" w:themeFillShade="D9"/>
            <w:noWrap/>
            <w:vAlign w:val="bottom"/>
            <w:hideMark/>
          </w:tcPr>
          <w:p w:rsidR="00412B1C" w:rsidRPr="009458D0" w:rsidRDefault="00412B1C" w:rsidP="00E92109">
            <w:pPr>
              <w:spacing w:before="0" w:after="0"/>
              <w:rPr>
                <w:rFonts w:ascii="Arial Narrow" w:eastAsia="Times New Roman" w:hAnsi="Arial Narrow" w:cs="Arial"/>
                <w:sz w:val="16"/>
                <w:szCs w:val="16"/>
                <w:lang w:val="en-CA" w:eastAsia="en-CA"/>
              </w:rPr>
            </w:pPr>
          </w:p>
        </w:tc>
      </w:tr>
      <w:tr w:rsidR="00E92109" w:rsidRPr="009458D0" w:rsidTr="00412B1C">
        <w:trPr>
          <w:trHeight w:val="255"/>
        </w:trPr>
        <w:tc>
          <w:tcPr>
            <w:tcW w:w="1427" w:type="dxa"/>
            <w:tcBorders>
              <w:top w:val="nil"/>
              <w:left w:val="single" w:sz="4" w:space="0" w:color="auto"/>
              <w:bottom w:val="single" w:sz="4" w:space="0" w:color="auto"/>
              <w:right w:val="single" w:sz="4" w:space="0" w:color="auto"/>
            </w:tcBorders>
            <w:shd w:val="clear" w:color="auto" w:fill="E6E6E6"/>
            <w:noWrap/>
            <w:vAlign w:val="bottom"/>
            <w:hideMark/>
          </w:tcPr>
          <w:p w:rsidR="00E92109" w:rsidRPr="009458D0" w:rsidRDefault="00E92109" w:rsidP="00E92109">
            <w:pPr>
              <w:spacing w:before="0" w:after="0"/>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International tourists</w:t>
            </w:r>
          </w:p>
        </w:tc>
        <w:tc>
          <w:tcPr>
            <w:tcW w:w="1219"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11.53</w:t>
            </w:r>
          </w:p>
        </w:tc>
        <w:tc>
          <w:tcPr>
            <w:tcW w:w="1254"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32,451</w:t>
            </w:r>
          </w:p>
        </w:tc>
        <w:tc>
          <w:tcPr>
            <w:tcW w:w="1176"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2,814</w:t>
            </w:r>
          </w:p>
        </w:tc>
        <w:tc>
          <w:tcPr>
            <w:tcW w:w="951"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17.5</w:t>
            </w:r>
          </w:p>
        </w:tc>
        <w:tc>
          <w:tcPr>
            <w:tcW w:w="1254"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49,015</w:t>
            </w:r>
          </w:p>
        </w:tc>
        <w:tc>
          <w:tcPr>
            <w:tcW w:w="1176"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2,801</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92109" w:rsidRPr="009458D0" w:rsidRDefault="00E92109" w:rsidP="00E92109">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0%</w:t>
            </w:r>
          </w:p>
        </w:tc>
      </w:tr>
      <w:tr w:rsidR="00E92109" w:rsidRPr="009458D0" w:rsidTr="00412B1C">
        <w:trPr>
          <w:trHeight w:val="255"/>
        </w:trPr>
        <w:tc>
          <w:tcPr>
            <w:tcW w:w="1427" w:type="dxa"/>
            <w:tcBorders>
              <w:top w:val="nil"/>
              <w:left w:val="single" w:sz="4" w:space="0" w:color="auto"/>
              <w:bottom w:val="single" w:sz="4" w:space="0" w:color="auto"/>
              <w:right w:val="single" w:sz="4" w:space="0" w:color="auto"/>
            </w:tcBorders>
            <w:shd w:val="clear" w:color="auto" w:fill="E6E6E6"/>
            <w:noWrap/>
            <w:vAlign w:val="bottom"/>
            <w:hideMark/>
          </w:tcPr>
          <w:p w:rsidR="00E92109" w:rsidRPr="009458D0" w:rsidRDefault="00E92109" w:rsidP="00E92109">
            <w:pPr>
              <w:spacing w:before="0" w:after="0"/>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Domestic tourists</w:t>
            </w:r>
          </w:p>
        </w:tc>
        <w:tc>
          <w:tcPr>
            <w:tcW w:w="1219"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28.55</w:t>
            </w:r>
          </w:p>
        </w:tc>
        <w:tc>
          <w:tcPr>
            <w:tcW w:w="1254"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17,434</w:t>
            </w:r>
          </w:p>
        </w:tc>
        <w:tc>
          <w:tcPr>
            <w:tcW w:w="1176"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611</w:t>
            </w:r>
          </w:p>
        </w:tc>
        <w:tc>
          <w:tcPr>
            <w:tcW w:w="951"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22.47</w:t>
            </w:r>
          </w:p>
        </w:tc>
        <w:tc>
          <w:tcPr>
            <w:tcW w:w="1254"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35,548</w:t>
            </w:r>
          </w:p>
        </w:tc>
        <w:tc>
          <w:tcPr>
            <w:tcW w:w="1176"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1,582</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92109" w:rsidRPr="009458D0" w:rsidRDefault="00E92109" w:rsidP="00E92109">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159%</w:t>
            </w:r>
          </w:p>
        </w:tc>
      </w:tr>
      <w:tr w:rsidR="00E92109" w:rsidRPr="009458D0" w:rsidTr="00412B1C">
        <w:trPr>
          <w:trHeight w:val="255"/>
        </w:trPr>
        <w:tc>
          <w:tcPr>
            <w:tcW w:w="1427" w:type="dxa"/>
            <w:tcBorders>
              <w:top w:val="nil"/>
              <w:left w:val="single" w:sz="4" w:space="0" w:color="auto"/>
              <w:bottom w:val="single" w:sz="4" w:space="0" w:color="auto"/>
              <w:right w:val="single" w:sz="4" w:space="0" w:color="auto"/>
            </w:tcBorders>
            <w:shd w:val="clear" w:color="auto" w:fill="E6E6E6"/>
            <w:noWrap/>
            <w:vAlign w:val="bottom"/>
            <w:hideMark/>
          </w:tcPr>
          <w:p w:rsidR="00E92109" w:rsidRPr="009458D0" w:rsidRDefault="00E92109" w:rsidP="00E92109">
            <w:pPr>
              <w:spacing w:before="0" w:after="0"/>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International and Domestic Tourism</w:t>
            </w:r>
          </w:p>
        </w:tc>
        <w:tc>
          <w:tcPr>
            <w:tcW w:w="1219"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40.08</w:t>
            </w:r>
          </w:p>
        </w:tc>
        <w:tc>
          <w:tcPr>
            <w:tcW w:w="1254"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49,885</w:t>
            </w:r>
          </w:p>
        </w:tc>
        <w:tc>
          <w:tcPr>
            <w:tcW w:w="1176"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1,245</w:t>
            </w:r>
          </w:p>
        </w:tc>
        <w:tc>
          <w:tcPr>
            <w:tcW w:w="951"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39.97</w:t>
            </w:r>
          </w:p>
        </w:tc>
        <w:tc>
          <w:tcPr>
            <w:tcW w:w="1254"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84,563</w:t>
            </w:r>
          </w:p>
        </w:tc>
        <w:tc>
          <w:tcPr>
            <w:tcW w:w="1176" w:type="dxa"/>
            <w:tcBorders>
              <w:top w:val="nil"/>
              <w:left w:val="nil"/>
              <w:bottom w:val="single" w:sz="4" w:space="0" w:color="auto"/>
              <w:right w:val="single" w:sz="4" w:space="0" w:color="auto"/>
            </w:tcBorders>
            <w:shd w:val="clear" w:color="auto" w:fill="auto"/>
            <w:noWrap/>
            <w:vAlign w:val="center"/>
            <w:hideMark/>
          </w:tcPr>
          <w:p w:rsidR="00E92109" w:rsidRPr="009458D0" w:rsidRDefault="00E92109" w:rsidP="00E92109">
            <w:pPr>
              <w:spacing w:before="0" w:after="0"/>
              <w:jc w:val="right"/>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2,116</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92109" w:rsidRPr="009458D0" w:rsidRDefault="00E92109" w:rsidP="00E92109">
            <w:pPr>
              <w:spacing w:before="0" w:after="0"/>
              <w:jc w:val="center"/>
              <w:rPr>
                <w:rFonts w:ascii="Arial Narrow" w:eastAsia="Times New Roman" w:hAnsi="Arial Narrow" w:cs="Arial"/>
                <w:sz w:val="16"/>
                <w:szCs w:val="16"/>
                <w:lang w:val="en-CA" w:eastAsia="en-CA"/>
              </w:rPr>
            </w:pPr>
            <w:r w:rsidRPr="009458D0">
              <w:rPr>
                <w:rFonts w:ascii="Arial Narrow" w:eastAsia="Times New Roman" w:hAnsi="Arial Narrow" w:cs="Arial"/>
                <w:sz w:val="16"/>
                <w:szCs w:val="16"/>
                <w:lang w:val="en-CA" w:eastAsia="en-CA"/>
              </w:rPr>
              <w:t>70%</w:t>
            </w:r>
          </w:p>
        </w:tc>
      </w:tr>
    </w:tbl>
    <w:p w:rsidR="00E92109" w:rsidRPr="00EC0DF7" w:rsidRDefault="00EC0DF7" w:rsidP="00025563">
      <w:pPr>
        <w:autoSpaceDE w:val="0"/>
        <w:autoSpaceDN w:val="0"/>
        <w:adjustRightInd w:val="0"/>
        <w:spacing w:before="0" w:after="0"/>
        <w:rPr>
          <w:rFonts w:cs="Arial-BoldMT"/>
          <w:bCs/>
          <w:sz w:val="18"/>
          <w:szCs w:val="18"/>
          <w:lang w:val="en-CA"/>
        </w:rPr>
      </w:pPr>
      <w:r w:rsidRPr="00EC0DF7">
        <w:rPr>
          <w:rFonts w:cs="Arial-BoldMT"/>
          <w:bCs/>
          <w:sz w:val="18"/>
          <w:szCs w:val="18"/>
          <w:lang w:val="en-CA"/>
        </w:rPr>
        <w:t>Source:  Author’s compilation from STO and TSDB</w:t>
      </w:r>
    </w:p>
    <w:p w:rsidR="007A4A43" w:rsidRDefault="007A4A43" w:rsidP="00412B1C">
      <w:pPr>
        <w:rPr>
          <w:lang w:val="en-CA"/>
        </w:rPr>
      </w:pPr>
      <w:r>
        <w:rPr>
          <w:lang w:val="en-CA"/>
        </w:rPr>
        <w:t xml:space="preserve">This meant that total income </w:t>
      </w:r>
      <w:r w:rsidR="00FA0069">
        <w:rPr>
          <w:lang w:val="en-CA"/>
        </w:rPr>
        <w:t>from tourism grew by 70 percent, despite the fall in total numbers.</w:t>
      </w:r>
    </w:p>
    <w:p w:rsidR="008F1822" w:rsidRPr="002646B2" w:rsidRDefault="008F1822" w:rsidP="00412B1C">
      <w:pPr>
        <w:rPr>
          <w:lang w:val="en-CA"/>
        </w:rPr>
      </w:pPr>
      <w:r>
        <w:rPr>
          <w:lang w:val="en-CA"/>
        </w:rPr>
        <w:t>Additional statistics</w:t>
      </w:r>
      <w:r w:rsidR="00412B1C">
        <w:rPr>
          <w:lang w:val="en-CA"/>
        </w:rPr>
        <w:t xml:space="preserve"> on</w:t>
      </w:r>
      <w:r>
        <w:rPr>
          <w:lang w:val="en-CA"/>
        </w:rPr>
        <w:t xml:space="preserve"> tourism </w:t>
      </w:r>
      <w:r w:rsidR="00412B1C">
        <w:rPr>
          <w:lang w:val="en-CA"/>
        </w:rPr>
        <w:t xml:space="preserve">and other outcomes </w:t>
      </w:r>
      <w:r>
        <w:rPr>
          <w:lang w:val="en-CA"/>
        </w:rPr>
        <w:t xml:space="preserve">are </w:t>
      </w:r>
      <w:r w:rsidR="007A4A43">
        <w:rPr>
          <w:lang w:val="en-CA"/>
        </w:rPr>
        <w:t>discussed in later</w:t>
      </w:r>
      <w:r w:rsidR="00412B1C">
        <w:rPr>
          <w:lang w:val="en-CA"/>
        </w:rPr>
        <w:t xml:space="preserve"> sections. </w:t>
      </w:r>
    </w:p>
    <w:p w:rsidR="00124802" w:rsidRDefault="00124802" w:rsidP="00C73AF9">
      <w:pPr>
        <w:pStyle w:val="Heading2"/>
        <w:numPr>
          <w:ilvl w:val="0"/>
          <w:numId w:val="16"/>
        </w:numPr>
      </w:pPr>
      <w:bookmarkStart w:id="32" w:name="_Toc325871770"/>
      <w:r>
        <w:t>Factors affecting the Outcome</w:t>
      </w:r>
      <w:bookmarkEnd w:id="32"/>
    </w:p>
    <w:p w:rsidR="00655D95" w:rsidRDefault="00655D95" w:rsidP="00655D95">
      <w:pPr>
        <w:pStyle w:val="Heading3"/>
        <w:numPr>
          <w:ilvl w:val="1"/>
          <w:numId w:val="17"/>
        </w:numPr>
      </w:pPr>
      <w:bookmarkStart w:id="33" w:name="_Toc325871771"/>
      <w:r>
        <w:t>Diversification strategy of government</w:t>
      </w:r>
      <w:bookmarkEnd w:id="33"/>
      <w:r>
        <w:t xml:space="preserve"> </w:t>
      </w:r>
    </w:p>
    <w:p w:rsidR="002347AE" w:rsidRDefault="002347AE" w:rsidP="00655D95">
      <w:r>
        <w:t xml:space="preserve">The clear successes in achieving the targets of Outcome 2 – increases in tourism and in FDI within a more diversified economy – were largely determined by several factors, in which the interventions of UNDP can be said to have played a small but nevertheless significant role.  It is clear that government actions have been a major facilitator.  </w:t>
      </w:r>
    </w:p>
    <w:p w:rsidR="00655D95" w:rsidRDefault="00655D95" w:rsidP="00655D95">
      <w:r>
        <w:t xml:space="preserve">Diversification was an important objective of the government prior to and throughout the CP period.  The Ninth Development Plan made a succinct summary of the strategic importance and </w:t>
      </w:r>
      <w:r w:rsidR="00B02C67">
        <w:t>components of this objective:</w:t>
      </w:r>
    </w:p>
    <w:p w:rsidR="00655D95" w:rsidRPr="00655D95" w:rsidRDefault="00655D95" w:rsidP="00655D95">
      <w:pPr>
        <w:ind w:left="720"/>
      </w:pPr>
      <w:r w:rsidRPr="00655D95">
        <w:t>With successive development plans recognising the risks inherent in one-sided heavy reliance on production and export of crude oil, diversification of the production base of the Saudi economy has been, ever since the beginning of development planning, a prime target for</w:t>
      </w:r>
      <w:r>
        <w:t xml:space="preserve"> </w:t>
      </w:r>
      <w:r w:rsidRPr="00655D95">
        <w:t>economic development...</w:t>
      </w:r>
      <w:r w:rsidR="00B02C67">
        <w:t xml:space="preserve">  [Diversification is]</w:t>
      </w:r>
      <w:r w:rsidRPr="00655D95">
        <w:t xml:space="preserve"> a necessary condition for building a stable modern economy, based on</w:t>
      </w:r>
      <w:r>
        <w:t xml:space="preserve"> </w:t>
      </w:r>
      <w:r w:rsidRPr="00655D95">
        <w:t>a broad range of varied economic resources and characterized by a</w:t>
      </w:r>
      <w:r>
        <w:t xml:space="preserve"> </w:t>
      </w:r>
      <w:r w:rsidRPr="00655D95">
        <w:t>high degree of internal integration, embodied in close interrelationships</w:t>
      </w:r>
      <w:r>
        <w:t xml:space="preserve"> </w:t>
      </w:r>
      <w:r w:rsidRPr="00655D95">
        <w:t>among the various sectors and activities.</w:t>
      </w:r>
      <w:r>
        <w:t xml:space="preserve">  </w:t>
      </w:r>
      <w:r w:rsidRPr="00655D95">
        <w:t>Implementation of this approach requires significant increases and</w:t>
      </w:r>
      <w:r>
        <w:t xml:space="preserve"> </w:t>
      </w:r>
      <w:r w:rsidRPr="00655D95">
        <w:t>quality improvements in the contributions of non-oil sectors, including</w:t>
      </w:r>
      <w:r>
        <w:t xml:space="preserve"> </w:t>
      </w:r>
      <w:r w:rsidRPr="00655D95">
        <w:t>production and service sectors, to GDP and exports and in providing</w:t>
      </w:r>
      <w:r>
        <w:t xml:space="preserve"> </w:t>
      </w:r>
      <w:r w:rsidRPr="00655D95">
        <w:t>employment opportuni</w:t>
      </w:r>
      <w:r w:rsidR="00B02C67">
        <w:t xml:space="preserve">ties for the national workforce </w:t>
      </w:r>
      <w:r w:rsidR="00D96907">
        <w:fldChar w:fldCharType="begin"/>
      </w:r>
      <w:r w:rsidR="002B3DEF">
        <w:instrText xml:space="preserve"> ADDIN EN.CITE &lt;EndNote&gt;&lt;Cite&gt;&lt;Author&gt;Ministry of Economy and Planning&lt;/Author&gt;&lt;RecNum&gt;1081&lt;/RecNum&gt;&lt;Suffix&gt;, p. 33&lt;/Suffix&gt;&lt;record&gt;&lt;rec-number&gt;1081&lt;/rec-number&gt;&lt;ref-type name="Government Document"&gt;46&lt;/ref-type&gt;&lt;contributors&gt;&lt;authors&gt;&lt;author&gt;Ministry of Economy and Planning,&lt;/author&gt;&lt;/authors&gt;&lt;secondary-authors&gt;&lt;author&gt;MEP&lt;/author&gt;&lt;/secondary-authors&gt;&lt;/contributors&gt;&lt;titles&gt;&lt;title&gt;Ninth Development Plan&lt;/title&gt;&lt;/titles&gt;&lt;dates&gt;&lt;year&gt;2010&lt;/year&gt;&lt;/dates&gt;&lt;publisher&gt;Kingdom of Saudi Arabia&lt;/publisher&gt;&lt;urls&gt;&lt;related-urls&gt;&lt;url&gt;http://www.mep.gov.sa/index.jsp;jsessionid=45651251380A82882E2B3433D5376123.alfa?event=ArticleView&amp;amp;Article.ObjectID=79&lt;/url&gt;&lt;/related-urls&gt;&lt;/urls&gt;&lt;research-notes&gt;&lt;style face="normal" font="default" size="100%"&gt;Ninth Development Plan Period 1431/32 to 1435/36  &lt;/style&gt;&lt;style face="underline" font="default" size="100%"&gt;2010-2014&lt;/style&gt;&lt;style face="normal" font="default" size="100%"&gt;&amp;#xD;Eighth Development Plan Period 1425/26 to 1429/30   &lt;/style&gt;&lt;style face="underline" font="default" size="100%"&gt; 2005-2009&amp;#xD;&amp;#xD;&amp;#xD;&lt;/style&gt;&lt;style face="normal" font="default" size="100%"&gt;ADF Agricultural Development Fund&amp;#xD;AMF Arab Monetary Fund&amp;#xD;ASEAN Association of South East Asian Nations&amp;#xD;ATM Automated Teller Machine&amp;#xD;BOO Build, Operate, Own&amp;#xD;BOT Build, Operate and Transfer&amp;#xD;CDSI Central Department of Statistics and Information&amp;#xD;CDs Certificates of Deposit&amp;#xD;MCIT Ministry of Communications and Information Technology&amp;#xD;CITC Communications and Information Technology Commission&amp;#xD;DMMR Deputy Ministry of Mineral Resources&amp;#xD;DSL Digital Subscriber Lines&amp;#xD;EU European Union&amp;#xD;FDI Foreign Direct Investment&amp;#xD;GCC Gulf Cooperation Council&amp;#xD;GIS Geographic Information System&amp;#xD;GPYW General Presidency for Youth Welfare&amp;#xD;HS Harmonized Commodity Description &amp;amp; Coding System&amp;#xD;HIDA Al-Hassa Irrigation and Drainage Authority&amp;#xD;HRDF Human Resources Development Fund&amp;#xD;ICT Information and Communications Technology&amp;#xD;IEF International Energy Forum&amp;#xD;IPA Institute of Public Administration&amp;#xD;ISDN Integrated Services Digital Network&amp;#xD;ITU International Telecommunications Union&amp;#xD;KACST King Abdul Aziz City for Science and Technology&amp;#xD;LTS Long Term Strategy&amp;#xD;MA&amp;apos;ADEN Saudi Arabian Mining Company&amp;#xD;MCuM Million Cubic Meter&amp;#xD;MOA Ministry of Agriculture&amp;#xD;MOEP Ministry of Economy and Planning&amp;#xD;MOH Ministry of Health&amp;#xD;MOMRA Ministry of Municipal and Rural Affairs&amp;#xD;MOPMR Ministry of Petroleum and Mineral Resources&amp;#xD;MW Megawatt (One million watts)&amp;#xD;NCWCD National Commission for Wildlife Conservation and Development&amp;#xD;LNG Liquefied Natural Gas&amp;#xD;OPEC Organization of the Petroleum Exporting Countries&amp;#xD;GACA General Authority of Civil Aviation&amp;#xD;PIF Public Investment Fund&amp;#xD;PME Presidency of Meteorology and Environment&amp;#xD;MOWE Ministry of Water and Electricity&amp;#xD;R &amp;amp; D Research and Development&amp;#xD;REDF Real Estates Development Fund&amp;#xD;SAAB Saudi Arabian Agricultural Bank&amp;#xD;SABIC Saudi Basic Industries Corporation&amp;#xD;SAGIA Saudi Arabian General Investment Authority&amp;#xD;SAMA Saudi Arabian Monetary Agency&amp;#xD;SANTRA PLAN Saudi Arabian National Transportation Plan&amp;#xD;SAPTCO Saudi Arabian Public Transport Company&amp;#xD;SASO Saudi Standards, Metrology and Quality Organization&amp;#xD;Saudi ARAMCO Saudi Arabian Oil Company&amp;#xD;SAUDIA Saudi Arabian Airlines&amp;#xD;SCB Saudi Credit &amp;amp; Saving Bank&amp;#xD;SCECO Saudi Electricity Company&amp;#xD;SCI&amp;apos;s Specialized Credit Institutions&amp;#xD;SEC Securities and Exchange Commission&amp;#xD;SGS Saudi Geological Survey&amp;#xD;SIDF Saudi Industrial Development Fund&amp;#xD;SLI&amp;apos;s Specialized Lending Institutions&amp;#xD;SMMA Simulate Mean Marriage Age&amp;#xD;SMEs Small and Medium Enterprises&amp;#xD;SPA Saudi Press Agency&amp;#xD;STC Saudi Telecom Company&amp;#xD;SWCC Saline Water Conversion Corporation&amp;#xD;TFR Total Fertility Rate&amp;#xD;TVTC Technical &amp;amp; Vocational Training Corporation&amp;#xD;UNDP United Nations Development Program&amp;#xD;UNESCO United Nations Educational, Scientific &amp;amp; Cultural Organization&amp;#xD;UNFCCC United Nations Framework Convention on Climate Change&amp;#xD;WTO World Trade Organization&lt;/style&gt;&lt;/research-notes&gt;&lt;/record&gt;&lt;/Cite&gt;&lt;/EndNote&gt;</w:instrText>
      </w:r>
      <w:r w:rsidR="00D96907">
        <w:fldChar w:fldCharType="separate"/>
      </w:r>
      <w:r w:rsidR="00BD26C1">
        <w:t>(Ministry of Economy and Planning 2010, p. 33)</w:t>
      </w:r>
      <w:r w:rsidR="00D96907">
        <w:fldChar w:fldCharType="end"/>
      </w:r>
    </w:p>
    <w:p w:rsidR="00655D95" w:rsidRDefault="00655D95" w:rsidP="007A2B95">
      <w:r>
        <w:t xml:space="preserve"> </w:t>
      </w:r>
      <w:r w:rsidR="009550B9">
        <w:t>Government’s achievements were clear to</w:t>
      </w:r>
      <w:r w:rsidR="003B3C78">
        <w:t xml:space="preserve"> </w:t>
      </w:r>
      <w:r w:rsidR="00420393">
        <w:t xml:space="preserve">many </w:t>
      </w:r>
      <w:r w:rsidR="003B3C78">
        <w:t>o</w:t>
      </w:r>
      <w:r w:rsidR="006B2692">
        <w:t>bservers</w:t>
      </w:r>
      <w:r w:rsidR="009550B9">
        <w:t xml:space="preserve">; as the ninth plan rolled </w:t>
      </w:r>
      <w:proofErr w:type="gramStart"/>
      <w:r w:rsidR="009550B9">
        <w:t>out,</w:t>
      </w:r>
      <w:proofErr w:type="gramEnd"/>
      <w:r w:rsidR="009550B9">
        <w:t xml:space="preserve"> participants at an international forum held in Riyadh </w:t>
      </w:r>
      <w:r w:rsidR="002347AE">
        <w:t xml:space="preserve">in 2010 </w:t>
      </w:r>
      <w:r w:rsidR="009550B9">
        <w:t xml:space="preserve">agreed </w:t>
      </w:r>
      <w:r w:rsidR="003B3C78">
        <w:t>that government</w:t>
      </w:r>
      <w:r w:rsidR="00420393">
        <w:t xml:space="preserve"> had long been </w:t>
      </w:r>
      <w:r w:rsidR="003B3C78">
        <w:t>actively pursuing the development of non-oil sectors</w:t>
      </w:r>
      <w:r w:rsidR="00420393">
        <w:t xml:space="preserve">.  </w:t>
      </w:r>
      <w:r w:rsidR="009550B9">
        <w:t>The forum</w:t>
      </w:r>
      <w:r w:rsidR="00F500E9">
        <w:t xml:space="preserve"> </w:t>
      </w:r>
      <w:r w:rsidR="00420393">
        <w:t xml:space="preserve">attracted </w:t>
      </w:r>
      <w:r w:rsidR="00420393" w:rsidRPr="00420393">
        <w:t>“some of the brightest stars in the galaxy of international bu</w:t>
      </w:r>
      <w:r w:rsidR="00F500E9">
        <w:t>siness and finance”.</w:t>
      </w:r>
      <w:r w:rsidR="00F500E9" w:rsidRPr="00F500E9">
        <w:rPr>
          <w:rStyle w:val="FootnoteReference"/>
        </w:rPr>
        <w:t xml:space="preserve"> </w:t>
      </w:r>
      <w:r w:rsidR="00F500E9">
        <w:rPr>
          <w:rStyle w:val="FootnoteReference"/>
        </w:rPr>
        <w:footnoteReference w:id="13"/>
      </w:r>
      <w:r w:rsidR="00F500E9">
        <w:t xml:space="preserve">   P</w:t>
      </w:r>
      <w:r w:rsidR="009550B9">
        <w:t xml:space="preserve">articipants noted </w:t>
      </w:r>
      <w:r w:rsidR="009550B9" w:rsidRPr="009550B9">
        <w:t>that since</w:t>
      </w:r>
      <w:r w:rsidR="00420393" w:rsidRPr="009550B9">
        <w:t xml:space="preserve"> joining the World Trade </w:t>
      </w:r>
      <w:r w:rsidR="009550B9" w:rsidRPr="009550B9">
        <w:t>Organization</w:t>
      </w:r>
      <w:r w:rsidR="00420393" w:rsidRPr="009550B9">
        <w:t xml:space="preserve"> (WTO) in 2005, </w:t>
      </w:r>
      <w:r w:rsidR="009550B9">
        <w:t>SA had “</w:t>
      </w:r>
      <w:r w:rsidR="00420393" w:rsidRPr="009550B9">
        <w:t>improved its regulatory regime, opened up key sectors such as telecommunications and banking to foreign investors, begun developing new sectors - tourism stands out - and directed oil revenue into major infrastructure project</w:t>
      </w:r>
      <w:r w:rsidR="009550B9">
        <w:t xml:space="preserve">s to attract foreign investment” </w:t>
      </w:r>
      <w:r w:rsidR="00D96907">
        <w:fldChar w:fldCharType="begin"/>
      </w:r>
      <w:r w:rsidR="002B3DEF">
        <w:instrText xml:space="preserve"> ADDIN EN.CITE &lt;EndNote&gt;&lt;Cite&gt;&lt;Author&gt;Murphy&lt;/Author&gt;&lt;Year&gt;2010&lt;/Year&gt;&lt;RecNum&gt;1082&lt;/RecNum&gt;&lt;record&gt;&lt;rec-number&gt;1082&lt;/rec-number&gt;&lt;ref-type name="Electronic Article"&gt;43&lt;/ref-type&gt;&lt;contributors&gt;&lt;authors&gt;&lt;author&gt;Caryle Murphy&lt;/author&gt;&lt;/authors&gt;&lt;/contributors&gt;&lt;titles&gt;&lt;title&gt;Saudi reaches out to diversify its economy&lt;/title&gt;&lt;secondary-title&gt;The National, Abu Dhabi&lt;/secondary-title&gt;&lt;/titles&gt;&lt;periodical&gt;&lt;full-title&gt;The National, Abu Dhabi&lt;/full-title&gt;&lt;/periodical&gt;&lt;number&gt;Feb 14, 2010 &lt;/number&gt;&lt;dates&gt;&lt;year&gt;2010&lt;/year&gt;&lt;pub-dates&gt;&lt;date&gt;10 April 2012&lt;/date&gt;&lt;/pub-dates&gt;&lt;/dates&gt;&lt;urls&gt;&lt;related-urls&gt;&lt;url&gt;http://www.thenational.ae/business/economy/saudi-reaches-out-to-diversify-its-economy#full&lt;/url&gt;&lt;/related-urls&gt;&lt;/urls&gt;&lt;/record&gt;&lt;/Cite&gt;&lt;/EndNote&gt;</w:instrText>
      </w:r>
      <w:r w:rsidR="00D96907">
        <w:fldChar w:fldCharType="separate"/>
      </w:r>
      <w:r w:rsidR="003B3C78">
        <w:t>(Murphy 2010)</w:t>
      </w:r>
      <w:r w:rsidR="00D96907">
        <w:fldChar w:fldCharType="end"/>
      </w:r>
      <w:r w:rsidR="009550B9">
        <w:t>.</w:t>
      </w:r>
      <w:r>
        <w:t xml:space="preserve">  </w:t>
      </w:r>
    </w:p>
    <w:p w:rsidR="00E47716" w:rsidRDefault="00E47716" w:rsidP="00655D95">
      <w:pPr>
        <w:pStyle w:val="Heading3"/>
        <w:numPr>
          <w:ilvl w:val="1"/>
          <w:numId w:val="17"/>
        </w:numPr>
      </w:pPr>
      <w:bookmarkStart w:id="34" w:name="_Toc325871772"/>
      <w:r>
        <w:t>WTO membership</w:t>
      </w:r>
      <w:bookmarkEnd w:id="34"/>
    </w:p>
    <w:p w:rsidR="0069037D" w:rsidRDefault="0069037D" w:rsidP="00EF7010">
      <w:r>
        <w:t>Membership in the World Trade Organisation (WTO)</w:t>
      </w:r>
      <w:r w:rsidR="00C74BF1">
        <w:t xml:space="preserve"> – as of 2005 – helped draw in FDI, </w:t>
      </w:r>
      <w:r w:rsidR="001D1D10">
        <w:t xml:space="preserve">and </w:t>
      </w:r>
      <w:r w:rsidR="001A7C6C">
        <w:t>the data presented in the previous section reflect the surge</w:t>
      </w:r>
      <w:r w:rsidR="00A53F06">
        <w:t xml:space="preserve"> in </w:t>
      </w:r>
      <w:r w:rsidR="00B15CFB">
        <w:t>results</w:t>
      </w:r>
      <w:r w:rsidR="001A7C6C">
        <w:t xml:space="preserve"> from that year onward to a higher </w:t>
      </w:r>
      <w:r w:rsidR="00F13D49">
        <w:t>plateau</w:t>
      </w:r>
      <w:r w:rsidR="001A7C6C">
        <w:t xml:space="preserve"> of participation in the world economy.  </w:t>
      </w:r>
      <w:r w:rsidR="00BD4390">
        <w:t xml:space="preserve">As illustrated in Figure 4.2, above, </w:t>
      </w:r>
      <w:r w:rsidR="001A7C6C">
        <w:t>FDI peaked in 2008 at $38 billion, and has stayed in the 10-digit range from the accession year on.</w:t>
      </w:r>
    </w:p>
    <w:p w:rsidR="00E47716" w:rsidRDefault="00E47716" w:rsidP="00655D95">
      <w:pPr>
        <w:pStyle w:val="Heading3"/>
        <w:numPr>
          <w:ilvl w:val="1"/>
          <w:numId w:val="17"/>
        </w:numPr>
      </w:pPr>
      <w:bookmarkStart w:id="35" w:name="_Toc325871773"/>
      <w:r>
        <w:t>Expansion of non-oil economic activity</w:t>
      </w:r>
      <w:bookmarkEnd w:id="35"/>
      <w:r>
        <w:t xml:space="preserve"> </w:t>
      </w:r>
    </w:p>
    <w:p w:rsidR="001A7C6C" w:rsidRDefault="001A7C6C" w:rsidP="00EF7010">
      <w:r>
        <w:t>Looking at the objective of the 8</w:t>
      </w:r>
      <w:r w:rsidRPr="001A7C6C">
        <w:rPr>
          <w:vertAlign w:val="superscript"/>
        </w:rPr>
        <w:t>th</w:t>
      </w:r>
      <w:r>
        <w:t xml:space="preserve"> </w:t>
      </w:r>
      <w:r w:rsidR="00957CE0">
        <w:t>and 9</w:t>
      </w:r>
      <w:r w:rsidR="00957CE0" w:rsidRPr="00957CE0">
        <w:rPr>
          <w:vertAlign w:val="superscript"/>
        </w:rPr>
        <w:t>th</w:t>
      </w:r>
      <w:r w:rsidR="00957CE0">
        <w:t xml:space="preserve"> </w:t>
      </w:r>
      <w:r>
        <w:t>plan</w:t>
      </w:r>
      <w:r w:rsidR="00957CE0">
        <w:t>s</w:t>
      </w:r>
      <w:r>
        <w:t xml:space="preserve"> to diversify the economy, </w:t>
      </w:r>
      <w:r w:rsidR="00BF40D7">
        <w:t xml:space="preserve">there is evidence that expansion of economic activities outside oil extraction took place.  The </w:t>
      </w:r>
      <w:r w:rsidR="0039362A">
        <w:t xml:space="preserve">data </w:t>
      </w:r>
      <w:r w:rsidR="00BF40D7">
        <w:t xml:space="preserve">in Figure </w:t>
      </w:r>
      <w:r w:rsidR="002347AE">
        <w:t>3.7</w:t>
      </w:r>
      <w:r w:rsidR="00BF40D7">
        <w:t xml:space="preserve"> </w:t>
      </w:r>
      <w:r w:rsidR="0039362A">
        <w:t xml:space="preserve">indicate that </w:t>
      </w:r>
      <w:r w:rsidR="00BF40D7">
        <w:t xml:space="preserve">beginning in 2006 </w:t>
      </w:r>
      <w:r w:rsidR="002F1F7C">
        <w:t>(</w:t>
      </w:r>
      <w:r w:rsidR="00BF40D7">
        <w:t xml:space="preserve">when the </w:t>
      </w:r>
      <w:r w:rsidR="002F1F7C">
        <w:t xml:space="preserve">UNDP </w:t>
      </w:r>
      <w:r w:rsidR="00BF40D7">
        <w:t xml:space="preserve">CP was </w:t>
      </w:r>
      <w:r w:rsidR="00CD0F2E">
        <w:t>under preparation</w:t>
      </w:r>
      <w:r w:rsidR="002F1F7C">
        <w:t>)</w:t>
      </w:r>
      <w:r w:rsidR="00BF40D7">
        <w:t xml:space="preserve">, </w:t>
      </w:r>
      <w:r w:rsidR="00A625DC">
        <w:t xml:space="preserve">the mining and quarrying sector </w:t>
      </w:r>
      <w:r w:rsidR="00CD0F2E">
        <w:t xml:space="preserve">– </w:t>
      </w:r>
      <w:r w:rsidR="00A625DC">
        <w:t>(almost entirely crude petroleum and natural gas)</w:t>
      </w:r>
      <w:r w:rsidR="00CD0F2E">
        <w:t xml:space="preserve"> –</w:t>
      </w:r>
      <w:r w:rsidR="00A625DC">
        <w:t xml:space="preserve"> decreased as a proportion of GDP from almost 28 percent to </w:t>
      </w:r>
      <w:r w:rsidR="00A53F06">
        <w:t>less than</w:t>
      </w:r>
      <w:r w:rsidR="00A625DC">
        <w:t xml:space="preserve"> 23 percent.  In</w:t>
      </w:r>
      <w:r w:rsidR="00A53F06">
        <w:t xml:space="preserve"> contrast, larger</w:t>
      </w:r>
      <w:r w:rsidR="00CD0F2E">
        <w:t xml:space="preserve"> shares </w:t>
      </w:r>
      <w:r w:rsidR="00A53F06">
        <w:t xml:space="preserve">of other sectors </w:t>
      </w:r>
      <w:r w:rsidR="00CD0F2E">
        <w:t xml:space="preserve">showed up across the board, significantly in </w:t>
      </w:r>
      <w:r w:rsidR="00A625DC">
        <w:t>manufacturing (most of which was in non-petro</w:t>
      </w:r>
      <w:r w:rsidR="00CD0F2E">
        <w:t>l</w:t>
      </w:r>
      <w:r w:rsidR="00A53F06">
        <w:t>eum-related</w:t>
      </w:r>
      <w:r w:rsidR="00A625DC">
        <w:t xml:space="preserve"> sub-sectors)</w:t>
      </w:r>
      <w:r w:rsidR="002F1F7C">
        <w:t>, commerce</w:t>
      </w:r>
      <w:r w:rsidR="00CD0F2E">
        <w:t xml:space="preserve"> – </w:t>
      </w:r>
      <w:r w:rsidR="00A53F06">
        <w:t xml:space="preserve">the </w:t>
      </w:r>
      <w:r w:rsidR="002F1F7C">
        <w:t>trade and hospitality sub-sectors</w:t>
      </w:r>
      <w:r w:rsidR="00CD0F2E">
        <w:t xml:space="preserve"> – </w:t>
      </w:r>
      <w:r w:rsidR="002F1F7C">
        <w:t xml:space="preserve">and in transport and communications. </w:t>
      </w:r>
    </w:p>
    <w:p w:rsidR="00DF3858" w:rsidRDefault="00BF40D7" w:rsidP="00BF40D7">
      <w:pPr>
        <w:pStyle w:val="Caption"/>
      </w:pPr>
      <w:bookmarkStart w:id="36" w:name="_Toc325871727"/>
      <w:proofErr w:type="gramStart"/>
      <w:r>
        <w:t xml:space="preserve">Figure </w:t>
      </w:r>
      <w:fldSimple w:instr=" STYLEREF 1 \s ">
        <w:r w:rsidR="00E41BFC">
          <w:rPr>
            <w:noProof/>
          </w:rPr>
          <w:t>3</w:t>
        </w:r>
      </w:fldSimple>
      <w:r w:rsidR="00E41BFC">
        <w:noBreakHyphen/>
      </w:r>
      <w:fldSimple w:instr=" SEQ Figure \* ARABIC \s 1 ">
        <w:r w:rsidR="00E41BFC">
          <w:rPr>
            <w:noProof/>
          </w:rPr>
          <w:t>7</w:t>
        </w:r>
      </w:fldSimple>
      <w:r>
        <w:t>.</w:t>
      </w:r>
      <w:proofErr w:type="gramEnd"/>
      <w:r>
        <w:t xml:space="preserve">  Shares of GDP by </w:t>
      </w:r>
      <w:r w:rsidR="00CD0F2E">
        <w:t xml:space="preserve">economic activity </w:t>
      </w:r>
      <w:r>
        <w:t>sector, 2006-2011</w:t>
      </w:r>
      <w:bookmarkEnd w:id="36"/>
    </w:p>
    <w:p w:rsidR="00CE24BA" w:rsidRPr="00CE24BA" w:rsidRDefault="00CE24BA" w:rsidP="00CE24BA">
      <w:pPr>
        <w:jc w:val="center"/>
      </w:pPr>
      <w:r w:rsidRPr="00CE24BA">
        <w:rPr>
          <w:noProof/>
          <w:lang w:val="en-US"/>
        </w:rPr>
        <w:drawing>
          <wp:inline distT="0" distB="0" distL="0" distR="0">
            <wp:extent cx="5943600" cy="3903980"/>
            <wp:effectExtent l="19050" t="0" r="19050" b="127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9370" w:type="dxa"/>
        <w:tblInd w:w="103" w:type="dxa"/>
        <w:tblLook w:val="04A0"/>
      </w:tblPr>
      <w:tblGrid>
        <w:gridCol w:w="4217"/>
        <w:gridCol w:w="858"/>
        <w:gridCol w:w="859"/>
        <w:gridCol w:w="859"/>
        <w:gridCol w:w="859"/>
        <w:gridCol w:w="859"/>
        <w:gridCol w:w="859"/>
      </w:tblGrid>
      <w:tr w:rsidR="0039362A" w:rsidRPr="00DF3858" w:rsidTr="0039362A">
        <w:trPr>
          <w:trHeight w:val="270"/>
        </w:trPr>
        <w:tc>
          <w:tcPr>
            <w:tcW w:w="4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62A" w:rsidRPr="00DF3858" w:rsidRDefault="0039362A" w:rsidP="0039362A">
            <w:pPr>
              <w:bidi/>
              <w:spacing w:before="0" w:after="0"/>
              <w:jc w:val="center"/>
              <w:rPr>
                <w:rFonts w:ascii="Arial" w:eastAsia="Times New Roman" w:hAnsi="Arial" w:cs="Arial"/>
                <w:bCs/>
                <w:sz w:val="18"/>
                <w:szCs w:val="18"/>
                <w:rtl/>
                <w:lang w:val="en-CA" w:eastAsia="en-CA"/>
              </w:rPr>
            </w:pPr>
            <w:r>
              <w:rPr>
                <w:rFonts w:ascii="Arial" w:eastAsia="Times New Roman" w:hAnsi="Arial" w:cs="Arial"/>
                <w:bCs/>
                <w:sz w:val="18"/>
                <w:szCs w:val="18"/>
                <w:rtl/>
                <w:lang w:val="en-CA" w:eastAsia="en-CA"/>
              </w:rPr>
              <w:t>Sector</w:t>
            </w:r>
          </w:p>
        </w:tc>
        <w:tc>
          <w:tcPr>
            <w:tcW w:w="5153" w:type="dxa"/>
            <w:gridSpan w:val="6"/>
            <w:tcBorders>
              <w:top w:val="single" w:sz="4" w:space="0" w:color="auto"/>
              <w:left w:val="nil"/>
              <w:bottom w:val="single" w:sz="4" w:space="0" w:color="auto"/>
              <w:right w:val="single" w:sz="4" w:space="0" w:color="auto"/>
            </w:tcBorders>
            <w:shd w:val="clear" w:color="auto" w:fill="auto"/>
            <w:noWrap/>
            <w:vAlign w:val="center"/>
            <w:hideMark/>
          </w:tcPr>
          <w:p w:rsidR="0039362A" w:rsidRPr="00DF3858" w:rsidRDefault="0039362A" w:rsidP="00DF3858">
            <w:pPr>
              <w:spacing w:before="0" w:after="0"/>
              <w:jc w:val="center"/>
              <w:rPr>
                <w:rFonts w:ascii="Arial" w:eastAsia="Times New Roman" w:hAnsi="Arial" w:cs="Arial"/>
                <w:bCs/>
                <w:sz w:val="18"/>
                <w:szCs w:val="18"/>
                <w:lang w:val="en-CA" w:eastAsia="en-CA"/>
              </w:rPr>
            </w:pPr>
            <w:r w:rsidRPr="0039362A">
              <w:rPr>
                <w:rFonts w:ascii="Arial" w:eastAsia="Times New Roman" w:hAnsi="Arial" w:cs="Arial"/>
                <w:bCs/>
                <w:sz w:val="14"/>
                <w:szCs w:val="18"/>
                <w:lang w:val="en-CA" w:eastAsia="en-CA"/>
              </w:rPr>
              <w:t>Millions of Saudi riyals</w:t>
            </w:r>
            <w:r w:rsidR="00A53F06">
              <w:rPr>
                <w:rFonts w:ascii="Arial" w:eastAsia="Times New Roman" w:hAnsi="Arial" w:cs="Arial"/>
                <w:bCs/>
                <w:sz w:val="14"/>
                <w:szCs w:val="18"/>
                <w:lang w:val="en-CA" w:eastAsia="en-CA"/>
              </w:rPr>
              <w:t xml:space="preserve"> (constant, at 1999 prices)</w:t>
            </w:r>
          </w:p>
        </w:tc>
      </w:tr>
      <w:tr w:rsidR="00DF3858" w:rsidRPr="00DF3858" w:rsidTr="002347AE">
        <w:trPr>
          <w:trHeight w:val="270"/>
        </w:trPr>
        <w:tc>
          <w:tcPr>
            <w:tcW w:w="421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DF3858" w:rsidRPr="00DF3858" w:rsidRDefault="00DF3858" w:rsidP="00DF3858">
            <w:pPr>
              <w:bidi/>
              <w:spacing w:before="0" w:after="0"/>
              <w:rPr>
                <w:rFonts w:ascii="Arial" w:eastAsia="Times New Roman" w:hAnsi="Arial" w:cs="Arial"/>
                <w:bCs/>
                <w:sz w:val="18"/>
                <w:szCs w:val="18"/>
                <w:lang w:val="en-CA" w:eastAsia="en-CA"/>
              </w:rPr>
            </w:pPr>
            <w:r w:rsidRPr="00DF3858">
              <w:rPr>
                <w:rFonts w:ascii="Arial" w:eastAsia="Times New Roman" w:hAnsi="Arial" w:cs="Arial"/>
                <w:bCs/>
                <w:sz w:val="18"/>
                <w:szCs w:val="18"/>
                <w:rtl/>
                <w:lang w:val="en-CA" w:eastAsia="en-CA"/>
              </w:rPr>
              <w:t> </w:t>
            </w:r>
          </w:p>
        </w:tc>
        <w:tc>
          <w:tcPr>
            <w:tcW w:w="858" w:type="dxa"/>
            <w:tcBorders>
              <w:top w:val="nil"/>
              <w:left w:val="nil"/>
              <w:bottom w:val="single" w:sz="4" w:space="0" w:color="auto"/>
              <w:right w:val="single" w:sz="4" w:space="0" w:color="auto"/>
            </w:tcBorders>
            <w:shd w:val="clear" w:color="auto" w:fill="DBE5F1" w:themeFill="accent1" w:themeFillTint="33"/>
            <w:noWrap/>
            <w:vAlign w:val="center"/>
            <w:hideMark/>
          </w:tcPr>
          <w:p w:rsidR="00DF3858" w:rsidRPr="00DF3858" w:rsidRDefault="00DF3858" w:rsidP="00DF3858">
            <w:pPr>
              <w:spacing w:before="0" w:after="0"/>
              <w:jc w:val="center"/>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2006</w:t>
            </w:r>
          </w:p>
        </w:tc>
        <w:tc>
          <w:tcPr>
            <w:tcW w:w="859" w:type="dxa"/>
            <w:tcBorders>
              <w:top w:val="nil"/>
              <w:left w:val="nil"/>
              <w:bottom w:val="single" w:sz="4" w:space="0" w:color="auto"/>
              <w:right w:val="single" w:sz="4" w:space="0" w:color="auto"/>
            </w:tcBorders>
            <w:shd w:val="clear" w:color="auto" w:fill="DBE5F1" w:themeFill="accent1" w:themeFillTint="33"/>
            <w:noWrap/>
            <w:vAlign w:val="center"/>
            <w:hideMark/>
          </w:tcPr>
          <w:p w:rsidR="00DF3858" w:rsidRPr="00DF3858" w:rsidRDefault="00DF3858" w:rsidP="00DF3858">
            <w:pPr>
              <w:spacing w:before="0" w:after="0"/>
              <w:jc w:val="center"/>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2007</w:t>
            </w:r>
          </w:p>
        </w:tc>
        <w:tc>
          <w:tcPr>
            <w:tcW w:w="859" w:type="dxa"/>
            <w:tcBorders>
              <w:top w:val="nil"/>
              <w:left w:val="nil"/>
              <w:bottom w:val="single" w:sz="4" w:space="0" w:color="auto"/>
              <w:right w:val="single" w:sz="4" w:space="0" w:color="auto"/>
            </w:tcBorders>
            <w:shd w:val="clear" w:color="auto" w:fill="DBE5F1" w:themeFill="accent1" w:themeFillTint="33"/>
            <w:noWrap/>
            <w:vAlign w:val="center"/>
            <w:hideMark/>
          </w:tcPr>
          <w:p w:rsidR="00DF3858" w:rsidRPr="00DF3858" w:rsidRDefault="00DF3858" w:rsidP="00DF3858">
            <w:pPr>
              <w:spacing w:before="0" w:after="0"/>
              <w:jc w:val="center"/>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2008</w:t>
            </w:r>
          </w:p>
        </w:tc>
        <w:tc>
          <w:tcPr>
            <w:tcW w:w="859" w:type="dxa"/>
            <w:tcBorders>
              <w:top w:val="nil"/>
              <w:left w:val="nil"/>
              <w:bottom w:val="single" w:sz="4" w:space="0" w:color="auto"/>
              <w:right w:val="single" w:sz="4" w:space="0" w:color="auto"/>
            </w:tcBorders>
            <w:shd w:val="clear" w:color="auto" w:fill="DBE5F1" w:themeFill="accent1" w:themeFillTint="33"/>
            <w:noWrap/>
            <w:vAlign w:val="center"/>
            <w:hideMark/>
          </w:tcPr>
          <w:p w:rsidR="00DF3858" w:rsidRPr="00DF3858" w:rsidRDefault="00DF3858" w:rsidP="00DF3858">
            <w:pPr>
              <w:spacing w:before="0" w:after="0"/>
              <w:jc w:val="center"/>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2009</w:t>
            </w:r>
          </w:p>
        </w:tc>
        <w:tc>
          <w:tcPr>
            <w:tcW w:w="859" w:type="dxa"/>
            <w:tcBorders>
              <w:top w:val="nil"/>
              <w:left w:val="nil"/>
              <w:bottom w:val="single" w:sz="4" w:space="0" w:color="auto"/>
              <w:right w:val="single" w:sz="4" w:space="0" w:color="auto"/>
            </w:tcBorders>
            <w:shd w:val="clear" w:color="auto" w:fill="DBE5F1" w:themeFill="accent1" w:themeFillTint="33"/>
            <w:noWrap/>
            <w:vAlign w:val="center"/>
            <w:hideMark/>
          </w:tcPr>
          <w:p w:rsidR="00DF3858" w:rsidRPr="00DF3858" w:rsidRDefault="00DF3858" w:rsidP="00DF3858">
            <w:pPr>
              <w:spacing w:before="0" w:after="0"/>
              <w:jc w:val="center"/>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2010</w:t>
            </w:r>
          </w:p>
        </w:tc>
        <w:tc>
          <w:tcPr>
            <w:tcW w:w="859" w:type="dxa"/>
            <w:tcBorders>
              <w:top w:val="nil"/>
              <w:left w:val="nil"/>
              <w:bottom w:val="single" w:sz="4" w:space="0" w:color="auto"/>
              <w:right w:val="single" w:sz="4" w:space="0" w:color="auto"/>
            </w:tcBorders>
            <w:shd w:val="clear" w:color="auto" w:fill="DBE5F1" w:themeFill="accent1" w:themeFillTint="33"/>
            <w:noWrap/>
            <w:vAlign w:val="center"/>
            <w:hideMark/>
          </w:tcPr>
          <w:p w:rsidR="00DF3858" w:rsidRPr="00DF3858" w:rsidRDefault="00DF3858" w:rsidP="00DF3858">
            <w:pPr>
              <w:spacing w:before="0" w:after="0"/>
              <w:jc w:val="center"/>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 2011</w:t>
            </w:r>
          </w:p>
        </w:tc>
      </w:tr>
      <w:tr w:rsidR="00DF3858" w:rsidRPr="00DF3858" w:rsidTr="00DF3858">
        <w:trPr>
          <w:trHeight w:val="255"/>
        </w:trPr>
        <w:tc>
          <w:tcPr>
            <w:tcW w:w="4217" w:type="dxa"/>
            <w:tcBorders>
              <w:top w:val="nil"/>
              <w:left w:val="single" w:sz="4" w:space="0" w:color="auto"/>
              <w:bottom w:val="single" w:sz="4" w:space="0" w:color="auto"/>
              <w:right w:val="single" w:sz="4" w:space="0" w:color="auto"/>
            </w:tcBorders>
            <w:shd w:val="clear" w:color="auto" w:fill="auto"/>
            <w:noWrap/>
            <w:vAlign w:val="center"/>
            <w:hideMark/>
          </w:tcPr>
          <w:p w:rsidR="00DF3858" w:rsidRPr="002F1F7C" w:rsidRDefault="00DF3858" w:rsidP="00DF3858">
            <w:pPr>
              <w:spacing w:before="0" w:after="0"/>
              <w:rPr>
                <w:rFonts w:ascii="Arial" w:eastAsia="Times New Roman" w:hAnsi="Arial" w:cs="Arial"/>
                <w:bCs/>
                <w:sz w:val="16"/>
                <w:szCs w:val="16"/>
                <w:lang w:val="en-CA" w:eastAsia="en-CA"/>
              </w:rPr>
            </w:pPr>
            <w:r w:rsidRPr="002F1F7C">
              <w:rPr>
                <w:rFonts w:ascii="Arial" w:eastAsia="Times New Roman" w:hAnsi="Arial" w:cs="Arial"/>
                <w:bCs/>
                <w:sz w:val="16"/>
                <w:szCs w:val="16"/>
                <w:lang w:val="en-CA" w:eastAsia="en-CA"/>
              </w:rPr>
              <w:t>Agriculture , Forestry &amp; Fishing</w:t>
            </w:r>
          </w:p>
        </w:tc>
        <w:tc>
          <w:tcPr>
            <w:tcW w:w="858"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4.93</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4.92</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4.75</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4.72</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4.57</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4.39</w:t>
            </w:r>
          </w:p>
        </w:tc>
      </w:tr>
      <w:tr w:rsidR="00DF3858" w:rsidRPr="00DF3858" w:rsidTr="00DF3858">
        <w:trPr>
          <w:trHeight w:val="255"/>
        </w:trPr>
        <w:tc>
          <w:tcPr>
            <w:tcW w:w="4217" w:type="dxa"/>
            <w:tcBorders>
              <w:top w:val="nil"/>
              <w:left w:val="single" w:sz="4" w:space="0" w:color="auto"/>
              <w:bottom w:val="single" w:sz="4" w:space="0" w:color="auto"/>
              <w:right w:val="single" w:sz="4" w:space="0" w:color="auto"/>
            </w:tcBorders>
            <w:shd w:val="clear" w:color="auto" w:fill="auto"/>
            <w:noWrap/>
            <w:vAlign w:val="center"/>
            <w:hideMark/>
          </w:tcPr>
          <w:p w:rsidR="00DF3858" w:rsidRPr="002F1F7C" w:rsidRDefault="00DF3858" w:rsidP="00DF3858">
            <w:pPr>
              <w:spacing w:before="0" w:after="0"/>
              <w:rPr>
                <w:rFonts w:ascii="Arial" w:eastAsia="Times New Roman" w:hAnsi="Arial" w:cs="Arial"/>
                <w:bCs/>
                <w:sz w:val="16"/>
                <w:szCs w:val="16"/>
                <w:lang w:val="en-CA" w:eastAsia="en-CA"/>
              </w:rPr>
            </w:pPr>
            <w:r w:rsidRPr="002F1F7C">
              <w:rPr>
                <w:rFonts w:ascii="Arial" w:eastAsia="Times New Roman" w:hAnsi="Arial" w:cs="Arial"/>
                <w:bCs/>
                <w:sz w:val="16"/>
                <w:szCs w:val="16"/>
                <w:lang w:val="en-CA" w:eastAsia="en-CA"/>
              </w:rPr>
              <w:t>Mining &amp; Quarrying</w:t>
            </w:r>
          </w:p>
        </w:tc>
        <w:tc>
          <w:tcPr>
            <w:tcW w:w="858"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27.85</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26.20</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26.20</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23.91</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23.35</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22.81</w:t>
            </w:r>
          </w:p>
        </w:tc>
      </w:tr>
      <w:tr w:rsidR="00DF3858" w:rsidRPr="00DF3858" w:rsidTr="00DF3858">
        <w:trPr>
          <w:trHeight w:val="255"/>
        </w:trPr>
        <w:tc>
          <w:tcPr>
            <w:tcW w:w="4217" w:type="dxa"/>
            <w:tcBorders>
              <w:top w:val="nil"/>
              <w:left w:val="single" w:sz="4" w:space="0" w:color="auto"/>
              <w:bottom w:val="single" w:sz="4" w:space="0" w:color="auto"/>
              <w:right w:val="single" w:sz="4" w:space="0" w:color="auto"/>
            </w:tcBorders>
            <w:shd w:val="clear" w:color="auto" w:fill="auto"/>
            <w:noWrap/>
            <w:vAlign w:val="center"/>
            <w:hideMark/>
          </w:tcPr>
          <w:p w:rsidR="00DF3858" w:rsidRPr="002F1F7C" w:rsidRDefault="00DF3858" w:rsidP="00DF3858">
            <w:pPr>
              <w:spacing w:before="0" w:after="0"/>
              <w:rPr>
                <w:rFonts w:ascii="Arial" w:eastAsia="Times New Roman" w:hAnsi="Arial" w:cs="Arial"/>
                <w:bCs/>
                <w:sz w:val="16"/>
                <w:szCs w:val="16"/>
                <w:lang w:val="en-CA" w:eastAsia="en-CA"/>
              </w:rPr>
            </w:pPr>
            <w:r w:rsidRPr="002F1F7C">
              <w:rPr>
                <w:rFonts w:ascii="Arial" w:eastAsia="Times New Roman" w:hAnsi="Arial" w:cs="Arial"/>
                <w:bCs/>
                <w:sz w:val="16"/>
                <w:szCs w:val="16"/>
                <w:lang w:val="en-CA" w:eastAsia="en-CA"/>
              </w:rPr>
              <w:t>Manufacturing</w:t>
            </w:r>
          </w:p>
        </w:tc>
        <w:tc>
          <w:tcPr>
            <w:tcW w:w="858"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11.75</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12.18</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12.38</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12.56</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12.63</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13.29</w:t>
            </w:r>
          </w:p>
        </w:tc>
      </w:tr>
      <w:tr w:rsidR="00DF3858" w:rsidRPr="00DF3858" w:rsidTr="00DF3858">
        <w:trPr>
          <w:trHeight w:val="255"/>
        </w:trPr>
        <w:tc>
          <w:tcPr>
            <w:tcW w:w="4217" w:type="dxa"/>
            <w:tcBorders>
              <w:top w:val="nil"/>
              <w:left w:val="single" w:sz="4" w:space="0" w:color="auto"/>
              <w:bottom w:val="single" w:sz="4" w:space="0" w:color="auto"/>
              <w:right w:val="single" w:sz="4" w:space="0" w:color="auto"/>
            </w:tcBorders>
            <w:shd w:val="clear" w:color="auto" w:fill="auto"/>
            <w:noWrap/>
            <w:vAlign w:val="center"/>
            <w:hideMark/>
          </w:tcPr>
          <w:p w:rsidR="00DF3858" w:rsidRPr="002F1F7C" w:rsidRDefault="0039362A" w:rsidP="00DF3858">
            <w:pPr>
              <w:spacing w:before="0" w:after="0"/>
              <w:rPr>
                <w:rFonts w:ascii="Arial" w:eastAsia="Times New Roman" w:hAnsi="Arial" w:cs="Arial"/>
                <w:bCs/>
                <w:sz w:val="16"/>
                <w:szCs w:val="16"/>
                <w:lang w:val="en-CA" w:eastAsia="en-CA"/>
              </w:rPr>
            </w:pPr>
            <w:r w:rsidRPr="002F1F7C">
              <w:rPr>
                <w:rFonts w:ascii="Arial" w:eastAsia="Times New Roman" w:hAnsi="Arial" w:cs="Arial"/>
                <w:bCs/>
                <w:sz w:val="16"/>
                <w:szCs w:val="16"/>
                <w:lang w:val="en-CA" w:eastAsia="en-CA"/>
              </w:rPr>
              <w:t>Electricity</w:t>
            </w:r>
            <w:r w:rsidR="00DF3858" w:rsidRPr="002F1F7C">
              <w:rPr>
                <w:rFonts w:ascii="Arial" w:eastAsia="Times New Roman" w:hAnsi="Arial" w:cs="Arial"/>
                <w:bCs/>
                <w:sz w:val="16"/>
                <w:szCs w:val="16"/>
                <w:lang w:val="en-CA" w:eastAsia="en-CA"/>
              </w:rPr>
              <w:t>, Gas and Water</w:t>
            </w:r>
          </w:p>
        </w:tc>
        <w:tc>
          <w:tcPr>
            <w:tcW w:w="858"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1.61</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1.64</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1.68</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1.79</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1.85</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1.80</w:t>
            </w:r>
          </w:p>
        </w:tc>
      </w:tr>
      <w:tr w:rsidR="00DF3858" w:rsidRPr="00DF3858" w:rsidTr="00DF3858">
        <w:trPr>
          <w:trHeight w:val="255"/>
        </w:trPr>
        <w:tc>
          <w:tcPr>
            <w:tcW w:w="4217" w:type="dxa"/>
            <w:tcBorders>
              <w:top w:val="nil"/>
              <w:left w:val="single" w:sz="4" w:space="0" w:color="auto"/>
              <w:bottom w:val="single" w:sz="4" w:space="0" w:color="auto"/>
              <w:right w:val="single" w:sz="4" w:space="0" w:color="auto"/>
            </w:tcBorders>
            <w:shd w:val="clear" w:color="auto" w:fill="auto"/>
            <w:noWrap/>
            <w:vAlign w:val="center"/>
            <w:hideMark/>
          </w:tcPr>
          <w:p w:rsidR="00DF3858" w:rsidRPr="002F1F7C" w:rsidRDefault="00DF3858" w:rsidP="00DF3858">
            <w:pPr>
              <w:spacing w:before="0" w:after="0"/>
              <w:rPr>
                <w:rFonts w:ascii="Arial" w:eastAsia="Times New Roman" w:hAnsi="Arial" w:cs="Arial"/>
                <w:bCs/>
                <w:sz w:val="16"/>
                <w:szCs w:val="16"/>
                <w:lang w:val="en-CA" w:eastAsia="en-CA"/>
              </w:rPr>
            </w:pPr>
            <w:r w:rsidRPr="002F1F7C">
              <w:rPr>
                <w:rFonts w:ascii="Arial" w:eastAsia="Times New Roman" w:hAnsi="Arial" w:cs="Arial"/>
                <w:bCs/>
                <w:sz w:val="16"/>
                <w:szCs w:val="16"/>
                <w:lang w:val="en-CA" w:eastAsia="en-CA"/>
              </w:rPr>
              <w:t>Construction</w:t>
            </w:r>
          </w:p>
        </w:tc>
        <w:tc>
          <w:tcPr>
            <w:tcW w:w="858"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6.94</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7.08</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6.89</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6.93</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7.14</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7.46</w:t>
            </w:r>
          </w:p>
        </w:tc>
      </w:tr>
      <w:tr w:rsidR="00DF3858" w:rsidRPr="00DF3858" w:rsidTr="00DF3858">
        <w:trPr>
          <w:trHeight w:val="255"/>
        </w:trPr>
        <w:tc>
          <w:tcPr>
            <w:tcW w:w="4217" w:type="dxa"/>
            <w:tcBorders>
              <w:top w:val="nil"/>
              <w:left w:val="single" w:sz="4" w:space="0" w:color="auto"/>
              <w:bottom w:val="single" w:sz="4" w:space="0" w:color="auto"/>
              <w:right w:val="single" w:sz="4" w:space="0" w:color="auto"/>
            </w:tcBorders>
            <w:shd w:val="clear" w:color="auto" w:fill="auto"/>
            <w:noWrap/>
            <w:vAlign w:val="center"/>
            <w:hideMark/>
          </w:tcPr>
          <w:p w:rsidR="00DF3858" w:rsidRPr="002F1F7C" w:rsidRDefault="00DF3858" w:rsidP="00DF3858">
            <w:pPr>
              <w:spacing w:before="0" w:after="0"/>
              <w:rPr>
                <w:rFonts w:ascii="Arial" w:eastAsia="Times New Roman" w:hAnsi="Arial" w:cs="Arial"/>
                <w:bCs/>
                <w:sz w:val="16"/>
                <w:szCs w:val="16"/>
                <w:lang w:val="en-CA" w:eastAsia="en-CA"/>
              </w:rPr>
            </w:pPr>
            <w:r w:rsidRPr="002F1F7C">
              <w:rPr>
                <w:rFonts w:ascii="Arial" w:eastAsia="Times New Roman" w:hAnsi="Arial" w:cs="Arial"/>
                <w:bCs/>
                <w:sz w:val="16"/>
                <w:szCs w:val="16"/>
                <w:lang w:val="en-CA" w:eastAsia="en-CA"/>
              </w:rPr>
              <w:t>Wholesale</w:t>
            </w:r>
            <w:r w:rsidR="002F1F7C" w:rsidRPr="002F1F7C">
              <w:rPr>
                <w:rFonts w:ascii="Arial" w:eastAsia="Times New Roman" w:hAnsi="Arial" w:cs="Arial"/>
                <w:bCs/>
                <w:sz w:val="16"/>
                <w:szCs w:val="16"/>
                <w:lang w:val="en-CA" w:eastAsia="en-CA"/>
              </w:rPr>
              <w:t xml:space="preserve"> &amp; Retail Trade, Restaurants &amp; H</w:t>
            </w:r>
            <w:r w:rsidRPr="002F1F7C">
              <w:rPr>
                <w:rFonts w:ascii="Arial" w:eastAsia="Times New Roman" w:hAnsi="Arial" w:cs="Arial"/>
                <w:bCs/>
                <w:sz w:val="16"/>
                <w:szCs w:val="16"/>
                <w:lang w:val="en-CA" w:eastAsia="en-CA"/>
              </w:rPr>
              <w:t>otels</w:t>
            </w:r>
          </w:p>
        </w:tc>
        <w:tc>
          <w:tcPr>
            <w:tcW w:w="858"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8.01</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8.34</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8.52</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8.72</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9.01</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8.98</w:t>
            </w:r>
          </w:p>
        </w:tc>
      </w:tr>
      <w:tr w:rsidR="00DF3858" w:rsidRPr="00DF3858" w:rsidTr="00DF3858">
        <w:trPr>
          <w:trHeight w:val="255"/>
        </w:trPr>
        <w:tc>
          <w:tcPr>
            <w:tcW w:w="4217" w:type="dxa"/>
            <w:tcBorders>
              <w:top w:val="nil"/>
              <w:left w:val="single" w:sz="4" w:space="0" w:color="auto"/>
              <w:bottom w:val="single" w:sz="4" w:space="0" w:color="auto"/>
              <w:right w:val="single" w:sz="4" w:space="0" w:color="auto"/>
            </w:tcBorders>
            <w:shd w:val="clear" w:color="auto" w:fill="auto"/>
            <w:noWrap/>
            <w:vAlign w:val="center"/>
            <w:hideMark/>
          </w:tcPr>
          <w:p w:rsidR="00DF3858" w:rsidRPr="002F1F7C" w:rsidRDefault="00DF3858" w:rsidP="00DF3858">
            <w:pPr>
              <w:spacing w:before="0" w:after="0"/>
              <w:rPr>
                <w:rFonts w:ascii="Arial" w:eastAsia="Times New Roman" w:hAnsi="Arial" w:cs="Arial"/>
                <w:bCs/>
                <w:sz w:val="16"/>
                <w:szCs w:val="16"/>
                <w:lang w:val="en-CA" w:eastAsia="en-CA"/>
              </w:rPr>
            </w:pPr>
            <w:r w:rsidRPr="002F1F7C">
              <w:rPr>
                <w:rFonts w:ascii="Arial" w:eastAsia="Times New Roman" w:hAnsi="Arial" w:cs="Arial"/>
                <w:bCs/>
                <w:sz w:val="16"/>
                <w:szCs w:val="16"/>
                <w:lang w:val="en-CA" w:eastAsia="en-CA"/>
              </w:rPr>
              <w:t>Transport , Storage &amp; Communication</w:t>
            </w:r>
          </w:p>
        </w:tc>
        <w:tc>
          <w:tcPr>
            <w:tcW w:w="858"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5.74</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6.20</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6.68</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7.16</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7.39</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7.62</w:t>
            </w:r>
          </w:p>
        </w:tc>
      </w:tr>
      <w:tr w:rsidR="00DF3858" w:rsidRPr="00DF3858" w:rsidTr="00DF3858">
        <w:trPr>
          <w:trHeight w:val="255"/>
        </w:trPr>
        <w:tc>
          <w:tcPr>
            <w:tcW w:w="4217" w:type="dxa"/>
            <w:tcBorders>
              <w:top w:val="nil"/>
              <w:left w:val="single" w:sz="4" w:space="0" w:color="auto"/>
              <w:bottom w:val="single" w:sz="4" w:space="0" w:color="auto"/>
              <w:right w:val="single" w:sz="4" w:space="0" w:color="auto"/>
            </w:tcBorders>
            <w:shd w:val="clear" w:color="auto" w:fill="auto"/>
            <w:noWrap/>
            <w:vAlign w:val="center"/>
            <w:hideMark/>
          </w:tcPr>
          <w:p w:rsidR="00DF3858" w:rsidRPr="002F1F7C" w:rsidRDefault="0039362A" w:rsidP="0039362A">
            <w:pPr>
              <w:spacing w:before="0" w:after="0"/>
              <w:ind w:left="181" w:hanging="181"/>
              <w:rPr>
                <w:rFonts w:ascii="Arial" w:eastAsia="Times New Roman" w:hAnsi="Arial" w:cs="Arial"/>
                <w:bCs/>
                <w:sz w:val="16"/>
                <w:szCs w:val="16"/>
                <w:lang w:val="en-CA" w:eastAsia="en-CA"/>
              </w:rPr>
            </w:pPr>
            <w:r w:rsidRPr="002F1F7C">
              <w:rPr>
                <w:rFonts w:ascii="Arial" w:eastAsia="Times New Roman" w:hAnsi="Arial" w:cs="Arial"/>
                <w:bCs/>
                <w:sz w:val="16"/>
                <w:szCs w:val="16"/>
                <w:lang w:val="en-CA" w:eastAsia="en-CA"/>
              </w:rPr>
              <w:t xml:space="preserve"> Finance, Insurance, Real Estate</w:t>
            </w:r>
            <w:r w:rsidR="00DF3858" w:rsidRPr="002F1F7C">
              <w:rPr>
                <w:rFonts w:ascii="Arial" w:eastAsia="Times New Roman" w:hAnsi="Arial" w:cs="Arial"/>
                <w:bCs/>
                <w:sz w:val="16"/>
                <w:szCs w:val="16"/>
                <w:lang w:val="en-CA" w:eastAsia="en-CA"/>
              </w:rPr>
              <w:t xml:space="preserve"> &amp; Business Services</w:t>
            </w:r>
          </w:p>
        </w:tc>
        <w:tc>
          <w:tcPr>
            <w:tcW w:w="858"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12.53</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12.75</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12.53</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12.85</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12.47</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11.99</w:t>
            </w:r>
          </w:p>
        </w:tc>
      </w:tr>
      <w:tr w:rsidR="00DF3858" w:rsidRPr="00DF3858" w:rsidTr="00DF3858">
        <w:trPr>
          <w:trHeight w:val="255"/>
        </w:trPr>
        <w:tc>
          <w:tcPr>
            <w:tcW w:w="4217" w:type="dxa"/>
            <w:tcBorders>
              <w:top w:val="nil"/>
              <w:left w:val="single" w:sz="4" w:space="0" w:color="auto"/>
              <w:bottom w:val="single" w:sz="4" w:space="0" w:color="auto"/>
              <w:right w:val="single" w:sz="4" w:space="0" w:color="auto"/>
            </w:tcBorders>
            <w:shd w:val="clear" w:color="auto" w:fill="auto"/>
            <w:noWrap/>
            <w:vAlign w:val="center"/>
            <w:hideMark/>
          </w:tcPr>
          <w:p w:rsidR="00DF3858" w:rsidRPr="002F1F7C" w:rsidRDefault="0039362A" w:rsidP="00DF3858">
            <w:pPr>
              <w:spacing w:before="0" w:after="0"/>
              <w:rPr>
                <w:rFonts w:ascii="Arial" w:eastAsia="Times New Roman" w:hAnsi="Arial" w:cs="Arial"/>
                <w:bCs/>
                <w:sz w:val="16"/>
                <w:szCs w:val="16"/>
                <w:lang w:val="en-CA" w:eastAsia="en-CA"/>
              </w:rPr>
            </w:pPr>
            <w:r w:rsidRPr="002F1F7C">
              <w:rPr>
                <w:rFonts w:ascii="Arial" w:eastAsia="Times New Roman" w:hAnsi="Arial" w:cs="Arial"/>
                <w:bCs/>
                <w:sz w:val="16"/>
                <w:szCs w:val="16"/>
                <w:lang w:val="en-CA" w:eastAsia="en-CA"/>
              </w:rPr>
              <w:t>Community</w:t>
            </w:r>
            <w:r w:rsidR="00DF3858" w:rsidRPr="002F1F7C">
              <w:rPr>
                <w:rFonts w:ascii="Arial" w:eastAsia="Times New Roman" w:hAnsi="Arial" w:cs="Arial"/>
                <w:bCs/>
                <w:sz w:val="16"/>
                <w:szCs w:val="16"/>
                <w:lang w:val="en-CA" w:eastAsia="en-CA"/>
              </w:rPr>
              <w:t>, Social &amp; Personal Services</w:t>
            </w:r>
          </w:p>
        </w:tc>
        <w:tc>
          <w:tcPr>
            <w:tcW w:w="858"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3.75</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3.78</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3.71</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3.86</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3.90</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4.02</w:t>
            </w:r>
          </w:p>
        </w:tc>
      </w:tr>
      <w:tr w:rsidR="00DF3858" w:rsidRPr="00DF3858" w:rsidTr="00DF3858">
        <w:trPr>
          <w:trHeight w:val="255"/>
        </w:trPr>
        <w:tc>
          <w:tcPr>
            <w:tcW w:w="4217" w:type="dxa"/>
            <w:tcBorders>
              <w:top w:val="nil"/>
              <w:left w:val="single" w:sz="4" w:space="0" w:color="auto"/>
              <w:bottom w:val="single" w:sz="4" w:space="0" w:color="auto"/>
              <w:right w:val="single" w:sz="4" w:space="0" w:color="auto"/>
            </w:tcBorders>
            <w:shd w:val="clear" w:color="auto" w:fill="auto"/>
            <w:noWrap/>
            <w:vAlign w:val="center"/>
            <w:hideMark/>
          </w:tcPr>
          <w:p w:rsidR="00DF3858" w:rsidRPr="002F1F7C" w:rsidRDefault="00DF3858" w:rsidP="00DF3858">
            <w:pPr>
              <w:spacing w:before="0" w:after="0"/>
              <w:rPr>
                <w:rFonts w:ascii="Arial" w:eastAsia="Times New Roman" w:hAnsi="Arial" w:cs="Arial"/>
                <w:bCs/>
                <w:sz w:val="16"/>
                <w:szCs w:val="16"/>
                <w:lang w:val="en-CA" w:eastAsia="en-CA"/>
              </w:rPr>
            </w:pPr>
            <w:r w:rsidRPr="002F1F7C">
              <w:rPr>
                <w:rFonts w:ascii="Arial" w:eastAsia="Times New Roman" w:hAnsi="Arial" w:cs="Arial"/>
                <w:bCs/>
                <w:sz w:val="16"/>
                <w:szCs w:val="16"/>
                <w:lang w:val="en-CA" w:eastAsia="en-CA"/>
              </w:rPr>
              <w:t>Government Services</w:t>
            </w:r>
          </w:p>
        </w:tc>
        <w:tc>
          <w:tcPr>
            <w:tcW w:w="858"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17.69</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17.68</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17.37</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18.22</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18.34</w:t>
            </w:r>
          </w:p>
        </w:tc>
        <w:tc>
          <w:tcPr>
            <w:tcW w:w="859" w:type="dxa"/>
            <w:tcBorders>
              <w:top w:val="nil"/>
              <w:left w:val="nil"/>
              <w:bottom w:val="single" w:sz="4" w:space="0" w:color="auto"/>
              <w:right w:val="single" w:sz="4" w:space="0" w:color="auto"/>
            </w:tcBorders>
            <w:shd w:val="clear" w:color="auto" w:fill="auto"/>
            <w:noWrap/>
            <w:vAlign w:val="bottom"/>
            <w:hideMark/>
          </w:tcPr>
          <w:p w:rsidR="00DF3858" w:rsidRPr="00DF3858" w:rsidRDefault="00DF3858" w:rsidP="00DF3858">
            <w:pPr>
              <w:spacing w:before="0" w:after="0"/>
              <w:jc w:val="right"/>
              <w:rPr>
                <w:rFonts w:ascii="Arial" w:eastAsia="Times New Roman" w:hAnsi="Arial" w:cs="Arial"/>
                <w:bCs/>
                <w:sz w:val="18"/>
                <w:szCs w:val="18"/>
                <w:lang w:val="en-CA" w:eastAsia="en-CA"/>
              </w:rPr>
            </w:pPr>
            <w:r w:rsidRPr="00DF3858">
              <w:rPr>
                <w:rFonts w:ascii="Arial" w:eastAsia="Times New Roman" w:hAnsi="Arial" w:cs="Arial"/>
                <w:bCs/>
                <w:sz w:val="18"/>
                <w:szCs w:val="18"/>
                <w:lang w:val="en-CA" w:eastAsia="en-CA"/>
              </w:rPr>
              <w:t>18.23</w:t>
            </w:r>
          </w:p>
        </w:tc>
      </w:tr>
      <w:tr w:rsidR="00DF3858" w:rsidRPr="00DF3858" w:rsidTr="0039362A">
        <w:trPr>
          <w:trHeight w:val="330"/>
        </w:trPr>
        <w:tc>
          <w:tcPr>
            <w:tcW w:w="4217" w:type="dxa"/>
            <w:tcBorders>
              <w:top w:val="nil"/>
              <w:left w:val="single" w:sz="4" w:space="0" w:color="auto"/>
              <w:bottom w:val="single" w:sz="4" w:space="0" w:color="auto"/>
              <w:right w:val="single" w:sz="4" w:space="0" w:color="auto"/>
            </w:tcBorders>
            <w:shd w:val="clear" w:color="auto" w:fill="auto"/>
            <w:noWrap/>
            <w:vAlign w:val="center"/>
            <w:hideMark/>
          </w:tcPr>
          <w:p w:rsidR="00DF3858" w:rsidRPr="00DF3858" w:rsidRDefault="00DF3858" w:rsidP="0039362A">
            <w:pPr>
              <w:spacing w:before="0" w:after="0"/>
              <w:jc w:val="center"/>
              <w:rPr>
                <w:rFonts w:ascii="Arial" w:eastAsia="Times New Roman" w:hAnsi="Arial" w:cs="Arial"/>
                <w:sz w:val="18"/>
                <w:szCs w:val="18"/>
                <w:lang w:val="en-CA" w:eastAsia="en-CA"/>
              </w:rPr>
            </w:pPr>
            <w:r>
              <w:rPr>
                <w:rFonts w:ascii="Arial" w:eastAsia="Times New Roman" w:hAnsi="Arial" w:cs="Arial"/>
                <w:sz w:val="18"/>
                <w:szCs w:val="18"/>
                <w:lang w:val="en-CA" w:eastAsia="en-CA"/>
              </w:rPr>
              <w:t xml:space="preserve">Total </w:t>
            </w:r>
            <w:r w:rsidRPr="00DF3858">
              <w:rPr>
                <w:rFonts w:ascii="Arial" w:eastAsia="Times New Roman" w:hAnsi="Arial" w:cs="Arial"/>
                <w:sz w:val="14"/>
                <w:szCs w:val="18"/>
                <w:lang w:val="en-CA" w:eastAsia="en-CA"/>
              </w:rPr>
              <w:t>(</w:t>
            </w:r>
            <w:r w:rsidR="00BF40D7">
              <w:rPr>
                <w:rFonts w:ascii="Arial" w:eastAsia="Times New Roman" w:hAnsi="Arial" w:cs="Arial"/>
                <w:sz w:val="14"/>
                <w:szCs w:val="18"/>
                <w:lang w:val="en-CA" w:eastAsia="en-CA"/>
              </w:rPr>
              <w:t xml:space="preserve">actual totals </w:t>
            </w:r>
            <w:r w:rsidRPr="00DF3858">
              <w:rPr>
                <w:rFonts w:ascii="Arial" w:eastAsia="Times New Roman" w:hAnsi="Arial" w:cs="Arial"/>
                <w:sz w:val="14"/>
                <w:szCs w:val="18"/>
                <w:lang w:val="en-CA" w:eastAsia="en-CA"/>
              </w:rPr>
              <w:t>may differ from 100 due to rounding)</w:t>
            </w:r>
          </w:p>
        </w:tc>
        <w:tc>
          <w:tcPr>
            <w:tcW w:w="858" w:type="dxa"/>
            <w:tcBorders>
              <w:top w:val="nil"/>
              <w:left w:val="nil"/>
              <w:bottom w:val="single" w:sz="4" w:space="0" w:color="auto"/>
              <w:right w:val="single" w:sz="4" w:space="0" w:color="auto"/>
            </w:tcBorders>
            <w:shd w:val="clear" w:color="auto" w:fill="auto"/>
            <w:noWrap/>
            <w:vAlign w:val="center"/>
            <w:hideMark/>
          </w:tcPr>
          <w:p w:rsidR="00DF3858" w:rsidRPr="00DF3858" w:rsidRDefault="00DF3858" w:rsidP="0039362A">
            <w:pPr>
              <w:spacing w:before="0" w:after="0"/>
              <w:jc w:val="center"/>
              <w:rPr>
                <w:rFonts w:ascii="Arial" w:eastAsia="Times New Roman" w:hAnsi="Arial" w:cs="Arial"/>
                <w:sz w:val="18"/>
                <w:szCs w:val="18"/>
                <w:lang w:val="en-CA" w:eastAsia="en-CA"/>
              </w:rPr>
            </w:pPr>
            <w:r w:rsidRPr="00DF3858">
              <w:rPr>
                <w:rFonts w:ascii="Arial" w:eastAsia="Times New Roman" w:hAnsi="Arial" w:cs="Arial"/>
                <w:sz w:val="18"/>
                <w:szCs w:val="18"/>
                <w:lang w:val="en-CA" w:eastAsia="en-CA"/>
              </w:rPr>
              <w:t>100</w:t>
            </w:r>
          </w:p>
        </w:tc>
        <w:tc>
          <w:tcPr>
            <w:tcW w:w="859" w:type="dxa"/>
            <w:tcBorders>
              <w:top w:val="nil"/>
              <w:left w:val="nil"/>
              <w:bottom w:val="single" w:sz="4" w:space="0" w:color="auto"/>
              <w:right w:val="single" w:sz="4" w:space="0" w:color="auto"/>
            </w:tcBorders>
            <w:shd w:val="clear" w:color="auto" w:fill="auto"/>
            <w:noWrap/>
            <w:vAlign w:val="center"/>
            <w:hideMark/>
          </w:tcPr>
          <w:p w:rsidR="00DF3858" w:rsidRDefault="00DF3858" w:rsidP="0039362A">
            <w:pPr>
              <w:spacing w:before="0" w:after="0"/>
              <w:jc w:val="center"/>
            </w:pPr>
            <w:r w:rsidRPr="00DF3858">
              <w:rPr>
                <w:rFonts w:ascii="Arial" w:eastAsia="Times New Roman" w:hAnsi="Arial" w:cs="Arial"/>
                <w:sz w:val="18"/>
                <w:szCs w:val="18"/>
                <w:lang w:val="en-CA" w:eastAsia="en-CA"/>
              </w:rPr>
              <w:t>100</w:t>
            </w:r>
          </w:p>
        </w:tc>
        <w:tc>
          <w:tcPr>
            <w:tcW w:w="859" w:type="dxa"/>
            <w:tcBorders>
              <w:top w:val="nil"/>
              <w:left w:val="nil"/>
              <w:bottom w:val="single" w:sz="4" w:space="0" w:color="auto"/>
              <w:right w:val="single" w:sz="4" w:space="0" w:color="auto"/>
            </w:tcBorders>
            <w:shd w:val="clear" w:color="auto" w:fill="auto"/>
            <w:noWrap/>
            <w:vAlign w:val="center"/>
            <w:hideMark/>
          </w:tcPr>
          <w:p w:rsidR="00DF3858" w:rsidRDefault="00DF3858" w:rsidP="0039362A">
            <w:pPr>
              <w:spacing w:before="0" w:after="0"/>
              <w:jc w:val="center"/>
            </w:pPr>
            <w:r w:rsidRPr="00DF3858">
              <w:rPr>
                <w:rFonts w:ascii="Arial" w:eastAsia="Times New Roman" w:hAnsi="Arial" w:cs="Arial"/>
                <w:sz w:val="18"/>
                <w:szCs w:val="18"/>
                <w:lang w:val="en-CA" w:eastAsia="en-CA"/>
              </w:rPr>
              <w:t>100</w:t>
            </w:r>
          </w:p>
        </w:tc>
        <w:tc>
          <w:tcPr>
            <w:tcW w:w="859" w:type="dxa"/>
            <w:tcBorders>
              <w:top w:val="nil"/>
              <w:left w:val="nil"/>
              <w:bottom w:val="single" w:sz="4" w:space="0" w:color="auto"/>
              <w:right w:val="single" w:sz="4" w:space="0" w:color="auto"/>
            </w:tcBorders>
            <w:shd w:val="clear" w:color="auto" w:fill="auto"/>
            <w:noWrap/>
            <w:vAlign w:val="center"/>
            <w:hideMark/>
          </w:tcPr>
          <w:p w:rsidR="00DF3858" w:rsidRDefault="00DF3858" w:rsidP="0039362A">
            <w:pPr>
              <w:spacing w:before="0" w:after="0"/>
              <w:jc w:val="center"/>
            </w:pPr>
            <w:r w:rsidRPr="00DF3858">
              <w:rPr>
                <w:rFonts w:ascii="Arial" w:eastAsia="Times New Roman" w:hAnsi="Arial" w:cs="Arial"/>
                <w:sz w:val="18"/>
                <w:szCs w:val="18"/>
                <w:lang w:val="en-CA" w:eastAsia="en-CA"/>
              </w:rPr>
              <w:t>100</w:t>
            </w:r>
          </w:p>
        </w:tc>
        <w:tc>
          <w:tcPr>
            <w:tcW w:w="859" w:type="dxa"/>
            <w:tcBorders>
              <w:top w:val="nil"/>
              <w:left w:val="nil"/>
              <w:bottom w:val="single" w:sz="4" w:space="0" w:color="auto"/>
              <w:right w:val="single" w:sz="4" w:space="0" w:color="auto"/>
            </w:tcBorders>
            <w:shd w:val="clear" w:color="auto" w:fill="auto"/>
            <w:noWrap/>
            <w:vAlign w:val="center"/>
            <w:hideMark/>
          </w:tcPr>
          <w:p w:rsidR="00DF3858" w:rsidRDefault="00DF3858" w:rsidP="0039362A">
            <w:pPr>
              <w:spacing w:before="0" w:after="0"/>
              <w:jc w:val="center"/>
            </w:pPr>
            <w:r w:rsidRPr="00DF3858">
              <w:rPr>
                <w:rFonts w:ascii="Arial" w:eastAsia="Times New Roman" w:hAnsi="Arial" w:cs="Arial"/>
                <w:sz w:val="18"/>
                <w:szCs w:val="18"/>
                <w:lang w:val="en-CA" w:eastAsia="en-CA"/>
              </w:rPr>
              <w:t>100</w:t>
            </w:r>
          </w:p>
        </w:tc>
        <w:tc>
          <w:tcPr>
            <w:tcW w:w="859" w:type="dxa"/>
            <w:tcBorders>
              <w:top w:val="nil"/>
              <w:left w:val="nil"/>
              <w:bottom w:val="single" w:sz="4" w:space="0" w:color="auto"/>
              <w:right w:val="single" w:sz="4" w:space="0" w:color="auto"/>
            </w:tcBorders>
            <w:shd w:val="clear" w:color="auto" w:fill="auto"/>
            <w:noWrap/>
            <w:vAlign w:val="center"/>
            <w:hideMark/>
          </w:tcPr>
          <w:p w:rsidR="00DF3858" w:rsidRDefault="00DF3858" w:rsidP="0039362A">
            <w:pPr>
              <w:spacing w:before="0" w:after="0"/>
              <w:jc w:val="center"/>
            </w:pPr>
            <w:r w:rsidRPr="00DF3858">
              <w:rPr>
                <w:rFonts w:ascii="Arial" w:eastAsia="Times New Roman" w:hAnsi="Arial" w:cs="Arial"/>
                <w:sz w:val="18"/>
                <w:szCs w:val="18"/>
                <w:lang w:val="en-CA" w:eastAsia="en-CA"/>
              </w:rPr>
              <w:t>100</w:t>
            </w:r>
          </w:p>
        </w:tc>
      </w:tr>
    </w:tbl>
    <w:p w:rsidR="00DF3858" w:rsidRPr="00BF40D7" w:rsidRDefault="00BF40D7" w:rsidP="00EF7010">
      <w:pPr>
        <w:rPr>
          <w:sz w:val="18"/>
        </w:rPr>
      </w:pPr>
      <w:r w:rsidRPr="00BF40D7">
        <w:rPr>
          <w:sz w:val="18"/>
        </w:rPr>
        <w:t>Source:  Author’s construction based on data from CDSI</w:t>
      </w:r>
      <w:r w:rsidR="002B2768">
        <w:rPr>
          <w:sz w:val="18"/>
        </w:rPr>
        <w:t xml:space="preserve"> </w:t>
      </w:r>
      <w:r w:rsidR="002B2768">
        <w:rPr>
          <w:rStyle w:val="FootnoteReference"/>
          <w:sz w:val="18"/>
        </w:rPr>
        <w:footnoteReference w:id="14"/>
      </w:r>
    </w:p>
    <w:p w:rsidR="00E47716" w:rsidRDefault="00E47716" w:rsidP="00655D95">
      <w:pPr>
        <w:pStyle w:val="Heading3"/>
        <w:numPr>
          <w:ilvl w:val="1"/>
          <w:numId w:val="17"/>
        </w:numPr>
      </w:pPr>
      <w:bookmarkStart w:id="37" w:name="_Toc325871774"/>
      <w:r>
        <w:t>Government investment strategies and fiscal stimulus</w:t>
      </w:r>
      <w:bookmarkEnd w:id="37"/>
    </w:p>
    <w:p w:rsidR="0017474C" w:rsidRPr="00371F0A" w:rsidRDefault="005C73E7" w:rsidP="005C73E7">
      <w:r>
        <w:t>Government</w:t>
      </w:r>
      <w:r w:rsidR="00D354CA">
        <w:t xml:space="preserve"> activity was responsible</w:t>
      </w:r>
      <w:r>
        <w:t xml:space="preserve"> for a large part of this non-oil expansion, </w:t>
      </w:r>
      <w:r w:rsidR="00A53F06">
        <w:t>and indeed petroleum earnings contributed</w:t>
      </w:r>
      <w:r>
        <w:t xml:space="preserve"> to government’s capacity to support other sectors.  The oil industry is almost entirely government-owned, with more than 95</w:t>
      </w:r>
      <w:r w:rsidR="00957CE0">
        <w:t xml:space="preserve"> percent of production by state-</w:t>
      </w:r>
      <w:r>
        <w:t xml:space="preserve">owned </w:t>
      </w:r>
      <w:proofErr w:type="spellStart"/>
      <w:r>
        <w:t>Aramco</w:t>
      </w:r>
      <w:proofErr w:type="spellEnd"/>
      <w:r>
        <w:t xml:space="preserve">, and the remainder by </w:t>
      </w:r>
      <w:r w:rsidR="00A53F06">
        <w:t xml:space="preserve">a number of smaller </w:t>
      </w:r>
      <w:proofErr w:type="spellStart"/>
      <w:r>
        <w:t>parastatals</w:t>
      </w:r>
      <w:proofErr w:type="spellEnd"/>
      <w:r>
        <w:t>.  During the oil</w:t>
      </w:r>
      <w:r w:rsidR="00A53F06">
        <w:t xml:space="preserve"> price boom of 2004-08, </w:t>
      </w:r>
      <w:r w:rsidR="0017474C" w:rsidRPr="00B15CFB">
        <w:rPr>
          <w:color w:val="333333"/>
        </w:rPr>
        <w:t xml:space="preserve">the </w:t>
      </w:r>
      <w:r w:rsidR="0017474C" w:rsidRPr="00CE24BA">
        <w:t>Kingdom built up very large financial reserves, which were available for use to offset the global downturn that occurred at the end of 2008.  Nominal GDP growth in 2008 was 24.8 percent</w:t>
      </w:r>
      <w:r w:rsidR="00B74776" w:rsidRPr="00CE24BA">
        <w:t xml:space="preserve"> (</w:t>
      </w:r>
      <w:r w:rsidR="0017474C" w:rsidRPr="00CE24BA">
        <w:t>$US 472</w:t>
      </w:r>
      <w:r w:rsidR="00B74776" w:rsidRPr="00CE24BA">
        <w:t>)</w:t>
      </w:r>
      <w:r w:rsidR="0017474C" w:rsidRPr="00CE24BA">
        <w:t>.</w:t>
      </w:r>
      <w:r w:rsidR="00FC3E74" w:rsidRPr="00CE24BA">
        <w:rPr>
          <w:rStyle w:val="FootnoteReference"/>
        </w:rPr>
        <w:footnoteReference w:id="15"/>
      </w:r>
      <w:r w:rsidR="0017474C" w:rsidRPr="00CE24BA">
        <w:t xml:space="preserve">  However, in 2009 the average price of Arabian light crude dropped by 38 percent</w:t>
      </w:r>
      <w:r w:rsidR="00B74776" w:rsidRPr="00CE24BA">
        <w:t>, due to the global downturn and reduced demand.  But government had accumulated a cushion</w:t>
      </w:r>
      <w:r w:rsidR="0015761F" w:rsidRPr="00CE24BA">
        <w:t>, and had in hand the tools to use these resources</w:t>
      </w:r>
      <w:r w:rsidR="00B74776" w:rsidRPr="00CE24BA">
        <w:t>.  Despite lower overall expansion in the financial sector and slow growth in the construction</w:t>
      </w:r>
      <w:r w:rsidR="00B74776">
        <w:t xml:space="preserve"> sector with the postponement of some development projects, the government was able to implement aggressive fiscal stimulus and reduce the impact of the crisis</w:t>
      </w:r>
      <w:r w:rsidR="00B74776" w:rsidRPr="00371F0A">
        <w:t xml:space="preserve">.  Remedial measures undertaken by the government included direct capital injections into financial institutions, reduced rates and guaranteed bank deposits </w:t>
      </w:r>
      <w:r w:rsidR="00D96907" w:rsidRPr="00371F0A">
        <w:fldChar w:fldCharType="begin"/>
      </w:r>
      <w:r w:rsidR="002B3DEF" w:rsidRPr="00371F0A">
        <w:instrText xml:space="preserve"> ADDIN EN.CITE &lt;EndNote&gt;&lt;Cite&gt;&lt;Author&gt;Kamco Research&lt;/Author&gt;&lt;Year&gt;2011&lt;/Year&gt;&lt;RecNum&gt;1063&lt;/RecNum&gt;&lt;Suffix&gt;, pp. 5-6&lt;/Suffix&gt;&lt;record&gt;&lt;rec-number&gt;1063&lt;/rec-number&gt;&lt;ref-type name="Report"&gt;27&lt;/ref-type&gt;&lt;contributors&gt;&lt;authors&gt;&lt;author&gt;Kamco Research,&lt;/author&gt;&lt;/authors&gt;&lt;/contributors&gt;&lt;titles&gt;&lt;title&gt;Saudi Arabia Economic Brief and Outlook&lt;/title&gt;&lt;/titles&gt;&lt;pages&gt;30&lt;/pages&gt;&lt;dates&gt;&lt;year&gt;2011&lt;/year&gt;&lt;/dates&gt;&lt;pub-location&gt;Kuwait&lt;/pub-location&gt;&lt;publisher&gt;Kamco Investment Research Department&lt;/publisher&gt;&lt;urls&gt;&lt;related-urls&gt;&lt;url&gt;http://www.menafn.com/updates/research_center/Saudi_Arabia/Economic/kamco150611e.pdf&lt;/url&gt;&lt;/related-urls&gt;&lt;/urls&gt;&lt;/record&gt;&lt;/Cite&gt;&lt;/EndNote&gt;</w:instrText>
      </w:r>
      <w:r w:rsidR="00D96907" w:rsidRPr="00371F0A">
        <w:fldChar w:fldCharType="separate"/>
      </w:r>
      <w:r w:rsidR="0017474C" w:rsidRPr="00371F0A">
        <w:t>(Kamco Research 2011, pp. 5-6)</w:t>
      </w:r>
      <w:r w:rsidR="00D96907" w:rsidRPr="00371F0A">
        <w:fldChar w:fldCharType="end"/>
      </w:r>
      <w:r w:rsidR="00B74776" w:rsidRPr="00371F0A">
        <w:t>.</w:t>
      </w:r>
    </w:p>
    <w:p w:rsidR="00C640D0" w:rsidRDefault="00227AB0" w:rsidP="00C63E33">
      <w:pPr>
        <w:rPr>
          <w:color w:val="333333"/>
        </w:rPr>
      </w:pPr>
      <w:r>
        <w:t xml:space="preserve">Diversification </w:t>
      </w:r>
      <w:r w:rsidR="00B74776">
        <w:t xml:space="preserve">of the economy can </w:t>
      </w:r>
      <w:r w:rsidR="0015761F">
        <w:t xml:space="preserve">also </w:t>
      </w:r>
      <w:r w:rsidR="00B74776">
        <w:t xml:space="preserve">be demonstrated by </w:t>
      </w:r>
      <w:r w:rsidR="00BD4390">
        <w:t>directly</w:t>
      </w:r>
      <w:r w:rsidR="00B74776">
        <w:t xml:space="preserve"> contrast</w:t>
      </w:r>
      <w:r w:rsidR="00BD4390">
        <w:t>ing</w:t>
      </w:r>
      <w:r w:rsidR="00B74776">
        <w:t xml:space="preserve"> </w:t>
      </w:r>
      <w:r w:rsidR="00A53F06">
        <w:t xml:space="preserve">the growth of the oil and non-oil sectors in the period </w:t>
      </w:r>
      <w:r w:rsidR="00AB6772">
        <w:t>from 2006-2011.</w:t>
      </w:r>
      <w:r w:rsidR="00BD4390">
        <w:t xml:space="preserve"> This breakdown is reported by SA’s </w:t>
      </w:r>
      <w:r w:rsidR="00FF5BEA">
        <w:t>Central Department of Statistics and Information</w:t>
      </w:r>
      <w:r w:rsidR="00BD4390">
        <w:t xml:space="preserve"> </w:t>
      </w:r>
      <w:r w:rsidR="00FF5BEA">
        <w:t>(CDSI).</w:t>
      </w:r>
      <w:r w:rsidR="00AB6772">
        <w:t xml:space="preserve"> </w:t>
      </w:r>
      <w:r w:rsidR="00A53F06">
        <w:rPr>
          <w:i/>
        </w:rPr>
        <w:t xml:space="preserve">  </w:t>
      </w:r>
      <w:r w:rsidR="00FF5BEA" w:rsidRPr="00FF5BEA">
        <w:t>When all oil and non-oil sectors are grouped</w:t>
      </w:r>
      <w:r w:rsidR="00FF5BEA">
        <w:t xml:space="preserve">, the move to other activities </w:t>
      </w:r>
      <w:r w:rsidR="0015761F">
        <w:t>stands out in sharper relief</w:t>
      </w:r>
      <w:r w:rsidR="00FF5BEA">
        <w:t xml:space="preserve">.  </w:t>
      </w:r>
      <w:r w:rsidR="00AB6772">
        <w:t xml:space="preserve">As Figure </w:t>
      </w:r>
      <w:r w:rsidR="007A6658">
        <w:t>3.8</w:t>
      </w:r>
      <w:r w:rsidR="00A53F06">
        <w:t xml:space="preserve"> shows, </w:t>
      </w:r>
      <w:r w:rsidR="003206A3">
        <w:t xml:space="preserve">over a 6-year period, </w:t>
      </w:r>
      <w:r w:rsidR="00A53F06">
        <w:t>the non-oil sectors</w:t>
      </w:r>
      <w:r w:rsidR="00AB6772">
        <w:t xml:space="preserve"> expanded </w:t>
      </w:r>
      <w:r w:rsidR="007506A7">
        <w:t xml:space="preserve">slowly but steadily </w:t>
      </w:r>
      <w:r w:rsidR="00AB6772">
        <w:t>from 67</w:t>
      </w:r>
      <w:r w:rsidR="00A53F06">
        <w:t xml:space="preserve"> to 73 percent of the economy, while conversely the oil sector de</w:t>
      </w:r>
      <w:r w:rsidR="00AB6772">
        <w:t>clined as a share of GDP from 32</w:t>
      </w:r>
      <w:r w:rsidR="00A53F06">
        <w:t xml:space="preserve"> to 26 percent.</w:t>
      </w:r>
      <w:r w:rsidR="00B15CFB">
        <w:t xml:space="preserve">  </w:t>
      </w:r>
    </w:p>
    <w:p w:rsidR="007F09C6" w:rsidRDefault="00E41BFC" w:rsidP="00E41BFC">
      <w:pPr>
        <w:pStyle w:val="Caption"/>
      </w:pPr>
      <w:bookmarkStart w:id="38" w:name="_Toc325871728"/>
      <w:r>
        <w:t xml:space="preserve">Figure </w:t>
      </w:r>
      <w:fldSimple w:instr=" STYLEREF 1 \s ">
        <w:r>
          <w:rPr>
            <w:noProof/>
          </w:rPr>
          <w:t>3</w:t>
        </w:r>
      </w:fldSimple>
      <w:r>
        <w:noBreakHyphen/>
      </w:r>
      <w:fldSimple w:instr=" SEQ Figure \* ARABIC \s 1 ">
        <w:r>
          <w:rPr>
            <w:noProof/>
          </w:rPr>
          <w:t>8</w:t>
        </w:r>
      </w:fldSimple>
      <w:r>
        <w:t xml:space="preserve">  </w:t>
      </w:r>
      <w:r w:rsidRPr="00E46715">
        <w:t>Diversification of the economy, 2006-2011</w:t>
      </w:r>
      <w:bookmarkEnd w:id="38"/>
    </w:p>
    <w:p w:rsidR="00AB6772" w:rsidRDefault="00AB6772" w:rsidP="00AB6772">
      <w:pPr>
        <w:jc w:val="center"/>
      </w:pPr>
      <w:r w:rsidRPr="00AB6772">
        <w:rPr>
          <w:noProof/>
          <w:lang w:val="en-US"/>
        </w:rPr>
        <w:drawing>
          <wp:inline distT="0" distB="0" distL="0" distR="0">
            <wp:extent cx="4572000" cy="2743200"/>
            <wp:effectExtent l="19050" t="0" r="1905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94737" w:rsidRDefault="00AB6772" w:rsidP="00EF7010">
      <w:pPr>
        <w:rPr>
          <w:sz w:val="20"/>
        </w:rPr>
      </w:pPr>
      <w:r w:rsidRPr="00E47716">
        <w:rPr>
          <w:sz w:val="18"/>
        </w:rPr>
        <w:t xml:space="preserve">Source:  Author’s construction based on </w:t>
      </w:r>
      <w:r w:rsidR="00E47716" w:rsidRPr="00E47716">
        <w:rPr>
          <w:sz w:val="18"/>
        </w:rPr>
        <w:t>CDSI</w:t>
      </w:r>
      <w:r w:rsidR="00E47716">
        <w:rPr>
          <w:sz w:val="20"/>
        </w:rPr>
        <w:t xml:space="preserve"> </w:t>
      </w:r>
      <w:r w:rsidR="004A7C5C">
        <w:rPr>
          <w:rStyle w:val="FootnoteReference"/>
        </w:rPr>
        <w:footnoteReference w:id="16"/>
      </w:r>
    </w:p>
    <w:p w:rsidR="00424539" w:rsidRDefault="00424539" w:rsidP="00424539">
      <w:pPr>
        <w:pStyle w:val="Heading3"/>
        <w:numPr>
          <w:ilvl w:val="1"/>
          <w:numId w:val="17"/>
        </w:numPr>
      </w:pPr>
      <w:bookmarkStart w:id="39" w:name="_Toc325871775"/>
      <w:r>
        <w:t>Labour force participation rates</w:t>
      </w:r>
      <w:bookmarkEnd w:id="39"/>
      <w:r>
        <w:t xml:space="preserve"> </w:t>
      </w:r>
    </w:p>
    <w:p w:rsidR="00B8272C" w:rsidRDefault="00B21D3E" w:rsidP="00B8272C">
      <w:pPr>
        <w:rPr>
          <w:lang w:val="en-CA"/>
        </w:rPr>
      </w:pPr>
      <w:r>
        <w:t xml:space="preserve">One important factor in the economy – conditions in the labour market – has not been a contributor.  </w:t>
      </w:r>
      <w:r w:rsidR="00424539">
        <w:t>Education rates of young Saudis have improved markedly over the past two decades, with the gender gap closing significantly.  However, these gains in education have not been reflected in equivalent entry by women into the paid labour force.  The l</w:t>
      </w:r>
      <w:r w:rsidR="00B8272C">
        <w:t xml:space="preserve">abour force participation rate </w:t>
      </w:r>
      <w:r w:rsidR="00424539">
        <w:t xml:space="preserve">for women has remained </w:t>
      </w:r>
      <w:r w:rsidR="00B8272C">
        <w:t>at 17</w:t>
      </w:r>
      <w:r>
        <w:t xml:space="preserve"> percent</w:t>
      </w:r>
      <w:r w:rsidR="00B8272C">
        <w:t xml:space="preserve"> for </w:t>
      </w:r>
      <w:r w:rsidR="00424539">
        <w:t xml:space="preserve">the </w:t>
      </w:r>
      <w:r w:rsidR="00B8272C">
        <w:t xml:space="preserve">last 20 years, </w:t>
      </w:r>
      <w:r w:rsidR="00424539">
        <w:t xml:space="preserve">while that of men has stayed steady </w:t>
      </w:r>
      <w:r w:rsidR="00B8272C">
        <w:t>at 75</w:t>
      </w:r>
      <w:r w:rsidR="00424539">
        <w:t xml:space="preserve"> pc</w:t>
      </w:r>
      <w:r w:rsidR="00B8272C">
        <w:t xml:space="preserve"> (WDI labour force participation)</w:t>
      </w:r>
      <w:r>
        <w:t>.  In the Middle-East North Africa (</w:t>
      </w:r>
      <w:r w:rsidRPr="000A2E17">
        <w:rPr>
          <w:caps/>
        </w:rPr>
        <w:t>MENA</w:t>
      </w:r>
      <w:r>
        <w:rPr>
          <w:caps/>
        </w:rPr>
        <w:t>)</w:t>
      </w:r>
      <w:r w:rsidRPr="000A2E17">
        <w:rPr>
          <w:caps/>
        </w:rPr>
        <w:t xml:space="preserve"> </w:t>
      </w:r>
      <w:r>
        <w:t xml:space="preserve">region as a whole, </w:t>
      </w:r>
      <w:r w:rsidR="00B8272C">
        <w:t xml:space="preserve"> </w:t>
      </w:r>
      <w:r w:rsidR="00B8272C" w:rsidRPr="000A2E17">
        <w:t>female labo</w:t>
      </w:r>
      <w:r w:rsidR="00B8272C">
        <w:t>u</w:t>
      </w:r>
      <w:r w:rsidR="00B8272C" w:rsidRPr="000A2E17">
        <w:t>r force participation rates at 25 percent are half the world average and the lowest among other regions</w:t>
      </w:r>
      <w:r w:rsidR="00B8272C">
        <w:t xml:space="preserve"> </w:t>
      </w:r>
      <w:r w:rsidR="00D96907">
        <w:rPr>
          <w:lang w:val="en-CA"/>
        </w:rPr>
        <w:fldChar w:fldCharType="begin"/>
      </w:r>
      <w:r w:rsidR="002B3DEF">
        <w:rPr>
          <w:lang w:val="en-CA"/>
        </w:rPr>
        <w:instrText xml:space="preserve"> ADDIN EN.CITE &lt;EndNote&gt;&lt;Cite&gt;&lt;Author&gt;Vishwanath&lt;/Author&gt;&lt;Year&gt;2012&lt;/Year&gt;&lt;RecNum&gt;1075&lt;/RecNum&gt;&lt;record&gt;&lt;rec-number&gt;1075&lt;/rec-number&gt;&lt;ref-type name="Electronic Article"&gt;43&lt;/ref-type&gt;&lt;contributors&gt;&lt;authors&gt;&lt;author&gt;Tara Vishwanath&lt;/author&gt;&lt;/authors&gt;&lt;/contributors&gt;&lt;titles&gt;&lt;title&gt;Alert! Arab world women at bottom of global workforce participation&lt;/title&gt;&lt;/titles&gt;&lt;dates&gt;&lt;year&gt;2012&lt;/year&gt;&lt;/dates&gt;&lt;urls&gt;&lt;/urls&gt;&lt;/record&gt;&lt;/Cite&gt;&lt;/EndNote&gt;</w:instrText>
      </w:r>
      <w:r w:rsidR="00D96907">
        <w:rPr>
          <w:lang w:val="en-CA"/>
        </w:rPr>
        <w:fldChar w:fldCharType="separate"/>
      </w:r>
      <w:r w:rsidR="00B8272C">
        <w:rPr>
          <w:lang w:val="en-CA"/>
        </w:rPr>
        <w:t>(Vishwanath 2012)</w:t>
      </w:r>
      <w:r w:rsidR="00D96907">
        <w:rPr>
          <w:lang w:val="en-CA"/>
        </w:rPr>
        <w:fldChar w:fldCharType="end"/>
      </w:r>
      <w:r>
        <w:rPr>
          <w:lang w:val="en-CA"/>
        </w:rPr>
        <w:t xml:space="preserve">.  The World Bank in a major study in 2004 contended that the </w:t>
      </w:r>
      <w:r w:rsidR="00B8272C">
        <w:t xml:space="preserve">MENA </w:t>
      </w:r>
      <w:r>
        <w:t>region is losing out on productivity and</w:t>
      </w:r>
      <w:r w:rsidR="00B8272C">
        <w:t xml:space="preserve"> economic growth</w:t>
      </w:r>
      <w:r>
        <w:t xml:space="preserve"> as a result of this stay-away.  </w:t>
      </w:r>
      <w:r w:rsidR="00B8272C">
        <w:rPr>
          <w:lang w:val="en-CA"/>
        </w:rPr>
        <w:t>Per capita income in the Middle East and North Africa could have grown substantially more</w:t>
      </w:r>
      <w:r>
        <w:rPr>
          <w:lang w:val="en-CA"/>
        </w:rPr>
        <w:t>, it stated</w:t>
      </w:r>
      <w:proofErr w:type="gramStart"/>
      <w:r>
        <w:rPr>
          <w:lang w:val="en-CA"/>
        </w:rPr>
        <w:t>,</w:t>
      </w:r>
      <w:proofErr w:type="gramEnd"/>
      <w:r w:rsidR="00B8272C">
        <w:rPr>
          <w:lang w:val="en-CA"/>
        </w:rPr>
        <w:t xml:space="preserve"> had women had greater access to economic opportunity.  </w:t>
      </w:r>
    </w:p>
    <w:p w:rsidR="00B8272C" w:rsidRDefault="00B8272C" w:rsidP="00B21D3E">
      <w:pPr>
        <w:ind w:left="720"/>
      </w:pPr>
      <w:r>
        <w:rPr>
          <w:lang w:val="en-CA"/>
        </w:rPr>
        <w:t xml:space="preserve">In a global economy that values mental power, the </w:t>
      </w:r>
      <w:r w:rsidR="00B21D3E">
        <w:rPr>
          <w:lang w:val="en-CA"/>
        </w:rPr>
        <w:t xml:space="preserve">[MENA] </w:t>
      </w:r>
      <w:r>
        <w:rPr>
          <w:lang w:val="en-CA"/>
        </w:rPr>
        <w:t xml:space="preserve">region's new comparative advantage could well be its large, educated and, increasingly, female workforce.  Economic growth relies increasingly on a country's quality of human resources, and women remain a largely untapped resource.  Therefore, gender issues need to be viewed as central in policy design and implementation.  Gender equality is not only for the sake of women.  It promotes growth and aids the welfare of society in general </w:t>
      </w:r>
      <w:r w:rsidR="00D96907">
        <w:rPr>
          <w:lang w:val="en-CA"/>
        </w:rPr>
        <w:fldChar w:fldCharType="begin"/>
      </w:r>
      <w:r w:rsidR="002B3DEF">
        <w:rPr>
          <w:lang w:val="en-CA"/>
        </w:rPr>
        <w:instrText xml:space="preserve"> ADDIN EN.CITE &lt;EndNote&gt;&lt;Cite&gt;&lt;Author&gt;World Bank staff&lt;/Author&gt;&lt;Year&gt;2004&lt;/Year&gt;&lt;RecNum&gt;800&lt;/RecNum&gt;&lt;Suffix&gt;, p. 83&lt;/Suffix&gt;&lt;record&gt;&lt;rec-number&gt;800&lt;/rec-number&gt;&lt;ref-type name="Book"&gt;6&lt;/ref-type&gt;&lt;contributors&gt;&lt;authors&gt;&lt;author&gt;World Bank staff,&lt;/author&gt;&lt;/authors&gt;&lt;/contributors&gt;&lt;titles&gt;&lt;title&gt;Gender and Development in the Middle East and North Africa: Women in the Public Sphere&lt;/title&gt;&lt;/titles&gt;&lt;pages&gt;221&lt;/pages&gt;&lt;dates&gt;&lt;year&gt;2004&lt;/year&gt;&lt;/dates&gt;&lt;pub-location&gt;Washington, DC&lt;/pub-location&gt;&lt;publisher&gt;World Bank&lt;/publisher&gt;&lt;urls&gt;&lt;related-urls&gt;&lt;url&gt;http://web.worldbank.org/WBSITE/EXTERNAL/COUNTRIES/MENAEXT/0,,contentMDK:20261828~pagePK:146736~piPK:146830~theSitePK:256299,00.html&lt;/url&gt;&lt;/related-urls&gt;&lt;/urls&gt;&lt;/record&gt;&lt;/Cite&gt;&lt;/EndNote&gt;</w:instrText>
      </w:r>
      <w:r w:rsidR="00D96907">
        <w:rPr>
          <w:lang w:val="en-CA"/>
        </w:rPr>
        <w:fldChar w:fldCharType="separate"/>
      </w:r>
      <w:r w:rsidR="00B21D3E">
        <w:rPr>
          <w:lang w:val="en-CA"/>
        </w:rPr>
        <w:t>(World Bank staff 2004, p. 83)</w:t>
      </w:r>
      <w:r w:rsidR="00D96907">
        <w:rPr>
          <w:lang w:val="en-CA"/>
        </w:rPr>
        <w:fldChar w:fldCharType="end"/>
      </w:r>
      <w:r w:rsidR="00B21D3E">
        <w:rPr>
          <w:lang w:val="en-CA"/>
        </w:rPr>
        <w:t>.</w:t>
      </w:r>
    </w:p>
    <w:p w:rsidR="000B1F07" w:rsidRDefault="00B21D3E" w:rsidP="00EF7010">
      <w:r>
        <w:t>The current national development plan calls for greater participation of women in all aspects of development.  The education-labour market gap may be about to change.</w:t>
      </w:r>
    </w:p>
    <w:p w:rsidR="00C640D0" w:rsidRDefault="001E00B4" w:rsidP="00655D95">
      <w:pPr>
        <w:pStyle w:val="Heading3"/>
        <w:numPr>
          <w:ilvl w:val="1"/>
          <w:numId w:val="17"/>
        </w:numPr>
      </w:pPr>
      <w:bookmarkStart w:id="40" w:name="_Toc325871776"/>
      <w:r>
        <w:t>Global financial crisis</w:t>
      </w:r>
      <w:bookmarkEnd w:id="40"/>
    </w:p>
    <w:p w:rsidR="00AB6E33" w:rsidRDefault="00B21D3E" w:rsidP="00586DD2">
      <w:pPr>
        <w:ind w:left="90"/>
        <w:rPr>
          <w:lang w:val="en-CA"/>
        </w:rPr>
      </w:pPr>
      <w:r>
        <w:t>The global financial crisis beginning in late 2008 had an i</w:t>
      </w:r>
      <w:r w:rsidR="00E41BFC">
        <w:t xml:space="preserve">mpact on FDI, </w:t>
      </w:r>
      <w:r w:rsidR="00586DD2">
        <w:t xml:space="preserve">as we have already seen, as well as on </w:t>
      </w:r>
      <w:r w:rsidR="00E41BFC">
        <w:t xml:space="preserve">tourism, oil prices </w:t>
      </w:r>
      <w:r w:rsidR="00586DD2">
        <w:t xml:space="preserve">and growth.  In the </w:t>
      </w:r>
      <w:r w:rsidR="00E41BFC">
        <w:t>tourism</w:t>
      </w:r>
      <w:r w:rsidR="00586DD2">
        <w:t xml:space="preserve"> sector, </w:t>
      </w:r>
      <w:proofErr w:type="spellStart"/>
      <w:r w:rsidR="00412B1C" w:rsidRPr="00B8272C">
        <w:t>Haj</w:t>
      </w:r>
      <w:proofErr w:type="spellEnd"/>
      <w:r w:rsidR="00412B1C" w:rsidRPr="00B8272C">
        <w:t xml:space="preserve"> arrivals usually add one-fourth or more of the total visits in the fourth quarter of each year </w:t>
      </w:r>
      <w:r w:rsidR="00D96907" w:rsidRPr="00B8272C">
        <w:fldChar w:fldCharType="begin"/>
      </w:r>
      <w:r w:rsidR="002B3DEF">
        <w:instrText xml:space="preserve"> ADDIN EN.CITE &lt;EndNote&gt;&lt;Cite&gt;&lt;Author&gt;Tourism Information and Research Center&lt;/Author&gt;&lt;Year&gt;2011&lt;/Year&gt;&lt;RecNum&gt;1053&lt;/RecNum&gt;&lt;Suffix&gt;, p. 23&lt;/Suffix&gt;&lt;record&gt;&lt;rec-number&gt;1053&lt;/rec-number&gt;&lt;ref-type name="Electronic Source"&gt;12&lt;/ref-type&gt;&lt;contributors&gt;&lt;authors&gt;&lt;author&gt;Tourism Information and Research Center,&lt;/author&gt;&lt;/authors&gt;&lt;/contributors&gt;&lt;titles&gt;&lt;title&gt;Saudi Tourism Outlook. A monthly electronic publication&lt;/title&gt;&lt;/titles&gt;&lt;number&gt;17 March 2012&lt;/number&gt;&lt;dates&gt;&lt;year&gt;2011&lt;/year&gt;&lt;/dates&gt;&lt;pub-location&gt;Riyadh&lt;/pub-location&gt;&lt;publisher&gt;Kingdom of Saudi Arabia&lt;/publisher&gt;&lt;urls&gt;&lt;related-urls&gt;&lt;url&gt;www.sct.gov.sa/publications&lt;/url&gt;&lt;/related-urls&gt;&lt;pdf-urls&gt;&lt;url&gt;http://www.google.ca/#hl=en&amp;amp;sclient=psy-ab&amp;amp;q=saudi+tourism+outlook&amp;amp;oq=saudi+tourism+outlook&amp;amp;aq=f&amp;amp;aqi=&amp;amp;aql=&amp;amp;gs_l=hp.3...15368l19554l0l19766l21l17l0l3l3l0l242l2418l4j10j3l20l0.frgbld.&amp;amp;pbx=1&amp;amp;bav=on.2,or.r_gc.r_pw.r_qf.,cf.osb&amp;amp;fp=b11b04b91dc2c698&amp;amp;biw=1024&amp;amp;bih=655&lt;/url&gt;&lt;/pdf-urls&gt;&lt;/urls&gt;&lt;/record&gt;&lt;/Cite&gt;&lt;/EndNote&gt;</w:instrText>
      </w:r>
      <w:r w:rsidR="00D96907" w:rsidRPr="00B8272C">
        <w:fldChar w:fldCharType="separate"/>
      </w:r>
      <w:r w:rsidR="00412B1C" w:rsidRPr="00B8272C">
        <w:t>(Tourism Information and Research Center 2011, p. 23)</w:t>
      </w:r>
      <w:r w:rsidR="00D96907" w:rsidRPr="00B8272C">
        <w:fldChar w:fldCharType="end"/>
      </w:r>
      <w:r w:rsidR="00412B1C" w:rsidRPr="00B8272C">
        <w:t>.  Table 4.1 shows the annual calendar of arrivals for all purposes, for 2010.  In that year, almost 30 percent of trips were made in the fourth quarter. (Third-quarter trips were also about 30 percent of the total.)</w:t>
      </w:r>
      <w:r w:rsidR="00E41BFC">
        <w:t xml:space="preserve">  </w:t>
      </w:r>
    </w:p>
    <w:p w:rsidR="00412B1C" w:rsidRDefault="00412B1C" w:rsidP="00412B1C">
      <w:pPr>
        <w:autoSpaceDE w:val="0"/>
        <w:autoSpaceDN w:val="0"/>
        <w:adjustRightInd w:val="0"/>
        <w:spacing w:before="0" w:after="0"/>
      </w:pPr>
      <w:r>
        <w:t xml:space="preserve">Additional details on the composition of tourism are given in </w:t>
      </w:r>
      <w:r w:rsidR="00586DD2">
        <w:t>T</w:t>
      </w:r>
      <w:r>
        <w:t>able</w:t>
      </w:r>
      <w:r w:rsidR="00586DD2">
        <w:t xml:space="preserve"> 4.3</w:t>
      </w:r>
      <w:r>
        <w:t xml:space="preserve">, which shows </w:t>
      </w:r>
      <w:r w:rsidRPr="00025563">
        <w:t>inbound tourist trips by purpose of visit</w:t>
      </w:r>
      <w:r>
        <w:t xml:space="preserve">.  As these data illustrate, almost 45 percent of tourism from abroad is made up of religious visitors, for </w:t>
      </w:r>
      <w:proofErr w:type="spellStart"/>
      <w:r>
        <w:t>Haj</w:t>
      </w:r>
      <w:proofErr w:type="spellEnd"/>
      <w:r>
        <w:t xml:space="preserve"> and </w:t>
      </w:r>
      <w:proofErr w:type="spellStart"/>
      <w:r>
        <w:t>Umrah</w:t>
      </w:r>
      <w:proofErr w:type="spellEnd"/>
      <w:r>
        <w:t xml:space="preserve">.  Another 25 percent is made up of business and professional trips. Visits to family and friends and other purposes account for a further quarter of inbound trips.  </w:t>
      </w:r>
    </w:p>
    <w:p w:rsidR="00586DD2" w:rsidRDefault="00586DD2" w:rsidP="00412B1C">
      <w:pPr>
        <w:autoSpaceDE w:val="0"/>
        <w:autoSpaceDN w:val="0"/>
        <w:adjustRightInd w:val="0"/>
        <w:spacing w:before="0" w:after="0"/>
        <w:rPr>
          <w:rFonts w:ascii="Arial-BoldMT" w:hAnsi="Arial-BoldMT" w:cs="Arial-BoldMT"/>
          <w:bCs/>
          <w:i/>
          <w:sz w:val="18"/>
          <w:szCs w:val="18"/>
          <w:lang w:val="en-CA"/>
        </w:rPr>
      </w:pPr>
    </w:p>
    <w:p w:rsidR="00412B1C" w:rsidRDefault="00412B1C" w:rsidP="00412B1C">
      <w:pPr>
        <w:pStyle w:val="Caption"/>
      </w:pPr>
      <w:proofErr w:type="gramStart"/>
      <w:r>
        <w:t>Table</w:t>
      </w:r>
      <w:r w:rsidR="00586DD2">
        <w:t xml:space="preserve"> </w:t>
      </w:r>
      <w:r>
        <w:t xml:space="preserve"> 4</w:t>
      </w:r>
      <w:proofErr w:type="gramEnd"/>
      <w:r>
        <w:t>.</w:t>
      </w:r>
      <w:r w:rsidR="00D96907">
        <w:fldChar w:fldCharType="begin"/>
      </w:r>
      <w:r w:rsidR="00DC37BE">
        <w:instrText xml:space="preserve"> STYLEREF 1 \s </w:instrText>
      </w:r>
      <w:r w:rsidR="00D96907">
        <w:fldChar w:fldCharType="separate"/>
      </w:r>
      <w:r w:rsidR="00DC37BE">
        <w:rPr>
          <w:noProof/>
        </w:rPr>
        <w:t>3</w:t>
      </w:r>
      <w:r w:rsidR="00D96907">
        <w:fldChar w:fldCharType="end"/>
      </w:r>
      <w:r w:rsidR="00586DD2">
        <w:t xml:space="preserve">   </w:t>
      </w:r>
      <w:r>
        <w:t>I</w:t>
      </w:r>
      <w:r w:rsidRPr="00B55B57">
        <w:t xml:space="preserve">nbound </w:t>
      </w:r>
      <w:r>
        <w:t xml:space="preserve">(International) </w:t>
      </w:r>
      <w:r w:rsidRPr="00B55B57">
        <w:t>Tourist Trips by Purpose of Visit and Quarter, 2010</w:t>
      </w:r>
    </w:p>
    <w:tbl>
      <w:tblPr>
        <w:tblW w:w="8657" w:type="dxa"/>
        <w:jc w:val="center"/>
        <w:tblInd w:w="103" w:type="dxa"/>
        <w:tblLook w:val="04A0"/>
      </w:tblPr>
      <w:tblGrid>
        <w:gridCol w:w="2645"/>
        <w:gridCol w:w="1017"/>
        <w:gridCol w:w="1017"/>
        <w:gridCol w:w="1017"/>
        <w:gridCol w:w="1017"/>
        <w:gridCol w:w="1117"/>
        <w:gridCol w:w="827"/>
      </w:tblGrid>
      <w:tr w:rsidR="00412B1C" w:rsidRPr="0008088E" w:rsidTr="00545F6A">
        <w:trPr>
          <w:trHeight w:val="495"/>
          <w:jc w:val="center"/>
        </w:trPr>
        <w:tc>
          <w:tcPr>
            <w:tcW w:w="2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12B1C" w:rsidRPr="0008088E" w:rsidRDefault="00412B1C" w:rsidP="00545F6A">
            <w:pPr>
              <w:spacing w:before="0" w:after="0"/>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Purpose of visit</w:t>
            </w:r>
          </w:p>
        </w:tc>
        <w:tc>
          <w:tcPr>
            <w:tcW w:w="10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12B1C" w:rsidRPr="0008088E" w:rsidRDefault="00412B1C" w:rsidP="00545F6A">
            <w:pPr>
              <w:spacing w:before="0" w:after="0"/>
              <w:jc w:val="center"/>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First Quarter</w:t>
            </w:r>
          </w:p>
        </w:tc>
        <w:tc>
          <w:tcPr>
            <w:tcW w:w="10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12B1C" w:rsidRPr="0008088E" w:rsidRDefault="00412B1C" w:rsidP="00545F6A">
            <w:pPr>
              <w:spacing w:before="0" w:after="0"/>
              <w:jc w:val="center"/>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Second Quarter</w:t>
            </w:r>
          </w:p>
        </w:tc>
        <w:tc>
          <w:tcPr>
            <w:tcW w:w="10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12B1C" w:rsidRPr="0008088E" w:rsidRDefault="00412B1C" w:rsidP="00545F6A">
            <w:pPr>
              <w:spacing w:before="0" w:after="0"/>
              <w:jc w:val="center"/>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Third Quarter</w:t>
            </w:r>
          </w:p>
        </w:tc>
        <w:tc>
          <w:tcPr>
            <w:tcW w:w="10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12B1C" w:rsidRPr="0008088E" w:rsidRDefault="00412B1C" w:rsidP="00545F6A">
            <w:pPr>
              <w:spacing w:before="0" w:after="0"/>
              <w:jc w:val="center"/>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Fourth Quarter</w:t>
            </w:r>
          </w:p>
        </w:tc>
        <w:tc>
          <w:tcPr>
            <w:tcW w:w="11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12B1C" w:rsidRPr="0008088E" w:rsidRDefault="00412B1C" w:rsidP="00545F6A">
            <w:pPr>
              <w:spacing w:before="0" w:after="0"/>
              <w:jc w:val="center"/>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Total</w:t>
            </w:r>
          </w:p>
        </w:tc>
        <w:tc>
          <w:tcPr>
            <w:tcW w:w="8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12B1C" w:rsidRPr="0008088E" w:rsidRDefault="00412B1C" w:rsidP="00545F6A">
            <w:pPr>
              <w:spacing w:before="0" w:after="0"/>
              <w:jc w:val="center"/>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Market Share</w:t>
            </w:r>
          </w:p>
        </w:tc>
      </w:tr>
      <w:tr w:rsidR="00412B1C" w:rsidRPr="0008088E" w:rsidTr="00545F6A">
        <w:trPr>
          <w:trHeight w:val="255"/>
          <w:jc w:val="center"/>
        </w:trPr>
        <w:tc>
          <w:tcPr>
            <w:tcW w:w="2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12B1C" w:rsidRPr="0008088E" w:rsidRDefault="00412B1C" w:rsidP="00545F6A">
            <w:pPr>
              <w:spacing w:before="0" w:after="0"/>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Religious</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490,974</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707,492</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1,574,612</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2,094,308</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4,867,386</w:t>
            </w:r>
          </w:p>
        </w:tc>
        <w:tc>
          <w:tcPr>
            <w:tcW w:w="82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44.9%</w:t>
            </w:r>
          </w:p>
        </w:tc>
      </w:tr>
      <w:tr w:rsidR="00412B1C" w:rsidRPr="0008088E" w:rsidTr="00545F6A">
        <w:trPr>
          <w:trHeight w:val="255"/>
          <w:jc w:val="center"/>
        </w:trPr>
        <w:tc>
          <w:tcPr>
            <w:tcW w:w="26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12B1C" w:rsidRPr="0008088E" w:rsidRDefault="00412B1C" w:rsidP="00545F6A">
            <w:pPr>
              <w:spacing w:before="0" w:after="0"/>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Business and Professional</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812,614</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920,576</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510,800</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415,911</w:t>
            </w:r>
          </w:p>
        </w:tc>
        <w:tc>
          <w:tcPr>
            <w:tcW w:w="11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2,659,901</w:t>
            </w:r>
          </w:p>
        </w:tc>
        <w:tc>
          <w:tcPr>
            <w:tcW w:w="827" w:type="dxa"/>
            <w:tcBorders>
              <w:top w:val="nil"/>
              <w:left w:val="nil"/>
              <w:bottom w:val="single" w:sz="4" w:space="0" w:color="auto"/>
              <w:right w:val="single" w:sz="4" w:space="0" w:color="auto"/>
            </w:tcBorders>
            <w:shd w:val="clear" w:color="auto" w:fill="D9D9D9" w:themeFill="background1" w:themeFillShade="D9"/>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24.5%</w:t>
            </w:r>
          </w:p>
        </w:tc>
      </w:tr>
      <w:tr w:rsidR="00412B1C" w:rsidRPr="0008088E" w:rsidTr="00545F6A">
        <w:trPr>
          <w:trHeight w:val="255"/>
          <w:jc w:val="center"/>
        </w:trPr>
        <w:tc>
          <w:tcPr>
            <w:tcW w:w="26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12B1C" w:rsidRPr="0008088E" w:rsidRDefault="00412B1C" w:rsidP="00545F6A">
            <w:pPr>
              <w:spacing w:before="0" w:after="0"/>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Leisure</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71,710</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55,697</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66,281</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58,363</w:t>
            </w:r>
          </w:p>
        </w:tc>
        <w:tc>
          <w:tcPr>
            <w:tcW w:w="11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252,051</w:t>
            </w:r>
          </w:p>
        </w:tc>
        <w:tc>
          <w:tcPr>
            <w:tcW w:w="827" w:type="dxa"/>
            <w:tcBorders>
              <w:top w:val="nil"/>
              <w:left w:val="nil"/>
              <w:bottom w:val="single" w:sz="4" w:space="0" w:color="auto"/>
              <w:right w:val="single" w:sz="4" w:space="0" w:color="auto"/>
            </w:tcBorders>
            <w:shd w:val="clear" w:color="auto" w:fill="D9D9D9" w:themeFill="background1" w:themeFillShade="D9"/>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2.3%</w:t>
            </w:r>
          </w:p>
        </w:tc>
      </w:tr>
      <w:tr w:rsidR="00412B1C" w:rsidRPr="0008088E" w:rsidTr="00545F6A">
        <w:trPr>
          <w:trHeight w:val="255"/>
          <w:jc w:val="center"/>
        </w:trPr>
        <w:tc>
          <w:tcPr>
            <w:tcW w:w="26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12B1C" w:rsidRPr="0008088E" w:rsidRDefault="00412B1C" w:rsidP="00545F6A">
            <w:pPr>
              <w:spacing w:before="0" w:after="0"/>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Visiting Friends and Relatives</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236,260</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246,914</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552,709</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251,450</w:t>
            </w:r>
          </w:p>
        </w:tc>
        <w:tc>
          <w:tcPr>
            <w:tcW w:w="11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1,287,333</w:t>
            </w:r>
          </w:p>
        </w:tc>
        <w:tc>
          <w:tcPr>
            <w:tcW w:w="827" w:type="dxa"/>
            <w:tcBorders>
              <w:top w:val="nil"/>
              <w:left w:val="nil"/>
              <w:bottom w:val="single" w:sz="4" w:space="0" w:color="auto"/>
              <w:right w:val="single" w:sz="4" w:space="0" w:color="auto"/>
            </w:tcBorders>
            <w:shd w:val="clear" w:color="auto" w:fill="D9D9D9" w:themeFill="background1" w:themeFillShade="D9"/>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11.9%</w:t>
            </w:r>
          </w:p>
        </w:tc>
      </w:tr>
      <w:tr w:rsidR="00412B1C" w:rsidRPr="0008088E" w:rsidTr="00545F6A">
        <w:trPr>
          <w:trHeight w:val="255"/>
          <w:jc w:val="center"/>
        </w:trPr>
        <w:tc>
          <w:tcPr>
            <w:tcW w:w="26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12B1C" w:rsidRPr="0008088E" w:rsidRDefault="00412B1C" w:rsidP="00545F6A">
            <w:pPr>
              <w:spacing w:before="0" w:after="0"/>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Shopping</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36,389</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72,604</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140,757</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59,392</w:t>
            </w:r>
          </w:p>
        </w:tc>
        <w:tc>
          <w:tcPr>
            <w:tcW w:w="11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309,142</w:t>
            </w:r>
          </w:p>
        </w:tc>
        <w:tc>
          <w:tcPr>
            <w:tcW w:w="827" w:type="dxa"/>
            <w:tcBorders>
              <w:top w:val="nil"/>
              <w:left w:val="nil"/>
              <w:bottom w:val="single" w:sz="4" w:space="0" w:color="auto"/>
              <w:right w:val="single" w:sz="4" w:space="0" w:color="auto"/>
            </w:tcBorders>
            <w:shd w:val="clear" w:color="auto" w:fill="D9D9D9" w:themeFill="background1" w:themeFillShade="D9"/>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2.8%</w:t>
            </w:r>
          </w:p>
        </w:tc>
      </w:tr>
      <w:tr w:rsidR="00412B1C" w:rsidRPr="0008088E" w:rsidTr="00545F6A">
        <w:trPr>
          <w:trHeight w:val="255"/>
          <w:jc w:val="center"/>
        </w:trPr>
        <w:tc>
          <w:tcPr>
            <w:tcW w:w="26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12B1C" w:rsidRPr="0008088E" w:rsidRDefault="00412B1C" w:rsidP="00545F6A">
            <w:pPr>
              <w:spacing w:before="0" w:after="0"/>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Others</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345,544</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363,706</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460,586</w:t>
            </w:r>
          </w:p>
        </w:tc>
        <w:tc>
          <w:tcPr>
            <w:tcW w:w="10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304,553</w:t>
            </w:r>
          </w:p>
        </w:tc>
        <w:tc>
          <w:tcPr>
            <w:tcW w:w="1117" w:type="dxa"/>
            <w:tcBorders>
              <w:top w:val="nil"/>
              <w:left w:val="nil"/>
              <w:bottom w:val="single" w:sz="4" w:space="0" w:color="auto"/>
              <w:right w:val="single" w:sz="4" w:space="0" w:color="auto"/>
            </w:tcBorders>
            <w:shd w:val="clear" w:color="auto" w:fill="auto"/>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1,474,389</w:t>
            </w:r>
          </w:p>
        </w:tc>
        <w:tc>
          <w:tcPr>
            <w:tcW w:w="827" w:type="dxa"/>
            <w:tcBorders>
              <w:top w:val="nil"/>
              <w:left w:val="nil"/>
              <w:bottom w:val="single" w:sz="4" w:space="0" w:color="auto"/>
              <w:right w:val="single" w:sz="4" w:space="0" w:color="auto"/>
            </w:tcBorders>
            <w:shd w:val="clear" w:color="auto" w:fill="D9D9D9" w:themeFill="background1" w:themeFillShade="D9"/>
            <w:noWrap/>
            <w:vAlign w:val="center"/>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13.6%</w:t>
            </w:r>
          </w:p>
        </w:tc>
      </w:tr>
      <w:tr w:rsidR="00412B1C" w:rsidRPr="0008088E" w:rsidTr="00545F6A">
        <w:trPr>
          <w:trHeight w:val="255"/>
          <w:jc w:val="center"/>
        </w:trPr>
        <w:tc>
          <w:tcPr>
            <w:tcW w:w="264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412B1C" w:rsidRPr="0008088E" w:rsidRDefault="00412B1C" w:rsidP="00545F6A">
            <w:pPr>
              <w:spacing w:before="0" w:after="0"/>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Total</w:t>
            </w:r>
          </w:p>
        </w:tc>
        <w:tc>
          <w:tcPr>
            <w:tcW w:w="1017" w:type="dxa"/>
            <w:tcBorders>
              <w:top w:val="nil"/>
              <w:left w:val="nil"/>
              <w:bottom w:val="single" w:sz="4" w:space="0" w:color="auto"/>
              <w:right w:val="single" w:sz="4" w:space="0" w:color="auto"/>
            </w:tcBorders>
            <w:shd w:val="clear" w:color="auto" w:fill="auto"/>
            <w:noWrap/>
            <w:vAlign w:val="bottom"/>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1,993,491</w:t>
            </w:r>
          </w:p>
        </w:tc>
        <w:tc>
          <w:tcPr>
            <w:tcW w:w="1017" w:type="dxa"/>
            <w:tcBorders>
              <w:top w:val="nil"/>
              <w:left w:val="nil"/>
              <w:bottom w:val="single" w:sz="4" w:space="0" w:color="auto"/>
              <w:right w:val="single" w:sz="4" w:space="0" w:color="auto"/>
            </w:tcBorders>
            <w:shd w:val="clear" w:color="auto" w:fill="auto"/>
            <w:noWrap/>
            <w:vAlign w:val="bottom"/>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2,366,989</w:t>
            </w:r>
          </w:p>
        </w:tc>
        <w:tc>
          <w:tcPr>
            <w:tcW w:w="1017" w:type="dxa"/>
            <w:tcBorders>
              <w:top w:val="nil"/>
              <w:left w:val="nil"/>
              <w:bottom w:val="single" w:sz="4" w:space="0" w:color="auto"/>
              <w:right w:val="single" w:sz="4" w:space="0" w:color="auto"/>
            </w:tcBorders>
            <w:shd w:val="clear" w:color="auto" w:fill="auto"/>
            <w:noWrap/>
            <w:vAlign w:val="bottom"/>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3,305,745</w:t>
            </w:r>
          </w:p>
        </w:tc>
        <w:tc>
          <w:tcPr>
            <w:tcW w:w="1017" w:type="dxa"/>
            <w:tcBorders>
              <w:top w:val="nil"/>
              <w:left w:val="nil"/>
              <w:bottom w:val="single" w:sz="4" w:space="0" w:color="auto"/>
              <w:right w:val="single" w:sz="4" w:space="0" w:color="auto"/>
            </w:tcBorders>
            <w:shd w:val="clear" w:color="auto" w:fill="auto"/>
            <w:noWrap/>
            <w:vAlign w:val="bottom"/>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3,183,977</w:t>
            </w:r>
          </w:p>
        </w:tc>
        <w:tc>
          <w:tcPr>
            <w:tcW w:w="1117" w:type="dxa"/>
            <w:tcBorders>
              <w:top w:val="nil"/>
              <w:left w:val="nil"/>
              <w:bottom w:val="single" w:sz="4" w:space="0" w:color="auto"/>
              <w:right w:val="single" w:sz="4" w:space="0" w:color="auto"/>
            </w:tcBorders>
            <w:shd w:val="clear" w:color="auto" w:fill="auto"/>
            <w:noWrap/>
            <w:vAlign w:val="bottom"/>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10,850,202</w:t>
            </w:r>
          </w:p>
        </w:tc>
        <w:tc>
          <w:tcPr>
            <w:tcW w:w="827" w:type="dxa"/>
            <w:tcBorders>
              <w:top w:val="nil"/>
              <w:left w:val="nil"/>
              <w:bottom w:val="single" w:sz="4" w:space="0" w:color="auto"/>
              <w:right w:val="single" w:sz="4" w:space="0" w:color="auto"/>
            </w:tcBorders>
            <w:shd w:val="clear" w:color="auto" w:fill="D9D9D9" w:themeFill="background1" w:themeFillShade="D9"/>
            <w:noWrap/>
            <w:vAlign w:val="bottom"/>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100.0%</w:t>
            </w:r>
          </w:p>
        </w:tc>
      </w:tr>
      <w:tr w:rsidR="00412B1C" w:rsidRPr="0008088E" w:rsidTr="00545F6A">
        <w:trPr>
          <w:trHeight w:val="255"/>
          <w:jc w:val="center"/>
        </w:trPr>
        <w:tc>
          <w:tcPr>
            <w:tcW w:w="264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412B1C" w:rsidRPr="0008088E" w:rsidRDefault="00412B1C" w:rsidP="00545F6A">
            <w:pPr>
              <w:spacing w:before="0" w:after="0"/>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Market Share (%)</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18.4%</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21.8%</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30.5%</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29.3%</w:t>
            </w:r>
          </w:p>
        </w:tc>
        <w:tc>
          <w:tcPr>
            <w:tcW w:w="1117" w:type="dxa"/>
            <w:tcBorders>
              <w:top w:val="nil"/>
              <w:left w:val="nil"/>
              <w:bottom w:val="single" w:sz="4" w:space="0" w:color="auto"/>
              <w:right w:val="single" w:sz="4" w:space="0" w:color="auto"/>
            </w:tcBorders>
            <w:shd w:val="clear" w:color="auto" w:fill="F2F2F2" w:themeFill="background1" w:themeFillShade="F2"/>
            <w:noWrap/>
            <w:vAlign w:val="bottom"/>
            <w:hideMark/>
          </w:tcPr>
          <w:p w:rsidR="00412B1C" w:rsidRPr="0008088E" w:rsidRDefault="00412B1C" w:rsidP="00545F6A">
            <w:pPr>
              <w:spacing w:before="0" w:after="0"/>
              <w:jc w:val="right"/>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100.0%</w:t>
            </w:r>
          </w:p>
        </w:tc>
        <w:tc>
          <w:tcPr>
            <w:tcW w:w="827" w:type="dxa"/>
            <w:tcBorders>
              <w:top w:val="nil"/>
              <w:left w:val="nil"/>
              <w:bottom w:val="single" w:sz="4" w:space="0" w:color="auto"/>
              <w:right w:val="single" w:sz="4" w:space="0" w:color="auto"/>
            </w:tcBorders>
            <w:shd w:val="clear" w:color="auto" w:fill="F2F2F2" w:themeFill="background1" w:themeFillShade="F2"/>
            <w:noWrap/>
            <w:vAlign w:val="bottom"/>
            <w:hideMark/>
          </w:tcPr>
          <w:p w:rsidR="00412B1C" w:rsidRPr="0008088E" w:rsidRDefault="00412B1C" w:rsidP="00545F6A">
            <w:pPr>
              <w:spacing w:before="0" w:after="0"/>
              <w:rPr>
                <w:rFonts w:ascii="Arial" w:eastAsia="Times New Roman" w:hAnsi="Arial" w:cs="Arial"/>
                <w:sz w:val="18"/>
                <w:szCs w:val="18"/>
                <w:lang w:val="en-CA" w:eastAsia="en-CA"/>
              </w:rPr>
            </w:pPr>
            <w:r w:rsidRPr="0008088E">
              <w:rPr>
                <w:rFonts w:ascii="Arial" w:eastAsia="Times New Roman" w:hAnsi="Arial" w:cs="Arial"/>
                <w:sz w:val="18"/>
                <w:szCs w:val="18"/>
                <w:lang w:val="en-CA" w:eastAsia="en-CA"/>
              </w:rPr>
              <w:t> </w:t>
            </w:r>
          </w:p>
        </w:tc>
      </w:tr>
    </w:tbl>
    <w:p w:rsidR="00412B1C" w:rsidRPr="002646B2" w:rsidRDefault="00412B1C" w:rsidP="00412B1C">
      <w:pPr>
        <w:autoSpaceDE w:val="0"/>
        <w:autoSpaceDN w:val="0"/>
        <w:adjustRightInd w:val="0"/>
        <w:spacing w:before="0" w:after="0"/>
        <w:rPr>
          <w:rFonts w:ascii="Arial-BoldMT" w:hAnsi="Arial-BoldMT" w:cs="Arial-BoldMT"/>
          <w:bCs/>
          <w:sz w:val="18"/>
          <w:szCs w:val="18"/>
          <w:lang w:val="en-CA"/>
        </w:rPr>
      </w:pPr>
    </w:p>
    <w:p w:rsidR="00412B1C" w:rsidRDefault="00412B1C" w:rsidP="00033193">
      <w:pPr>
        <w:autoSpaceDE w:val="0"/>
        <w:autoSpaceDN w:val="0"/>
        <w:adjustRightInd w:val="0"/>
        <w:spacing w:before="0" w:after="0"/>
        <w:ind w:firstLine="540"/>
        <w:rPr>
          <w:rFonts w:cs="Arial-BoldMT"/>
          <w:bCs/>
          <w:sz w:val="18"/>
          <w:szCs w:val="18"/>
          <w:lang w:val="en-CA"/>
        </w:rPr>
      </w:pPr>
      <w:r w:rsidRPr="002646B2">
        <w:rPr>
          <w:rFonts w:cs="Arial-BoldMT"/>
          <w:bCs/>
          <w:sz w:val="18"/>
          <w:szCs w:val="18"/>
          <w:lang w:val="en-CA"/>
        </w:rPr>
        <w:t xml:space="preserve">Source:  </w:t>
      </w:r>
      <w:r>
        <w:rPr>
          <w:rFonts w:cs="Arial-BoldMT"/>
          <w:bCs/>
          <w:sz w:val="18"/>
          <w:szCs w:val="18"/>
          <w:lang w:val="en-CA"/>
        </w:rPr>
        <w:t>Saudi Tourism Outlook</w:t>
      </w:r>
      <w:r w:rsidR="00033193">
        <w:rPr>
          <w:rFonts w:cs="Arial-BoldMT"/>
          <w:bCs/>
          <w:sz w:val="18"/>
          <w:szCs w:val="18"/>
          <w:lang w:val="en-CA"/>
        </w:rPr>
        <w:t>, November 2011</w:t>
      </w:r>
    </w:p>
    <w:p w:rsidR="00124802" w:rsidRDefault="00124802" w:rsidP="00655D95">
      <w:pPr>
        <w:pStyle w:val="Heading2"/>
        <w:numPr>
          <w:ilvl w:val="0"/>
          <w:numId w:val="17"/>
        </w:numPr>
      </w:pPr>
      <w:bookmarkStart w:id="41" w:name="_Toc325871777"/>
      <w:r>
        <w:t>UNDP contributions to the Outcome</w:t>
      </w:r>
      <w:bookmarkEnd w:id="41"/>
    </w:p>
    <w:p w:rsidR="00BE08DF" w:rsidRDefault="00BE08DF" w:rsidP="00655D95">
      <w:pPr>
        <w:pStyle w:val="Heading3"/>
        <w:numPr>
          <w:ilvl w:val="1"/>
          <w:numId w:val="17"/>
        </w:numPr>
      </w:pPr>
      <w:bookmarkStart w:id="42" w:name="_Toc325871778"/>
      <w:r>
        <w:t>Outputs under the CP</w:t>
      </w:r>
      <w:bookmarkEnd w:id="42"/>
      <w:r>
        <w:t xml:space="preserve"> </w:t>
      </w:r>
    </w:p>
    <w:p w:rsidR="00EF7010" w:rsidRDefault="00EF7010" w:rsidP="00655D95">
      <w:pPr>
        <w:pStyle w:val="Heading4"/>
        <w:numPr>
          <w:ilvl w:val="2"/>
          <w:numId w:val="17"/>
        </w:numPr>
      </w:pPr>
      <w:bookmarkStart w:id="43" w:name="_Toc325871779"/>
      <w:r>
        <w:t>Umbrella Programme:  Saudi Arabian General Investment Authority (SAGIA)</w:t>
      </w:r>
      <w:bookmarkEnd w:id="43"/>
    </w:p>
    <w:p w:rsidR="00BA3EAF" w:rsidRDefault="00D723C7" w:rsidP="008E3586">
      <w:r>
        <w:t xml:space="preserve">The </w:t>
      </w:r>
      <w:r w:rsidR="00BA3EAF">
        <w:t xml:space="preserve">first UNDP </w:t>
      </w:r>
      <w:r>
        <w:t xml:space="preserve">project </w:t>
      </w:r>
      <w:r w:rsidR="00BA3EAF">
        <w:t xml:space="preserve">to support the Saudi Arabian General Investment Authority (SAGIA) had been signed in 2001, and ran to 2004.  Its objective was to strengthen SAGIA in its institutional capacity to provide advisory services on investment issues and as an agency that would promote and facilitate foreign investment implementing international good practices.  The project provided consultant services for </w:t>
      </w:r>
      <w:r w:rsidR="00C75AE4">
        <w:t xml:space="preserve">workshops, </w:t>
      </w:r>
      <w:r w:rsidR="00BA3EAF">
        <w:t>training and research</w:t>
      </w:r>
      <w:r w:rsidR="00C75AE4">
        <w:t xml:space="preserve">, with the goal that by project end 80 percent of </w:t>
      </w:r>
      <w:r w:rsidR="00455E76">
        <w:t>staff would have received essential training in investment skills.</w:t>
      </w:r>
    </w:p>
    <w:p w:rsidR="003206A3" w:rsidRDefault="00D82BE9" w:rsidP="008E3586">
      <w:r>
        <w:t>The Authority</w:t>
      </w:r>
      <w:r w:rsidR="001F43ED">
        <w:t xml:space="preserve"> </w:t>
      </w:r>
      <w:r>
        <w:t>had been</w:t>
      </w:r>
      <w:r w:rsidR="001F43ED">
        <w:t xml:space="preserve"> established by the government in 2000, </w:t>
      </w:r>
      <w:r>
        <w:t>and was assigned</w:t>
      </w:r>
      <w:r w:rsidR="001F43ED">
        <w:t xml:space="preserve"> a broad mandate to assist in investment-related matters, both domestic</w:t>
      </w:r>
      <w:r>
        <w:t xml:space="preserve"> (DDI)</w:t>
      </w:r>
      <w:r w:rsidR="001F43ED">
        <w:t xml:space="preserve"> and foreign.  The government of SA had become increasingly aware that the role of private investment, including FDI, would have to expand in order to provide resources for the continuing growth and development of the national economy and more rapid job creation.  It was also interested in accelerating the transfer of technology </w:t>
      </w:r>
      <w:r w:rsidR="00CA2036">
        <w:t xml:space="preserve">and innovations to </w:t>
      </w:r>
      <w:r w:rsidR="00F87B07">
        <w:t xml:space="preserve">the </w:t>
      </w:r>
      <w:r w:rsidR="00CA2036">
        <w:t>SA</w:t>
      </w:r>
      <w:r w:rsidR="00F87B07">
        <w:t xml:space="preserve"> economic environment</w:t>
      </w:r>
      <w:r w:rsidR="00CA2036">
        <w:t>.</w:t>
      </w:r>
      <w:r w:rsidR="004801D4">
        <w:t xml:space="preserve">  The creation of SAGIA formed part of the government’s broader plan for economic liberalization.</w:t>
      </w:r>
    </w:p>
    <w:p w:rsidR="00237C0B" w:rsidRDefault="00F87B07" w:rsidP="008E3586">
      <w:r>
        <w:t xml:space="preserve">A UNDP project, which ran from 2001 to </w:t>
      </w:r>
      <w:r w:rsidR="002C2562">
        <w:t>2004,</w:t>
      </w:r>
      <w:r>
        <w:t xml:space="preserve"> was carried out to assist SAGIA at this early stage of its development</w:t>
      </w:r>
      <w:r w:rsidR="002C2562">
        <w:t xml:space="preserve"> – </w:t>
      </w:r>
      <w:r>
        <w:t xml:space="preserve">to improve the enabling environment for FDI and build institutional capacity to effectively promote and facilitate investment.  From the beginning, the project aimed to help the Kingdom </w:t>
      </w:r>
      <w:r w:rsidR="002C2562">
        <w:t xml:space="preserve">in its objectives to </w:t>
      </w:r>
      <w:r>
        <w:t xml:space="preserve">increase FDI inflows and contribute to job creation, diversification, technology transfer and sustainable development.  </w:t>
      </w:r>
      <w:r w:rsidR="004801D4">
        <w:t xml:space="preserve">UNDP was able to use its presence in the country to facilitate cooperation with UNCTAD, which does not have a country office in the Kingdom.  UNCTAD and UNDP in cooperation helped identify international </w:t>
      </w:r>
      <w:r w:rsidR="00237C0B">
        <w:t xml:space="preserve">and national </w:t>
      </w:r>
      <w:r w:rsidR="004801D4">
        <w:t xml:space="preserve">consultants of </w:t>
      </w:r>
      <w:r w:rsidR="00237C0B">
        <w:t>world standard to provide training to SAGIA staff.  Training was provided in a wide range of skills, from basic concepts to advanced topics in investment promotion, marketing and management.  The project also arranged for international study, the en</w:t>
      </w:r>
      <w:r w:rsidR="00BF33E6">
        <w:t>hancement</w:t>
      </w:r>
      <w:r w:rsidR="00237C0B">
        <w:t xml:space="preserve"> of local </w:t>
      </w:r>
      <w:r w:rsidR="00BF33E6">
        <w:t>training capacities in the fields of interest</w:t>
      </w:r>
    </w:p>
    <w:p w:rsidR="00CA2D6E" w:rsidRDefault="00033193" w:rsidP="008E3586">
      <w:r>
        <w:t xml:space="preserve">All of UNDP’s contribution to the Output of FDI, DDI </w:t>
      </w:r>
      <w:r w:rsidR="00455E76">
        <w:t xml:space="preserve">and expansion of entrepreneurship took place prior to 2007.  </w:t>
      </w:r>
      <w:r w:rsidR="00CA2D6E">
        <w:t xml:space="preserve">In the results framework for the CPD review of 2008, SAGIA </w:t>
      </w:r>
      <w:r w:rsidR="008937D0">
        <w:t>was</w:t>
      </w:r>
      <w:r w:rsidR="00CA2D6E">
        <w:t xml:space="preserve"> indicated a</w:t>
      </w:r>
      <w:r w:rsidR="00CD67F8">
        <w:t>s</w:t>
      </w:r>
      <w:r w:rsidR="00CA2D6E">
        <w:t xml:space="preserve"> the Implementing Partner for Outcome 2, Expected Output:  “Economic environment becomes more favourable to the attraction of FDI and DDI with increased entrepreneurship.”</w:t>
      </w:r>
      <w:r w:rsidR="00CD67F8">
        <w:t xml:space="preserve">  </w:t>
      </w:r>
      <w:r w:rsidR="008937D0">
        <w:t xml:space="preserve">In the </w:t>
      </w:r>
      <w:r w:rsidR="00CD67F8">
        <w:t xml:space="preserve">narrative section of the </w:t>
      </w:r>
      <w:r w:rsidR="008937D0">
        <w:t>CPD, UNDP noted that the programme would help the government in managing globalization to benefit all citizens</w:t>
      </w:r>
      <w:r w:rsidR="008937D0" w:rsidRPr="00EA2DC4">
        <w:rPr>
          <w:rFonts w:ascii="Arial" w:hAnsi="Arial" w:cs="Arial"/>
        </w:rPr>
        <w:t xml:space="preserve">, </w:t>
      </w:r>
      <w:r w:rsidR="008937D0" w:rsidRPr="00D723C7">
        <w:rPr>
          <w:rFonts w:cs="Arial"/>
        </w:rPr>
        <w:t>“maximizing its integration in the global economy and making full use of its recent accession to the WTO.”  It noted the earlier creation of SAGIA, and the significant investment in capacity and institution building already undertaken, and stated that the “managing globalization” component would continue to help with “streamlining institutional frameworks for line ministries</w:t>
      </w:r>
      <w:r w:rsidR="00D723C7" w:rsidRPr="00D723C7">
        <w:rPr>
          <w:rFonts w:cs="Arial"/>
        </w:rPr>
        <w:t>...</w:t>
      </w:r>
      <w:r w:rsidR="008937D0" w:rsidRPr="00D723C7">
        <w:rPr>
          <w:rFonts w:cs="Arial"/>
        </w:rPr>
        <w:t>, providing an economic environment favourable to Tourism, FDI and DDI, a wide diffusion of entrepreneurship and an increased number of inventions to indicate innovation within private businesses.  A diversified economic base with value-added sectors should be given a more prominent role.</w:t>
      </w:r>
      <w:r w:rsidR="00455E76">
        <w:rPr>
          <w:rFonts w:cs="Arial"/>
        </w:rPr>
        <w:t xml:space="preserve"> </w:t>
      </w:r>
      <w:r w:rsidR="00CD67F8">
        <w:t xml:space="preserve">  </w:t>
      </w:r>
      <w:r w:rsidR="00D96907">
        <w:fldChar w:fldCharType="begin"/>
      </w:r>
      <w:r w:rsidR="002B3DEF">
        <w:instrText xml:space="preserve"> ADDIN EN.CITE &lt;EndNote&gt;&lt;Cite&gt;&lt;Author&gt;UNDP Saudi Arabia&lt;/Author&gt;&lt;Year&gt;2008&lt;/Year&gt;&lt;RecNum&gt;1056&lt;/RecNum&gt;&lt;Suffix&gt;, p. 4 and RRF&lt;/Suffix&gt;&lt;record&gt;&lt;rec-number&gt;1056&lt;/rec-number&gt;&lt;ref-type name="Report"&gt;27&lt;/ref-type&gt;&lt;contributors&gt;&lt;authors&gt;&lt;author&gt;UNDP Saudi Arabia,&lt;/author&gt;&lt;/authors&gt;&lt;/contributors&gt;&lt;titles&gt;&lt;title&gt;Country Programme Action Plan&lt;/title&gt;&lt;/titles&gt;&lt;pages&gt;9&lt;/pages&gt;&lt;dates&gt;&lt;year&gt;2008&lt;/year&gt;&lt;/dates&gt;&lt;pub-location&gt;Riyadh&lt;/pub-location&gt;&lt;publisher&gt;Government of the Kingdom of Saudi Arabia and UNDP SA Country Office&lt;/publisher&gt;&lt;urls&gt;&lt;related-urls&gt;&lt;url&gt;www.undp.org.sa/sa/.../cpap_narrative_review_final-mwt-matrix.doc&lt;/url&gt;&lt;/related-urls&gt;&lt;/urls&gt;&lt;research-notes&gt;link ?? dsnt work, but doc found Srch - COMMON FRAMEWORK FOR THE COUNTRY PROGRAMME ...&amp;#xD;or, try:  saudi cpap rrf&lt;/research-notes&gt;&lt;/record&gt;&lt;/Cite&gt;&lt;/EndNote&gt;</w:instrText>
      </w:r>
      <w:r w:rsidR="00D96907">
        <w:fldChar w:fldCharType="separate"/>
      </w:r>
      <w:r w:rsidR="00CD67F8">
        <w:t>(UNDP Saudi Arabia 2008, p. 4 and RRF)</w:t>
      </w:r>
      <w:r w:rsidR="00D96907">
        <w:fldChar w:fldCharType="end"/>
      </w:r>
    </w:p>
    <w:p w:rsidR="00DF73DD" w:rsidRPr="00DF73DD" w:rsidRDefault="00DF73DD" w:rsidP="00DF73DD">
      <w:pPr>
        <w:pStyle w:val="ecxmsolistparagraph"/>
        <w:shd w:val="clear" w:color="auto" w:fill="FFFFFF"/>
        <w:spacing w:after="120"/>
        <w:rPr>
          <w:rFonts w:ascii="Sylfaen" w:hAnsi="Sylfaen" w:cs="Tahoma"/>
          <w:color w:val="2A2A2A"/>
          <w:sz w:val="22"/>
          <w:szCs w:val="22"/>
        </w:rPr>
      </w:pPr>
      <w:r>
        <w:rPr>
          <w:color w:val="2A2A2A"/>
        </w:rPr>
        <w:t xml:space="preserve">Looking at the achievements of SAGIA and UNDP’s contribution to the outcome of FDI, domestic investment, and diversification of the economy, </w:t>
      </w:r>
      <w:r w:rsidRPr="00DF73DD">
        <w:rPr>
          <w:rFonts w:ascii="Sylfaen" w:hAnsi="Sylfaen"/>
          <w:color w:val="2A2A2A"/>
          <w:sz w:val="22"/>
          <w:szCs w:val="22"/>
        </w:rPr>
        <w:t>SAGIA counterparts n</w:t>
      </w:r>
      <w:r w:rsidR="007E4324">
        <w:rPr>
          <w:rFonts w:ascii="Sylfaen" w:hAnsi="Sylfaen"/>
          <w:color w:val="2A2A2A"/>
          <w:sz w:val="22"/>
          <w:szCs w:val="22"/>
        </w:rPr>
        <w:t>oted that the key achievements o</w:t>
      </w:r>
      <w:r w:rsidRPr="00DF73DD">
        <w:rPr>
          <w:rFonts w:ascii="Sylfaen" w:hAnsi="Sylfaen"/>
          <w:color w:val="2A2A2A"/>
          <w:sz w:val="22"/>
          <w:szCs w:val="22"/>
        </w:rPr>
        <w:t xml:space="preserve">f </w:t>
      </w:r>
      <w:r w:rsidR="007E4324">
        <w:rPr>
          <w:rFonts w:ascii="Sylfaen" w:hAnsi="Sylfaen"/>
          <w:color w:val="2A2A2A"/>
          <w:sz w:val="22"/>
          <w:szCs w:val="22"/>
        </w:rPr>
        <w:t>the partnership</w:t>
      </w:r>
      <w:r w:rsidRPr="00DF73DD">
        <w:rPr>
          <w:rFonts w:ascii="Sylfaen" w:hAnsi="Sylfaen"/>
          <w:color w:val="2A2A2A"/>
          <w:sz w:val="22"/>
          <w:szCs w:val="22"/>
        </w:rPr>
        <w:t xml:space="preserve"> included:</w:t>
      </w:r>
    </w:p>
    <w:p w:rsidR="00DF73DD" w:rsidRPr="00DF73DD" w:rsidRDefault="00DF73DD" w:rsidP="00DF73DD">
      <w:pPr>
        <w:pStyle w:val="ecxmsonormal"/>
        <w:numPr>
          <w:ilvl w:val="0"/>
          <w:numId w:val="18"/>
        </w:numPr>
        <w:shd w:val="clear" w:color="auto" w:fill="FFFFFF"/>
        <w:spacing w:after="120"/>
        <w:rPr>
          <w:rFonts w:ascii="Sylfaen" w:hAnsi="Sylfaen" w:cs="Tahoma"/>
          <w:color w:val="2A2A2A"/>
          <w:sz w:val="22"/>
          <w:szCs w:val="22"/>
        </w:rPr>
      </w:pPr>
      <w:r w:rsidRPr="00DF73DD">
        <w:rPr>
          <w:rFonts w:ascii="Sylfaen" w:hAnsi="Sylfaen" w:cs="Tahoma"/>
          <w:color w:val="2A2A2A"/>
          <w:sz w:val="22"/>
          <w:szCs w:val="22"/>
        </w:rPr>
        <w:t>Developing the national capacity for formulation of effective economic policies geared to attract FDI. In this respect, study tours were conducted to two best performers in attracting FDI (Brazil and Ireland) and a wide-ranging discussion was ensued about areas of proposed improvements to the existing policy framework for FDI attraction in Saudi Arabia.</w:t>
      </w:r>
    </w:p>
    <w:p w:rsidR="00DF73DD" w:rsidRPr="00DF73DD" w:rsidRDefault="00DF73DD" w:rsidP="00DF73DD">
      <w:pPr>
        <w:pStyle w:val="ecxmsonormal"/>
        <w:numPr>
          <w:ilvl w:val="0"/>
          <w:numId w:val="18"/>
        </w:numPr>
        <w:shd w:val="clear" w:color="auto" w:fill="FFFFFF"/>
        <w:spacing w:after="120"/>
        <w:rPr>
          <w:rFonts w:ascii="Sylfaen" w:hAnsi="Sylfaen" w:cs="Tahoma"/>
          <w:color w:val="2A2A2A"/>
          <w:sz w:val="22"/>
          <w:szCs w:val="22"/>
        </w:rPr>
      </w:pPr>
      <w:r w:rsidRPr="00DF73DD">
        <w:rPr>
          <w:rFonts w:ascii="Sylfaen" w:hAnsi="Sylfaen" w:cs="Tahoma"/>
          <w:color w:val="2A2A2A"/>
          <w:sz w:val="22"/>
          <w:szCs w:val="22"/>
        </w:rPr>
        <w:t>Commissioning a number of policy papers on the fiscal and monetary frameworks, effects of terrorism on the trends of FDI, and the obstacles to the attraction of FDI.</w:t>
      </w:r>
    </w:p>
    <w:p w:rsidR="00DF73DD" w:rsidRPr="00DF73DD" w:rsidRDefault="00DF73DD" w:rsidP="00DF73DD">
      <w:pPr>
        <w:pStyle w:val="ecxmsonormal"/>
        <w:numPr>
          <w:ilvl w:val="0"/>
          <w:numId w:val="18"/>
        </w:numPr>
        <w:shd w:val="clear" w:color="auto" w:fill="FFFFFF"/>
        <w:spacing w:after="120"/>
        <w:rPr>
          <w:rFonts w:ascii="Sylfaen" w:hAnsi="Sylfaen" w:cs="Tahoma"/>
          <w:color w:val="2A2A2A"/>
          <w:sz w:val="22"/>
          <w:szCs w:val="22"/>
        </w:rPr>
      </w:pPr>
      <w:r w:rsidRPr="00DF73DD">
        <w:rPr>
          <w:rFonts w:ascii="Sylfaen" w:hAnsi="Sylfaen" w:cs="Tahoma"/>
          <w:color w:val="2A2A2A"/>
          <w:sz w:val="22"/>
          <w:szCs w:val="22"/>
        </w:rPr>
        <w:t>Building a national consensus around the need to developing a competitiveness ranking strategy for Saudi Arabia.</w:t>
      </w:r>
    </w:p>
    <w:p w:rsidR="00DF73DD" w:rsidRPr="00DF73DD" w:rsidRDefault="00DF73DD" w:rsidP="00DF73DD">
      <w:pPr>
        <w:pStyle w:val="ecxmsonormal"/>
        <w:numPr>
          <w:ilvl w:val="0"/>
          <w:numId w:val="18"/>
        </w:numPr>
        <w:shd w:val="clear" w:color="auto" w:fill="FFFFFF"/>
        <w:spacing w:after="120"/>
        <w:rPr>
          <w:rFonts w:ascii="Sylfaen" w:hAnsi="Sylfaen" w:cs="Tahoma"/>
          <w:color w:val="2A2A2A"/>
          <w:sz w:val="22"/>
          <w:szCs w:val="22"/>
        </w:rPr>
      </w:pPr>
      <w:r w:rsidRPr="00DF73DD">
        <w:rPr>
          <w:rFonts w:ascii="Sylfaen" w:hAnsi="Sylfaen" w:cs="Tahoma"/>
          <w:color w:val="2A2A2A"/>
          <w:sz w:val="22"/>
          <w:szCs w:val="22"/>
        </w:rPr>
        <w:t>Exploring implications of accession to WTO for both DDI and FDI.</w:t>
      </w:r>
    </w:p>
    <w:p w:rsidR="006047E7" w:rsidRDefault="00496FF9" w:rsidP="008E3586">
      <w:r>
        <w:t xml:space="preserve">By </w:t>
      </w:r>
      <w:r w:rsidRPr="00DF73DD">
        <w:t xml:space="preserve">the end of the project activities, which </w:t>
      </w:r>
      <w:r w:rsidR="00DF73DD" w:rsidRPr="00DF73DD">
        <w:t>contributed to SAGIA’s capacities in</w:t>
      </w:r>
      <w:r w:rsidRPr="00DF73DD">
        <w:t xml:space="preserve"> the present CPD period, almost 80 percent of SAGIA staff had been trained in most of the technical, managerial and administrative competencies</w:t>
      </w:r>
      <w:r>
        <w:t xml:space="preserve"> necessary to enhance their skills in dealing with investment issues.  The effectiveness and efficiency of SAGIA had been greatly strengthened.  An investment information system had been established </w:t>
      </w:r>
    </w:p>
    <w:p w:rsidR="0051315B" w:rsidRDefault="005A3C2A" w:rsidP="00236DDF">
      <w:r>
        <w:t>Discussions with SAGIA staff emphasized that UNDP assistance has facilitated the increa</w:t>
      </w:r>
      <w:r w:rsidR="00FB03D1">
        <w:t>sing role of FDI in the Kingdom</w:t>
      </w:r>
      <w:r>
        <w:t xml:space="preserve"> throughout the period under review, and that </w:t>
      </w:r>
      <w:r w:rsidR="0051315B">
        <w:t xml:space="preserve">of </w:t>
      </w:r>
      <w:r>
        <w:t>domestic private sector inv</w:t>
      </w:r>
      <w:r w:rsidR="00FB03D1">
        <w:t>estment as well. SA partners felt that t</w:t>
      </w:r>
      <w:r>
        <w:t>his assistance enabled SAGIA to develop its own strategy, in pa</w:t>
      </w:r>
      <w:r w:rsidR="00CC03A2">
        <w:t>rt through studies it conducted</w:t>
      </w:r>
      <w:r>
        <w:t xml:space="preserve"> with international consultant assistance, on raising Saudi Ara</w:t>
      </w:r>
      <w:r w:rsidR="00CC03A2">
        <w:t xml:space="preserve">bia’s economic competitiveness.  </w:t>
      </w:r>
      <w:r>
        <w:t xml:space="preserve"> </w:t>
      </w:r>
      <w:r w:rsidR="00CC03A2">
        <w:t xml:space="preserve">It is this work that led to the </w:t>
      </w:r>
      <w:r w:rsidR="00CC03A2" w:rsidRPr="00CC03A2">
        <w:t>creation of the Natio</w:t>
      </w:r>
      <w:r w:rsidR="00814F82">
        <w:t>nal Competitiveness Center</w:t>
      </w:r>
      <w:r w:rsidR="00CC03A2" w:rsidRPr="00CC03A2">
        <w:t xml:space="preserve">, first established in </w:t>
      </w:r>
      <w:r w:rsidR="00CC03A2">
        <w:t xml:space="preserve">2006 as an offshoot of SAGIA, under the Council of Ministers.  </w:t>
      </w:r>
    </w:p>
    <w:p w:rsidR="0051315B" w:rsidRDefault="0051315B" w:rsidP="0051315B">
      <w:pPr>
        <w:rPr>
          <w:lang w:val="en-CA" w:eastAsia="en-CA"/>
        </w:rPr>
      </w:pPr>
      <w:r>
        <w:rPr>
          <w:lang w:val="en-CA" w:eastAsia="en-CA"/>
        </w:rPr>
        <w:t xml:space="preserve">The </w:t>
      </w:r>
      <w:r w:rsidR="00814F82">
        <w:rPr>
          <w:lang w:val="en-CA" w:eastAsia="en-CA"/>
        </w:rPr>
        <w:t>Center</w:t>
      </w:r>
      <w:r>
        <w:rPr>
          <w:lang w:val="en-CA" w:eastAsia="en-CA"/>
        </w:rPr>
        <w:t xml:space="preserve"> conducts </w:t>
      </w:r>
      <w:r w:rsidRPr="0051315B">
        <w:rPr>
          <w:lang w:val="en-CA" w:eastAsia="en-CA"/>
        </w:rPr>
        <w:t>compet</w:t>
      </w:r>
      <w:r>
        <w:rPr>
          <w:lang w:val="en-CA" w:eastAsia="en-CA"/>
        </w:rPr>
        <w:t>itive assessments and monitors</w:t>
      </w:r>
      <w:r w:rsidRPr="0051315B">
        <w:rPr>
          <w:lang w:val="en-CA" w:eastAsia="en-CA"/>
        </w:rPr>
        <w:t xml:space="preserve"> the implementation and results of change pr</w:t>
      </w:r>
      <w:r>
        <w:rPr>
          <w:lang w:val="en-CA" w:eastAsia="en-CA"/>
        </w:rPr>
        <w:t>ograms</w:t>
      </w:r>
      <w:r w:rsidRPr="0051315B">
        <w:rPr>
          <w:lang w:val="en-CA" w:eastAsia="en-CA"/>
        </w:rPr>
        <w:t xml:space="preserve">: </w:t>
      </w:r>
      <w:r>
        <w:rPr>
          <w:lang w:val="en-CA" w:eastAsia="en-CA"/>
        </w:rPr>
        <w:t xml:space="preserve"> “</w:t>
      </w:r>
      <w:r w:rsidRPr="0051315B">
        <w:rPr>
          <w:lang w:val="en-CA" w:eastAsia="en-CA"/>
        </w:rPr>
        <w:t xml:space="preserve">improving the ease of doing business in the Kingdom, through spurring modernization of the general business environment; and improving the microeconomic fundamentals of competitiveness, through mobilizing development of world-class clusters. The </w:t>
      </w:r>
      <w:r w:rsidR="00814F82">
        <w:rPr>
          <w:lang w:val="en-CA" w:eastAsia="en-CA"/>
        </w:rPr>
        <w:t xml:space="preserve">Center </w:t>
      </w:r>
      <w:r w:rsidRPr="0051315B">
        <w:rPr>
          <w:lang w:val="en-CA" w:eastAsia="en-CA"/>
        </w:rPr>
        <w:t>works as a facilitator of change by creating forums for discussion between the public and private sectors</w:t>
      </w:r>
      <w:r>
        <w:rPr>
          <w:lang w:val="en-CA" w:eastAsia="en-CA"/>
        </w:rPr>
        <w:t>”</w:t>
      </w:r>
      <w:r w:rsidR="00AB6C8A">
        <w:rPr>
          <w:lang w:val="en-CA" w:eastAsia="en-CA"/>
        </w:rPr>
        <w:t xml:space="preserve"> </w:t>
      </w:r>
      <w:r w:rsidR="00D96907">
        <w:rPr>
          <w:lang w:val="en-CA" w:eastAsia="en-CA"/>
        </w:rPr>
        <w:fldChar w:fldCharType="begin"/>
      </w:r>
      <w:r w:rsidR="002B3DEF">
        <w:rPr>
          <w:lang w:val="en-CA" w:eastAsia="en-CA"/>
        </w:rPr>
        <w:instrText xml:space="preserve"> ADDIN EN.CITE &lt;EndNote&gt;&lt;Cite&gt;&lt;Author&gt;SAGIA&lt;/Author&gt;&lt;Year&gt;2012&lt;/Year&gt;&lt;RecNum&gt;1049&lt;/RecNum&gt;&lt;record&gt;&lt;rec-number&gt;1049&lt;/rec-number&gt;&lt;ref-type name="Electronic Source"&gt;12&lt;/ref-type&gt;&lt;contributors&gt;&lt;authors&gt;&lt;author&gt;SAGIA, &lt;/author&gt;&lt;/authors&gt;&lt;/contributors&gt;&lt;titles&gt;&lt;title&gt;National Competitiveness Center&lt;/title&gt;&lt;/titles&gt;&lt;dates&gt;&lt;year&gt;2012&lt;/year&gt;&lt;/dates&gt;&lt;pub-location&gt;Riyadh&lt;/pub-location&gt;&lt;publisher&gt;Saudia Arabian General Investment Authority (SAGIA)&lt;/publisher&gt;&lt;urls&gt;&lt;related-urls&gt;&lt;url&gt;http://www.sagia.gov.sa/en/Why-Saudi-Arabia/A-Commitment-To-The-Best/National-Competitiveness-Center/&lt;/url&gt;&lt;/related-urls&gt;&lt;/urls&gt;&lt;research-notes&gt;This is the challenge facing today’s Saudi and one that has inspired SAGIA to embark on its most ambitious project to date – to position KSA as one of the world’s top 10 most competitive economies by 2010. This is the 10x10 mission.&amp;#xD;  &amp;#xD;Introducing the 10x10 strategy&amp;#xD; Already ranked as the easiest place to do business in the entire MENA region, Saudi Arabia has set its sights on something even more challenging. The cornerstone of Saudi Arabia’s economic future is its ability to compete with other nations. This means creating a climate in which innovation, excellence and competitiveness are prioritized. &amp;#xD;&amp;#xD;10 x 10 Saudi has set itself a challenge – to become one of the world’s top 10 most competitive economies by 2010. This makes it the place to be for ambitious investors and businesses that want to be part of a compelling and exciting future.&amp;#xD;&amp;#xD;Uses WEF&amp;apos;s competitiveness index&lt;/research-notes&gt;&lt;/record&gt;&lt;/Cite&gt;&lt;/EndNote&gt;</w:instrText>
      </w:r>
      <w:r w:rsidR="00D96907">
        <w:rPr>
          <w:lang w:val="en-CA" w:eastAsia="en-CA"/>
        </w:rPr>
        <w:fldChar w:fldCharType="separate"/>
      </w:r>
      <w:r w:rsidR="00AB6C8A">
        <w:rPr>
          <w:lang w:val="en-CA" w:eastAsia="en-CA"/>
        </w:rPr>
        <w:t>(SAGIA 2012)</w:t>
      </w:r>
      <w:r w:rsidR="00D96907">
        <w:rPr>
          <w:lang w:val="en-CA" w:eastAsia="en-CA"/>
        </w:rPr>
        <w:fldChar w:fldCharType="end"/>
      </w:r>
      <w:r w:rsidR="00AB6C8A">
        <w:rPr>
          <w:lang w:val="en-CA" w:eastAsia="en-CA"/>
        </w:rPr>
        <w:t>.</w:t>
      </w:r>
    </w:p>
    <w:p w:rsidR="0047460E" w:rsidRDefault="00467839" w:rsidP="00236DDF">
      <w:r>
        <w:rPr>
          <w:lang w:val="en-CA" w:eastAsia="en-CA"/>
        </w:rPr>
        <w:t xml:space="preserve">SAGIA also adopted its “10x10" strategy during this period – with the objective </w:t>
      </w:r>
      <w:r>
        <w:t xml:space="preserve">to position KSA as one of the world’s top 10 most competitive economies by 2010. </w:t>
      </w:r>
      <w:r w:rsidR="007B2EF4">
        <w:t xml:space="preserve"> The country has risen to 11</w:t>
      </w:r>
      <w:r w:rsidR="007B2EF4" w:rsidRPr="007B2EF4">
        <w:rPr>
          <w:vertAlign w:val="superscript"/>
        </w:rPr>
        <w:t>th</w:t>
      </w:r>
      <w:r w:rsidR="007B2EF4">
        <w:t xml:space="preserve"> place in the WB group’s “Ease of Doing Business” rankings, and in </w:t>
      </w:r>
      <w:r w:rsidR="00236DDF">
        <w:t xml:space="preserve">the World Economic Forum’s </w:t>
      </w:r>
      <w:r w:rsidR="00236DDF" w:rsidRPr="00236DDF">
        <w:t>Global Competitiveness Index</w:t>
      </w:r>
      <w:r w:rsidR="007B2EF4">
        <w:t>, in</w:t>
      </w:r>
      <w:r w:rsidR="00236DDF">
        <w:t xml:space="preserve"> 2011-12 it placed </w:t>
      </w:r>
      <w:r w:rsidR="00FB03D1">
        <w:t>number</w:t>
      </w:r>
      <w:r w:rsidR="00236DDF">
        <w:t xml:space="preserve"> 17 in the rankings </w:t>
      </w:r>
      <w:r w:rsidR="00D96907">
        <w:fldChar w:fldCharType="begin"/>
      </w:r>
      <w:r w:rsidR="002B3DEF">
        <w:instrText xml:space="preserve"> ADDIN EN.CITE &lt;EndNote&gt;&lt;Cite&gt;&lt;Author&gt;World Economic Forum&lt;/Author&gt;&lt;Year&gt;2012&lt;/Year&gt;&lt;RecNum&gt;1076&lt;/RecNum&gt;&lt;record&gt;&lt;rec-number&gt;1076&lt;/rec-number&gt;&lt;ref-type name="Journal Article"&gt;17&lt;/ref-type&gt;&lt;contributors&gt;&lt;authors&gt;&lt;author&gt;World Economic Forum,&lt;/author&gt;&lt;/authors&gt;&lt;/contributors&gt;&lt;titles&gt;&lt;title&gt;The Global Competitiveness Report 2011-2012&lt;/title&gt;&lt;/titles&gt;&lt;dates&gt;&lt;year&gt;2012&lt;/year&gt;&lt;/dates&gt;&lt;urls&gt;&lt;related-urls&gt;&lt;url&gt;http://gcr.weforum.org/gcr2011/&lt;/url&gt;&lt;/related-urls&gt;&lt;/urls&gt;&lt;/record&gt;&lt;/Cite&gt;&lt;/EndNote&gt;</w:instrText>
      </w:r>
      <w:r w:rsidR="00D96907">
        <w:fldChar w:fldCharType="separate"/>
      </w:r>
      <w:r w:rsidR="00236DDF">
        <w:t>(World Economic Forum 2012)</w:t>
      </w:r>
      <w:r w:rsidR="00D96907">
        <w:fldChar w:fldCharType="end"/>
      </w:r>
      <w:r w:rsidR="00236DDF">
        <w:t xml:space="preserve">.  </w:t>
      </w:r>
    </w:p>
    <w:p w:rsidR="002A48DD" w:rsidRDefault="000E4FA2" w:rsidP="002A48DD">
      <w:pPr>
        <w:rPr>
          <w:i/>
        </w:rPr>
      </w:pPr>
      <w:r>
        <w:t>SAGIA staff pointed to the development over the CP period of the Saudi Global Competitiveness Forum</w:t>
      </w:r>
      <w:r w:rsidR="002A48DD">
        <w:t xml:space="preserve"> (GCF)</w:t>
      </w:r>
      <w:r>
        <w:t xml:space="preserve">, which has enabled the Kingdom to showcase its </w:t>
      </w:r>
      <w:r w:rsidR="00720FF7">
        <w:t xml:space="preserve">progress in pushing its economic competitiveness agenda. </w:t>
      </w:r>
      <w:r w:rsidR="002A48DD">
        <w:t xml:space="preserve">In January 2012 </w:t>
      </w:r>
      <w:r w:rsidR="00720FF7">
        <w:t>GCF sessions discuss</w:t>
      </w:r>
      <w:r w:rsidR="002A48DD">
        <w:t>ed</w:t>
      </w:r>
      <w:r w:rsidR="00720FF7">
        <w:t xml:space="preserve"> </w:t>
      </w:r>
      <w:r w:rsidR="002A48DD">
        <w:t>various</w:t>
      </w:r>
      <w:r w:rsidR="00720FF7">
        <w:t xml:space="preserve"> forms of entrepreneurship (social, government, and corporate) and related aspects such as failure and risk.</w:t>
      </w:r>
      <w:r w:rsidR="002A48DD">
        <w:t xml:space="preserve">  In the view of SAGIA representatives, the partnership with UNDP</w:t>
      </w:r>
      <w:r w:rsidR="005B7DB9">
        <w:t xml:space="preserve">, and the commissioned advisors the partnership has brought in since 2001 has </w:t>
      </w:r>
      <w:r w:rsidR="002A48DD">
        <w:t xml:space="preserve">enabled the agency to run such initiatives as the GCF and </w:t>
      </w:r>
      <w:r w:rsidR="00814F82" w:rsidRPr="00CC03A2">
        <w:t>Natio</w:t>
      </w:r>
      <w:r w:rsidR="00814F82">
        <w:t>nal Competitiveness Center</w:t>
      </w:r>
      <w:r w:rsidR="002A48DD">
        <w:t>, making the country more conducive to new investments, and taking on a new area for development – the issue of corporate social responsibility (CSR).</w:t>
      </w:r>
      <w:r w:rsidR="002A48DD" w:rsidRPr="002A48DD">
        <w:rPr>
          <w:i/>
        </w:rPr>
        <w:t xml:space="preserve"> </w:t>
      </w:r>
    </w:p>
    <w:p w:rsidR="00EF7010" w:rsidRDefault="00EF7010" w:rsidP="00655D95">
      <w:pPr>
        <w:pStyle w:val="Heading4"/>
        <w:numPr>
          <w:ilvl w:val="2"/>
          <w:numId w:val="17"/>
        </w:numPr>
      </w:pPr>
      <w:r>
        <w:t xml:space="preserve"> </w:t>
      </w:r>
      <w:bookmarkStart w:id="44" w:name="_Toc325871780"/>
      <w:r>
        <w:t>Umbrella Programme for the Supreme Commission for Tourism (SCT)</w:t>
      </w:r>
      <w:bookmarkEnd w:id="44"/>
    </w:p>
    <w:p w:rsidR="008036DE" w:rsidRDefault="000558F7" w:rsidP="006047E7">
      <w:r>
        <w:t xml:space="preserve">UNDP support to the </w:t>
      </w:r>
      <w:r w:rsidR="00E335CB">
        <w:t xml:space="preserve">Supreme Commission for </w:t>
      </w:r>
      <w:r>
        <w:t>Tourism</w:t>
      </w:r>
      <w:r w:rsidR="00E335CB">
        <w:t xml:space="preserve"> (formed in 1999)</w:t>
      </w:r>
      <w:r>
        <w:t xml:space="preserve"> had begun with an “umbrella programme” of advisory services in 2004.</w:t>
      </w:r>
      <w:r w:rsidR="00D8061F">
        <w:t xml:space="preserve">  The programme was conceived with the</w:t>
      </w:r>
      <w:r w:rsidR="00E335CB">
        <w:t xml:space="preserve"> object</w:t>
      </w:r>
      <w:r w:rsidR="00D8061F">
        <w:t xml:space="preserve"> of designing a long-term framework for technical cooperation between the Commission and UNDP.  From the outset </w:t>
      </w:r>
      <w:r w:rsidR="007A18FA">
        <w:t>tourism development</w:t>
      </w:r>
      <w:r w:rsidR="00D8061F">
        <w:t xml:space="preserve"> formed an important part of the government’s strategic national quest for economic diversification</w:t>
      </w:r>
      <w:r w:rsidR="007A18FA">
        <w:t xml:space="preserve">, seen as </w:t>
      </w:r>
      <w:r w:rsidR="00433EA9">
        <w:t xml:space="preserve">one of the service sectors </w:t>
      </w:r>
      <w:r w:rsidR="007A18FA">
        <w:t>most apt</w:t>
      </w:r>
      <w:r w:rsidR="00E335CB">
        <w:t xml:space="preserve"> to </w:t>
      </w:r>
      <w:r w:rsidR="00433EA9">
        <w:t xml:space="preserve">make an increasing contribution to diversification.  </w:t>
      </w:r>
      <w:r w:rsidR="00D8061F">
        <w:t>Since</w:t>
      </w:r>
      <w:r w:rsidR="00433EA9" w:rsidRPr="00433EA9">
        <w:t xml:space="preserve"> </w:t>
      </w:r>
      <w:r w:rsidR="00433EA9">
        <w:t xml:space="preserve">the initial </w:t>
      </w:r>
      <w:r w:rsidR="00E335CB">
        <w:t xml:space="preserve">UNDP-SCT </w:t>
      </w:r>
      <w:r w:rsidR="00433EA9">
        <w:t>agreement, ongoing programmes</w:t>
      </w:r>
      <w:r w:rsidR="00D45CC6">
        <w:t xml:space="preserve"> including an extension for the 2004-2010 period</w:t>
      </w:r>
      <w:r w:rsidR="00433EA9">
        <w:t xml:space="preserve"> have focused on continuing the institutional capacity building of the Saudi Commission for Tourism and Antiquities (SCTA– the new designation of SCT)</w:t>
      </w:r>
      <w:r w:rsidR="00E335CB">
        <w:t xml:space="preserve">, and enabling it to </w:t>
      </w:r>
      <w:r w:rsidR="007A18FA">
        <w:t>meet a new level of goals it had set for performance of the sector.</w:t>
      </w:r>
    </w:p>
    <w:p w:rsidR="00433EA9" w:rsidRDefault="00433EA9" w:rsidP="006047E7">
      <w:r>
        <w:t>The Commission, as the central body responsible for developing the tourism sector,</w:t>
      </w:r>
      <w:r w:rsidR="008C12B4">
        <w:t xml:space="preserve"> has a mandate to expand the scope and </w:t>
      </w:r>
      <w:r w:rsidR="00D45CC6">
        <w:t>contribution</w:t>
      </w:r>
      <w:r w:rsidR="008C12B4">
        <w:t xml:space="preserve"> of the sector, while at the same time </w:t>
      </w:r>
      <w:r w:rsidR="00D45CC6">
        <w:t>ensuring that tourism will continue to have a positive social, cultural and environmental impact.</w:t>
      </w:r>
    </w:p>
    <w:p w:rsidR="00D070C9" w:rsidRDefault="00806F57" w:rsidP="008E07C7">
      <w:r w:rsidRPr="00D070C9">
        <w:t xml:space="preserve">From the period of the 8th plan forward, government was keenly aware that tourism harboured an untapped potential for job creation for a growing population, and </w:t>
      </w:r>
      <w:r w:rsidR="001D48AB" w:rsidRPr="00D070C9">
        <w:t xml:space="preserve">for </w:t>
      </w:r>
      <w:r w:rsidRPr="00D070C9">
        <w:t xml:space="preserve">the development of public-private partnerships (PPPs) benefiting both </w:t>
      </w:r>
      <w:r w:rsidR="001D48AB" w:rsidRPr="00D070C9">
        <w:t>sides</w:t>
      </w:r>
      <w:r w:rsidRPr="00D070C9">
        <w:t xml:space="preserve">.  </w:t>
      </w:r>
      <w:r w:rsidR="001D48AB" w:rsidRPr="00D070C9">
        <w:t>From the point of view of government, t</w:t>
      </w:r>
      <w:r w:rsidR="009650AA" w:rsidRPr="00D070C9">
        <w:t>he growth of population and tourism demands an expansion of public services and infrastructure, and poses the challenge of increasing Saudization</w:t>
      </w:r>
      <w:r w:rsidR="00497DAC">
        <w:t xml:space="preserve"> in a sector where reliance on exp</w:t>
      </w:r>
      <w:r w:rsidR="00D22470">
        <w:t xml:space="preserve">atriate employment predominates </w:t>
      </w:r>
      <w:r w:rsidR="00D96907">
        <w:fldChar w:fldCharType="begin"/>
      </w:r>
      <w:r w:rsidR="002B3DEF">
        <w:instrText xml:space="preserve"> ADDIN EN.CITE &lt;EndNote&gt;&lt;Cite&gt;&lt;Author&gt;Sadi&lt;/Author&gt;&lt;Year&gt;2005&lt;/Year&gt;&lt;RecNum&gt;1070&lt;/RecNum&gt;&lt;Suffix&gt;, p. 96&lt;/Suffix&gt;&lt;record&gt;&lt;rec-number&gt;1070&lt;/rec-number&gt;&lt;ref-type name="Journal Article"&gt;17&lt;/ref-type&gt;&lt;contributors&gt;&lt;authors&gt;&lt;author&gt;Muhammad Asad Sadi&lt;/author&gt;&lt;author&gt;Joan C. Henderson&lt;/author&gt;&lt;/authors&gt;&lt;/contributors&gt;&lt;titles&gt;&lt;title&gt;Tourism in Saudi Arabia and Its Future Development&lt;/title&gt;&lt;secondary-title&gt;Qatar University&lt;/secondary-title&gt;&lt;/titles&gt;&lt;periodical&gt;&lt;full-title&gt;Qatar University&lt;/full-title&gt;&lt;/periodical&gt;&lt;pages&gt;94-111&lt;/pages&gt;&lt;volume&gt;11&lt;/volume&gt;&lt;dates&gt;&lt;year&gt;2005&lt;/year&gt;&lt;/dates&gt;&lt;urls&gt;&lt;related-urls&gt;&lt;url&gt;http://www.qu.edu.qa/business/research/collegejournal/archives/CBE_Journal_Vol11_Chapter_205.pdf&lt;/url&gt;&lt;/related-urls&gt;&lt;/urls&gt;&lt;research-notes&gt;The authors acknowledge the support and encouragement received by King Fahd University of Petroleum &amp;amp; Minerals, Dhahran (Saudi Arabia)&lt;/research-notes&gt;&lt;/record&gt;&lt;/Cite&gt;&lt;/EndNote&gt;</w:instrText>
      </w:r>
      <w:r w:rsidR="00D96907">
        <w:fldChar w:fldCharType="separate"/>
      </w:r>
      <w:r w:rsidR="00D22470">
        <w:t>(Sadi and Henderson 2005, p. 96)</w:t>
      </w:r>
      <w:r w:rsidR="00D96907">
        <w:fldChar w:fldCharType="end"/>
      </w:r>
      <w:r w:rsidR="00D22470">
        <w:t>.</w:t>
      </w:r>
      <w:r w:rsidR="00D22470">
        <w:rPr>
          <w:rStyle w:val="FootnoteReference"/>
        </w:rPr>
        <w:footnoteReference w:id="17"/>
      </w:r>
      <w:r w:rsidR="00D22470">
        <w:t xml:space="preserve">  </w:t>
      </w:r>
      <w:r w:rsidR="00D070C9" w:rsidRPr="00D070C9">
        <w:t xml:space="preserve">(This perspective was laid out as early as 2005, in Vision 2025). </w:t>
      </w:r>
    </w:p>
    <w:p w:rsidR="00D070C9" w:rsidRDefault="00D070C9" w:rsidP="006047E7">
      <w:r>
        <w:t xml:space="preserve">To meet these objectives, </w:t>
      </w:r>
      <w:r w:rsidR="008334AE">
        <w:t xml:space="preserve">government needed its tourism authority to adapt to new demands, and to implement world-standard regulations providing a framework for world-class hospitality services.  Such requirements fitted well into UNDP’s goal of strengthening the capacity of key governance institutions.  </w:t>
      </w:r>
      <w:r>
        <w:t>UNDP was asked to provide support to the drafting and rev</w:t>
      </w:r>
      <w:r w:rsidR="00015E37">
        <w:t>iew of policy discussion papers</w:t>
      </w:r>
      <w:r>
        <w:t>, by providing international and national consulting and legal services</w:t>
      </w:r>
      <w:r w:rsidR="008334AE">
        <w:t>.  Under the assistance of the umbrella programme, SCTA was able to commission the development of a tourism master plan,</w:t>
      </w:r>
      <w:r w:rsidR="00015E37">
        <w:t xml:space="preserve"> </w:t>
      </w:r>
      <w:r w:rsidR="008334AE">
        <w:t xml:space="preserve">the design of tourist development areas and sites, and the preparation of numerous case studies.  In the period under review, activities focused on legislative </w:t>
      </w:r>
      <w:r w:rsidR="009F54C3">
        <w:t xml:space="preserve">frameworks for the development of licensing protocols, and for the expansion of SCTA activities to cover antiquities sites. </w:t>
      </w:r>
      <w:r w:rsidR="00B040CC">
        <w:t>(These included regulations on travel agents and accommodations, and support activities such as tour guide services, museums and antiquities regulation.)</w:t>
      </w:r>
      <w:r w:rsidR="009F54C3">
        <w:t xml:space="preserve"> They also covered the development of human resource planning, and support to tourism investment.</w:t>
      </w:r>
    </w:p>
    <w:p w:rsidR="0009632D" w:rsidRDefault="00B73AB2" w:rsidP="00B73AB2">
      <w:r>
        <w:t xml:space="preserve">The evaluation mission was given excellent access to key informants of SCTA, including the national coordinator for the project during the period under evaluation.  </w:t>
      </w:r>
      <w:r w:rsidR="0009632D">
        <w:t xml:space="preserve">Commission staff explained that support under the umbrella programme initially went into the development of SCTA, its departments, investment promotion, legal issues and framework, and to develop elements of </w:t>
      </w:r>
      <w:r w:rsidR="00871F0B">
        <w:t>regional (</w:t>
      </w:r>
      <w:r w:rsidR="0009632D">
        <w:t xml:space="preserve">domestic) tourism.  The government and the Commission share the view that </w:t>
      </w:r>
      <w:r w:rsidR="00780749">
        <w:t>tourism can stimulate pro-poor economic growth.  E</w:t>
      </w:r>
      <w:r w:rsidR="0009632D">
        <w:t xml:space="preserve">xpansion </w:t>
      </w:r>
      <w:r w:rsidR="00780749">
        <w:t xml:space="preserve">of tourism to include antiquities sites would in most cases involve </w:t>
      </w:r>
      <w:r w:rsidR="0009632D">
        <w:t>hitherto undeveloped parts of the country</w:t>
      </w:r>
      <w:r w:rsidR="00780749">
        <w:t xml:space="preserve">.  These regions have few job opportunities, but tourism is a labour-intensive sector, and can create more jobs per unit </w:t>
      </w:r>
      <w:r w:rsidR="00526242">
        <w:t xml:space="preserve">of investment </w:t>
      </w:r>
      <w:r w:rsidR="00780749">
        <w:t>than many other options.</w:t>
      </w:r>
    </w:p>
    <w:p w:rsidR="00B73AB2" w:rsidRDefault="00B73AB2" w:rsidP="00B73AB2">
      <w:r>
        <w:t xml:space="preserve">The Commission appears to have been successful in developing the capacity of the institution as a credible and effective government regulatory body, capable of facilitating investment in the tourism sector.  Its concerns </w:t>
      </w:r>
      <w:r w:rsidR="0009632D">
        <w:t xml:space="preserve">in the </w:t>
      </w:r>
      <w:r w:rsidR="00526242">
        <w:t xml:space="preserve">subsequent </w:t>
      </w:r>
      <w:r w:rsidR="0009632D">
        <w:t>period</w:t>
      </w:r>
      <w:r>
        <w:t xml:space="preserve"> </w:t>
      </w:r>
      <w:r w:rsidR="00526242">
        <w:t xml:space="preserve">(this review) </w:t>
      </w:r>
      <w:r>
        <w:t xml:space="preserve">have been </w:t>
      </w:r>
      <w:r w:rsidR="0009632D">
        <w:t xml:space="preserve">to develop capacity needed </w:t>
      </w:r>
      <w:r>
        <w:t xml:space="preserve">in </w:t>
      </w:r>
      <w:r w:rsidR="0009632D">
        <w:t>broadening</w:t>
      </w:r>
      <w:r w:rsidR="0009632D" w:rsidRPr="0009632D">
        <w:t xml:space="preserve"> </w:t>
      </w:r>
      <w:r w:rsidR="0009632D">
        <w:t>the dimensions of tourism</w:t>
      </w:r>
      <w:r w:rsidR="00526242">
        <w:t xml:space="preserve"> and aligning with global best practices</w:t>
      </w:r>
      <w:r w:rsidR="0009632D">
        <w:t xml:space="preserve">.  </w:t>
      </w:r>
      <w:r>
        <w:t xml:space="preserve">SA joined the UN World Tourism Organization (UNWTO) </w:t>
      </w:r>
      <w:r w:rsidR="00AD11CB">
        <w:t xml:space="preserve">in 2002, </w:t>
      </w:r>
      <w:r>
        <w:t xml:space="preserve">and </w:t>
      </w:r>
      <w:r w:rsidR="00AD11CB">
        <w:t xml:space="preserve">a focus of concern </w:t>
      </w:r>
      <w:r w:rsidR="00526242">
        <w:t xml:space="preserve">under the UNDP-SCTA </w:t>
      </w:r>
      <w:r w:rsidR="00AD11CB">
        <w:t xml:space="preserve">programme </w:t>
      </w:r>
      <w:r w:rsidR="00780749">
        <w:t xml:space="preserve">has </w:t>
      </w:r>
      <w:r w:rsidR="00AD11CB">
        <w:t xml:space="preserve">been to </w:t>
      </w:r>
      <w:r w:rsidR="00780749">
        <w:t xml:space="preserve">ensure that </w:t>
      </w:r>
      <w:r w:rsidR="00AD11CB">
        <w:t xml:space="preserve">its </w:t>
      </w:r>
      <w:r w:rsidR="00780749">
        <w:t xml:space="preserve">framework of regulations, standards and legislation </w:t>
      </w:r>
      <w:r w:rsidR="00AD11CB">
        <w:t>align</w:t>
      </w:r>
      <w:r w:rsidR="00780749">
        <w:t xml:space="preserve"> with those of UNWTO</w:t>
      </w:r>
      <w:r w:rsidR="00AD11CB">
        <w:t>.  The programme has</w:t>
      </w:r>
      <w:r w:rsidR="00780749">
        <w:t xml:space="preserve"> </w:t>
      </w:r>
      <w:r w:rsidR="00AD11CB">
        <w:t>engaged consultants to help with this area.</w:t>
      </w:r>
    </w:p>
    <w:p w:rsidR="00564341" w:rsidRDefault="00AB6682" w:rsidP="00564341">
      <w:pPr>
        <w:autoSpaceDE w:val="0"/>
        <w:autoSpaceDN w:val="0"/>
        <w:adjustRightInd w:val="0"/>
        <w:spacing w:before="0" w:after="0"/>
      </w:pPr>
      <w:r>
        <w:t>The sector</w:t>
      </w:r>
      <w:r w:rsidR="00564341">
        <w:t xml:space="preserve"> has outperformed the expectations of the tourism long-term master plan, which called for</w:t>
      </w:r>
      <w:r>
        <w:t xml:space="preserve"> expanding</w:t>
      </w:r>
      <w:r w:rsidR="00564341">
        <w:t xml:space="preserve"> capacity </w:t>
      </w:r>
      <w:r>
        <w:t xml:space="preserve">so as </w:t>
      </w:r>
      <w:r w:rsidR="00564341">
        <w:t xml:space="preserve">to attract </w:t>
      </w:r>
      <w:r w:rsidR="00564341">
        <w:rPr>
          <w:lang w:val="en-CA"/>
        </w:rPr>
        <w:t>8.1 million arrivals in 2010 and 10.9 million by 2020 (</w:t>
      </w:r>
      <w:proofErr w:type="spellStart"/>
      <w:r w:rsidR="00564341">
        <w:rPr>
          <w:lang w:val="en-CA"/>
        </w:rPr>
        <w:t>Sadi</w:t>
      </w:r>
      <w:proofErr w:type="spellEnd"/>
      <w:r w:rsidR="00564341">
        <w:rPr>
          <w:lang w:val="en-CA"/>
        </w:rPr>
        <w:t xml:space="preserve"> and Henderson 2005, p. 97).  International arrivals, as noted earlier, passed the 8 million mark in 2004, and are estimated to have reached 17.5 million in 2011.</w:t>
      </w:r>
    </w:p>
    <w:p w:rsidR="00005976" w:rsidRDefault="009E5509" w:rsidP="00005976">
      <w:r>
        <w:t>In meetings with the Evaluation mission, staff explained that the Commission wanted to broaden the dimensions of tourism.  This mea</w:t>
      </w:r>
      <w:r w:rsidR="00601756">
        <w:t xml:space="preserve">nt seeing domestic tourism as </w:t>
      </w:r>
      <w:r>
        <w:t xml:space="preserve">potentially a much larger area for expansion, and extending the </w:t>
      </w:r>
      <w:r w:rsidR="00601756">
        <w:t>mandate of the Commission to develop new fields such as environmental and nature sites, historic sites and antiquities.</w:t>
      </w:r>
      <w:r w:rsidR="00AB6682">
        <w:t xml:space="preserve">  In their view, </w:t>
      </w:r>
      <w:r>
        <w:t xml:space="preserve">the partnership with UNDP helped make this </w:t>
      </w:r>
      <w:r w:rsidR="00AB6682">
        <w:t>wider approach feasible</w:t>
      </w:r>
      <w:r>
        <w:t xml:space="preserve">. </w:t>
      </w:r>
      <w:r w:rsidR="00AB6682">
        <w:t xml:space="preserve"> </w:t>
      </w:r>
      <w:r w:rsidR="00015E37">
        <w:t xml:space="preserve">As with other projects reviewed, one of the main contributions of the UNDP cooperation has been to </w:t>
      </w:r>
      <w:r w:rsidR="00526242">
        <w:t xml:space="preserve">provide </w:t>
      </w:r>
      <w:r w:rsidR="00015E37">
        <w:t xml:space="preserve">the Commission </w:t>
      </w:r>
      <w:r w:rsidR="00526242">
        <w:t xml:space="preserve">with flexibility </w:t>
      </w:r>
      <w:r w:rsidR="00015E37">
        <w:t xml:space="preserve">to engage the services of national, regional and international </w:t>
      </w:r>
      <w:r w:rsidR="00526242">
        <w:t>professionals as needed.  A further advantage has been benefiting from UNDP’s links to the range of UN rosters of experts in the field of tourism know-how in management, legal issues, competitive promotion and development policies, and the vast field of human resource development.  Some examples include the development of a tourism information system and mechanism, in which the project has enabled SCTA to work with a major US company, and the design of sector forecasting using a suite of economic models from European and US consulting groups.</w:t>
      </w:r>
      <w:r w:rsidR="00005976">
        <w:t xml:space="preserve">  </w:t>
      </w:r>
    </w:p>
    <w:p w:rsidR="00AB6682" w:rsidRDefault="00AB6682" w:rsidP="00AB6682">
      <w:r>
        <w:t>Government had always viewed domestic tourism as an important component of the sector, and has been aware that religious tourism is an important draw for domestic and also Middle Eastern travellers.</w:t>
      </w:r>
    </w:p>
    <w:p w:rsidR="00AB6682" w:rsidRDefault="00FA0069" w:rsidP="00444E43">
      <w:r>
        <w:t>Section 3.1</w:t>
      </w:r>
      <w:r w:rsidR="00AB6682">
        <w:t>, above, showed that target</w:t>
      </w:r>
      <w:r w:rsidR="00444E43">
        <w:t>s</w:t>
      </w:r>
      <w:r w:rsidR="00AB6682">
        <w:t xml:space="preserve"> </w:t>
      </w:r>
      <w:r w:rsidR="00444E43">
        <w:t>have</w:t>
      </w:r>
      <w:r w:rsidR="00AB6682">
        <w:t xml:space="preserve"> been more than met for international tourism, with the number of international</w:t>
      </w:r>
      <w:r w:rsidR="00AB6682" w:rsidRPr="007C295D">
        <w:t xml:space="preserve"> </w:t>
      </w:r>
      <w:r w:rsidR="00AB6682">
        <w:t xml:space="preserve">arrivals growing by 53 percent.  In the area of domestic tourism, </w:t>
      </w:r>
      <w:r w:rsidR="00E91800">
        <w:t xml:space="preserve">we noted that </w:t>
      </w:r>
      <w:r w:rsidR="00AB6682">
        <w:t xml:space="preserve">numbers did not </w:t>
      </w:r>
      <w:r w:rsidR="00E91800">
        <w:t>grow after the 2009</w:t>
      </w:r>
      <w:r w:rsidR="00AB6682">
        <w:t xml:space="preserve"> </w:t>
      </w:r>
      <w:r w:rsidR="00E91800">
        <w:t xml:space="preserve">peak of 32 million travellers, and in fact fell by 2011 to 22 million, a 21 percent decrease in numbers. However, the </w:t>
      </w:r>
      <w:r>
        <w:t xml:space="preserve">data in section 3.1 showed that </w:t>
      </w:r>
      <w:r w:rsidR="009A3138">
        <w:t xml:space="preserve">due to </w:t>
      </w:r>
      <w:r>
        <w:t xml:space="preserve">increased expenditures </w:t>
      </w:r>
      <w:r w:rsidR="009A3138">
        <w:t>by domestic tourists the volume of spending more than doubled, while in combination with international expenditures the sector experienced a 70 percent spending increase.</w:t>
      </w:r>
    </w:p>
    <w:p w:rsidR="00FA0069" w:rsidRDefault="00FA0069" w:rsidP="00FA0069">
      <w:pPr>
        <w:pStyle w:val="Caption"/>
      </w:pPr>
      <w:bookmarkStart w:id="45" w:name="_Toc325871733"/>
      <w:r>
        <w:t xml:space="preserve">Table </w:t>
      </w:r>
      <w:fldSimple w:instr=" STYLEREF 1 \s ">
        <w:r w:rsidR="00DC37BE">
          <w:rPr>
            <w:noProof/>
          </w:rPr>
          <w:t>3</w:t>
        </w:r>
      </w:fldSimple>
      <w:r w:rsidR="00DC37BE">
        <w:noBreakHyphen/>
      </w:r>
      <w:fldSimple w:instr=" SEQ Table \* ARABIC \s 1 ">
        <w:r w:rsidR="00DC37BE">
          <w:rPr>
            <w:noProof/>
          </w:rPr>
          <w:t>6</w:t>
        </w:r>
      </w:fldSimple>
      <w:r>
        <w:t xml:space="preserve">  Shares of tourism expenditures, 2007 and 2011</w:t>
      </w:r>
      <w:bookmarkEnd w:id="45"/>
    </w:p>
    <w:tbl>
      <w:tblPr>
        <w:tblW w:w="0" w:type="auto"/>
        <w:jc w:val="center"/>
        <w:tblLook w:val="04A0"/>
      </w:tblPr>
      <w:tblGrid>
        <w:gridCol w:w="939"/>
        <w:gridCol w:w="982"/>
        <w:gridCol w:w="567"/>
        <w:gridCol w:w="982"/>
        <w:gridCol w:w="567"/>
        <w:gridCol w:w="1084"/>
      </w:tblGrid>
      <w:tr w:rsidR="00AB6682" w:rsidRPr="00A27564" w:rsidTr="00E91800">
        <w:trPr>
          <w:trHeight w:val="255"/>
          <w:jc w:val="center"/>
        </w:trPr>
        <w:tc>
          <w:tcPr>
            <w:tcW w:w="0" w:type="auto"/>
            <w:gridSpan w:val="6"/>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AB6682" w:rsidRPr="00A27564" w:rsidRDefault="00AB6682" w:rsidP="00FB6775">
            <w:pPr>
              <w:spacing w:before="0" w:after="0"/>
              <w:jc w:val="center"/>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Expenditure on Tourist Trips (million SR)</w:t>
            </w:r>
          </w:p>
        </w:tc>
      </w:tr>
      <w:tr w:rsidR="00AB6682" w:rsidRPr="00A27564" w:rsidTr="00E9180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jc w:val="center"/>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2007</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jc w:val="center"/>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2011</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AB6682" w:rsidRPr="00A27564" w:rsidRDefault="00E91800" w:rsidP="00E91800">
            <w:pPr>
              <w:spacing w:before="0" w:after="0"/>
              <w:jc w:val="center"/>
              <w:rPr>
                <w:rFonts w:ascii="Arial Narrow" w:eastAsia="Times New Roman" w:hAnsi="Arial Narrow" w:cs="Arial"/>
                <w:sz w:val="16"/>
                <w:szCs w:val="16"/>
                <w:lang w:val="en-CA" w:eastAsia="en-CA"/>
              </w:rPr>
            </w:pPr>
            <w:r>
              <w:rPr>
                <w:rFonts w:ascii="Arial Narrow" w:eastAsia="Times New Roman" w:hAnsi="Arial Narrow" w:cs="Arial"/>
                <w:sz w:val="16"/>
                <w:szCs w:val="16"/>
                <w:lang w:val="en-CA" w:eastAsia="en-CA"/>
              </w:rPr>
              <w:t>E</w:t>
            </w:r>
            <w:r w:rsidR="00AB6682" w:rsidRPr="00A27564">
              <w:rPr>
                <w:rFonts w:ascii="Arial Narrow" w:eastAsia="Times New Roman" w:hAnsi="Arial Narrow" w:cs="Arial"/>
                <w:sz w:val="16"/>
                <w:szCs w:val="16"/>
                <w:lang w:val="en-CA" w:eastAsia="en-CA"/>
              </w:rPr>
              <w:t>xpenditure / trip</w:t>
            </w:r>
            <w:r>
              <w:rPr>
                <w:rFonts w:ascii="Arial Narrow" w:eastAsia="Times New Roman" w:hAnsi="Arial Narrow" w:cs="Arial"/>
                <w:sz w:val="16"/>
                <w:szCs w:val="16"/>
                <w:lang w:val="en-CA" w:eastAsia="en-CA"/>
              </w:rPr>
              <w:t>:</w:t>
            </w:r>
            <w:r w:rsidR="00AB6682" w:rsidRPr="00A27564">
              <w:rPr>
                <w:rFonts w:ascii="Arial Narrow" w:eastAsia="Times New Roman" w:hAnsi="Arial Narrow" w:cs="Arial"/>
                <w:sz w:val="16"/>
                <w:szCs w:val="16"/>
                <w:lang w:val="en-CA" w:eastAsia="en-CA"/>
              </w:rPr>
              <w:t xml:space="preserve"> </w:t>
            </w:r>
            <w:r>
              <w:rPr>
                <w:rFonts w:ascii="Arial Narrow" w:eastAsia="Times New Roman" w:hAnsi="Arial Narrow" w:cs="Arial"/>
                <w:sz w:val="16"/>
                <w:szCs w:val="16"/>
                <w:lang w:val="en-CA" w:eastAsia="en-CA"/>
              </w:rPr>
              <w:t xml:space="preserve"> c</w:t>
            </w:r>
            <w:r w:rsidRPr="00A27564">
              <w:rPr>
                <w:rFonts w:ascii="Arial Narrow" w:eastAsia="Times New Roman" w:hAnsi="Arial Narrow" w:cs="Arial"/>
                <w:sz w:val="16"/>
                <w:szCs w:val="16"/>
                <w:lang w:val="en-CA" w:eastAsia="en-CA"/>
              </w:rPr>
              <w:t xml:space="preserve">hange </w:t>
            </w:r>
            <w:r w:rsidR="00AB6682" w:rsidRPr="00A27564">
              <w:rPr>
                <w:rFonts w:ascii="Arial Narrow" w:eastAsia="Times New Roman" w:hAnsi="Arial Narrow" w:cs="Arial"/>
                <w:sz w:val="16"/>
                <w:szCs w:val="16"/>
                <w:lang w:val="en-CA" w:eastAsia="en-CA"/>
              </w:rPr>
              <w:t>2007-2011</w:t>
            </w:r>
          </w:p>
        </w:tc>
      </w:tr>
      <w:tr w:rsidR="00AB6682" w:rsidRPr="00A27564" w:rsidTr="00E9180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Expenditures</w:t>
            </w:r>
          </w:p>
        </w:tc>
        <w:tc>
          <w:tcPr>
            <w:tcW w:w="0" w:type="auto"/>
            <w:tcBorders>
              <w:top w:val="nil"/>
              <w:left w:val="nil"/>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Share</w:t>
            </w:r>
          </w:p>
        </w:tc>
        <w:tc>
          <w:tcPr>
            <w:tcW w:w="0" w:type="auto"/>
            <w:tcBorders>
              <w:top w:val="nil"/>
              <w:left w:val="nil"/>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Expenditures</w:t>
            </w:r>
          </w:p>
        </w:tc>
        <w:tc>
          <w:tcPr>
            <w:tcW w:w="0" w:type="auto"/>
            <w:tcBorders>
              <w:top w:val="nil"/>
              <w:left w:val="nil"/>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Share</w:t>
            </w:r>
          </w:p>
        </w:tc>
        <w:tc>
          <w:tcPr>
            <w:tcW w:w="1084" w:type="dxa"/>
            <w:vMerge/>
            <w:tcBorders>
              <w:top w:val="nil"/>
              <w:left w:val="single" w:sz="4" w:space="0" w:color="auto"/>
              <w:bottom w:val="single" w:sz="4" w:space="0" w:color="auto"/>
              <w:right w:val="single" w:sz="4" w:space="0" w:color="auto"/>
            </w:tcBorders>
            <w:vAlign w:val="center"/>
            <w:hideMark/>
          </w:tcPr>
          <w:p w:rsidR="00AB6682" w:rsidRPr="00A27564" w:rsidRDefault="00AB6682" w:rsidP="00FB6775">
            <w:pPr>
              <w:spacing w:before="0" w:after="0"/>
              <w:rPr>
                <w:rFonts w:ascii="Arial Narrow" w:eastAsia="Times New Roman" w:hAnsi="Arial Narrow" w:cs="Arial"/>
                <w:sz w:val="16"/>
                <w:szCs w:val="16"/>
                <w:lang w:val="en-CA" w:eastAsia="en-CA"/>
              </w:rPr>
            </w:pPr>
          </w:p>
        </w:tc>
      </w:tr>
      <w:tr w:rsidR="00AB6682" w:rsidRPr="00A27564" w:rsidTr="00E9180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International</w:t>
            </w:r>
          </w:p>
        </w:tc>
        <w:tc>
          <w:tcPr>
            <w:tcW w:w="0" w:type="auto"/>
            <w:tcBorders>
              <w:top w:val="nil"/>
              <w:left w:val="nil"/>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jc w:val="right"/>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32451</w:t>
            </w:r>
          </w:p>
        </w:tc>
        <w:tc>
          <w:tcPr>
            <w:tcW w:w="0" w:type="auto"/>
            <w:tcBorders>
              <w:top w:val="nil"/>
              <w:left w:val="nil"/>
              <w:bottom w:val="single" w:sz="4" w:space="0" w:color="auto"/>
              <w:right w:val="single" w:sz="4" w:space="0" w:color="auto"/>
            </w:tcBorders>
            <w:shd w:val="clear" w:color="000000" w:fill="F2D39C"/>
            <w:noWrap/>
            <w:vAlign w:val="bottom"/>
            <w:hideMark/>
          </w:tcPr>
          <w:p w:rsidR="00AB6682" w:rsidRPr="00A27564" w:rsidRDefault="00AB6682" w:rsidP="00FB6775">
            <w:pPr>
              <w:spacing w:before="0" w:after="0"/>
              <w:jc w:val="right"/>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65%</w:t>
            </w:r>
          </w:p>
        </w:tc>
        <w:tc>
          <w:tcPr>
            <w:tcW w:w="0" w:type="auto"/>
            <w:tcBorders>
              <w:top w:val="nil"/>
              <w:left w:val="nil"/>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jc w:val="right"/>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49015</w:t>
            </w:r>
          </w:p>
        </w:tc>
        <w:tc>
          <w:tcPr>
            <w:tcW w:w="0" w:type="auto"/>
            <w:tcBorders>
              <w:top w:val="nil"/>
              <w:left w:val="nil"/>
              <w:bottom w:val="single" w:sz="4" w:space="0" w:color="auto"/>
              <w:right w:val="single" w:sz="4" w:space="0" w:color="auto"/>
            </w:tcBorders>
            <w:shd w:val="clear" w:color="000000" w:fill="F2D39C"/>
            <w:noWrap/>
            <w:vAlign w:val="bottom"/>
            <w:hideMark/>
          </w:tcPr>
          <w:p w:rsidR="00AB6682" w:rsidRPr="00A27564" w:rsidRDefault="00AB6682" w:rsidP="00FB6775">
            <w:pPr>
              <w:spacing w:before="0" w:after="0"/>
              <w:jc w:val="right"/>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58%</w:t>
            </w:r>
          </w:p>
        </w:tc>
        <w:tc>
          <w:tcPr>
            <w:tcW w:w="0" w:type="auto"/>
            <w:tcBorders>
              <w:top w:val="nil"/>
              <w:left w:val="nil"/>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jc w:val="right"/>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51%</w:t>
            </w:r>
          </w:p>
        </w:tc>
      </w:tr>
      <w:tr w:rsidR="00AB6682" w:rsidRPr="00A27564" w:rsidTr="00E9180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Domestic</w:t>
            </w:r>
          </w:p>
        </w:tc>
        <w:tc>
          <w:tcPr>
            <w:tcW w:w="0" w:type="auto"/>
            <w:tcBorders>
              <w:top w:val="nil"/>
              <w:left w:val="nil"/>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jc w:val="right"/>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17434</w:t>
            </w:r>
          </w:p>
        </w:tc>
        <w:tc>
          <w:tcPr>
            <w:tcW w:w="0" w:type="auto"/>
            <w:tcBorders>
              <w:top w:val="nil"/>
              <w:left w:val="nil"/>
              <w:bottom w:val="single" w:sz="4" w:space="0" w:color="auto"/>
              <w:right w:val="single" w:sz="4" w:space="0" w:color="auto"/>
            </w:tcBorders>
            <w:shd w:val="clear" w:color="000000" w:fill="F2D39C"/>
            <w:noWrap/>
            <w:vAlign w:val="bottom"/>
            <w:hideMark/>
          </w:tcPr>
          <w:p w:rsidR="00AB6682" w:rsidRPr="00A27564" w:rsidRDefault="00AB6682" w:rsidP="00FB6775">
            <w:pPr>
              <w:spacing w:before="0" w:after="0"/>
              <w:jc w:val="right"/>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35%</w:t>
            </w:r>
          </w:p>
        </w:tc>
        <w:tc>
          <w:tcPr>
            <w:tcW w:w="0" w:type="auto"/>
            <w:tcBorders>
              <w:top w:val="nil"/>
              <w:left w:val="nil"/>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jc w:val="right"/>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35548</w:t>
            </w:r>
          </w:p>
        </w:tc>
        <w:tc>
          <w:tcPr>
            <w:tcW w:w="0" w:type="auto"/>
            <w:tcBorders>
              <w:top w:val="nil"/>
              <w:left w:val="nil"/>
              <w:bottom w:val="single" w:sz="4" w:space="0" w:color="auto"/>
              <w:right w:val="single" w:sz="4" w:space="0" w:color="auto"/>
            </w:tcBorders>
            <w:shd w:val="clear" w:color="000000" w:fill="F2D39C"/>
            <w:noWrap/>
            <w:vAlign w:val="bottom"/>
            <w:hideMark/>
          </w:tcPr>
          <w:p w:rsidR="00AB6682" w:rsidRPr="00A27564" w:rsidRDefault="00AB6682" w:rsidP="00FB6775">
            <w:pPr>
              <w:spacing w:before="0" w:after="0"/>
              <w:jc w:val="right"/>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42%</w:t>
            </w:r>
          </w:p>
        </w:tc>
        <w:tc>
          <w:tcPr>
            <w:tcW w:w="0" w:type="auto"/>
            <w:tcBorders>
              <w:top w:val="nil"/>
              <w:left w:val="nil"/>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jc w:val="right"/>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104%</w:t>
            </w:r>
          </w:p>
        </w:tc>
      </w:tr>
      <w:tr w:rsidR="00AB6682" w:rsidRPr="00A27564" w:rsidTr="00E9180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Total</w:t>
            </w:r>
          </w:p>
        </w:tc>
        <w:tc>
          <w:tcPr>
            <w:tcW w:w="0" w:type="auto"/>
            <w:tcBorders>
              <w:top w:val="nil"/>
              <w:left w:val="nil"/>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jc w:val="right"/>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49885</w:t>
            </w:r>
          </w:p>
        </w:tc>
        <w:tc>
          <w:tcPr>
            <w:tcW w:w="0" w:type="auto"/>
            <w:tcBorders>
              <w:top w:val="nil"/>
              <w:left w:val="nil"/>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jc w:val="right"/>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100%</w:t>
            </w:r>
          </w:p>
        </w:tc>
        <w:tc>
          <w:tcPr>
            <w:tcW w:w="0" w:type="auto"/>
            <w:tcBorders>
              <w:top w:val="nil"/>
              <w:left w:val="nil"/>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jc w:val="right"/>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84563</w:t>
            </w:r>
          </w:p>
        </w:tc>
        <w:tc>
          <w:tcPr>
            <w:tcW w:w="0" w:type="auto"/>
            <w:tcBorders>
              <w:top w:val="nil"/>
              <w:left w:val="nil"/>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jc w:val="right"/>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100%</w:t>
            </w:r>
          </w:p>
        </w:tc>
        <w:tc>
          <w:tcPr>
            <w:tcW w:w="0" w:type="auto"/>
            <w:tcBorders>
              <w:top w:val="nil"/>
              <w:left w:val="nil"/>
              <w:bottom w:val="single" w:sz="4" w:space="0" w:color="auto"/>
              <w:right w:val="single" w:sz="4" w:space="0" w:color="auto"/>
            </w:tcBorders>
            <w:shd w:val="clear" w:color="auto" w:fill="auto"/>
            <w:noWrap/>
            <w:vAlign w:val="bottom"/>
            <w:hideMark/>
          </w:tcPr>
          <w:p w:rsidR="00AB6682" w:rsidRPr="00A27564" w:rsidRDefault="00AB6682" w:rsidP="00FB6775">
            <w:pPr>
              <w:spacing w:before="0" w:after="0"/>
              <w:jc w:val="right"/>
              <w:rPr>
                <w:rFonts w:ascii="Arial Narrow" w:eastAsia="Times New Roman" w:hAnsi="Arial Narrow" w:cs="Arial"/>
                <w:sz w:val="16"/>
                <w:szCs w:val="16"/>
                <w:lang w:val="en-CA" w:eastAsia="en-CA"/>
              </w:rPr>
            </w:pPr>
            <w:r w:rsidRPr="00A27564">
              <w:rPr>
                <w:rFonts w:ascii="Arial Narrow" w:eastAsia="Times New Roman" w:hAnsi="Arial Narrow" w:cs="Arial"/>
                <w:sz w:val="16"/>
                <w:szCs w:val="16"/>
                <w:lang w:val="en-CA" w:eastAsia="en-CA"/>
              </w:rPr>
              <w:t>70%</w:t>
            </w:r>
          </w:p>
        </w:tc>
      </w:tr>
    </w:tbl>
    <w:p w:rsidR="008B25CB" w:rsidRPr="005C55C3" w:rsidRDefault="00A147F2" w:rsidP="008B25CB">
      <w:r>
        <w:t xml:space="preserve">SCTA has big plans for the future.  Staff told the Evaluation mission, “We want to promote ‘Discover Saudi Arabia’" – its plan to increase the numbers of residents who will choose to take their holidays discovering the sights and sites at home, as an alternative to outbound travel.  </w:t>
      </w:r>
      <w:r w:rsidR="008B25CB">
        <w:t>In a recent industry conference, SCTA outlined its plans to support tour agencies, and forecast that in the coming period, “T</w:t>
      </w:r>
      <w:proofErr w:type="spellStart"/>
      <w:r w:rsidR="008B25CB">
        <w:rPr>
          <w:lang w:val="en-CA"/>
        </w:rPr>
        <w:t>ourism</w:t>
      </w:r>
      <w:proofErr w:type="spellEnd"/>
      <w:r w:rsidR="008B25CB">
        <w:rPr>
          <w:lang w:val="en-CA"/>
        </w:rPr>
        <w:t xml:space="preserve"> promotion will be built around various themes ranging from the Kingdom as the land of Islam to a cultural hub rich in socio-cultural and environmental values that tourists can enjoy </w:t>
      </w:r>
      <w:r w:rsidR="00CF42E2">
        <w:rPr>
          <w:lang w:val="en-CA"/>
        </w:rPr>
        <w:t>amid traditional hospitality</w:t>
      </w:r>
      <w:r w:rsidR="008B25CB">
        <w:rPr>
          <w:lang w:val="en-CA"/>
        </w:rPr>
        <w:t xml:space="preserve">” </w:t>
      </w:r>
      <w:r w:rsidR="00D96907">
        <w:fldChar w:fldCharType="begin"/>
      </w:r>
      <w:r w:rsidR="002B3DEF">
        <w:instrText xml:space="preserve"> ADDIN EN.CITE &lt;EndNote&gt;&lt;Cite&gt;&lt;Author&gt;Tago&lt;/Author&gt;&lt;Year&gt;2012&lt;/Year&gt;&lt;RecNum&gt;1071&lt;/RecNum&gt;&lt;Suffix&gt;, p. 3&lt;/Suffix&gt;&lt;record&gt;&lt;rec-number&gt;1071&lt;/rec-number&gt;&lt;ref-type name="Newspaper Article"&gt;23&lt;/ref-type&gt;&lt;contributors&gt;&lt;authors&gt;&lt;author&gt;Abdul Hannan Tago&lt;/author&gt;&lt;/authors&gt;&lt;/contributors&gt;&lt;titles&gt;&lt;title&gt;SCTA outlines vision for tourism&lt;/title&gt;&lt;secondary-title&gt;Arab News&lt;/secondary-title&gt;&lt;/titles&gt;&lt;dates&gt;&lt;year&gt;2012&lt;/year&gt;&lt;pub-dates&gt;&lt;date&gt;18 March 2012&lt;/date&gt;&lt;/pub-dates&gt;&lt;/dates&gt;&lt;pub-location&gt;Riyadh&lt;/pub-location&gt;&lt;urls&gt;&lt;related-urls&gt;&lt;url&gt;http://arabnews.com/saudiarabia/article588567.ece&lt;/url&gt;&lt;/related-urls&gt;&lt;/urls&gt;&lt;/record&gt;&lt;/Cite&gt;&lt;/EndNote&gt;</w:instrText>
      </w:r>
      <w:r w:rsidR="00D96907">
        <w:fldChar w:fldCharType="separate"/>
      </w:r>
      <w:r w:rsidR="008B25CB">
        <w:t>(Tago 2012, p. 3)</w:t>
      </w:r>
      <w:r w:rsidR="00D96907">
        <w:fldChar w:fldCharType="end"/>
      </w:r>
      <w:r w:rsidR="008B25CB">
        <w:t>.</w:t>
      </w:r>
    </w:p>
    <w:p w:rsidR="0009632D" w:rsidRDefault="00A147F2" w:rsidP="00214870">
      <w:r>
        <w:t>While the tourism sector seems a natural industry for more women to become involved – in hotel management, tour organization and other fields, SCTA staff told the Evaluation mission that they intended to</w:t>
      </w:r>
      <w:r w:rsidR="0009632D">
        <w:t xml:space="preserve"> move gradually</w:t>
      </w:r>
      <w:r w:rsidR="003051DB">
        <w:t xml:space="preserve"> on recruiting new female entrants.  Overall, some interviewees felt the tourism sector in SA has a number of knowledge gaps.  They noted that neighbouring count</w:t>
      </w:r>
      <w:r w:rsidR="008D57ED">
        <w:t>ries such as Jordan could serve</w:t>
      </w:r>
      <w:r w:rsidR="003051DB">
        <w:t xml:space="preserve"> as sources for relevant experience, since </w:t>
      </w:r>
      <w:r w:rsidR="00214870">
        <w:t xml:space="preserve">they enjoyed </w:t>
      </w:r>
      <w:r w:rsidR="0009632D">
        <w:t xml:space="preserve">a similar </w:t>
      </w:r>
      <w:r w:rsidR="00214870">
        <w:t>environment and culture.</w:t>
      </w:r>
    </w:p>
    <w:p w:rsidR="007A4A43" w:rsidRDefault="00214870" w:rsidP="006047E7">
      <w:r>
        <w:t xml:space="preserve">It was clear from SCTA reports that tourism is increasingly a major contributor to GDP.  </w:t>
      </w:r>
      <w:r w:rsidR="007A4A43">
        <w:rPr>
          <w:lang w:val="en-CA"/>
        </w:rPr>
        <w:t>International tourists are estimated to have spent SR 49,015 million on overnight trips in 2011 compared to SR 25,643 million in 2010, record</w:t>
      </w:r>
      <w:r>
        <w:rPr>
          <w:lang w:val="en-CA"/>
        </w:rPr>
        <w:t>ing a sharp annual increase of 91.1 percent</w:t>
      </w:r>
      <w:r w:rsidR="007A4A43">
        <w:rPr>
          <w:lang w:val="en-CA"/>
        </w:rPr>
        <w:t>.  Domestic touris</w:t>
      </w:r>
      <w:r>
        <w:rPr>
          <w:lang w:val="en-CA"/>
        </w:rPr>
        <w:t>ts are estimated to have spent SR 35,548</w:t>
      </w:r>
      <w:r w:rsidR="007A4A43">
        <w:rPr>
          <w:lang w:val="en-CA"/>
        </w:rPr>
        <w:t xml:space="preserve"> million in 2011 compared to SR31324 million in 2010, recording an incr</w:t>
      </w:r>
      <w:r>
        <w:rPr>
          <w:lang w:val="en-CA"/>
        </w:rPr>
        <w:t>ease of 13.5%</w:t>
      </w:r>
      <w:r w:rsidR="007A4A43">
        <w:rPr>
          <w:lang w:val="en-CA"/>
        </w:rPr>
        <w:t xml:space="preserve"> in a year</w:t>
      </w:r>
      <w:r w:rsidR="007A4A43" w:rsidRPr="00FA2EF5">
        <w:rPr>
          <w:lang w:val="en-CA"/>
        </w:rPr>
        <w:t xml:space="preserve"> </w:t>
      </w:r>
      <w:r w:rsidR="007A4A43">
        <w:rPr>
          <w:lang w:val="en-CA"/>
        </w:rPr>
        <w:t xml:space="preserve">(STO p. 5).  </w:t>
      </w:r>
      <w:r>
        <w:rPr>
          <w:lang w:val="en-CA"/>
        </w:rPr>
        <w:t>Despite global economic downturns in many countries, the tourism sector in SA has remained healthy, and prospects are positive.</w:t>
      </w:r>
    </w:p>
    <w:p w:rsidR="00EF7010" w:rsidRDefault="00EF7010" w:rsidP="00655D95">
      <w:pPr>
        <w:pStyle w:val="Heading4"/>
        <w:numPr>
          <w:ilvl w:val="2"/>
          <w:numId w:val="17"/>
        </w:numPr>
      </w:pPr>
      <w:bookmarkStart w:id="46" w:name="_Toc325871781"/>
      <w:r>
        <w:t xml:space="preserve">Advisory Services for </w:t>
      </w:r>
      <w:r w:rsidR="00EE09AC">
        <w:t>WTO</w:t>
      </w:r>
      <w:bookmarkEnd w:id="46"/>
    </w:p>
    <w:p w:rsidR="00D5693E" w:rsidRDefault="00A41FFF" w:rsidP="00D5693E">
      <w:pPr>
        <w:rPr>
          <w:lang w:val="en-CA"/>
        </w:rPr>
      </w:pPr>
      <w:r>
        <w:t xml:space="preserve">UNDP provided advisory services during the </w:t>
      </w:r>
      <w:r w:rsidR="00D5693E">
        <w:t>years</w:t>
      </w:r>
      <w:r w:rsidR="00F71362">
        <w:t xml:space="preserve"> </w:t>
      </w:r>
      <w:r w:rsidR="00D5693E">
        <w:t xml:space="preserve">when SA </w:t>
      </w:r>
      <w:r w:rsidR="00F71362">
        <w:t xml:space="preserve">was </w:t>
      </w:r>
      <w:r w:rsidR="00D5693E">
        <w:t>negotiat</w:t>
      </w:r>
      <w:r w:rsidR="00F71362">
        <w:t>ing</w:t>
      </w:r>
      <w:r w:rsidR="00D5693E">
        <w:t xml:space="preserve"> its entry into the World Trade Organization (WTO)</w:t>
      </w:r>
      <w:r w:rsidR="00F71362">
        <w:t>, p</w:t>
      </w:r>
      <w:r w:rsidR="00FE6E21">
        <w:t>rior to this Outcome Evaluation</w:t>
      </w:r>
      <w:r w:rsidR="00D5693E">
        <w:t>.</w:t>
      </w:r>
      <w:r w:rsidR="00D5693E">
        <w:rPr>
          <w:rStyle w:val="FootnoteReference"/>
        </w:rPr>
        <w:footnoteReference w:id="18"/>
      </w:r>
      <w:r w:rsidR="00D5693E">
        <w:t xml:space="preserve">   </w:t>
      </w:r>
      <w:r w:rsidR="00A543D6">
        <w:t>T</w:t>
      </w:r>
      <w:r w:rsidR="00F71362">
        <w:t xml:space="preserve">alks had dragged on for more than a decade, with WTO requirements that the Kingdom </w:t>
      </w:r>
      <w:r w:rsidR="00A543D6">
        <w:t>improve its trade</w:t>
      </w:r>
      <w:r w:rsidR="00B6670D">
        <w:t>-</w:t>
      </w:r>
      <w:r w:rsidR="00A543D6">
        <w:t xml:space="preserve"> and investment-related legislation and procedures, including the protection of intellectual property rights. </w:t>
      </w:r>
      <w:r w:rsidR="00D5693E">
        <w:t xml:space="preserve">UNDP’s </w:t>
      </w:r>
      <w:r w:rsidR="00D5693E">
        <w:rPr>
          <w:lang w:val="en-CA"/>
        </w:rPr>
        <w:t>policy advice and technical support</w:t>
      </w:r>
      <w:r w:rsidR="00F71362">
        <w:rPr>
          <w:lang w:val="en-CA"/>
        </w:rPr>
        <w:t>,</w:t>
      </w:r>
      <w:r w:rsidR="00D5693E">
        <w:rPr>
          <w:lang w:val="en-CA"/>
        </w:rPr>
        <w:t xml:space="preserve"> provided to the National Team assigned to negotiate accession to the WTO</w:t>
      </w:r>
      <w:r w:rsidR="00F71362">
        <w:rPr>
          <w:lang w:val="en-CA"/>
        </w:rPr>
        <w:t>,</w:t>
      </w:r>
      <w:r w:rsidR="00D5693E">
        <w:rPr>
          <w:lang w:val="en-CA"/>
        </w:rPr>
        <w:t xml:space="preserve"> set the stage for the subsequent phase of UNDP-Government cooperation in post-WTO-accession economic and social development (UNDP-SA 2006, p. 3).</w:t>
      </w:r>
    </w:p>
    <w:p w:rsidR="002332C4" w:rsidRPr="00E43876" w:rsidRDefault="00E43347" w:rsidP="002332C4">
      <w:r>
        <w:t>Saudi Arabia acceded to WTO in December 2005</w:t>
      </w:r>
      <w:r w:rsidR="001F4EF8">
        <w:t xml:space="preserve">.  </w:t>
      </w:r>
      <w:r w:rsidR="00B6670D">
        <w:t xml:space="preserve">In the post-accession setting, and under the </w:t>
      </w:r>
      <w:r w:rsidR="001F4EF8">
        <w:t xml:space="preserve">CPD </w:t>
      </w:r>
      <w:r w:rsidR="002332C4">
        <w:t xml:space="preserve">(2007-11) </w:t>
      </w:r>
      <w:r w:rsidR="001F4EF8">
        <w:t xml:space="preserve">programme component </w:t>
      </w:r>
      <w:r w:rsidR="00A543D6">
        <w:rPr>
          <w:lang w:val="en-CA"/>
        </w:rPr>
        <w:t>2</w:t>
      </w:r>
      <w:r w:rsidR="00E321C9">
        <w:rPr>
          <w:lang w:val="en-CA"/>
        </w:rPr>
        <w:t xml:space="preserve">, </w:t>
      </w:r>
      <w:r w:rsidR="00996B08">
        <w:rPr>
          <w:lang w:val="en-CA"/>
        </w:rPr>
        <w:t>“</w:t>
      </w:r>
      <w:r w:rsidR="00CA4C81">
        <w:rPr>
          <w:lang w:val="en-CA"/>
        </w:rPr>
        <w:t>Globalization benefiting the poor</w:t>
      </w:r>
      <w:r w:rsidR="00996B08">
        <w:rPr>
          <w:lang w:val="en-CA"/>
        </w:rPr>
        <w:t>”</w:t>
      </w:r>
      <w:r w:rsidR="00B6670D">
        <w:rPr>
          <w:lang w:val="en-CA"/>
        </w:rPr>
        <w:t xml:space="preserve">, </w:t>
      </w:r>
      <w:r w:rsidR="002332C4">
        <w:rPr>
          <w:lang w:val="en-CA"/>
        </w:rPr>
        <w:t>UNDP outputs</w:t>
      </w:r>
      <w:r w:rsidR="00B6670D">
        <w:rPr>
          <w:lang w:val="en-CA"/>
        </w:rPr>
        <w:t xml:space="preserve"> included</w:t>
      </w:r>
      <w:r w:rsidR="002332C4">
        <w:rPr>
          <w:lang w:val="en-CA"/>
        </w:rPr>
        <w:t xml:space="preserve"> assistance to the Kingdom to develop new p</w:t>
      </w:r>
      <w:r w:rsidR="00E321C9">
        <w:rPr>
          <w:lang w:val="en-CA"/>
        </w:rPr>
        <w:t>olicies and capacities post-WTO-</w:t>
      </w:r>
      <w:r w:rsidR="002332C4">
        <w:rPr>
          <w:lang w:val="en-CA"/>
        </w:rPr>
        <w:t xml:space="preserve">accession for liberalization in key industry sectors such as the service sector.  As noted in the earlier section these covered capacity development in new tourism </w:t>
      </w:r>
      <w:r w:rsidR="00E321C9">
        <w:rPr>
          <w:lang w:val="en-CA"/>
        </w:rPr>
        <w:t>sub-</w:t>
      </w:r>
      <w:r w:rsidR="002332C4">
        <w:rPr>
          <w:lang w:val="en-CA"/>
        </w:rPr>
        <w:t xml:space="preserve">sectors, and an ongoing partnership with SAGIA to </w:t>
      </w:r>
      <w:r w:rsidR="002332C4" w:rsidRPr="00E43876">
        <w:t>improve the investment climate</w:t>
      </w:r>
      <w:r w:rsidR="002332C4">
        <w:rPr>
          <w:rFonts w:ascii="TimesNewRoman" w:hAnsi="TimesNewRoman" w:cs="TimesNewRoman"/>
          <w:sz w:val="20"/>
          <w:szCs w:val="20"/>
          <w:lang w:val="en-CA"/>
        </w:rPr>
        <w:t xml:space="preserve"> </w:t>
      </w:r>
      <w:r w:rsidR="002332C4">
        <w:rPr>
          <w:lang w:val="en-CA"/>
        </w:rPr>
        <w:t>so as to foster new sustainable forms of foreign investment, both inward and outward (</w:t>
      </w:r>
      <w:r w:rsidR="00E321C9">
        <w:rPr>
          <w:lang w:val="en-CA"/>
        </w:rPr>
        <w:t xml:space="preserve">ibid., </w:t>
      </w:r>
      <w:r w:rsidR="002332C4">
        <w:rPr>
          <w:lang w:val="en-CA"/>
        </w:rPr>
        <w:t>p. 5</w:t>
      </w:r>
      <w:r w:rsidR="002332C4" w:rsidRPr="00E43876">
        <w:rPr>
          <w:lang w:val="en-CA"/>
        </w:rPr>
        <w:t>).</w:t>
      </w:r>
      <w:r w:rsidR="00C11D3D" w:rsidRPr="00E43876">
        <w:rPr>
          <w:lang w:val="en-CA"/>
        </w:rPr>
        <w:t xml:space="preserve">  </w:t>
      </w:r>
      <w:r w:rsidR="00C11D3D" w:rsidRPr="00E43876">
        <w:t>UNDP and the Government have started formulation of a post-accession intervention with the assistance of the UN Conference on Trade and Development (UNCTAD).</w:t>
      </w:r>
    </w:p>
    <w:p w:rsidR="00F37D20" w:rsidRDefault="00F37D20" w:rsidP="0067188D">
      <w:pPr>
        <w:rPr>
          <w:lang w:val="en-CA"/>
        </w:rPr>
      </w:pPr>
      <w:r>
        <w:rPr>
          <w:lang w:val="en-CA"/>
        </w:rPr>
        <w:t xml:space="preserve">UNDP support in 2009 was </w:t>
      </w:r>
      <w:r w:rsidR="003F28DF">
        <w:rPr>
          <w:lang w:val="en-CA"/>
        </w:rPr>
        <w:t>crucial</w:t>
      </w:r>
      <w:r>
        <w:rPr>
          <w:lang w:val="en-CA"/>
        </w:rPr>
        <w:t xml:space="preserve"> for </w:t>
      </w:r>
      <w:r w:rsidR="003F28DF">
        <w:rPr>
          <w:lang w:val="en-CA"/>
        </w:rPr>
        <w:t xml:space="preserve">the </w:t>
      </w:r>
      <w:r>
        <w:rPr>
          <w:lang w:val="en-CA"/>
        </w:rPr>
        <w:t xml:space="preserve">design of new policies and capacities to implement liberalization in key sectors in line with WTO commitments. UNDP provided international and local expertise and technical advice for development of the tourism sector and improving food and drug safety in the Kingdom, new agreements to design and launch assistance for enhancing compliance with the evolving WTO regime, and the launch of a new capacity building programme to enhance the IT sector in the Kingdom through provision of international expertise from other developing countries </w:t>
      </w:r>
      <w:r w:rsidR="00D96907">
        <w:rPr>
          <w:lang w:val="en-CA"/>
        </w:rPr>
        <w:fldChar w:fldCharType="begin"/>
      </w:r>
      <w:r w:rsidR="002B3DEF">
        <w:rPr>
          <w:lang w:val="en-CA"/>
        </w:rPr>
        <w:instrText xml:space="preserve"> ADDIN EN.CITE &lt;EndNote&gt;&lt;Cite&gt;&lt;Author&gt;UNDP Saudi Arabia&lt;/Author&gt;&lt;Year&gt;2009&lt;/Year&gt;&lt;RecNum&gt;1073&lt;/RecNum&gt;&lt;Suffix&gt;, pp. 8 ff.&lt;/Suffix&gt;&lt;record&gt;&lt;rec-number&gt;1073&lt;/rec-number&gt;&lt;ref-type name="Report"&gt;27&lt;/ref-type&gt;&lt;contributors&gt;&lt;authors&gt;&lt;author&gt;UNDP Saudi Arabia,&lt;/author&gt;&lt;/authors&gt;&lt;/contributors&gt;&lt;titles&gt;&lt;title&gt;Annual Report 2009&lt;/title&gt;&lt;/titles&gt;&lt;dates&gt;&lt;year&gt;2009&lt;/year&gt;&lt;/dates&gt;&lt;pub-location&gt;Riyadh&lt;/pub-location&gt;&lt;publisher&gt;UNDP Saudi Arabia&lt;/publisher&gt;&lt;urls&gt;&lt;related-urls&gt;&lt;url&gt;http://www.undp.org.sa/sa/documents/home/annual_report.pdf&lt;/url&gt;&lt;/related-urls&gt;&lt;/urls&gt;&lt;/record&gt;&lt;/Cite&gt;&lt;/EndNote&gt;</w:instrText>
      </w:r>
      <w:r w:rsidR="00D96907">
        <w:rPr>
          <w:lang w:val="en-CA"/>
        </w:rPr>
        <w:fldChar w:fldCharType="separate"/>
      </w:r>
      <w:r w:rsidR="00CA4C81">
        <w:rPr>
          <w:lang w:val="en-CA"/>
        </w:rPr>
        <w:t>(UNDP Saudi Arabia 2009, pp. 8 ff.)</w:t>
      </w:r>
      <w:r w:rsidR="00D96907">
        <w:rPr>
          <w:lang w:val="en-CA"/>
        </w:rPr>
        <w:fldChar w:fldCharType="end"/>
      </w:r>
    </w:p>
    <w:p w:rsidR="00124802" w:rsidRDefault="00124802" w:rsidP="00655D95">
      <w:pPr>
        <w:pStyle w:val="Heading2"/>
        <w:numPr>
          <w:ilvl w:val="0"/>
          <w:numId w:val="17"/>
        </w:numPr>
      </w:pPr>
      <w:bookmarkStart w:id="47" w:name="_Toc325871782"/>
      <w:r>
        <w:t>Assessment of the partnership strategy</w:t>
      </w:r>
      <w:bookmarkEnd w:id="47"/>
      <w:r>
        <w:t xml:space="preserve"> </w:t>
      </w:r>
    </w:p>
    <w:p w:rsidR="00FB6775" w:rsidRDefault="009A3138" w:rsidP="009A3138">
      <w:r>
        <w:t xml:space="preserve">The partnership strategy in a net contributing country is fairly straightforward.  In the NCC context, the government is the donor partner on the </w:t>
      </w:r>
      <w:r w:rsidR="00837276">
        <w:t>financing</w:t>
      </w:r>
      <w:r>
        <w:t xml:space="preserve"> side.  </w:t>
      </w:r>
      <w:r w:rsidR="0070575C">
        <w:t>SA p</w:t>
      </w:r>
      <w:r>
        <w:t>rojects are funded using the national implementation modality (NIM</w:t>
      </w:r>
      <w:r w:rsidR="00FB6775">
        <w:t>), with the partner ministry assuming administrative control, as Executing Agency (EA) in conjunction with the UNDP CO in Riyadh.  UNDP generally supplies Implementation Support Services (ISS) to boost the capacity of the EA in the recruitment of short- and long-term consultants.  Other UN specialized agencies (such as, in the projects viewed in this Outcome Evaluation ITC-WTO, UNCTAD, UNWTO</w:t>
      </w:r>
      <w:r w:rsidR="0070575C">
        <w:t>)</w:t>
      </w:r>
      <w:r w:rsidR="0067188D">
        <w:t>.</w:t>
      </w:r>
    </w:p>
    <w:p w:rsidR="00FB6775" w:rsidRDefault="00FB6775" w:rsidP="009A3138">
      <w:r>
        <w:t xml:space="preserve">SA ministries in the current Evaluation included the ministries of Commerce and Industry (MCI), Foreign Affairs (MOFA), </w:t>
      </w:r>
      <w:r w:rsidR="0070575C">
        <w:t>Economy and Planning (MOEP)</w:t>
      </w:r>
      <w:r w:rsidR="0067188D">
        <w:t>, and</w:t>
      </w:r>
      <w:r w:rsidR="0070575C">
        <w:t xml:space="preserve"> a</w:t>
      </w:r>
      <w:r w:rsidR="0067188D">
        <w:t>gencies such as SCTA.</w:t>
      </w:r>
    </w:p>
    <w:p w:rsidR="001D01B7" w:rsidRPr="00DA7619" w:rsidRDefault="001D01B7" w:rsidP="001D01B7">
      <w:r>
        <w:t>The narrative review of the outputs’ contribution to the Outcome has repeatedly observed that the SA partners expressed sincere appreciation for the effective skills, networks and management model that UNDP SA has contributed to the government’s successes in working for the objectives of its strategic development plans.</w:t>
      </w:r>
    </w:p>
    <w:p w:rsidR="002230D1" w:rsidRDefault="002230D1" w:rsidP="001D01B7">
      <w:pPr>
        <w:pStyle w:val="Heading3"/>
        <w:numPr>
          <w:ilvl w:val="1"/>
          <w:numId w:val="17"/>
        </w:numPr>
      </w:pPr>
      <w:bookmarkStart w:id="48" w:name="_Toc325871783"/>
      <w:r>
        <w:t>Flexibility</w:t>
      </w:r>
      <w:bookmarkEnd w:id="48"/>
    </w:p>
    <w:p w:rsidR="001D01B7" w:rsidRDefault="001D01B7" w:rsidP="001D01B7">
      <w:r w:rsidRPr="00DA7619">
        <w:t xml:space="preserve">It is clear from discussions with all projects and programmes that SA </w:t>
      </w:r>
      <w:r>
        <w:t xml:space="preserve">as a partner </w:t>
      </w:r>
      <w:r w:rsidRPr="00DA7619">
        <w:t xml:space="preserve">greatly appreciates several roles specific to UNDP and the UN as a whole.  </w:t>
      </w:r>
      <w:r>
        <w:t xml:space="preserve">One senior official took pains to state, unreservedly, </w:t>
      </w:r>
      <w:r w:rsidRPr="00DA7619">
        <w:t>"From the beginning, UNDP provided u</w:t>
      </w:r>
      <w:r>
        <w:t>s</w:t>
      </w:r>
      <w:r w:rsidRPr="00DA7619">
        <w:t xml:space="preserve"> with the flexibility we needed to reach our goals.”  Counterparts noted that</w:t>
      </w:r>
      <w:r>
        <w:t>, given official goals of increasing the proportions of nationals in public sector as well as in the modern sector</w:t>
      </w:r>
      <w:r w:rsidRPr="00DA7619">
        <w:t xml:space="preserve"> as a </w:t>
      </w:r>
      <w:r>
        <w:t>whole</w:t>
      </w:r>
      <w:r w:rsidRPr="00DA7619">
        <w:t xml:space="preserve">, government rules </w:t>
      </w:r>
      <w:r>
        <w:t xml:space="preserve">have been elaborated to foster the employment of nationals in public sector agencies as well as the private sector.  Without a purpose-designed modality adapted to this setting, it would be difficult to source expertise unhampered.  In other circumstances working within the public sector, </w:t>
      </w:r>
      <w:r w:rsidRPr="00DA7619">
        <w:t xml:space="preserve">it </w:t>
      </w:r>
      <w:r>
        <w:t xml:space="preserve">can be cumbersome and </w:t>
      </w:r>
      <w:r w:rsidRPr="00DA7619">
        <w:t xml:space="preserve">difficult to </w:t>
      </w:r>
      <w:r>
        <w:t xml:space="preserve">commission a </w:t>
      </w:r>
      <w:r w:rsidRPr="00DA7619">
        <w:t>f</w:t>
      </w:r>
      <w:r>
        <w:t>oreign expert.  However, under the NCC arrangement as it has evolved, government entities enjoy the flexibility to engage the most appropriate expertise, whether from home or abroad.  “The process is easy, and we can channel expertise to the departments where they are needed, whatever the level of the unit concerned.”</w:t>
      </w:r>
    </w:p>
    <w:p w:rsidR="001D01B7" w:rsidRDefault="001D01B7" w:rsidP="001D01B7">
      <w:r>
        <w:t>Because the partnership allows for short-, medium- or long-term consultancies, it is responsive to the ebb and flow of demand for specialized personnel.  Indeed, some informants noted that the arrangement with UNDP has prevented the unnecessary “bloating” of some agencies – that might be tempted to retain high-cost staffers against occasional need, rather than enjoying the “just-in-time” personnel supply afforded by the programme.</w:t>
      </w:r>
    </w:p>
    <w:p w:rsidR="001D01B7" w:rsidRPr="00DA7619" w:rsidRDefault="001D01B7" w:rsidP="001D01B7">
      <w:r>
        <w:t xml:space="preserve">Project personnel noted that UNDP has a depth of experience and a considerable pool of specialized UN agencies on which to draw, so that CO </w:t>
      </w:r>
      <w:proofErr w:type="gramStart"/>
      <w:r>
        <w:t>staff have</w:t>
      </w:r>
      <w:proofErr w:type="gramEnd"/>
      <w:r>
        <w:t xml:space="preserve"> been able to provide knowledgeable assistance to identify and certify the reliability of the experts they propose to projects.  Further, project staff have found that in the case of large </w:t>
      </w:r>
      <w:r w:rsidRPr="00DA7619">
        <w:t>international consulting firms</w:t>
      </w:r>
      <w:r>
        <w:t>, not only are costs extremely high, but more critically some firms have been found to rely on standard,</w:t>
      </w:r>
      <w:r w:rsidRPr="00DA7619">
        <w:t xml:space="preserve"> fixed approaches</w:t>
      </w:r>
      <w:r>
        <w:t>, or “off-the-rack” solutions</w:t>
      </w:r>
      <w:r w:rsidRPr="00DA7619">
        <w:t xml:space="preserve">.  </w:t>
      </w:r>
      <w:r>
        <w:t xml:space="preserve">In contrast, staff reported, </w:t>
      </w:r>
      <w:r w:rsidRPr="00DA7619">
        <w:t xml:space="preserve">UNDP screens </w:t>
      </w:r>
      <w:r>
        <w:t>the candidates proposed, “</w:t>
      </w:r>
      <w:proofErr w:type="gramStart"/>
      <w:r w:rsidRPr="00DA7619">
        <w:t>and</w:t>
      </w:r>
      <w:proofErr w:type="gramEnd"/>
      <w:r w:rsidRPr="00DA7619">
        <w:t xml:space="preserve"> we find the right people for our needs, at a better cost</w:t>
      </w:r>
      <w:r>
        <w:t xml:space="preserve">”.  </w:t>
      </w:r>
    </w:p>
    <w:p w:rsidR="001D01B7" w:rsidRPr="00DA7619" w:rsidRDefault="001D01B7" w:rsidP="001D01B7">
      <w:pPr>
        <w:pStyle w:val="Heading3"/>
        <w:numPr>
          <w:ilvl w:val="1"/>
          <w:numId w:val="17"/>
        </w:numPr>
      </w:pPr>
      <w:bookmarkStart w:id="49" w:name="_Toc324762517"/>
      <w:bookmarkStart w:id="50" w:name="_Toc325871784"/>
      <w:r>
        <w:t xml:space="preserve">Accessing the </w:t>
      </w:r>
      <w:r w:rsidRPr="00DA7619">
        <w:t xml:space="preserve">UN </w:t>
      </w:r>
      <w:r>
        <w:t xml:space="preserve">specialized-agency </w:t>
      </w:r>
      <w:r w:rsidRPr="00DA7619">
        <w:t>network</w:t>
      </w:r>
      <w:bookmarkEnd w:id="49"/>
      <w:bookmarkEnd w:id="50"/>
    </w:p>
    <w:p w:rsidR="001D01B7" w:rsidRPr="00DA7619" w:rsidRDefault="001D01B7" w:rsidP="001D01B7">
      <w:r>
        <w:t xml:space="preserve">As already noted, </w:t>
      </w:r>
      <w:r w:rsidRPr="00DA7619">
        <w:t xml:space="preserve">SA partner staff in discussions for the Outcome Evaluation expressed their satisfaction with the collegial support and institutional access </w:t>
      </w:r>
      <w:r>
        <w:t xml:space="preserve">accorded to the specialized agencies and knowledge pool linked to UNDP.  The range of international organizations, </w:t>
      </w:r>
      <w:r w:rsidRPr="00DA7619">
        <w:t>committ</w:t>
      </w:r>
      <w:r>
        <w:t xml:space="preserve">ees, commissions and expertise that have been called on during the CP 2007-11 has been enormous, and is particularly highlighted by the scope of outputs under Outcome 3.  For the partner staff met by the Evaluation mission, the reputation, profile and </w:t>
      </w:r>
      <w:r w:rsidR="00FA0D26">
        <w:t>standards</w:t>
      </w:r>
      <w:r>
        <w:t xml:space="preserve"> of the UN network are held in the highest regard.</w:t>
      </w:r>
    </w:p>
    <w:p w:rsidR="00124802" w:rsidRDefault="003F0C51" w:rsidP="00655D95">
      <w:pPr>
        <w:pStyle w:val="Heading1"/>
        <w:numPr>
          <w:ilvl w:val="0"/>
          <w:numId w:val="17"/>
        </w:numPr>
      </w:pPr>
      <w:bookmarkStart w:id="51" w:name="_Toc325871785"/>
      <w:r>
        <w:t>Conclusions</w:t>
      </w:r>
      <w:r w:rsidR="00C201DE">
        <w:t xml:space="preserve"> and </w:t>
      </w:r>
      <w:r w:rsidR="00124802">
        <w:t>Recommendations</w:t>
      </w:r>
      <w:bookmarkEnd w:id="51"/>
      <w:r w:rsidR="00124802">
        <w:t xml:space="preserve"> </w:t>
      </w:r>
    </w:p>
    <w:p w:rsidR="002B3DEF" w:rsidRPr="002B3DEF" w:rsidRDefault="002B3DEF" w:rsidP="002B3DEF">
      <w:pPr>
        <w:rPr>
          <w:lang w:val="en-CA"/>
        </w:rPr>
      </w:pPr>
      <w:r>
        <w:t>Given that we are examining an Outcome that derived from multiple contributions, through several projects and numerous steps taking place over a period of five years, it is inevitable that the data available has been varied.  At the same time, findings have in the main pertained to the whole economy or entire sectors – which were affected by broader influences than those of UNDP’s interventions alone.  Nevertheless, the horiz</w:t>
      </w:r>
      <w:r w:rsidR="00203967">
        <w:t>on of the data and findings is not in itself</w:t>
      </w:r>
      <w:r>
        <w:t xml:space="preserve"> an obstacle to founded conclusions.  Evaluation methodology tells us:  </w:t>
      </w:r>
      <w:r w:rsidRPr="002B3DEF">
        <w:rPr>
          <w:lang w:val="en-CA"/>
        </w:rPr>
        <w:t xml:space="preserve">Conclusions are not findings; they are interpretations that give meaning to the findings.  A conclusion is a reasoned judgement based on a synthesis of the findings, in this case of </w:t>
      </w:r>
      <w:r w:rsidR="00203967">
        <w:rPr>
          <w:lang w:val="en-CA"/>
        </w:rPr>
        <w:t xml:space="preserve">economic and sector reporting, </w:t>
      </w:r>
      <w:r w:rsidRPr="002B3DEF">
        <w:rPr>
          <w:lang w:val="en-CA"/>
        </w:rPr>
        <w:t xml:space="preserve">visits, key informant interviews, and various kinds of documentation – always set in the specific circumstances of the cooperation period and place </w:t>
      </w:r>
      <w:r w:rsidR="00D96907" w:rsidRPr="002B3DEF">
        <w:rPr>
          <w:lang w:val="en-CA"/>
        </w:rPr>
        <w:fldChar w:fldCharType="begin"/>
      </w:r>
      <w:r>
        <w:rPr>
          <w:lang w:val="en-CA"/>
        </w:rPr>
        <w:instrText xml:space="preserve"> ADDIN EN.CITE &lt;EndNote&gt;&lt;Cite&gt;&lt;Author&gt;UNDP&lt;/Author&gt;&lt;Year&gt;2009&lt;/Year&gt;&lt;RecNum&gt;1092&lt;/RecNum&gt;&lt;Suffix&gt;, p. 179.&lt;/Suffix&gt;&lt;record&gt;&lt;rec-number&gt;1092&lt;/rec-number&gt;&lt;ref-type name="Report"&gt;27&lt;/ref-type&gt;&lt;contributors&gt;&lt;authors&gt;&lt;author&gt;UNDP,&lt;/author&gt;&lt;/authors&gt;&lt;/contributors&gt;&lt;titles&gt;&lt;title&gt;Handbook on Planning, Monitoring and Evaluating for Development Results&lt;/title&gt;&lt;/titles&gt;&lt;pages&gt;232&lt;/pages&gt;&lt;dates&gt;&lt;year&gt;2009&lt;/year&gt;&lt;/dates&gt;&lt;pub-location&gt;New York&lt;/pub-location&gt;&lt;publisher&gt;United Nations Development Programme&lt;/publisher&gt;&lt;urls&gt;&lt;/urls&gt;&lt;/record&gt;&lt;/Cite&gt;&lt;/EndNote&gt;</w:instrText>
      </w:r>
      <w:r w:rsidR="00D96907" w:rsidRPr="002B3DEF">
        <w:rPr>
          <w:lang w:val="en-CA"/>
        </w:rPr>
        <w:fldChar w:fldCharType="separate"/>
      </w:r>
      <w:r w:rsidRPr="002B3DEF">
        <w:rPr>
          <w:lang w:val="en-CA"/>
        </w:rPr>
        <w:t>(UNDP 2009, p. 179.)</w:t>
      </w:r>
      <w:r w:rsidR="00D96907" w:rsidRPr="002B3DEF">
        <w:rPr>
          <w:lang w:val="en-CA"/>
        </w:rPr>
        <w:fldChar w:fldCharType="end"/>
      </w:r>
      <w:r w:rsidRPr="002B3DEF">
        <w:rPr>
          <w:lang w:val="en-CA"/>
        </w:rPr>
        <w:t>.</w:t>
      </w:r>
    </w:p>
    <w:p w:rsidR="00262EDD" w:rsidRPr="00DA7619" w:rsidRDefault="00262EDD" w:rsidP="00262EDD">
      <w:pPr>
        <w:pStyle w:val="Heading2"/>
        <w:numPr>
          <w:ilvl w:val="1"/>
          <w:numId w:val="17"/>
        </w:numPr>
      </w:pPr>
      <w:bookmarkStart w:id="52" w:name="_Toc324762519"/>
      <w:bookmarkStart w:id="53" w:name="_Toc325871786"/>
      <w:r w:rsidRPr="00DA7619">
        <w:t>Programme framing in a High-human-development NCC</w:t>
      </w:r>
      <w:bookmarkEnd w:id="52"/>
      <w:bookmarkEnd w:id="53"/>
      <w:r w:rsidRPr="00DA7619">
        <w:t xml:space="preserve"> </w:t>
      </w:r>
    </w:p>
    <w:p w:rsidR="00262EDD" w:rsidRPr="00DA7619" w:rsidRDefault="00262EDD" w:rsidP="00262EDD">
      <w:pPr>
        <w:pStyle w:val="Heading3"/>
        <w:numPr>
          <w:ilvl w:val="2"/>
          <w:numId w:val="17"/>
        </w:numPr>
      </w:pPr>
      <w:bookmarkStart w:id="54" w:name="_Toc324762520"/>
      <w:bookmarkStart w:id="55" w:name="_Toc325871787"/>
      <w:r w:rsidRPr="00DA7619">
        <w:t>Ownership assured</w:t>
      </w:r>
      <w:bookmarkEnd w:id="54"/>
      <w:bookmarkEnd w:id="55"/>
    </w:p>
    <w:p w:rsidR="00262EDD" w:rsidRDefault="00262EDD" w:rsidP="00262EDD">
      <w:r w:rsidRPr="00DA7619">
        <w:t xml:space="preserve">The evaluation of UNDP cooperation with NCC countries in the Arab region made clear the high regard in which these countries hold their partnership with UNDP.  </w:t>
      </w:r>
      <w:r>
        <w:t>In the c</w:t>
      </w:r>
      <w:r w:rsidRPr="00DA7619">
        <w:t xml:space="preserve">ase of </w:t>
      </w:r>
      <w:r>
        <w:t>K</w:t>
      </w:r>
      <w:r w:rsidRPr="00DA7619">
        <w:t xml:space="preserve">SA </w:t>
      </w:r>
      <w:r>
        <w:t xml:space="preserve">this cooperation modality and approach are arguably </w:t>
      </w:r>
      <w:r w:rsidRPr="00DA7619">
        <w:t>all the more</w:t>
      </w:r>
      <w:r>
        <w:t xml:space="preserve"> effective</w:t>
      </w:r>
      <w:r w:rsidRPr="00DA7619">
        <w:t>, since government is able to finance a large programme, and is clear as to its objectives and needs</w:t>
      </w:r>
      <w:r>
        <w:t xml:space="preserve">.  Ownership by government is </w:t>
      </w:r>
      <w:r w:rsidR="004122D3">
        <w:t>assu</w:t>
      </w:r>
      <w:r>
        <w:t xml:space="preserve">red, and the role of UNDP is one of facilitating access to the best possible resources. </w:t>
      </w:r>
    </w:p>
    <w:p w:rsidR="00203967" w:rsidRDefault="00203967" w:rsidP="00203967">
      <w:r>
        <w:t>An important component of the partnership for SA is the capability to gain access to experts in neighbouring countries, particularly other Middle Eastern countries.  The example of Jordan in developing tourism was cited by some government officials.</w:t>
      </w:r>
    </w:p>
    <w:p w:rsidR="00262EDD" w:rsidRDefault="00262EDD" w:rsidP="00262EDD">
      <w:pPr>
        <w:pStyle w:val="Heading3"/>
        <w:numPr>
          <w:ilvl w:val="2"/>
          <w:numId w:val="17"/>
        </w:numPr>
      </w:pPr>
      <w:bookmarkStart w:id="56" w:name="_Toc324762521"/>
      <w:bookmarkStart w:id="57" w:name="_Toc325871788"/>
      <w:r>
        <w:t>Mutual confidence</w:t>
      </w:r>
      <w:bookmarkEnd w:id="56"/>
      <w:bookmarkEnd w:id="57"/>
      <w:r>
        <w:t xml:space="preserve"> </w:t>
      </w:r>
    </w:p>
    <w:p w:rsidR="00203967" w:rsidRDefault="00203967" w:rsidP="00203967">
      <w:r>
        <w:t>The relevance of cooperation with UNDP in the case of a strong development partner such as KSA lies in the evolution of a relationship over many years.  The relationship of mutual trust and cooperation is not one that can be built in a short time, and the value of the rapport established on both sides serves as an excellent example of successful partnerships in an NCC setting.</w:t>
      </w:r>
    </w:p>
    <w:p w:rsidR="00203967" w:rsidRDefault="00203967" w:rsidP="00262EDD"/>
    <w:p w:rsidR="0070575C" w:rsidRDefault="004A6417" w:rsidP="0070575C">
      <w:pPr>
        <w:pStyle w:val="Heading2"/>
        <w:numPr>
          <w:ilvl w:val="1"/>
          <w:numId w:val="17"/>
        </w:numPr>
      </w:pPr>
      <w:bookmarkStart w:id="58" w:name="_Toc325871789"/>
      <w:r>
        <w:t xml:space="preserve">Clear and </w:t>
      </w:r>
      <w:proofErr w:type="spellStart"/>
      <w:r>
        <w:t>trackable</w:t>
      </w:r>
      <w:proofErr w:type="spellEnd"/>
      <w:r>
        <w:t xml:space="preserve"> </w:t>
      </w:r>
      <w:r w:rsidR="0070575C">
        <w:t>Outcome indicators</w:t>
      </w:r>
      <w:bookmarkEnd w:id="58"/>
    </w:p>
    <w:p w:rsidR="004C4B0C" w:rsidRDefault="00B36EEF" w:rsidP="00B36EEF">
      <w:r>
        <w:t>According to UNDP guidelines, o</w:t>
      </w:r>
      <w:r w:rsidR="009353CB">
        <w:t>utput</w:t>
      </w:r>
      <w:r>
        <w:t>s</w:t>
      </w:r>
      <w:r w:rsidR="009353CB">
        <w:t xml:space="preserve"> </w:t>
      </w:r>
      <w:r>
        <w:t>fall under the responsibility of the programme, should be deliverable by UNDP, and should be achieved within the time-frame of the programme.</w:t>
      </w:r>
      <w:r>
        <w:rPr>
          <w:rStyle w:val="FootnoteReference"/>
        </w:rPr>
        <w:footnoteReference w:id="19"/>
      </w:r>
      <w:r>
        <w:t xml:space="preserve">  N</w:t>
      </w:r>
      <w:r w:rsidR="00025B76">
        <w:t xml:space="preserve">evertheless, </w:t>
      </w:r>
      <w:r>
        <w:t xml:space="preserve">the outputs </w:t>
      </w:r>
      <w:r w:rsidR="00025B76">
        <w:t>are n</w:t>
      </w:r>
      <w:r>
        <w:t xml:space="preserve">either the measure </w:t>
      </w:r>
      <w:r w:rsidR="00025B76">
        <w:t>n</w:t>
      </w:r>
      <w:r>
        <w:t xml:space="preserve">or the guarantee of the achievement of an Outcome, since the </w:t>
      </w:r>
      <w:r w:rsidR="004C4B0C">
        <w:t xml:space="preserve">contribution of a wider group of partners is usually essential (UNDP 2007).  </w:t>
      </w:r>
    </w:p>
    <w:p w:rsidR="00025B76" w:rsidRDefault="00025B76" w:rsidP="00025B76">
      <w:r>
        <w:t>A</w:t>
      </w:r>
      <w:r w:rsidR="00163EE5">
        <w:t xml:space="preserve">nother Outcome Evaluation has </w:t>
      </w:r>
      <w:r>
        <w:t>observed that</w:t>
      </w:r>
      <w:r w:rsidR="00163EE5">
        <w:t xml:space="preserve"> it may be</w:t>
      </w:r>
      <w:r>
        <w:t>,</w:t>
      </w:r>
      <w:r w:rsidR="00163EE5">
        <w:t xml:space="preserve"> </w:t>
      </w:r>
      <w:r w:rsidR="00E11C58">
        <w:t>“</w:t>
      </w:r>
      <w:r w:rsidR="00163EE5" w:rsidRPr="00293577">
        <w:rPr>
          <w:rFonts w:ascii="Book Antiqua" w:hAnsi="Book Antiqua" w:cs="Book Antiqua"/>
        </w:rPr>
        <w:t xml:space="preserve">comparatively easy to indicate very positive </w:t>
      </w:r>
      <w:r w:rsidR="00163EE5" w:rsidRPr="00E11C58">
        <w:rPr>
          <w:rFonts w:cs="Book Antiqua"/>
          <w:i/>
          <w:iCs/>
        </w:rPr>
        <w:t>indirect</w:t>
      </w:r>
      <w:r w:rsidR="00163EE5" w:rsidRPr="00293577">
        <w:rPr>
          <w:rFonts w:ascii="Book Antiqua" w:hAnsi="Book Antiqua" w:cs="Book Antiqua"/>
          <w:i/>
          <w:iCs/>
        </w:rPr>
        <w:t xml:space="preserve"> </w:t>
      </w:r>
      <w:r w:rsidR="00163EE5" w:rsidRPr="00293577">
        <w:rPr>
          <w:rFonts w:ascii="Book Antiqua" w:hAnsi="Book Antiqua" w:cs="Book Antiqua"/>
        </w:rPr>
        <w:t xml:space="preserve">consequences for the outcomes of any initiatives by the </w:t>
      </w:r>
      <w:r w:rsidR="00163EE5">
        <w:rPr>
          <w:rFonts w:ascii="Book Antiqua" w:hAnsi="Book Antiqua" w:cs="Book Antiqua"/>
        </w:rPr>
        <w:t>ministry concerned</w:t>
      </w:r>
      <w:r w:rsidR="00163EE5" w:rsidRPr="00293577">
        <w:rPr>
          <w:rFonts w:ascii="Book Antiqua" w:hAnsi="Book Antiqua" w:cs="Book Antiqua"/>
        </w:rPr>
        <w:t>. However</w:t>
      </w:r>
      <w:r w:rsidR="00163EE5">
        <w:rPr>
          <w:rFonts w:ascii="Book Antiqua" w:hAnsi="Book Antiqua" w:cs="Book Antiqua"/>
        </w:rPr>
        <w:t>,</w:t>
      </w:r>
      <w:r w:rsidR="00163EE5" w:rsidRPr="00293577">
        <w:rPr>
          <w:rFonts w:ascii="Book Antiqua" w:hAnsi="Book Antiqua" w:cs="Book Antiqua"/>
        </w:rPr>
        <w:t xml:space="preserve"> the direct influences are less apparent</w:t>
      </w:r>
      <w:r w:rsidR="00E11C58">
        <w:rPr>
          <w:rFonts w:ascii="Book Antiqua" w:hAnsi="Book Antiqua" w:cs="Book Antiqua"/>
        </w:rPr>
        <w:t xml:space="preserve">...” </w:t>
      </w:r>
      <w:r w:rsidR="00D96907">
        <w:rPr>
          <w:rFonts w:ascii="Book Antiqua" w:hAnsi="Book Antiqua" w:cs="Book Antiqua"/>
        </w:rPr>
        <w:fldChar w:fldCharType="begin"/>
      </w:r>
      <w:r w:rsidR="002B3DEF">
        <w:rPr>
          <w:rFonts w:ascii="Book Antiqua" w:hAnsi="Book Antiqua" w:cs="Book Antiqua"/>
        </w:rPr>
        <w:instrText xml:space="preserve"> ADDIN EN.CITE &lt;EndNote&gt;&lt;Cite&gt;&lt;Author&gt;UNDP Consultant&lt;/Author&gt;&lt;Year&gt;2010&lt;/Year&gt;&lt;RecNum&gt;1083&lt;/RecNum&gt;&lt;record&gt;&lt;rec-number&gt;1083&lt;/rec-number&gt;&lt;ref-type name="Report"&gt;27&lt;/ref-type&gt;&lt;contributors&gt;&lt;authors&gt;&lt;author&gt;UNDP Consultant,&lt;/author&gt;&lt;/authors&gt;&lt;/contributors&gt;&lt;titles&gt;&lt;title&gt;Outcome Evaluation of UNDP Support for National Strategies Reflecting Vision 2025 in terms of Pro-poor and Sustainable Development policies, enhancing the Labour Sector and the Cost Effective Delivery of Public Services&lt;/title&gt;&lt;/titles&gt;&lt;dates&gt;&lt;year&gt;2010&lt;/year&gt;&lt;/dates&gt;&lt;pub-location&gt;Riyadh&lt;/pub-location&gt;&lt;publisher&gt;UNDP Saudi Arabia&lt;/publisher&gt;&lt;urls&gt;&lt;/urls&gt;&lt;/record&gt;&lt;/Cite&gt;&lt;/EndNote&gt;</w:instrText>
      </w:r>
      <w:r w:rsidR="00D96907">
        <w:rPr>
          <w:rFonts w:ascii="Book Antiqua" w:hAnsi="Book Antiqua" w:cs="Book Antiqua"/>
        </w:rPr>
        <w:fldChar w:fldCharType="separate"/>
      </w:r>
      <w:r w:rsidR="00BD26C1">
        <w:rPr>
          <w:rFonts w:ascii="Book Antiqua" w:hAnsi="Book Antiqua" w:cs="Book Antiqua"/>
        </w:rPr>
        <w:t>(UNDP Consultant 2010)</w:t>
      </w:r>
      <w:r w:rsidR="00D96907">
        <w:rPr>
          <w:rFonts w:ascii="Book Antiqua" w:hAnsi="Book Antiqua" w:cs="Book Antiqua"/>
        </w:rPr>
        <w:fldChar w:fldCharType="end"/>
      </w:r>
      <w:r w:rsidR="000A2E17">
        <w:rPr>
          <w:rFonts w:ascii="Book Antiqua" w:hAnsi="Book Antiqua" w:cs="Book Antiqua"/>
        </w:rPr>
        <w:t xml:space="preserve">.  </w:t>
      </w:r>
    </w:p>
    <w:p w:rsidR="00002A22" w:rsidRDefault="00086122" w:rsidP="00002A22">
      <w:r>
        <w:t xml:space="preserve">As we have noted at the outset, the CPAP (2008) identified two indicators for the results evaluation of Outcome 2:  an increase in (inward) FDI of 15 percent, and an increase in tourist numbers of 15 percent.  This Evaluation has shown that these indicators are directly measurable; at the same time, they facilitate the opening of a broad discussion of the wide range of factors affecting progress in achieving the Outcome.  </w:t>
      </w:r>
    </w:p>
    <w:p w:rsidR="0075473B" w:rsidRDefault="0075473B" w:rsidP="00002A22">
      <w:r>
        <w:t>In the present CP, the Evaluation has noted that both indicator targets were fully achieved.  FDI rose in the 2007-2011 period</w:t>
      </w:r>
      <w:r w:rsidR="007A2B95">
        <w:t xml:space="preserve"> by 23 percent, surpassing the 15 percent target.  Tourism expanded, although not by total numbers of tourist trips:  international arrivals increased by </w:t>
      </w:r>
      <w:r w:rsidR="005866E5">
        <w:t>52 percent, but domestic tourist numbers were down by 21 percent, leaving the total numbers of inbound and domestic tourists</w:t>
      </w:r>
      <w:r w:rsidR="007A2B95">
        <w:t xml:space="preserve"> </w:t>
      </w:r>
      <w:r w:rsidR="005866E5">
        <w:t xml:space="preserve">virtually unchanged.  What </w:t>
      </w:r>
      <w:r w:rsidR="00025B76">
        <w:t xml:space="preserve">did change </w:t>
      </w:r>
      <w:proofErr w:type="gramStart"/>
      <w:r w:rsidR="00025B76">
        <w:t>was</w:t>
      </w:r>
      <w:proofErr w:type="gramEnd"/>
      <w:r w:rsidR="005866E5">
        <w:t xml:space="preserve"> the receipts from tourism, with expenditures by all tourists, domestic and international, up by 70 percent.  </w:t>
      </w:r>
    </w:p>
    <w:p w:rsidR="001007F2" w:rsidRDefault="005866E5" w:rsidP="001007F2">
      <w:r>
        <w:t xml:space="preserve">These indicators lend themselves to analysis of the gamut of factors affecting the Outcome.  The Evaluation has noted that government strategies to diversify the economy can be seen to have borne fruit:  the growth rate of non-oil sectors </w:t>
      </w:r>
      <w:r w:rsidR="00ED7D31">
        <w:t>has continued</w:t>
      </w:r>
      <w:r w:rsidR="001007F2">
        <w:t xml:space="preserve">, in some measure as a reflection of the </w:t>
      </w:r>
      <w:r w:rsidRPr="00ED7D31">
        <w:t>diversif</w:t>
      </w:r>
      <w:r w:rsidR="001007F2">
        <w:t xml:space="preserve">ication strategy of government.  </w:t>
      </w:r>
      <w:r w:rsidR="001007F2" w:rsidRPr="00ED7D31">
        <w:t xml:space="preserve">Non-oil sectors expanded </w:t>
      </w:r>
      <w:r w:rsidR="001007F2">
        <w:t xml:space="preserve">their </w:t>
      </w:r>
      <w:r w:rsidR="001007F2" w:rsidRPr="00ED7D31">
        <w:t>share from 67 to 73 percent of the economy, while conversely the oil sector declined as a sha</w:t>
      </w:r>
      <w:r w:rsidR="001007F2">
        <w:t>re of GDP from 32 to 26 percent.</w:t>
      </w:r>
      <w:r w:rsidR="001007F2" w:rsidRPr="001007F2">
        <w:rPr>
          <w:lang w:val="en-CA"/>
        </w:rPr>
        <w:t xml:space="preserve"> </w:t>
      </w:r>
      <w:r w:rsidR="001007F2">
        <w:rPr>
          <w:lang w:val="en-CA"/>
        </w:rPr>
        <w:t xml:space="preserve"> At the same time</w:t>
      </w:r>
      <w:r w:rsidR="001007F2" w:rsidRPr="00ED7D31">
        <w:t xml:space="preserve"> government investment strategies and financial stimulus </w:t>
      </w:r>
      <w:r w:rsidR="001007F2">
        <w:t xml:space="preserve">have stabilized the </w:t>
      </w:r>
      <w:r w:rsidR="00995E75">
        <w:t>economy, to some extent via support to the public sector.</w:t>
      </w:r>
    </w:p>
    <w:p w:rsidR="001007F2" w:rsidRDefault="005866E5" w:rsidP="005866E5">
      <w:r w:rsidRPr="00ED7D31">
        <w:t xml:space="preserve">WTO membership </w:t>
      </w:r>
      <w:r w:rsidR="001007F2">
        <w:t>has improved</w:t>
      </w:r>
      <w:r w:rsidRPr="00ED7D31">
        <w:t xml:space="preserve"> openness to FDI, </w:t>
      </w:r>
      <w:r w:rsidR="001007F2">
        <w:t xml:space="preserve">and to </w:t>
      </w:r>
      <w:r w:rsidRPr="00ED7D31">
        <w:t xml:space="preserve">GDP growth in </w:t>
      </w:r>
      <w:r w:rsidR="001007F2">
        <w:t xml:space="preserve">the </w:t>
      </w:r>
      <w:r w:rsidRPr="00ED7D31">
        <w:t>non-oil sectors, government investment strategies and financial stimulus</w:t>
      </w:r>
      <w:r w:rsidR="001007F2">
        <w:t>.</w:t>
      </w:r>
    </w:p>
    <w:p w:rsidR="001007F2" w:rsidRDefault="001007F2" w:rsidP="005866E5">
      <w:pPr>
        <w:rPr>
          <w:lang w:val="en-CA"/>
        </w:rPr>
      </w:pPr>
      <w:r>
        <w:t>SA has made gains in addressing the needs of entrepreneurs, demonstrated by its</w:t>
      </w:r>
      <w:r w:rsidR="00385B63" w:rsidRPr="00ED7D31">
        <w:t xml:space="preserve"> </w:t>
      </w:r>
      <w:r w:rsidR="005866E5" w:rsidRPr="00ED7D31">
        <w:rPr>
          <w:lang w:val="en-CA"/>
        </w:rPr>
        <w:t>1</w:t>
      </w:r>
      <w:r w:rsidR="00385B63" w:rsidRPr="00ED7D31">
        <w:rPr>
          <w:lang w:val="en-CA"/>
        </w:rPr>
        <w:t>2</w:t>
      </w:r>
      <w:r w:rsidRPr="001007F2">
        <w:rPr>
          <w:vertAlign w:val="superscript"/>
          <w:lang w:val="en-CA"/>
        </w:rPr>
        <w:t>th</w:t>
      </w:r>
      <w:r>
        <w:rPr>
          <w:lang w:val="en-CA"/>
        </w:rPr>
        <w:t>-</w:t>
      </w:r>
      <w:r w:rsidR="005866E5" w:rsidRPr="00ED7D31">
        <w:rPr>
          <w:lang w:val="en-CA"/>
        </w:rPr>
        <w:t xml:space="preserve">place ranking in </w:t>
      </w:r>
      <w:r w:rsidR="007A6658" w:rsidRPr="00ED7D31">
        <w:rPr>
          <w:lang w:val="en-CA"/>
        </w:rPr>
        <w:t>the 2011</w:t>
      </w:r>
      <w:r w:rsidR="005866E5" w:rsidRPr="00ED7D31">
        <w:rPr>
          <w:lang w:val="en-CA"/>
        </w:rPr>
        <w:t xml:space="preserve"> World Bank-International Finance Corporation Doing Business report</w:t>
      </w:r>
      <w:r w:rsidR="007A6658" w:rsidRPr="00ED7D31">
        <w:rPr>
          <w:lang w:val="en-CA"/>
        </w:rPr>
        <w:t xml:space="preserve"> </w:t>
      </w:r>
      <w:r w:rsidR="00D96907" w:rsidRPr="00ED7D31">
        <w:rPr>
          <w:lang w:val="en-CA"/>
        </w:rPr>
        <w:fldChar w:fldCharType="begin"/>
      </w:r>
      <w:r w:rsidR="002B3DEF">
        <w:rPr>
          <w:lang w:val="en-CA"/>
        </w:rPr>
        <w:instrText xml:space="preserve"> ADDIN EN.CITE &lt;EndNote&gt;&lt;Cite&gt;&lt;Author&gt;WB-IFC&lt;/Author&gt;&lt;Year&gt;2011&lt;/Year&gt;&lt;RecNum&gt;1084&lt;/RecNum&gt;&lt;record&gt;&lt;rec-number&gt;1084&lt;/rec-number&gt;&lt;ref-type name="Report"&gt;27&lt;/ref-type&gt;&lt;contributors&gt;&lt;authors&gt;&lt;author&gt;WB-IFC&lt;/author&gt;&lt;/authors&gt;&lt;/contributors&gt;&lt;titles&gt;&lt;title&gt;Doing Business Report&lt;/title&gt;&lt;/titles&gt;&lt;dates&gt;&lt;year&gt;2011&lt;/year&gt;&lt;/dates&gt;&lt;pub-location&gt;Washington DC&lt;/pub-location&gt;&lt;publisher&gt;World Bank, International Finance Corporation&lt;/publisher&gt;&lt;urls&gt;&lt;related-urls&gt;&lt;url&gt;http://www.doingbusiness.org/rankings&lt;/url&gt;&lt;/related-urls&gt;&lt;/urls&gt;&lt;/record&gt;&lt;/Cite&gt;&lt;/EndNote&gt;</w:instrText>
      </w:r>
      <w:r w:rsidR="00D96907" w:rsidRPr="00ED7D31">
        <w:rPr>
          <w:lang w:val="en-CA"/>
        </w:rPr>
        <w:fldChar w:fldCharType="separate"/>
      </w:r>
      <w:r w:rsidR="007A6658" w:rsidRPr="00ED7D31">
        <w:rPr>
          <w:lang w:val="en-CA"/>
        </w:rPr>
        <w:t>(WB-IFC 2011)</w:t>
      </w:r>
      <w:r w:rsidR="00D96907" w:rsidRPr="00ED7D31">
        <w:rPr>
          <w:lang w:val="en-CA"/>
        </w:rPr>
        <w:fldChar w:fldCharType="end"/>
      </w:r>
      <w:r w:rsidR="007A6658" w:rsidRPr="00ED7D31">
        <w:rPr>
          <w:lang w:val="en-CA"/>
        </w:rPr>
        <w:t xml:space="preserve"> </w:t>
      </w:r>
      <w:r>
        <w:rPr>
          <w:lang w:val="en-CA"/>
        </w:rPr>
        <w:t>.  It has benefited from its efforts to facilitate the g</w:t>
      </w:r>
      <w:r w:rsidR="007A6658" w:rsidRPr="00ED7D31">
        <w:rPr>
          <w:lang w:val="en-CA"/>
        </w:rPr>
        <w:t xml:space="preserve">rowth of religious tourism, with Middle Eastern countries </w:t>
      </w:r>
      <w:r>
        <w:rPr>
          <w:lang w:val="en-CA"/>
        </w:rPr>
        <w:t xml:space="preserve">the </w:t>
      </w:r>
      <w:r w:rsidR="007A6658" w:rsidRPr="00ED7D31">
        <w:rPr>
          <w:lang w:val="en-CA"/>
        </w:rPr>
        <w:t>largest</w:t>
      </w:r>
      <w:r>
        <w:rPr>
          <w:lang w:val="en-CA"/>
        </w:rPr>
        <w:t xml:space="preserve"> region</w:t>
      </w:r>
      <w:r w:rsidR="007A6658" w:rsidRPr="00ED7D31">
        <w:rPr>
          <w:lang w:val="en-CA"/>
        </w:rPr>
        <w:t xml:space="preserve"> of origin</w:t>
      </w:r>
      <w:r>
        <w:rPr>
          <w:lang w:val="en-CA"/>
        </w:rPr>
        <w:t>.</w:t>
      </w:r>
    </w:p>
    <w:p w:rsidR="005866E5" w:rsidRPr="00ED7D31" w:rsidRDefault="00995E75" w:rsidP="005866E5">
      <w:r>
        <w:t xml:space="preserve">Some analysts have contended that had </w:t>
      </w:r>
      <w:r w:rsidR="00B8272C" w:rsidRPr="00ED7D31">
        <w:t xml:space="preserve">more women participated in </w:t>
      </w:r>
      <w:r>
        <w:t xml:space="preserve">the paid </w:t>
      </w:r>
      <w:r w:rsidR="00B8272C" w:rsidRPr="00ED7D31">
        <w:t>labour force, greater growth and productivity could have been realized</w:t>
      </w:r>
      <w:r>
        <w:t xml:space="preserve"> (</w:t>
      </w:r>
      <w:r w:rsidR="00B8272C" w:rsidRPr="00ED7D31">
        <w:t>WB 2004 and 2012</w:t>
      </w:r>
      <w:r>
        <w:t>).</w:t>
      </w:r>
    </w:p>
    <w:p w:rsidR="005866E5" w:rsidRPr="00002A22" w:rsidRDefault="005866E5" w:rsidP="00002A22"/>
    <w:p w:rsidR="00AB3228" w:rsidRPr="00DA7619" w:rsidRDefault="00AB3228" w:rsidP="00203967">
      <w:pPr>
        <w:pStyle w:val="Heading2"/>
        <w:numPr>
          <w:ilvl w:val="1"/>
          <w:numId w:val="17"/>
        </w:numPr>
      </w:pPr>
      <w:bookmarkStart w:id="59" w:name="_Toc324762525"/>
      <w:bookmarkStart w:id="60" w:name="_Toc325871790"/>
      <w:r w:rsidRPr="00DA7619">
        <w:t>Administrative management</w:t>
      </w:r>
      <w:bookmarkEnd w:id="59"/>
      <w:bookmarkEnd w:id="60"/>
      <w:r w:rsidRPr="00DA7619">
        <w:t xml:space="preserve"> </w:t>
      </w:r>
    </w:p>
    <w:p w:rsidR="00AB3228" w:rsidRDefault="00AB3228" w:rsidP="00AB3228">
      <w:r>
        <w:t xml:space="preserve">The Evaluation mission found adequate documentation of project objectives and results, not only in project documents, but also on the excellent UNDP-SA portal, which generally provides an up-to-date summary of projects, both completed and ongoing or extended.  </w:t>
      </w:r>
    </w:p>
    <w:p w:rsidR="00AB3228" w:rsidRDefault="00AB3228" w:rsidP="00AB3228">
      <w:r>
        <w:t xml:space="preserve">On the other hand, in comparison with non-NCC cooperation programmes, annual or other periodic reports of projects by the NIM agencies were less consistently available.  The production of annual reports and narratives </w:t>
      </w:r>
      <w:r w:rsidRPr="00DA7619">
        <w:t>may be deemed onerous by government</w:t>
      </w:r>
      <w:r>
        <w:t xml:space="preserve"> and agency partners.  It is possible that the partners</w:t>
      </w:r>
      <w:r w:rsidRPr="00DA7619">
        <w:t xml:space="preserve"> could explore ways of simplifying</w:t>
      </w:r>
      <w:r>
        <w:t xml:space="preserve"> results-based reporting beyond financial records (which are well taken in hand on both sides).  It may be possible that mutually agreeable formats such as stripped-down </w:t>
      </w:r>
      <w:r w:rsidRPr="00DA7619">
        <w:t>templates</w:t>
      </w:r>
      <w:r>
        <w:t xml:space="preserve"> that focused on targets with their respective indicators could be devised.</w:t>
      </w:r>
    </w:p>
    <w:p w:rsidR="00AB3228" w:rsidRDefault="00AB3228" w:rsidP="00AB3228">
      <w:r>
        <w:t>It is not the task of an Outcome Evaluation to touch on matters pertaining to other reviews such as</w:t>
      </w:r>
      <w:r w:rsidRPr="00DA7619">
        <w:t xml:space="preserve"> financial audit</w:t>
      </w:r>
      <w:r>
        <w:t>s; however, in the way of reporting on partner relations in administrative matters, one comment is noteworthy.  Without exception, key informants who met with the Evaluation mission volunteered their appreciation for the expert and consistent assistance provided by their UNDP partners in ensuring the smooth and documented flow of all resources.  There was also appreciation expressed for the handling of fund residuals remaining available in any period, and the lack of difficulty for the government to re-assign funds as necessary to evolved or re-cast project needs.</w:t>
      </w:r>
    </w:p>
    <w:p w:rsidR="00965C7D" w:rsidRDefault="00965C7D" w:rsidP="00DC5A10"/>
    <w:p w:rsidR="004E3D56" w:rsidRDefault="004E3D56" w:rsidP="004E3D56">
      <w:pPr>
        <w:pStyle w:val="Heading2"/>
        <w:numPr>
          <w:ilvl w:val="1"/>
          <w:numId w:val="17"/>
        </w:numPr>
      </w:pPr>
      <w:bookmarkStart w:id="61" w:name="_Toc324762526"/>
      <w:bookmarkStart w:id="62" w:name="_Toc325871791"/>
      <w:r>
        <w:t>Recommendations</w:t>
      </w:r>
      <w:bookmarkEnd w:id="61"/>
      <w:bookmarkEnd w:id="62"/>
    </w:p>
    <w:p w:rsidR="004E3D56" w:rsidRDefault="004E3D56" w:rsidP="004E3D56">
      <w:pPr>
        <w:pStyle w:val="Heading3"/>
        <w:numPr>
          <w:ilvl w:val="2"/>
          <w:numId w:val="17"/>
        </w:numPr>
      </w:pPr>
      <w:bookmarkStart w:id="63" w:name="_Toc324762527"/>
      <w:bookmarkStart w:id="64" w:name="_Toc325871792"/>
      <w:r>
        <w:t>Current arrangements work well and should be continued</w:t>
      </w:r>
      <w:bookmarkEnd w:id="63"/>
      <w:bookmarkEnd w:id="64"/>
    </w:p>
    <w:p w:rsidR="004E3D56" w:rsidRDefault="004E3D56" w:rsidP="004E3D56">
      <w:r>
        <w:rPr>
          <w:lang w:val="en-CA"/>
        </w:rPr>
        <w:t xml:space="preserve">The CPAP, which served in part as an informal interim review of the CP to date, was prepared in 2008, two years into the programme.  </w:t>
      </w:r>
      <w:r>
        <w:t>Drawing important lessons from earlier cooperation, the document noted that administrative modalities within NIM execution were best designed as flexible and simple protocols.  It moved the programme squarely into recognition that the greatest benefit to SA deriving from UNDP partnership was the access provided to advisory and capacity development services.  The CPAP endorsed the opinion of government partners, citing their views on this emphasis:</w:t>
      </w:r>
    </w:p>
    <w:p w:rsidR="004E3D56" w:rsidRPr="00481A50" w:rsidRDefault="004E3D56" w:rsidP="004E3D56">
      <w:pPr>
        <w:ind w:left="720"/>
      </w:pPr>
      <w:r w:rsidRPr="00481A50">
        <w:t>Partner government agencies believe UNDP should extend its support beyond financial management to the active use of the international experiences of its network of country offices and expertise around the world. The source of expert consultants should be extended to also include the United Nations specialized agencies</w:t>
      </w:r>
      <w:r>
        <w:t xml:space="preserve"> (UNDP 2008, p.3)</w:t>
      </w:r>
      <w:r w:rsidRPr="00481A50">
        <w:t>.</w:t>
      </w:r>
    </w:p>
    <w:p w:rsidR="004E3D56" w:rsidRDefault="004E3D56" w:rsidP="004E3D56">
      <w:pPr>
        <w:rPr>
          <w:lang w:val="en-CA"/>
        </w:rPr>
      </w:pPr>
      <w:r>
        <w:rPr>
          <w:lang w:val="en-CA"/>
        </w:rPr>
        <w:t xml:space="preserve">The CPAP embraced this view, and indicated that virtually all of its activities under Outcome 2 would be directed to the provision of expert advice, the development of training frameworks and exchanges, and the provision of access to relevant UN specialized agencies and rosters.  Along with this clear acknowledgement of the expressed wishes of partner government agencies, the statement of Outcome 2 supported the government’s desire to find its way via commissioning advice so as to tap global best practices and to efficiently source assistance – whether from the private or public sector, at home or in the region and abroad.  The identification of the relevant Outcome as diversification of the economic framework to further long-held objectives of better FDI, trade and tourism results enabled UNDP to recognize its role, as one factor among many.  Economic diversification could be understood as an outcome that would result from global conditions, government action, the technical assistance of various partners, and the action of the broad private sector and civil society. </w:t>
      </w:r>
    </w:p>
    <w:p w:rsidR="004E3D56" w:rsidRDefault="004E3D56" w:rsidP="004E3D56">
      <w:pPr>
        <w:pStyle w:val="Heading3"/>
        <w:numPr>
          <w:ilvl w:val="2"/>
          <w:numId w:val="17"/>
        </w:numPr>
      </w:pPr>
      <w:bookmarkStart w:id="65" w:name="_Toc324762528"/>
      <w:bookmarkStart w:id="66" w:name="_Toc325871793"/>
      <w:r>
        <w:t>The current relationship between the partners, a</w:t>
      </w:r>
      <w:r w:rsidRPr="00DA7619">
        <w:t>rticulating Outcomes in relation to national goals</w:t>
      </w:r>
      <w:r>
        <w:t>, should be continued</w:t>
      </w:r>
      <w:bookmarkEnd w:id="65"/>
      <w:bookmarkEnd w:id="66"/>
      <w:r>
        <w:t xml:space="preserve"> </w:t>
      </w:r>
    </w:p>
    <w:p w:rsidR="00B95E2D" w:rsidRDefault="00B95E2D" w:rsidP="00B95E2D">
      <w:r>
        <w:t xml:space="preserve">The CPD (UNDP 2006) linked Outcome 2 to one of the </w:t>
      </w:r>
      <w:r w:rsidRPr="00E84A5D">
        <w:t>national goal</w:t>
      </w:r>
      <w:r>
        <w:t>s of the 8</w:t>
      </w:r>
      <w:r w:rsidRPr="00E84A5D">
        <w:rPr>
          <w:vertAlign w:val="superscript"/>
        </w:rPr>
        <w:t>th</w:t>
      </w:r>
      <w:r>
        <w:t xml:space="preserve"> plan</w:t>
      </w:r>
      <w:r w:rsidRPr="00E84A5D">
        <w:t xml:space="preserve">:  To optimize the benefits of </w:t>
      </w:r>
      <w:r w:rsidRPr="00E84A5D">
        <w:rPr>
          <w:i/>
        </w:rPr>
        <w:t>globalization</w:t>
      </w:r>
      <w:r w:rsidRPr="00E84A5D">
        <w:t xml:space="preserve"> by improving the productivity of the economy, </w:t>
      </w:r>
      <w:r w:rsidRPr="00D96198">
        <w:rPr>
          <w:i/>
        </w:rPr>
        <w:t>diversifying</w:t>
      </w:r>
      <w:r w:rsidRPr="00E84A5D">
        <w:t xml:space="preserve"> its base especially into R&amp;D and strengthening its </w:t>
      </w:r>
      <w:r w:rsidRPr="00D96198">
        <w:rPr>
          <w:i/>
        </w:rPr>
        <w:t>competitiveness</w:t>
      </w:r>
      <w:r>
        <w:t xml:space="preserve"> (emphasis added).  Subsequent UNDP texts such as the CPAP (2008) and CPPS (2011) continued to refer back to this national goal.  The italicised words underscore the emphasis on globalization, diversification and competitiveness.  </w:t>
      </w:r>
    </w:p>
    <w:p w:rsidR="00B95E2D" w:rsidRDefault="00B95E2D" w:rsidP="00B95E2D">
      <w:r>
        <w:t>Taking this national goal and the emphasis identified, the CPD formulated Outcome 2 as “</w:t>
      </w:r>
      <w:r w:rsidRPr="009A12DA">
        <w:rPr>
          <w:lang w:val="en-CA"/>
        </w:rPr>
        <w:t xml:space="preserve">Enhanced employment opportunities and overall economic performance through increase in foreign and domestic direct </w:t>
      </w:r>
      <w:r w:rsidRPr="00A9312C">
        <w:rPr>
          <w:i/>
          <w:lang w:val="en-CA"/>
        </w:rPr>
        <w:t>investment</w:t>
      </w:r>
      <w:r w:rsidRPr="009A12DA">
        <w:rPr>
          <w:lang w:val="en-CA"/>
        </w:rPr>
        <w:t>,</w:t>
      </w:r>
      <w:r>
        <w:rPr>
          <w:lang w:val="en-CA"/>
        </w:rPr>
        <w:t xml:space="preserve"> </w:t>
      </w:r>
      <w:r w:rsidRPr="009A12DA">
        <w:rPr>
          <w:lang w:val="en-CA"/>
        </w:rPr>
        <w:t xml:space="preserve">strengthened </w:t>
      </w:r>
      <w:r w:rsidRPr="00A9312C">
        <w:rPr>
          <w:i/>
          <w:lang w:val="en-CA"/>
        </w:rPr>
        <w:t>competitiveness</w:t>
      </w:r>
      <w:r w:rsidRPr="009A12DA">
        <w:rPr>
          <w:lang w:val="en-CA"/>
        </w:rPr>
        <w:t xml:space="preserve"> and </w:t>
      </w:r>
      <w:r w:rsidRPr="00A9312C">
        <w:rPr>
          <w:i/>
          <w:lang w:val="en-CA"/>
        </w:rPr>
        <w:t>diversity</w:t>
      </w:r>
      <w:r w:rsidRPr="009A12DA">
        <w:rPr>
          <w:lang w:val="en-CA"/>
        </w:rPr>
        <w:t xml:space="preserve"> of the</w:t>
      </w:r>
      <w:r>
        <w:rPr>
          <w:lang w:val="en-CA"/>
        </w:rPr>
        <w:t xml:space="preserve"> </w:t>
      </w:r>
      <w:r w:rsidRPr="009A12DA">
        <w:rPr>
          <w:lang w:val="en-CA"/>
        </w:rPr>
        <w:t xml:space="preserve">national economy in the knowledge </w:t>
      </w:r>
      <w:r w:rsidRPr="009F6E77">
        <w:t>sector</w:t>
      </w:r>
      <w:r>
        <w:t>,</w:t>
      </w:r>
      <w:r w:rsidRPr="009F6E77">
        <w:t xml:space="preserve"> among others</w:t>
      </w:r>
      <w:r>
        <w:t>.”  This formulation is a suitable reflection of the national goal, and does indeed direct attention to the change in conditions desired by the CP partners to help meet the country’s goal.</w:t>
      </w:r>
      <w:r w:rsidRPr="007D1B7F">
        <w:t xml:space="preserve"> </w:t>
      </w:r>
      <w:r>
        <w:t xml:space="preserve"> </w:t>
      </w:r>
    </w:p>
    <w:p w:rsidR="00B95E2D" w:rsidRDefault="00B95E2D" w:rsidP="00203967">
      <w:pPr>
        <w:pStyle w:val="Heading3"/>
        <w:numPr>
          <w:ilvl w:val="2"/>
          <w:numId w:val="17"/>
        </w:numPr>
      </w:pPr>
      <w:bookmarkStart w:id="67" w:name="_Toc325871794"/>
      <w:r>
        <w:t>It remains appropriate to link UNDP programme components and national goals</w:t>
      </w:r>
      <w:bookmarkEnd w:id="67"/>
      <w:r>
        <w:t xml:space="preserve"> </w:t>
      </w:r>
    </w:p>
    <w:p w:rsidR="00B95E2D" w:rsidRDefault="00B95E2D" w:rsidP="00B95E2D">
      <w:pPr>
        <w:rPr>
          <w:lang w:val="en-CA"/>
        </w:rPr>
      </w:pPr>
      <w:r>
        <w:t>In both the CPD and CPAP, UNDP linked the national goal of “optimizing the benefits of globalization” to its corporate objective of poverty reduction.  This link was embodied in the statement of the relevant UNDP programme component in these texts as, respectively, “</w:t>
      </w:r>
      <w:r w:rsidRPr="009A12DA">
        <w:rPr>
          <w:lang w:val="en-CA"/>
        </w:rPr>
        <w:t>Achieving the MDGs and reducing human poverty – Globalization</w:t>
      </w:r>
      <w:r>
        <w:rPr>
          <w:lang w:val="en-CA"/>
        </w:rPr>
        <w:t xml:space="preserve"> </w:t>
      </w:r>
      <w:r w:rsidRPr="009A12DA">
        <w:rPr>
          <w:lang w:val="en-CA"/>
        </w:rPr>
        <w:t>benefiting the poor</w:t>
      </w:r>
      <w:r>
        <w:rPr>
          <w:lang w:val="en-CA"/>
        </w:rPr>
        <w:t xml:space="preserve">”, and “Managing globalization to support the poor.”  </w:t>
      </w:r>
    </w:p>
    <w:p w:rsidR="00B95E2D" w:rsidRDefault="00B95E2D" w:rsidP="00B95E2D">
      <w:pPr>
        <w:rPr>
          <w:lang w:val="en-CA"/>
        </w:rPr>
      </w:pPr>
      <w:r>
        <w:rPr>
          <w:lang w:val="en-CA"/>
        </w:rPr>
        <w:t>At programme end, the Country Programme Performance Summary (CPPS 2011</w:t>
      </w:r>
      <w:r w:rsidR="002E0D48">
        <w:rPr>
          <w:lang w:val="en-CA"/>
        </w:rPr>
        <w:t>)</w:t>
      </w:r>
      <w:r>
        <w:rPr>
          <w:lang w:val="en-CA"/>
        </w:rPr>
        <w:t xml:space="preserve"> focused on the Outcome 2 statements emphasizing diversification, competitiveness, and realizing the benefits of globalization.  There is some indication that several of the outputs of this component, such as increasing FDI and the expansion of tourism, contributed to job creation and potentially to poverty reduction. </w:t>
      </w:r>
    </w:p>
    <w:p w:rsidR="00B95E2D" w:rsidRDefault="00B95E2D" w:rsidP="00B95E2D"/>
    <w:p w:rsidR="00203967" w:rsidRDefault="00203967">
      <w:pPr>
        <w:rPr>
          <w:rFonts w:asciiTheme="majorHAnsi" w:eastAsiaTheme="majorEastAsia" w:hAnsiTheme="majorHAnsi" w:cstheme="majorBidi"/>
          <w:b/>
          <w:bCs/>
          <w:color w:val="365F91" w:themeColor="accent1" w:themeShade="BF"/>
          <w:sz w:val="28"/>
          <w:szCs w:val="28"/>
        </w:rPr>
      </w:pPr>
      <w:r>
        <w:br w:type="page"/>
      </w:r>
    </w:p>
    <w:p w:rsidR="002E0D48" w:rsidRDefault="002E0D48" w:rsidP="002E0D48">
      <w:pPr>
        <w:pStyle w:val="Heading1"/>
      </w:pPr>
      <w:bookmarkStart w:id="68" w:name="_Toc325871795"/>
      <w:r>
        <w:t>Annex 1.  FDI Inflows vs. Net FDI Inflows</w:t>
      </w:r>
      <w:bookmarkEnd w:id="68"/>
    </w:p>
    <w:p w:rsidR="002E0D48" w:rsidRDefault="002E0D48" w:rsidP="002E0D48">
      <w:pPr>
        <w:rPr>
          <w:lang w:val="en-CA"/>
        </w:rPr>
      </w:pPr>
      <w:r>
        <w:rPr>
          <w:lang w:val="en-CA"/>
        </w:rPr>
        <w:t>As the graphs in the figures below show, while FDI as a measure of inflows has grown in the course of the CPD and 9</w:t>
      </w:r>
      <w:r w:rsidRPr="009C1C1C">
        <w:rPr>
          <w:vertAlign w:val="superscript"/>
          <w:lang w:val="en-CA"/>
        </w:rPr>
        <w:t>th</w:t>
      </w:r>
      <w:r>
        <w:rPr>
          <w:lang w:val="en-CA"/>
        </w:rPr>
        <w:t xml:space="preserve"> NDP term, </w:t>
      </w:r>
      <w:r w:rsidRPr="00794230">
        <w:rPr>
          <w:i/>
          <w:lang w:val="en-CA"/>
        </w:rPr>
        <w:t>net</w:t>
      </w:r>
      <w:r>
        <w:rPr>
          <w:lang w:val="en-CA"/>
        </w:rPr>
        <w:t xml:space="preserve"> FDI has not grown.  This result brings out the expansion of Saudi Arabian investment abroad, measured as capital outflows.  </w:t>
      </w:r>
      <w:r>
        <w:t xml:space="preserve">Net inflows show the sum of inflows minus outflows, the latter measuring Saudi Arabian investments abroad.  </w:t>
      </w:r>
      <w:r>
        <w:rPr>
          <w:lang w:val="en-CA"/>
        </w:rPr>
        <w:t xml:space="preserve">Net FDI is a measure of inflows minus outflows.  </w:t>
      </w:r>
      <w:proofErr w:type="gramStart"/>
      <w:r>
        <w:rPr>
          <w:lang w:val="en-CA"/>
        </w:rPr>
        <w:t>Net inflows of FDI declined by 11 percent between 2007 and 2010 (the latest year for which data are available).</w:t>
      </w:r>
      <w:proofErr w:type="gramEnd"/>
    </w:p>
    <w:p w:rsidR="002E0D48" w:rsidRDefault="002E0D48" w:rsidP="002E0D48">
      <w:pPr>
        <w:rPr>
          <w:lang w:val="en-CA"/>
        </w:rPr>
      </w:pPr>
    </w:p>
    <w:p w:rsidR="002E0D48" w:rsidRPr="006C7084" w:rsidRDefault="002E0D48" w:rsidP="002E0D48">
      <w:pPr>
        <w:jc w:val="center"/>
        <w:rPr>
          <w:lang w:val="en-CA"/>
        </w:rPr>
      </w:pPr>
      <w:r w:rsidRPr="009C1C1C">
        <w:rPr>
          <w:noProof/>
          <w:lang w:val="en-US"/>
        </w:rPr>
        <w:drawing>
          <wp:inline distT="0" distB="0" distL="0" distR="0">
            <wp:extent cx="4853021" cy="2651094"/>
            <wp:effectExtent l="19050" t="0" r="23779"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E0D48" w:rsidRDefault="002E0D48" w:rsidP="002E0D48">
      <w:pPr>
        <w:autoSpaceDE w:val="0"/>
        <w:autoSpaceDN w:val="0"/>
        <w:adjustRightInd w:val="0"/>
        <w:spacing w:before="0" w:after="0"/>
        <w:ind w:left="360"/>
        <w:rPr>
          <w:color w:val="000000"/>
        </w:rPr>
      </w:pPr>
    </w:p>
    <w:tbl>
      <w:tblPr>
        <w:tblW w:w="0" w:type="auto"/>
        <w:jc w:val="center"/>
        <w:tblLook w:val="04A0"/>
      </w:tblPr>
      <w:tblGrid>
        <w:gridCol w:w="2316"/>
        <w:gridCol w:w="913"/>
        <w:gridCol w:w="913"/>
        <w:gridCol w:w="913"/>
        <w:gridCol w:w="913"/>
      </w:tblGrid>
      <w:tr w:rsidR="002E0D48" w:rsidRPr="006C7084" w:rsidTr="00041B03">
        <w:trPr>
          <w:trHeight w:val="315"/>
          <w:jc w:val="center"/>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0D48" w:rsidRPr="006C7084" w:rsidRDefault="002E0D48" w:rsidP="00041B03">
            <w:pPr>
              <w:spacing w:before="0" w:after="0"/>
              <w:jc w:val="center"/>
              <w:rPr>
                <w:rFonts w:ascii="Arial" w:eastAsia="Times New Roman" w:hAnsi="Arial" w:cs="Arial"/>
                <w:b/>
                <w:bCs/>
                <w:sz w:val="24"/>
                <w:szCs w:val="24"/>
                <w:lang w:val="en-CA" w:eastAsia="en-CA"/>
              </w:rPr>
            </w:pPr>
            <w:r w:rsidRPr="006C7084">
              <w:rPr>
                <w:rFonts w:ascii="Arial" w:eastAsia="Times New Roman" w:hAnsi="Arial" w:cs="Arial"/>
                <w:bCs/>
                <w:sz w:val="20"/>
                <w:szCs w:val="20"/>
                <w:lang w:val="en-CA" w:eastAsia="en-CA"/>
              </w:rPr>
              <w:t>Foreign direct investment, net inflows</w:t>
            </w:r>
            <w:r>
              <w:rPr>
                <w:rFonts w:ascii="Arial" w:eastAsia="Times New Roman" w:hAnsi="Arial" w:cs="Arial"/>
                <w:bCs/>
                <w:sz w:val="20"/>
                <w:szCs w:val="20"/>
                <w:lang w:val="en-CA" w:eastAsia="en-CA"/>
              </w:rPr>
              <w:t>, 2007-10</w:t>
            </w:r>
            <w:r w:rsidRPr="006C7084">
              <w:rPr>
                <w:rFonts w:ascii="Arial" w:eastAsia="Times New Roman" w:hAnsi="Arial" w:cs="Arial"/>
                <w:b/>
                <w:bCs/>
                <w:sz w:val="24"/>
                <w:szCs w:val="24"/>
                <w:lang w:val="en-CA" w:eastAsia="en-CA"/>
              </w:rPr>
              <w:t xml:space="preserve"> </w:t>
            </w:r>
            <w:r w:rsidRPr="006C7084">
              <w:rPr>
                <w:rFonts w:ascii="Arial" w:eastAsia="Times New Roman" w:hAnsi="Arial" w:cs="Arial"/>
                <w:bCs/>
                <w:sz w:val="16"/>
                <w:szCs w:val="24"/>
                <w:lang w:val="en-CA" w:eastAsia="en-CA"/>
              </w:rPr>
              <w:t>(current US$</w:t>
            </w:r>
            <w:r>
              <w:rPr>
                <w:rFonts w:ascii="Arial" w:eastAsia="Times New Roman" w:hAnsi="Arial" w:cs="Arial"/>
                <w:bCs/>
                <w:sz w:val="16"/>
                <w:szCs w:val="24"/>
                <w:lang w:val="en-CA" w:eastAsia="en-CA"/>
              </w:rPr>
              <w:t xml:space="preserve"> millions</w:t>
            </w:r>
            <w:r w:rsidRPr="006C7084">
              <w:rPr>
                <w:rFonts w:ascii="Arial" w:eastAsia="Times New Roman" w:hAnsi="Arial" w:cs="Arial"/>
                <w:bCs/>
                <w:sz w:val="16"/>
                <w:szCs w:val="24"/>
                <w:lang w:val="en-CA" w:eastAsia="en-CA"/>
              </w:rPr>
              <w:t>)</w:t>
            </w:r>
          </w:p>
        </w:tc>
      </w:tr>
      <w:tr w:rsidR="002E0D48" w:rsidRPr="006C7084" w:rsidTr="00041B03">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jc w:val="right"/>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2007</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jc w:val="right"/>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2008</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jc w:val="right"/>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2009</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jc w:val="right"/>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2010</w:t>
            </w:r>
          </w:p>
        </w:tc>
      </w:tr>
      <w:tr w:rsidR="002E0D48" w:rsidRPr="006C7084" w:rsidTr="00041B03">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FDI net</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jc w:val="right"/>
              <w:rPr>
                <w:rFonts w:ascii="MS Sans Serif" w:eastAsia="Times New Roman" w:hAnsi="MS Sans Serif" w:cs="Times New Roman"/>
                <w:sz w:val="20"/>
                <w:szCs w:val="20"/>
                <w:lang w:val="en-CA" w:eastAsia="en-CA"/>
              </w:rPr>
            </w:pPr>
            <w:r>
              <w:rPr>
                <w:rFonts w:ascii="MS Sans Serif" w:eastAsia="Times New Roman" w:hAnsi="MS Sans Serif" w:cs="Times New Roman"/>
                <w:sz w:val="20"/>
                <w:szCs w:val="20"/>
                <w:lang w:val="en-CA" w:eastAsia="en-CA"/>
              </w:rPr>
              <w:t>24,334</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jc w:val="right"/>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39,455</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jc w:val="right"/>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36,45</w:t>
            </w:r>
            <w:r>
              <w:rPr>
                <w:rFonts w:ascii="MS Sans Serif" w:eastAsia="Times New Roman" w:hAnsi="MS Sans Serif" w:cs="Times New Roman"/>
                <w:sz w:val="20"/>
                <w:szCs w:val="20"/>
                <w:lang w:val="en-CA" w:eastAsia="en-CA"/>
              </w:rPr>
              <w:t>8</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jc w:val="right"/>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21,560</w:t>
            </w:r>
          </w:p>
        </w:tc>
      </w:tr>
      <w:tr w:rsidR="002E0D48" w:rsidRPr="006C7084" w:rsidTr="00041B03">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year-on-year increase</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jc w:val="right"/>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62%</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jc w:val="right"/>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-8%</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jc w:val="right"/>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-41%</w:t>
            </w:r>
          </w:p>
        </w:tc>
      </w:tr>
      <w:tr w:rsidR="002E0D48" w:rsidRPr="006C7084" w:rsidTr="00041B03">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increase, 2007-10</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6C7084" w:rsidRDefault="002E0D48" w:rsidP="00041B03">
            <w:pPr>
              <w:spacing w:before="0" w:after="0"/>
              <w:jc w:val="right"/>
              <w:rPr>
                <w:rFonts w:ascii="MS Sans Serif" w:eastAsia="Times New Roman" w:hAnsi="MS Sans Serif" w:cs="Times New Roman"/>
                <w:sz w:val="20"/>
                <w:szCs w:val="20"/>
                <w:lang w:val="en-CA" w:eastAsia="en-CA"/>
              </w:rPr>
            </w:pPr>
            <w:r w:rsidRPr="006C7084">
              <w:rPr>
                <w:rFonts w:ascii="MS Sans Serif" w:eastAsia="Times New Roman" w:hAnsi="MS Sans Serif" w:cs="Times New Roman"/>
                <w:sz w:val="20"/>
                <w:szCs w:val="20"/>
                <w:lang w:val="en-CA" w:eastAsia="en-CA"/>
              </w:rPr>
              <w:t>-11%</w:t>
            </w:r>
          </w:p>
        </w:tc>
      </w:tr>
    </w:tbl>
    <w:p w:rsidR="002E0D48" w:rsidRPr="005F0AAA" w:rsidRDefault="002E0D48" w:rsidP="002E0D48">
      <w:pPr>
        <w:autoSpaceDE w:val="0"/>
        <w:autoSpaceDN w:val="0"/>
        <w:adjustRightInd w:val="0"/>
        <w:spacing w:before="0" w:after="0"/>
        <w:ind w:left="1800"/>
        <w:rPr>
          <w:color w:val="000000"/>
        </w:rPr>
      </w:pPr>
      <w:r w:rsidRPr="009C1C1C">
        <w:rPr>
          <w:color w:val="000000"/>
          <w:sz w:val="18"/>
        </w:rPr>
        <w:t xml:space="preserve">Source:  </w:t>
      </w:r>
      <w:r>
        <w:rPr>
          <w:color w:val="000000"/>
          <w:sz w:val="18"/>
        </w:rPr>
        <w:t xml:space="preserve">Author’s compilations from </w:t>
      </w:r>
      <w:r w:rsidRPr="009C1C1C">
        <w:rPr>
          <w:color w:val="000000"/>
          <w:sz w:val="18"/>
        </w:rPr>
        <w:t>WDI</w:t>
      </w:r>
      <w:r>
        <w:rPr>
          <w:rStyle w:val="FootnoteReference"/>
          <w:color w:val="000000"/>
          <w:sz w:val="18"/>
        </w:rPr>
        <w:footnoteReference w:id="20"/>
      </w:r>
      <w:r w:rsidRPr="009C1C1C">
        <w:rPr>
          <w:color w:val="000000"/>
          <w:sz w:val="18"/>
        </w:rPr>
        <w:t xml:space="preserve"> </w:t>
      </w:r>
    </w:p>
    <w:p w:rsidR="002E0D48" w:rsidRDefault="002E0D48" w:rsidP="002E0D48">
      <w:r>
        <w:t xml:space="preserve">The downturn in net FDI is marked in the years available for the CP period.  However, if the longer period of 2002-2010 is shown, the overall increase in net FDI is striking.  </w:t>
      </w:r>
    </w:p>
    <w:p w:rsidR="002E0D48" w:rsidRDefault="002E0D48" w:rsidP="002E0D48">
      <w:pPr>
        <w:pStyle w:val="Caption"/>
      </w:pPr>
      <w:r>
        <w:t>Net FDI, $US million, 2000-2010</w:t>
      </w:r>
    </w:p>
    <w:p w:rsidR="002E0D48" w:rsidRDefault="002E0D48" w:rsidP="002E0D48">
      <w:pPr>
        <w:pStyle w:val="Caption"/>
      </w:pPr>
      <w:r w:rsidRPr="00804041">
        <w:rPr>
          <w:noProof/>
          <w:lang w:val="en-US"/>
        </w:rPr>
        <w:drawing>
          <wp:inline distT="0" distB="0" distL="0" distR="0">
            <wp:extent cx="5466871" cy="3039866"/>
            <wp:effectExtent l="19050" t="0" r="19529" b="8134"/>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E0D48" w:rsidRDefault="002E0D48" w:rsidP="002E0D48"/>
    <w:p w:rsidR="002E0D48" w:rsidRDefault="002E0D48" w:rsidP="002E0D48"/>
    <w:tbl>
      <w:tblPr>
        <w:tblW w:w="0" w:type="auto"/>
        <w:jc w:val="center"/>
        <w:tblLook w:val="04A0"/>
      </w:tblPr>
      <w:tblGrid>
        <w:gridCol w:w="1493"/>
        <w:gridCol w:w="581"/>
        <w:gridCol w:w="596"/>
        <w:gridCol w:w="581"/>
        <w:gridCol w:w="668"/>
        <w:gridCol w:w="668"/>
        <w:gridCol w:w="668"/>
        <w:gridCol w:w="668"/>
        <w:gridCol w:w="668"/>
        <w:gridCol w:w="668"/>
      </w:tblGrid>
      <w:tr w:rsidR="002E0D48" w:rsidRPr="00D33C15" w:rsidTr="00041B03">
        <w:trPr>
          <w:trHeight w:val="315"/>
          <w:jc w:val="center"/>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20"/>
                <w:szCs w:val="20"/>
                <w:lang w:val="en-CA" w:eastAsia="en-CA"/>
              </w:rPr>
            </w:pPr>
            <w:r w:rsidRPr="006C7084">
              <w:rPr>
                <w:rFonts w:ascii="Arial" w:eastAsia="Times New Roman" w:hAnsi="Arial" w:cs="Arial"/>
                <w:bCs/>
                <w:sz w:val="20"/>
                <w:szCs w:val="20"/>
                <w:lang w:val="en-CA" w:eastAsia="en-CA"/>
              </w:rPr>
              <w:t>Foreign direct investment, net inflows</w:t>
            </w:r>
            <w:r>
              <w:rPr>
                <w:rFonts w:ascii="Arial" w:eastAsia="Times New Roman" w:hAnsi="Arial" w:cs="Arial"/>
                <w:bCs/>
                <w:sz w:val="16"/>
                <w:szCs w:val="24"/>
                <w:lang w:val="en-CA" w:eastAsia="en-CA"/>
              </w:rPr>
              <w:t>, 2002-10</w:t>
            </w:r>
            <w:r w:rsidRPr="006C7084">
              <w:rPr>
                <w:rFonts w:ascii="Arial" w:eastAsia="Times New Roman" w:hAnsi="Arial" w:cs="Arial"/>
                <w:bCs/>
                <w:sz w:val="16"/>
                <w:szCs w:val="24"/>
                <w:lang w:val="en-CA" w:eastAsia="en-CA"/>
              </w:rPr>
              <w:t xml:space="preserve"> (current US$</w:t>
            </w:r>
            <w:r>
              <w:rPr>
                <w:rFonts w:ascii="Arial" w:eastAsia="Times New Roman" w:hAnsi="Arial" w:cs="Arial"/>
                <w:bCs/>
                <w:sz w:val="16"/>
                <w:szCs w:val="24"/>
                <w:lang w:val="en-CA" w:eastAsia="en-CA"/>
              </w:rPr>
              <w:t xml:space="preserve"> millions</w:t>
            </w:r>
            <w:r w:rsidRPr="006C7084">
              <w:rPr>
                <w:rFonts w:ascii="Arial" w:eastAsia="Times New Roman" w:hAnsi="Arial" w:cs="Arial"/>
                <w:bCs/>
                <w:sz w:val="16"/>
                <w:szCs w:val="24"/>
                <w:lang w:val="en-CA" w:eastAsia="en-CA"/>
              </w:rPr>
              <w:t>)</w:t>
            </w:r>
          </w:p>
        </w:tc>
      </w:tr>
      <w:tr w:rsidR="002E0D48" w:rsidRPr="00D33C15" w:rsidTr="00041B03">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rPr>
                <w:rFonts w:ascii="Arial Narrow" w:eastAsia="Times New Roman" w:hAnsi="Arial Narrow" w:cs="Times New Roman"/>
                <w:sz w:val="20"/>
                <w:szCs w:val="20"/>
                <w:lang w:val="en-CA" w:eastAsia="en-CA"/>
              </w:rPr>
            </w:pPr>
            <w:r w:rsidRPr="00D33C15">
              <w:rPr>
                <w:rFonts w:ascii="Arial Narrow" w:eastAsia="Times New Roman" w:hAnsi="Arial Narrow" w:cs="Times New Roman"/>
                <w:sz w:val="20"/>
                <w:szCs w:val="20"/>
                <w:lang w:val="en-CA" w:eastAsia="en-CA"/>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20"/>
                <w:szCs w:val="20"/>
                <w:lang w:val="en-CA" w:eastAsia="en-CA"/>
              </w:rPr>
            </w:pPr>
            <w:r w:rsidRPr="00D33C15">
              <w:rPr>
                <w:rFonts w:ascii="Arial Narrow" w:eastAsia="Times New Roman" w:hAnsi="Arial Narrow" w:cs="Times New Roman"/>
                <w:sz w:val="20"/>
                <w:szCs w:val="20"/>
                <w:lang w:val="en-CA" w:eastAsia="en-CA"/>
              </w:rPr>
              <w:t>2002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20"/>
                <w:szCs w:val="20"/>
                <w:lang w:val="en-CA" w:eastAsia="en-CA"/>
              </w:rPr>
            </w:pPr>
            <w:r w:rsidRPr="00D33C15">
              <w:rPr>
                <w:rFonts w:ascii="Arial Narrow" w:eastAsia="Times New Roman" w:hAnsi="Arial Narrow" w:cs="Times New Roman"/>
                <w:sz w:val="20"/>
                <w:szCs w:val="20"/>
                <w:lang w:val="en-CA" w:eastAsia="en-CA"/>
              </w:rPr>
              <w:t>2003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20"/>
                <w:szCs w:val="20"/>
                <w:lang w:val="en-CA" w:eastAsia="en-CA"/>
              </w:rPr>
            </w:pPr>
            <w:r w:rsidRPr="00D33C15">
              <w:rPr>
                <w:rFonts w:ascii="Arial Narrow" w:eastAsia="Times New Roman" w:hAnsi="Arial Narrow" w:cs="Times New Roman"/>
                <w:sz w:val="20"/>
                <w:szCs w:val="20"/>
                <w:lang w:val="en-CA" w:eastAsia="en-CA"/>
              </w:rPr>
              <w:t>2004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20"/>
                <w:szCs w:val="20"/>
                <w:lang w:val="en-CA" w:eastAsia="en-CA"/>
              </w:rPr>
            </w:pPr>
            <w:r w:rsidRPr="00D33C15">
              <w:rPr>
                <w:rFonts w:ascii="Arial Narrow" w:eastAsia="Times New Roman" w:hAnsi="Arial Narrow" w:cs="Times New Roman"/>
                <w:sz w:val="20"/>
                <w:szCs w:val="20"/>
                <w:lang w:val="en-CA" w:eastAsia="en-CA"/>
              </w:rPr>
              <w:t>2005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20"/>
                <w:szCs w:val="20"/>
                <w:lang w:val="en-CA" w:eastAsia="en-CA"/>
              </w:rPr>
            </w:pPr>
            <w:r w:rsidRPr="00D33C15">
              <w:rPr>
                <w:rFonts w:ascii="Arial Narrow" w:eastAsia="Times New Roman" w:hAnsi="Arial Narrow" w:cs="Times New Roman"/>
                <w:sz w:val="20"/>
                <w:szCs w:val="20"/>
                <w:lang w:val="en-CA" w:eastAsia="en-CA"/>
              </w:rPr>
              <w:t>2006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20"/>
                <w:szCs w:val="20"/>
                <w:lang w:val="en-CA" w:eastAsia="en-CA"/>
              </w:rPr>
            </w:pPr>
            <w:r w:rsidRPr="00D33C15">
              <w:rPr>
                <w:rFonts w:ascii="Arial Narrow" w:eastAsia="Times New Roman" w:hAnsi="Arial Narrow" w:cs="Times New Roman"/>
                <w:sz w:val="20"/>
                <w:szCs w:val="20"/>
                <w:lang w:val="en-CA" w:eastAsia="en-CA"/>
              </w:rPr>
              <w:t>2007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20"/>
                <w:szCs w:val="20"/>
                <w:lang w:val="en-CA" w:eastAsia="en-CA"/>
              </w:rPr>
            </w:pPr>
            <w:r w:rsidRPr="00D33C15">
              <w:rPr>
                <w:rFonts w:ascii="Arial Narrow" w:eastAsia="Times New Roman" w:hAnsi="Arial Narrow" w:cs="Times New Roman"/>
                <w:sz w:val="20"/>
                <w:szCs w:val="20"/>
                <w:lang w:val="en-CA" w:eastAsia="en-CA"/>
              </w:rPr>
              <w:t>2008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20"/>
                <w:szCs w:val="20"/>
                <w:lang w:val="en-CA" w:eastAsia="en-CA"/>
              </w:rPr>
            </w:pPr>
            <w:r w:rsidRPr="00D33C15">
              <w:rPr>
                <w:rFonts w:ascii="Arial Narrow" w:eastAsia="Times New Roman" w:hAnsi="Arial Narrow" w:cs="Times New Roman"/>
                <w:sz w:val="20"/>
                <w:szCs w:val="20"/>
                <w:lang w:val="en-CA" w:eastAsia="en-CA"/>
              </w:rPr>
              <w:t>2009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20"/>
                <w:szCs w:val="20"/>
                <w:lang w:val="en-CA" w:eastAsia="en-CA"/>
              </w:rPr>
            </w:pPr>
            <w:r w:rsidRPr="00D33C15">
              <w:rPr>
                <w:rFonts w:ascii="Arial Narrow" w:eastAsia="Times New Roman" w:hAnsi="Arial Narrow" w:cs="Times New Roman"/>
                <w:sz w:val="20"/>
                <w:szCs w:val="20"/>
                <w:lang w:val="en-CA" w:eastAsia="en-CA"/>
              </w:rPr>
              <w:t>2010</w:t>
            </w:r>
          </w:p>
        </w:tc>
      </w:tr>
      <w:tr w:rsidR="002E0D48" w:rsidRPr="00D33C15" w:rsidTr="00041B03">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FDI net</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8"/>
                <w:szCs w:val="14"/>
                <w:lang w:val="en-CA" w:eastAsia="en-CA"/>
              </w:rPr>
            </w:pPr>
            <w:r w:rsidRPr="00D33C15">
              <w:rPr>
                <w:rFonts w:ascii="Arial Narrow" w:eastAsia="Times New Roman" w:hAnsi="Arial Narrow" w:cs="Times New Roman"/>
                <w:sz w:val="18"/>
                <w:szCs w:val="14"/>
                <w:lang w:val="en-CA" w:eastAsia="en-CA"/>
              </w:rPr>
              <w:t>614</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8"/>
                <w:szCs w:val="14"/>
                <w:lang w:val="en-CA" w:eastAsia="en-CA"/>
              </w:rPr>
            </w:pPr>
            <w:r w:rsidRPr="00D33C15">
              <w:rPr>
                <w:rFonts w:ascii="Arial Narrow" w:eastAsia="Times New Roman" w:hAnsi="Arial Narrow" w:cs="Times New Roman"/>
                <w:color w:val="FF0000"/>
                <w:sz w:val="18"/>
                <w:szCs w:val="14"/>
                <w:lang w:val="en-CA" w:eastAsia="en-CA"/>
              </w:rPr>
              <w:t>-58</w:t>
            </w:r>
            <w:r>
              <w:rPr>
                <w:rFonts w:ascii="Arial Narrow" w:eastAsia="Times New Roman" w:hAnsi="Arial Narrow" w:cs="Times New Roman"/>
                <w:color w:val="FF0000"/>
                <w:sz w:val="18"/>
                <w:szCs w:val="14"/>
                <w:lang w:val="en-CA" w:eastAsia="en-CA"/>
              </w:rPr>
              <w:t>7</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8"/>
                <w:szCs w:val="14"/>
                <w:lang w:val="en-CA" w:eastAsia="en-CA"/>
              </w:rPr>
            </w:pPr>
            <w:r w:rsidRPr="00D33C15">
              <w:rPr>
                <w:rFonts w:ascii="Arial Narrow" w:eastAsia="Times New Roman" w:hAnsi="Arial Narrow" w:cs="Times New Roman"/>
                <w:color w:val="FF0000"/>
                <w:sz w:val="18"/>
                <w:szCs w:val="14"/>
                <w:lang w:val="en-CA" w:eastAsia="en-CA"/>
              </w:rPr>
              <w:t>-33</w:t>
            </w:r>
            <w:r>
              <w:rPr>
                <w:rFonts w:ascii="Arial Narrow" w:eastAsia="Times New Roman" w:hAnsi="Arial Narrow" w:cs="Times New Roman"/>
                <w:color w:val="FF0000"/>
                <w:sz w:val="18"/>
                <w:szCs w:val="14"/>
                <w:lang w:val="en-CA" w:eastAsia="en-CA"/>
              </w:rPr>
              <w:t>4</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8"/>
                <w:szCs w:val="14"/>
                <w:lang w:val="en-CA" w:eastAsia="en-CA"/>
              </w:rPr>
            </w:pPr>
            <w:r>
              <w:rPr>
                <w:rFonts w:ascii="Arial Narrow" w:eastAsia="Times New Roman" w:hAnsi="Arial Narrow" w:cs="Times New Roman"/>
                <w:sz w:val="18"/>
                <w:szCs w:val="14"/>
                <w:lang w:val="en-CA" w:eastAsia="en-CA"/>
              </w:rPr>
              <w:t>12,107</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8"/>
                <w:szCs w:val="14"/>
                <w:lang w:val="en-CA" w:eastAsia="en-CA"/>
              </w:rPr>
            </w:pPr>
            <w:r w:rsidRPr="00D33C15">
              <w:rPr>
                <w:rFonts w:ascii="Arial Narrow" w:eastAsia="Times New Roman" w:hAnsi="Arial Narrow" w:cs="Times New Roman"/>
                <w:sz w:val="18"/>
                <w:szCs w:val="14"/>
                <w:lang w:val="en-CA" w:eastAsia="en-CA"/>
              </w:rPr>
              <w:t>18,317</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8"/>
                <w:szCs w:val="14"/>
                <w:lang w:val="en-CA" w:eastAsia="en-CA"/>
              </w:rPr>
            </w:pPr>
            <w:r>
              <w:rPr>
                <w:rFonts w:ascii="Arial Narrow" w:eastAsia="Times New Roman" w:hAnsi="Arial Narrow" w:cs="Times New Roman"/>
                <w:sz w:val="18"/>
                <w:szCs w:val="14"/>
                <w:lang w:val="en-CA" w:eastAsia="en-CA"/>
              </w:rPr>
              <w:t>24,334</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8"/>
                <w:szCs w:val="14"/>
                <w:lang w:val="en-CA" w:eastAsia="en-CA"/>
              </w:rPr>
            </w:pPr>
            <w:r w:rsidRPr="00D33C15">
              <w:rPr>
                <w:rFonts w:ascii="Arial Narrow" w:eastAsia="Times New Roman" w:hAnsi="Arial Narrow" w:cs="Times New Roman"/>
                <w:sz w:val="18"/>
                <w:szCs w:val="14"/>
                <w:lang w:val="en-CA" w:eastAsia="en-CA"/>
              </w:rPr>
              <w:t>39,455</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8"/>
                <w:szCs w:val="14"/>
                <w:lang w:val="en-CA" w:eastAsia="en-CA"/>
              </w:rPr>
            </w:pPr>
            <w:r>
              <w:rPr>
                <w:rFonts w:ascii="Arial Narrow" w:eastAsia="Times New Roman" w:hAnsi="Arial Narrow" w:cs="Times New Roman"/>
                <w:sz w:val="18"/>
                <w:szCs w:val="14"/>
                <w:lang w:val="en-CA" w:eastAsia="en-CA"/>
              </w:rPr>
              <w:t>36,458</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8"/>
                <w:szCs w:val="14"/>
                <w:lang w:val="en-CA" w:eastAsia="en-CA"/>
              </w:rPr>
            </w:pPr>
            <w:r w:rsidRPr="00D33C15">
              <w:rPr>
                <w:rFonts w:ascii="Arial Narrow" w:eastAsia="Times New Roman" w:hAnsi="Arial Narrow" w:cs="Times New Roman"/>
                <w:sz w:val="18"/>
                <w:szCs w:val="14"/>
                <w:lang w:val="en-CA" w:eastAsia="en-CA"/>
              </w:rPr>
              <w:t>21,560</w:t>
            </w:r>
          </w:p>
        </w:tc>
      </w:tr>
      <w:tr w:rsidR="002E0D48" w:rsidRPr="00D33C15" w:rsidTr="00041B03">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year-on-year increase</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-196%</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-43%</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3721%</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51%</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33%</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62%</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-8%</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-41%</w:t>
            </w:r>
          </w:p>
        </w:tc>
      </w:tr>
      <w:tr w:rsidR="002E0D48" w:rsidRPr="00D33C15" w:rsidTr="00041B03">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increase, 2002-10</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rsidR="002E0D48" w:rsidRPr="00D33C15" w:rsidRDefault="002E0D48" w:rsidP="00041B03">
            <w:pPr>
              <w:spacing w:before="0" w:after="0"/>
              <w:jc w:val="right"/>
              <w:rPr>
                <w:rFonts w:ascii="Arial Narrow" w:eastAsia="Times New Roman" w:hAnsi="Arial Narrow" w:cs="Times New Roman"/>
                <w:sz w:val="16"/>
                <w:szCs w:val="16"/>
                <w:lang w:val="en-CA" w:eastAsia="en-CA"/>
              </w:rPr>
            </w:pPr>
            <w:r w:rsidRPr="00D33C15">
              <w:rPr>
                <w:rFonts w:ascii="Arial Narrow" w:eastAsia="Times New Roman" w:hAnsi="Arial Narrow" w:cs="Times New Roman"/>
                <w:sz w:val="16"/>
                <w:szCs w:val="16"/>
                <w:lang w:val="en-CA" w:eastAsia="en-CA"/>
              </w:rPr>
              <w:t>3411%</w:t>
            </w:r>
          </w:p>
        </w:tc>
      </w:tr>
    </w:tbl>
    <w:p w:rsidR="002E0D48" w:rsidRPr="008C6994" w:rsidRDefault="002E0D48" w:rsidP="002E0D48">
      <w:pPr>
        <w:ind w:left="720" w:firstLine="720"/>
        <w:rPr>
          <w:vertAlign w:val="superscript"/>
        </w:rPr>
      </w:pPr>
      <w:r w:rsidRPr="009C1C1C">
        <w:rPr>
          <w:color w:val="000000"/>
          <w:sz w:val="18"/>
        </w:rPr>
        <w:t xml:space="preserve">Source:  </w:t>
      </w:r>
      <w:r>
        <w:rPr>
          <w:color w:val="000000"/>
          <w:sz w:val="18"/>
        </w:rPr>
        <w:t xml:space="preserve">Author’s compilations from </w:t>
      </w:r>
      <w:r w:rsidRPr="009C1C1C">
        <w:rPr>
          <w:color w:val="000000"/>
          <w:sz w:val="18"/>
        </w:rPr>
        <w:t>WDI</w:t>
      </w:r>
      <w:r>
        <w:rPr>
          <w:color w:val="000000"/>
          <w:sz w:val="18"/>
          <w:vertAlign w:val="superscript"/>
        </w:rPr>
        <w:t xml:space="preserve"> </w:t>
      </w:r>
      <w:r>
        <w:t>(</w:t>
      </w:r>
      <w:r w:rsidRPr="00E13B3C">
        <w:t>see References</w:t>
      </w:r>
      <w:r>
        <w:t>)</w:t>
      </w:r>
    </w:p>
    <w:p w:rsidR="002E0D48" w:rsidRDefault="002E0D48" w:rsidP="002E0D48">
      <w:r>
        <w:t>As Figure 3.5 in the text (Chapter 3) shows, FDI, without netting out of outflows, increased from $US 183 million in 2000, to over $US 28 billion in 2010.  The downturn in 2009 reflects the impact of the global financial crisis beginning in late 2008, as well as Saudi net disinvestments including capital expenditures abroad.</w:t>
      </w:r>
    </w:p>
    <w:p w:rsidR="002E0D48" w:rsidRDefault="002E0D48" w:rsidP="002E0D48">
      <w:pPr>
        <w:spacing w:before="240" w:after="240"/>
      </w:pPr>
    </w:p>
    <w:p w:rsidR="009E67CD" w:rsidRDefault="009E67CD" w:rsidP="009E67CD">
      <w:pPr>
        <w:pStyle w:val="Heading1"/>
      </w:pPr>
      <w:bookmarkStart w:id="69" w:name="_Toc325871796"/>
      <w:r>
        <w:t>Annex 2. Note on Methodology</w:t>
      </w:r>
      <w:bookmarkEnd w:id="69"/>
    </w:p>
    <w:p w:rsidR="00135409" w:rsidRPr="00135409" w:rsidRDefault="00135409" w:rsidP="00135409">
      <w:pPr>
        <w:jc w:val="both"/>
        <w:rPr>
          <w:rFonts w:asciiTheme="majorBidi" w:hAnsiTheme="majorBidi" w:cstheme="majorBidi"/>
          <w:b/>
          <w:bCs/>
        </w:rPr>
      </w:pPr>
      <w:r w:rsidRPr="00135409">
        <w:rPr>
          <w:rFonts w:asciiTheme="majorBidi" w:hAnsiTheme="majorBidi" w:cstheme="majorBidi"/>
          <w:b/>
          <w:bCs/>
        </w:rPr>
        <w:t>Objective of the evaluation</w:t>
      </w:r>
    </w:p>
    <w:p w:rsidR="00135409" w:rsidRDefault="00135409" w:rsidP="00135409">
      <w:r>
        <w:t>As detailed in the Terms of Reference (TORs), given in Annex 3, t</w:t>
      </w:r>
      <w:r w:rsidRPr="00025E88">
        <w:t xml:space="preserve">he </w:t>
      </w:r>
      <w:r w:rsidR="003D3919" w:rsidRPr="00025E88">
        <w:t xml:space="preserve">Outcome Evaluation </w:t>
      </w:r>
      <w:r>
        <w:t>was required to</w:t>
      </w:r>
      <w:r w:rsidRPr="00025E88">
        <w:t xml:space="preserve"> </w:t>
      </w:r>
      <w:r>
        <w:t>analyse the Outcome in the sense of assessing what and how much progress had</w:t>
      </w:r>
      <w:r w:rsidRPr="00025E88">
        <w:t xml:space="preserve"> been made towards the achievement of the outcome (including contributing factors and constraints), the relevance of and progress made in terms of the UNDP outputs (including an analysis of both project activities and soft-assistance activities), and what contribution UNDP has made/is making to the progress </w:t>
      </w:r>
      <w:r>
        <w:t>towards the achievement of the O</w:t>
      </w:r>
      <w:r w:rsidRPr="00025E88">
        <w:t xml:space="preserve">utcome (including an analysis of the partnership strategy). </w:t>
      </w:r>
    </w:p>
    <w:p w:rsidR="00135409" w:rsidRPr="00025E88" w:rsidRDefault="00135409" w:rsidP="00135409">
      <w:r w:rsidRPr="00025E88">
        <w:t>The results of the outcome evaluation</w:t>
      </w:r>
      <w:r w:rsidR="00876471">
        <w:t xml:space="preserve"> should be articulated in such a way as to provide direction or focus for a </w:t>
      </w:r>
      <w:r>
        <w:t>new Country Programme (CPD)</w:t>
      </w:r>
      <w:r w:rsidRPr="00025E88">
        <w:t xml:space="preserve"> and future programming of a similar nature.</w:t>
      </w:r>
    </w:p>
    <w:p w:rsidR="00135409" w:rsidRPr="00876471" w:rsidRDefault="00135409" w:rsidP="00876471">
      <w:pPr>
        <w:rPr>
          <w:rFonts w:asciiTheme="majorBidi" w:hAnsiTheme="majorBidi" w:cstheme="majorBidi"/>
          <w:b/>
          <w:bCs/>
        </w:rPr>
      </w:pPr>
      <w:r w:rsidRPr="00876471">
        <w:rPr>
          <w:rFonts w:asciiTheme="majorBidi" w:hAnsiTheme="majorBidi" w:cstheme="majorBidi"/>
          <w:b/>
          <w:bCs/>
        </w:rPr>
        <w:t>Scope of the evaluation</w:t>
      </w:r>
    </w:p>
    <w:p w:rsidR="00135409" w:rsidRDefault="00A22281" w:rsidP="00135409">
      <w:pPr>
        <w:rPr>
          <w:color w:val="000000" w:themeColor="text1"/>
        </w:rPr>
      </w:pPr>
      <w:r>
        <w:t>The</w:t>
      </w:r>
      <w:r w:rsidR="00135409" w:rsidRPr="00025E88">
        <w:t xml:space="preserve"> evaluation </w:t>
      </w:r>
      <w:r>
        <w:t>examined</w:t>
      </w:r>
      <w:r w:rsidR="00135409" w:rsidRPr="00025E88">
        <w:t xml:space="preserve"> the relevance and contributions of UNDP project activities and </w:t>
      </w:r>
      <w:r w:rsidR="00135409">
        <w:t>upstream policy advice</w:t>
      </w:r>
      <w:r w:rsidR="00135409" w:rsidRPr="00025E88">
        <w:t xml:space="preserve"> efforts with regard to the outcome. Specifically, the outcome evaluation </w:t>
      </w:r>
      <w:r>
        <w:t xml:space="preserve">addressed the question:  </w:t>
      </w:r>
      <w:r w:rsidR="00135409" w:rsidRPr="007F5432">
        <w:rPr>
          <w:color w:val="000000" w:themeColor="text1"/>
        </w:rPr>
        <w:t>How</w:t>
      </w:r>
      <w:r w:rsidR="00135409">
        <w:rPr>
          <w:color w:val="000000" w:themeColor="text1"/>
        </w:rPr>
        <w:t xml:space="preserve"> did UNDP outputs contribute to economic diversification of the country?</w:t>
      </w:r>
    </w:p>
    <w:p w:rsidR="003D3919" w:rsidRDefault="00176183">
      <w:r>
        <w:t xml:space="preserve">To do so, it assessed the role of UNDP outputs with respect to the question of their continuing relevance to the Outcome concerned; to progress of the outputs by the end of the CP period; and to other </w:t>
      </w:r>
      <w:r w:rsidRPr="00025E88">
        <w:t>factors (positive and negative) that affect</w:t>
      </w:r>
      <w:r w:rsidR="003D3919">
        <w:t>ed</w:t>
      </w:r>
      <w:r w:rsidRPr="00025E88">
        <w:t xml:space="preserve"> th</w:t>
      </w:r>
      <w:r w:rsidR="003D3919">
        <w:t xml:space="preserve">e accomplishment of the outputs.  Further, it looked at </w:t>
      </w:r>
      <w:r w:rsidRPr="00025E88">
        <w:t>UNDP’s ability to advocate best practices and desired goals</w:t>
      </w:r>
      <w:r w:rsidR="003D3919">
        <w:t>,</w:t>
      </w:r>
      <w:r w:rsidRPr="00025E88">
        <w:t xml:space="preserve"> and to influence national </w:t>
      </w:r>
      <w:r>
        <w:t xml:space="preserve">and local </w:t>
      </w:r>
      <w:r w:rsidRPr="00025E88">
        <w:t>policies on sustainable development.</w:t>
      </w:r>
      <w:r w:rsidR="003D3919">
        <w:t xml:space="preserve"> </w:t>
      </w:r>
    </w:p>
    <w:p w:rsidR="00176183" w:rsidRDefault="00176183" w:rsidP="00176183">
      <w:pPr>
        <w:jc w:val="both"/>
        <w:rPr>
          <w:b/>
        </w:rPr>
      </w:pPr>
      <w:r w:rsidRPr="003D3919">
        <w:rPr>
          <w:b/>
        </w:rPr>
        <w:t>Output-outcome link</w:t>
      </w:r>
    </w:p>
    <w:p w:rsidR="003D3919" w:rsidRDefault="003D3919" w:rsidP="003D3919">
      <w:r>
        <w:t>The Evaluation mission was asked to assess: w</w:t>
      </w:r>
      <w:r w:rsidR="00176183" w:rsidRPr="00025E88">
        <w:t xml:space="preserve">hether UNDP’s outputs </w:t>
      </w:r>
      <w:r>
        <w:t>could</w:t>
      </w:r>
      <w:r w:rsidR="00176183" w:rsidRPr="00025E88">
        <w:t xml:space="preserve"> be credibly linked to the achievement of the </w:t>
      </w:r>
      <w:r w:rsidRPr="00025E88">
        <w:t>Outcome</w:t>
      </w:r>
      <w:r w:rsidR="00176183" w:rsidRPr="00025E88">
        <w:t>;</w:t>
      </w:r>
      <w:r>
        <w:t xml:space="preserve"> </w:t>
      </w:r>
      <w:r w:rsidR="00176183" w:rsidRPr="00025E88">
        <w:t>the role of UNDP soft-assistance activities</w:t>
      </w:r>
      <w:r>
        <w:t>; and whether UNDP’s partnership strategy had</w:t>
      </w:r>
      <w:r w:rsidR="00176183" w:rsidRPr="00025E88">
        <w:t xml:space="preserve"> been appropriate and effective</w:t>
      </w:r>
      <w:r>
        <w:t xml:space="preserve">; and whether </w:t>
      </w:r>
      <w:r w:rsidRPr="00025E88">
        <w:t>UNDP interventions</w:t>
      </w:r>
      <w:r>
        <w:t xml:space="preserve"> could be expected to be sustainable.</w:t>
      </w:r>
    </w:p>
    <w:p w:rsidR="00FE2148" w:rsidRDefault="00FE2148" w:rsidP="00FE2148">
      <w:pPr>
        <w:jc w:val="both"/>
        <w:rPr>
          <w:b/>
        </w:rPr>
      </w:pPr>
      <w:r>
        <w:rPr>
          <w:b/>
        </w:rPr>
        <w:t>Evaluation approach</w:t>
      </w:r>
    </w:p>
    <w:p w:rsidR="00FE2148" w:rsidRPr="00025E88" w:rsidRDefault="00FE2148" w:rsidP="00FE2148">
      <w:r>
        <w:t>O</w:t>
      </w:r>
      <w:r w:rsidRPr="00025E88">
        <w:t xml:space="preserve">verall guidance </w:t>
      </w:r>
      <w:r>
        <w:t>was taken from</w:t>
      </w:r>
      <w:r w:rsidRPr="00025E88">
        <w:t xml:space="preserve"> </w:t>
      </w:r>
      <w:r w:rsidRPr="00FE2148">
        <w:t>the UNDP Guidelines for Outcome Evaluators</w:t>
      </w:r>
      <w:r>
        <w:t xml:space="preserve">, as well as documents noted in the References section:  </w:t>
      </w:r>
      <w:r w:rsidR="00FF57BE">
        <w:t>the UNDP Technical Note, “</w:t>
      </w:r>
      <w:r w:rsidR="00FF57BE" w:rsidRPr="008B25CB">
        <w:rPr>
          <w:rFonts w:ascii="Times New Roman" w:hAnsi="Times New Roman" w:cs="Times New Roman"/>
        </w:rPr>
        <w:t>Knowing the What and the How</w:t>
      </w:r>
      <w:r w:rsidR="00FF57BE">
        <w:rPr>
          <w:rFonts w:ascii="Times New Roman" w:hAnsi="Times New Roman" w:cs="Times New Roman"/>
        </w:rPr>
        <w:t xml:space="preserve">” (see UNDP 2007), the </w:t>
      </w:r>
      <w:r w:rsidR="00FF57BE">
        <w:t>Handbook on Planning, Monitoring and Evaluating for Development Results (UNDP 2009), and other Outcome Evaluations prepared earlier for</w:t>
      </w:r>
      <w:r w:rsidR="008167FE">
        <w:t xml:space="preserve"> the UNDP KSA 2007-2011 </w:t>
      </w:r>
      <w:r w:rsidR="00FF57BE">
        <w:t>CP.</w:t>
      </w:r>
    </w:p>
    <w:p w:rsidR="00FE2148" w:rsidRDefault="00FE2148" w:rsidP="00FE2148">
      <w:r w:rsidRPr="00025E88">
        <w:t>Specifically, during the out</w:t>
      </w:r>
      <w:r w:rsidR="008167FE">
        <w:t>come evaluation, the evaluator applied</w:t>
      </w:r>
      <w:r w:rsidRPr="00025E88">
        <w:t xml:space="preserve"> the following approaches for data collection and analysis: (</w:t>
      </w:r>
      <w:proofErr w:type="spellStart"/>
      <w:r w:rsidRPr="00025E88">
        <w:t>i</w:t>
      </w:r>
      <w:proofErr w:type="spellEnd"/>
      <w:r w:rsidRPr="00025E88">
        <w:t>) desk review of existing documents and materials, (ii) interviews with partners and stakeholders</w:t>
      </w:r>
      <w:r>
        <w:t>, and (iii</w:t>
      </w:r>
      <w:r w:rsidRPr="00025E88">
        <w:t xml:space="preserve">) briefing and debriefing sessions with UNDP and the government, as well as with </w:t>
      </w:r>
      <w:r>
        <w:t>other partners</w:t>
      </w:r>
      <w:r w:rsidRPr="00025E88">
        <w:t>.</w:t>
      </w:r>
    </w:p>
    <w:p w:rsidR="008167FE" w:rsidRDefault="008167FE" w:rsidP="00FC1714">
      <w:r>
        <w:t xml:space="preserve">Persons met and consulted are listed in Annex </w:t>
      </w:r>
      <w:r w:rsidR="00FC1714">
        <w:t>4.</w:t>
      </w:r>
    </w:p>
    <w:p w:rsidR="009E67CD" w:rsidRDefault="009E67CD" w:rsidP="009E67CD">
      <w:pPr>
        <w:pStyle w:val="Heading1"/>
      </w:pPr>
      <w:bookmarkStart w:id="70" w:name="_Toc325871797"/>
      <w:r>
        <w:t>Annex 3. Terms of Reference, Outcome 2</w:t>
      </w:r>
      <w:r w:rsidR="004A1B0E">
        <w:t xml:space="preserve"> Evaluation</w:t>
      </w:r>
      <w:bookmarkEnd w:id="70"/>
    </w:p>
    <w:p w:rsidR="007021EA" w:rsidRDefault="007021EA" w:rsidP="007021EA">
      <w:r>
        <w:t>Note:  the Terms of Reference (TORs) covered two assignments, for the separate evaluations of Outcomes 2 and 3.  The portions of the TORs relating to the relevant Outcome are given below.</w:t>
      </w:r>
    </w:p>
    <w:p w:rsidR="007021EA" w:rsidRPr="007021EA" w:rsidRDefault="007021EA" w:rsidP="007021EA"/>
    <w:p w:rsidR="002E0D48" w:rsidRPr="00B95E2D" w:rsidRDefault="002E0D48" w:rsidP="00B95E2D"/>
    <w:p w:rsidR="002E0D48" w:rsidRPr="002E0D48" w:rsidRDefault="00400D5C" w:rsidP="002E0D48">
      <w:pPr>
        <w:jc w:val="center"/>
        <w:rPr>
          <w:b/>
        </w:rPr>
      </w:pPr>
      <w:r>
        <w:rPr>
          <w:b/>
        </w:rPr>
        <w:t xml:space="preserve">UNDP </w:t>
      </w:r>
      <w:r w:rsidR="002E0D48" w:rsidRPr="002E0D48">
        <w:rPr>
          <w:b/>
        </w:rPr>
        <w:t>INDIVIDUAL CONSULTANT PROCUREMENT NOTICE</w:t>
      </w:r>
    </w:p>
    <w:p w:rsidR="002E0D48" w:rsidRDefault="002E0D48" w:rsidP="002E0D48">
      <w:pPr>
        <w:tabs>
          <w:tab w:val="left" w:pos="1410"/>
        </w:tabs>
        <w:jc w:val="right"/>
      </w:pPr>
      <w:r>
        <w:t xml:space="preserve">                          Date:     </w:t>
      </w:r>
      <w:r w:rsidRPr="008B0751">
        <w:t>March 2012</w:t>
      </w:r>
      <w:r>
        <w:t xml:space="preserve"> </w:t>
      </w:r>
    </w:p>
    <w:p w:rsidR="002E0D48" w:rsidRPr="009E2B22" w:rsidRDefault="00D96907" w:rsidP="002E0D48">
      <w:pPr>
        <w:tabs>
          <w:tab w:val="left" w:pos="1410"/>
        </w:tabs>
        <w:rPr>
          <w:b/>
        </w:rPr>
      </w:pPr>
      <w:r>
        <w:rPr>
          <w:b/>
          <w:noProof/>
          <w:lang w:val="en-US"/>
        </w:rPr>
        <w:pict>
          <v:shapetype id="_x0000_t32" coordsize="21600,21600" o:spt="32" o:oned="t" path="m,l21600,21600e" filled="f">
            <v:path arrowok="t" fillok="f" o:connecttype="none"/>
            <o:lock v:ext="edit" shapetype="t"/>
          </v:shapetype>
          <v:shape id="_x0000_s1026" type="#_x0000_t32" style="position:absolute;margin-left:-.75pt;margin-top:6.85pt;width:522.75pt;height:0;z-index:251660288" o:connectortype="straight" strokecolor="blue" strokeweight="4.5pt"/>
        </w:pict>
      </w:r>
    </w:p>
    <w:p w:rsidR="002E0D48" w:rsidRPr="009E2B22" w:rsidRDefault="002E0D48" w:rsidP="002E0D48">
      <w:pPr>
        <w:tabs>
          <w:tab w:val="left" w:pos="1410"/>
        </w:tabs>
        <w:rPr>
          <w:b/>
        </w:rPr>
      </w:pPr>
      <w:r w:rsidRPr="009E2B22">
        <w:rPr>
          <w:b/>
        </w:rPr>
        <w:t>Country:</w:t>
      </w:r>
      <w:r>
        <w:rPr>
          <w:b/>
        </w:rPr>
        <w:t xml:space="preserve"> Riyadh, Saudi Arabia</w:t>
      </w:r>
      <w:r>
        <w:rPr>
          <w:b/>
        </w:rPr>
        <w:tab/>
      </w:r>
      <w:r>
        <w:rPr>
          <w:b/>
        </w:rPr>
        <w:tab/>
      </w:r>
      <w:r>
        <w:rPr>
          <w:b/>
        </w:rPr>
        <w:tab/>
      </w:r>
    </w:p>
    <w:p w:rsidR="002E0D48" w:rsidRDefault="002E0D48" w:rsidP="002E0D48">
      <w:pPr>
        <w:rPr>
          <w:b/>
        </w:rPr>
      </w:pPr>
      <w:r>
        <w:rPr>
          <w:b/>
        </w:rPr>
        <w:t>Description of the assignment</w:t>
      </w:r>
      <w:r w:rsidRPr="009E2B22">
        <w:rPr>
          <w:b/>
        </w:rPr>
        <w:t>:</w:t>
      </w:r>
      <w:r>
        <w:rPr>
          <w:b/>
        </w:rPr>
        <w:t xml:space="preserve"> </w:t>
      </w:r>
      <w:r w:rsidRPr="00F4412E">
        <w:rPr>
          <w:b/>
        </w:rPr>
        <w:t>Outcome Evaluation</w:t>
      </w:r>
      <w:r w:rsidR="00112952">
        <w:rPr>
          <w:b/>
        </w:rPr>
        <w:t>s</w:t>
      </w:r>
    </w:p>
    <w:p w:rsidR="00112952" w:rsidRDefault="00112952" w:rsidP="00112952">
      <w:pPr>
        <w:tabs>
          <w:tab w:val="left" w:pos="1410"/>
        </w:tabs>
        <w:rPr>
          <w:b/>
        </w:rPr>
      </w:pPr>
      <w:r w:rsidRPr="009E2B22">
        <w:rPr>
          <w:b/>
        </w:rPr>
        <w:t>Period of assignment/services:</w:t>
      </w:r>
      <w:r>
        <w:rPr>
          <w:b/>
        </w:rPr>
        <w:t xml:space="preserve"> Two months </w:t>
      </w:r>
    </w:p>
    <w:p w:rsidR="002E0D48" w:rsidRDefault="00D96907" w:rsidP="002E0D48">
      <w:pPr>
        <w:tabs>
          <w:tab w:val="left" w:pos="1410"/>
        </w:tabs>
      </w:pPr>
      <w:r>
        <w:rPr>
          <w:noProof/>
          <w:lang w:val="en-US"/>
        </w:rPr>
        <w:pict>
          <v:shape id="_x0000_s1027" type="#_x0000_t32" style="position:absolute;margin-left:-.75pt;margin-top:8.55pt;width:522.75pt;height:0;z-index:251661312" o:connectortype="straight" strokecolor="blue" strokeweight="4.5pt"/>
        </w:pict>
      </w:r>
    </w:p>
    <w:p w:rsidR="002E0D48" w:rsidRDefault="002E0D48" w:rsidP="002E0D48">
      <w:pPr>
        <w:tabs>
          <w:tab w:val="left" w:pos="1410"/>
        </w:tabs>
        <w:rPr>
          <w:b/>
        </w:rPr>
      </w:pPr>
      <w:r w:rsidRPr="009E2B22">
        <w:rPr>
          <w:b/>
        </w:rPr>
        <w:t>1.</w:t>
      </w:r>
      <w:r>
        <w:rPr>
          <w:b/>
        </w:rPr>
        <w:t xml:space="preserve"> </w:t>
      </w:r>
      <w:r w:rsidRPr="009E2B22">
        <w:rPr>
          <w:b/>
        </w:rPr>
        <w:t>BACKGROUND</w:t>
      </w:r>
    </w:p>
    <w:tbl>
      <w:tblPr>
        <w:tblStyle w:val="TableGrid"/>
        <w:tblW w:w="0" w:type="auto"/>
        <w:tblLook w:val="04A0"/>
      </w:tblPr>
      <w:tblGrid>
        <w:gridCol w:w="9576"/>
      </w:tblGrid>
      <w:tr w:rsidR="002E0D48" w:rsidTr="00041B03">
        <w:tc>
          <w:tcPr>
            <w:tcW w:w="9576" w:type="dxa"/>
          </w:tcPr>
          <w:p w:rsidR="002E0D48" w:rsidRPr="00025E88" w:rsidRDefault="002E0D48" w:rsidP="00041B03">
            <w:pPr>
              <w:jc w:val="both"/>
            </w:pPr>
            <w:r w:rsidRPr="00025E88">
              <w:t>The growing demand for development effectiveness is largely based on the realization that producing good “deliverables” is simply not enough. Efficient or well-managed development projects and outputs will lose their relevance if they yield no discernible improvements in development conditions and ultimately in people’s lives. Being a key international development agency, the United Nations Development Programme (UNDP) has been increasing its focus on achievement of clearly stated results. Nowadays, results-based management (RBM) has become UNDP’s management philosophy.</w:t>
            </w:r>
          </w:p>
          <w:p w:rsidR="002E0D48" w:rsidRPr="00025E88" w:rsidRDefault="002E0D48" w:rsidP="00041B03">
            <w:pPr>
              <w:ind w:left="360"/>
              <w:jc w:val="both"/>
            </w:pPr>
          </w:p>
          <w:p w:rsidR="002E0D48" w:rsidRPr="0047496D" w:rsidRDefault="002E0D48" w:rsidP="00041B03">
            <w:pPr>
              <w:jc w:val="both"/>
              <w:rPr>
                <w:lang w:bidi="ar-JO"/>
              </w:rPr>
            </w:pPr>
            <w:r w:rsidRPr="00025E88">
              <w:t>As part of its efforts in enhancing RBM, UNDP has shifted from traditional project monitoring and evaluation (M&amp;E) to results-oriented M&amp;E, especially outcome monitoring and evaluation that cover a set of related projects, programmes and strategies intended to bring about a certain outcome. An outcome evaluation assesses how and why an outcome is or is not being achieved in a given country context, and the role that UNDP has played. Outcome evaluations also help to clarify underlying factors affecting the situation, highlight unintended consequences (positive and negative), recommend actions to improve performance in future programming, and generate lessons learned.</w:t>
            </w:r>
          </w:p>
        </w:tc>
      </w:tr>
    </w:tbl>
    <w:p w:rsidR="002E0D48" w:rsidRDefault="002E0D48" w:rsidP="002E0D48">
      <w:pPr>
        <w:tabs>
          <w:tab w:val="left" w:pos="1410"/>
        </w:tabs>
        <w:rPr>
          <w:b/>
        </w:rPr>
      </w:pPr>
    </w:p>
    <w:p w:rsidR="002E0D48" w:rsidRDefault="002E0D48" w:rsidP="002E0D48">
      <w:pPr>
        <w:rPr>
          <w:b/>
        </w:rPr>
      </w:pPr>
      <w:r>
        <w:rPr>
          <w:b/>
        </w:rPr>
        <w:t xml:space="preserve">2. SCOPE OF WORK, RESPONSIBILITIES AND DESCRIPTION OF THE PROPOSED ANALYTICAL WORK </w:t>
      </w:r>
    </w:p>
    <w:tbl>
      <w:tblPr>
        <w:tblStyle w:val="TableGrid"/>
        <w:tblW w:w="0" w:type="auto"/>
        <w:tblLook w:val="04A0"/>
      </w:tblPr>
      <w:tblGrid>
        <w:gridCol w:w="9576"/>
      </w:tblGrid>
      <w:tr w:rsidR="002E0D48" w:rsidTr="00041B03">
        <w:tc>
          <w:tcPr>
            <w:tcW w:w="9576" w:type="dxa"/>
          </w:tcPr>
          <w:p w:rsidR="002E0D48" w:rsidRDefault="002E0D48" w:rsidP="00041B03">
            <w:pPr>
              <w:jc w:val="both"/>
              <w:rPr>
                <w:rFonts w:asciiTheme="majorBidi" w:hAnsiTheme="majorBidi" w:cstheme="majorBidi"/>
                <w:b/>
                <w:bCs/>
                <w:u w:val="single"/>
              </w:rPr>
            </w:pPr>
            <w:r w:rsidRPr="00F10C2F">
              <w:rPr>
                <w:rFonts w:asciiTheme="majorBidi" w:hAnsiTheme="majorBidi" w:cstheme="majorBidi"/>
                <w:b/>
                <w:bCs/>
                <w:u w:val="single"/>
              </w:rPr>
              <w:t>Outcome to be evaluated</w:t>
            </w:r>
          </w:p>
          <w:p w:rsidR="002E0D48" w:rsidRPr="00F10C2F" w:rsidRDefault="002E0D48" w:rsidP="00041B03">
            <w:pPr>
              <w:jc w:val="both"/>
              <w:rPr>
                <w:rFonts w:asciiTheme="majorBidi" w:hAnsiTheme="majorBidi" w:cstheme="majorBidi"/>
                <w:b/>
                <w:bCs/>
                <w:u w:val="single"/>
              </w:rPr>
            </w:pPr>
            <w:r>
              <w:rPr>
                <w:rFonts w:asciiTheme="majorBidi" w:hAnsiTheme="majorBidi" w:cstheme="majorBidi"/>
                <w:b/>
                <w:bCs/>
                <w:u w:val="single"/>
              </w:rPr>
              <w:t xml:space="preserve">I) Outcome Two: </w:t>
            </w:r>
          </w:p>
          <w:p w:rsidR="002E0D48" w:rsidRDefault="002E0D48" w:rsidP="00041B03">
            <w:pPr>
              <w:spacing w:before="240" w:after="240"/>
              <w:ind w:left="360"/>
              <w:jc w:val="both"/>
            </w:pPr>
            <w:r w:rsidRPr="00F4729A">
              <w:t xml:space="preserve">UNDP’s </w:t>
            </w:r>
            <w:r>
              <w:t xml:space="preserve">Country </w:t>
            </w:r>
            <w:r w:rsidRPr="00F4729A">
              <w:t xml:space="preserve">Programme </w:t>
            </w:r>
            <w:r>
              <w:t xml:space="preserve">(CP; 2007-2011) </w:t>
            </w:r>
            <w:r w:rsidRPr="00F4729A">
              <w:t xml:space="preserve">constitutes a flexible partnership between Saudi Arabia and UNDP and is anchored in the overall development priorities of the country, as outlined in the eighth </w:t>
            </w:r>
            <w:r>
              <w:t xml:space="preserve">and ninth </w:t>
            </w:r>
            <w:r w:rsidRPr="00F4729A">
              <w:t>development plan</w:t>
            </w:r>
            <w:r>
              <w:t>s</w:t>
            </w:r>
            <w:r w:rsidRPr="00F4729A">
              <w:t>. The plan</w:t>
            </w:r>
            <w:r>
              <w:t>s</w:t>
            </w:r>
            <w:r w:rsidRPr="00F4729A">
              <w:t xml:space="preserve"> recognize challenges that </w:t>
            </w:r>
            <w:r>
              <w:t>the Country Programme</w:t>
            </w:r>
            <w:r w:rsidRPr="00F4729A">
              <w:t xml:space="preserve"> intends to address, including greater diversification of the sustainable base of the economy, enhanced efficiency of the public sector and the full participation of youth and women in socio-economic progress. The plan’s overall objectives aim at enhancing the living standards of Saudi citizens by increasing their livelihood opportunities through entrepreneurship, investment and employment, and at maximizing the benefits from the current growth trends and the integration into the global economy. Moreover, the country believes it has a regional and global responsibility and has a substantial official development assistance (ODA) programme that benefits poorer countries. </w:t>
            </w:r>
          </w:p>
          <w:p w:rsidR="002E0D48" w:rsidRPr="006F0435" w:rsidRDefault="002E0D48" w:rsidP="00041B03">
            <w:pPr>
              <w:ind w:left="360"/>
              <w:jc w:val="both"/>
            </w:pPr>
            <w:r w:rsidRPr="00025E88">
              <w:t xml:space="preserve">In the current </w:t>
            </w:r>
            <w:r>
              <w:t>Country Programme Document (CPD</w:t>
            </w:r>
            <w:r w:rsidRPr="00025E88">
              <w:t xml:space="preserve">) </w:t>
            </w:r>
            <w:r>
              <w:t xml:space="preserve">and the Country Programme Action Plan </w:t>
            </w:r>
            <w:r w:rsidRPr="00025E88">
              <w:t xml:space="preserve">of UNDP </w:t>
            </w:r>
            <w:r>
              <w:t>Saudi Arabia</w:t>
            </w:r>
            <w:r w:rsidRPr="00025E88">
              <w:t xml:space="preserve"> (200</w:t>
            </w:r>
            <w:r>
              <w:t>7</w:t>
            </w:r>
            <w:r w:rsidRPr="00025E88">
              <w:t>-20</w:t>
            </w:r>
            <w:r>
              <w:t>11</w:t>
            </w:r>
            <w:r w:rsidRPr="00025E88">
              <w:t xml:space="preserve">), there are </w:t>
            </w:r>
            <w:r>
              <w:t>five</w:t>
            </w:r>
            <w:r w:rsidRPr="00025E88">
              <w:t xml:space="preserve"> development outcomes to which UNDP would like to contribute. </w:t>
            </w:r>
            <w:r w:rsidRPr="00F963DD">
              <w:t>Outcome 2</w:t>
            </w:r>
            <w:r>
              <w:t xml:space="preserve"> </w:t>
            </w:r>
            <w:r w:rsidRPr="002002FB">
              <w:t>is on Economic framework diversified to encourage tourism, international trade and FDI.</w:t>
            </w:r>
            <w:r>
              <w:t xml:space="preserve"> Outcome 3 is</w:t>
            </w:r>
            <w:r w:rsidRPr="006F0435">
              <w:t xml:space="preserve"> to </w:t>
            </w:r>
            <w:r>
              <w:t>improve</w:t>
            </w:r>
            <w:r w:rsidRPr="00731C4D">
              <w:t xml:space="preserve"> public sector performance for equitable provision of services on the local level to empower communities</w:t>
            </w:r>
            <w:r w:rsidRPr="006F0435" w:rsidDel="00E27DC5">
              <w:t xml:space="preserve"> </w:t>
            </w:r>
            <w:r w:rsidRPr="006F0435">
              <w:t xml:space="preserve">which in turn involves several outputs and projects to enhance public sector performance. </w:t>
            </w:r>
          </w:p>
          <w:p w:rsidR="002E0D48" w:rsidRDefault="002E0D48" w:rsidP="00041B03">
            <w:pPr>
              <w:ind w:left="360"/>
              <w:jc w:val="both"/>
            </w:pPr>
            <w:r>
              <w:t xml:space="preserve"> </w:t>
            </w:r>
            <w:r w:rsidRPr="002002FB">
              <w:t xml:space="preserve"> </w:t>
            </w:r>
          </w:p>
          <w:p w:rsidR="002E0D48" w:rsidRPr="006F0435" w:rsidRDefault="002E0D48" w:rsidP="00041B03">
            <w:pPr>
              <w:ind w:left="360"/>
              <w:jc w:val="both"/>
            </w:pPr>
            <w:r w:rsidRPr="006F0435">
              <w:t>UNDP works with Saudi Arabia to strengthen its capacity to response to increasing demands on the quality and quantity of services from a modernizing society with growing expectations, the Government of Saudi Arabia has been developing its administrative and institutional systems and restructuring its public agencies, thus enhancing service delivery and rendering it cost-effective not only at the central level, but in all regions of the country. In this effort the Government intends to make best use of modern management techniques, and information technology such as e-government.</w:t>
            </w:r>
          </w:p>
          <w:p w:rsidR="002E0D48" w:rsidRPr="006F0435" w:rsidRDefault="002E0D48" w:rsidP="00041B03">
            <w:pPr>
              <w:spacing w:before="240" w:after="240"/>
              <w:ind w:left="360"/>
              <w:jc w:val="lowKashida"/>
            </w:pPr>
            <w:r w:rsidRPr="006F0435">
              <w:t>In particular, UNDP will assist the Government by providing recommendations for a more effective alignment of mandates and structures in a few pilot units. It will provide options for enhancement of service delivery at the central, regional and local levels, and will also propose guidelines that would help one pilot government institution in assessing its own performance. Finally, UNDP will help the Government replicate and scale up its highly successful experience in e-government in the Ministry of Foreign Affairs, which was jointly developed with UNDP.</w:t>
            </w:r>
          </w:p>
          <w:p w:rsidR="002E0D48" w:rsidRPr="00934787" w:rsidRDefault="002E0D48" w:rsidP="00041B03">
            <w:pPr>
              <w:spacing w:before="240" w:after="240"/>
              <w:ind w:left="360"/>
              <w:jc w:val="lowKashida"/>
            </w:pPr>
            <w:r w:rsidRPr="006F0435">
              <w:t>It is expected that these efforts will also have a positive impact on a larger number of citizens through enhanced service delivery at the local level.</w:t>
            </w:r>
          </w:p>
          <w:p w:rsidR="002E0D48" w:rsidRDefault="002E0D48" w:rsidP="00041B03">
            <w:pPr>
              <w:ind w:left="360"/>
              <w:jc w:val="both"/>
            </w:pPr>
            <w:r w:rsidRPr="00025E88">
              <w:t xml:space="preserve">The </w:t>
            </w:r>
            <w:r>
              <w:t xml:space="preserve">first </w:t>
            </w:r>
            <w:r w:rsidRPr="00025E88">
              <w:t>outcome evaluation will provide important information on (</w:t>
            </w:r>
            <w:proofErr w:type="spellStart"/>
            <w:r w:rsidRPr="00025E88">
              <w:t>i</w:t>
            </w:r>
            <w:proofErr w:type="spellEnd"/>
            <w:r w:rsidRPr="00025E88">
              <w:t xml:space="preserve">) the contributions that UNDP has made to the </w:t>
            </w:r>
            <w:r>
              <w:t>diversification of economy outputs under Outcome 2 of the CP</w:t>
            </w:r>
            <w:r w:rsidRPr="00025E88">
              <w:t xml:space="preserve">, (ii) whether the UNDP strategy has been effective, and (iii) whether some adjustments are needed so that UNDP can stay relevant in the field in future. </w:t>
            </w:r>
          </w:p>
          <w:p w:rsidR="002E0D48" w:rsidRDefault="002E0D48" w:rsidP="00041B03">
            <w:pPr>
              <w:ind w:left="360"/>
              <w:jc w:val="both"/>
            </w:pPr>
          </w:p>
          <w:p w:rsidR="002E0D48" w:rsidRDefault="002E0D48" w:rsidP="00041B03">
            <w:pPr>
              <w:ind w:left="360"/>
              <w:jc w:val="both"/>
            </w:pPr>
            <w:r w:rsidRPr="006F0435">
              <w:t xml:space="preserve">The </w:t>
            </w:r>
            <w:r>
              <w:t xml:space="preserve">second </w:t>
            </w:r>
            <w:r w:rsidRPr="006F0435">
              <w:t>outcome evaluation will provide important information on (</w:t>
            </w:r>
            <w:proofErr w:type="spellStart"/>
            <w:r w:rsidRPr="006F0435">
              <w:t>i</w:t>
            </w:r>
            <w:proofErr w:type="spellEnd"/>
            <w:r w:rsidRPr="006F0435">
              <w:t xml:space="preserve">) the contributions that UNDP has made to the public sector performance related outputs under Outcome </w:t>
            </w:r>
            <w:r w:rsidRPr="00471BA9">
              <w:t>3</w:t>
            </w:r>
            <w:r w:rsidRPr="006F0435">
              <w:t xml:space="preserve"> of the CP, (ii) whether the UNDP strategy has been effective, and (iii) whether some adjustments are needed so that UNDP can stay relevant in the field in future. A detailed results framework for the selected outcome is summarized below</w:t>
            </w:r>
          </w:p>
          <w:p w:rsidR="002E0D48" w:rsidRDefault="002E0D48" w:rsidP="00041B03">
            <w:pPr>
              <w:ind w:left="360"/>
              <w:jc w:val="both"/>
            </w:pPr>
          </w:p>
          <w:p w:rsidR="002E0D48" w:rsidRDefault="002E0D48" w:rsidP="00041B03">
            <w:pPr>
              <w:ind w:left="360"/>
              <w:jc w:val="both"/>
            </w:pPr>
            <w:r w:rsidRPr="00025E88">
              <w:t>A detailed results framework for the selected outcome</w:t>
            </w:r>
            <w:r>
              <w:t>s</w:t>
            </w:r>
            <w:r w:rsidRPr="00025E88">
              <w:t xml:space="preserve"> is summarized below:</w:t>
            </w:r>
          </w:p>
          <w:tbl>
            <w:tblPr>
              <w:tblpPr w:leftFromText="180" w:rightFromText="180" w:vertAnchor="text" w:horzAnchor="margin" w:tblpY="271"/>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tblPr>
            <w:tblGrid>
              <w:gridCol w:w="9210"/>
            </w:tblGrid>
            <w:tr w:rsidR="002E0D48" w:rsidRPr="00025E88" w:rsidTr="00041B03">
              <w:trPr>
                <w:trHeight w:val="3686"/>
              </w:trPr>
              <w:tc>
                <w:tcPr>
                  <w:tcW w:w="9210" w:type="dxa"/>
                  <w:shd w:val="clear" w:color="auto" w:fill="D9D9D9"/>
                </w:tcPr>
                <w:p w:rsidR="002E0D48" w:rsidRDefault="002E0D48" w:rsidP="00041B03">
                  <w:pPr>
                    <w:jc w:val="both"/>
                  </w:pPr>
                  <w:r w:rsidRPr="00C35E31">
                    <w:rPr>
                      <w:b/>
                      <w:bCs/>
                      <w:u w:val="single"/>
                    </w:rPr>
                    <w:t>Intended Outcome</w:t>
                  </w:r>
                  <w:r>
                    <w:rPr>
                      <w:b/>
                      <w:bCs/>
                      <w:u w:val="single"/>
                    </w:rPr>
                    <w:t xml:space="preserve"> 2</w:t>
                  </w:r>
                  <w:r w:rsidRPr="00C35E31">
                    <w:rPr>
                      <w:b/>
                      <w:bCs/>
                      <w:u w:val="single"/>
                    </w:rPr>
                    <w:t>:</w:t>
                  </w:r>
                  <w:r w:rsidRPr="00025E88">
                    <w:t xml:space="preserve"> </w:t>
                  </w:r>
                </w:p>
                <w:p w:rsidR="002E0D48" w:rsidRPr="00025E88" w:rsidRDefault="002E0D48" w:rsidP="00041B03">
                  <w:pPr>
                    <w:jc w:val="both"/>
                  </w:pPr>
                  <w:r w:rsidRPr="004A4ADB">
                    <w:t>Economic framework is diversified to encourage tourism, international trade and FDI</w:t>
                  </w:r>
                </w:p>
                <w:p w:rsidR="002E0D48" w:rsidRPr="00C35E31" w:rsidRDefault="002E0D48" w:rsidP="00041B03">
                  <w:pPr>
                    <w:jc w:val="both"/>
                    <w:rPr>
                      <w:b/>
                      <w:bCs/>
                      <w:u w:val="single"/>
                    </w:rPr>
                  </w:pPr>
                  <w:r w:rsidRPr="00C35E31">
                    <w:rPr>
                      <w:b/>
                      <w:bCs/>
                      <w:u w:val="single"/>
                    </w:rPr>
                    <w:t xml:space="preserve">Outcome Indicators: </w:t>
                  </w:r>
                </w:p>
                <w:p w:rsidR="002E0D48" w:rsidRDefault="002E0D48" w:rsidP="002E0D48">
                  <w:pPr>
                    <w:pStyle w:val="ListParagraph"/>
                    <w:numPr>
                      <w:ilvl w:val="0"/>
                      <w:numId w:val="6"/>
                    </w:numPr>
                    <w:spacing w:before="0" w:after="0"/>
                  </w:pPr>
                  <w:r w:rsidRPr="00C35E31">
                    <w:t xml:space="preserve">Increased foreign </w:t>
                  </w:r>
                  <w:r>
                    <w:t>direct investment in KSA by 10</w:t>
                  </w:r>
                </w:p>
                <w:p w:rsidR="002E0D48" w:rsidRPr="00C35E31" w:rsidRDefault="002E0D48" w:rsidP="002E0D48">
                  <w:pPr>
                    <w:pStyle w:val="ListParagraph"/>
                    <w:numPr>
                      <w:ilvl w:val="0"/>
                      <w:numId w:val="6"/>
                    </w:numPr>
                    <w:spacing w:before="0" w:after="0"/>
                  </w:pPr>
                  <w:r w:rsidRPr="00C35E31">
                    <w:t>Increased number of tourists in KSA by 15%</w:t>
                  </w:r>
                </w:p>
                <w:p w:rsidR="002E0D48" w:rsidRPr="00C35E31" w:rsidRDefault="002E0D48" w:rsidP="00041B03">
                  <w:pPr>
                    <w:jc w:val="both"/>
                    <w:rPr>
                      <w:b/>
                      <w:bCs/>
                      <w:u w:val="single"/>
                    </w:rPr>
                  </w:pPr>
                  <w:r w:rsidRPr="00C35E31">
                    <w:rPr>
                      <w:b/>
                      <w:bCs/>
                      <w:u w:val="single"/>
                    </w:rPr>
                    <w:t xml:space="preserve">Baseline (2007): </w:t>
                  </w:r>
                </w:p>
                <w:p w:rsidR="002E0D48" w:rsidRDefault="002E0D48" w:rsidP="002E0D48">
                  <w:pPr>
                    <w:pStyle w:val="ListParagraph"/>
                    <w:numPr>
                      <w:ilvl w:val="0"/>
                      <w:numId w:val="5"/>
                    </w:numPr>
                    <w:spacing w:before="0" w:after="0"/>
                    <w:ind w:left="360"/>
                  </w:pPr>
                  <w:r w:rsidRPr="00C35E31">
                    <w:t xml:space="preserve">Economic and Institutional frameworks not fully utilizing global integration opportunities in </w:t>
                  </w:r>
                  <w:proofErr w:type="spellStart"/>
                  <w:r w:rsidRPr="00C35E31">
                    <w:t>favor</w:t>
                  </w:r>
                  <w:proofErr w:type="spellEnd"/>
                  <w:r w:rsidRPr="00C35E31">
                    <w:t xml:space="preserve"> of SME promotion and sustainable employment creation.</w:t>
                  </w:r>
                </w:p>
                <w:p w:rsidR="002E0D48" w:rsidRDefault="002E0D48" w:rsidP="002E0D48">
                  <w:pPr>
                    <w:pStyle w:val="ListParagraph"/>
                    <w:numPr>
                      <w:ilvl w:val="0"/>
                      <w:numId w:val="5"/>
                    </w:numPr>
                    <w:spacing w:before="0" w:after="0"/>
                    <w:ind w:left="360"/>
                  </w:pPr>
                  <w:r w:rsidRPr="00C35E31">
                    <w:t>Not all tourist areas/sites in KSA fully developed.</w:t>
                  </w:r>
                </w:p>
                <w:p w:rsidR="002E0D48" w:rsidRPr="00025E88" w:rsidRDefault="002E0D48" w:rsidP="002E0D48">
                  <w:pPr>
                    <w:pStyle w:val="ListParagraph"/>
                    <w:numPr>
                      <w:ilvl w:val="0"/>
                      <w:numId w:val="5"/>
                    </w:numPr>
                    <w:spacing w:before="0" w:after="0"/>
                    <w:ind w:left="360"/>
                  </w:pPr>
                  <w:r w:rsidRPr="00C35E31">
                    <w:t>National focus solely on WTO commitments rather than benefits.</w:t>
                  </w:r>
                </w:p>
              </w:tc>
            </w:tr>
          </w:tbl>
          <w:p w:rsidR="002E0D48" w:rsidRDefault="002E0D48" w:rsidP="00041B03">
            <w:pPr>
              <w:jc w:val="both"/>
            </w:pPr>
          </w:p>
          <w:p w:rsidR="002E0D48" w:rsidRDefault="002E0D48" w:rsidP="00041B03">
            <w:pPr>
              <w:jc w:val="both"/>
              <w:rPr>
                <w:rFonts w:asciiTheme="majorBidi" w:hAnsiTheme="majorBidi" w:cstheme="majorBidi"/>
                <w:b/>
                <w:bCs/>
                <w:u w:val="single"/>
              </w:rPr>
            </w:pPr>
          </w:p>
          <w:p w:rsidR="002E0D48" w:rsidRPr="00F10C2F" w:rsidRDefault="002E0D48" w:rsidP="00041B03">
            <w:pPr>
              <w:jc w:val="both"/>
              <w:rPr>
                <w:rFonts w:asciiTheme="majorBidi" w:hAnsiTheme="majorBidi" w:cstheme="majorBidi"/>
                <w:b/>
                <w:bCs/>
                <w:u w:val="single"/>
              </w:rPr>
            </w:pPr>
            <w:r>
              <w:rPr>
                <w:rFonts w:asciiTheme="majorBidi" w:hAnsiTheme="majorBidi" w:cstheme="majorBidi"/>
                <w:b/>
                <w:bCs/>
                <w:u w:val="single"/>
              </w:rPr>
              <w:t>II</w:t>
            </w:r>
            <w:r w:rsidRPr="00F10C2F">
              <w:rPr>
                <w:rFonts w:asciiTheme="majorBidi" w:hAnsiTheme="majorBidi" w:cstheme="majorBidi"/>
                <w:b/>
                <w:bCs/>
                <w:u w:val="single"/>
              </w:rPr>
              <w:t>) Output background information:</w:t>
            </w:r>
            <w:r>
              <w:rPr>
                <w:rFonts w:asciiTheme="majorBidi" w:hAnsiTheme="majorBidi" w:cstheme="majorBidi"/>
                <w:b/>
                <w:bCs/>
                <w:u w:val="single"/>
              </w:rPr>
              <w:t xml:space="preserve"> </w:t>
            </w:r>
            <w:r w:rsidRPr="00DF5022">
              <w:rPr>
                <w:rFonts w:asciiTheme="majorBidi" w:hAnsiTheme="majorBidi" w:cstheme="majorBidi"/>
                <w:b/>
                <w:bCs/>
                <w:i/>
                <w:iCs/>
                <w:u w:val="single"/>
              </w:rPr>
              <w:t>(</w:t>
            </w:r>
            <w:r w:rsidRPr="00DF5022">
              <w:rPr>
                <w:i/>
                <w:iCs/>
              </w:rPr>
              <w:t>the information mentioned bellow refers to the situation analysis at the drafting stage of the project document for each output)</w:t>
            </w:r>
          </w:p>
          <w:p w:rsidR="002E0D48" w:rsidRDefault="002E0D48" w:rsidP="00041B03">
            <w:pPr>
              <w:jc w:val="both"/>
              <w:rPr>
                <w:rFonts w:asciiTheme="majorBidi" w:hAnsiTheme="majorBidi" w:cstheme="majorBidi"/>
                <w:b/>
                <w:bCs/>
                <w:u w:val="single"/>
              </w:rPr>
            </w:pPr>
          </w:p>
          <w:p w:rsidR="002E0D48" w:rsidRDefault="002E0D48" w:rsidP="002E0D48">
            <w:pPr>
              <w:pStyle w:val="ListParagraph"/>
              <w:numPr>
                <w:ilvl w:val="0"/>
                <w:numId w:val="38"/>
              </w:numPr>
              <w:ind w:left="0" w:firstLine="360"/>
              <w:jc w:val="both"/>
            </w:pPr>
            <w:r w:rsidRPr="007F5432">
              <w:rPr>
                <w:rFonts w:ascii="Arial" w:hAnsi="Arial" w:cs="Arial"/>
                <w:b/>
                <w:bCs/>
                <w:sz w:val="20"/>
                <w:szCs w:val="20"/>
                <w:u w:val="single"/>
              </w:rPr>
              <w:t>There are three main outputs to outcome</w:t>
            </w:r>
            <w:r>
              <w:rPr>
                <w:rFonts w:ascii="Arial" w:hAnsi="Arial" w:cs="Arial"/>
                <w:b/>
                <w:bCs/>
                <w:sz w:val="20"/>
                <w:szCs w:val="20"/>
                <w:u w:val="single"/>
              </w:rPr>
              <w:t xml:space="preserve"> two</w:t>
            </w:r>
            <w:r w:rsidRPr="007F5432">
              <w:rPr>
                <w:rFonts w:ascii="Arial" w:hAnsi="Arial" w:cs="Arial"/>
                <w:b/>
                <w:bCs/>
                <w:sz w:val="20"/>
                <w:szCs w:val="20"/>
                <w:u w:val="single"/>
              </w:rPr>
              <w:t>:</w:t>
            </w:r>
          </w:p>
          <w:p w:rsidR="002E0D48" w:rsidRDefault="002E0D48" w:rsidP="00041B03">
            <w:pPr>
              <w:ind w:left="360"/>
              <w:jc w:val="both"/>
              <w:rPr>
                <w:rFonts w:ascii="Arial" w:hAnsi="Arial" w:cs="Arial"/>
                <w:b/>
                <w:bCs/>
                <w:sz w:val="20"/>
                <w:szCs w:val="20"/>
                <w:u w:val="single"/>
              </w:rPr>
            </w:pPr>
          </w:p>
          <w:p w:rsidR="002E0D48" w:rsidRDefault="002E0D48" w:rsidP="00041B03">
            <w:pPr>
              <w:rPr>
                <w:rFonts w:ascii="Verdana" w:hAnsi="Verdana"/>
                <w:color w:val="333333"/>
                <w:sz w:val="12"/>
                <w:szCs w:val="12"/>
              </w:rPr>
            </w:pPr>
          </w:p>
          <w:p w:rsidR="002E0D48" w:rsidRPr="008955EA" w:rsidRDefault="002E0D48" w:rsidP="002E0D48">
            <w:pPr>
              <w:pStyle w:val="ListParagraph"/>
              <w:numPr>
                <w:ilvl w:val="0"/>
                <w:numId w:val="35"/>
              </w:numPr>
              <w:jc w:val="both"/>
              <w:rPr>
                <w:rFonts w:ascii="Arial" w:hAnsi="Arial" w:cs="Arial"/>
                <w:b/>
                <w:bCs/>
                <w:color w:val="4F81BD" w:themeColor="accent1"/>
                <w:sz w:val="20"/>
                <w:szCs w:val="20"/>
                <w:u w:val="single"/>
              </w:rPr>
            </w:pPr>
            <w:r>
              <w:rPr>
                <w:rFonts w:ascii="Arial" w:hAnsi="Arial" w:cs="Arial"/>
                <w:b/>
                <w:bCs/>
                <w:color w:val="4F81BD" w:themeColor="accent1"/>
                <w:sz w:val="20"/>
                <w:szCs w:val="20"/>
                <w:u w:val="single"/>
              </w:rPr>
              <w:t>Umbrella Programme – Saudi Arabian General Investment Authority (SAGIA)</w:t>
            </w:r>
            <w:r w:rsidRPr="008955EA">
              <w:rPr>
                <w:rFonts w:ascii="Arial" w:hAnsi="Arial" w:cs="Arial"/>
                <w:b/>
                <w:bCs/>
                <w:color w:val="4F81BD" w:themeColor="accent1"/>
                <w:sz w:val="20"/>
                <w:szCs w:val="20"/>
                <w:u w:val="single"/>
              </w:rPr>
              <w:t>:</w:t>
            </w:r>
          </w:p>
          <w:p w:rsidR="002E0D48" w:rsidRPr="00F137FC" w:rsidRDefault="002E0D48" w:rsidP="00041B03">
            <w:pPr>
              <w:ind w:left="360"/>
              <w:jc w:val="both"/>
              <w:rPr>
                <w:rFonts w:ascii="Arial" w:hAnsi="Arial" w:cs="Arial"/>
                <w:b/>
                <w:bCs/>
                <w:color w:val="4F81BD" w:themeColor="accent1"/>
                <w:sz w:val="20"/>
                <w:szCs w:val="20"/>
                <w:u w:val="single"/>
              </w:rPr>
            </w:pPr>
          </w:p>
          <w:p w:rsidR="002E0D48" w:rsidRPr="00C35E31" w:rsidRDefault="002E0D48" w:rsidP="00041B03">
            <w:pPr>
              <w:widowControl w:val="0"/>
              <w:tabs>
                <w:tab w:val="left" w:pos="720"/>
              </w:tabs>
              <w:ind w:left="360"/>
              <w:jc w:val="lowKashida"/>
            </w:pPr>
            <w:r w:rsidRPr="00C35E31">
              <w:t>From the outset of development planning in the Kingdom, the adoption of free market principles ensured that the private sector was intended to be a main focus of economic activity. Although the increases in oil revenues in the first three plans period necessarily accorded to the government the leading role in guiding and stimulating economic development, the investment and the rapid transformation of financial resources into productive physical assets during this period also required the active participation of the private sector in undertaking the necessary construction, operation and maintenance of these assets.</w:t>
            </w:r>
          </w:p>
          <w:p w:rsidR="002E0D48" w:rsidRPr="00C35E31" w:rsidRDefault="002E0D48" w:rsidP="00041B03">
            <w:pPr>
              <w:widowControl w:val="0"/>
              <w:tabs>
                <w:tab w:val="left" w:pos="720"/>
              </w:tabs>
              <w:ind w:left="360"/>
              <w:jc w:val="lowKashida"/>
            </w:pPr>
          </w:p>
          <w:p w:rsidR="002E0D48" w:rsidRPr="00C35E31" w:rsidRDefault="002E0D48" w:rsidP="00041B03">
            <w:pPr>
              <w:widowControl w:val="0"/>
              <w:tabs>
                <w:tab w:val="left" w:pos="720"/>
              </w:tabs>
              <w:ind w:left="360"/>
              <w:jc w:val="lowKashida"/>
            </w:pPr>
            <w:r w:rsidRPr="00C35E31">
              <w:t>The government has used a wide range of financial and regulatory measures to encourage the private sector to engage in joint ventures with foreign firms and to invest in new capacities using the latest available capital-intensive technology, mainly in agriculture and industry. As a result, the number of private sector companies has risen rapidly, along with the volume of private investments in fixed assets and the range of private manufacturing activity. Moreover, the private sector's dependence on government expenditure has decreased significantly. The growing maturity of the private sector and its resilience to declining government expenditure are evident in the following indicators:</w:t>
            </w:r>
          </w:p>
          <w:p w:rsidR="002E0D48" w:rsidRPr="00C35E31" w:rsidRDefault="002E0D48" w:rsidP="002E0D48">
            <w:pPr>
              <w:widowControl w:val="0"/>
              <w:numPr>
                <w:ilvl w:val="0"/>
                <w:numId w:val="37"/>
              </w:numPr>
              <w:spacing w:before="180"/>
              <w:ind w:left="360"/>
              <w:jc w:val="lowKashida"/>
            </w:pPr>
            <w:r w:rsidRPr="00C35E31">
              <w:t>Private sector production increased by an average annual rate of 5.6 percent over the period 1389/90 - 1419/20 (1969-1999), surpassing the 4.3 percent average annual growth rate of GDP during the same period.</w:t>
            </w:r>
          </w:p>
          <w:p w:rsidR="002E0D48" w:rsidRPr="00C35E31" w:rsidRDefault="002E0D48" w:rsidP="002E0D48">
            <w:pPr>
              <w:widowControl w:val="0"/>
              <w:numPr>
                <w:ilvl w:val="0"/>
                <w:numId w:val="36"/>
              </w:numPr>
              <w:spacing w:before="180"/>
              <w:ind w:left="360"/>
              <w:jc w:val="lowKashida"/>
            </w:pPr>
            <w:r w:rsidRPr="00C35E31">
              <w:t>The private sector’s contribution to GDP and to non-oil GDP amounted to 50.6 percent and 74 percent respectively in 1419/20 (1999), at constant prices of 1414/15 (1994).</w:t>
            </w:r>
          </w:p>
          <w:p w:rsidR="002E0D48" w:rsidRPr="00C35E31" w:rsidRDefault="002E0D48" w:rsidP="002E0D48">
            <w:pPr>
              <w:widowControl w:val="0"/>
              <w:numPr>
                <w:ilvl w:val="0"/>
                <w:numId w:val="36"/>
              </w:numPr>
              <w:spacing w:before="180"/>
              <w:ind w:left="360"/>
              <w:jc w:val="lowKashida"/>
            </w:pPr>
            <w:r w:rsidRPr="00C35E31">
              <w:t xml:space="preserve">Annual private investment rose from SR 1 billion in 1390/91 (1970) to about SR 78.6 billion in 1419/20 (1999), thus bringing the contribution of the private sector to fixed capital formation to 67.3 percent at current prices. </w:t>
            </w:r>
          </w:p>
          <w:p w:rsidR="002E0D48" w:rsidRPr="00C35E31" w:rsidRDefault="002E0D48" w:rsidP="00041B03">
            <w:pPr>
              <w:widowControl w:val="0"/>
              <w:spacing w:before="180"/>
              <w:ind w:left="360"/>
              <w:jc w:val="lowKashida"/>
            </w:pPr>
          </w:p>
          <w:p w:rsidR="002E0D48" w:rsidRPr="00C35E31" w:rsidRDefault="002E0D48" w:rsidP="00041B03">
            <w:pPr>
              <w:widowControl w:val="0"/>
              <w:ind w:left="360"/>
              <w:jc w:val="lowKashida"/>
            </w:pPr>
            <w:r w:rsidRPr="00C35E31">
              <w:t xml:space="preserve">In light of the trend in government support to the private sector through encouraging its entry into new economic activities and the removal of obstacles that impede its development, the Seventh Plan reaffirms the need for greater coordination between the government and private sector through: improved quality and dissemination of reliable information and analyses about national economic performance, the organization of meetings, conferences and symposia, and the preparation of studies about investment opportunities by the universities, research </w:t>
            </w:r>
            <w:proofErr w:type="spellStart"/>
            <w:r w:rsidRPr="00C35E31">
              <w:t>centers</w:t>
            </w:r>
            <w:proofErr w:type="spellEnd"/>
            <w:r w:rsidRPr="00C35E31">
              <w:t>, other government agencies or the Council of Saudi Chambers of Commerce and Industry.</w:t>
            </w:r>
          </w:p>
          <w:p w:rsidR="002E0D48" w:rsidRPr="00C35E31" w:rsidRDefault="002E0D48" w:rsidP="00041B03">
            <w:pPr>
              <w:widowControl w:val="0"/>
              <w:ind w:left="360"/>
              <w:jc w:val="lowKashida"/>
            </w:pPr>
          </w:p>
          <w:p w:rsidR="002E0D48" w:rsidRDefault="002E0D48" w:rsidP="00041B03">
            <w:pPr>
              <w:widowControl w:val="0"/>
              <w:ind w:left="360"/>
              <w:jc w:val="lowKashida"/>
              <w:rPr>
                <w:rFonts w:ascii="Arial" w:hAnsi="Arial" w:cs="Arial"/>
                <w:sz w:val="20"/>
                <w:szCs w:val="20"/>
              </w:rPr>
            </w:pPr>
            <w:r w:rsidRPr="00C35E31">
              <w:t>The plan anticipates an increasingly important role for the private sector in the development process in the future, as free market policies and the provision of various incentives and facilities for the private sector make the Saudi economy more attractive for domestic and foreign</w:t>
            </w:r>
            <w:r>
              <w:rPr>
                <w:rFonts w:ascii="Arial" w:hAnsi="Arial" w:cs="Arial"/>
                <w:sz w:val="20"/>
                <w:szCs w:val="20"/>
              </w:rPr>
              <w:t xml:space="preserve"> investments.</w:t>
            </w:r>
          </w:p>
          <w:p w:rsidR="002E0D48" w:rsidRPr="00C35E31" w:rsidRDefault="002E0D48" w:rsidP="00041B03">
            <w:pPr>
              <w:ind w:left="360"/>
              <w:jc w:val="both"/>
              <w:rPr>
                <w:rFonts w:ascii="Arial" w:hAnsi="Arial" w:cs="Arial"/>
                <w:sz w:val="20"/>
                <w:szCs w:val="20"/>
              </w:rPr>
            </w:pPr>
          </w:p>
          <w:p w:rsidR="002E0D48" w:rsidRDefault="002E0D48" w:rsidP="00041B03">
            <w:pPr>
              <w:ind w:left="360"/>
              <w:jc w:val="both"/>
              <w:rPr>
                <w:rFonts w:ascii="Arial" w:hAnsi="Arial" w:cs="Arial"/>
                <w:b/>
                <w:bCs/>
                <w:sz w:val="20"/>
                <w:szCs w:val="20"/>
                <w:u w:val="single"/>
              </w:rPr>
            </w:pPr>
          </w:p>
          <w:p w:rsidR="002E0D48" w:rsidRDefault="002E0D48" w:rsidP="00041B03">
            <w:pPr>
              <w:ind w:left="360"/>
              <w:jc w:val="both"/>
              <w:rPr>
                <w:rFonts w:ascii="Arial" w:hAnsi="Arial" w:cs="Arial"/>
                <w:b/>
                <w:bCs/>
                <w:sz w:val="20"/>
                <w:szCs w:val="20"/>
                <w:u w:val="single"/>
              </w:rPr>
            </w:pPr>
          </w:p>
          <w:p w:rsidR="002E0D48" w:rsidRDefault="002E0D48" w:rsidP="00041B03">
            <w:pPr>
              <w:ind w:left="360"/>
              <w:jc w:val="both"/>
              <w:rPr>
                <w:rFonts w:ascii="Arial" w:hAnsi="Arial" w:cs="Arial"/>
                <w:b/>
                <w:bCs/>
                <w:sz w:val="20"/>
                <w:szCs w:val="20"/>
                <w:u w:val="single"/>
              </w:rPr>
            </w:pPr>
          </w:p>
          <w:p w:rsidR="002E0D48" w:rsidRPr="008955EA" w:rsidRDefault="002E0D48" w:rsidP="002E0D48">
            <w:pPr>
              <w:pStyle w:val="ListParagraph"/>
              <w:numPr>
                <w:ilvl w:val="0"/>
                <w:numId w:val="35"/>
              </w:numPr>
              <w:jc w:val="both"/>
              <w:rPr>
                <w:rFonts w:ascii="Arial" w:hAnsi="Arial" w:cs="Arial"/>
                <w:b/>
                <w:bCs/>
                <w:color w:val="4F81BD" w:themeColor="accent1"/>
                <w:sz w:val="20"/>
                <w:szCs w:val="20"/>
                <w:u w:val="single"/>
              </w:rPr>
            </w:pPr>
            <w:r>
              <w:rPr>
                <w:rFonts w:ascii="Arial" w:hAnsi="Arial" w:cs="Arial"/>
                <w:b/>
                <w:bCs/>
                <w:color w:val="4F81BD" w:themeColor="accent1"/>
                <w:sz w:val="20"/>
                <w:szCs w:val="20"/>
                <w:u w:val="single"/>
              </w:rPr>
              <w:t>Umbrella Programme for SCT</w:t>
            </w:r>
          </w:p>
          <w:p w:rsidR="002E0D48" w:rsidRPr="00F137FC" w:rsidRDefault="002E0D48" w:rsidP="00041B03">
            <w:pPr>
              <w:ind w:left="360"/>
              <w:jc w:val="both"/>
              <w:rPr>
                <w:rFonts w:ascii="Arial" w:hAnsi="Arial" w:cs="Arial"/>
                <w:b/>
                <w:bCs/>
                <w:color w:val="4F81BD" w:themeColor="accent1"/>
                <w:sz w:val="20"/>
                <w:szCs w:val="20"/>
                <w:u w:val="single"/>
              </w:rPr>
            </w:pPr>
          </w:p>
          <w:p w:rsidR="002E0D48" w:rsidRPr="00C35E31" w:rsidRDefault="002E0D48" w:rsidP="00041B03">
            <w:pPr>
              <w:spacing w:before="120" w:after="120"/>
              <w:ind w:left="360"/>
              <w:jc w:val="both"/>
            </w:pPr>
            <w:r w:rsidRPr="00C35E31">
              <w:t>The Supreme Commission for Tourism (SCT) has approached UNDP for advisory services in line with its institutional priority areas. UNDP responded by formulating an initial advisory services Umbrella Programme (attached as exhibit 1), which states the overall objectives, outputs and activities grouped into four distinct categories: 1) Quality Assurance; 2) Tourism Development Areas and Tourism Sites; 3) delivery of advisory services and conducting of substantive studies and 4) Delivery of advisory services for human resource development.</w:t>
            </w:r>
          </w:p>
          <w:p w:rsidR="002E0D48" w:rsidRPr="00C35E31" w:rsidRDefault="002E0D48" w:rsidP="00041B03">
            <w:pPr>
              <w:spacing w:before="240" w:after="240"/>
              <w:ind w:left="360"/>
              <w:jc w:val="lowKashida"/>
            </w:pPr>
            <w:r w:rsidRPr="00C35E31">
              <w:t xml:space="preserve">This Project Document intends to focus on the fourth objective of developing the human resource for tourism development </w:t>
            </w:r>
          </w:p>
          <w:p w:rsidR="002E0D48" w:rsidRDefault="002E0D48" w:rsidP="00041B03">
            <w:pPr>
              <w:rPr>
                <w:rFonts w:ascii="Arial" w:hAnsi="Arial" w:cs="Arial"/>
                <w:b/>
                <w:bCs/>
                <w:color w:val="FF0000"/>
                <w:sz w:val="20"/>
                <w:szCs w:val="20"/>
                <w:highlight w:val="yellow"/>
              </w:rPr>
            </w:pPr>
          </w:p>
          <w:p w:rsidR="002E0D48" w:rsidRPr="00FD1819" w:rsidRDefault="002E0D48" w:rsidP="002E0D48">
            <w:pPr>
              <w:pStyle w:val="ListParagraph"/>
              <w:numPr>
                <w:ilvl w:val="0"/>
                <w:numId w:val="35"/>
              </w:numPr>
              <w:jc w:val="both"/>
              <w:rPr>
                <w:rFonts w:ascii="Arial" w:hAnsi="Arial" w:cs="Arial"/>
                <w:b/>
                <w:bCs/>
                <w:color w:val="4F81BD" w:themeColor="accent1"/>
                <w:sz w:val="20"/>
                <w:szCs w:val="20"/>
                <w:u w:val="single"/>
              </w:rPr>
            </w:pPr>
            <w:r w:rsidRPr="00FD1819">
              <w:rPr>
                <w:rFonts w:ascii="Arial" w:hAnsi="Arial" w:cs="Arial"/>
                <w:b/>
                <w:bCs/>
                <w:color w:val="4F81BD" w:themeColor="accent1"/>
                <w:sz w:val="20"/>
                <w:szCs w:val="20"/>
                <w:u w:val="single"/>
              </w:rPr>
              <w:t xml:space="preserve">Advisory Services for WTO </w:t>
            </w:r>
          </w:p>
          <w:p w:rsidR="002E0D48" w:rsidRDefault="002E0D48" w:rsidP="00041B03">
            <w:pPr>
              <w:pStyle w:val="ListParagraph"/>
              <w:jc w:val="both"/>
              <w:rPr>
                <w:rFonts w:ascii="Arial" w:hAnsi="Arial" w:cs="Arial"/>
                <w:b/>
                <w:bCs/>
                <w:color w:val="4F81BD" w:themeColor="accent1"/>
                <w:sz w:val="20"/>
                <w:szCs w:val="20"/>
                <w:u w:val="single"/>
              </w:rPr>
            </w:pPr>
          </w:p>
          <w:p w:rsidR="002E0D48" w:rsidRPr="00C35E31" w:rsidRDefault="002E0D48" w:rsidP="00041B03">
            <w:pPr>
              <w:ind w:left="360"/>
              <w:jc w:val="both"/>
            </w:pPr>
            <w:r w:rsidRPr="00C35E31">
              <w:t>The trade sector plays a vital role in developing the sources of national income and meeting the needs of citizens for goods and services.</w:t>
            </w:r>
          </w:p>
          <w:p w:rsidR="002E0D48" w:rsidRPr="00C35E31" w:rsidRDefault="002E0D48" w:rsidP="00041B03">
            <w:pPr>
              <w:ind w:left="360"/>
              <w:jc w:val="both"/>
            </w:pPr>
          </w:p>
          <w:p w:rsidR="002E0D48" w:rsidRPr="00C35E31" w:rsidRDefault="002E0D48" w:rsidP="00041B03">
            <w:pPr>
              <w:ind w:left="360"/>
              <w:jc w:val="both"/>
            </w:pPr>
            <w:r w:rsidRPr="00C35E31">
              <w:t>The Seventh Development Plan (1420-1425H) (2000-2004) adopts a set of harmonious policies which aim primarily at realizing balance in the Kingdom’s foreign trade transactions, among which are:</w:t>
            </w:r>
          </w:p>
          <w:p w:rsidR="002E0D48" w:rsidRPr="00C35E31" w:rsidRDefault="002E0D48" w:rsidP="00041B03">
            <w:pPr>
              <w:ind w:left="360"/>
              <w:jc w:val="both"/>
            </w:pPr>
          </w:p>
          <w:p w:rsidR="002E0D48" w:rsidRDefault="002E0D48" w:rsidP="002E0D48">
            <w:pPr>
              <w:pStyle w:val="ListParagraph"/>
              <w:numPr>
                <w:ilvl w:val="0"/>
                <w:numId w:val="39"/>
              </w:numPr>
              <w:ind w:left="360"/>
              <w:jc w:val="both"/>
            </w:pPr>
            <w:r w:rsidRPr="00C35E31">
              <w:t>To develop the institutional framework of foreign trade and improve the performance efficiency of related public and private institutions</w:t>
            </w:r>
          </w:p>
          <w:p w:rsidR="002E0D48" w:rsidRDefault="002E0D48" w:rsidP="002E0D48">
            <w:pPr>
              <w:pStyle w:val="ListParagraph"/>
              <w:numPr>
                <w:ilvl w:val="0"/>
                <w:numId w:val="39"/>
              </w:numPr>
              <w:ind w:left="360"/>
              <w:jc w:val="both"/>
            </w:pPr>
            <w:r w:rsidRPr="00C35E31">
              <w:t>To expand the Kingdom’s international economic and trade relations with other countries on the basis of mutual interest.</w:t>
            </w:r>
          </w:p>
          <w:p w:rsidR="002E0D48" w:rsidRPr="00C35E31" w:rsidRDefault="002E0D48" w:rsidP="002E0D48">
            <w:pPr>
              <w:pStyle w:val="ListParagraph"/>
              <w:numPr>
                <w:ilvl w:val="0"/>
                <w:numId w:val="39"/>
              </w:numPr>
              <w:ind w:left="360"/>
              <w:jc w:val="both"/>
            </w:pPr>
            <w:r w:rsidRPr="00C35E31">
              <w:t>To enhance the competitiveness of national products in the domestic market against similar imported products, through improvement of quality and productivity.</w:t>
            </w:r>
          </w:p>
          <w:p w:rsidR="002E0D48" w:rsidRPr="00C35E31" w:rsidRDefault="002E0D48" w:rsidP="00041B03">
            <w:pPr>
              <w:ind w:left="360"/>
              <w:jc w:val="both"/>
            </w:pPr>
          </w:p>
          <w:p w:rsidR="002E0D48" w:rsidRDefault="002E0D48" w:rsidP="00041B03">
            <w:pPr>
              <w:ind w:left="360"/>
              <w:jc w:val="both"/>
            </w:pPr>
            <w:r w:rsidRPr="00C35E31">
              <w:t>As highlighted in the Plan, the trade sector includes a vast number of individual-owned firms that are recorded in the commercial register and that undertake training activities within the institutional framework and the regulatory rules of the sector. The Ministry of Commerce is the main agency entrusted with the responsibility for this sector and directing and organizing the domestic and foreign non-oil trade activities.  It also supervises the process of the Kingdom’s entry into the WTO, the work of the National Committee for Trade and Finance and the Permanent Committee for Trade and Economic Cooperation with Islamic countries, as well as chairing the Saudi site in many joint economic, trade and technical committees with other countries.</w:t>
            </w:r>
          </w:p>
          <w:p w:rsidR="002E0D48" w:rsidRPr="00C35E31" w:rsidRDefault="002E0D48" w:rsidP="00041B03">
            <w:pPr>
              <w:ind w:left="360"/>
              <w:jc w:val="both"/>
            </w:pPr>
          </w:p>
          <w:p w:rsidR="002E0D48" w:rsidRDefault="002E0D48" w:rsidP="00041B03">
            <w:pPr>
              <w:ind w:left="360"/>
              <w:jc w:val="both"/>
            </w:pPr>
            <w:r w:rsidRPr="00C35E31">
              <w:t xml:space="preserve">One of the key issues that </w:t>
            </w:r>
            <w:proofErr w:type="gramStart"/>
            <w:r w:rsidRPr="00C35E31">
              <w:t>is</w:t>
            </w:r>
            <w:proofErr w:type="gramEnd"/>
            <w:r w:rsidRPr="00C35E31">
              <w:t xml:space="preserve"> being seriously considered by the Ministry of Commerce is the dumping on the domestic market.  The trade sector suffers from the dumping of inferior quality imported goods on the domestic market. These goods enter the Kingdom in many ways and weaken the competitiveness of national products.  As effective mechanism is needed to curb dumping and counter its adverse impacts without violating WTO provision, while continuing to improve the standards and specifications of locally produced goods and intensifying awareness programs</w:t>
            </w:r>
            <w:r>
              <w:t>.</w:t>
            </w:r>
            <w:r w:rsidRPr="00246C1A">
              <w:t xml:space="preserve"> </w:t>
            </w:r>
          </w:p>
          <w:p w:rsidR="002E0D48" w:rsidRDefault="002E0D48" w:rsidP="00041B03">
            <w:pPr>
              <w:ind w:left="360"/>
              <w:jc w:val="both"/>
            </w:pPr>
          </w:p>
          <w:p w:rsidR="002E0D48" w:rsidRPr="00F10C2F" w:rsidRDefault="002E0D48" w:rsidP="00041B03">
            <w:pPr>
              <w:jc w:val="both"/>
              <w:rPr>
                <w:rFonts w:asciiTheme="majorBidi" w:hAnsiTheme="majorBidi" w:cstheme="majorBidi"/>
                <w:b/>
                <w:bCs/>
                <w:u w:val="single"/>
              </w:rPr>
            </w:pPr>
            <w:r>
              <w:rPr>
                <w:rFonts w:asciiTheme="majorBidi" w:hAnsiTheme="majorBidi" w:cstheme="majorBidi"/>
                <w:b/>
                <w:bCs/>
                <w:u w:val="single"/>
              </w:rPr>
              <w:t>III</w:t>
            </w:r>
            <w:r w:rsidRPr="00F10C2F">
              <w:rPr>
                <w:rFonts w:asciiTheme="majorBidi" w:hAnsiTheme="majorBidi" w:cstheme="majorBidi"/>
                <w:b/>
                <w:bCs/>
                <w:u w:val="single"/>
              </w:rPr>
              <w:t>)  Objectives of the evaluation</w:t>
            </w:r>
            <w:r>
              <w:rPr>
                <w:rFonts w:asciiTheme="majorBidi" w:hAnsiTheme="majorBidi" w:cstheme="majorBidi"/>
                <w:b/>
                <w:bCs/>
                <w:u w:val="single"/>
              </w:rPr>
              <w:t>s</w:t>
            </w:r>
          </w:p>
          <w:p w:rsidR="002E0D48" w:rsidRPr="00F10C2F" w:rsidRDefault="002E0D48" w:rsidP="00041B03">
            <w:pPr>
              <w:jc w:val="both"/>
              <w:rPr>
                <w:rFonts w:asciiTheme="majorBidi" w:hAnsiTheme="majorBidi" w:cstheme="majorBidi"/>
                <w:b/>
                <w:bCs/>
                <w:u w:val="single"/>
              </w:rPr>
            </w:pPr>
          </w:p>
          <w:p w:rsidR="002E0D48" w:rsidRPr="00025E88" w:rsidRDefault="002E0D48" w:rsidP="00041B03">
            <w:pPr>
              <w:jc w:val="both"/>
            </w:pPr>
            <w:r w:rsidRPr="00025E88">
              <w:t>The outcome evaluation shall assess the following: (</w:t>
            </w:r>
            <w:proofErr w:type="spellStart"/>
            <w:r w:rsidRPr="00025E88">
              <w:t>i</w:t>
            </w:r>
            <w:proofErr w:type="spellEnd"/>
            <w:r w:rsidRPr="00025E88">
              <w:t xml:space="preserve">) </w:t>
            </w:r>
            <w:r w:rsidRPr="00025E88">
              <w:rPr>
                <w:i/>
              </w:rPr>
              <w:t>outcome analysis</w:t>
            </w:r>
            <w:r w:rsidRPr="00025E88">
              <w:t xml:space="preserve"> - what and how much progress has been made towards the achievement of the outcome (including contributing factors and constraints), (ii) </w:t>
            </w:r>
            <w:r w:rsidRPr="00025E88">
              <w:rPr>
                <w:i/>
              </w:rPr>
              <w:t>output analysis</w:t>
            </w:r>
            <w:r w:rsidRPr="00025E88">
              <w:t xml:space="preserve"> - the relevance of and progress made in terms of the UNDP outputs (including an analysis of both project activities and soft-assistance activities), and (iii) </w:t>
            </w:r>
            <w:r w:rsidRPr="00025E88">
              <w:rPr>
                <w:i/>
              </w:rPr>
              <w:t>output-outcome link</w:t>
            </w:r>
            <w:r w:rsidRPr="00025E88">
              <w:t xml:space="preserve"> - what contribution UNDP has made/is making to the progress towards the achievement of the outcome (including an analysis of the partnership strategy). The results of the outcome evaluation will be used for re-focusing the interventions during </w:t>
            </w:r>
            <w:r>
              <w:t xml:space="preserve">new Country Programme (CPD) </w:t>
            </w:r>
            <w:r w:rsidRPr="00025E88">
              <w:t>if necessary</w:t>
            </w:r>
            <w:r>
              <w:t>,</w:t>
            </w:r>
            <w:r w:rsidRPr="00025E88">
              <w:t xml:space="preserve"> and guiding future programming of a similar nature.</w:t>
            </w:r>
          </w:p>
          <w:p w:rsidR="002E0D48" w:rsidRDefault="002E0D48" w:rsidP="00041B03">
            <w:pPr>
              <w:jc w:val="both"/>
              <w:rPr>
                <w:rFonts w:asciiTheme="majorBidi" w:hAnsiTheme="majorBidi" w:cstheme="majorBidi"/>
                <w:b/>
                <w:bCs/>
                <w:u w:val="single"/>
              </w:rPr>
            </w:pPr>
          </w:p>
          <w:p w:rsidR="002E0D48" w:rsidRPr="00F10C2F" w:rsidRDefault="002E0D48" w:rsidP="00041B03">
            <w:pPr>
              <w:jc w:val="both"/>
              <w:rPr>
                <w:rFonts w:asciiTheme="majorBidi" w:hAnsiTheme="majorBidi" w:cstheme="majorBidi"/>
                <w:b/>
                <w:bCs/>
                <w:u w:val="single"/>
              </w:rPr>
            </w:pPr>
            <w:r>
              <w:rPr>
                <w:rFonts w:asciiTheme="majorBidi" w:hAnsiTheme="majorBidi" w:cstheme="majorBidi"/>
                <w:b/>
                <w:bCs/>
                <w:u w:val="single"/>
              </w:rPr>
              <w:t>IV</w:t>
            </w:r>
            <w:r w:rsidRPr="00F10C2F">
              <w:rPr>
                <w:rFonts w:asciiTheme="majorBidi" w:hAnsiTheme="majorBidi" w:cstheme="majorBidi"/>
                <w:b/>
                <w:bCs/>
                <w:u w:val="single"/>
              </w:rPr>
              <w:t>)  Scope of the evaluation</w:t>
            </w:r>
            <w:r>
              <w:rPr>
                <w:rFonts w:asciiTheme="majorBidi" w:hAnsiTheme="majorBidi" w:cstheme="majorBidi"/>
                <w:b/>
                <w:bCs/>
                <w:u w:val="single"/>
              </w:rPr>
              <w:t>s</w:t>
            </w:r>
          </w:p>
          <w:p w:rsidR="002E0D48" w:rsidRPr="00025E88" w:rsidRDefault="002E0D48" w:rsidP="00041B03">
            <w:pPr>
              <w:jc w:val="both"/>
            </w:pPr>
          </w:p>
          <w:p w:rsidR="002E0D48" w:rsidRPr="00025E88" w:rsidRDefault="002E0D48" w:rsidP="002E0D48">
            <w:pPr>
              <w:numPr>
                <w:ilvl w:val="0"/>
                <w:numId w:val="32"/>
              </w:numPr>
              <w:jc w:val="both"/>
            </w:pPr>
            <w:r w:rsidRPr="00025E88">
              <w:t xml:space="preserve">This outcome evaluation will be looking at the relevance and contributions of UNDP project activities and </w:t>
            </w:r>
            <w:r>
              <w:t>upstream policy advice</w:t>
            </w:r>
            <w:r w:rsidRPr="00025E88">
              <w:t xml:space="preserve"> efforts with regard to the outcome. Specifically, the outcome evaluation is expected to address the following issues</w:t>
            </w:r>
            <w:r>
              <w:t xml:space="preserve"> along with providing recommendations to achieve the targets and developing lessons learned.</w:t>
            </w:r>
          </w:p>
          <w:p w:rsidR="002E0D48" w:rsidRPr="00025E88" w:rsidRDefault="002E0D48" w:rsidP="00041B03">
            <w:pPr>
              <w:jc w:val="both"/>
            </w:pPr>
          </w:p>
          <w:p w:rsidR="002E0D48" w:rsidRPr="00025E88" w:rsidRDefault="002E0D48" w:rsidP="00041B03">
            <w:pPr>
              <w:jc w:val="both"/>
              <w:rPr>
                <w:u w:val="single"/>
              </w:rPr>
            </w:pPr>
            <w:r w:rsidRPr="00025E88">
              <w:rPr>
                <w:u w:val="single"/>
              </w:rPr>
              <w:t>Outcome analysis</w:t>
            </w:r>
          </w:p>
          <w:p w:rsidR="002E0D48" w:rsidRPr="00025E88" w:rsidRDefault="002E0D48" w:rsidP="00041B03">
            <w:pPr>
              <w:jc w:val="both"/>
            </w:pPr>
          </w:p>
          <w:p w:rsidR="002E0D48" w:rsidRDefault="002E0D48" w:rsidP="002E0D48">
            <w:pPr>
              <w:numPr>
                <w:ilvl w:val="0"/>
                <w:numId w:val="30"/>
              </w:numPr>
              <w:jc w:val="both"/>
              <w:rPr>
                <w:color w:val="000000" w:themeColor="text1"/>
              </w:rPr>
            </w:pPr>
            <w:r w:rsidRPr="007F5432">
              <w:rPr>
                <w:color w:val="000000" w:themeColor="text1"/>
              </w:rPr>
              <w:t>How</w:t>
            </w:r>
            <w:r>
              <w:rPr>
                <w:color w:val="000000" w:themeColor="text1"/>
              </w:rPr>
              <w:t xml:space="preserve"> did UNDP outputs contribute to economic diversification of the country?</w:t>
            </w:r>
          </w:p>
          <w:p w:rsidR="002E0D48" w:rsidRPr="00025E88" w:rsidRDefault="002E0D48" w:rsidP="002E0D48">
            <w:pPr>
              <w:numPr>
                <w:ilvl w:val="0"/>
                <w:numId w:val="30"/>
              </w:numPr>
              <w:jc w:val="both"/>
            </w:pPr>
            <w:r w:rsidRPr="002F25A0">
              <w:rPr>
                <w:color w:val="000000" w:themeColor="text1"/>
              </w:rPr>
              <w:t xml:space="preserve">How </w:t>
            </w:r>
            <w:r>
              <w:rPr>
                <w:color w:val="000000" w:themeColor="text1"/>
              </w:rPr>
              <w:t>did UNDP outputs contribute to the efficiency of the public sector?</w:t>
            </w:r>
          </w:p>
          <w:p w:rsidR="002E0D48" w:rsidRPr="00025E88" w:rsidRDefault="002E0D48" w:rsidP="00041B03">
            <w:pPr>
              <w:jc w:val="both"/>
            </w:pPr>
          </w:p>
          <w:p w:rsidR="002E0D48" w:rsidRPr="00025E88" w:rsidRDefault="002E0D48" w:rsidP="00041B03">
            <w:pPr>
              <w:jc w:val="both"/>
              <w:rPr>
                <w:u w:val="single"/>
              </w:rPr>
            </w:pPr>
            <w:r w:rsidRPr="00025E88">
              <w:rPr>
                <w:u w:val="single"/>
              </w:rPr>
              <w:t>Output analysis</w:t>
            </w:r>
          </w:p>
          <w:p w:rsidR="002E0D48" w:rsidRPr="00025E88" w:rsidRDefault="002E0D48" w:rsidP="00041B03">
            <w:pPr>
              <w:jc w:val="both"/>
            </w:pPr>
          </w:p>
          <w:p w:rsidR="002E0D48" w:rsidRPr="00025E88" w:rsidRDefault="002E0D48" w:rsidP="002E0D48">
            <w:pPr>
              <w:numPr>
                <w:ilvl w:val="0"/>
                <w:numId w:val="31"/>
              </w:numPr>
              <w:jc w:val="both"/>
            </w:pPr>
            <w:r w:rsidRPr="00025E88">
              <w:t xml:space="preserve">Are the UNDP outputs still relevant to </w:t>
            </w:r>
            <w:r>
              <w:t>CP O</w:t>
            </w:r>
            <w:r w:rsidRPr="00025E88">
              <w:t>utcome</w:t>
            </w:r>
            <w:r>
              <w:t>s two and three</w:t>
            </w:r>
            <w:r w:rsidRPr="00025E88">
              <w:t>?</w:t>
            </w:r>
          </w:p>
          <w:p w:rsidR="002E0D48" w:rsidRPr="00025E88" w:rsidRDefault="002E0D48" w:rsidP="002E0D48">
            <w:pPr>
              <w:numPr>
                <w:ilvl w:val="0"/>
                <w:numId w:val="31"/>
              </w:numPr>
              <w:jc w:val="both"/>
            </w:pPr>
            <w:r w:rsidRPr="00025E88">
              <w:t>Has sufficient progress been made in relation to the UNDP outputs?</w:t>
            </w:r>
            <w:r w:rsidRPr="00253E0B">
              <w:t xml:space="preserve"> </w:t>
            </w:r>
            <w:r>
              <w:t>What is the likely trajectory of the outputs by end of the CP in 2011?</w:t>
            </w:r>
          </w:p>
          <w:p w:rsidR="002E0D48" w:rsidRPr="00025E88" w:rsidRDefault="002E0D48" w:rsidP="002E0D48">
            <w:pPr>
              <w:numPr>
                <w:ilvl w:val="0"/>
                <w:numId w:val="31"/>
              </w:numPr>
              <w:jc w:val="both"/>
            </w:pPr>
            <w:r w:rsidRPr="00025E88">
              <w:t>What are the factors (positive and negative) that affect the accomplishment of the outputs?</w:t>
            </w:r>
          </w:p>
          <w:p w:rsidR="002E0D48" w:rsidRPr="00025E88" w:rsidRDefault="002E0D48" w:rsidP="002E0D48">
            <w:pPr>
              <w:numPr>
                <w:ilvl w:val="0"/>
                <w:numId w:val="31"/>
              </w:numPr>
              <w:jc w:val="both"/>
            </w:pPr>
            <w:r w:rsidRPr="00025E88">
              <w:t xml:space="preserve">Assessment of UNDP’s ability to advocate best practices and desired goals; UNDP’s role and participation in national debate and ability to influence national </w:t>
            </w:r>
            <w:r>
              <w:t xml:space="preserve">and local </w:t>
            </w:r>
            <w:r w:rsidRPr="00025E88">
              <w:t>policies on sustainable development.</w:t>
            </w:r>
          </w:p>
          <w:p w:rsidR="002E0D48" w:rsidRPr="00025E88" w:rsidRDefault="002E0D48" w:rsidP="00041B03">
            <w:pPr>
              <w:jc w:val="both"/>
            </w:pPr>
          </w:p>
          <w:p w:rsidR="002E0D48" w:rsidRPr="00025E88" w:rsidRDefault="002E0D48" w:rsidP="00041B03">
            <w:pPr>
              <w:jc w:val="both"/>
              <w:rPr>
                <w:u w:val="single"/>
              </w:rPr>
            </w:pPr>
            <w:r w:rsidRPr="00025E88">
              <w:rPr>
                <w:u w:val="single"/>
              </w:rPr>
              <w:t>Output-outcome link</w:t>
            </w:r>
          </w:p>
          <w:p w:rsidR="002E0D48" w:rsidRPr="00025E88" w:rsidRDefault="002E0D48" w:rsidP="00041B03">
            <w:pPr>
              <w:jc w:val="both"/>
            </w:pPr>
          </w:p>
          <w:p w:rsidR="002E0D48" w:rsidRPr="00025E88" w:rsidRDefault="002E0D48" w:rsidP="002E0D48">
            <w:pPr>
              <w:numPr>
                <w:ilvl w:val="0"/>
                <w:numId w:val="32"/>
              </w:numPr>
              <w:jc w:val="both"/>
            </w:pPr>
            <w:r w:rsidRPr="00025E88">
              <w:t>Whether UNDP’s outputs or other interventions can be credibly linked to the achievement of the outcome (including the key outputs, projects and assistance soft and hard that contributed to the outcome);</w:t>
            </w:r>
          </w:p>
          <w:p w:rsidR="002E0D48" w:rsidRDefault="002E0D48" w:rsidP="002E0D48">
            <w:pPr>
              <w:numPr>
                <w:ilvl w:val="0"/>
                <w:numId w:val="32"/>
              </w:numPr>
              <w:jc w:val="both"/>
            </w:pPr>
            <w:r w:rsidRPr="00025E88">
              <w:t xml:space="preserve">What has been the role of UNDP soft-assistance activities in helping achieve the outcome? </w:t>
            </w:r>
          </w:p>
          <w:p w:rsidR="002E0D48" w:rsidRPr="00025E88" w:rsidRDefault="002E0D48" w:rsidP="002E0D48">
            <w:pPr>
              <w:numPr>
                <w:ilvl w:val="0"/>
                <w:numId w:val="32"/>
              </w:numPr>
              <w:jc w:val="both"/>
            </w:pPr>
            <w:r w:rsidRPr="00025E88">
              <w:t>With the current planned interventions in partnership with other actors and stakeholders, will UNDP be able to achieve the outcome within the set timeframe and inputs – or whether additional resources are required and new or changed interventions are needed?</w:t>
            </w:r>
          </w:p>
          <w:p w:rsidR="002E0D48" w:rsidRPr="00025E88" w:rsidRDefault="002E0D48" w:rsidP="002E0D48">
            <w:pPr>
              <w:numPr>
                <w:ilvl w:val="0"/>
                <w:numId w:val="32"/>
              </w:numPr>
              <w:jc w:val="both"/>
            </w:pPr>
            <w:r w:rsidRPr="00025E88">
              <w:t xml:space="preserve">Whether UNDP’s partnership strategy has been appropriate and effective. Has UNDP been able to bring together various partners across </w:t>
            </w:r>
            <w:proofErr w:type="spellStart"/>
            <w:r w:rsidRPr="00025E88">
              <w:t>sectoral</w:t>
            </w:r>
            <w:proofErr w:type="spellEnd"/>
            <w:r w:rsidRPr="00025E88">
              <w:t xml:space="preserve"> lines to address </w:t>
            </w:r>
            <w:r>
              <w:t>economic diversity and efficiency</w:t>
            </w:r>
            <w:r w:rsidRPr="00025E88">
              <w:t xml:space="preserve"> concerns in a holistic manner? </w:t>
            </w:r>
          </w:p>
          <w:p w:rsidR="002E0D48" w:rsidRDefault="002E0D48" w:rsidP="002E0D48">
            <w:pPr>
              <w:numPr>
                <w:ilvl w:val="0"/>
                <w:numId w:val="32"/>
              </w:numPr>
              <w:jc w:val="both"/>
            </w:pPr>
            <w:r w:rsidRPr="00025E88">
              <w:t>What is the prospect of the sustainability of UNDP interventions related to the outcome? Can it be ensured that outcome will be reached and maintained even after the UNDP intervention?</w:t>
            </w:r>
          </w:p>
          <w:p w:rsidR="002E0D48" w:rsidRPr="00025E88" w:rsidRDefault="002E0D48" w:rsidP="00041B03">
            <w:pPr>
              <w:jc w:val="both"/>
            </w:pPr>
          </w:p>
          <w:p w:rsidR="002E0D48" w:rsidRPr="00F10C2F" w:rsidRDefault="002E0D48" w:rsidP="00041B03">
            <w:pPr>
              <w:jc w:val="both"/>
              <w:rPr>
                <w:rFonts w:asciiTheme="majorBidi" w:hAnsiTheme="majorBidi" w:cstheme="majorBidi"/>
                <w:b/>
                <w:bCs/>
                <w:u w:val="single"/>
              </w:rPr>
            </w:pPr>
            <w:r>
              <w:rPr>
                <w:rFonts w:asciiTheme="majorBidi" w:hAnsiTheme="majorBidi" w:cstheme="majorBidi"/>
                <w:b/>
                <w:bCs/>
                <w:u w:val="single"/>
              </w:rPr>
              <w:t>V</w:t>
            </w:r>
            <w:r w:rsidRPr="00F10C2F">
              <w:rPr>
                <w:rFonts w:asciiTheme="majorBidi" w:hAnsiTheme="majorBidi" w:cstheme="majorBidi"/>
                <w:b/>
                <w:bCs/>
                <w:u w:val="single"/>
              </w:rPr>
              <w:t>)  Products expected from the evaluation</w:t>
            </w:r>
            <w:r>
              <w:rPr>
                <w:rFonts w:asciiTheme="majorBidi" w:hAnsiTheme="majorBidi" w:cstheme="majorBidi"/>
                <w:b/>
                <w:bCs/>
                <w:u w:val="single"/>
              </w:rPr>
              <w:t>s</w:t>
            </w:r>
          </w:p>
          <w:p w:rsidR="002E0D48" w:rsidRPr="00025E88" w:rsidRDefault="002E0D48" w:rsidP="00041B03">
            <w:pPr>
              <w:jc w:val="both"/>
            </w:pPr>
          </w:p>
          <w:p w:rsidR="002E0D48" w:rsidRPr="00025E88" w:rsidRDefault="002E0D48" w:rsidP="00041B03">
            <w:pPr>
              <w:jc w:val="both"/>
            </w:pPr>
            <w:r w:rsidRPr="00025E88">
              <w:t>The key product</w:t>
            </w:r>
            <w:r>
              <w:t>s expected from these</w:t>
            </w:r>
            <w:r w:rsidRPr="00025E88">
              <w:t xml:space="preserve"> outcome evaluation</w:t>
            </w:r>
            <w:r>
              <w:t>s are</w:t>
            </w:r>
            <w:r w:rsidRPr="00025E88">
              <w:t xml:space="preserve"> </w:t>
            </w:r>
            <w:r>
              <w:t xml:space="preserve">two </w:t>
            </w:r>
            <w:r w:rsidRPr="00025E88">
              <w:t>comprehensive analytical report</w:t>
            </w:r>
            <w:r>
              <w:t>s</w:t>
            </w:r>
            <w:r w:rsidRPr="00025E88">
              <w:t xml:space="preserve"> in English that should, at least, include the following contents:</w:t>
            </w:r>
          </w:p>
          <w:p w:rsidR="002E0D48" w:rsidRPr="00025E88" w:rsidRDefault="002E0D48" w:rsidP="00041B03">
            <w:pPr>
              <w:jc w:val="both"/>
            </w:pPr>
          </w:p>
          <w:p w:rsidR="002E0D48" w:rsidRDefault="002E0D48" w:rsidP="002E0D48">
            <w:pPr>
              <w:numPr>
                <w:ilvl w:val="0"/>
                <w:numId w:val="33"/>
              </w:numPr>
              <w:jc w:val="both"/>
            </w:pPr>
            <w:r>
              <w:t>Final report on each of the outcomes which includes:</w:t>
            </w:r>
          </w:p>
          <w:p w:rsidR="002E0D48" w:rsidRPr="00025E88" w:rsidRDefault="002E0D48" w:rsidP="002E0D48">
            <w:pPr>
              <w:numPr>
                <w:ilvl w:val="1"/>
                <w:numId w:val="34"/>
              </w:numPr>
              <w:jc w:val="both"/>
            </w:pPr>
            <w:r w:rsidRPr="00025E88">
              <w:t>Executive summary</w:t>
            </w:r>
          </w:p>
          <w:p w:rsidR="002E0D48" w:rsidRPr="00025E88" w:rsidRDefault="002E0D48" w:rsidP="002E0D48">
            <w:pPr>
              <w:numPr>
                <w:ilvl w:val="1"/>
                <w:numId w:val="34"/>
              </w:numPr>
              <w:jc w:val="both"/>
            </w:pPr>
            <w:r w:rsidRPr="00025E88">
              <w:t>Introduction</w:t>
            </w:r>
          </w:p>
          <w:p w:rsidR="002E0D48" w:rsidRPr="00025E88" w:rsidRDefault="002E0D48" w:rsidP="002E0D48">
            <w:pPr>
              <w:numPr>
                <w:ilvl w:val="1"/>
                <w:numId w:val="34"/>
              </w:numPr>
              <w:jc w:val="both"/>
            </w:pPr>
            <w:r w:rsidRPr="00025E88">
              <w:t>Description of the evaluation methodology</w:t>
            </w:r>
          </w:p>
          <w:p w:rsidR="002E0D48" w:rsidRPr="00025E88" w:rsidRDefault="002E0D48" w:rsidP="002E0D48">
            <w:pPr>
              <w:numPr>
                <w:ilvl w:val="1"/>
                <w:numId w:val="34"/>
              </w:numPr>
              <w:jc w:val="both"/>
            </w:pPr>
            <w:r w:rsidRPr="00025E88">
              <w:t>An analysis of the situation with regard to the outcome, the outputs and the partnership strategy;</w:t>
            </w:r>
          </w:p>
          <w:p w:rsidR="002E0D48" w:rsidRDefault="002E0D48" w:rsidP="002E0D48">
            <w:pPr>
              <w:numPr>
                <w:ilvl w:val="1"/>
                <w:numId w:val="34"/>
              </w:numPr>
              <w:jc w:val="both"/>
            </w:pPr>
            <w:r w:rsidRPr="00025E88">
              <w:t>Key findings (including best practice and lessons learned)</w:t>
            </w:r>
          </w:p>
          <w:p w:rsidR="002E0D48" w:rsidRPr="00B5680B" w:rsidRDefault="002E0D48" w:rsidP="002E0D48">
            <w:pPr>
              <w:pStyle w:val="ListParagraph"/>
              <w:numPr>
                <w:ilvl w:val="1"/>
                <w:numId w:val="34"/>
              </w:numPr>
              <w:jc w:val="both"/>
            </w:pPr>
            <w:r w:rsidRPr="00B5680B">
              <w:t>Strategies and recommendations for continued UNDP assistance towards the achievement of the outcome</w:t>
            </w:r>
          </w:p>
          <w:p w:rsidR="002E0D48" w:rsidRPr="00025E88" w:rsidRDefault="002E0D48" w:rsidP="002E0D48">
            <w:pPr>
              <w:numPr>
                <w:ilvl w:val="1"/>
                <w:numId w:val="34"/>
              </w:numPr>
              <w:jc w:val="both"/>
            </w:pPr>
            <w:r w:rsidRPr="00025E88">
              <w:t>Conclusions and recommendations</w:t>
            </w:r>
          </w:p>
          <w:p w:rsidR="002E0D48" w:rsidRPr="00025E88" w:rsidRDefault="002E0D48" w:rsidP="002E0D48">
            <w:pPr>
              <w:numPr>
                <w:ilvl w:val="1"/>
                <w:numId w:val="34"/>
              </w:numPr>
              <w:jc w:val="both"/>
            </w:pPr>
            <w:r w:rsidRPr="00025E88">
              <w:t>Annexes: TOR, field visits, people interviewed, documents reviewed, etc.</w:t>
            </w:r>
          </w:p>
          <w:p w:rsidR="002E0D48" w:rsidRPr="00025E88" w:rsidRDefault="002E0D48" w:rsidP="00041B03">
            <w:pPr>
              <w:jc w:val="both"/>
            </w:pPr>
          </w:p>
          <w:p w:rsidR="002E0D48" w:rsidRPr="00025E88" w:rsidRDefault="002E0D48" w:rsidP="00041B03">
            <w:pPr>
              <w:jc w:val="both"/>
            </w:pPr>
            <w:r w:rsidRPr="00025E88">
              <w:t xml:space="preserve">(See the </w:t>
            </w:r>
            <w:r w:rsidRPr="00025E88">
              <w:rPr>
                <w:i/>
                <w:u w:val="single"/>
              </w:rPr>
              <w:t>UNDP Guidelines for Outcome Evaluators</w:t>
            </w:r>
            <w:r w:rsidRPr="00025E88">
              <w:t xml:space="preserve"> for a detailed guidance on the preparation of an outcome evaluation report).</w:t>
            </w:r>
          </w:p>
          <w:p w:rsidR="002E0D48" w:rsidRPr="00025E88" w:rsidRDefault="002E0D48" w:rsidP="00041B03">
            <w:pPr>
              <w:jc w:val="both"/>
            </w:pPr>
          </w:p>
          <w:p w:rsidR="002E0D48" w:rsidRPr="00F10C2F" w:rsidRDefault="002E0D48" w:rsidP="00041B03">
            <w:pPr>
              <w:jc w:val="both"/>
              <w:rPr>
                <w:rFonts w:asciiTheme="majorBidi" w:hAnsiTheme="majorBidi" w:cstheme="majorBidi"/>
                <w:b/>
                <w:bCs/>
                <w:u w:val="single"/>
              </w:rPr>
            </w:pPr>
            <w:r>
              <w:rPr>
                <w:rFonts w:asciiTheme="majorBidi" w:hAnsiTheme="majorBidi" w:cstheme="majorBidi"/>
                <w:b/>
                <w:bCs/>
                <w:u w:val="single"/>
              </w:rPr>
              <w:t>VI</w:t>
            </w:r>
            <w:r w:rsidRPr="00F10C2F">
              <w:rPr>
                <w:rFonts w:asciiTheme="majorBidi" w:hAnsiTheme="majorBidi" w:cstheme="majorBidi"/>
                <w:b/>
                <w:bCs/>
                <w:u w:val="single"/>
              </w:rPr>
              <w:t>) Methodology or evaluation approach</w:t>
            </w:r>
          </w:p>
          <w:p w:rsidR="002E0D48" w:rsidRPr="00025E88" w:rsidRDefault="002E0D48" w:rsidP="00041B03">
            <w:pPr>
              <w:jc w:val="both"/>
            </w:pPr>
          </w:p>
          <w:p w:rsidR="002E0D48" w:rsidRPr="00025E88" w:rsidRDefault="002E0D48" w:rsidP="00041B03">
            <w:pPr>
              <w:jc w:val="both"/>
            </w:pPr>
            <w:r w:rsidRPr="00025E88">
              <w:t xml:space="preserve">An overall guidance on outcome evaluation methodology can be found in the </w:t>
            </w:r>
            <w:r w:rsidRPr="00025E88">
              <w:rPr>
                <w:i/>
                <w:u w:val="single"/>
              </w:rPr>
              <w:t>UNDP Handbook on Monitoring and Evaluating for Results</w:t>
            </w:r>
            <w:r w:rsidRPr="00025E88">
              <w:t xml:space="preserve"> and the </w:t>
            </w:r>
            <w:r w:rsidRPr="00025E88">
              <w:rPr>
                <w:i/>
                <w:u w:val="single"/>
              </w:rPr>
              <w:t>UNDP Guidelines for Outcome Evaluators</w:t>
            </w:r>
            <w:r w:rsidRPr="00025E88">
              <w:t>. The evaluators should study those two documents very carefully before they come up with the concrete methodology for the outcome evaluation.</w:t>
            </w:r>
          </w:p>
          <w:p w:rsidR="002E0D48" w:rsidRPr="00025E88" w:rsidRDefault="002E0D48" w:rsidP="00041B03">
            <w:pPr>
              <w:jc w:val="both"/>
            </w:pPr>
          </w:p>
          <w:p w:rsidR="002E0D48" w:rsidRDefault="002E0D48" w:rsidP="00041B03">
            <w:r w:rsidRPr="00025E88">
              <w:t>Specifically, during the outcome evaluation, the evaluators are expected to apply the following approaches for data collection and analysis: (</w:t>
            </w:r>
            <w:proofErr w:type="spellStart"/>
            <w:r w:rsidRPr="00025E88">
              <w:t>i</w:t>
            </w:r>
            <w:proofErr w:type="spellEnd"/>
            <w:r w:rsidRPr="00025E88">
              <w:t>) desk review of existing documents and materials, (ii) interviews with partners and stakeholders (including what the partners have achieved with regard to the outcome and what s</w:t>
            </w:r>
            <w:r>
              <w:t>trategies they have used, and (iii</w:t>
            </w:r>
            <w:r w:rsidRPr="00025E88">
              <w:t xml:space="preserve">) briefing and debriefing sessions with UNDP and the government, as well as with </w:t>
            </w:r>
            <w:r>
              <w:t>other partners</w:t>
            </w:r>
            <w:r w:rsidRPr="00025E88">
              <w:t>.</w:t>
            </w:r>
          </w:p>
          <w:p w:rsidR="002E0D48" w:rsidRPr="00F15644" w:rsidRDefault="002E0D48" w:rsidP="00041B03">
            <w:pPr>
              <w:jc w:val="both"/>
            </w:pPr>
            <w:r w:rsidRPr="00F15644">
              <w:t>Specifically, the consultant will perform the following tasks:</w:t>
            </w:r>
          </w:p>
          <w:p w:rsidR="002E0D48" w:rsidRDefault="002E0D48" w:rsidP="00041B03">
            <w:pPr>
              <w:jc w:val="both"/>
              <w:rPr>
                <w:color w:val="00B0F0"/>
              </w:rPr>
            </w:pPr>
          </w:p>
          <w:p w:rsidR="002E0D48" w:rsidRPr="00C34AE2" w:rsidRDefault="002E0D48" w:rsidP="002E0D48">
            <w:pPr>
              <w:numPr>
                <w:ilvl w:val="0"/>
                <w:numId w:val="42"/>
              </w:numPr>
              <w:jc w:val="both"/>
            </w:pPr>
            <w:r w:rsidRPr="00C34AE2">
              <w:t>Evaluation preparation, e.g., design, approach, document review, focus of the Evaluation efforts (past or future orientation etc.);</w:t>
            </w:r>
          </w:p>
          <w:p w:rsidR="002E0D48" w:rsidRPr="00C34AE2" w:rsidRDefault="002E0D48" w:rsidP="002E0D48">
            <w:pPr>
              <w:numPr>
                <w:ilvl w:val="0"/>
                <w:numId w:val="42"/>
              </w:numPr>
              <w:jc w:val="both"/>
            </w:pPr>
            <w:r w:rsidRPr="00C34AE2">
              <w:t>Realistic scoping of the Evaluation (e.g., format, contents, and length of the Evaluation report, level of details expected including the amount of quantitative data, roles and participation of key partners), within the available resources (time and financial budget etc.);</w:t>
            </w:r>
          </w:p>
          <w:p w:rsidR="002E0D48" w:rsidRPr="00C34AE2" w:rsidRDefault="002E0D48" w:rsidP="002E0D48">
            <w:pPr>
              <w:numPr>
                <w:ilvl w:val="0"/>
                <w:numId w:val="42"/>
              </w:numPr>
              <w:jc w:val="both"/>
            </w:pPr>
            <w:r w:rsidRPr="00C34AE2">
              <w:t>Interviews with partners and stakeholders;</w:t>
            </w:r>
          </w:p>
          <w:p w:rsidR="002E0D48" w:rsidRPr="00C34AE2" w:rsidRDefault="002E0D48" w:rsidP="002E0D48">
            <w:pPr>
              <w:numPr>
                <w:ilvl w:val="0"/>
                <w:numId w:val="42"/>
              </w:numPr>
              <w:jc w:val="both"/>
            </w:pPr>
            <w:r w:rsidRPr="00C34AE2">
              <w:t>Implementation of the Evaluation;</w:t>
            </w:r>
          </w:p>
          <w:p w:rsidR="002E0D48" w:rsidRPr="00C34AE2" w:rsidRDefault="002E0D48" w:rsidP="002E0D48">
            <w:pPr>
              <w:numPr>
                <w:ilvl w:val="0"/>
                <w:numId w:val="42"/>
              </w:numPr>
              <w:jc w:val="both"/>
            </w:pPr>
            <w:r w:rsidRPr="00C34AE2">
              <w:t xml:space="preserve">Focusing on the institutional aspects, across the levels of institutions from policy to legislation, regulation, and organizations;  assessing institutional capacity and incentives;  and assessing complex situations in order to succinctly and clearly </w:t>
            </w:r>
            <w:proofErr w:type="spellStart"/>
            <w:r w:rsidRPr="00C34AE2">
              <w:t>distill</w:t>
            </w:r>
            <w:proofErr w:type="spellEnd"/>
            <w:r w:rsidRPr="00C34AE2">
              <w:t xml:space="preserve"> critical issues and draw forward looking conclusions;</w:t>
            </w:r>
          </w:p>
          <w:p w:rsidR="002E0D48" w:rsidRPr="00C34AE2" w:rsidRDefault="002E0D48" w:rsidP="002E0D48">
            <w:pPr>
              <w:numPr>
                <w:ilvl w:val="0"/>
                <w:numId w:val="42"/>
              </w:numPr>
              <w:jc w:val="both"/>
            </w:pPr>
            <w:r w:rsidRPr="00C34AE2">
              <w:t>Final report writing to meet the objectives of the Evaluation TOR. Realistic scoping of the Evaluation (e.g., format, contents, and length of the Evaluation report, level of details expected including the amount of quantitative data, roles and participation of key partners), within the available resources (time and financial budget etc.);</w:t>
            </w:r>
          </w:p>
          <w:p w:rsidR="002E0D48" w:rsidRPr="00F15644" w:rsidRDefault="002E0D48" w:rsidP="00041B03">
            <w:pPr>
              <w:jc w:val="both"/>
            </w:pPr>
          </w:p>
          <w:p w:rsidR="002E0D48" w:rsidRPr="00F10C2F" w:rsidRDefault="002E0D48" w:rsidP="00041B03">
            <w:pPr>
              <w:jc w:val="both"/>
              <w:rPr>
                <w:rFonts w:asciiTheme="majorBidi" w:hAnsiTheme="majorBidi" w:cstheme="majorBidi"/>
                <w:b/>
                <w:bCs/>
                <w:u w:val="single"/>
              </w:rPr>
            </w:pPr>
            <w:r>
              <w:rPr>
                <w:rFonts w:asciiTheme="majorBidi" w:hAnsiTheme="majorBidi" w:cstheme="majorBidi"/>
                <w:b/>
                <w:bCs/>
                <w:u w:val="single"/>
              </w:rPr>
              <w:t>VI</w:t>
            </w:r>
            <w:r w:rsidRPr="00F10C2F">
              <w:rPr>
                <w:rFonts w:asciiTheme="majorBidi" w:hAnsiTheme="majorBidi" w:cstheme="majorBidi"/>
                <w:b/>
                <w:bCs/>
                <w:u w:val="single"/>
              </w:rPr>
              <w:t>I)  Implementation arrangements</w:t>
            </w:r>
            <w:r w:rsidR="009E67CD">
              <w:rPr>
                <w:rFonts w:asciiTheme="majorBidi" w:hAnsiTheme="majorBidi" w:cstheme="majorBidi"/>
                <w:b/>
                <w:bCs/>
                <w:u w:val="single"/>
              </w:rPr>
              <w:t>, covering two Outcome Evaluations</w:t>
            </w:r>
          </w:p>
          <w:p w:rsidR="002E0D48" w:rsidRPr="00F15644" w:rsidRDefault="002E0D48" w:rsidP="00041B03">
            <w:pPr>
              <w:jc w:val="both"/>
            </w:pPr>
          </w:p>
          <w:p w:rsidR="002E0D48" w:rsidRPr="00F15644" w:rsidRDefault="002E0D48" w:rsidP="00041B03">
            <w:pPr>
              <w:jc w:val="both"/>
            </w:pPr>
            <w:r w:rsidRPr="00F15644">
              <w:t xml:space="preserve">To facilitate the outcome evaluation, UNDP Saudi Arabia will set up </w:t>
            </w:r>
            <w:r>
              <w:t>an</w:t>
            </w:r>
            <w:r w:rsidRPr="00F15644">
              <w:t xml:space="preserve"> Evaluation Focal Team (EFT), which will provide substantive support to the evaluation consultant and will help identify the key partners for interviews as well as providing the consultant with background materials. The EFT will review and comment on the draft evaluation reports submitted by the consultant.</w:t>
            </w:r>
            <w:r>
              <w:t xml:space="preserve"> The EFT will consist of members of the Programme Team (which manages all programmes on daily basis) and UNDP Assistant Resident Representative in charge of Monitoring and Evaluation who will serve as chair of the EFT.</w:t>
            </w:r>
          </w:p>
          <w:p w:rsidR="002E0D48" w:rsidRPr="00F15644" w:rsidRDefault="002E0D48" w:rsidP="00041B03">
            <w:pPr>
              <w:jc w:val="both"/>
            </w:pPr>
          </w:p>
          <w:p w:rsidR="002E0D48" w:rsidRPr="00F15644" w:rsidRDefault="002E0D48" w:rsidP="00041B03">
            <w:pPr>
              <w:jc w:val="both"/>
            </w:pPr>
            <w:r w:rsidRPr="00F15644">
              <w:t xml:space="preserve">A total of about </w:t>
            </w:r>
            <w:r>
              <w:t>46</w:t>
            </w:r>
            <w:r w:rsidRPr="00F15644">
              <w:t xml:space="preserve"> work days are required for the evaluation</w:t>
            </w:r>
            <w:r w:rsidR="00C37F84">
              <w:t xml:space="preserve"> (paired with another)</w:t>
            </w:r>
            <w:r w:rsidRPr="00F15644">
              <w:t>, which are broken down as follows:</w:t>
            </w:r>
          </w:p>
          <w:p w:rsidR="002E0D48" w:rsidRPr="00F15644" w:rsidRDefault="002E0D48" w:rsidP="00041B03">
            <w:pPr>
              <w:jc w:val="both"/>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2"/>
              <w:gridCol w:w="4622"/>
            </w:tblGrid>
            <w:tr w:rsidR="002E0D48" w:rsidRPr="00F15644" w:rsidTr="00041B03">
              <w:tc>
                <w:tcPr>
                  <w:tcW w:w="4622" w:type="dxa"/>
                </w:tcPr>
                <w:p w:rsidR="002E0D48" w:rsidRPr="00F15644" w:rsidRDefault="002E0D48" w:rsidP="00041B03">
                  <w:pPr>
                    <w:jc w:val="center"/>
                    <w:rPr>
                      <w:b/>
                    </w:rPr>
                  </w:pPr>
                  <w:r w:rsidRPr="00F15644">
                    <w:rPr>
                      <w:b/>
                    </w:rPr>
                    <w:t>Activity</w:t>
                  </w:r>
                  <w:r w:rsidR="009E67CD">
                    <w:rPr>
                      <w:b/>
                    </w:rPr>
                    <w:t>, two Outcome Evaluations</w:t>
                  </w:r>
                </w:p>
              </w:tc>
              <w:tc>
                <w:tcPr>
                  <w:tcW w:w="4622" w:type="dxa"/>
                </w:tcPr>
                <w:p w:rsidR="002E0D48" w:rsidRDefault="002E0D48" w:rsidP="00041B03">
                  <w:pPr>
                    <w:jc w:val="center"/>
                    <w:rPr>
                      <w:b/>
                    </w:rPr>
                  </w:pPr>
                  <w:r>
                    <w:rPr>
                      <w:b/>
                    </w:rPr>
                    <w:t>Suggested t</w:t>
                  </w:r>
                  <w:r w:rsidRPr="00F15644">
                    <w:rPr>
                      <w:b/>
                    </w:rPr>
                    <w:t>imeframe and responsible party</w:t>
                  </w:r>
                </w:p>
              </w:tc>
            </w:tr>
            <w:tr w:rsidR="002E0D48" w:rsidRPr="00F15644" w:rsidTr="00041B03">
              <w:tc>
                <w:tcPr>
                  <w:tcW w:w="4622" w:type="dxa"/>
                </w:tcPr>
                <w:p w:rsidR="002E0D48" w:rsidRPr="00F15644" w:rsidRDefault="002E0D48" w:rsidP="00041B03">
                  <w:pPr>
                    <w:jc w:val="both"/>
                  </w:pPr>
                  <w:r w:rsidRPr="00F15644">
                    <w:t>Briefing with UNDP Saudi Arabia</w:t>
                  </w:r>
                </w:p>
              </w:tc>
              <w:tc>
                <w:tcPr>
                  <w:tcW w:w="4622" w:type="dxa"/>
                </w:tcPr>
                <w:p w:rsidR="002E0D48" w:rsidRPr="00F15644" w:rsidRDefault="002E0D48" w:rsidP="00041B03">
                  <w:pPr>
                    <w:jc w:val="both"/>
                  </w:pPr>
                  <w:r w:rsidRPr="00F15644">
                    <w:t>0.5 day, by UNDP Evaluation Focal Team</w:t>
                  </w:r>
                </w:p>
              </w:tc>
            </w:tr>
            <w:tr w:rsidR="002E0D48" w:rsidRPr="00F15644" w:rsidTr="00041B03">
              <w:tc>
                <w:tcPr>
                  <w:tcW w:w="4622" w:type="dxa"/>
                </w:tcPr>
                <w:p w:rsidR="002E0D48" w:rsidRPr="00F15644" w:rsidRDefault="002E0D48" w:rsidP="00041B03">
                  <w:pPr>
                    <w:jc w:val="both"/>
                  </w:pPr>
                  <w:r w:rsidRPr="00F15644">
                    <w:t>Desk review of existing documents</w:t>
                  </w:r>
                  <w:r>
                    <w:t>, develop</w:t>
                  </w:r>
                  <w:r w:rsidRPr="00C34AE2">
                    <w:t xml:space="preserve"> Evaluation design (schedule, scope, methodology, forward-looking strategy, information and documents needed, their availability and alternatives, partners and agencies to meet); data collection</w:t>
                  </w:r>
                </w:p>
              </w:tc>
              <w:tc>
                <w:tcPr>
                  <w:tcW w:w="4622" w:type="dxa"/>
                </w:tcPr>
                <w:p w:rsidR="002E0D48" w:rsidRPr="00F15644" w:rsidRDefault="002E0D48" w:rsidP="00041B03">
                  <w:pPr>
                    <w:jc w:val="both"/>
                  </w:pPr>
                  <w:r>
                    <w:t xml:space="preserve">10 days, </w:t>
                  </w:r>
                  <w:r w:rsidRPr="00F15644">
                    <w:t>by the Consultant</w:t>
                  </w:r>
                </w:p>
              </w:tc>
            </w:tr>
            <w:tr w:rsidR="002E0D48" w:rsidRPr="00F15644" w:rsidTr="00041B03">
              <w:tc>
                <w:tcPr>
                  <w:tcW w:w="4622" w:type="dxa"/>
                </w:tcPr>
                <w:p w:rsidR="002E0D48" w:rsidRPr="00F15644" w:rsidRDefault="002E0D48" w:rsidP="009E67CD">
                  <w:pPr>
                    <w:spacing w:before="0" w:after="0"/>
                    <w:jc w:val="both"/>
                  </w:pPr>
                  <w:r w:rsidRPr="00F15644">
                    <w:t>Interviews with partners</w:t>
                  </w:r>
                </w:p>
              </w:tc>
              <w:tc>
                <w:tcPr>
                  <w:tcW w:w="4622" w:type="dxa"/>
                </w:tcPr>
                <w:p w:rsidR="002E0D48" w:rsidRPr="00F15644" w:rsidRDefault="002E0D48" w:rsidP="009E67CD">
                  <w:pPr>
                    <w:spacing w:before="0" w:after="0"/>
                    <w:jc w:val="both"/>
                  </w:pPr>
                  <w:r>
                    <w:t>6</w:t>
                  </w:r>
                  <w:r w:rsidRPr="00F15644">
                    <w:t xml:space="preserve"> days, by the Consultant</w:t>
                  </w:r>
                </w:p>
              </w:tc>
            </w:tr>
            <w:tr w:rsidR="002E0D48" w:rsidRPr="00F15644" w:rsidTr="00041B03">
              <w:tc>
                <w:tcPr>
                  <w:tcW w:w="4622" w:type="dxa"/>
                </w:tcPr>
                <w:p w:rsidR="002E0D48" w:rsidRPr="00F15644" w:rsidRDefault="002E0D48" w:rsidP="009E67CD">
                  <w:pPr>
                    <w:spacing w:before="0" w:after="0"/>
                    <w:jc w:val="both"/>
                  </w:pPr>
                  <w:r w:rsidRPr="00F15644">
                    <w:t>Debriefing with UNDP Saudi Arabia</w:t>
                  </w:r>
                </w:p>
              </w:tc>
              <w:tc>
                <w:tcPr>
                  <w:tcW w:w="4622" w:type="dxa"/>
                </w:tcPr>
                <w:p w:rsidR="002E0D48" w:rsidRPr="00F15644" w:rsidRDefault="002E0D48" w:rsidP="009E67CD">
                  <w:pPr>
                    <w:spacing w:before="0" w:after="0"/>
                    <w:jc w:val="both"/>
                  </w:pPr>
                  <w:r w:rsidRPr="00F15644">
                    <w:t>0.5 day, UNDP and the Consultant</w:t>
                  </w:r>
                </w:p>
              </w:tc>
            </w:tr>
            <w:tr w:rsidR="002E0D48" w:rsidRPr="00F15644" w:rsidTr="00041B03">
              <w:tc>
                <w:tcPr>
                  <w:tcW w:w="4622" w:type="dxa"/>
                </w:tcPr>
                <w:p w:rsidR="002E0D48" w:rsidRPr="00F15644" w:rsidRDefault="002E0D48" w:rsidP="009E67CD">
                  <w:pPr>
                    <w:spacing w:before="0" w:after="0"/>
                    <w:jc w:val="both"/>
                  </w:pPr>
                  <w:r w:rsidRPr="00F15644">
                    <w:t>Drafting of the evaluation report</w:t>
                  </w:r>
                  <w:r>
                    <w:t>s</w:t>
                  </w:r>
                  <w:r w:rsidRPr="00F15644">
                    <w:t xml:space="preserve"> and submi</w:t>
                  </w:r>
                  <w:r>
                    <w:t>ssion of</w:t>
                  </w:r>
                  <w:r w:rsidRPr="00F15644">
                    <w:t xml:space="preserve"> 1</w:t>
                  </w:r>
                  <w:r w:rsidRPr="00F15644">
                    <w:rPr>
                      <w:vertAlign w:val="superscript"/>
                    </w:rPr>
                    <w:t>st</w:t>
                  </w:r>
                  <w:r w:rsidRPr="00F15644">
                    <w:t xml:space="preserve"> draft</w:t>
                  </w:r>
                  <w:r>
                    <w:t>s</w:t>
                  </w:r>
                </w:p>
              </w:tc>
              <w:tc>
                <w:tcPr>
                  <w:tcW w:w="4622" w:type="dxa"/>
                </w:tcPr>
                <w:p w:rsidR="002E0D48" w:rsidRPr="00F15644" w:rsidRDefault="002E0D48" w:rsidP="009E67CD">
                  <w:pPr>
                    <w:spacing w:before="0" w:after="0"/>
                    <w:jc w:val="both"/>
                  </w:pPr>
                  <w:r w:rsidRPr="00F15644">
                    <w:t>1</w:t>
                  </w:r>
                  <w:r>
                    <w:t>5</w:t>
                  </w:r>
                  <w:r w:rsidRPr="00F15644">
                    <w:t xml:space="preserve"> days, by the Consultant </w:t>
                  </w:r>
                </w:p>
              </w:tc>
            </w:tr>
            <w:tr w:rsidR="002E0D48" w:rsidRPr="00F15644" w:rsidTr="00041B03">
              <w:tc>
                <w:tcPr>
                  <w:tcW w:w="4622" w:type="dxa"/>
                </w:tcPr>
                <w:p w:rsidR="002E0D48" w:rsidRPr="00F15644" w:rsidRDefault="002E0D48" w:rsidP="009E67CD">
                  <w:pPr>
                    <w:spacing w:before="0" w:after="0"/>
                    <w:jc w:val="both"/>
                  </w:pPr>
                  <w:r w:rsidRPr="00F15644">
                    <w:t>Review First Draft</w:t>
                  </w:r>
                  <w:r>
                    <w:t>s</w:t>
                  </w:r>
                  <w:r w:rsidRPr="00F15644">
                    <w:t xml:space="preserve"> </w:t>
                  </w:r>
                </w:p>
              </w:tc>
              <w:tc>
                <w:tcPr>
                  <w:tcW w:w="4622" w:type="dxa"/>
                </w:tcPr>
                <w:p w:rsidR="002E0D48" w:rsidRPr="00F15644" w:rsidRDefault="002E0D48" w:rsidP="009E67CD">
                  <w:pPr>
                    <w:spacing w:before="0" w:after="0"/>
                    <w:jc w:val="both"/>
                  </w:pPr>
                  <w:r w:rsidRPr="00F15644">
                    <w:t>2 days, by UNDP Evaluation Focal Team</w:t>
                  </w:r>
                </w:p>
              </w:tc>
            </w:tr>
            <w:tr w:rsidR="002E0D48" w:rsidRPr="00F15644" w:rsidTr="00041B03">
              <w:tc>
                <w:tcPr>
                  <w:tcW w:w="4622" w:type="dxa"/>
                </w:tcPr>
                <w:p w:rsidR="002E0D48" w:rsidRPr="00F15644" w:rsidRDefault="002E0D48" w:rsidP="009E67CD">
                  <w:pPr>
                    <w:spacing w:before="0" w:after="0"/>
                    <w:jc w:val="both"/>
                  </w:pPr>
                  <w:r w:rsidRPr="00F15644">
                    <w:t>Submi</w:t>
                  </w:r>
                  <w:r>
                    <w:t>ssion of</w:t>
                  </w:r>
                  <w:r w:rsidRPr="00F15644">
                    <w:t xml:space="preserve"> Second draft</w:t>
                  </w:r>
                  <w:r>
                    <w:t>s</w:t>
                  </w:r>
                </w:p>
              </w:tc>
              <w:tc>
                <w:tcPr>
                  <w:tcW w:w="4622" w:type="dxa"/>
                </w:tcPr>
                <w:p w:rsidR="002E0D48" w:rsidRPr="00F15644" w:rsidRDefault="002E0D48" w:rsidP="009E67CD">
                  <w:pPr>
                    <w:spacing w:before="0" w:after="0"/>
                    <w:jc w:val="both"/>
                  </w:pPr>
                  <w:r>
                    <w:t>5</w:t>
                  </w:r>
                  <w:r w:rsidRPr="00F15644">
                    <w:t xml:space="preserve"> days, by the Consultant</w:t>
                  </w:r>
                </w:p>
              </w:tc>
            </w:tr>
            <w:tr w:rsidR="002E0D48" w:rsidRPr="00F15644" w:rsidTr="00041B03">
              <w:tc>
                <w:tcPr>
                  <w:tcW w:w="4622" w:type="dxa"/>
                </w:tcPr>
                <w:p w:rsidR="002E0D48" w:rsidRPr="00F15644" w:rsidRDefault="002E0D48" w:rsidP="009E67CD">
                  <w:pPr>
                    <w:spacing w:before="0" w:after="0"/>
                    <w:jc w:val="both"/>
                  </w:pPr>
                  <w:r w:rsidRPr="00F15644">
                    <w:t xml:space="preserve">Review Second Draft </w:t>
                  </w:r>
                </w:p>
              </w:tc>
              <w:tc>
                <w:tcPr>
                  <w:tcW w:w="4622" w:type="dxa"/>
                </w:tcPr>
                <w:p w:rsidR="002E0D48" w:rsidRPr="00F15644" w:rsidRDefault="002E0D48" w:rsidP="009E67CD">
                  <w:pPr>
                    <w:spacing w:before="0" w:after="0"/>
                    <w:jc w:val="both"/>
                  </w:pPr>
                  <w:r w:rsidRPr="00F15644">
                    <w:t>2 days, by UNDP Evaluation Focal Team</w:t>
                  </w:r>
                </w:p>
              </w:tc>
            </w:tr>
            <w:tr w:rsidR="002E0D48" w:rsidRPr="00F15644" w:rsidTr="00041B03">
              <w:tc>
                <w:tcPr>
                  <w:tcW w:w="4622" w:type="dxa"/>
                </w:tcPr>
                <w:p w:rsidR="002E0D48" w:rsidRPr="00F15644" w:rsidRDefault="002E0D48" w:rsidP="009E67CD">
                  <w:pPr>
                    <w:spacing w:before="0" w:after="0"/>
                    <w:jc w:val="both"/>
                  </w:pPr>
                  <w:r w:rsidRPr="00F15644">
                    <w:t>Finalization of the evaluation report</w:t>
                  </w:r>
                  <w:r>
                    <w:t>s</w:t>
                  </w:r>
                </w:p>
              </w:tc>
              <w:tc>
                <w:tcPr>
                  <w:tcW w:w="4622" w:type="dxa"/>
                </w:tcPr>
                <w:p w:rsidR="002E0D48" w:rsidRPr="00F15644" w:rsidRDefault="002E0D48" w:rsidP="009E67CD">
                  <w:pPr>
                    <w:spacing w:before="0" w:after="0"/>
                    <w:jc w:val="both"/>
                  </w:pPr>
                  <w:r w:rsidRPr="00F15644">
                    <w:t>5 days, by the Consultant</w:t>
                  </w:r>
                </w:p>
              </w:tc>
            </w:tr>
          </w:tbl>
          <w:p w:rsidR="002E0D48" w:rsidRPr="00F15644" w:rsidRDefault="002E0D48" w:rsidP="00041B03">
            <w:pPr>
              <w:jc w:val="both"/>
            </w:pPr>
          </w:p>
          <w:p w:rsidR="002E0D48" w:rsidRPr="00F15644" w:rsidRDefault="002E0D48" w:rsidP="00041B03">
            <w:pPr>
              <w:jc w:val="both"/>
            </w:pPr>
          </w:p>
          <w:p w:rsidR="002E0D48" w:rsidRPr="00F10C2F" w:rsidRDefault="002E0D48" w:rsidP="00041B03">
            <w:pPr>
              <w:jc w:val="both"/>
              <w:rPr>
                <w:rFonts w:asciiTheme="majorBidi" w:hAnsiTheme="majorBidi" w:cstheme="majorBidi"/>
                <w:b/>
                <w:bCs/>
                <w:u w:val="single"/>
              </w:rPr>
            </w:pPr>
            <w:r>
              <w:rPr>
                <w:rFonts w:asciiTheme="majorBidi" w:hAnsiTheme="majorBidi" w:cstheme="majorBidi"/>
                <w:b/>
                <w:bCs/>
                <w:u w:val="single"/>
              </w:rPr>
              <w:t>VII</w:t>
            </w:r>
            <w:r w:rsidRPr="00F10C2F">
              <w:rPr>
                <w:rFonts w:asciiTheme="majorBidi" w:hAnsiTheme="majorBidi" w:cstheme="majorBidi"/>
                <w:b/>
                <w:bCs/>
                <w:u w:val="single"/>
              </w:rPr>
              <w:t>I)  Selected documents to be studied by the evaluators</w:t>
            </w:r>
          </w:p>
          <w:p w:rsidR="002E0D48" w:rsidRPr="00F15644" w:rsidRDefault="002E0D48" w:rsidP="00041B03">
            <w:pPr>
              <w:jc w:val="both"/>
            </w:pPr>
          </w:p>
          <w:p w:rsidR="002E0D48" w:rsidRPr="00F15644" w:rsidRDefault="002E0D48" w:rsidP="00041B03">
            <w:pPr>
              <w:jc w:val="both"/>
            </w:pPr>
            <w:r w:rsidRPr="00F15644">
              <w:t>The following documents should be studied by the consultant:</w:t>
            </w:r>
          </w:p>
          <w:p w:rsidR="002E0D48" w:rsidRPr="00F15644" w:rsidRDefault="002E0D48" w:rsidP="002E0D48">
            <w:pPr>
              <w:numPr>
                <w:ilvl w:val="0"/>
                <w:numId w:val="41"/>
              </w:numPr>
              <w:jc w:val="both"/>
            </w:pPr>
            <w:r w:rsidRPr="00F15644">
              <w:t>UNDP Handbook on Monitoring and Evaluating for Results</w:t>
            </w:r>
          </w:p>
          <w:p w:rsidR="002E0D48" w:rsidRPr="00F15644" w:rsidRDefault="002E0D48" w:rsidP="002E0D48">
            <w:pPr>
              <w:numPr>
                <w:ilvl w:val="0"/>
                <w:numId w:val="41"/>
              </w:numPr>
              <w:jc w:val="both"/>
            </w:pPr>
            <w:r w:rsidRPr="00F15644">
              <w:t>UNDP Guidelines for Outcome Evaluators.</w:t>
            </w:r>
          </w:p>
          <w:p w:rsidR="002E0D48" w:rsidRPr="00F15644" w:rsidRDefault="002E0D48" w:rsidP="002E0D48">
            <w:pPr>
              <w:numPr>
                <w:ilvl w:val="0"/>
                <w:numId w:val="40"/>
              </w:numPr>
              <w:jc w:val="both"/>
            </w:pPr>
            <w:r w:rsidRPr="00F15644">
              <w:t>UNDP Results-Based Management: Technical Note</w:t>
            </w:r>
          </w:p>
          <w:p w:rsidR="002E0D48" w:rsidRDefault="002E0D48" w:rsidP="002E0D48">
            <w:pPr>
              <w:numPr>
                <w:ilvl w:val="0"/>
                <w:numId w:val="40"/>
              </w:numPr>
              <w:jc w:val="both"/>
            </w:pPr>
            <w:r>
              <w:t>UNDP Country Programme Document</w:t>
            </w:r>
          </w:p>
          <w:p w:rsidR="002E0D48" w:rsidRDefault="002E0D48" w:rsidP="002E0D48">
            <w:pPr>
              <w:numPr>
                <w:ilvl w:val="0"/>
                <w:numId w:val="40"/>
              </w:numPr>
              <w:jc w:val="both"/>
            </w:pPr>
            <w:r w:rsidRPr="00F15644">
              <w:t>UNDP Project documents</w:t>
            </w:r>
            <w:r>
              <w:t xml:space="preserve"> </w:t>
            </w:r>
          </w:p>
          <w:p w:rsidR="002E0D48" w:rsidRDefault="002E0D48" w:rsidP="002E0D48">
            <w:pPr>
              <w:numPr>
                <w:ilvl w:val="0"/>
                <w:numId w:val="40"/>
              </w:numPr>
              <w:jc w:val="both"/>
            </w:pPr>
            <w:r w:rsidRPr="00F15644">
              <w:t>UNDP National Human Development Reports for KSA</w:t>
            </w:r>
          </w:p>
          <w:p w:rsidR="002E0D48" w:rsidRDefault="002E0D48" w:rsidP="002E0D48">
            <w:pPr>
              <w:numPr>
                <w:ilvl w:val="0"/>
                <w:numId w:val="40"/>
              </w:numPr>
              <w:jc w:val="both"/>
            </w:pPr>
            <w:r>
              <w:t>8</w:t>
            </w:r>
            <w:r w:rsidRPr="00F705EB">
              <w:rPr>
                <w:vertAlign w:val="superscript"/>
              </w:rPr>
              <w:t>th</w:t>
            </w:r>
            <w:r>
              <w:t xml:space="preserve"> and 9</w:t>
            </w:r>
            <w:r w:rsidRPr="00F705EB">
              <w:rPr>
                <w:vertAlign w:val="superscript"/>
              </w:rPr>
              <w:t>th</w:t>
            </w:r>
            <w:r>
              <w:t xml:space="preserve"> (if published) National Development Plans</w:t>
            </w:r>
          </w:p>
          <w:p w:rsidR="002E0D48" w:rsidRPr="00536ABB" w:rsidRDefault="002E0D48" w:rsidP="002E0D48">
            <w:pPr>
              <w:numPr>
                <w:ilvl w:val="0"/>
                <w:numId w:val="40"/>
              </w:numPr>
              <w:jc w:val="both"/>
            </w:pPr>
            <w:r>
              <w:t>Sample of previous outcome evaluations</w:t>
            </w:r>
          </w:p>
          <w:p w:rsidR="002E0D48" w:rsidRPr="00127575" w:rsidRDefault="002E0D48" w:rsidP="00041B03">
            <w:pPr>
              <w:jc w:val="both"/>
              <w:rPr>
                <w:color w:val="00B0F0"/>
                <w:lang w:val="en-AU"/>
              </w:rPr>
            </w:pPr>
          </w:p>
          <w:p w:rsidR="002E0D48" w:rsidRDefault="002E0D48" w:rsidP="00041B03">
            <w:pPr>
              <w:jc w:val="both"/>
            </w:pPr>
            <w:r w:rsidRPr="00397B1E">
              <w:t>Before the mission starts consultant is expected to read relevant documents sent by UNDP.</w:t>
            </w:r>
          </w:p>
          <w:p w:rsidR="002E0D48" w:rsidRPr="00397B1E" w:rsidRDefault="002E0D48" w:rsidP="00041B03">
            <w:pPr>
              <w:jc w:val="both"/>
            </w:pPr>
          </w:p>
          <w:p w:rsidR="002E0D48" w:rsidRPr="00C34AE2" w:rsidRDefault="002E0D48" w:rsidP="00041B03">
            <w:pPr>
              <w:jc w:val="both"/>
            </w:pPr>
            <w:r w:rsidRPr="00C34AE2">
              <w:t xml:space="preserve"> The </w:t>
            </w:r>
            <w:r w:rsidRPr="00C0705F">
              <w:t>consultant will</w:t>
            </w:r>
            <w:r w:rsidRPr="00C34AE2">
              <w:t xml:space="preserve"> prepare a final report to cover the contents required by the Evaluation TOR and agreed to with UNDP during the specific design of the evaluation. The length of the final report is expected to be 20-25 pages, with any additional details needed to be supplied in supporting appendices/annexes.</w:t>
            </w:r>
          </w:p>
          <w:p w:rsidR="002E0D48" w:rsidRPr="00C34AE2" w:rsidRDefault="002E0D48" w:rsidP="00041B03">
            <w:pPr>
              <w:jc w:val="both"/>
            </w:pPr>
          </w:p>
          <w:p w:rsidR="002E0D48" w:rsidRPr="00C34AE2" w:rsidRDefault="002E0D48" w:rsidP="00041B03">
            <w:pPr>
              <w:jc w:val="both"/>
            </w:pPr>
            <w:r w:rsidRPr="00C34AE2">
              <w:t xml:space="preserve">Based on the response to the above points and timely preparation of the final evaluation report, the performance of the </w:t>
            </w:r>
            <w:r>
              <w:t>consultant</w:t>
            </w:r>
            <w:r w:rsidRPr="00C34AE2">
              <w:t xml:space="preserve"> services will be certified by UNDP Saudi Arabia Office.</w:t>
            </w:r>
          </w:p>
          <w:p w:rsidR="002E0D48" w:rsidRPr="00127575" w:rsidRDefault="002E0D48" w:rsidP="00041B03">
            <w:pPr>
              <w:jc w:val="both"/>
              <w:rPr>
                <w:color w:val="00B0F0"/>
                <w:spacing w:val="-3"/>
              </w:rPr>
            </w:pPr>
          </w:p>
          <w:p w:rsidR="002E0D48" w:rsidRPr="00F10C2F" w:rsidRDefault="002E0D48" w:rsidP="00041B03">
            <w:pPr>
              <w:jc w:val="both"/>
              <w:rPr>
                <w:rFonts w:asciiTheme="majorBidi" w:hAnsiTheme="majorBidi" w:cstheme="majorBidi"/>
                <w:b/>
                <w:bCs/>
                <w:u w:val="single"/>
              </w:rPr>
            </w:pPr>
            <w:r>
              <w:rPr>
                <w:rFonts w:asciiTheme="majorBidi" w:hAnsiTheme="majorBidi" w:cstheme="majorBidi"/>
                <w:b/>
                <w:bCs/>
                <w:u w:val="single"/>
              </w:rPr>
              <w:t>IX</w:t>
            </w:r>
            <w:r w:rsidRPr="00F10C2F">
              <w:rPr>
                <w:rFonts w:asciiTheme="majorBidi" w:hAnsiTheme="majorBidi" w:cstheme="majorBidi"/>
                <w:b/>
                <w:bCs/>
                <w:u w:val="single"/>
              </w:rPr>
              <w:t>) Reporting to UNDP Country Office</w:t>
            </w:r>
          </w:p>
          <w:p w:rsidR="002E0D48" w:rsidRDefault="002E0D48" w:rsidP="00041B03">
            <w:pPr>
              <w:jc w:val="both"/>
              <w:rPr>
                <w:spacing w:val="-3"/>
              </w:rPr>
            </w:pPr>
            <w:r w:rsidRPr="00C34AE2">
              <w:rPr>
                <w:spacing w:val="-3"/>
              </w:rPr>
              <w:t xml:space="preserve">The evaluation consultant will maintain </w:t>
            </w:r>
            <w:r>
              <w:rPr>
                <w:spacing w:val="-3"/>
              </w:rPr>
              <w:t xml:space="preserve">in </w:t>
            </w:r>
            <w:r w:rsidRPr="00C34AE2">
              <w:rPr>
                <w:spacing w:val="-3"/>
              </w:rPr>
              <w:t>close contact with all the key and relevant partners and stakeholders and will report to UNDP Saudi Arabia Country Office. Although the consultant should feel free to discuss any relevant matters with the partners/stakeholders in relation to its assignment, it is not authorised to make any commitment on behalf of UNDP or the Government.</w:t>
            </w:r>
          </w:p>
          <w:p w:rsidR="002E0D48" w:rsidRDefault="002E0D48" w:rsidP="00041B03">
            <w:pPr>
              <w:jc w:val="both"/>
              <w:rPr>
                <w:spacing w:val="-3"/>
              </w:rPr>
            </w:pPr>
          </w:p>
          <w:p w:rsidR="002E0D48" w:rsidRPr="00233C1A" w:rsidRDefault="002E0D48" w:rsidP="00041B03">
            <w:pPr>
              <w:jc w:val="both"/>
              <w:rPr>
                <w:rFonts w:asciiTheme="majorBidi" w:hAnsiTheme="majorBidi" w:cstheme="majorBidi"/>
                <w:b/>
                <w:bCs/>
                <w:u w:val="single"/>
              </w:rPr>
            </w:pPr>
            <w:r w:rsidRPr="00BF4610">
              <w:rPr>
                <w:rFonts w:asciiTheme="majorBidi" w:hAnsiTheme="majorBidi" w:cstheme="majorBidi"/>
                <w:b/>
                <w:bCs/>
                <w:u w:val="single"/>
              </w:rPr>
              <w:t>X) Payment Schedule</w:t>
            </w:r>
          </w:p>
          <w:p w:rsidR="002E0D48" w:rsidRDefault="002E0D48" w:rsidP="00041B03">
            <w:pPr>
              <w:jc w:val="both"/>
              <w:rPr>
                <w:spacing w:val="-3"/>
              </w:rPr>
            </w:pPr>
            <w:r>
              <w:rPr>
                <w:spacing w:val="-3"/>
              </w:rPr>
              <w:t>25% upon certification by UNDP of draft 1 of the reports</w:t>
            </w:r>
          </w:p>
          <w:p w:rsidR="002E0D48" w:rsidRDefault="002E0D48" w:rsidP="00041B03">
            <w:pPr>
              <w:jc w:val="both"/>
              <w:rPr>
                <w:spacing w:val="-3"/>
              </w:rPr>
            </w:pPr>
            <w:r>
              <w:rPr>
                <w:spacing w:val="-3"/>
              </w:rPr>
              <w:t>25% upon certification by UNDP of draft 2 of the reports</w:t>
            </w:r>
          </w:p>
          <w:p w:rsidR="002E0D48" w:rsidRPr="00C34AE2" w:rsidRDefault="002E0D48" w:rsidP="00041B03">
            <w:pPr>
              <w:jc w:val="both"/>
            </w:pPr>
            <w:r>
              <w:rPr>
                <w:spacing w:val="-3"/>
              </w:rPr>
              <w:t>50% upon certification by UNDP of Final Report</w:t>
            </w:r>
          </w:p>
          <w:p w:rsidR="002E0D48" w:rsidRPr="00366465" w:rsidRDefault="002E0D48" w:rsidP="00041B03">
            <w:pPr>
              <w:rPr>
                <w:i/>
                <w:u w:val="single"/>
              </w:rPr>
            </w:pPr>
          </w:p>
        </w:tc>
      </w:tr>
    </w:tbl>
    <w:p w:rsidR="002E0D48" w:rsidRDefault="002E0D48" w:rsidP="002E0D48">
      <w:pPr>
        <w:rPr>
          <w:b/>
        </w:rPr>
      </w:pPr>
    </w:p>
    <w:p w:rsidR="002E0D48" w:rsidRDefault="002E0D48" w:rsidP="002E0D48">
      <w:pPr>
        <w:rPr>
          <w:b/>
        </w:rPr>
      </w:pPr>
      <w:r>
        <w:rPr>
          <w:b/>
        </w:rPr>
        <w:t>3.</w:t>
      </w:r>
      <w:r w:rsidRPr="002223E0">
        <w:rPr>
          <w:b/>
        </w:rPr>
        <w:t xml:space="preserve"> </w:t>
      </w:r>
      <w:r>
        <w:rPr>
          <w:b/>
        </w:rPr>
        <w:t>REQUIREMENTS FOR EXPERIENCE AND QUALIFICATIONS</w:t>
      </w:r>
    </w:p>
    <w:tbl>
      <w:tblPr>
        <w:tblStyle w:val="TableGrid"/>
        <w:tblW w:w="0" w:type="auto"/>
        <w:tblLook w:val="04A0"/>
      </w:tblPr>
      <w:tblGrid>
        <w:gridCol w:w="9576"/>
      </w:tblGrid>
      <w:tr w:rsidR="002E0D48" w:rsidTr="00041B03">
        <w:tc>
          <w:tcPr>
            <w:tcW w:w="9576" w:type="dxa"/>
          </w:tcPr>
          <w:p w:rsidR="002E0D48" w:rsidRPr="007C4235" w:rsidRDefault="002E0D48" w:rsidP="00041B03">
            <w:pPr>
              <w:spacing w:before="120" w:after="120" w:line="288" w:lineRule="auto"/>
              <w:jc w:val="both"/>
              <w:rPr>
                <w:rFonts w:ascii="Calibri" w:hAnsi="Calibri" w:cs="Arial"/>
                <w:u w:val="single"/>
              </w:rPr>
            </w:pPr>
            <w:r w:rsidRPr="007C4235">
              <w:rPr>
                <w:rFonts w:ascii="Calibri" w:hAnsi="Calibri" w:cs="Arial"/>
                <w:u w:val="single"/>
              </w:rPr>
              <w:t>I. Academic Qualifications:</w:t>
            </w:r>
          </w:p>
          <w:p w:rsidR="002E0D48" w:rsidRPr="002104D1" w:rsidRDefault="002E0D48" w:rsidP="002E0D48">
            <w:pPr>
              <w:pStyle w:val="ListParagraph"/>
              <w:numPr>
                <w:ilvl w:val="0"/>
                <w:numId w:val="29"/>
              </w:numPr>
              <w:ind w:left="360"/>
              <w:jc w:val="both"/>
            </w:pPr>
            <w:r>
              <w:t>A</w:t>
            </w:r>
            <w:r w:rsidRPr="00F15644">
              <w:t>dvanced university degree</w:t>
            </w:r>
            <w:r w:rsidRPr="0047496D">
              <w:rPr>
                <w:lang w:bidi="ar-JO"/>
              </w:rPr>
              <w:t xml:space="preserve">   in a field of relevance to the present assignment</w:t>
            </w:r>
            <w:r w:rsidRPr="0047496D">
              <w:rPr>
                <w:b/>
                <w:bCs/>
                <w:lang w:bidi="ar-JO"/>
              </w:rPr>
              <w:t xml:space="preserve">. </w:t>
            </w:r>
          </w:p>
          <w:p w:rsidR="002E0D48" w:rsidRPr="007C4235" w:rsidRDefault="002E0D48" w:rsidP="00041B03">
            <w:pPr>
              <w:spacing w:before="120" w:after="120" w:line="288" w:lineRule="auto"/>
              <w:jc w:val="both"/>
              <w:rPr>
                <w:rFonts w:ascii="Calibri" w:hAnsi="Calibri" w:cs="Arial"/>
                <w:u w:val="single"/>
              </w:rPr>
            </w:pPr>
            <w:r w:rsidRPr="007C4235">
              <w:rPr>
                <w:rFonts w:ascii="Calibri" w:hAnsi="Calibri" w:cs="Arial"/>
                <w:u w:val="single"/>
              </w:rPr>
              <w:t>II. Years of experience:</w:t>
            </w:r>
          </w:p>
          <w:p w:rsidR="002E0D48" w:rsidRDefault="002E0D48" w:rsidP="002E0D48">
            <w:pPr>
              <w:pStyle w:val="ListParagraph"/>
              <w:numPr>
                <w:ilvl w:val="0"/>
                <w:numId w:val="28"/>
              </w:numPr>
              <w:ind w:left="357" w:hanging="357"/>
              <w:rPr>
                <w:lang w:bidi="ar-JO"/>
              </w:rPr>
            </w:pPr>
            <w:r w:rsidRPr="006C3DB5">
              <w:rPr>
                <w:lang w:bidi="ar-JO"/>
              </w:rPr>
              <w:t xml:space="preserve">Minimum </w:t>
            </w:r>
            <w:r>
              <w:rPr>
                <w:lang w:bidi="ar-JO"/>
              </w:rPr>
              <w:t xml:space="preserve">5 </w:t>
            </w:r>
            <w:r w:rsidRPr="006C3DB5">
              <w:rPr>
                <w:lang w:bidi="ar-JO"/>
              </w:rPr>
              <w:t xml:space="preserve">years of relevant experience </w:t>
            </w:r>
            <w:r w:rsidRPr="00F15644">
              <w:t>in the field of sustainable environment and energy development, sound knowledge about results-based management (especially results-oriented monitoring and evaluation). The Selected consultant will take the overall responsibility for the quality and timely submission of the evaluation report in English.</w:t>
            </w:r>
          </w:p>
          <w:p w:rsidR="002E0D48" w:rsidRPr="00366465" w:rsidRDefault="002E0D48" w:rsidP="00041B03">
            <w:pPr>
              <w:spacing w:after="240" w:line="360" w:lineRule="auto"/>
              <w:rPr>
                <w:lang w:bidi="ar-JO"/>
              </w:rPr>
            </w:pPr>
          </w:p>
        </w:tc>
      </w:tr>
    </w:tbl>
    <w:p w:rsidR="002E0D48" w:rsidRDefault="002E0D48" w:rsidP="002E0D48">
      <w:pPr>
        <w:rPr>
          <w:b/>
        </w:rPr>
      </w:pPr>
    </w:p>
    <w:p w:rsidR="002E0D48" w:rsidRDefault="002E0D48" w:rsidP="002E0D48">
      <w:pPr>
        <w:rPr>
          <w:b/>
        </w:rPr>
      </w:pPr>
      <w:r>
        <w:rPr>
          <w:b/>
        </w:rPr>
        <w:t>4. DOCUMENTS TO BE INCLUDED WHEN SUBMITTING THE PROPOSALS.</w:t>
      </w:r>
    </w:p>
    <w:tbl>
      <w:tblPr>
        <w:tblStyle w:val="TableGrid"/>
        <w:tblW w:w="0" w:type="auto"/>
        <w:tblLook w:val="04A0"/>
      </w:tblPr>
      <w:tblGrid>
        <w:gridCol w:w="9576"/>
      </w:tblGrid>
      <w:tr w:rsidR="002E0D48" w:rsidTr="00041B03">
        <w:tc>
          <w:tcPr>
            <w:tcW w:w="9576" w:type="dxa"/>
          </w:tcPr>
          <w:p w:rsidR="002E0D48" w:rsidRDefault="002E0D48" w:rsidP="00041B03">
            <w:r>
              <w:t>Interested individual consultants must submit the following documents/information to demonstrate their qualifications:</w:t>
            </w:r>
          </w:p>
          <w:p w:rsidR="002E0D48" w:rsidRPr="006C1240" w:rsidRDefault="002E0D48" w:rsidP="00041B03">
            <w:pPr>
              <w:rPr>
                <w:u w:val="single"/>
              </w:rPr>
            </w:pPr>
            <w:r>
              <w:t xml:space="preserve">1. </w:t>
            </w:r>
            <w:r w:rsidRPr="006C1240">
              <w:rPr>
                <w:u w:val="single"/>
              </w:rPr>
              <w:t>Proposal:</w:t>
            </w:r>
          </w:p>
          <w:p w:rsidR="002E0D48" w:rsidRPr="000A7151" w:rsidRDefault="002E0D48" w:rsidP="00041B03">
            <w:r w:rsidRPr="000A7151">
              <w:t>(</w:t>
            </w:r>
            <w:proofErr w:type="spellStart"/>
            <w:r w:rsidRPr="000A7151">
              <w:t>i</w:t>
            </w:r>
            <w:proofErr w:type="spellEnd"/>
            <w:r w:rsidRPr="000A7151">
              <w:t>) Explaining why they are the most suitable for the work</w:t>
            </w:r>
            <w:r>
              <w:t>.</w:t>
            </w:r>
          </w:p>
          <w:p w:rsidR="002E0D48" w:rsidRPr="000A7151" w:rsidRDefault="002E0D48" w:rsidP="00041B03">
            <w:r w:rsidRPr="000A7151">
              <w:t xml:space="preserve">(ii) Provide a brief methodology on how they will approach and conduct the </w:t>
            </w:r>
            <w:r>
              <w:t>work.</w:t>
            </w:r>
          </w:p>
          <w:p w:rsidR="002E0D48" w:rsidRDefault="002E0D48" w:rsidP="00041B03">
            <w:r>
              <w:t>2</w:t>
            </w:r>
            <w:r w:rsidRPr="006C1240">
              <w:rPr>
                <w:b/>
                <w:bCs/>
                <w:u w:val="single"/>
              </w:rPr>
              <w:t xml:space="preserve">. </w:t>
            </w:r>
            <w:r w:rsidRPr="000A7151">
              <w:rPr>
                <w:u w:val="single"/>
              </w:rPr>
              <w:t>Financial proposal</w:t>
            </w:r>
          </w:p>
          <w:p w:rsidR="002E0D48" w:rsidRPr="006C1240" w:rsidRDefault="002E0D48" w:rsidP="00041B03">
            <w:pPr>
              <w:rPr>
                <w:b/>
                <w:u w:val="single"/>
              </w:rPr>
            </w:pPr>
            <w:r w:rsidRPr="006C1240">
              <w:rPr>
                <w:u w:val="single"/>
              </w:rPr>
              <w:t>3. Personal CV including past experience in similar projects and at least 3 reference</w:t>
            </w:r>
            <w:r w:rsidRPr="00366465">
              <w:rPr>
                <w:bCs/>
                <w:u w:val="single"/>
              </w:rPr>
              <w:t>s</w:t>
            </w:r>
            <w:r>
              <w:rPr>
                <w:bCs/>
                <w:u w:val="single"/>
              </w:rPr>
              <w:t>.</w:t>
            </w:r>
          </w:p>
        </w:tc>
      </w:tr>
    </w:tbl>
    <w:p w:rsidR="002E0D48" w:rsidRDefault="002E0D48" w:rsidP="002E0D48">
      <w:pPr>
        <w:autoSpaceDE w:val="0"/>
        <w:autoSpaceDN w:val="0"/>
        <w:adjustRightInd w:val="0"/>
        <w:spacing w:after="0"/>
        <w:rPr>
          <w:rFonts w:ascii="Calibri" w:hAnsi="Calibri" w:cs="Calibri"/>
          <w:b/>
        </w:rPr>
      </w:pPr>
    </w:p>
    <w:p w:rsidR="002E0D48" w:rsidRPr="00A6756E" w:rsidRDefault="002E0D48" w:rsidP="002E0D48">
      <w:pPr>
        <w:autoSpaceDE w:val="0"/>
        <w:autoSpaceDN w:val="0"/>
        <w:adjustRightInd w:val="0"/>
        <w:spacing w:after="0"/>
        <w:rPr>
          <w:rFonts w:ascii="Calibri" w:hAnsi="Calibri" w:cs="Calibri"/>
          <w:b/>
        </w:rPr>
      </w:pPr>
      <w:r>
        <w:rPr>
          <w:rFonts w:ascii="Calibri" w:hAnsi="Calibri" w:cs="Calibri"/>
          <w:b/>
        </w:rPr>
        <w:t>5</w:t>
      </w:r>
      <w:r w:rsidRPr="00FE7C9D">
        <w:rPr>
          <w:rFonts w:ascii="Calibri" w:hAnsi="Calibri" w:cs="Calibri"/>
          <w:b/>
        </w:rPr>
        <w:t xml:space="preserve">. </w:t>
      </w:r>
      <w:r>
        <w:rPr>
          <w:rFonts w:ascii="Calibri" w:hAnsi="Calibri" w:cs="Calibri"/>
          <w:b/>
        </w:rPr>
        <w:t>FINANCIAL PROPOSAL</w:t>
      </w:r>
    </w:p>
    <w:tbl>
      <w:tblPr>
        <w:tblStyle w:val="TableGrid"/>
        <w:tblW w:w="0" w:type="auto"/>
        <w:tblLook w:val="04A0"/>
      </w:tblPr>
      <w:tblGrid>
        <w:gridCol w:w="9576"/>
      </w:tblGrid>
      <w:tr w:rsidR="002E0D48" w:rsidTr="00041B03">
        <w:tc>
          <w:tcPr>
            <w:tcW w:w="9576" w:type="dxa"/>
          </w:tcPr>
          <w:p w:rsidR="002E0D48" w:rsidRPr="00EC344C" w:rsidRDefault="002E0D48" w:rsidP="002E0D48">
            <w:pPr>
              <w:pStyle w:val="ListParagraph"/>
              <w:numPr>
                <w:ilvl w:val="0"/>
                <w:numId w:val="27"/>
              </w:numPr>
              <w:autoSpaceDE w:val="0"/>
              <w:autoSpaceDN w:val="0"/>
              <w:adjustRightInd w:val="0"/>
              <w:rPr>
                <w:rFonts w:ascii="Arial" w:hAnsi="Arial" w:cs="Arial"/>
                <w:b/>
                <w:sz w:val="20"/>
                <w:szCs w:val="20"/>
              </w:rPr>
            </w:pPr>
            <w:r w:rsidRPr="00EC344C">
              <w:rPr>
                <w:rFonts w:ascii="Arial" w:hAnsi="Arial" w:cs="Arial"/>
                <w:b/>
                <w:sz w:val="20"/>
                <w:szCs w:val="20"/>
              </w:rPr>
              <w:t>Lump sum contracts</w:t>
            </w:r>
          </w:p>
          <w:p w:rsidR="002E0D48" w:rsidRPr="00C64099" w:rsidRDefault="002E0D48" w:rsidP="00041B03">
            <w:pPr>
              <w:spacing w:line="288" w:lineRule="auto"/>
              <w:jc w:val="both"/>
            </w:pPr>
            <w:r w:rsidRPr="00C64099">
              <w:t xml:space="preserve">The financial proposal </w:t>
            </w:r>
            <w:r>
              <w:t>shall specify</w:t>
            </w:r>
            <w:r w:rsidRPr="00C64099">
              <w:t xml:space="preserve"> a total lump sum amount, and payment terms around specific and measurable (qualitative and quantitative) deliverables (i.e. whether payments fall in </w:t>
            </w:r>
            <w:proofErr w:type="spellStart"/>
            <w:r w:rsidRPr="00C64099">
              <w:t>installments</w:t>
            </w:r>
            <w:proofErr w:type="spellEnd"/>
            <w:r w:rsidRPr="00C64099">
              <w:t xml:space="preserve"> or upon completion of the entire contract). Payments are based upon output, i.e. upon delivery of the services specified in the TOR.  In order to assist the requesting unit in the comparison of financial proposals, </w:t>
            </w:r>
            <w:r>
              <w:t>the financial proposal will include</w:t>
            </w:r>
            <w:r w:rsidRPr="00C64099">
              <w:t xml:space="preserve"> a breakdown of this lump sum amount (including travel, per diems, and numb</w:t>
            </w:r>
            <w:r>
              <w:t>er of anticipated working days).</w:t>
            </w:r>
          </w:p>
          <w:p w:rsidR="002E0D48" w:rsidRPr="00E8310E" w:rsidRDefault="002E0D48" w:rsidP="00041B03">
            <w:pPr>
              <w:spacing w:line="288" w:lineRule="auto"/>
              <w:jc w:val="both"/>
              <w:rPr>
                <w:b/>
                <w:u w:val="single"/>
              </w:rPr>
            </w:pPr>
            <w:r w:rsidRPr="00E8310E">
              <w:rPr>
                <w:b/>
                <w:u w:val="single"/>
              </w:rPr>
              <w:t>Travel;</w:t>
            </w:r>
          </w:p>
          <w:p w:rsidR="002E0D48" w:rsidRPr="00443E94" w:rsidRDefault="002E0D48" w:rsidP="00041B03">
            <w:pPr>
              <w:spacing w:line="288" w:lineRule="auto"/>
              <w:jc w:val="both"/>
            </w:pPr>
            <w:r w:rsidRPr="00E8310E">
              <w:rPr>
                <w:u w:val="single"/>
              </w:rPr>
              <w:t>All envisaged travel costs must be included in the financial proposal</w:t>
            </w:r>
            <w:r w:rsidRPr="00E8310E">
              <w:t xml:space="preserve">. </w:t>
            </w:r>
            <w:r>
              <w:t>(Travel within Saudi Arabia).</w:t>
            </w:r>
          </w:p>
        </w:tc>
      </w:tr>
    </w:tbl>
    <w:p w:rsidR="002E0D48" w:rsidRDefault="002E0D48" w:rsidP="002E0D48">
      <w:pPr>
        <w:rPr>
          <w:b/>
        </w:rPr>
      </w:pPr>
    </w:p>
    <w:p w:rsidR="002E0D48" w:rsidRDefault="002E0D48" w:rsidP="002E0D48">
      <w:pPr>
        <w:rPr>
          <w:b/>
        </w:rPr>
      </w:pPr>
      <w:r>
        <w:rPr>
          <w:b/>
        </w:rPr>
        <w:t>6. EVALUATION</w:t>
      </w:r>
    </w:p>
    <w:tbl>
      <w:tblPr>
        <w:tblStyle w:val="TableGrid"/>
        <w:tblW w:w="0" w:type="auto"/>
        <w:tblLook w:val="04A0"/>
      </w:tblPr>
      <w:tblGrid>
        <w:gridCol w:w="9576"/>
      </w:tblGrid>
      <w:tr w:rsidR="002E0D48" w:rsidTr="00041B03">
        <w:tc>
          <w:tcPr>
            <w:tcW w:w="9576" w:type="dxa"/>
          </w:tcPr>
          <w:p w:rsidR="002E0D48" w:rsidRPr="00EA697D" w:rsidRDefault="002E0D48" w:rsidP="00041B03"/>
          <w:p w:rsidR="002E0D48" w:rsidRPr="00816B78" w:rsidRDefault="002E0D48" w:rsidP="00041B03">
            <w:r w:rsidRPr="00816B78">
              <w:t>In</w:t>
            </w:r>
            <w:r>
              <w:t>dividual consultants will be evaluated based on the following methodologies:</w:t>
            </w:r>
          </w:p>
          <w:p w:rsidR="002E0D48" w:rsidRPr="00432027" w:rsidRDefault="002E0D48" w:rsidP="00041B03">
            <w:pPr>
              <w:rPr>
                <w:i/>
                <w:u w:val="thick"/>
              </w:rPr>
            </w:pPr>
            <w:r w:rsidRPr="00432027">
              <w:rPr>
                <w:i/>
                <w:u w:val="thick"/>
              </w:rPr>
              <w:t>1. Lowest price</w:t>
            </w:r>
            <w:r>
              <w:rPr>
                <w:i/>
                <w:u w:val="thick"/>
              </w:rPr>
              <w:t xml:space="preserve"> and</w:t>
            </w:r>
            <w:r w:rsidRPr="00432027">
              <w:rPr>
                <w:i/>
                <w:u w:val="thick"/>
              </w:rPr>
              <w:t xml:space="preserve"> technically compliant offer</w:t>
            </w:r>
          </w:p>
          <w:p w:rsidR="002E0D48" w:rsidRDefault="002E0D48" w:rsidP="00041B03">
            <w:pPr>
              <w:rPr>
                <w:i/>
              </w:rPr>
            </w:pPr>
          </w:p>
          <w:p w:rsidR="002E0D48" w:rsidRPr="00432027" w:rsidRDefault="002E0D48" w:rsidP="00041B03">
            <w:pPr>
              <w:rPr>
                <w:i/>
              </w:rPr>
            </w:pPr>
            <w:r w:rsidRPr="00432027">
              <w:rPr>
                <w:i/>
              </w:rPr>
              <w:t xml:space="preserve">When using this method, the award of a contract should be made to the </w:t>
            </w:r>
            <w:r>
              <w:rPr>
                <w:i/>
              </w:rPr>
              <w:t xml:space="preserve">individual consultant </w:t>
            </w:r>
            <w:r w:rsidRPr="00432027">
              <w:rPr>
                <w:i/>
              </w:rPr>
              <w:t>whose offer has been evaluated and determined as both:</w:t>
            </w:r>
          </w:p>
          <w:p w:rsidR="002E0D48" w:rsidRPr="00432027" w:rsidRDefault="002E0D48" w:rsidP="00041B03">
            <w:pPr>
              <w:rPr>
                <w:i/>
              </w:rPr>
            </w:pPr>
            <w:r w:rsidRPr="00432027">
              <w:rPr>
                <w:i/>
              </w:rPr>
              <w:t>a) responsive/compliant/acceptable, and</w:t>
            </w:r>
          </w:p>
          <w:p w:rsidR="002E0D48" w:rsidRPr="00432027" w:rsidRDefault="002E0D48" w:rsidP="00041B03">
            <w:pPr>
              <w:rPr>
                <w:i/>
              </w:rPr>
            </w:pPr>
            <w:r w:rsidRPr="00432027">
              <w:rPr>
                <w:i/>
              </w:rPr>
              <w:t xml:space="preserve">b) </w:t>
            </w:r>
            <w:r>
              <w:rPr>
                <w:i/>
              </w:rPr>
              <w:t>o</w:t>
            </w:r>
            <w:r w:rsidRPr="00432027">
              <w:rPr>
                <w:i/>
              </w:rPr>
              <w:t>ffering the lowest price/cost</w:t>
            </w:r>
          </w:p>
          <w:p w:rsidR="002E0D48" w:rsidRDefault="002E0D48" w:rsidP="00041B03">
            <w:pPr>
              <w:rPr>
                <w:i/>
              </w:rPr>
            </w:pPr>
            <w:r w:rsidRPr="00432027">
              <w:rPr>
                <w:i/>
              </w:rPr>
              <w:t xml:space="preserve">“responsive/compliant/acceptable” can be defined as fully meeting the </w:t>
            </w:r>
            <w:r>
              <w:rPr>
                <w:i/>
              </w:rPr>
              <w:t>TOR</w:t>
            </w:r>
            <w:r w:rsidRPr="00432027">
              <w:rPr>
                <w:i/>
              </w:rPr>
              <w:t xml:space="preserve"> </w:t>
            </w:r>
            <w:r>
              <w:rPr>
                <w:i/>
              </w:rPr>
              <w:t>provided</w:t>
            </w:r>
            <w:r w:rsidRPr="00432027">
              <w:rPr>
                <w:i/>
              </w:rPr>
              <w:t xml:space="preserve">. </w:t>
            </w:r>
          </w:p>
          <w:p w:rsidR="002E0D48" w:rsidRDefault="002E0D48" w:rsidP="00041B03">
            <w:pPr>
              <w:rPr>
                <w:i/>
              </w:rPr>
            </w:pPr>
          </w:p>
          <w:p w:rsidR="002E0D48" w:rsidRPr="00432027" w:rsidRDefault="002E0D48" w:rsidP="00041B03">
            <w:pPr>
              <w:rPr>
                <w:i/>
                <w:u w:val="thick"/>
              </w:rPr>
            </w:pPr>
            <w:r w:rsidRPr="00432027">
              <w:rPr>
                <w:i/>
                <w:u w:val="thick"/>
              </w:rPr>
              <w:t xml:space="preserve">2. Cumulative analysis </w:t>
            </w:r>
          </w:p>
          <w:p w:rsidR="002E0D48" w:rsidRPr="00432027" w:rsidRDefault="002E0D48" w:rsidP="00041B03">
            <w:pPr>
              <w:rPr>
                <w:i/>
              </w:rPr>
            </w:pPr>
            <w:r w:rsidRPr="00432027">
              <w:rPr>
                <w:i/>
              </w:rPr>
              <w:t xml:space="preserve">When using this weighted scoring method, the award of the contract should be made to </w:t>
            </w:r>
            <w:r>
              <w:rPr>
                <w:i/>
              </w:rPr>
              <w:t>the individual consultant whose offer has bee</w:t>
            </w:r>
            <w:r w:rsidRPr="00432027">
              <w:rPr>
                <w:i/>
              </w:rPr>
              <w:t>n evaluated and determined as:</w:t>
            </w:r>
          </w:p>
          <w:p w:rsidR="002E0D48" w:rsidRPr="00432027" w:rsidRDefault="002E0D48" w:rsidP="00041B03">
            <w:pPr>
              <w:rPr>
                <w:i/>
              </w:rPr>
            </w:pPr>
            <w:r w:rsidRPr="00432027">
              <w:rPr>
                <w:i/>
              </w:rPr>
              <w:t>a) responsive/compliant/acceptable, and</w:t>
            </w:r>
          </w:p>
          <w:p w:rsidR="002E0D48" w:rsidRDefault="002E0D48" w:rsidP="00041B03">
            <w:pPr>
              <w:rPr>
                <w:i/>
              </w:rPr>
            </w:pPr>
            <w:r w:rsidRPr="00432027">
              <w:rPr>
                <w:i/>
              </w:rPr>
              <w:t xml:space="preserve">b) Having received the highest score out of a pre-determined set of weighted technical and financial criteria specific to the solicitation. </w:t>
            </w:r>
          </w:p>
          <w:p w:rsidR="002E0D48" w:rsidRDefault="002E0D48" w:rsidP="00041B03">
            <w:pPr>
              <w:rPr>
                <w:i/>
              </w:rPr>
            </w:pPr>
            <w:r>
              <w:rPr>
                <w:i/>
              </w:rPr>
              <w:t>* Technical Criteria weight; [70%]</w:t>
            </w:r>
          </w:p>
          <w:p w:rsidR="002E0D48" w:rsidRDefault="002E0D48" w:rsidP="00041B03">
            <w:pPr>
              <w:rPr>
                <w:i/>
              </w:rPr>
            </w:pPr>
            <w:r>
              <w:rPr>
                <w:i/>
              </w:rPr>
              <w:t>* Financial Criteria weight; [30%]</w:t>
            </w:r>
          </w:p>
          <w:tbl>
            <w:tblPr>
              <w:tblStyle w:val="TableGrid"/>
              <w:tblW w:w="0" w:type="auto"/>
              <w:tblLook w:val="04A0"/>
            </w:tblPr>
            <w:tblGrid>
              <w:gridCol w:w="3209"/>
              <w:gridCol w:w="3082"/>
              <w:gridCol w:w="3059"/>
            </w:tblGrid>
            <w:tr w:rsidR="002E0D48" w:rsidTr="00041B03">
              <w:tc>
                <w:tcPr>
                  <w:tcW w:w="3209" w:type="dxa"/>
                </w:tcPr>
                <w:p w:rsidR="002E0D48" w:rsidRPr="004758AA" w:rsidRDefault="002E0D48" w:rsidP="009E67CD">
                  <w:pPr>
                    <w:rPr>
                      <w:b/>
                      <w:i/>
                    </w:rPr>
                  </w:pPr>
                  <w:r w:rsidRPr="004758AA">
                    <w:rPr>
                      <w:b/>
                      <w:i/>
                    </w:rPr>
                    <w:t>Criteria</w:t>
                  </w:r>
                </w:p>
              </w:tc>
              <w:tc>
                <w:tcPr>
                  <w:tcW w:w="3082" w:type="dxa"/>
                </w:tcPr>
                <w:p w:rsidR="002E0D48" w:rsidRPr="004758AA" w:rsidRDefault="002E0D48" w:rsidP="009E67CD">
                  <w:pPr>
                    <w:rPr>
                      <w:b/>
                      <w:i/>
                    </w:rPr>
                  </w:pPr>
                  <w:r w:rsidRPr="004758AA">
                    <w:rPr>
                      <w:b/>
                      <w:i/>
                    </w:rPr>
                    <w:t xml:space="preserve">Weight </w:t>
                  </w:r>
                </w:p>
              </w:tc>
              <w:tc>
                <w:tcPr>
                  <w:tcW w:w="3059" w:type="dxa"/>
                </w:tcPr>
                <w:p w:rsidR="002E0D48" w:rsidRPr="004758AA" w:rsidRDefault="002E0D48" w:rsidP="009E67CD">
                  <w:pPr>
                    <w:rPr>
                      <w:b/>
                      <w:i/>
                    </w:rPr>
                  </w:pPr>
                  <w:r w:rsidRPr="004758AA">
                    <w:rPr>
                      <w:b/>
                      <w:i/>
                    </w:rPr>
                    <w:t>Max. Point</w:t>
                  </w:r>
                </w:p>
              </w:tc>
            </w:tr>
            <w:tr w:rsidR="002E0D48" w:rsidTr="00041B03">
              <w:tc>
                <w:tcPr>
                  <w:tcW w:w="3209" w:type="dxa"/>
                </w:tcPr>
                <w:p w:rsidR="002E0D48" w:rsidRPr="004758AA" w:rsidRDefault="002E0D48" w:rsidP="009E67CD">
                  <w:pPr>
                    <w:rPr>
                      <w:i/>
                      <w:u w:val="single"/>
                    </w:rPr>
                  </w:pPr>
                  <w:r w:rsidRPr="004758AA">
                    <w:rPr>
                      <w:i/>
                      <w:u w:val="single"/>
                    </w:rPr>
                    <w:t>Technical</w:t>
                  </w:r>
                </w:p>
              </w:tc>
              <w:tc>
                <w:tcPr>
                  <w:tcW w:w="3082" w:type="dxa"/>
                </w:tcPr>
                <w:p w:rsidR="002E0D48" w:rsidRDefault="002E0D48" w:rsidP="009E67CD">
                  <w:pPr>
                    <w:rPr>
                      <w:i/>
                    </w:rPr>
                  </w:pPr>
                </w:p>
              </w:tc>
              <w:tc>
                <w:tcPr>
                  <w:tcW w:w="3059" w:type="dxa"/>
                </w:tcPr>
                <w:p w:rsidR="002E0D48" w:rsidRDefault="002E0D48" w:rsidP="009E67CD">
                  <w:pPr>
                    <w:rPr>
                      <w:i/>
                    </w:rPr>
                  </w:pPr>
                </w:p>
              </w:tc>
            </w:tr>
            <w:tr w:rsidR="002E0D48" w:rsidTr="00041B03">
              <w:tc>
                <w:tcPr>
                  <w:tcW w:w="3209" w:type="dxa"/>
                </w:tcPr>
                <w:p w:rsidR="002E0D48" w:rsidRPr="004758AA" w:rsidRDefault="002E0D48" w:rsidP="009E67CD">
                  <w:pPr>
                    <w:pStyle w:val="ListParagraph"/>
                    <w:numPr>
                      <w:ilvl w:val="0"/>
                      <w:numId w:val="26"/>
                    </w:numPr>
                    <w:rPr>
                      <w:i/>
                    </w:rPr>
                  </w:pPr>
                  <w:r>
                    <w:rPr>
                      <w:i/>
                    </w:rPr>
                    <w:t>Criteria A</w:t>
                  </w:r>
                </w:p>
              </w:tc>
              <w:tc>
                <w:tcPr>
                  <w:tcW w:w="3082" w:type="dxa"/>
                </w:tcPr>
                <w:p w:rsidR="002E0D48" w:rsidRDefault="002E0D48" w:rsidP="009E67CD">
                  <w:pPr>
                    <w:rPr>
                      <w:i/>
                    </w:rPr>
                  </w:pPr>
                </w:p>
              </w:tc>
              <w:tc>
                <w:tcPr>
                  <w:tcW w:w="3059" w:type="dxa"/>
                </w:tcPr>
                <w:p w:rsidR="002E0D48" w:rsidRDefault="002E0D48" w:rsidP="009E67CD">
                  <w:pPr>
                    <w:rPr>
                      <w:i/>
                    </w:rPr>
                  </w:pPr>
                </w:p>
              </w:tc>
            </w:tr>
            <w:tr w:rsidR="002E0D48" w:rsidTr="00041B03">
              <w:tc>
                <w:tcPr>
                  <w:tcW w:w="3209" w:type="dxa"/>
                </w:tcPr>
                <w:p w:rsidR="002E0D48" w:rsidRPr="004758AA" w:rsidRDefault="002E0D48" w:rsidP="009E67CD">
                  <w:pPr>
                    <w:pStyle w:val="ListParagraph"/>
                    <w:numPr>
                      <w:ilvl w:val="0"/>
                      <w:numId w:val="26"/>
                    </w:numPr>
                    <w:rPr>
                      <w:i/>
                    </w:rPr>
                  </w:pPr>
                  <w:r w:rsidRPr="004758AA">
                    <w:rPr>
                      <w:i/>
                    </w:rPr>
                    <w:t xml:space="preserve">Criteria </w:t>
                  </w:r>
                  <w:r>
                    <w:rPr>
                      <w:i/>
                    </w:rPr>
                    <w:t>B</w:t>
                  </w:r>
                </w:p>
              </w:tc>
              <w:tc>
                <w:tcPr>
                  <w:tcW w:w="3082" w:type="dxa"/>
                </w:tcPr>
                <w:p w:rsidR="002E0D48" w:rsidRDefault="002E0D48" w:rsidP="009E67CD">
                  <w:pPr>
                    <w:rPr>
                      <w:i/>
                    </w:rPr>
                  </w:pPr>
                </w:p>
              </w:tc>
              <w:tc>
                <w:tcPr>
                  <w:tcW w:w="3059" w:type="dxa"/>
                </w:tcPr>
                <w:p w:rsidR="002E0D48" w:rsidRDefault="002E0D48" w:rsidP="009E67CD">
                  <w:pPr>
                    <w:rPr>
                      <w:i/>
                    </w:rPr>
                  </w:pPr>
                </w:p>
              </w:tc>
            </w:tr>
            <w:tr w:rsidR="002E0D48" w:rsidTr="00041B03">
              <w:tc>
                <w:tcPr>
                  <w:tcW w:w="3209" w:type="dxa"/>
                </w:tcPr>
                <w:p w:rsidR="002E0D48" w:rsidRPr="004758AA" w:rsidRDefault="002E0D48" w:rsidP="009E67CD">
                  <w:pPr>
                    <w:pStyle w:val="ListParagraph"/>
                    <w:numPr>
                      <w:ilvl w:val="0"/>
                      <w:numId w:val="26"/>
                    </w:numPr>
                    <w:rPr>
                      <w:i/>
                    </w:rPr>
                  </w:pPr>
                  <w:r>
                    <w:rPr>
                      <w:i/>
                    </w:rPr>
                    <w:t>Criteria C</w:t>
                  </w:r>
                </w:p>
              </w:tc>
              <w:tc>
                <w:tcPr>
                  <w:tcW w:w="3082" w:type="dxa"/>
                </w:tcPr>
                <w:p w:rsidR="002E0D48" w:rsidRDefault="002E0D48" w:rsidP="009E67CD">
                  <w:pPr>
                    <w:rPr>
                      <w:i/>
                    </w:rPr>
                  </w:pPr>
                </w:p>
              </w:tc>
              <w:tc>
                <w:tcPr>
                  <w:tcW w:w="3059" w:type="dxa"/>
                </w:tcPr>
                <w:p w:rsidR="002E0D48" w:rsidRDefault="002E0D48" w:rsidP="009E67CD">
                  <w:pPr>
                    <w:rPr>
                      <w:i/>
                    </w:rPr>
                  </w:pPr>
                </w:p>
              </w:tc>
            </w:tr>
            <w:tr w:rsidR="002E0D48" w:rsidTr="00041B03">
              <w:tc>
                <w:tcPr>
                  <w:tcW w:w="3209" w:type="dxa"/>
                </w:tcPr>
                <w:p w:rsidR="002E0D48" w:rsidRPr="004758AA" w:rsidRDefault="002E0D48" w:rsidP="009E67CD">
                  <w:pPr>
                    <w:pStyle w:val="ListParagraph"/>
                    <w:numPr>
                      <w:ilvl w:val="0"/>
                      <w:numId w:val="26"/>
                    </w:numPr>
                    <w:rPr>
                      <w:i/>
                    </w:rPr>
                  </w:pPr>
                  <w:r>
                    <w:rPr>
                      <w:i/>
                    </w:rPr>
                    <w:t>Criteria […]</w:t>
                  </w:r>
                </w:p>
              </w:tc>
              <w:tc>
                <w:tcPr>
                  <w:tcW w:w="3082" w:type="dxa"/>
                </w:tcPr>
                <w:p w:rsidR="002E0D48" w:rsidRDefault="002E0D48" w:rsidP="009E67CD">
                  <w:pPr>
                    <w:rPr>
                      <w:i/>
                    </w:rPr>
                  </w:pPr>
                </w:p>
              </w:tc>
              <w:tc>
                <w:tcPr>
                  <w:tcW w:w="3059" w:type="dxa"/>
                </w:tcPr>
                <w:p w:rsidR="002E0D48" w:rsidRDefault="002E0D48" w:rsidP="009E67CD">
                  <w:pPr>
                    <w:rPr>
                      <w:i/>
                    </w:rPr>
                  </w:pPr>
                </w:p>
              </w:tc>
            </w:tr>
            <w:tr w:rsidR="002E0D48" w:rsidTr="00041B03">
              <w:tc>
                <w:tcPr>
                  <w:tcW w:w="3209" w:type="dxa"/>
                </w:tcPr>
                <w:p w:rsidR="002E0D48" w:rsidRPr="004758AA" w:rsidRDefault="002E0D48" w:rsidP="009E67CD">
                  <w:pPr>
                    <w:rPr>
                      <w:i/>
                      <w:u w:val="single"/>
                    </w:rPr>
                  </w:pPr>
                  <w:r w:rsidRPr="004758AA">
                    <w:rPr>
                      <w:i/>
                      <w:u w:val="single"/>
                    </w:rPr>
                    <w:t>Financial</w:t>
                  </w:r>
                </w:p>
              </w:tc>
              <w:tc>
                <w:tcPr>
                  <w:tcW w:w="3082" w:type="dxa"/>
                </w:tcPr>
                <w:p w:rsidR="002E0D48" w:rsidRDefault="002E0D48" w:rsidP="009E67CD">
                  <w:pPr>
                    <w:rPr>
                      <w:i/>
                    </w:rPr>
                  </w:pPr>
                </w:p>
              </w:tc>
              <w:tc>
                <w:tcPr>
                  <w:tcW w:w="3059" w:type="dxa"/>
                </w:tcPr>
                <w:p w:rsidR="002E0D48" w:rsidRDefault="002E0D48" w:rsidP="009E67CD">
                  <w:pPr>
                    <w:rPr>
                      <w:i/>
                    </w:rPr>
                  </w:pPr>
                </w:p>
              </w:tc>
            </w:tr>
          </w:tbl>
          <w:p w:rsidR="002E0D48" w:rsidRDefault="002E0D48" w:rsidP="00041B03">
            <w:pPr>
              <w:rPr>
                <w:b/>
              </w:rPr>
            </w:pPr>
          </w:p>
        </w:tc>
      </w:tr>
    </w:tbl>
    <w:p w:rsidR="009E67CD" w:rsidRDefault="009E67CD" w:rsidP="00794230">
      <w:pPr>
        <w:pStyle w:val="Heading1"/>
      </w:pPr>
    </w:p>
    <w:p w:rsidR="0005305E" w:rsidRDefault="009E67CD" w:rsidP="00794230">
      <w:pPr>
        <w:pStyle w:val="Heading1"/>
      </w:pPr>
      <w:bookmarkStart w:id="71" w:name="_Toc325871798"/>
      <w:r>
        <w:t xml:space="preserve">Annex 4. </w:t>
      </w:r>
      <w:r w:rsidR="0005305E">
        <w:t>Persons met</w:t>
      </w:r>
      <w:bookmarkEnd w:id="71"/>
      <w:r w:rsidR="0005305E">
        <w:t xml:space="preserve"> </w:t>
      </w:r>
    </w:p>
    <w:p w:rsidR="007E2879" w:rsidRPr="007E2879" w:rsidRDefault="007E2879" w:rsidP="007E2879"/>
    <w:tbl>
      <w:tblPr>
        <w:tblStyle w:val="LightShading-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5"/>
        <w:gridCol w:w="1722"/>
        <w:gridCol w:w="5204"/>
      </w:tblGrid>
      <w:tr w:rsidR="006F7CA7" w:rsidRPr="007E2879" w:rsidTr="009E67CD">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shd w:val="clear" w:color="auto" w:fill="auto"/>
          </w:tcPr>
          <w:p w:rsidR="006F7CA7" w:rsidRPr="007E2879" w:rsidRDefault="006F7CA7" w:rsidP="00CE24BA">
            <w:pPr>
              <w:jc w:val="center"/>
            </w:pPr>
          </w:p>
        </w:tc>
        <w:tc>
          <w:tcPr>
            <w:tcW w:w="0" w:type="auto"/>
            <w:tcBorders>
              <w:top w:val="none" w:sz="0" w:space="0" w:color="auto"/>
              <w:left w:val="none" w:sz="0" w:space="0" w:color="auto"/>
              <w:bottom w:val="none" w:sz="0" w:space="0" w:color="auto"/>
              <w:right w:val="none" w:sz="0" w:space="0" w:color="auto"/>
            </w:tcBorders>
            <w:shd w:val="clear" w:color="auto" w:fill="auto"/>
          </w:tcPr>
          <w:p w:rsidR="006F7CA7" w:rsidRPr="007E2879" w:rsidRDefault="006F7CA7" w:rsidP="00CE24BA">
            <w:pPr>
              <w:jc w:val="center"/>
              <w:cnfStyle w:val="100000000000"/>
            </w:pPr>
            <w:r w:rsidRPr="007E2879">
              <w:t>Institution</w:t>
            </w:r>
          </w:p>
        </w:tc>
        <w:tc>
          <w:tcPr>
            <w:tcW w:w="0" w:type="auto"/>
            <w:tcBorders>
              <w:top w:val="none" w:sz="0" w:space="0" w:color="auto"/>
              <w:left w:val="none" w:sz="0" w:space="0" w:color="auto"/>
              <w:bottom w:val="none" w:sz="0" w:space="0" w:color="auto"/>
              <w:right w:val="none" w:sz="0" w:space="0" w:color="auto"/>
            </w:tcBorders>
            <w:shd w:val="clear" w:color="auto" w:fill="auto"/>
          </w:tcPr>
          <w:p w:rsidR="006F7CA7" w:rsidRPr="007E2879" w:rsidRDefault="006F7CA7" w:rsidP="006F7CA7">
            <w:pPr>
              <w:jc w:val="center"/>
              <w:cnfStyle w:val="100000000000"/>
            </w:pPr>
            <w:r w:rsidRPr="007E2879">
              <w:t>Persons met</w:t>
            </w:r>
          </w:p>
        </w:tc>
      </w:tr>
      <w:tr w:rsidR="0077690D" w:rsidRPr="007E2879" w:rsidTr="009E67CD">
        <w:trPr>
          <w:cnfStyle w:val="000000100000"/>
          <w:jc w:val="center"/>
        </w:trPr>
        <w:tc>
          <w:tcPr>
            <w:cnfStyle w:val="001000000000"/>
            <w:tcW w:w="0" w:type="auto"/>
            <w:tcBorders>
              <w:left w:val="none" w:sz="0" w:space="0" w:color="auto"/>
              <w:bottom w:val="single" w:sz="4" w:space="0" w:color="auto"/>
              <w:right w:val="none" w:sz="0" w:space="0" w:color="auto"/>
            </w:tcBorders>
            <w:shd w:val="clear" w:color="auto" w:fill="auto"/>
            <w:vAlign w:val="center"/>
          </w:tcPr>
          <w:p w:rsidR="0077690D" w:rsidRPr="00DA7619" w:rsidRDefault="0077690D" w:rsidP="008B25CB">
            <w:pPr>
              <w:jc w:val="center"/>
              <w:rPr>
                <w:b w:val="0"/>
                <w:color w:val="auto"/>
              </w:rPr>
            </w:pPr>
            <w:r w:rsidRPr="00DA7619">
              <w:rPr>
                <w:b w:val="0"/>
                <w:color w:val="auto"/>
              </w:rPr>
              <w:t>Mission hosted by:</w:t>
            </w:r>
          </w:p>
        </w:tc>
        <w:tc>
          <w:tcPr>
            <w:tcW w:w="0" w:type="auto"/>
            <w:tcBorders>
              <w:left w:val="none" w:sz="0" w:space="0" w:color="auto"/>
              <w:bottom w:val="single" w:sz="4" w:space="0" w:color="auto"/>
              <w:right w:val="none" w:sz="0" w:space="0" w:color="auto"/>
            </w:tcBorders>
            <w:shd w:val="clear" w:color="auto" w:fill="auto"/>
            <w:vAlign w:val="center"/>
          </w:tcPr>
          <w:p w:rsidR="0077690D" w:rsidRPr="00DA7619" w:rsidRDefault="0077690D" w:rsidP="008B25CB">
            <w:pPr>
              <w:jc w:val="center"/>
              <w:cnfStyle w:val="000000100000"/>
              <w:rPr>
                <w:color w:val="auto"/>
              </w:rPr>
            </w:pPr>
            <w:r w:rsidRPr="00DA7619">
              <w:rPr>
                <w:color w:val="auto"/>
              </w:rPr>
              <w:t>UNDP</w:t>
            </w:r>
          </w:p>
        </w:tc>
        <w:tc>
          <w:tcPr>
            <w:tcW w:w="0" w:type="auto"/>
            <w:tcBorders>
              <w:left w:val="none" w:sz="0" w:space="0" w:color="auto"/>
              <w:bottom w:val="single" w:sz="4" w:space="0" w:color="auto"/>
              <w:right w:val="none" w:sz="0" w:space="0" w:color="auto"/>
            </w:tcBorders>
            <w:shd w:val="clear" w:color="auto" w:fill="auto"/>
          </w:tcPr>
          <w:p w:rsidR="0077690D" w:rsidRPr="00DA7619" w:rsidRDefault="0077690D" w:rsidP="008B25CB">
            <w:pPr>
              <w:cnfStyle w:val="000000100000"/>
              <w:rPr>
                <w:color w:val="auto"/>
              </w:rPr>
            </w:pPr>
            <w:r w:rsidRPr="00DA7619">
              <w:rPr>
                <w:color w:val="auto"/>
              </w:rPr>
              <w:t xml:space="preserve">Dr. Riyad Musa,  </w:t>
            </w:r>
            <w:r w:rsidRPr="00DA7619">
              <w:rPr>
                <w:i/>
                <w:color w:val="auto"/>
              </w:rPr>
              <w:t>Resident Representative</w:t>
            </w:r>
            <w:r w:rsidRPr="00DA7619">
              <w:rPr>
                <w:color w:val="auto"/>
              </w:rPr>
              <w:t xml:space="preserve"> </w:t>
            </w:r>
          </w:p>
          <w:p w:rsidR="0077690D" w:rsidRPr="00DA7619" w:rsidRDefault="0077690D" w:rsidP="008B25CB">
            <w:pPr>
              <w:cnfStyle w:val="000000100000"/>
              <w:rPr>
                <w:i/>
                <w:color w:val="auto"/>
              </w:rPr>
            </w:pPr>
            <w:r w:rsidRPr="00DA7619">
              <w:rPr>
                <w:color w:val="auto"/>
              </w:rPr>
              <w:t xml:space="preserve">Kishan Khoday, </w:t>
            </w:r>
            <w:r w:rsidRPr="00DA7619">
              <w:rPr>
                <w:i/>
                <w:color w:val="auto"/>
              </w:rPr>
              <w:t xml:space="preserve">Deputy Resident Representative </w:t>
            </w:r>
          </w:p>
          <w:p w:rsidR="0077690D" w:rsidRPr="00DA7619" w:rsidRDefault="0077690D" w:rsidP="008B25CB">
            <w:pPr>
              <w:cnfStyle w:val="000000100000"/>
              <w:rPr>
                <w:color w:val="auto"/>
              </w:rPr>
            </w:pPr>
            <w:r w:rsidRPr="00DA7619">
              <w:rPr>
                <w:color w:val="auto"/>
              </w:rPr>
              <w:t xml:space="preserve">Mayssam Tamim, </w:t>
            </w:r>
            <w:r w:rsidRPr="00DA7619">
              <w:rPr>
                <w:i/>
                <w:color w:val="auto"/>
              </w:rPr>
              <w:t>Assistant Resident Representative</w:t>
            </w:r>
            <w:r w:rsidRPr="00DA7619">
              <w:rPr>
                <w:color w:val="auto"/>
              </w:rPr>
              <w:t xml:space="preserve"> </w:t>
            </w:r>
          </w:p>
          <w:p w:rsidR="0077690D" w:rsidRPr="00DA7619" w:rsidRDefault="0077690D" w:rsidP="008B25CB">
            <w:pPr>
              <w:cnfStyle w:val="000000100000"/>
              <w:rPr>
                <w:color w:val="auto"/>
              </w:rPr>
            </w:pPr>
            <w:r w:rsidRPr="00DA7619">
              <w:rPr>
                <w:color w:val="auto"/>
              </w:rPr>
              <w:t xml:space="preserve">Yassin </w:t>
            </w:r>
            <w:proofErr w:type="spellStart"/>
            <w:r w:rsidRPr="00DA7619">
              <w:rPr>
                <w:color w:val="auto"/>
              </w:rPr>
              <w:t>Yassin</w:t>
            </w:r>
            <w:proofErr w:type="spellEnd"/>
            <w:r w:rsidRPr="00DA7619">
              <w:rPr>
                <w:color w:val="auto"/>
              </w:rPr>
              <w:t xml:space="preserve">, </w:t>
            </w:r>
            <w:r w:rsidRPr="00DA7619">
              <w:rPr>
                <w:i/>
                <w:color w:val="auto"/>
              </w:rPr>
              <w:t>Senior Programme Associate</w:t>
            </w:r>
          </w:p>
          <w:p w:rsidR="0077690D" w:rsidRPr="00DA7619" w:rsidRDefault="0077690D" w:rsidP="008B25CB">
            <w:pPr>
              <w:cnfStyle w:val="000000100000"/>
              <w:rPr>
                <w:color w:val="auto"/>
              </w:rPr>
            </w:pPr>
            <w:r w:rsidRPr="00DA7619">
              <w:rPr>
                <w:color w:val="auto"/>
              </w:rPr>
              <w:t>Sarah Al-</w:t>
            </w:r>
            <w:proofErr w:type="spellStart"/>
            <w:r w:rsidRPr="00DA7619">
              <w:rPr>
                <w:color w:val="auto"/>
              </w:rPr>
              <w:t>Shoura</w:t>
            </w:r>
            <w:proofErr w:type="spellEnd"/>
            <w:r w:rsidRPr="00DA7619">
              <w:rPr>
                <w:color w:val="auto"/>
              </w:rPr>
              <w:t xml:space="preserve">, </w:t>
            </w:r>
            <w:r w:rsidRPr="00DA7619">
              <w:rPr>
                <w:i/>
                <w:color w:val="auto"/>
              </w:rPr>
              <w:t>Programme Associate</w:t>
            </w:r>
          </w:p>
          <w:p w:rsidR="0077690D" w:rsidRPr="00DA7619" w:rsidRDefault="0077690D" w:rsidP="008B25CB">
            <w:pPr>
              <w:cnfStyle w:val="000000100000"/>
              <w:rPr>
                <w:color w:val="auto"/>
              </w:rPr>
            </w:pPr>
            <w:r w:rsidRPr="00DA7619">
              <w:rPr>
                <w:color w:val="auto"/>
              </w:rPr>
              <w:t xml:space="preserve">Haifa Al-Mogrin, </w:t>
            </w:r>
            <w:r w:rsidRPr="00DA7619">
              <w:rPr>
                <w:i/>
                <w:color w:val="auto"/>
              </w:rPr>
              <w:t>Programme Associate</w:t>
            </w:r>
          </w:p>
        </w:tc>
      </w:tr>
      <w:tr w:rsidR="007E2879" w:rsidRPr="007E2879" w:rsidTr="009E67CD">
        <w:trPr>
          <w:trHeight w:val="887"/>
          <w:jc w:val="center"/>
        </w:trPr>
        <w:tc>
          <w:tcPr>
            <w:cnfStyle w:val="001000000000"/>
            <w:tcW w:w="0" w:type="auto"/>
            <w:vMerge w:val="restart"/>
            <w:shd w:val="clear" w:color="auto" w:fill="auto"/>
          </w:tcPr>
          <w:p w:rsidR="009E67CD" w:rsidRDefault="009E67CD" w:rsidP="00CE24BA">
            <w:pPr>
              <w:rPr>
                <w:b w:val="0"/>
                <w:color w:val="auto"/>
              </w:rPr>
            </w:pPr>
            <w:r w:rsidRPr="009E67CD">
              <w:rPr>
                <w:b w:val="0"/>
                <w:color w:val="auto"/>
              </w:rPr>
              <w:t xml:space="preserve">Selected mission </w:t>
            </w:r>
          </w:p>
          <w:p w:rsidR="007E2879" w:rsidRPr="009E67CD" w:rsidRDefault="009E67CD" w:rsidP="00CE24BA">
            <w:pPr>
              <w:rPr>
                <w:b w:val="0"/>
                <w:color w:val="auto"/>
              </w:rPr>
            </w:pPr>
            <w:r w:rsidRPr="009E67CD">
              <w:rPr>
                <w:b w:val="0"/>
                <w:color w:val="auto"/>
              </w:rPr>
              <w:t xml:space="preserve">key informants </w:t>
            </w:r>
          </w:p>
        </w:tc>
        <w:tc>
          <w:tcPr>
            <w:tcW w:w="0" w:type="auto"/>
            <w:shd w:val="clear" w:color="auto" w:fill="auto"/>
          </w:tcPr>
          <w:p w:rsidR="007E2879" w:rsidRPr="009E67CD" w:rsidRDefault="002E0D48" w:rsidP="00CE24BA">
            <w:pPr>
              <w:jc w:val="center"/>
              <w:cnfStyle w:val="000000000000"/>
              <w:rPr>
                <w:color w:val="auto"/>
              </w:rPr>
            </w:pPr>
            <w:r w:rsidRPr="009E67CD">
              <w:rPr>
                <w:color w:val="auto"/>
              </w:rPr>
              <w:t xml:space="preserve">SAGIA </w:t>
            </w:r>
          </w:p>
        </w:tc>
        <w:tc>
          <w:tcPr>
            <w:tcW w:w="0" w:type="auto"/>
            <w:shd w:val="clear" w:color="auto" w:fill="auto"/>
          </w:tcPr>
          <w:p w:rsidR="002E0D48" w:rsidRPr="009E67CD" w:rsidRDefault="002E0D48" w:rsidP="002E0D48">
            <w:pPr>
              <w:cnfStyle w:val="000000000000"/>
              <w:rPr>
                <w:color w:val="auto"/>
              </w:rPr>
            </w:pPr>
            <w:r w:rsidRPr="009E67CD">
              <w:rPr>
                <w:color w:val="auto"/>
              </w:rPr>
              <w:t>Dr. Salah Al –</w:t>
            </w:r>
            <w:proofErr w:type="spellStart"/>
            <w:r w:rsidRPr="009E67CD">
              <w:rPr>
                <w:color w:val="auto"/>
              </w:rPr>
              <w:t>Bukhyyet</w:t>
            </w:r>
            <w:proofErr w:type="spellEnd"/>
          </w:p>
          <w:p w:rsidR="002E0D48" w:rsidRPr="009E67CD" w:rsidRDefault="002E0D48" w:rsidP="002E0D48">
            <w:pPr>
              <w:cnfStyle w:val="000000000000"/>
              <w:rPr>
                <w:color w:val="auto"/>
              </w:rPr>
            </w:pPr>
            <w:r w:rsidRPr="009E67CD">
              <w:rPr>
                <w:i/>
                <w:color w:val="auto"/>
              </w:rPr>
              <w:t>Vice President for Investment</w:t>
            </w:r>
          </w:p>
          <w:p w:rsidR="007E2879" w:rsidRPr="009E67CD" w:rsidRDefault="007E2879" w:rsidP="006F7CA7">
            <w:pPr>
              <w:cnfStyle w:val="000000000000"/>
              <w:rPr>
                <w:rFonts w:cs="Calibri"/>
                <w:i/>
                <w:color w:val="auto"/>
              </w:rPr>
            </w:pPr>
          </w:p>
        </w:tc>
      </w:tr>
      <w:tr w:rsidR="007E2879" w:rsidRPr="007E2879" w:rsidTr="009E67CD">
        <w:trPr>
          <w:cnfStyle w:val="000000100000"/>
          <w:trHeight w:val="886"/>
          <w:jc w:val="center"/>
        </w:trPr>
        <w:tc>
          <w:tcPr>
            <w:cnfStyle w:val="001000000000"/>
            <w:tcW w:w="0" w:type="auto"/>
            <w:vMerge/>
            <w:tcBorders>
              <w:left w:val="single" w:sz="4" w:space="0" w:color="auto"/>
              <w:right w:val="single" w:sz="4" w:space="0" w:color="auto"/>
            </w:tcBorders>
            <w:shd w:val="clear" w:color="auto" w:fill="auto"/>
          </w:tcPr>
          <w:p w:rsidR="007E2879" w:rsidRPr="007E2879" w:rsidRDefault="007E2879" w:rsidP="00CE24BA">
            <w:pPr>
              <w:rPr>
                <w:b w:val="0"/>
              </w:rPr>
            </w:pPr>
          </w:p>
        </w:tc>
        <w:tc>
          <w:tcPr>
            <w:tcW w:w="0" w:type="auto"/>
            <w:tcBorders>
              <w:left w:val="single" w:sz="4" w:space="0" w:color="auto"/>
              <w:right w:val="single" w:sz="4" w:space="0" w:color="auto"/>
            </w:tcBorders>
            <w:shd w:val="clear" w:color="auto" w:fill="auto"/>
          </w:tcPr>
          <w:p w:rsidR="007E2879" w:rsidRPr="009E67CD" w:rsidRDefault="007E2879" w:rsidP="00CE24BA">
            <w:pPr>
              <w:jc w:val="center"/>
              <w:cnfStyle w:val="000000100000"/>
              <w:rPr>
                <w:color w:val="auto"/>
              </w:rPr>
            </w:pPr>
            <w:r w:rsidRPr="009E67CD">
              <w:rPr>
                <w:color w:val="auto"/>
              </w:rPr>
              <w:t>Tourism (SCTA)</w:t>
            </w:r>
          </w:p>
        </w:tc>
        <w:tc>
          <w:tcPr>
            <w:tcW w:w="0" w:type="auto"/>
            <w:tcBorders>
              <w:left w:val="single" w:sz="4" w:space="0" w:color="auto"/>
              <w:right w:val="single" w:sz="4" w:space="0" w:color="auto"/>
            </w:tcBorders>
            <w:shd w:val="clear" w:color="auto" w:fill="auto"/>
          </w:tcPr>
          <w:p w:rsidR="007E2879" w:rsidRPr="009E67CD" w:rsidRDefault="007E2879" w:rsidP="007E2879">
            <w:pPr>
              <w:cnfStyle w:val="000000100000"/>
              <w:rPr>
                <w:i/>
                <w:color w:val="auto"/>
              </w:rPr>
            </w:pPr>
            <w:r w:rsidRPr="009E67CD">
              <w:rPr>
                <w:color w:val="auto"/>
              </w:rPr>
              <w:t xml:space="preserve">Dr. Abdullah Al </w:t>
            </w:r>
            <w:proofErr w:type="spellStart"/>
            <w:r w:rsidRPr="009E67CD">
              <w:rPr>
                <w:color w:val="auto"/>
              </w:rPr>
              <w:t>Weshail</w:t>
            </w:r>
            <w:proofErr w:type="spellEnd"/>
            <w:r w:rsidRPr="009E67CD">
              <w:rPr>
                <w:color w:val="auto"/>
              </w:rPr>
              <w:t xml:space="preserve">, </w:t>
            </w:r>
            <w:r w:rsidRPr="009E67CD">
              <w:rPr>
                <w:i/>
                <w:color w:val="auto"/>
              </w:rPr>
              <w:t>General Director</w:t>
            </w:r>
          </w:p>
          <w:p w:rsidR="007E2879" w:rsidRDefault="007E2879" w:rsidP="007E2879">
            <w:pPr>
              <w:cnfStyle w:val="000000100000"/>
              <w:rPr>
                <w:i/>
                <w:color w:val="auto"/>
              </w:rPr>
            </w:pPr>
            <w:r w:rsidRPr="009E67CD">
              <w:rPr>
                <w:i/>
                <w:color w:val="auto"/>
              </w:rPr>
              <w:t>National Project for Tour</w:t>
            </w:r>
            <w:r w:rsidRPr="009E67CD">
              <w:rPr>
                <w:color w:val="auto"/>
              </w:rPr>
              <w:t>ism H</w:t>
            </w:r>
            <w:r w:rsidRPr="009E67CD">
              <w:rPr>
                <w:i/>
                <w:color w:val="auto"/>
              </w:rPr>
              <w:t>R Development Center</w:t>
            </w:r>
          </w:p>
          <w:p w:rsidR="009E67CD" w:rsidRPr="009E67CD" w:rsidRDefault="009E67CD" w:rsidP="007E2879">
            <w:pPr>
              <w:cnfStyle w:val="000000100000"/>
              <w:rPr>
                <w:rFonts w:cs="Calibri"/>
                <w:color w:val="auto"/>
              </w:rPr>
            </w:pPr>
            <w:r>
              <w:rPr>
                <w:color w:val="auto"/>
              </w:rPr>
              <w:t>and senior staff</w:t>
            </w:r>
          </w:p>
        </w:tc>
      </w:tr>
    </w:tbl>
    <w:p w:rsidR="006F7CA7" w:rsidRPr="006F7CA7" w:rsidRDefault="006F7CA7" w:rsidP="006F7CA7"/>
    <w:p w:rsidR="008D57ED" w:rsidRPr="00DA7619" w:rsidRDefault="008D57ED" w:rsidP="008D57ED">
      <w:pPr>
        <w:pStyle w:val="Heading1"/>
      </w:pPr>
      <w:bookmarkStart w:id="72" w:name="_Toc324762531"/>
      <w:bookmarkStart w:id="73" w:name="_Toc325871799"/>
      <w:r w:rsidRPr="00DA7619">
        <w:t xml:space="preserve">Annex </w:t>
      </w:r>
      <w:r w:rsidR="009E67CD">
        <w:t>5</w:t>
      </w:r>
      <w:r w:rsidRPr="00DA7619">
        <w:t>.  Selected documents reviewed</w:t>
      </w:r>
      <w:bookmarkEnd w:id="72"/>
      <w:bookmarkEnd w:id="73"/>
    </w:p>
    <w:p w:rsidR="008D57ED" w:rsidRPr="00DA7619" w:rsidRDefault="008D57ED" w:rsidP="008D57ED">
      <w:pPr>
        <w:pStyle w:val="Heading2"/>
      </w:pPr>
      <w:bookmarkStart w:id="74" w:name="_Toc324762532"/>
      <w:bookmarkStart w:id="75" w:name="_Toc325871800"/>
      <w:r w:rsidRPr="00DA7619">
        <w:t>Government Plans</w:t>
      </w:r>
      <w:bookmarkEnd w:id="74"/>
      <w:bookmarkEnd w:id="75"/>
    </w:p>
    <w:p w:rsidR="008D57ED" w:rsidRPr="00DA7619" w:rsidRDefault="008D57ED" w:rsidP="008D57ED">
      <w:pPr>
        <w:ind w:left="720"/>
      </w:pPr>
      <w:r w:rsidRPr="00DA7619">
        <w:t>7</w:t>
      </w:r>
      <w:r w:rsidRPr="00DA7619">
        <w:rPr>
          <w:vertAlign w:val="superscript"/>
        </w:rPr>
        <w:t>th</w:t>
      </w:r>
      <w:r w:rsidRPr="00DA7619">
        <w:t xml:space="preserve"> Five-year Development Plan</w:t>
      </w:r>
    </w:p>
    <w:p w:rsidR="008D57ED" w:rsidRPr="00DA7619" w:rsidRDefault="008D57ED" w:rsidP="008D57ED">
      <w:pPr>
        <w:ind w:left="720"/>
      </w:pPr>
      <w:r w:rsidRPr="00DA7619">
        <w:t>8</w:t>
      </w:r>
      <w:r w:rsidRPr="00DA7619">
        <w:rPr>
          <w:vertAlign w:val="superscript"/>
        </w:rPr>
        <w:t>th</w:t>
      </w:r>
      <w:r w:rsidRPr="00DA7619">
        <w:t xml:space="preserve"> Five-year Development Plan </w:t>
      </w:r>
      <w:r w:rsidRPr="00DA7619">
        <w:rPr>
          <w:sz w:val="23"/>
          <w:szCs w:val="23"/>
        </w:rPr>
        <w:t>(2005–2009)</w:t>
      </w:r>
    </w:p>
    <w:p w:rsidR="008D57ED" w:rsidRPr="00DA7619" w:rsidRDefault="008D57ED" w:rsidP="008D57ED">
      <w:pPr>
        <w:ind w:left="720"/>
      </w:pPr>
      <w:r w:rsidRPr="00DA7619">
        <w:t>9</w:t>
      </w:r>
      <w:r w:rsidRPr="00DA7619">
        <w:rPr>
          <w:vertAlign w:val="superscript"/>
        </w:rPr>
        <w:t>th</w:t>
      </w:r>
      <w:r w:rsidRPr="00DA7619">
        <w:t xml:space="preserve"> Five-year Development Plan </w:t>
      </w:r>
      <w:r w:rsidRPr="00DA7619">
        <w:rPr>
          <w:sz w:val="23"/>
          <w:szCs w:val="23"/>
        </w:rPr>
        <w:t>(2009-2014)</w:t>
      </w:r>
    </w:p>
    <w:p w:rsidR="008D57ED" w:rsidRPr="00DA7619" w:rsidRDefault="008D57ED" w:rsidP="008D57ED">
      <w:pPr>
        <w:ind w:left="720"/>
      </w:pPr>
      <w:r w:rsidRPr="00DA7619">
        <w:t>The Long Term Strategy (LTS) and VISION 2025 (2005)</w:t>
      </w:r>
    </w:p>
    <w:p w:rsidR="00135409" w:rsidRDefault="008D57ED" w:rsidP="008D57ED">
      <w:pPr>
        <w:pStyle w:val="Heading2"/>
      </w:pPr>
      <w:bookmarkStart w:id="76" w:name="_Toc325871801"/>
      <w:bookmarkStart w:id="77" w:name="_Toc324762533"/>
      <w:r w:rsidRPr="00DA7619">
        <w:t>UNDP programme materials</w:t>
      </w:r>
      <w:bookmarkEnd w:id="76"/>
      <w:r w:rsidRPr="00DA7619">
        <w:t xml:space="preserve"> </w:t>
      </w:r>
    </w:p>
    <w:bookmarkEnd w:id="77"/>
    <w:p w:rsidR="006C5B42" w:rsidRPr="00DA7619" w:rsidRDefault="006C5B42" w:rsidP="006C5B42">
      <w:pPr>
        <w:ind w:left="720"/>
      </w:pPr>
      <w:r w:rsidRPr="00DA7619">
        <w:t>(</w:t>
      </w:r>
      <w:r>
        <w:t xml:space="preserve">Note:  </w:t>
      </w:r>
      <w:r w:rsidRPr="00DA7619">
        <w:t>See References</w:t>
      </w:r>
      <w:r>
        <w:t xml:space="preserve"> section for full citations</w:t>
      </w:r>
      <w:r w:rsidRPr="00DA7619">
        <w:t>)</w:t>
      </w:r>
    </w:p>
    <w:p w:rsidR="008D57ED" w:rsidRPr="00DA7619" w:rsidRDefault="008D57ED" w:rsidP="008D57ED">
      <w:pPr>
        <w:ind w:left="720"/>
      </w:pPr>
      <w:r w:rsidRPr="00DA7619">
        <w:t xml:space="preserve">Country Programme Document (CPD) 2007 – 2011 </w:t>
      </w:r>
    </w:p>
    <w:p w:rsidR="008D57ED" w:rsidRPr="00DA7619" w:rsidRDefault="008D57ED" w:rsidP="008D57ED">
      <w:pPr>
        <w:ind w:left="720"/>
      </w:pPr>
      <w:r w:rsidRPr="00DA7619">
        <w:t>Country Programme Action Plan (CPAP) 2008</w:t>
      </w:r>
    </w:p>
    <w:p w:rsidR="008D57ED" w:rsidRPr="00DA7619" w:rsidRDefault="008D57ED" w:rsidP="008D57ED">
      <w:pPr>
        <w:ind w:left="720"/>
      </w:pPr>
      <w:r w:rsidRPr="00DA7619">
        <w:t>Country programme performance summary (CPPS) January 2011</w:t>
      </w:r>
    </w:p>
    <w:p w:rsidR="008D57ED" w:rsidRPr="00DA7619" w:rsidRDefault="008D57ED" w:rsidP="008D57ED">
      <w:pPr>
        <w:ind w:left="720"/>
      </w:pPr>
      <w:r w:rsidRPr="00DA7619">
        <w:t>All available project documents for listed outputs, coveri</w:t>
      </w:r>
      <w:r w:rsidR="0077690D">
        <w:t>ng projects with Ministry of</w:t>
      </w:r>
      <w:r w:rsidRPr="00DA7619">
        <w:t xml:space="preserve"> </w:t>
      </w:r>
      <w:r w:rsidR="002F3529">
        <w:t>Commerce and Industry</w:t>
      </w:r>
      <w:r w:rsidRPr="00DA7619">
        <w:t>,</w:t>
      </w:r>
      <w:r w:rsidR="002F3529">
        <w:t xml:space="preserve"> and </w:t>
      </w:r>
      <w:r w:rsidRPr="00DA7619">
        <w:t xml:space="preserve">with agencies and commissions:  </w:t>
      </w:r>
      <w:r w:rsidR="002F3529">
        <w:t>SCTA and SAGIA</w:t>
      </w:r>
      <w:r w:rsidRPr="00DA7619">
        <w:t>.</w:t>
      </w:r>
    </w:p>
    <w:p w:rsidR="00F710BB" w:rsidRDefault="00C552C9" w:rsidP="003E617F">
      <w:pPr>
        <w:pStyle w:val="Heading1"/>
      </w:pPr>
      <w:bookmarkStart w:id="78" w:name="_Toc325871802"/>
      <w:r>
        <w:t xml:space="preserve">Annex 6.  </w:t>
      </w:r>
      <w:r w:rsidR="009F6829">
        <w:t>Biography of the Evaluator</w:t>
      </w:r>
      <w:bookmarkEnd w:id="78"/>
    </w:p>
    <w:p w:rsidR="000F08E0" w:rsidRPr="00D637CA" w:rsidRDefault="000F08E0" w:rsidP="000F08E0">
      <w:pPr>
        <w:rPr>
          <w:rFonts w:ascii="Times New Roman" w:hAnsi="Times New Roman"/>
          <w:lang w:val="en-CA" w:eastAsia="en-CA"/>
        </w:rPr>
      </w:pPr>
      <w:r w:rsidRPr="00D637CA">
        <w:rPr>
          <w:lang w:eastAsia="en-CA"/>
        </w:rPr>
        <w:t xml:space="preserve">Patricia Alexander is an Independent Consultant, specialising in evaluation, macroeconomics, gender, and large-scale sample surveys and population censuses. </w:t>
      </w:r>
      <w:r>
        <w:rPr>
          <w:lang w:eastAsia="en-CA"/>
        </w:rPr>
        <w:t xml:space="preserve"> </w:t>
      </w:r>
      <w:r w:rsidRPr="00D637CA">
        <w:rPr>
          <w:lang w:eastAsia="en-CA"/>
        </w:rPr>
        <w:t xml:space="preserve">She has served as Regional Adviser on Poverty Statistics for the UN Economic and Social Commission for Asia-Pacific (UNESCAP); Regional Programme Coordinator for the Gender Programme, UNDP Asia-Pacific Regional Centre; </w:t>
      </w:r>
      <w:r w:rsidR="003D74AF">
        <w:rPr>
          <w:lang w:eastAsia="en-CA"/>
        </w:rPr>
        <w:t xml:space="preserve">and </w:t>
      </w:r>
      <w:r w:rsidRPr="00D637CA">
        <w:rPr>
          <w:lang w:eastAsia="en-CA"/>
        </w:rPr>
        <w:t>Regional Adviser for Econom</w:t>
      </w:r>
      <w:r w:rsidR="00FD31D7">
        <w:rPr>
          <w:lang w:eastAsia="en-CA"/>
        </w:rPr>
        <w:t>ic Security and Rights, UNIFEM.  She w</w:t>
      </w:r>
      <w:r w:rsidRPr="00D637CA">
        <w:rPr>
          <w:lang w:eastAsia="en-CA"/>
        </w:rPr>
        <w:t xml:space="preserve">as Country Economist for the Asian Development Bank. </w:t>
      </w:r>
    </w:p>
    <w:p w:rsidR="000F08E0" w:rsidRPr="00D637CA" w:rsidRDefault="000F08E0" w:rsidP="000F08E0">
      <w:pPr>
        <w:rPr>
          <w:rFonts w:ascii="Times New Roman" w:hAnsi="Times New Roman"/>
          <w:lang w:val="en-CA" w:eastAsia="en-CA"/>
        </w:rPr>
      </w:pPr>
      <w:r>
        <w:rPr>
          <w:lang w:eastAsia="en-CA"/>
        </w:rPr>
        <w:t>Ms Alexander</w:t>
      </w:r>
      <w:r w:rsidRPr="00D637CA">
        <w:rPr>
          <w:lang w:eastAsia="en-CA"/>
        </w:rPr>
        <w:t xml:space="preserve"> has </w:t>
      </w:r>
      <w:r w:rsidR="00FD31D7">
        <w:rPr>
          <w:lang w:eastAsia="en-CA"/>
        </w:rPr>
        <w:t xml:space="preserve">successfully </w:t>
      </w:r>
      <w:r w:rsidRPr="00D637CA">
        <w:rPr>
          <w:lang w:eastAsia="en-CA"/>
        </w:rPr>
        <w:t xml:space="preserve">provided consulting and technical advisory services in more than thirty countries in the Middle East, Africa, Central Asia and Asia-Pacific, Eastern Europe and Latin America. </w:t>
      </w:r>
      <w:r>
        <w:rPr>
          <w:lang w:eastAsia="en-CA"/>
        </w:rPr>
        <w:t xml:space="preserve"> </w:t>
      </w:r>
      <w:r w:rsidRPr="00D637CA">
        <w:rPr>
          <w:lang w:eastAsia="en-CA"/>
        </w:rPr>
        <w:t>She holds an MA in Economics from McGill University (Canada); she did post-graduate work at the University of Manchester, School of Economics and the Centre for Cen</w:t>
      </w:r>
      <w:r w:rsidR="00FD31D7">
        <w:rPr>
          <w:lang w:eastAsia="en-CA"/>
        </w:rPr>
        <w:t xml:space="preserve">sus and Survey Research (U.K.).  She also did post-graduate research at </w:t>
      </w:r>
      <w:r w:rsidRPr="00D637CA">
        <w:rPr>
          <w:lang w:eastAsia="en-CA"/>
        </w:rPr>
        <w:t xml:space="preserve">the People’s University of China, Beijing. </w:t>
      </w:r>
    </w:p>
    <w:p w:rsidR="000F08E0" w:rsidRDefault="000F08E0" w:rsidP="0044747A"/>
    <w:p w:rsidR="00526518" w:rsidRPr="0044747A" w:rsidRDefault="00526518" w:rsidP="0044747A"/>
    <w:p w:rsidR="00622F57" w:rsidRDefault="00622F57">
      <w:pPr>
        <w:rPr>
          <w:rFonts w:asciiTheme="majorHAnsi" w:eastAsiaTheme="majorEastAsia" w:hAnsiTheme="majorHAnsi" w:cstheme="majorBidi"/>
          <w:b/>
          <w:bCs/>
          <w:color w:val="365F91" w:themeColor="accent1" w:themeShade="BF"/>
          <w:sz w:val="28"/>
          <w:szCs w:val="28"/>
        </w:rPr>
      </w:pPr>
      <w:r>
        <w:br w:type="page"/>
      </w:r>
    </w:p>
    <w:p w:rsidR="00622F57" w:rsidRPr="00414304" w:rsidRDefault="00622F57" w:rsidP="00622F57">
      <w:pPr>
        <w:pStyle w:val="Heading1"/>
        <w:rPr>
          <w:szCs w:val="36"/>
        </w:rPr>
      </w:pPr>
      <w:bookmarkStart w:id="79" w:name="_Toc325871803"/>
      <w:r w:rsidRPr="00414304">
        <w:t xml:space="preserve">Annex </w:t>
      </w:r>
      <w:r>
        <w:t>7</w:t>
      </w:r>
      <w:r w:rsidRPr="00414304">
        <w:t>:  United Nations Evaluation Group Code of Conduct</w:t>
      </w:r>
      <w:r w:rsidRPr="00414304">
        <w:rPr>
          <w:szCs w:val="36"/>
        </w:rPr>
        <w:t xml:space="preserve"> for Evaluation in the UN System</w:t>
      </w:r>
      <w:bookmarkEnd w:id="79"/>
      <w:r w:rsidRPr="00414304">
        <w:rPr>
          <w:szCs w:val="36"/>
        </w:rPr>
        <w:t xml:space="preserve"> </w:t>
      </w:r>
    </w:p>
    <w:p w:rsidR="00622F57" w:rsidRPr="00BF7C53" w:rsidRDefault="00622F57" w:rsidP="00622F57">
      <w:pPr>
        <w:pStyle w:val="Default"/>
        <w:rPr>
          <w:sz w:val="36"/>
          <w:szCs w:val="36"/>
          <w:lang w:val="en-GB"/>
        </w:rPr>
      </w:pPr>
    </w:p>
    <w:p w:rsidR="00622F57" w:rsidRDefault="00622F57" w:rsidP="00622F57">
      <w:pPr>
        <w:pStyle w:val="Default"/>
        <w:rPr>
          <w:b/>
          <w:bCs/>
          <w:sz w:val="30"/>
          <w:szCs w:val="30"/>
          <w:lang w:val="en-GB"/>
        </w:rPr>
      </w:pPr>
      <w:r w:rsidRPr="00BF7C53">
        <w:rPr>
          <w:b/>
          <w:bCs/>
          <w:sz w:val="30"/>
          <w:szCs w:val="30"/>
          <w:lang w:val="en-GB"/>
        </w:rPr>
        <w:t xml:space="preserve">Evaluation Consultants Agreement Form </w:t>
      </w:r>
    </w:p>
    <w:p w:rsidR="00622F57" w:rsidRPr="00BF7C53" w:rsidRDefault="00622F57" w:rsidP="00622F57">
      <w:pPr>
        <w:pStyle w:val="Default"/>
        <w:rPr>
          <w:sz w:val="30"/>
          <w:szCs w:val="30"/>
          <w:lang w:val="en-GB"/>
        </w:rPr>
      </w:pPr>
    </w:p>
    <w:p w:rsidR="00622F57" w:rsidRDefault="00622F57" w:rsidP="00622F57">
      <w:pPr>
        <w:pStyle w:val="Default"/>
        <w:rPr>
          <w:sz w:val="22"/>
          <w:szCs w:val="22"/>
          <w:lang w:val="en-GB"/>
        </w:rPr>
      </w:pPr>
      <w:r w:rsidRPr="00BF7C53">
        <w:rPr>
          <w:sz w:val="22"/>
          <w:szCs w:val="22"/>
          <w:lang w:val="en-GB"/>
        </w:rPr>
        <w:t xml:space="preserve">To be signed by all consultants as individuals (not by or on behalf of a consultancy company) before a contract can be issued. </w:t>
      </w:r>
    </w:p>
    <w:p w:rsidR="00622F57" w:rsidRPr="00BF7C53" w:rsidRDefault="00622F57" w:rsidP="00622F57">
      <w:pPr>
        <w:pStyle w:val="Default"/>
        <w:rPr>
          <w:sz w:val="22"/>
          <w:szCs w:val="22"/>
          <w:lang w:val="en-GB"/>
        </w:rPr>
      </w:pPr>
    </w:p>
    <w:p w:rsidR="00622F57" w:rsidRDefault="00622F57" w:rsidP="00622F57">
      <w:pPr>
        <w:pStyle w:val="Default"/>
        <w:rPr>
          <w:b/>
          <w:bCs/>
          <w:sz w:val="30"/>
          <w:szCs w:val="30"/>
          <w:lang w:val="en-GB"/>
        </w:rPr>
      </w:pPr>
      <w:r w:rsidRPr="00BF7C53">
        <w:rPr>
          <w:b/>
          <w:bCs/>
          <w:sz w:val="30"/>
          <w:szCs w:val="30"/>
          <w:lang w:val="en-GB"/>
        </w:rPr>
        <w:t xml:space="preserve">Agreement to abide by the Code of Conduct for Evaluation in the UN System </w:t>
      </w:r>
    </w:p>
    <w:p w:rsidR="00622F57" w:rsidRPr="00BF7C53" w:rsidRDefault="00622F57" w:rsidP="00622F57">
      <w:pPr>
        <w:pStyle w:val="Default"/>
        <w:rPr>
          <w:sz w:val="30"/>
          <w:szCs w:val="30"/>
          <w:lang w:val="en-GB"/>
        </w:rPr>
      </w:pPr>
    </w:p>
    <w:p w:rsidR="00622F57" w:rsidRDefault="00622F57" w:rsidP="00622F57">
      <w:pPr>
        <w:pStyle w:val="Default"/>
        <w:rPr>
          <w:b/>
          <w:bCs/>
          <w:sz w:val="22"/>
          <w:szCs w:val="22"/>
          <w:lang w:val="en-GB"/>
        </w:rPr>
      </w:pPr>
      <w:r w:rsidRPr="00BF7C53">
        <w:rPr>
          <w:b/>
          <w:bCs/>
          <w:sz w:val="22"/>
          <w:szCs w:val="22"/>
          <w:lang w:val="en-GB"/>
        </w:rPr>
        <w:t xml:space="preserve">Name of Consultant: </w:t>
      </w:r>
      <w:r>
        <w:rPr>
          <w:b/>
          <w:bCs/>
          <w:sz w:val="22"/>
          <w:szCs w:val="22"/>
          <w:lang w:val="en-GB"/>
        </w:rPr>
        <w:t xml:space="preserve">      Patricia Alexander </w:t>
      </w:r>
    </w:p>
    <w:p w:rsidR="00622F57" w:rsidRDefault="00622F57" w:rsidP="00622F57">
      <w:pPr>
        <w:pStyle w:val="Default"/>
        <w:rPr>
          <w:b/>
          <w:bCs/>
          <w:sz w:val="22"/>
          <w:szCs w:val="22"/>
          <w:lang w:val="en-GB"/>
        </w:rPr>
      </w:pPr>
    </w:p>
    <w:p w:rsidR="00622F57" w:rsidRDefault="00622F57" w:rsidP="00622F57">
      <w:pPr>
        <w:pStyle w:val="Default"/>
        <w:rPr>
          <w:sz w:val="22"/>
          <w:szCs w:val="22"/>
          <w:lang w:val="en-GB"/>
        </w:rPr>
      </w:pPr>
      <w:r w:rsidRPr="00BF7C53">
        <w:rPr>
          <w:b/>
          <w:bCs/>
          <w:sz w:val="22"/>
          <w:szCs w:val="22"/>
          <w:lang w:val="en-GB"/>
        </w:rPr>
        <w:t xml:space="preserve">Name of Consultancy Organisation </w:t>
      </w:r>
      <w:r w:rsidRPr="00BF7C53">
        <w:rPr>
          <w:sz w:val="22"/>
          <w:szCs w:val="22"/>
          <w:lang w:val="en-GB"/>
        </w:rPr>
        <w:t>(where relevant)</w:t>
      </w:r>
      <w:r w:rsidRPr="00BF7C53">
        <w:rPr>
          <w:b/>
          <w:bCs/>
          <w:sz w:val="22"/>
          <w:szCs w:val="22"/>
          <w:lang w:val="en-GB"/>
        </w:rPr>
        <w:t xml:space="preserve">: </w:t>
      </w:r>
      <w:r w:rsidRPr="00BF7C53">
        <w:rPr>
          <w:sz w:val="22"/>
          <w:szCs w:val="22"/>
          <w:lang w:val="en-GB"/>
        </w:rPr>
        <w:t xml:space="preserve">________________________________________ </w:t>
      </w:r>
    </w:p>
    <w:p w:rsidR="00622F57" w:rsidRDefault="00622F57" w:rsidP="00622F57">
      <w:pPr>
        <w:pStyle w:val="Default"/>
        <w:rPr>
          <w:sz w:val="22"/>
          <w:szCs w:val="22"/>
          <w:lang w:val="en-GB"/>
        </w:rPr>
      </w:pPr>
    </w:p>
    <w:p w:rsidR="00622F57" w:rsidRPr="00BF7C53" w:rsidRDefault="00622F57" w:rsidP="00622F57">
      <w:pPr>
        <w:pStyle w:val="Default"/>
        <w:rPr>
          <w:sz w:val="22"/>
          <w:szCs w:val="22"/>
          <w:lang w:val="en-GB"/>
        </w:rPr>
      </w:pPr>
    </w:p>
    <w:p w:rsidR="00622F57" w:rsidRDefault="00622F57" w:rsidP="00622F57">
      <w:pPr>
        <w:pStyle w:val="Default"/>
        <w:rPr>
          <w:b/>
          <w:bCs/>
          <w:sz w:val="22"/>
          <w:szCs w:val="22"/>
          <w:lang w:val="en-GB"/>
        </w:rPr>
      </w:pPr>
      <w:r w:rsidRPr="00BF7C53">
        <w:rPr>
          <w:b/>
          <w:bCs/>
          <w:sz w:val="22"/>
          <w:szCs w:val="22"/>
          <w:lang w:val="en-GB"/>
        </w:rPr>
        <w:t xml:space="preserve">I confirm that I have received and understood and will abide by the United Nations Code of Conduct for Evaluation. </w:t>
      </w:r>
    </w:p>
    <w:p w:rsidR="00622F57" w:rsidRDefault="00622F57" w:rsidP="00622F57">
      <w:pPr>
        <w:pStyle w:val="Default"/>
        <w:rPr>
          <w:b/>
          <w:bCs/>
          <w:sz w:val="22"/>
          <w:szCs w:val="22"/>
          <w:lang w:val="en-GB"/>
        </w:rPr>
      </w:pPr>
    </w:p>
    <w:p w:rsidR="00622F57" w:rsidRPr="00BF7C53" w:rsidRDefault="00622F57" w:rsidP="00622F57">
      <w:pPr>
        <w:pStyle w:val="Default"/>
        <w:rPr>
          <w:sz w:val="22"/>
          <w:szCs w:val="22"/>
          <w:lang w:val="en-GB"/>
        </w:rPr>
      </w:pPr>
    </w:p>
    <w:p w:rsidR="00622F57" w:rsidRDefault="00622F57" w:rsidP="00622F57">
      <w:pPr>
        <w:rPr>
          <w:rFonts w:ascii="Times New Roman" w:hAnsi="Times New Roman" w:cs="Times New Roman"/>
        </w:rPr>
      </w:pPr>
      <w:r>
        <w:rPr>
          <w:rFonts w:ascii="Times New Roman" w:hAnsi="Times New Roman" w:cs="Times New Roman"/>
        </w:rPr>
        <w:t xml:space="preserve">Signed at Yangon, </w:t>
      </w:r>
      <w:proofErr w:type="gramStart"/>
      <w:r>
        <w:rPr>
          <w:rFonts w:ascii="Times New Roman" w:hAnsi="Times New Roman" w:cs="Times New Roman"/>
        </w:rPr>
        <w:t>Myanmar  on</w:t>
      </w:r>
      <w:proofErr w:type="gramEnd"/>
      <w:r>
        <w:rPr>
          <w:rFonts w:ascii="Times New Roman" w:hAnsi="Times New Roman" w:cs="Times New Roman"/>
        </w:rPr>
        <w:t xml:space="preserve">  21 May 2012</w:t>
      </w:r>
    </w:p>
    <w:p w:rsidR="00622F57" w:rsidRDefault="00622F57" w:rsidP="00622F57">
      <w:pPr>
        <w:rPr>
          <w:rFonts w:ascii="Times New Roman" w:hAnsi="Times New Roman" w:cs="Times New Roman"/>
        </w:rPr>
      </w:pPr>
    </w:p>
    <w:p w:rsidR="00622F57" w:rsidRDefault="00622F57" w:rsidP="00622F57">
      <w:pPr>
        <w:ind w:left="2160"/>
        <w:rPr>
          <w:rFonts w:ascii="Times New Roman" w:hAnsi="Times New Roman" w:cs="Times New Roman"/>
        </w:rPr>
      </w:pPr>
      <w:r>
        <w:rPr>
          <w:rFonts w:ascii="Arial" w:hAnsi="Arial" w:cs="Arial"/>
          <w:noProof/>
          <w:lang w:val="en-US"/>
        </w:rPr>
        <w:drawing>
          <wp:inline distT="0" distB="0" distL="0" distR="0">
            <wp:extent cx="1574165" cy="588645"/>
            <wp:effectExtent l="19050" t="0" r="6985" b="0"/>
            <wp:docPr id="5" name="Picture 1" descr="sign_p1_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_p1_f2"/>
                    <pic:cNvPicPr>
                      <a:picLocks noChangeAspect="1" noChangeArrowheads="1"/>
                    </pic:cNvPicPr>
                  </pic:nvPicPr>
                  <pic:blipFill>
                    <a:blip r:embed="rId22" cstate="print"/>
                    <a:srcRect/>
                    <a:stretch>
                      <a:fillRect/>
                    </a:stretch>
                  </pic:blipFill>
                  <pic:spPr bwMode="auto">
                    <a:xfrm>
                      <a:off x="0" y="0"/>
                      <a:ext cx="1574165" cy="588645"/>
                    </a:xfrm>
                    <a:prstGeom prst="rect">
                      <a:avLst/>
                    </a:prstGeom>
                    <a:noFill/>
                    <a:ln w="9525">
                      <a:noFill/>
                      <a:miter lim="800000"/>
                      <a:headEnd/>
                      <a:tailEnd/>
                    </a:ln>
                  </pic:spPr>
                </pic:pic>
              </a:graphicData>
            </a:graphic>
          </wp:inline>
        </w:drawing>
      </w:r>
    </w:p>
    <w:p w:rsidR="00622F57" w:rsidRDefault="00622F57" w:rsidP="00622F57">
      <w:r w:rsidRPr="00BF7C53">
        <w:t>Signature: __________________________________________________________________________</w:t>
      </w:r>
    </w:p>
    <w:p w:rsidR="00622F57" w:rsidRDefault="00622F57" w:rsidP="00622F57"/>
    <w:p w:rsidR="00622F57" w:rsidRDefault="00622F57" w:rsidP="00622F57"/>
    <w:p w:rsidR="00622F57" w:rsidRDefault="00622F57" w:rsidP="00622F57"/>
    <w:p w:rsidR="00622F57" w:rsidRDefault="00622F57" w:rsidP="00622F57"/>
    <w:p w:rsidR="00622F57" w:rsidRDefault="00622F57" w:rsidP="00622F57"/>
    <w:p w:rsidR="00622F57" w:rsidRDefault="00622F57" w:rsidP="00622F57"/>
    <w:p w:rsidR="00622F57" w:rsidRDefault="00622F57" w:rsidP="00622F57"/>
    <w:p w:rsidR="00622F57" w:rsidRDefault="00622F57" w:rsidP="00622F57"/>
    <w:p w:rsidR="00622F57" w:rsidRDefault="00622F57" w:rsidP="00622F57"/>
    <w:p w:rsidR="00622F57" w:rsidRDefault="00622F57" w:rsidP="00622F57">
      <w:r>
        <w:t>6</w:t>
      </w:r>
    </w:p>
    <w:p w:rsidR="00622F57" w:rsidRPr="008C3963" w:rsidRDefault="00622F57" w:rsidP="00622F57">
      <w:pPr>
        <w:jc w:val="right"/>
        <w:rPr>
          <w:color w:val="365F91" w:themeColor="accent1" w:themeShade="BF"/>
        </w:rPr>
      </w:pPr>
      <w:r w:rsidRPr="008C3963">
        <w:rPr>
          <w:b/>
          <w:bCs/>
          <w:color w:val="365F91" w:themeColor="accent1" w:themeShade="BF"/>
          <w:sz w:val="20"/>
          <w:szCs w:val="20"/>
        </w:rPr>
        <w:t>UNEG Code of Conduct (2008)</w:t>
      </w:r>
    </w:p>
    <w:p w:rsidR="009F6829" w:rsidRPr="009F6829" w:rsidRDefault="009F6829" w:rsidP="009F6829"/>
    <w:p w:rsidR="003E617F" w:rsidRPr="005C55C3" w:rsidRDefault="00622F57" w:rsidP="00622F57">
      <w:pPr>
        <w:pStyle w:val="Heading1"/>
      </w:pPr>
      <w:r>
        <w:br w:type="page"/>
      </w:r>
      <w:bookmarkStart w:id="80" w:name="_Toc325871804"/>
      <w:r w:rsidR="003E617F">
        <w:t>References</w:t>
      </w:r>
      <w:bookmarkEnd w:id="80"/>
    </w:p>
    <w:p w:rsidR="003B614C" w:rsidRPr="005C55C3" w:rsidRDefault="003B614C" w:rsidP="00DC5A10"/>
    <w:p w:rsidR="002B3DEF" w:rsidRDefault="00D96907" w:rsidP="002B3DEF">
      <w:pPr>
        <w:spacing w:after="0"/>
        <w:ind w:left="720" w:hanging="720"/>
      </w:pPr>
      <w:r w:rsidRPr="005C55C3">
        <w:fldChar w:fldCharType="begin"/>
      </w:r>
      <w:r w:rsidR="003B614C" w:rsidRPr="005C55C3">
        <w:instrText xml:space="preserve"> ADDIN EN.REFLIST </w:instrText>
      </w:r>
      <w:r w:rsidRPr="005C55C3">
        <w:fldChar w:fldCharType="separate"/>
      </w:r>
      <w:r w:rsidR="002B3DEF">
        <w:t xml:space="preserve">Hasan, Faisal and Naveed Ahmed. 2012. "KSA Economic Overview." in </w:t>
      </w:r>
      <w:r w:rsidR="002B3DEF" w:rsidRPr="002B3DEF">
        <w:rPr>
          <w:i/>
        </w:rPr>
        <w:t>Global Research Economy</w:t>
      </w:r>
      <w:r w:rsidR="002B3DEF">
        <w:t xml:space="preserve">. </w:t>
      </w:r>
      <w:hyperlink r:id="rId23" w:history="1">
        <w:r w:rsidR="002B3DEF" w:rsidRPr="002B3DEF">
          <w:rPr>
            <w:rStyle w:val="Hyperlink"/>
          </w:rPr>
          <w:t>http://www.globalinv.net/research/KSA-economic-overview-022012.pdf</w:t>
        </w:r>
      </w:hyperlink>
    </w:p>
    <w:p w:rsidR="002B3DEF" w:rsidRDefault="002B3DEF" w:rsidP="002B3DEF">
      <w:pPr>
        <w:spacing w:after="0"/>
      </w:pPr>
    </w:p>
    <w:p w:rsidR="002B3DEF" w:rsidRDefault="002B3DEF" w:rsidP="002B3DEF">
      <w:pPr>
        <w:spacing w:after="0"/>
        <w:ind w:left="720" w:hanging="720"/>
      </w:pPr>
      <w:r>
        <w:t xml:space="preserve">Kamco Research. 2011. "Saudi Arabia Economic Brief and Outlook." Kuwait: Kamco Investment Research Department.  </w:t>
      </w:r>
      <w:hyperlink r:id="rId24" w:history="1">
        <w:r w:rsidRPr="002B3DEF">
          <w:rPr>
            <w:rStyle w:val="Hyperlink"/>
          </w:rPr>
          <w:t>http://www.menafn.com/updates/research_center/Saudi_Arabia/Economic/kamco150611e.pdf</w:t>
        </w:r>
      </w:hyperlink>
    </w:p>
    <w:p w:rsidR="002B3DEF" w:rsidRDefault="002B3DEF" w:rsidP="002B3DEF">
      <w:pPr>
        <w:spacing w:after="0"/>
      </w:pPr>
    </w:p>
    <w:p w:rsidR="002B3DEF" w:rsidRDefault="002B3DEF" w:rsidP="002B3DEF">
      <w:pPr>
        <w:spacing w:after="0"/>
        <w:ind w:left="720" w:hanging="720"/>
      </w:pPr>
      <w:r>
        <w:t>Khoday, Kishan. 2010. "UNDP and Saudi Arabia:  A Partnership in Human Development, 1965-2010." Riyadh: UNDP Saudi Arabia.  unpublished manuscript</w:t>
      </w:r>
    </w:p>
    <w:p w:rsidR="002B3DEF" w:rsidRDefault="002B3DEF" w:rsidP="002B3DEF">
      <w:pPr>
        <w:spacing w:after="0"/>
      </w:pPr>
    </w:p>
    <w:p w:rsidR="002B3DEF" w:rsidRDefault="002B3DEF" w:rsidP="002B3DEF">
      <w:pPr>
        <w:spacing w:after="0"/>
        <w:ind w:left="720" w:hanging="720"/>
      </w:pPr>
      <w:r>
        <w:t>Kingdom of Saudi Arabia. 2011. "Tourism Statistics 2010."  G. Secretariat: The Saudi Commission for Tourism &amp; Antiquities</w:t>
      </w:r>
    </w:p>
    <w:p w:rsidR="002B3DEF" w:rsidRDefault="002B3DEF" w:rsidP="002B3DEF">
      <w:pPr>
        <w:spacing w:after="0"/>
        <w:ind w:left="720" w:hanging="720"/>
      </w:pPr>
      <w:r>
        <w:t xml:space="preserve"> </w:t>
      </w:r>
      <w:hyperlink r:id="rId25" w:history="1">
        <w:r w:rsidRPr="002B3DEF">
          <w:rPr>
            <w:rStyle w:val="Hyperlink"/>
          </w:rPr>
          <w:t>http://www.mas.gov.sa/ShowPage?UseFM=yes&amp;Template=ais/frmAis.htm&amp;Location=getdocs:///DocMapCSDOCS.MAS/3096&amp;Scale=FULLWIDTH&amp;Page=1&amp;ContextParams=</w:t>
        </w:r>
      </w:hyperlink>
    </w:p>
    <w:p w:rsidR="002B3DEF" w:rsidRDefault="002B3DEF" w:rsidP="002B3DEF">
      <w:pPr>
        <w:spacing w:after="0"/>
      </w:pPr>
    </w:p>
    <w:p w:rsidR="002B3DEF" w:rsidRDefault="002B3DEF" w:rsidP="002B3DEF">
      <w:pPr>
        <w:spacing w:after="0"/>
        <w:ind w:left="720" w:hanging="720"/>
      </w:pPr>
      <w:r>
        <w:t xml:space="preserve">Ministry of Economy and Planning. 2010. "Ninth Development Plan."  MEP: Kingdom of Saudi Arabia.  </w:t>
      </w:r>
      <w:hyperlink r:id="rId26" w:history="1">
        <w:r w:rsidRPr="002B3DEF">
          <w:rPr>
            <w:rStyle w:val="Hyperlink"/>
          </w:rPr>
          <w:t>http://www.mep.gov.sa/index.jsp;jsessionid=45651251380A82882E2B3433D5376123.alfa?event=ArticleView&amp;Article.ObjectID=79</w:t>
        </w:r>
      </w:hyperlink>
    </w:p>
    <w:p w:rsidR="002B3DEF" w:rsidRDefault="002B3DEF" w:rsidP="002B3DEF">
      <w:pPr>
        <w:spacing w:after="0"/>
      </w:pPr>
    </w:p>
    <w:p w:rsidR="002B3DEF" w:rsidRDefault="002B3DEF" w:rsidP="002B3DEF">
      <w:pPr>
        <w:spacing w:after="0"/>
        <w:ind w:left="720" w:hanging="720"/>
      </w:pPr>
      <w:r>
        <w:t xml:space="preserve">Mohapatra, Sanket. 2011. "Implications of “Nitaqat”, Saudi Arabia's Indigenization Program, Likely to be Modest for Migrants." in </w:t>
      </w:r>
      <w:r w:rsidRPr="002B3DEF">
        <w:rPr>
          <w:i/>
        </w:rPr>
        <w:t>blogs.worldbank.org</w:t>
      </w:r>
      <w:r>
        <w:t xml:space="preserve">.  </w:t>
      </w:r>
      <w:hyperlink r:id="rId27" w:history="1">
        <w:r w:rsidRPr="002B3DEF">
          <w:rPr>
            <w:rStyle w:val="Hyperlink"/>
          </w:rPr>
          <w:t>http://blogs.worldbank.org/peoplemove/node/1392</w:t>
        </w:r>
      </w:hyperlink>
    </w:p>
    <w:p w:rsidR="002B3DEF" w:rsidRDefault="002B3DEF" w:rsidP="002B3DEF">
      <w:pPr>
        <w:spacing w:after="0"/>
      </w:pPr>
    </w:p>
    <w:p w:rsidR="002B3DEF" w:rsidRDefault="002B3DEF" w:rsidP="002B3DEF">
      <w:pPr>
        <w:spacing w:after="0"/>
        <w:ind w:left="720" w:hanging="720"/>
      </w:pPr>
      <w:r>
        <w:t xml:space="preserve">Murphy, Caryle. 2010. "Saudi reaches out to diversify its economy." in </w:t>
      </w:r>
      <w:r w:rsidRPr="002B3DEF">
        <w:rPr>
          <w:i/>
        </w:rPr>
        <w:t>The National, Abu Dhabi</w:t>
      </w:r>
      <w:r>
        <w:t xml:space="preserve">.  </w:t>
      </w:r>
      <w:hyperlink r:id="rId28" w:anchor="full" w:history="1">
        <w:r w:rsidRPr="002B3DEF">
          <w:rPr>
            <w:rStyle w:val="Hyperlink"/>
          </w:rPr>
          <w:t>http://www.thenational.ae/business/economy/saudi-reaches-out-to-diversify-its-economy#full</w:t>
        </w:r>
      </w:hyperlink>
    </w:p>
    <w:p w:rsidR="002B3DEF" w:rsidRDefault="002B3DEF" w:rsidP="002B3DEF">
      <w:pPr>
        <w:spacing w:after="0"/>
      </w:pPr>
    </w:p>
    <w:p w:rsidR="002B3DEF" w:rsidRDefault="002B3DEF" w:rsidP="002B3DEF">
      <w:pPr>
        <w:spacing w:after="0"/>
        <w:ind w:left="720" w:hanging="720"/>
      </w:pPr>
      <w:r>
        <w:t xml:space="preserve">Sadi, Muhammad Asad and Joan C. Henderson. 2005. "Tourism in Saudi Arabia and Its Future Development." </w:t>
      </w:r>
      <w:r w:rsidRPr="002B3DEF">
        <w:rPr>
          <w:i/>
        </w:rPr>
        <w:t>Qatar University</w:t>
      </w:r>
      <w:r>
        <w:t xml:space="preserve"> 11:94-111.  </w:t>
      </w:r>
      <w:hyperlink r:id="rId29" w:history="1">
        <w:r w:rsidRPr="002B3DEF">
          <w:rPr>
            <w:rStyle w:val="Hyperlink"/>
          </w:rPr>
          <w:t>http://www.qu.edu.qa/business/research/collegejournal/archives/CBE_Journal_Vol11_Chapter_205.pdf</w:t>
        </w:r>
      </w:hyperlink>
    </w:p>
    <w:p w:rsidR="002B3DEF" w:rsidRDefault="002B3DEF" w:rsidP="002B3DEF">
      <w:pPr>
        <w:spacing w:after="0"/>
      </w:pPr>
    </w:p>
    <w:p w:rsidR="002B3DEF" w:rsidRDefault="002B3DEF" w:rsidP="002B3DEF">
      <w:pPr>
        <w:spacing w:after="0"/>
        <w:ind w:left="720" w:hanging="720"/>
      </w:pPr>
      <w:r>
        <w:t xml:space="preserve">SAGIA. 2012. "National Competitiveness Center." Riyadh: Saudia Arabian General Investment Authority (SAGIA).  </w:t>
      </w:r>
      <w:hyperlink r:id="rId30" w:history="1">
        <w:r w:rsidRPr="002B3DEF">
          <w:rPr>
            <w:rStyle w:val="Hyperlink"/>
          </w:rPr>
          <w:t>http://www.sagia.gov.sa/en/Why-Saudi-Arabia/A-Commitment-To-The-Best/National-Competitiveness-Center/</w:t>
        </w:r>
      </w:hyperlink>
    </w:p>
    <w:p w:rsidR="002B3DEF" w:rsidRDefault="002B3DEF" w:rsidP="002B3DEF">
      <w:pPr>
        <w:spacing w:after="0"/>
      </w:pPr>
    </w:p>
    <w:p w:rsidR="002B3DEF" w:rsidRDefault="002B3DEF" w:rsidP="002B3DEF">
      <w:pPr>
        <w:spacing w:after="0"/>
        <w:ind w:left="720" w:hanging="720"/>
      </w:pPr>
      <w:r>
        <w:t xml:space="preserve">Saudi Arabia Ministry of Economy and Planning. 2012. "KSA Economy." Kingdom of Saudi Arabia.  </w:t>
      </w:r>
      <w:hyperlink r:id="rId31" w:history="1">
        <w:r w:rsidRPr="002B3DEF">
          <w:rPr>
            <w:rStyle w:val="Hyperlink"/>
          </w:rPr>
          <w:t>http://www.mep.gov.sa/index.jsp;jsessionid=7587746E923F7BF1B822164456479332.beta?event=ArticleView&amp;Article.ObjectID=45</w:t>
        </w:r>
      </w:hyperlink>
    </w:p>
    <w:p w:rsidR="002B3DEF" w:rsidRDefault="002B3DEF" w:rsidP="002B3DEF">
      <w:pPr>
        <w:spacing w:after="0"/>
      </w:pPr>
    </w:p>
    <w:p w:rsidR="002B3DEF" w:rsidRDefault="002B3DEF" w:rsidP="002B3DEF">
      <w:pPr>
        <w:spacing w:after="0"/>
        <w:ind w:left="720" w:hanging="720"/>
      </w:pPr>
      <w:r>
        <w:t xml:space="preserve">Sfakianakis, John. 2011. "New employment rules to shake up Saudi private sector." in </w:t>
      </w:r>
      <w:r w:rsidRPr="002B3DEF">
        <w:rPr>
          <w:i/>
        </w:rPr>
        <w:t>Arab News</w:t>
      </w:r>
      <w:r>
        <w:t xml:space="preserve">. Riyadh.  </w:t>
      </w:r>
      <w:hyperlink r:id="rId32" w:history="1">
        <w:r w:rsidRPr="002B3DEF">
          <w:rPr>
            <w:rStyle w:val="Hyperlink"/>
          </w:rPr>
          <w:t>http://arabnews.com/economy/article454902.ece</w:t>
        </w:r>
      </w:hyperlink>
    </w:p>
    <w:p w:rsidR="002B3DEF" w:rsidRDefault="002B3DEF" w:rsidP="002B3DEF">
      <w:pPr>
        <w:spacing w:after="0"/>
      </w:pPr>
    </w:p>
    <w:p w:rsidR="002B3DEF" w:rsidRDefault="002B3DEF" w:rsidP="002B3DEF">
      <w:pPr>
        <w:spacing w:after="0"/>
        <w:ind w:left="720" w:hanging="720"/>
      </w:pPr>
      <w:r>
        <w:t xml:space="preserve">Tago, Abdul Hannan. 2012. "SCTA outlines vision for tourism." in </w:t>
      </w:r>
      <w:r w:rsidRPr="002B3DEF">
        <w:rPr>
          <w:i/>
        </w:rPr>
        <w:t>Arab News</w:t>
      </w:r>
      <w:r>
        <w:t xml:space="preserve">. Riyadh.  </w:t>
      </w:r>
      <w:hyperlink r:id="rId33" w:history="1">
        <w:r w:rsidRPr="002B3DEF">
          <w:rPr>
            <w:rStyle w:val="Hyperlink"/>
          </w:rPr>
          <w:t>http://arabnews.com/saudiarabia/article588567.ece</w:t>
        </w:r>
      </w:hyperlink>
    </w:p>
    <w:p w:rsidR="002B3DEF" w:rsidRDefault="002B3DEF" w:rsidP="002B3DEF">
      <w:pPr>
        <w:spacing w:after="0"/>
      </w:pPr>
    </w:p>
    <w:p w:rsidR="002B3DEF" w:rsidRDefault="002B3DEF" w:rsidP="002B3DEF">
      <w:pPr>
        <w:spacing w:after="0"/>
        <w:ind w:left="720" w:hanging="720"/>
      </w:pPr>
      <w:r>
        <w:t xml:space="preserve">Tourism Information and Research Center. 2011. "Saudi Tourism Outlook. A monthly electronic publication." Riyadh: Kingdom of Saudi Arabia.  </w:t>
      </w:r>
      <w:hyperlink r:id="rId34" w:history="1">
        <w:r w:rsidRPr="002B3DEF">
          <w:rPr>
            <w:rStyle w:val="Hyperlink"/>
          </w:rPr>
          <w:t>www.sct.gov.sa/publications</w:t>
        </w:r>
      </w:hyperlink>
    </w:p>
    <w:p w:rsidR="002B3DEF" w:rsidRDefault="002B3DEF" w:rsidP="002B3DEF">
      <w:pPr>
        <w:spacing w:after="0"/>
      </w:pPr>
    </w:p>
    <w:p w:rsidR="002B3DEF" w:rsidRDefault="002B3DEF" w:rsidP="002B3DEF">
      <w:pPr>
        <w:spacing w:after="0"/>
        <w:ind w:left="720" w:hanging="720"/>
      </w:pPr>
      <w:r>
        <w:t xml:space="preserve">—. 2012. "Saudi Tourism Outlook. A monthly electronic publication." in </w:t>
      </w:r>
      <w:r w:rsidRPr="002B3DEF">
        <w:rPr>
          <w:i/>
        </w:rPr>
        <w:t>January</w:t>
      </w:r>
      <w:r>
        <w:t xml:space="preserve">, vol. 2012. Riyadh: Kingdom of Saudi Arabia.  </w:t>
      </w:r>
      <w:hyperlink r:id="rId35" w:history="1">
        <w:r w:rsidRPr="002B3DEF">
          <w:rPr>
            <w:rStyle w:val="Hyperlink"/>
          </w:rPr>
          <w:t>www.sct.gov.sa/publications/DownloadServlet?fid..</w:t>
        </w:r>
      </w:hyperlink>
      <w:r>
        <w:t>.</w:t>
      </w:r>
    </w:p>
    <w:p w:rsidR="002B3DEF" w:rsidRDefault="002B3DEF" w:rsidP="002B3DEF">
      <w:pPr>
        <w:spacing w:after="0"/>
      </w:pPr>
    </w:p>
    <w:p w:rsidR="002B3DEF" w:rsidRDefault="002B3DEF" w:rsidP="002B3DEF">
      <w:pPr>
        <w:spacing w:after="0"/>
        <w:ind w:left="720" w:hanging="720"/>
      </w:pPr>
      <w:r>
        <w:t>UNDP. 2007. "</w:t>
      </w:r>
      <w:r w:rsidRPr="002B3DEF">
        <w:rPr>
          <w:rFonts w:ascii="Times New Roman" w:hAnsi="Times New Roman" w:cs="Times New Roman"/>
        </w:rPr>
        <w:t>Knowing the What and the How. RBM in UNDP:  Technical Note</w:t>
      </w:r>
      <w:r>
        <w:t xml:space="preserve">." New York: UNDP.  </w:t>
      </w:r>
      <w:r w:rsidRPr="002B3DEF">
        <w:rPr>
          <w:rFonts w:ascii="Times New Roman" w:hAnsi="Times New Roman" w:cs="Times New Roman"/>
          <w:u w:val="single"/>
        </w:rPr>
        <w:t>Knowing the What and the How &lt;</w:t>
      </w:r>
      <w:hyperlink r:id="rId36" w:history="1">
        <w:r w:rsidRPr="002B3DEF">
          <w:rPr>
            <w:rStyle w:val="Hyperlink"/>
            <w:rFonts w:ascii="Times New Roman" w:hAnsi="Times New Roman" w:cs="Times New Roman"/>
          </w:rPr>
          <w:t>http://intra.undp.org/eo/documents/methodology/rbm/RBM-technical-note.doc</w:t>
        </w:r>
      </w:hyperlink>
      <w:r w:rsidRPr="002B3DEF">
        <w:rPr>
          <w:rFonts w:ascii="Times New Roman" w:hAnsi="Times New Roman" w:cs="Times New Roman"/>
          <w:u w:val="single"/>
        </w:rPr>
        <w:t>&gt;</w:t>
      </w:r>
    </w:p>
    <w:p w:rsidR="002B3DEF" w:rsidRDefault="002B3DEF" w:rsidP="002B3DEF">
      <w:pPr>
        <w:spacing w:after="0"/>
      </w:pPr>
    </w:p>
    <w:p w:rsidR="002B3DEF" w:rsidRDefault="002B3DEF" w:rsidP="002B3DEF">
      <w:pPr>
        <w:spacing w:after="0"/>
        <w:ind w:left="720" w:hanging="720"/>
      </w:pPr>
      <w:r>
        <w:t xml:space="preserve">—. 2009. "Handbook on Planning, Monitoring and Evaluating for Development Results." New York: United Nations Development Programme.  </w:t>
      </w:r>
    </w:p>
    <w:p w:rsidR="002B3DEF" w:rsidRDefault="002B3DEF" w:rsidP="002B3DEF">
      <w:pPr>
        <w:spacing w:after="0"/>
        <w:ind w:left="720" w:hanging="720"/>
      </w:pPr>
      <w:r>
        <w:t xml:space="preserve">UNDP Consultant. 2010. "Outcome Evaluation of UNDP Support for National Strategies Reflecting Vision 2025 in terms of Pro-poor and Sustainable Development policies, enhancing the Labour Sector and the Cost Effective Delivery of Public Services." Riyadh: UNDP Saudi Arabia.  </w:t>
      </w:r>
    </w:p>
    <w:p w:rsidR="002B3DEF" w:rsidRDefault="002B3DEF" w:rsidP="002B3DEF">
      <w:pPr>
        <w:spacing w:after="0"/>
        <w:ind w:left="720" w:hanging="720"/>
      </w:pPr>
      <w:r>
        <w:t xml:space="preserve">UNDP Saudi Arabia. 2006. "Country programme document for Saudi Arabia (2007-2011)." New York: Executive Board of the United Nations Development Programme and of the United Nations Population Fund.  </w:t>
      </w:r>
      <w:hyperlink r:id="rId37" w:history="1">
        <w:r w:rsidRPr="002B3DEF">
          <w:rPr>
            <w:rStyle w:val="Hyperlink"/>
          </w:rPr>
          <w:t>http://www.undp.org.sa/sa/documents/home/cpd_2007_2011.pdf</w:t>
        </w:r>
      </w:hyperlink>
    </w:p>
    <w:p w:rsidR="002B3DEF" w:rsidRDefault="002B3DEF" w:rsidP="002B3DEF">
      <w:pPr>
        <w:spacing w:after="0"/>
      </w:pPr>
    </w:p>
    <w:p w:rsidR="002B3DEF" w:rsidRDefault="002B3DEF" w:rsidP="002B3DEF">
      <w:pPr>
        <w:spacing w:after="0"/>
        <w:ind w:left="720" w:hanging="720"/>
      </w:pPr>
      <w:r>
        <w:t xml:space="preserve">—. 2008. "Country Programme Action Plan." Riyadh: Government of the Kingdom of Saudi Arabia and UNDP SA Country Office.  </w:t>
      </w:r>
      <w:hyperlink r:id="rId38" w:history="1">
        <w:r w:rsidRPr="002B3DEF">
          <w:rPr>
            <w:rStyle w:val="Hyperlink"/>
          </w:rPr>
          <w:t>www.undp.org.sa/sa/.../cpap_narrative_review_final-mwt-matrix.doc</w:t>
        </w:r>
      </w:hyperlink>
    </w:p>
    <w:p w:rsidR="002B3DEF" w:rsidRDefault="002B3DEF" w:rsidP="002B3DEF">
      <w:pPr>
        <w:spacing w:after="0"/>
      </w:pPr>
    </w:p>
    <w:p w:rsidR="002B3DEF" w:rsidRDefault="002B3DEF" w:rsidP="002B3DEF">
      <w:pPr>
        <w:spacing w:after="0"/>
        <w:ind w:left="720" w:hanging="720"/>
      </w:pPr>
      <w:r>
        <w:t xml:space="preserve">—. 2009. "Annual Report 2009." Riyadh: UNDP Saudi Arabia.  </w:t>
      </w:r>
      <w:hyperlink r:id="rId39" w:history="1">
        <w:r w:rsidRPr="002B3DEF">
          <w:rPr>
            <w:rStyle w:val="Hyperlink"/>
          </w:rPr>
          <w:t>http://www.undp.org.sa/sa/documents/home/annual_report.pdf</w:t>
        </w:r>
      </w:hyperlink>
    </w:p>
    <w:p w:rsidR="002B3DEF" w:rsidRDefault="002B3DEF" w:rsidP="002B3DEF">
      <w:pPr>
        <w:spacing w:after="0"/>
      </w:pPr>
    </w:p>
    <w:p w:rsidR="002B3DEF" w:rsidRDefault="002B3DEF" w:rsidP="002B3DEF">
      <w:pPr>
        <w:spacing w:after="0"/>
        <w:ind w:left="720" w:hanging="720"/>
      </w:pPr>
      <w:r>
        <w:t xml:space="preserve">Vishwanath, Tara. 2012. "Alert! Arab world women at bottom of global workforce participation."  </w:t>
      </w:r>
    </w:p>
    <w:p w:rsidR="002B3DEF" w:rsidRDefault="002B3DEF" w:rsidP="002B3DEF">
      <w:pPr>
        <w:spacing w:after="0"/>
        <w:ind w:left="720" w:hanging="720"/>
      </w:pPr>
      <w:r>
        <w:t xml:space="preserve">WB-IFC. 2011. "Doing Business Report." Washington DC: World Bank, International Finance Corporation.  </w:t>
      </w:r>
      <w:hyperlink r:id="rId40" w:history="1">
        <w:r w:rsidRPr="002B3DEF">
          <w:rPr>
            <w:rStyle w:val="Hyperlink"/>
          </w:rPr>
          <w:t>http://www.doingbusiness.org/rankings</w:t>
        </w:r>
      </w:hyperlink>
    </w:p>
    <w:p w:rsidR="002B3DEF" w:rsidRDefault="002B3DEF" w:rsidP="002B3DEF">
      <w:pPr>
        <w:spacing w:after="0"/>
      </w:pPr>
    </w:p>
    <w:p w:rsidR="002B3DEF" w:rsidRDefault="002B3DEF" w:rsidP="002B3DEF">
      <w:pPr>
        <w:spacing w:after="0"/>
        <w:ind w:left="720" w:hanging="720"/>
      </w:pPr>
      <w:r>
        <w:t xml:space="preserve">World Bank. 2012. "Specific Data Series." vol. 2012. Washington DC.  </w:t>
      </w:r>
      <w:hyperlink r:id="rId41" w:history="1">
        <w:r w:rsidRPr="002B3DEF">
          <w:rPr>
            <w:rStyle w:val="Hyperlink"/>
          </w:rPr>
          <w:t>http://data.worldbank.org/about/faq/specific-data-series</w:t>
        </w:r>
      </w:hyperlink>
    </w:p>
    <w:p w:rsidR="002B3DEF" w:rsidRDefault="002B3DEF" w:rsidP="002B3DEF">
      <w:pPr>
        <w:spacing w:after="0"/>
      </w:pPr>
    </w:p>
    <w:p w:rsidR="002B3DEF" w:rsidRDefault="002B3DEF" w:rsidP="002B3DEF">
      <w:pPr>
        <w:spacing w:after="0"/>
        <w:ind w:left="720" w:hanging="720"/>
      </w:pPr>
      <w:r>
        <w:t xml:space="preserve">—. various years. "World Development Indicators." International Bank for Reconstruction and Development (The World Bank).  </w:t>
      </w:r>
      <w:hyperlink r:id="rId42" w:history="1">
        <w:r w:rsidRPr="002B3DEF">
          <w:rPr>
            <w:rStyle w:val="Hyperlink"/>
          </w:rPr>
          <w:t>http://data.worldbank.org/indicator/NY.GDP.MKTP.KD.ZG?page=1</w:t>
        </w:r>
      </w:hyperlink>
    </w:p>
    <w:p w:rsidR="002B3DEF" w:rsidRDefault="002B3DEF" w:rsidP="002B3DEF">
      <w:pPr>
        <w:spacing w:after="0"/>
      </w:pPr>
    </w:p>
    <w:p w:rsidR="002B3DEF" w:rsidRDefault="002B3DEF" w:rsidP="002B3DEF">
      <w:pPr>
        <w:spacing w:after="0"/>
        <w:ind w:left="720" w:hanging="720"/>
      </w:pPr>
      <w:r>
        <w:t xml:space="preserve">World Bank staff. 2004. </w:t>
      </w:r>
      <w:r w:rsidRPr="002B3DEF">
        <w:rPr>
          <w:i/>
        </w:rPr>
        <w:t>Gender and Development in the Middle East and North Africa: Women in the Public Sphere</w:t>
      </w:r>
      <w:r>
        <w:t xml:space="preserve">.  World Bank. </w:t>
      </w:r>
      <w:hyperlink r:id="rId43" w:history="1">
        <w:r w:rsidRPr="002B3DEF">
          <w:rPr>
            <w:rStyle w:val="Hyperlink"/>
          </w:rPr>
          <w:t>http://web.worldbank.org/WBSITE/EXTERNAL/COUNTRIES/MENAEXT/0,,contentMDK:20261828~pagePK:146736~piPK:146830~theSitePK:256299,00.html</w:t>
        </w:r>
      </w:hyperlink>
    </w:p>
    <w:p w:rsidR="002B3DEF" w:rsidRDefault="002B3DEF" w:rsidP="002B3DEF">
      <w:pPr>
        <w:spacing w:after="0"/>
      </w:pPr>
    </w:p>
    <w:p w:rsidR="002B3DEF" w:rsidRDefault="002B3DEF" w:rsidP="002B3DEF">
      <w:pPr>
        <w:spacing w:after="0"/>
        <w:ind w:left="720" w:hanging="720"/>
      </w:pPr>
      <w:r>
        <w:t xml:space="preserve">World Economic Forum. 2012. "The Global Competitiveness Report 2011-2012."  </w:t>
      </w:r>
      <w:hyperlink r:id="rId44" w:history="1">
        <w:r w:rsidRPr="002B3DEF">
          <w:rPr>
            <w:rStyle w:val="Hyperlink"/>
          </w:rPr>
          <w:t>http://gcr.weforum.org/gcr2011/</w:t>
        </w:r>
      </w:hyperlink>
    </w:p>
    <w:p w:rsidR="002B3DEF" w:rsidRDefault="002B3DEF" w:rsidP="002B3DEF">
      <w:pPr>
        <w:spacing w:after="0"/>
      </w:pPr>
    </w:p>
    <w:p w:rsidR="002B3DEF" w:rsidRDefault="002B3DEF" w:rsidP="002B3DEF">
      <w:pPr>
        <w:spacing w:after="0"/>
      </w:pPr>
    </w:p>
    <w:p w:rsidR="0064757E" w:rsidRPr="005C55C3" w:rsidRDefault="00D96907" w:rsidP="002B3DEF">
      <w:pPr>
        <w:spacing w:after="0"/>
        <w:ind w:left="720" w:hanging="720"/>
      </w:pPr>
      <w:r w:rsidRPr="005C55C3">
        <w:fldChar w:fldCharType="end"/>
      </w:r>
    </w:p>
    <w:sectPr w:rsidR="0064757E" w:rsidRPr="005C55C3" w:rsidSect="00F71362">
      <w:footerReference w:type="default" r:id="rId45"/>
      <w:pgSz w:w="12240" w:h="15840"/>
      <w:pgMar w:top="1440" w:right="1325"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5E4" w:rsidRDefault="004E45E4" w:rsidP="009C1C1C">
      <w:pPr>
        <w:spacing w:before="0" w:after="0"/>
      </w:pPr>
      <w:r>
        <w:separator/>
      </w:r>
    </w:p>
  </w:endnote>
  <w:endnote w:type="continuationSeparator" w:id="0">
    <w:p w:rsidR="004E45E4" w:rsidRDefault="004E45E4" w:rsidP="009C1C1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Arial-BoldM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6180"/>
      <w:docPartObj>
        <w:docPartGallery w:val="Page Numbers (Bottom of Page)"/>
        <w:docPartUnique/>
      </w:docPartObj>
    </w:sdtPr>
    <w:sdtContent>
      <w:p w:rsidR="005036BF" w:rsidRDefault="00D96907">
        <w:pPr>
          <w:pStyle w:val="Footer"/>
          <w:jc w:val="center"/>
        </w:pPr>
        <w:fldSimple w:instr=" PAGE   \* MERGEFORMAT ">
          <w:r w:rsidR="0048107C">
            <w:rPr>
              <w:noProof/>
            </w:rPr>
            <w:t>7</w:t>
          </w:r>
        </w:fldSimple>
      </w:p>
    </w:sdtContent>
  </w:sdt>
  <w:p w:rsidR="005036BF" w:rsidRDefault="005036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5E4" w:rsidRDefault="004E45E4" w:rsidP="009C1C1C">
      <w:pPr>
        <w:spacing w:before="0" w:after="0"/>
      </w:pPr>
      <w:r>
        <w:separator/>
      </w:r>
    </w:p>
  </w:footnote>
  <w:footnote w:type="continuationSeparator" w:id="0">
    <w:p w:rsidR="004E45E4" w:rsidRDefault="004E45E4" w:rsidP="009C1C1C">
      <w:pPr>
        <w:spacing w:before="0" w:after="0"/>
      </w:pPr>
      <w:r>
        <w:continuationSeparator/>
      </w:r>
    </w:p>
  </w:footnote>
  <w:footnote w:id="1">
    <w:p w:rsidR="005036BF" w:rsidRDefault="005036BF">
      <w:pPr>
        <w:pStyle w:val="FootnoteText"/>
      </w:pPr>
      <w:r>
        <w:rPr>
          <w:rStyle w:val="FootnoteReference"/>
        </w:rPr>
        <w:footnoteRef/>
      </w:r>
      <w:r>
        <w:t xml:space="preserve"> </w:t>
      </w:r>
      <w:proofErr w:type="gramStart"/>
      <w:r>
        <w:t>WB.</w:t>
      </w:r>
      <w:proofErr w:type="gramEnd"/>
      <w:r>
        <w:t xml:space="preserve">  World Development Indicators, see References</w:t>
      </w:r>
    </w:p>
  </w:footnote>
  <w:footnote w:id="2">
    <w:p w:rsidR="005036BF" w:rsidRDefault="005036BF" w:rsidP="005658D1">
      <w:pPr>
        <w:pStyle w:val="FootnoteText"/>
      </w:pPr>
      <w:r>
        <w:rPr>
          <w:rStyle w:val="FootnoteReference"/>
        </w:rPr>
        <w:footnoteRef/>
      </w:r>
      <w:r>
        <w:t xml:space="preserve"> The ninth plan was prepared by government during the course of the CP activities, and the CPD took the updated needs of the new plan into account in its review and final years.</w:t>
      </w:r>
    </w:p>
  </w:footnote>
  <w:footnote w:id="3">
    <w:p w:rsidR="005036BF" w:rsidRDefault="005036BF">
      <w:pPr>
        <w:pStyle w:val="FootnoteText"/>
      </w:pPr>
      <w:r>
        <w:rPr>
          <w:rStyle w:val="FootnoteReference"/>
        </w:rPr>
        <w:footnoteRef/>
      </w:r>
      <w:r>
        <w:t xml:space="preserve"> See p. 2 for current indicators.</w:t>
      </w:r>
    </w:p>
  </w:footnote>
  <w:footnote w:id="4">
    <w:p w:rsidR="005036BF" w:rsidRPr="00C35E31" w:rsidRDefault="005036BF" w:rsidP="007D08EE">
      <w:pPr>
        <w:spacing w:before="0" w:after="0"/>
        <w:ind w:left="90"/>
      </w:pPr>
      <w:r>
        <w:rPr>
          <w:rStyle w:val="FootnoteReference"/>
        </w:rPr>
        <w:footnoteRef/>
      </w:r>
      <w:r>
        <w:t xml:space="preserve"> </w:t>
      </w:r>
      <w:r w:rsidRPr="007D08EE">
        <w:rPr>
          <w:sz w:val="20"/>
          <w:szCs w:val="20"/>
        </w:rPr>
        <w:t>In the Terms of Reference for the Outcome Evaluation, the Outcome 2 Indicators are stated as:  (1) Increased foreign direct investment in KSA by 10 [%], and (2) Increased number of tourists in KSA by 15%</w:t>
      </w:r>
      <w:r>
        <w:rPr>
          <w:sz w:val="20"/>
          <w:szCs w:val="20"/>
        </w:rPr>
        <w:t>.  This Outcome Evaluation report uses the 15% and 15% indicators drawn from the CPAP (2008).</w:t>
      </w:r>
    </w:p>
    <w:p w:rsidR="005036BF" w:rsidRDefault="005036BF">
      <w:pPr>
        <w:pStyle w:val="FootnoteText"/>
      </w:pPr>
    </w:p>
  </w:footnote>
  <w:footnote w:id="5">
    <w:p w:rsidR="005036BF" w:rsidRDefault="005036BF">
      <w:pPr>
        <w:pStyle w:val="FootnoteText"/>
      </w:pPr>
      <w:r>
        <w:rPr>
          <w:rStyle w:val="FootnoteReference"/>
        </w:rPr>
        <w:footnoteRef/>
      </w:r>
      <w:r>
        <w:t xml:space="preserve"> Note that these are growth rates, not levels of growth; that is, while the number is positive, the economy or the sector is growing.  The downturn in the graph shows that the sector or economy is growing at a slower rate, but is still growing.  Negative values show that the sector is not growing, but is in fact shrinking – experiencing so-called negative growth – as the oil sector did in 2006, 2007 and 2009. </w:t>
      </w:r>
    </w:p>
  </w:footnote>
  <w:footnote w:id="6">
    <w:p w:rsidR="005036BF" w:rsidRDefault="005036BF" w:rsidP="00270B9C">
      <w:pPr>
        <w:pStyle w:val="FootnoteText"/>
      </w:pPr>
      <w:r>
        <w:rPr>
          <w:rStyle w:val="FootnoteReference"/>
        </w:rPr>
        <w:footnoteRef/>
      </w:r>
      <w:r>
        <w:t xml:space="preserve"> Saudi Arabia MEP, see References</w:t>
      </w:r>
    </w:p>
  </w:footnote>
  <w:footnote w:id="7">
    <w:p w:rsidR="005036BF" w:rsidRDefault="005036BF">
      <w:pPr>
        <w:pStyle w:val="FootnoteText"/>
      </w:pPr>
      <w:r>
        <w:rPr>
          <w:rStyle w:val="FootnoteReference"/>
        </w:rPr>
        <w:footnoteRef/>
      </w:r>
      <w:r>
        <w:t xml:space="preserve"> </w:t>
      </w:r>
      <w:r w:rsidRPr="00F84335">
        <w:rPr>
          <w:lang w:val="en-CA"/>
        </w:rPr>
        <w:t>‘</w:t>
      </w:r>
      <w:proofErr w:type="spellStart"/>
      <w:r w:rsidRPr="00F84335">
        <w:rPr>
          <w:lang w:val="en-CA"/>
        </w:rPr>
        <w:t>Nitaqat</w:t>
      </w:r>
      <w:proofErr w:type="spellEnd"/>
      <w:r w:rsidRPr="00F84335">
        <w:rPr>
          <w:lang w:val="en-CA"/>
        </w:rPr>
        <w:t xml:space="preserve">’ came into effect on September 2011. Saudi firms have been color coded to four categories - Red, Yellow and Green, and Blue/VIP. Firms labeled ‘Red’ will not be able to renew their expat workers' visas and had until end November 2011 to improve their status by hiring more Saudi people. ‘Yellow’ firms have until end February 2012 to improve their status and will not be allowed to extend their existing foreign employees' work visas beyond 6 years. ‘Green’ or ‘Excellent’ firms with high </w:t>
      </w:r>
      <w:proofErr w:type="spellStart"/>
      <w:r w:rsidRPr="00F84335">
        <w:rPr>
          <w:lang w:val="en-CA"/>
        </w:rPr>
        <w:t>Saudization</w:t>
      </w:r>
      <w:proofErr w:type="spellEnd"/>
      <w:r w:rsidRPr="00F84335">
        <w:rPr>
          <w:lang w:val="en-CA"/>
        </w:rPr>
        <w:t xml:space="preserve"> rates will be allowed to offer jobs to foreign workers that are employed by firms in the Red and Yellow categories and transfer their visas. And firms in the highest ‘VIP’ category will enjoy the ability to hire workers from any part of the world using a web-based system with minimal clearance.</w:t>
      </w:r>
      <w:r>
        <w:rPr>
          <w:lang w:val="en-CA"/>
        </w:rPr>
        <w:t xml:space="preserve"> (Hasan and Ahmed 2012</w:t>
      </w:r>
    </w:p>
  </w:footnote>
  <w:footnote w:id="8">
    <w:p w:rsidR="005036BF" w:rsidRPr="00B16181" w:rsidRDefault="005036BF" w:rsidP="00B16181">
      <w:pPr>
        <w:rPr>
          <w:lang w:val="en-CA"/>
        </w:rPr>
      </w:pPr>
      <w:r>
        <w:rPr>
          <w:rStyle w:val="FootnoteReference"/>
        </w:rPr>
        <w:footnoteRef/>
      </w:r>
      <w:r>
        <w:t xml:space="preserve"> </w:t>
      </w:r>
      <w:r w:rsidRPr="00B16181">
        <w:rPr>
          <w:sz w:val="20"/>
          <w:szCs w:val="20"/>
          <w:lang w:val="en-CA"/>
        </w:rPr>
        <w:t>International Monetary Fund, World Economic Outlook Database, September 2011</w:t>
      </w:r>
      <w:r>
        <w:rPr>
          <w:sz w:val="20"/>
          <w:szCs w:val="20"/>
          <w:lang w:val="en-CA"/>
        </w:rPr>
        <w:t xml:space="preserve">.  </w:t>
      </w:r>
      <w:hyperlink r:id="rId1" w:anchor="download" w:history="1">
        <w:r w:rsidRPr="00B16181">
          <w:rPr>
            <w:rStyle w:val="Hyperlink"/>
            <w:rFonts w:eastAsia="Times New Roman" w:cs="Times New Roman"/>
            <w:sz w:val="20"/>
            <w:szCs w:val="20"/>
            <w:lang w:val="en-CA" w:eastAsia="en-CA"/>
          </w:rPr>
          <w:t>http://www.imf.org/external/pubs/ft/weo/2011/02/weodata/weorept.aspx?sy=2006&amp;ey=2011&amp;scsm=1&amp;ssd=1&amp;sort=country&amp;ds=.&amp;br=1&amp;c=456&amp;s=BCA&amp;grp=0&amp;a=&amp;pr1.x=55&amp;pr1.y=9#download</w:t>
        </w:r>
      </w:hyperlink>
      <w:r>
        <w:rPr>
          <w:rFonts w:ascii="MS Sans Serif" w:eastAsia="Times New Roman" w:hAnsi="MS Sans Serif" w:cs="Times New Roman"/>
          <w:sz w:val="20"/>
          <w:szCs w:val="20"/>
          <w:lang w:val="en-CA" w:eastAsia="en-CA"/>
        </w:rPr>
        <w:t xml:space="preserve"> </w:t>
      </w:r>
    </w:p>
  </w:footnote>
  <w:footnote w:id="9">
    <w:p w:rsidR="005036BF" w:rsidRDefault="005036BF" w:rsidP="00C73965">
      <w:pPr>
        <w:autoSpaceDE w:val="0"/>
        <w:autoSpaceDN w:val="0"/>
        <w:adjustRightInd w:val="0"/>
        <w:spacing w:before="0" w:after="0"/>
        <w:rPr>
          <w:rFonts w:cs="Arial"/>
          <w:sz w:val="20"/>
          <w:szCs w:val="20"/>
          <w:lang w:val="en-CA"/>
        </w:rPr>
      </w:pPr>
      <w:r>
        <w:rPr>
          <w:rStyle w:val="FootnoteReference"/>
        </w:rPr>
        <w:footnoteRef/>
      </w:r>
      <w:r>
        <w:t xml:space="preserve"> </w:t>
      </w:r>
      <w:r w:rsidRPr="00C73965">
        <w:rPr>
          <w:rFonts w:cs="Arial"/>
          <w:sz w:val="20"/>
          <w:szCs w:val="20"/>
          <w:lang w:val="en-CA"/>
        </w:rPr>
        <w:t>Foreign direct investment</w:t>
      </w:r>
      <w:r>
        <w:rPr>
          <w:rFonts w:cs="Arial"/>
          <w:sz w:val="20"/>
          <w:szCs w:val="20"/>
          <w:lang w:val="en-CA"/>
        </w:rPr>
        <w:t>s</w:t>
      </w:r>
      <w:r w:rsidRPr="00C73965">
        <w:rPr>
          <w:rFonts w:cs="Arial"/>
          <w:sz w:val="20"/>
          <w:szCs w:val="20"/>
          <w:lang w:val="en-CA"/>
        </w:rPr>
        <w:t xml:space="preserve"> (FDI) are the net inflows of investment to acquire a lasting management interest (10 percent or more of voting stock) in an enterprise operating in an economy other than that of the investor. It is the sum of equity capital, reinvestment of earnings, other long-term capital, and short-term capital as shown in the balance of payments.</w:t>
      </w:r>
      <w:r>
        <w:rPr>
          <w:rFonts w:cs="Arial"/>
          <w:sz w:val="20"/>
          <w:szCs w:val="20"/>
          <w:lang w:val="en-CA"/>
        </w:rPr>
        <w:t xml:space="preserve">.. </w:t>
      </w:r>
      <w:r w:rsidRPr="00C73965">
        <w:rPr>
          <w:rFonts w:cs="Arial"/>
          <w:sz w:val="20"/>
          <w:szCs w:val="20"/>
          <w:lang w:val="en-CA"/>
        </w:rPr>
        <w:t xml:space="preserve">Negative values of FDI net inflows for a particular year show that the value of disinvestment by foreign investors was more than the value of </w:t>
      </w:r>
      <w:r>
        <w:rPr>
          <w:rFonts w:cs="Arial"/>
          <w:sz w:val="20"/>
          <w:szCs w:val="20"/>
          <w:lang w:val="en-CA"/>
        </w:rPr>
        <w:t xml:space="preserve">[inflowing] </w:t>
      </w:r>
      <w:r w:rsidRPr="00C73965">
        <w:rPr>
          <w:rFonts w:cs="Arial"/>
          <w:sz w:val="20"/>
          <w:szCs w:val="20"/>
          <w:lang w:val="en-CA"/>
        </w:rPr>
        <w:t xml:space="preserve">capital newly invested in the reporting economy. Negative values of FDI net outflows </w:t>
      </w:r>
      <w:r>
        <w:rPr>
          <w:rFonts w:cs="Arial"/>
          <w:sz w:val="20"/>
          <w:szCs w:val="20"/>
          <w:lang w:val="en-CA"/>
        </w:rPr>
        <w:t xml:space="preserve">[as in 2005-2007] </w:t>
      </w:r>
      <w:r w:rsidRPr="00C73965">
        <w:rPr>
          <w:rFonts w:cs="Arial"/>
          <w:sz w:val="20"/>
          <w:szCs w:val="20"/>
          <w:lang w:val="en-CA"/>
        </w:rPr>
        <w:t>show that the value of direct investment made by domestic investors to external economies was less than the value of repatriated (disinvested) direct investment from external economies.</w:t>
      </w:r>
      <w:r>
        <w:rPr>
          <w:rFonts w:cs="Arial"/>
          <w:sz w:val="20"/>
          <w:szCs w:val="20"/>
          <w:lang w:val="en-CA"/>
        </w:rPr>
        <w:t xml:space="preserve">  </w:t>
      </w:r>
      <w:r w:rsidRPr="00C73965">
        <w:rPr>
          <w:rFonts w:cs="Arial"/>
          <w:sz w:val="20"/>
          <w:szCs w:val="20"/>
          <w:lang w:val="en-CA"/>
        </w:rPr>
        <w:t>The FDI net inflow data for developing countries come from records in the World Bank’s Debtor Reporting System (DRS), while data for high-income countries come from the IMF's Balance of Payments (</w:t>
      </w:r>
      <w:proofErr w:type="spellStart"/>
      <w:r w:rsidRPr="00C73965">
        <w:rPr>
          <w:rFonts w:cs="Arial"/>
          <w:sz w:val="20"/>
          <w:szCs w:val="20"/>
          <w:lang w:val="en-CA"/>
        </w:rPr>
        <w:t>BoP</w:t>
      </w:r>
      <w:proofErr w:type="spellEnd"/>
      <w:r w:rsidRPr="00C73965">
        <w:rPr>
          <w:rFonts w:cs="Arial"/>
          <w:sz w:val="20"/>
          <w:szCs w:val="20"/>
          <w:lang w:val="en-CA"/>
        </w:rPr>
        <w:t xml:space="preserve">) database. FDI net outflow data come from the IMF's </w:t>
      </w:r>
      <w:proofErr w:type="spellStart"/>
      <w:r w:rsidRPr="00C73965">
        <w:rPr>
          <w:rFonts w:cs="Arial"/>
          <w:sz w:val="20"/>
          <w:szCs w:val="20"/>
          <w:lang w:val="en-CA"/>
        </w:rPr>
        <w:t>BoP</w:t>
      </w:r>
      <w:proofErr w:type="spellEnd"/>
      <w:r w:rsidRPr="00C73965">
        <w:rPr>
          <w:rFonts w:cs="Arial"/>
          <w:sz w:val="20"/>
          <w:szCs w:val="20"/>
          <w:lang w:val="en-CA"/>
        </w:rPr>
        <w:t xml:space="preserve"> database</w:t>
      </w:r>
      <w:r>
        <w:rPr>
          <w:rFonts w:cs="Arial"/>
          <w:sz w:val="20"/>
          <w:szCs w:val="20"/>
          <w:lang w:val="en-CA"/>
        </w:rPr>
        <w:t xml:space="preserve"> (from WB 2012)</w:t>
      </w:r>
      <w:r w:rsidRPr="00C73965">
        <w:rPr>
          <w:rFonts w:cs="Arial"/>
          <w:sz w:val="20"/>
          <w:szCs w:val="20"/>
          <w:lang w:val="en-CA"/>
        </w:rPr>
        <w:t>.</w:t>
      </w:r>
    </w:p>
    <w:p w:rsidR="005036BF" w:rsidRPr="00C73965" w:rsidRDefault="005036BF" w:rsidP="00C73965">
      <w:pPr>
        <w:autoSpaceDE w:val="0"/>
        <w:autoSpaceDN w:val="0"/>
        <w:adjustRightInd w:val="0"/>
        <w:spacing w:before="0" w:after="0"/>
        <w:rPr>
          <w:rFonts w:cs="Arial"/>
          <w:sz w:val="20"/>
          <w:szCs w:val="20"/>
          <w:lang w:val="en-CA"/>
        </w:rPr>
      </w:pPr>
    </w:p>
    <w:p w:rsidR="005036BF" w:rsidRDefault="005036BF">
      <w:pPr>
        <w:pStyle w:val="FootnoteText"/>
      </w:pPr>
    </w:p>
  </w:footnote>
  <w:footnote w:id="10">
    <w:p w:rsidR="005036BF" w:rsidRDefault="005036BF">
      <w:pPr>
        <w:pStyle w:val="FootnoteText"/>
      </w:pPr>
      <w:r>
        <w:rPr>
          <w:rStyle w:val="FootnoteReference"/>
        </w:rPr>
        <w:footnoteRef/>
      </w:r>
      <w:r>
        <w:t xml:space="preserve"> SA tourism statistics distinguish “international (inbound) tourism” and “domestic tourism”.  The data shown here, for “international tourism”, include “tourist trips” from abroad, and exclude “day trips”, from abroad.</w:t>
      </w:r>
    </w:p>
  </w:footnote>
  <w:footnote w:id="11">
    <w:p w:rsidR="005036BF" w:rsidRDefault="005036BF" w:rsidP="00865992">
      <w:pPr>
        <w:pStyle w:val="FootnoteText"/>
      </w:pPr>
      <w:r>
        <w:rPr>
          <w:rStyle w:val="FootnoteReference"/>
        </w:rPr>
        <w:footnoteRef/>
      </w:r>
      <w:r>
        <w:t xml:space="preserve">  A tourist “trip” refers to a person arrival, for however long a period in excess of one day (i.e. including at least one night’s accommodation).</w:t>
      </w:r>
    </w:p>
  </w:footnote>
  <w:footnote w:id="12">
    <w:p w:rsidR="005036BF" w:rsidRPr="00C41810" w:rsidRDefault="005036BF" w:rsidP="00865992">
      <w:pPr>
        <w:spacing w:before="0" w:after="0"/>
        <w:rPr>
          <w:sz w:val="20"/>
          <w:lang w:val="en-CA"/>
        </w:rPr>
      </w:pPr>
      <w:r>
        <w:rPr>
          <w:rStyle w:val="FootnoteReference"/>
        </w:rPr>
        <w:footnoteRef/>
      </w:r>
      <w:r>
        <w:t xml:space="preserve"> </w:t>
      </w:r>
      <w:r w:rsidRPr="00C41810">
        <w:rPr>
          <w:sz w:val="20"/>
        </w:rPr>
        <w:t>Sources used are MAS (</w:t>
      </w:r>
      <w:r>
        <w:rPr>
          <w:sz w:val="20"/>
        </w:rPr>
        <w:t>Tourism Information and Research Centre,</w:t>
      </w:r>
      <w:r w:rsidRPr="00AC686E">
        <w:rPr>
          <w:sz w:val="20"/>
          <w:lang w:val="en-CA"/>
        </w:rPr>
        <w:t xml:space="preserve"> </w:t>
      </w:r>
      <w:r>
        <w:rPr>
          <w:sz w:val="20"/>
          <w:lang w:val="en-CA"/>
        </w:rPr>
        <w:t xml:space="preserve">Tourism Statistics Data Base – </w:t>
      </w:r>
      <w:r w:rsidRPr="00C41810">
        <w:rPr>
          <w:sz w:val="20"/>
          <w:lang w:val="en-CA"/>
        </w:rPr>
        <w:t>TSDB</w:t>
      </w:r>
      <w:r w:rsidRPr="00C41810">
        <w:rPr>
          <w:sz w:val="20"/>
        </w:rPr>
        <w:t>)</w:t>
      </w:r>
      <w:r>
        <w:rPr>
          <w:sz w:val="20"/>
        </w:rPr>
        <w:t xml:space="preserve">, and the publication Tourism Statistics (2010 available for this report) which consolidates annual data.  See, for example, </w:t>
      </w:r>
      <w:hyperlink r:id="rId2" w:history="1">
        <w:r w:rsidRPr="00C41810">
          <w:rPr>
            <w:rStyle w:val="Hyperlink"/>
            <w:sz w:val="20"/>
            <w:lang w:val="en-CA"/>
          </w:rPr>
          <w:t>http://tsdb.mas.gov.sa/</w:t>
        </w:r>
      </w:hyperlink>
      <w:r>
        <w:rPr>
          <w:sz w:val="20"/>
        </w:rPr>
        <w:t xml:space="preserve"> for TSDB, and the annual publication.  The database provides reports to 2007; however, </w:t>
      </w:r>
      <w:proofErr w:type="spellStart"/>
      <w:r>
        <w:rPr>
          <w:sz w:val="20"/>
        </w:rPr>
        <w:t>Haj</w:t>
      </w:r>
      <w:proofErr w:type="spellEnd"/>
      <w:r>
        <w:rPr>
          <w:sz w:val="20"/>
        </w:rPr>
        <w:t xml:space="preserve"> arrivals are not shown for 2007.  </w:t>
      </w:r>
      <w:r>
        <w:rPr>
          <w:sz w:val="20"/>
          <w:lang w:val="en-CA"/>
        </w:rPr>
        <w:t>The 2011 data were drawn from the monthly</w:t>
      </w:r>
      <w:r w:rsidRPr="00AC686E">
        <w:rPr>
          <w:sz w:val="20"/>
          <w:lang w:val="en-CA"/>
        </w:rPr>
        <w:t xml:space="preserve"> </w:t>
      </w:r>
      <w:r>
        <w:rPr>
          <w:sz w:val="20"/>
          <w:lang w:val="en-CA"/>
        </w:rPr>
        <w:t>Saudi Tourism Outlook (see references).</w:t>
      </w:r>
    </w:p>
    <w:p w:rsidR="005036BF" w:rsidRDefault="005036BF" w:rsidP="00E21DCE">
      <w:pPr>
        <w:pStyle w:val="FootnoteText"/>
      </w:pPr>
    </w:p>
  </w:footnote>
  <w:footnote w:id="13">
    <w:p w:rsidR="005036BF" w:rsidRDefault="005036BF" w:rsidP="00F500E9">
      <w:pPr>
        <w:pStyle w:val="FootnoteText"/>
      </w:pPr>
      <w:r>
        <w:rPr>
          <w:rStyle w:val="FootnoteReference"/>
        </w:rPr>
        <w:footnoteRef/>
      </w:r>
      <w:r>
        <w:t xml:space="preserve"> The meeting was the 4</w:t>
      </w:r>
      <w:r w:rsidRPr="002347AE">
        <w:rPr>
          <w:vertAlign w:val="superscript"/>
        </w:rPr>
        <w:t>th</w:t>
      </w:r>
      <w:r>
        <w:t xml:space="preserve"> Global Competitiveness Forum, 2010.  The Forum is referred to again in section 5.1</w:t>
      </w:r>
    </w:p>
  </w:footnote>
  <w:footnote w:id="14">
    <w:p w:rsidR="005036BF" w:rsidRDefault="005036BF">
      <w:pPr>
        <w:pStyle w:val="FootnoteText"/>
      </w:pPr>
      <w:r>
        <w:rPr>
          <w:rStyle w:val="FootnoteReference"/>
        </w:rPr>
        <w:footnoteRef/>
      </w:r>
      <w:r>
        <w:t xml:space="preserve"> CDSI Central Department of Statistics and Information, GDP by economic activity sector, see references.  </w:t>
      </w:r>
    </w:p>
  </w:footnote>
  <w:footnote w:id="15">
    <w:p w:rsidR="005036BF" w:rsidRDefault="005036BF">
      <w:pPr>
        <w:pStyle w:val="FootnoteText"/>
      </w:pPr>
      <w:r>
        <w:rPr>
          <w:rStyle w:val="FootnoteReference"/>
        </w:rPr>
        <w:footnoteRef/>
      </w:r>
      <w:r>
        <w:t xml:space="preserve"> However, as the impact of the rising price of oil percolated through the economy, inflation in 2008 reached 9.9 percent.  When prices sank in 2009, inflation abated somewhat, to 5.1 percent.  </w:t>
      </w:r>
    </w:p>
  </w:footnote>
  <w:footnote w:id="16">
    <w:p w:rsidR="005036BF" w:rsidRDefault="005036BF">
      <w:pPr>
        <w:pStyle w:val="FootnoteText"/>
      </w:pPr>
      <w:r>
        <w:rPr>
          <w:rStyle w:val="FootnoteReference"/>
        </w:rPr>
        <w:footnoteRef/>
      </w:r>
      <w:r>
        <w:t xml:space="preserve"> CDSI Central Department of Statistics and Information, GDP by sectors, see references.  </w:t>
      </w:r>
    </w:p>
  </w:footnote>
  <w:footnote w:id="17">
    <w:p w:rsidR="005036BF" w:rsidRDefault="005036BF">
      <w:pPr>
        <w:pStyle w:val="FootnoteText"/>
      </w:pPr>
      <w:r>
        <w:rPr>
          <w:rStyle w:val="FootnoteReference"/>
        </w:rPr>
        <w:footnoteRef/>
      </w:r>
      <w:r>
        <w:t xml:space="preserve"> At the time of start-up of the umbrella programme, barely 10 percent of jobs in Mecca and Medina, the two cities accounting for more than half of tourist arrivals and revenues, where held by Saudis (</w:t>
      </w:r>
      <w:proofErr w:type="spellStart"/>
      <w:r>
        <w:t>Sadi</w:t>
      </w:r>
      <w:proofErr w:type="spellEnd"/>
      <w:r>
        <w:t xml:space="preserve"> and Henderson 2005)</w:t>
      </w:r>
    </w:p>
  </w:footnote>
  <w:footnote w:id="18">
    <w:p w:rsidR="005036BF" w:rsidRDefault="005036BF">
      <w:pPr>
        <w:pStyle w:val="FootnoteText"/>
      </w:pPr>
      <w:r>
        <w:rPr>
          <w:rStyle w:val="FootnoteReference"/>
        </w:rPr>
        <w:footnoteRef/>
      </w:r>
      <w:r>
        <w:t xml:space="preserve"> Under the Country Cooperation Framework 2001-2005, the project Technical Assistance to Saudi Arabia to Gain WTO Accession</w:t>
      </w:r>
    </w:p>
  </w:footnote>
  <w:footnote w:id="19">
    <w:p w:rsidR="005036BF" w:rsidRDefault="005036BF">
      <w:pPr>
        <w:pStyle w:val="FootnoteText"/>
      </w:pPr>
      <w:r>
        <w:rPr>
          <w:rStyle w:val="FootnoteReference"/>
        </w:rPr>
        <w:footnoteRef/>
      </w:r>
      <w:r>
        <w:t xml:space="preserve"> [A]</w:t>
      </w:r>
      <w:proofErr w:type="spellStart"/>
      <w:r>
        <w:t>lthough</w:t>
      </w:r>
      <w:proofErr w:type="spellEnd"/>
      <w:r>
        <w:t xml:space="preserve"> one could argue that even outputs are achieved with the help of at least one partner, UNDP should feel confident that it has a high degree of control over the achievement or non-achievement of the output</w:t>
      </w:r>
    </w:p>
  </w:footnote>
  <w:footnote w:id="20">
    <w:p w:rsidR="005036BF" w:rsidRDefault="005036BF" w:rsidP="002E0D48">
      <w:pPr>
        <w:pStyle w:val="FootnoteText"/>
      </w:pPr>
      <w:r>
        <w:rPr>
          <w:rStyle w:val="FootnoteReference"/>
        </w:rPr>
        <w:footnoteRef/>
      </w:r>
      <w:r>
        <w:t xml:space="preserve"> World Development Indicators </w:t>
      </w:r>
      <w:hyperlink r:id="rId3" w:history="1">
        <w:r w:rsidRPr="009C1C1C">
          <w:rPr>
            <w:rStyle w:val="Hyperlink"/>
            <w:sz w:val="18"/>
          </w:rPr>
          <w:t>http://data.worldbank.org/indicator/BX.KLT.DINV.CD.WD</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7BF6"/>
    <w:multiLevelType w:val="hybridMultilevel"/>
    <w:tmpl w:val="64B8627A"/>
    <w:lvl w:ilvl="0" w:tplc="E93425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A6729"/>
    <w:multiLevelType w:val="hybridMultilevel"/>
    <w:tmpl w:val="A08E12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6692939"/>
    <w:multiLevelType w:val="hybridMultilevel"/>
    <w:tmpl w:val="D654D5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6B759A8"/>
    <w:multiLevelType w:val="hybridMultilevel"/>
    <w:tmpl w:val="2F5E865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6EC32BA"/>
    <w:multiLevelType w:val="hybridMultilevel"/>
    <w:tmpl w:val="7764CA04"/>
    <w:lvl w:ilvl="0" w:tplc="852EAC9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092A537B"/>
    <w:multiLevelType w:val="multilevel"/>
    <w:tmpl w:val="0BDA26FC"/>
    <w:lvl w:ilvl="0">
      <w:start w:val="3"/>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
    <w:nsid w:val="0A2E33BA"/>
    <w:multiLevelType w:val="multilevel"/>
    <w:tmpl w:val="0BFAF02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0DA28A1"/>
    <w:multiLevelType w:val="hybridMultilevel"/>
    <w:tmpl w:val="EBF0040A"/>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6600E50"/>
    <w:multiLevelType w:val="hybridMultilevel"/>
    <w:tmpl w:val="6B10A2BC"/>
    <w:lvl w:ilvl="0" w:tplc="532410E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9E02C0"/>
    <w:multiLevelType w:val="hybridMultilevel"/>
    <w:tmpl w:val="45F42D8C"/>
    <w:lvl w:ilvl="0" w:tplc="FB36DC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8A3F86"/>
    <w:multiLevelType w:val="hybridMultilevel"/>
    <w:tmpl w:val="4C10518A"/>
    <w:lvl w:ilvl="0" w:tplc="8B72172A">
      <w:start w:val="1"/>
      <w:numFmt w:val="bullet"/>
      <w:lvlText w:val=""/>
      <w:lvlJc w:val="left"/>
      <w:pPr>
        <w:tabs>
          <w:tab w:val="num" w:pos="360"/>
        </w:tabs>
        <w:ind w:left="360" w:hanging="360"/>
      </w:pPr>
      <w:rPr>
        <w:rFonts w:ascii="Wingdings" w:hAnsi="Wingdings" w:hint="default"/>
        <w:b w:val="0"/>
        <w:i w:val="0"/>
        <w:sz w:val="16"/>
        <w:szCs w:val="16"/>
      </w:rPr>
    </w:lvl>
    <w:lvl w:ilvl="1" w:tplc="FB36DC14">
      <w:numFmt w:val="bullet"/>
      <w:lvlText w:val="-"/>
      <w:lvlJc w:val="left"/>
      <w:pPr>
        <w:tabs>
          <w:tab w:val="num" w:pos="840"/>
        </w:tabs>
        <w:ind w:left="840" w:hanging="420"/>
      </w:pPr>
      <w:rPr>
        <w:rFonts w:ascii="Times New Roman" w:eastAsia="SimSun" w:hAnsi="Times New Roman" w:cs="Times New Roman"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7AC33F6"/>
    <w:multiLevelType w:val="hybridMultilevel"/>
    <w:tmpl w:val="4D483048"/>
    <w:lvl w:ilvl="0" w:tplc="8B72172A">
      <w:start w:val="1"/>
      <w:numFmt w:val="bullet"/>
      <w:lvlText w:val=""/>
      <w:lvlJc w:val="left"/>
      <w:pPr>
        <w:tabs>
          <w:tab w:val="num" w:pos="360"/>
        </w:tabs>
        <w:ind w:left="360" w:hanging="360"/>
      </w:pPr>
      <w:rPr>
        <w:rFonts w:ascii="Wingdings" w:hAnsi="Wingdings" w:hint="default"/>
        <w:b w:val="0"/>
        <w:i w:val="0"/>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85D3931"/>
    <w:multiLevelType w:val="hybridMultilevel"/>
    <w:tmpl w:val="4BFEC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C3B020C"/>
    <w:multiLevelType w:val="multilevel"/>
    <w:tmpl w:val="9F60BB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D0C4E41"/>
    <w:multiLevelType w:val="hybridMultilevel"/>
    <w:tmpl w:val="A7284B00"/>
    <w:lvl w:ilvl="0" w:tplc="8B72172A">
      <w:start w:val="1"/>
      <w:numFmt w:val="bullet"/>
      <w:lvlText w:val=""/>
      <w:lvlJc w:val="left"/>
      <w:pPr>
        <w:tabs>
          <w:tab w:val="num" w:pos="360"/>
        </w:tabs>
        <w:ind w:left="360" w:hanging="360"/>
      </w:pPr>
      <w:rPr>
        <w:rFonts w:ascii="Wingdings" w:hAnsi="Wingdings" w:hint="default"/>
        <w:b w:val="0"/>
        <w:i w:val="0"/>
        <w:sz w:val="16"/>
        <w:szCs w:val="16"/>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2E1C2DA2"/>
    <w:multiLevelType w:val="hybridMultilevel"/>
    <w:tmpl w:val="D8421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EB3471D"/>
    <w:multiLevelType w:val="hybridMultilevel"/>
    <w:tmpl w:val="DE96C2F0"/>
    <w:lvl w:ilvl="0" w:tplc="40404928">
      <w:start w:val="6"/>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310F42"/>
    <w:multiLevelType w:val="hybridMultilevel"/>
    <w:tmpl w:val="01C65A7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7A14C1"/>
    <w:multiLevelType w:val="multilevel"/>
    <w:tmpl w:val="2878DF34"/>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43B5BE5"/>
    <w:multiLevelType w:val="hybridMultilevel"/>
    <w:tmpl w:val="60643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B61C5F"/>
    <w:multiLevelType w:val="multilevel"/>
    <w:tmpl w:val="5866D784"/>
    <w:lvl w:ilvl="0">
      <w:start w:val="2"/>
      <w:numFmt w:val="decimal"/>
      <w:lvlText w:val="%1"/>
      <w:lvlJc w:val="left"/>
      <w:pPr>
        <w:ind w:left="525" w:hanging="525"/>
      </w:pPr>
      <w:rPr>
        <w:rFonts w:hint="default"/>
      </w:rPr>
    </w:lvl>
    <w:lvl w:ilvl="1">
      <w:start w:val="4"/>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nsid w:val="46643209"/>
    <w:multiLevelType w:val="hybridMultilevel"/>
    <w:tmpl w:val="9BFED80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2933AF"/>
    <w:multiLevelType w:val="hybridMultilevel"/>
    <w:tmpl w:val="FB1E3000"/>
    <w:lvl w:ilvl="0" w:tplc="72D491DA">
      <w:numFmt w:val="bullet"/>
      <w:lvlText w:val="-"/>
      <w:lvlJc w:val="left"/>
      <w:pPr>
        <w:ind w:left="720" w:hanging="360"/>
      </w:pPr>
      <w:rPr>
        <w:rFonts w:ascii="Sylfaen" w:eastAsiaTheme="minorHAnsi" w:hAnsi="Sylfaen"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23F6EA1"/>
    <w:multiLevelType w:val="hybridMultilevel"/>
    <w:tmpl w:val="5AB64C36"/>
    <w:lvl w:ilvl="0" w:tplc="532410E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D5AC3"/>
    <w:multiLevelType w:val="hybridMultilevel"/>
    <w:tmpl w:val="4BF088E2"/>
    <w:lvl w:ilvl="0" w:tplc="8B72172A">
      <w:start w:val="1"/>
      <w:numFmt w:val="bullet"/>
      <w:lvlText w:val=""/>
      <w:lvlJc w:val="left"/>
      <w:pPr>
        <w:tabs>
          <w:tab w:val="num" w:pos="360"/>
        </w:tabs>
        <w:ind w:left="360" w:hanging="360"/>
      </w:pPr>
      <w:rPr>
        <w:rFonts w:ascii="Wingdings" w:hAnsi="Wingdings" w:hint="default"/>
        <w:b w:val="0"/>
        <w:i w:val="0"/>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56E66B84"/>
    <w:multiLevelType w:val="hybridMultilevel"/>
    <w:tmpl w:val="575CD3D2"/>
    <w:lvl w:ilvl="0" w:tplc="E5A699DE">
      <w:start w:val="2"/>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680148"/>
    <w:multiLevelType w:val="multilevel"/>
    <w:tmpl w:val="0BDA26FC"/>
    <w:lvl w:ilvl="0">
      <w:start w:val="3"/>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nsid w:val="5AC16C57"/>
    <w:multiLevelType w:val="multilevel"/>
    <w:tmpl w:val="0BDA26FC"/>
    <w:lvl w:ilvl="0">
      <w:start w:val="3"/>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8">
    <w:nsid w:val="5E4A7A17"/>
    <w:multiLevelType w:val="hybridMultilevel"/>
    <w:tmpl w:val="0D70E63E"/>
    <w:lvl w:ilvl="0" w:tplc="BF4426F6">
      <w:start w:val="1"/>
      <w:numFmt w:val="lowerRoman"/>
      <w:lvlText w:val="%1)"/>
      <w:lvlJc w:val="left"/>
      <w:pPr>
        <w:ind w:left="1440" w:hanging="720"/>
      </w:pPr>
      <w:rPr>
        <w:rFonts w:ascii="Arial" w:hAnsi="Arial" w:cs="Arial" w:hint="default"/>
        <w:b/>
        <w:sz w:val="2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6874F3"/>
    <w:multiLevelType w:val="hybridMultilevel"/>
    <w:tmpl w:val="D660C4E4"/>
    <w:lvl w:ilvl="0" w:tplc="8B72172A">
      <w:start w:val="1"/>
      <w:numFmt w:val="bullet"/>
      <w:lvlText w:val=""/>
      <w:lvlJc w:val="left"/>
      <w:pPr>
        <w:tabs>
          <w:tab w:val="num" w:pos="360"/>
        </w:tabs>
        <w:ind w:left="360" w:hanging="360"/>
      </w:pPr>
      <w:rPr>
        <w:rFonts w:ascii="Wingdings" w:hAnsi="Wingdings" w:hint="default"/>
        <w:b w:val="0"/>
        <w:i w:val="0"/>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0">
    <w:nsid w:val="5FEF1BD4"/>
    <w:multiLevelType w:val="multilevel"/>
    <w:tmpl w:val="9F60BB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0667CE4"/>
    <w:multiLevelType w:val="multilevel"/>
    <w:tmpl w:val="100E434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35906D9"/>
    <w:multiLevelType w:val="hybridMultilevel"/>
    <w:tmpl w:val="C242040A"/>
    <w:lvl w:ilvl="0" w:tplc="8B72172A">
      <w:start w:val="1"/>
      <w:numFmt w:val="bullet"/>
      <w:lvlText w:val=""/>
      <w:lvlJc w:val="left"/>
      <w:pPr>
        <w:tabs>
          <w:tab w:val="num" w:pos="360"/>
        </w:tabs>
        <w:ind w:left="360" w:hanging="360"/>
      </w:pPr>
      <w:rPr>
        <w:rFonts w:ascii="Wingdings" w:hAnsi="Wingdings" w:hint="default"/>
        <w:b w:val="0"/>
        <w:i w:val="0"/>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655547E0"/>
    <w:multiLevelType w:val="hybridMultilevel"/>
    <w:tmpl w:val="75800A7E"/>
    <w:lvl w:ilvl="0" w:tplc="8B72172A">
      <w:start w:val="1"/>
      <w:numFmt w:val="bullet"/>
      <w:lvlText w:val=""/>
      <w:lvlJc w:val="left"/>
      <w:pPr>
        <w:tabs>
          <w:tab w:val="num" w:pos="360"/>
        </w:tabs>
        <w:ind w:left="360" w:hanging="360"/>
      </w:pPr>
      <w:rPr>
        <w:rFonts w:ascii="Wingdings" w:hAnsi="Wingdings" w:hint="default"/>
        <w:b w:val="0"/>
        <w:i w:val="0"/>
        <w:sz w:val="16"/>
        <w:szCs w:val="16"/>
      </w:rPr>
    </w:lvl>
    <w:lvl w:ilvl="1" w:tplc="FB36DC14">
      <w:numFmt w:val="bullet"/>
      <w:lvlText w:val="-"/>
      <w:lvlJc w:val="left"/>
      <w:pPr>
        <w:tabs>
          <w:tab w:val="num" w:pos="780"/>
        </w:tabs>
        <w:ind w:left="780" w:hanging="360"/>
      </w:pPr>
      <w:rPr>
        <w:rFonts w:ascii="Times New Roman" w:eastAsia="SimSun" w:hAnsi="Times New Roman" w:cs="Times New Roman"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nsid w:val="655F2D68"/>
    <w:multiLevelType w:val="multilevel"/>
    <w:tmpl w:val="0BDA26FC"/>
    <w:lvl w:ilvl="0">
      <w:start w:val="3"/>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nsid w:val="6637217A"/>
    <w:multiLevelType w:val="hybridMultilevel"/>
    <w:tmpl w:val="121AF74C"/>
    <w:lvl w:ilvl="0" w:tplc="A2147D40">
      <w:start w:val="1"/>
      <w:numFmt w:val="bullet"/>
      <w:lvlText w:val=""/>
      <w:lvlJc w:val="left"/>
      <w:pPr>
        <w:tabs>
          <w:tab w:val="num" w:pos="720"/>
        </w:tabs>
        <w:ind w:left="720" w:hanging="360"/>
      </w:pPr>
      <w:rPr>
        <w:rFonts w:ascii="Symbol" w:hAnsi="Symbol" w:hint="default"/>
      </w:rPr>
    </w:lvl>
    <w:lvl w:ilvl="1" w:tplc="8B7A2970" w:tentative="1">
      <w:start w:val="1"/>
      <w:numFmt w:val="bullet"/>
      <w:lvlText w:val=""/>
      <w:lvlJc w:val="left"/>
      <w:pPr>
        <w:tabs>
          <w:tab w:val="num" w:pos="1440"/>
        </w:tabs>
        <w:ind w:left="1440" w:hanging="360"/>
      </w:pPr>
      <w:rPr>
        <w:rFonts w:ascii="Symbol" w:hAnsi="Symbol" w:hint="default"/>
      </w:rPr>
    </w:lvl>
    <w:lvl w:ilvl="2" w:tplc="215E807A" w:tentative="1">
      <w:start w:val="1"/>
      <w:numFmt w:val="bullet"/>
      <w:lvlText w:val=""/>
      <w:lvlJc w:val="left"/>
      <w:pPr>
        <w:tabs>
          <w:tab w:val="num" w:pos="2160"/>
        </w:tabs>
        <w:ind w:left="2160" w:hanging="360"/>
      </w:pPr>
      <w:rPr>
        <w:rFonts w:ascii="Symbol" w:hAnsi="Symbol" w:hint="default"/>
      </w:rPr>
    </w:lvl>
    <w:lvl w:ilvl="3" w:tplc="6DB05926" w:tentative="1">
      <w:start w:val="1"/>
      <w:numFmt w:val="bullet"/>
      <w:lvlText w:val=""/>
      <w:lvlJc w:val="left"/>
      <w:pPr>
        <w:tabs>
          <w:tab w:val="num" w:pos="2880"/>
        </w:tabs>
        <w:ind w:left="2880" w:hanging="360"/>
      </w:pPr>
      <w:rPr>
        <w:rFonts w:ascii="Symbol" w:hAnsi="Symbol" w:hint="default"/>
      </w:rPr>
    </w:lvl>
    <w:lvl w:ilvl="4" w:tplc="964C5044" w:tentative="1">
      <w:start w:val="1"/>
      <w:numFmt w:val="bullet"/>
      <w:lvlText w:val=""/>
      <w:lvlJc w:val="left"/>
      <w:pPr>
        <w:tabs>
          <w:tab w:val="num" w:pos="3600"/>
        </w:tabs>
        <w:ind w:left="3600" w:hanging="360"/>
      </w:pPr>
      <w:rPr>
        <w:rFonts w:ascii="Symbol" w:hAnsi="Symbol" w:hint="default"/>
      </w:rPr>
    </w:lvl>
    <w:lvl w:ilvl="5" w:tplc="93BC3B16" w:tentative="1">
      <w:start w:val="1"/>
      <w:numFmt w:val="bullet"/>
      <w:lvlText w:val=""/>
      <w:lvlJc w:val="left"/>
      <w:pPr>
        <w:tabs>
          <w:tab w:val="num" w:pos="4320"/>
        </w:tabs>
        <w:ind w:left="4320" w:hanging="360"/>
      </w:pPr>
      <w:rPr>
        <w:rFonts w:ascii="Symbol" w:hAnsi="Symbol" w:hint="default"/>
      </w:rPr>
    </w:lvl>
    <w:lvl w:ilvl="6" w:tplc="09A07EFA" w:tentative="1">
      <w:start w:val="1"/>
      <w:numFmt w:val="bullet"/>
      <w:lvlText w:val=""/>
      <w:lvlJc w:val="left"/>
      <w:pPr>
        <w:tabs>
          <w:tab w:val="num" w:pos="5040"/>
        </w:tabs>
        <w:ind w:left="5040" w:hanging="360"/>
      </w:pPr>
      <w:rPr>
        <w:rFonts w:ascii="Symbol" w:hAnsi="Symbol" w:hint="default"/>
      </w:rPr>
    </w:lvl>
    <w:lvl w:ilvl="7" w:tplc="CA9E99B8" w:tentative="1">
      <w:start w:val="1"/>
      <w:numFmt w:val="bullet"/>
      <w:lvlText w:val=""/>
      <w:lvlJc w:val="left"/>
      <w:pPr>
        <w:tabs>
          <w:tab w:val="num" w:pos="5760"/>
        </w:tabs>
        <w:ind w:left="5760" w:hanging="360"/>
      </w:pPr>
      <w:rPr>
        <w:rFonts w:ascii="Symbol" w:hAnsi="Symbol" w:hint="default"/>
      </w:rPr>
    </w:lvl>
    <w:lvl w:ilvl="8" w:tplc="D488E596" w:tentative="1">
      <w:start w:val="1"/>
      <w:numFmt w:val="bullet"/>
      <w:lvlText w:val=""/>
      <w:lvlJc w:val="left"/>
      <w:pPr>
        <w:tabs>
          <w:tab w:val="num" w:pos="6480"/>
        </w:tabs>
        <w:ind w:left="6480" w:hanging="360"/>
      </w:pPr>
      <w:rPr>
        <w:rFonts w:ascii="Symbol" w:hAnsi="Symbol" w:hint="default"/>
      </w:rPr>
    </w:lvl>
  </w:abstractNum>
  <w:abstractNum w:abstractNumId="36">
    <w:nsid w:val="691F16D9"/>
    <w:multiLevelType w:val="multilevel"/>
    <w:tmpl w:val="9F60BB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ADF48BA"/>
    <w:multiLevelType w:val="multilevel"/>
    <w:tmpl w:val="0BDA26FC"/>
    <w:lvl w:ilvl="0">
      <w:start w:val="3"/>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nsid w:val="6C403185"/>
    <w:multiLevelType w:val="hybridMultilevel"/>
    <w:tmpl w:val="A3FA50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C48442F"/>
    <w:multiLevelType w:val="hybridMultilevel"/>
    <w:tmpl w:val="F5E28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9B2F88"/>
    <w:multiLevelType w:val="hybridMultilevel"/>
    <w:tmpl w:val="7D3CF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748601A"/>
    <w:multiLevelType w:val="hybridMultilevel"/>
    <w:tmpl w:val="02D4DB4A"/>
    <w:lvl w:ilvl="0" w:tplc="04090001">
      <w:start w:val="1"/>
      <w:numFmt w:val="bullet"/>
      <w:lvlText w:val=""/>
      <w:lvlJc w:val="left"/>
      <w:pPr>
        <w:tabs>
          <w:tab w:val="num" w:pos="720"/>
        </w:tabs>
        <w:ind w:left="720" w:hanging="360"/>
      </w:pPr>
      <w:rPr>
        <w:rFonts w:ascii="Symbol" w:hAnsi="Symbol" w:hint="default"/>
      </w:rPr>
    </w:lvl>
    <w:lvl w:ilvl="1" w:tplc="C504C810">
      <w:start w:val="2"/>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1922D8"/>
    <w:multiLevelType w:val="multilevel"/>
    <w:tmpl w:val="D3340DB2"/>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
  </w:num>
  <w:num w:numId="3">
    <w:abstractNumId w:val="38"/>
  </w:num>
  <w:num w:numId="4">
    <w:abstractNumId w:val="7"/>
  </w:num>
  <w:num w:numId="5">
    <w:abstractNumId w:val="4"/>
  </w:num>
  <w:num w:numId="6">
    <w:abstractNumId w:val="16"/>
  </w:num>
  <w:num w:numId="7">
    <w:abstractNumId w:val="12"/>
  </w:num>
  <w:num w:numId="8">
    <w:abstractNumId w:val="17"/>
  </w:num>
  <w:num w:numId="9">
    <w:abstractNumId w:val="22"/>
  </w:num>
  <w:num w:numId="10">
    <w:abstractNumId w:val="31"/>
  </w:num>
  <w:num w:numId="11">
    <w:abstractNumId w:val="30"/>
  </w:num>
  <w:num w:numId="12">
    <w:abstractNumId w:val="36"/>
  </w:num>
  <w:num w:numId="13">
    <w:abstractNumId w:val="20"/>
  </w:num>
  <w:num w:numId="14">
    <w:abstractNumId w:val="6"/>
  </w:num>
  <w:num w:numId="15">
    <w:abstractNumId w:val="27"/>
  </w:num>
  <w:num w:numId="16">
    <w:abstractNumId w:val="42"/>
  </w:num>
  <w:num w:numId="17">
    <w:abstractNumId w:val="18"/>
  </w:num>
  <w:num w:numId="18">
    <w:abstractNumId w:val="1"/>
  </w:num>
  <w:num w:numId="19">
    <w:abstractNumId w:val="2"/>
  </w:num>
  <w:num w:numId="20">
    <w:abstractNumId w:val="35"/>
  </w:num>
  <w:num w:numId="21">
    <w:abstractNumId w:val="40"/>
  </w:num>
  <w:num w:numId="22">
    <w:abstractNumId w:val="34"/>
  </w:num>
  <w:num w:numId="23">
    <w:abstractNumId w:val="5"/>
  </w:num>
  <w:num w:numId="24">
    <w:abstractNumId w:val="37"/>
  </w:num>
  <w:num w:numId="25">
    <w:abstractNumId w:val="26"/>
  </w:num>
  <w:num w:numId="26">
    <w:abstractNumId w:val="0"/>
  </w:num>
  <w:num w:numId="27">
    <w:abstractNumId w:val="25"/>
  </w:num>
  <w:num w:numId="28">
    <w:abstractNumId w:val="8"/>
  </w:num>
  <w:num w:numId="29">
    <w:abstractNumId w:val="23"/>
  </w:num>
  <w:num w:numId="30">
    <w:abstractNumId w:val="24"/>
  </w:num>
  <w:num w:numId="31">
    <w:abstractNumId w:val="32"/>
  </w:num>
  <w:num w:numId="32">
    <w:abstractNumId w:val="11"/>
  </w:num>
  <w:num w:numId="33">
    <w:abstractNumId w:val="14"/>
  </w:num>
  <w:num w:numId="34">
    <w:abstractNumId w:val="10"/>
  </w:num>
  <w:num w:numId="35">
    <w:abstractNumId w:val="21"/>
  </w:num>
  <w:num w:numId="36">
    <w:abstractNumId w:val="41"/>
  </w:num>
  <w:num w:numId="37">
    <w:abstractNumId w:val="39"/>
  </w:num>
  <w:num w:numId="38">
    <w:abstractNumId w:val="28"/>
  </w:num>
  <w:num w:numId="39">
    <w:abstractNumId w:val="15"/>
  </w:num>
  <w:num w:numId="40">
    <w:abstractNumId w:val="33"/>
  </w:num>
  <w:num w:numId="41">
    <w:abstractNumId w:val="29"/>
  </w:num>
  <w:num w:numId="42">
    <w:abstractNumId w:val="9"/>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ibraries" w:val="&lt;ENLibraries&gt;&lt;Libraries&gt;&lt;item&gt;ThesisD&amp;amp;UN 2007-Converted Copy1.enl&lt;/item&gt;&lt;/Libraries&gt;&lt;/ENLibraries&gt;"/>
  </w:docVars>
  <w:rsids>
    <w:rsidRoot w:val="00DC5A10"/>
    <w:rsid w:val="00002A22"/>
    <w:rsid w:val="0000441D"/>
    <w:rsid w:val="00005976"/>
    <w:rsid w:val="000120E0"/>
    <w:rsid w:val="00015E37"/>
    <w:rsid w:val="00016413"/>
    <w:rsid w:val="0002124E"/>
    <w:rsid w:val="00025563"/>
    <w:rsid w:val="00025B76"/>
    <w:rsid w:val="000279A0"/>
    <w:rsid w:val="00033193"/>
    <w:rsid w:val="00033736"/>
    <w:rsid w:val="00033769"/>
    <w:rsid w:val="00033D91"/>
    <w:rsid w:val="00041B03"/>
    <w:rsid w:val="00043F2C"/>
    <w:rsid w:val="0004505C"/>
    <w:rsid w:val="0005305E"/>
    <w:rsid w:val="0005557F"/>
    <w:rsid w:val="000558F7"/>
    <w:rsid w:val="00061C72"/>
    <w:rsid w:val="000717B4"/>
    <w:rsid w:val="000725F1"/>
    <w:rsid w:val="00073AE3"/>
    <w:rsid w:val="00076B36"/>
    <w:rsid w:val="0008088E"/>
    <w:rsid w:val="0008385C"/>
    <w:rsid w:val="00084101"/>
    <w:rsid w:val="00086122"/>
    <w:rsid w:val="00093945"/>
    <w:rsid w:val="000950CF"/>
    <w:rsid w:val="0009632D"/>
    <w:rsid w:val="0009688B"/>
    <w:rsid w:val="000A2052"/>
    <w:rsid w:val="000A2532"/>
    <w:rsid w:val="000A2E17"/>
    <w:rsid w:val="000A3F4B"/>
    <w:rsid w:val="000B184E"/>
    <w:rsid w:val="000B1F07"/>
    <w:rsid w:val="000B4A66"/>
    <w:rsid w:val="000B51E9"/>
    <w:rsid w:val="000C2818"/>
    <w:rsid w:val="000D03B2"/>
    <w:rsid w:val="000D1389"/>
    <w:rsid w:val="000D3867"/>
    <w:rsid w:val="000E4FA2"/>
    <w:rsid w:val="000E5662"/>
    <w:rsid w:val="000F05C1"/>
    <w:rsid w:val="000F08E0"/>
    <w:rsid w:val="001007F2"/>
    <w:rsid w:val="00104413"/>
    <w:rsid w:val="00107431"/>
    <w:rsid w:val="001100BC"/>
    <w:rsid w:val="0011171D"/>
    <w:rsid w:val="00112952"/>
    <w:rsid w:val="0012292B"/>
    <w:rsid w:val="00123157"/>
    <w:rsid w:val="001236A9"/>
    <w:rsid w:val="00124802"/>
    <w:rsid w:val="00126806"/>
    <w:rsid w:val="00135409"/>
    <w:rsid w:val="0014465B"/>
    <w:rsid w:val="00152A81"/>
    <w:rsid w:val="00153E38"/>
    <w:rsid w:val="0015761F"/>
    <w:rsid w:val="00163EE5"/>
    <w:rsid w:val="00165DF2"/>
    <w:rsid w:val="00171F43"/>
    <w:rsid w:val="0017474C"/>
    <w:rsid w:val="00176183"/>
    <w:rsid w:val="001802C6"/>
    <w:rsid w:val="0018539E"/>
    <w:rsid w:val="00187691"/>
    <w:rsid w:val="00195DAE"/>
    <w:rsid w:val="001A0D29"/>
    <w:rsid w:val="001A44B8"/>
    <w:rsid w:val="001A7C6C"/>
    <w:rsid w:val="001B4C4E"/>
    <w:rsid w:val="001D01B7"/>
    <w:rsid w:val="001D1093"/>
    <w:rsid w:val="001D1D10"/>
    <w:rsid w:val="001D48AB"/>
    <w:rsid w:val="001D59E9"/>
    <w:rsid w:val="001D7EB0"/>
    <w:rsid w:val="001E00B4"/>
    <w:rsid w:val="001E633B"/>
    <w:rsid w:val="001F43ED"/>
    <w:rsid w:val="001F4830"/>
    <w:rsid w:val="001F4EF8"/>
    <w:rsid w:val="00203967"/>
    <w:rsid w:val="0020548A"/>
    <w:rsid w:val="002065D3"/>
    <w:rsid w:val="00214870"/>
    <w:rsid w:val="002230D1"/>
    <w:rsid w:val="002242A0"/>
    <w:rsid w:val="002258F2"/>
    <w:rsid w:val="00225DE0"/>
    <w:rsid w:val="00227AB0"/>
    <w:rsid w:val="002332C4"/>
    <w:rsid w:val="002347AE"/>
    <w:rsid w:val="00234EC3"/>
    <w:rsid w:val="00236DDF"/>
    <w:rsid w:val="00237C0B"/>
    <w:rsid w:val="00243808"/>
    <w:rsid w:val="0024530B"/>
    <w:rsid w:val="00247380"/>
    <w:rsid w:val="00251F2F"/>
    <w:rsid w:val="0026018F"/>
    <w:rsid w:val="00262EDD"/>
    <w:rsid w:val="002646B2"/>
    <w:rsid w:val="00270B9C"/>
    <w:rsid w:val="00271DE0"/>
    <w:rsid w:val="00275FFD"/>
    <w:rsid w:val="0027699B"/>
    <w:rsid w:val="00282A09"/>
    <w:rsid w:val="00284B4D"/>
    <w:rsid w:val="00290115"/>
    <w:rsid w:val="00293577"/>
    <w:rsid w:val="002A4439"/>
    <w:rsid w:val="002A48DD"/>
    <w:rsid w:val="002A7094"/>
    <w:rsid w:val="002B1675"/>
    <w:rsid w:val="002B2768"/>
    <w:rsid w:val="002B3DEF"/>
    <w:rsid w:val="002C2562"/>
    <w:rsid w:val="002C2C12"/>
    <w:rsid w:val="002C557A"/>
    <w:rsid w:val="002D21E4"/>
    <w:rsid w:val="002D3FB3"/>
    <w:rsid w:val="002E0D48"/>
    <w:rsid w:val="002E0D81"/>
    <w:rsid w:val="002E3A8A"/>
    <w:rsid w:val="002F1F7C"/>
    <w:rsid w:val="002F276F"/>
    <w:rsid w:val="002F3529"/>
    <w:rsid w:val="002F771E"/>
    <w:rsid w:val="002F7C71"/>
    <w:rsid w:val="00304D0B"/>
    <w:rsid w:val="003051DB"/>
    <w:rsid w:val="0030684F"/>
    <w:rsid w:val="00310B01"/>
    <w:rsid w:val="00311582"/>
    <w:rsid w:val="00312510"/>
    <w:rsid w:val="00314E41"/>
    <w:rsid w:val="003206A3"/>
    <w:rsid w:val="00322490"/>
    <w:rsid w:val="00327E41"/>
    <w:rsid w:val="003363D8"/>
    <w:rsid w:val="003373AC"/>
    <w:rsid w:val="003417EF"/>
    <w:rsid w:val="003513F1"/>
    <w:rsid w:val="00352D92"/>
    <w:rsid w:val="003558DF"/>
    <w:rsid w:val="00367992"/>
    <w:rsid w:val="00370E70"/>
    <w:rsid w:val="0037155A"/>
    <w:rsid w:val="00371EB3"/>
    <w:rsid w:val="00371F0A"/>
    <w:rsid w:val="0037591D"/>
    <w:rsid w:val="00385B63"/>
    <w:rsid w:val="00387A34"/>
    <w:rsid w:val="00391BD7"/>
    <w:rsid w:val="00393159"/>
    <w:rsid w:val="0039362A"/>
    <w:rsid w:val="003A2740"/>
    <w:rsid w:val="003A322E"/>
    <w:rsid w:val="003A5D1E"/>
    <w:rsid w:val="003B3C78"/>
    <w:rsid w:val="003B614C"/>
    <w:rsid w:val="003B630C"/>
    <w:rsid w:val="003C74AA"/>
    <w:rsid w:val="003D3919"/>
    <w:rsid w:val="003D3DA5"/>
    <w:rsid w:val="003D74AF"/>
    <w:rsid w:val="003E617F"/>
    <w:rsid w:val="003E6CFC"/>
    <w:rsid w:val="003E703F"/>
    <w:rsid w:val="003F0C51"/>
    <w:rsid w:val="003F1775"/>
    <w:rsid w:val="003F28DF"/>
    <w:rsid w:val="003F58FA"/>
    <w:rsid w:val="00400D5C"/>
    <w:rsid w:val="004122D3"/>
    <w:rsid w:val="00412B1C"/>
    <w:rsid w:val="00412D75"/>
    <w:rsid w:val="00412F4B"/>
    <w:rsid w:val="004162B4"/>
    <w:rsid w:val="004173CE"/>
    <w:rsid w:val="00420393"/>
    <w:rsid w:val="00424539"/>
    <w:rsid w:val="00427117"/>
    <w:rsid w:val="00432A18"/>
    <w:rsid w:val="00433EA9"/>
    <w:rsid w:val="004355EC"/>
    <w:rsid w:val="0043652B"/>
    <w:rsid w:val="00437951"/>
    <w:rsid w:val="00437DD7"/>
    <w:rsid w:val="0044138C"/>
    <w:rsid w:val="004431F8"/>
    <w:rsid w:val="0044353C"/>
    <w:rsid w:val="00444E43"/>
    <w:rsid w:val="00445C85"/>
    <w:rsid w:val="00446E34"/>
    <w:rsid w:val="0044747A"/>
    <w:rsid w:val="00450C8C"/>
    <w:rsid w:val="00450EDB"/>
    <w:rsid w:val="00455E76"/>
    <w:rsid w:val="00456EC8"/>
    <w:rsid w:val="00465D6E"/>
    <w:rsid w:val="00467839"/>
    <w:rsid w:val="00472892"/>
    <w:rsid w:val="0047460E"/>
    <w:rsid w:val="00477547"/>
    <w:rsid w:val="004801D4"/>
    <w:rsid w:val="0048107C"/>
    <w:rsid w:val="0048465E"/>
    <w:rsid w:val="00486EBC"/>
    <w:rsid w:val="00494F95"/>
    <w:rsid w:val="00496FF9"/>
    <w:rsid w:val="00497DAC"/>
    <w:rsid w:val="004A08CE"/>
    <w:rsid w:val="004A0A24"/>
    <w:rsid w:val="004A1B0E"/>
    <w:rsid w:val="004A2BEC"/>
    <w:rsid w:val="004A341E"/>
    <w:rsid w:val="004A4AE8"/>
    <w:rsid w:val="004A6417"/>
    <w:rsid w:val="004A7C5C"/>
    <w:rsid w:val="004B7BEA"/>
    <w:rsid w:val="004C4B0C"/>
    <w:rsid w:val="004C70E7"/>
    <w:rsid w:val="004D05BD"/>
    <w:rsid w:val="004D0940"/>
    <w:rsid w:val="004D0F1A"/>
    <w:rsid w:val="004D37F1"/>
    <w:rsid w:val="004D3E2F"/>
    <w:rsid w:val="004D463D"/>
    <w:rsid w:val="004E3D56"/>
    <w:rsid w:val="004E45E4"/>
    <w:rsid w:val="004F248F"/>
    <w:rsid w:val="004F6F5B"/>
    <w:rsid w:val="004F746F"/>
    <w:rsid w:val="0050021E"/>
    <w:rsid w:val="00502C37"/>
    <w:rsid w:val="005036BF"/>
    <w:rsid w:val="00506274"/>
    <w:rsid w:val="00510911"/>
    <w:rsid w:val="0051315B"/>
    <w:rsid w:val="00513705"/>
    <w:rsid w:val="00513756"/>
    <w:rsid w:val="005200F9"/>
    <w:rsid w:val="00526242"/>
    <w:rsid w:val="00526518"/>
    <w:rsid w:val="005445E1"/>
    <w:rsid w:val="00545C23"/>
    <w:rsid w:val="00545F6A"/>
    <w:rsid w:val="00551791"/>
    <w:rsid w:val="005629E9"/>
    <w:rsid w:val="00564341"/>
    <w:rsid w:val="005658D1"/>
    <w:rsid w:val="005679B7"/>
    <w:rsid w:val="00572B7D"/>
    <w:rsid w:val="00582D41"/>
    <w:rsid w:val="005866E5"/>
    <w:rsid w:val="00586DD2"/>
    <w:rsid w:val="005974EB"/>
    <w:rsid w:val="005A13CA"/>
    <w:rsid w:val="005A2B79"/>
    <w:rsid w:val="005A3C2A"/>
    <w:rsid w:val="005A5D23"/>
    <w:rsid w:val="005B3980"/>
    <w:rsid w:val="005B7DB9"/>
    <w:rsid w:val="005C55C3"/>
    <w:rsid w:val="005C73E7"/>
    <w:rsid w:val="005C7FDF"/>
    <w:rsid w:val="005D4C20"/>
    <w:rsid w:val="005D4CF2"/>
    <w:rsid w:val="005D5EFF"/>
    <w:rsid w:val="005D5F07"/>
    <w:rsid w:val="005E40C4"/>
    <w:rsid w:val="005E4165"/>
    <w:rsid w:val="005E6284"/>
    <w:rsid w:val="005E6D9C"/>
    <w:rsid w:val="005F0AAA"/>
    <w:rsid w:val="005F0D3D"/>
    <w:rsid w:val="005F2DE4"/>
    <w:rsid w:val="006001BB"/>
    <w:rsid w:val="00601756"/>
    <w:rsid w:val="00602FEA"/>
    <w:rsid w:val="006031B7"/>
    <w:rsid w:val="00603573"/>
    <w:rsid w:val="006047E7"/>
    <w:rsid w:val="00610721"/>
    <w:rsid w:val="00615F63"/>
    <w:rsid w:val="00617352"/>
    <w:rsid w:val="00622F57"/>
    <w:rsid w:val="006267F7"/>
    <w:rsid w:val="00634691"/>
    <w:rsid w:val="00635902"/>
    <w:rsid w:val="0064757E"/>
    <w:rsid w:val="006530BB"/>
    <w:rsid w:val="00654258"/>
    <w:rsid w:val="006557A3"/>
    <w:rsid w:val="00655D95"/>
    <w:rsid w:val="00656B5A"/>
    <w:rsid w:val="0067188D"/>
    <w:rsid w:val="00677E51"/>
    <w:rsid w:val="0068189B"/>
    <w:rsid w:val="00682A69"/>
    <w:rsid w:val="00685615"/>
    <w:rsid w:val="0069037D"/>
    <w:rsid w:val="00695460"/>
    <w:rsid w:val="0069743F"/>
    <w:rsid w:val="006A1CD8"/>
    <w:rsid w:val="006B2692"/>
    <w:rsid w:val="006B54EE"/>
    <w:rsid w:val="006C2157"/>
    <w:rsid w:val="006C4D0E"/>
    <w:rsid w:val="006C5B42"/>
    <w:rsid w:val="006C6863"/>
    <w:rsid w:val="006C7084"/>
    <w:rsid w:val="006D1AB9"/>
    <w:rsid w:val="006D42A3"/>
    <w:rsid w:val="006D51CB"/>
    <w:rsid w:val="006E2A72"/>
    <w:rsid w:val="006E6A1F"/>
    <w:rsid w:val="006F0B21"/>
    <w:rsid w:val="006F3D90"/>
    <w:rsid w:val="006F3F6A"/>
    <w:rsid w:val="006F7CA7"/>
    <w:rsid w:val="007021EA"/>
    <w:rsid w:val="00705086"/>
    <w:rsid w:val="00705196"/>
    <w:rsid w:val="0070575C"/>
    <w:rsid w:val="0071232B"/>
    <w:rsid w:val="00720FF7"/>
    <w:rsid w:val="00722B80"/>
    <w:rsid w:val="00723D75"/>
    <w:rsid w:val="00725264"/>
    <w:rsid w:val="00725BBA"/>
    <w:rsid w:val="00727B15"/>
    <w:rsid w:val="00733B3B"/>
    <w:rsid w:val="0073515B"/>
    <w:rsid w:val="007506A7"/>
    <w:rsid w:val="00750B25"/>
    <w:rsid w:val="0075473B"/>
    <w:rsid w:val="00757D97"/>
    <w:rsid w:val="00760B7F"/>
    <w:rsid w:val="00764F0E"/>
    <w:rsid w:val="00764F56"/>
    <w:rsid w:val="007656CB"/>
    <w:rsid w:val="0076617B"/>
    <w:rsid w:val="00770977"/>
    <w:rsid w:val="00773430"/>
    <w:rsid w:val="007739FB"/>
    <w:rsid w:val="007755E1"/>
    <w:rsid w:val="0077690D"/>
    <w:rsid w:val="007776BE"/>
    <w:rsid w:val="00780749"/>
    <w:rsid w:val="007836DE"/>
    <w:rsid w:val="0079412D"/>
    <w:rsid w:val="00794230"/>
    <w:rsid w:val="00794737"/>
    <w:rsid w:val="00795F16"/>
    <w:rsid w:val="007A12D1"/>
    <w:rsid w:val="007A18FA"/>
    <w:rsid w:val="007A2B95"/>
    <w:rsid w:val="007A4A43"/>
    <w:rsid w:val="007A6658"/>
    <w:rsid w:val="007A735C"/>
    <w:rsid w:val="007B2EF4"/>
    <w:rsid w:val="007C1F6F"/>
    <w:rsid w:val="007C295D"/>
    <w:rsid w:val="007C4CBA"/>
    <w:rsid w:val="007D0638"/>
    <w:rsid w:val="007D08EE"/>
    <w:rsid w:val="007D1B7F"/>
    <w:rsid w:val="007D5296"/>
    <w:rsid w:val="007D6420"/>
    <w:rsid w:val="007E278E"/>
    <w:rsid w:val="007E2879"/>
    <w:rsid w:val="007E3A8C"/>
    <w:rsid w:val="007E4324"/>
    <w:rsid w:val="007E7230"/>
    <w:rsid w:val="007F09C6"/>
    <w:rsid w:val="007F2648"/>
    <w:rsid w:val="007F60D5"/>
    <w:rsid w:val="007F74FF"/>
    <w:rsid w:val="007F7A82"/>
    <w:rsid w:val="007F7D73"/>
    <w:rsid w:val="008036DE"/>
    <w:rsid w:val="00803939"/>
    <w:rsid w:val="00803CD5"/>
    <w:rsid w:val="00804041"/>
    <w:rsid w:val="00806048"/>
    <w:rsid w:val="0080610C"/>
    <w:rsid w:val="00806F57"/>
    <w:rsid w:val="00810DC2"/>
    <w:rsid w:val="00814F82"/>
    <w:rsid w:val="008151E7"/>
    <w:rsid w:val="008167FE"/>
    <w:rsid w:val="00820899"/>
    <w:rsid w:val="008208D4"/>
    <w:rsid w:val="00821003"/>
    <w:rsid w:val="008221B3"/>
    <w:rsid w:val="00824FA3"/>
    <w:rsid w:val="008334AE"/>
    <w:rsid w:val="00836516"/>
    <w:rsid w:val="00837276"/>
    <w:rsid w:val="00841A65"/>
    <w:rsid w:val="00852323"/>
    <w:rsid w:val="0085337D"/>
    <w:rsid w:val="0086179C"/>
    <w:rsid w:val="00865574"/>
    <w:rsid w:val="00865992"/>
    <w:rsid w:val="00866A57"/>
    <w:rsid w:val="00871F0B"/>
    <w:rsid w:val="00876471"/>
    <w:rsid w:val="00880653"/>
    <w:rsid w:val="00882F51"/>
    <w:rsid w:val="008854A0"/>
    <w:rsid w:val="00885F9C"/>
    <w:rsid w:val="008937D0"/>
    <w:rsid w:val="00896D5C"/>
    <w:rsid w:val="008A1C2C"/>
    <w:rsid w:val="008B25CB"/>
    <w:rsid w:val="008B5708"/>
    <w:rsid w:val="008B6754"/>
    <w:rsid w:val="008C027E"/>
    <w:rsid w:val="008C12B4"/>
    <w:rsid w:val="008C1F91"/>
    <w:rsid w:val="008C6994"/>
    <w:rsid w:val="008D3EF8"/>
    <w:rsid w:val="008D57ED"/>
    <w:rsid w:val="008E07C7"/>
    <w:rsid w:val="008E3586"/>
    <w:rsid w:val="008F1822"/>
    <w:rsid w:val="008F3422"/>
    <w:rsid w:val="008F3E7B"/>
    <w:rsid w:val="008F6CA6"/>
    <w:rsid w:val="0092091F"/>
    <w:rsid w:val="0092249E"/>
    <w:rsid w:val="00932B85"/>
    <w:rsid w:val="00932F01"/>
    <w:rsid w:val="00933904"/>
    <w:rsid w:val="00933906"/>
    <w:rsid w:val="00933CA3"/>
    <w:rsid w:val="009353CB"/>
    <w:rsid w:val="00940407"/>
    <w:rsid w:val="00941331"/>
    <w:rsid w:val="0094243D"/>
    <w:rsid w:val="009458D0"/>
    <w:rsid w:val="009515D1"/>
    <w:rsid w:val="009550B9"/>
    <w:rsid w:val="00955B86"/>
    <w:rsid w:val="00957CE0"/>
    <w:rsid w:val="009650AA"/>
    <w:rsid w:val="00965C7D"/>
    <w:rsid w:val="00966577"/>
    <w:rsid w:val="009754A9"/>
    <w:rsid w:val="00976006"/>
    <w:rsid w:val="00977E68"/>
    <w:rsid w:val="00980442"/>
    <w:rsid w:val="00987BFD"/>
    <w:rsid w:val="00987D9D"/>
    <w:rsid w:val="0099227F"/>
    <w:rsid w:val="00992962"/>
    <w:rsid w:val="00995D8B"/>
    <w:rsid w:val="00995E75"/>
    <w:rsid w:val="00996B08"/>
    <w:rsid w:val="009A12DA"/>
    <w:rsid w:val="009A3138"/>
    <w:rsid w:val="009A507C"/>
    <w:rsid w:val="009A5E49"/>
    <w:rsid w:val="009A699B"/>
    <w:rsid w:val="009B0048"/>
    <w:rsid w:val="009B22F4"/>
    <w:rsid w:val="009B5ACD"/>
    <w:rsid w:val="009B7743"/>
    <w:rsid w:val="009C0D26"/>
    <w:rsid w:val="009C1C1C"/>
    <w:rsid w:val="009C4E28"/>
    <w:rsid w:val="009C74A4"/>
    <w:rsid w:val="009D13CA"/>
    <w:rsid w:val="009D505C"/>
    <w:rsid w:val="009E3458"/>
    <w:rsid w:val="009E5509"/>
    <w:rsid w:val="009E67CD"/>
    <w:rsid w:val="009F3790"/>
    <w:rsid w:val="009F54C3"/>
    <w:rsid w:val="009F57C0"/>
    <w:rsid w:val="009F6829"/>
    <w:rsid w:val="009F6E77"/>
    <w:rsid w:val="009F7154"/>
    <w:rsid w:val="00A00D90"/>
    <w:rsid w:val="00A147F2"/>
    <w:rsid w:val="00A15272"/>
    <w:rsid w:val="00A2125A"/>
    <w:rsid w:val="00A22281"/>
    <w:rsid w:val="00A25236"/>
    <w:rsid w:val="00A27564"/>
    <w:rsid w:val="00A351AA"/>
    <w:rsid w:val="00A359B3"/>
    <w:rsid w:val="00A41EEF"/>
    <w:rsid w:val="00A41FFF"/>
    <w:rsid w:val="00A46DA3"/>
    <w:rsid w:val="00A53F06"/>
    <w:rsid w:val="00A543D6"/>
    <w:rsid w:val="00A60A44"/>
    <w:rsid w:val="00A625DC"/>
    <w:rsid w:val="00A7306F"/>
    <w:rsid w:val="00A7342C"/>
    <w:rsid w:val="00A807D6"/>
    <w:rsid w:val="00A90213"/>
    <w:rsid w:val="00A90AB5"/>
    <w:rsid w:val="00A90AC4"/>
    <w:rsid w:val="00A90DF5"/>
    <w:rsid w:val="00A92638"/>
    <w:rsid w:val="00A9312C"/>
    <w:rsid w:val="00A93ADC"/>
    <w:rsid w:val="00A95AE7"/>
    <w:rsid w:val="00AA0E26"/>
    <w:rsid w:val="00AA122A"/>
    <w:rsid w:val="00AA52EB"/>
    <w:rsid w:val="00AA5345"/>
    <w:rsid w:val="00AA6711"/>
    <w:rsid w:val="00AB209E"/>
    <w:rsid w:val="00AB3228"/>
    <w:rsid w:val="00AB6682"/>
    <w:rsid w:val="00AB6772"/>
    <w:rsid w:val="00AB6C8A"/>
    <w:rsid w:val="00AB6E33"/>
    <w:rsid w:val="00AC31FA"/>
    <w:rsid w:val="00AC4974"/>
    <w:rsid w:val="00AC59CF"/>
    <w:rsid w:val="00AC686E"/>
    <w:rsid w:val="00AD11CB"/>
    <w:rsid w:val="00AD467E"/>
    <w:rsid w:val="00AE7626"/>
    <w:rsid w:val="00AF0438"/>
    <w:rsid w:val="00AF24B1"/>
    <w:rsid w:val="00B02C67"/>
    <w:rsid w:val="00B040CC"/>
    <w:rsid w:val="00B1147D"/>
    <w:rsid w:val="00B14AA6"/>
    <w:rsid w:val="00B15CFB"/>
    <w:rsid w:val="00B16181"/>
    <w:rsid w:val="00B1783B"/>
    <w:rsid w:val="00B21D3E"/>
    <w:rsid w:val="00B23AC2"/>
    <w:rsid w:val="00B36EEF"/>
    <w:rsid w:val="00B40CF1"/>
    <w:rsid w:val="00B4207A"/>
    <w:rsid w:val="00B442F1"/>
    <w:rsid w:val="00B45350"/>
    <w:rsid w:val="00B54FA9"/>
    <w:rsid w:val="00B56415"/>
    <w:rsid w:val="00B56AAB"/>
    <w:rsid w:val="00B60A08"/>
    <w:rsid w:val="00B635D5"/>
    <w:rsid w:val="00B63C20"/>
    <w:rsid w:val="00B6670D"/>
    <w:rsid w:val="00B73AB2"/>
    <w:rsid w:val="00B74776"/>
    <w:rsid w:val="00B75A21"/>
    <w:rsid w:val="00B77E83"/>
    <w:rsid w:val="00B8272C"/>
    <w:rsid w:val="00B8278E"/>
    <w:rsid w:val="00B8283A"/>
    <w:rsid w:val="00B82A60"/>
    <w:rsid w:val="00B8692B"/>
    <w:rsid w:val="00B905D2"/>
    <w:rsid w:val="00B915DA"/>
    <w:rsid w:val="00B9213B"/>
    <w:rsid w:val="00B92243"/>
    <w:rsid w:val="00B95E2D"/>
    <w:rsid w:val="00B978E2"/>
    <w:rsid w:val="00BA0A8C"/>
    <w:rsid w:val="00BA2613"/>
    <w:rsid w:val="00BA35BC"/>
    <w:rsid w:val="00BA3EAF"/>
    <w:rsid w:val="00BC1135"/>
    <w:rsid w:val="00BC39B0"/>
    <w:rsid w:val="00BC3B6A"/>
    <w:rsid w:val="00BD1142"/>
    <w:rsid w:val="00BD205A"/>
    <w:rsid w:val="00BD26C1"/>
    <w:rsid w:val="00BD4390"/>
    <w:rsid w:val="00BD60FF"/>
    <w:rsid w:val="00BD61A6"/>
    <w:rsid w:val="00BE08DF"/>
    <w:rsid w:val="00BE11B1"/>
    <w:rsid w:val="00BE12AC"/>
    <w:rsid w:val="00BE6280"/>
    <w:rsid w:val="00BE6510"/>
    <w:rsid w:val="00BF33E6"/>
    <w:rsid w:val="00BF40D7"/>
    <w:rsid w:val="00BF7E4D"/>
    <w:rsid w:val="00BF7F36"/>
    <w:rsid w:val="00C05D54"/>
    <w:rsid w:val="00C11D3D"/>
    <w:rsid w:val="00C13C0E"/>
    <w:rsid w:val="00C156D6"/>
    <w:rsid w:val="00C17F2D"/>
    <w:rsid w:val="00C201DE"/>
    <w:rsid w:val="00C309E3"/>
    <w:rsid w:val="00C3413D"/>
    <w:rsid w:val="00C3683A"/>
    <w:rsid w:val="00C370D8"/>
    <w:rsid w:val="00C37F84"/>
    <w:rsid w:val="00C41810"/>
    <w:rsid w:val="00C41BF8"/>
    <w:rsid w:val="00C4537C"/>
    <w:rsid w:val="00C46214"/>
    <w:rsid w:val="00C46F57"/>
    <w:rsid w:val="00C536BE"/>
    <w:rsid w:val="00C552C9"/>
    <w:rsid w:val="00C61D27"/>
    <w:rsid w:val="00C6287B"/>
    <w:rsid w:val="00C63E33"/>
    <w:rsid w:val="00C640D0"/>
    <w:rsid w:val="00C65830"/>
    <w:rsid w:val="00C6655C"/>
    <w:rsid w:val="00C72037"/>
    <w:rsid w:val="00C73965"/>
    <w:rsid w:val="00C73AF9"/>
    <w:rsid w:val="00C74BF1"/>
    <w:rsid w:val="00C75AE4"/>
    <w:rsid w:val="00C81E0B"/>
    <w:rsid w:val="00C82123"/>
    <w:rsid w:val="00C825E4"/>
    <w:rsid w:val="00C8326D"/>
    <w:rsid w:val="00C84773"/>
    <w:rsid w:val="00C91A48"/>
    <w:rsid w:val="00C92079"/>
    <w:rsid w:val="00C93D8B"/>
    <w:rsid w:val="00C9465C"/>
    <w:rsid w:val="00C95693"/>
    <w:rsid w:val="00C9729D"/>
    <w:rsid w:val="00CA2036"/>
    <w:rsid w:val="00CA2D6E"/>
    <w:rsid w:val="00CA4C81"/>
    <w:rsid w:val="00CA59BE"/>
    <w:rsid w:val="00CB393F"/>
    <w:rsid w:val="00CC03A2"/>
    <w:rsid w:val="00CC26F2"/>
    <w:rsid w:val="00CC4285"/>
    <w:rsid w:val="00CD0D1C"/>
    <w:rsid w:val="00CD0F2E"/>
    <w:rsid w:val="00CD120C"/>
    <w:rsid w:val="00CD67F8"/>
    <w:rsid w:val="00CD6BFF"/>
    <w:rsid w:val="00CD7387"/>
    <w:rsid w:val="00CE24BA"/>
    <w:rsid w:val="00CE3592"/>
    <w:rsid w:val="00CE59BC"/>
    <w:rsid w:val="00CF2F7C"/>
    <w:rsid w:val="00CF41AA"/>
    <w:rsid w:val="00CF42E2"/>
    <w:rsid w:val="00CF5029"/>
    <w:rsid w:val="00CF5573"/>
    <w:rsid w:val="00D04791"/>
    <w:rsid w:val="00D070C9"/>
    <w:rsid w:val="00D079E4"/>
    <w:rsid w:val="00D10167"/>
    <w:rsid w:val="00D11F84"/>
    <w:rsid w:val="00D204FB"/>
    <w:rsid w:val="00D21228"/>
    <w:rsid w:val="00D21E6F"/>
    <w:rsid w:val="00D22007"/>
    <w:rsid w:val="00D22470"/>
    <w:rsid w:val="00D24B69"/>
    <w:rsid w:val="00D260CE"/>
    <w:rsid w:val="00D27119"/>
    <w:rsid w:val="00D30B8F"/>
    <w:rsid w:val="00D32F0E"/>
    <w:rsid w:val="00D33C15"/>
    <w:rsid w:val="00D354CA"/>
    <w:rsid w:val="00D45CC6"/>
    <w:rsid w:val="00D47BAD"/>
    <w:rsid w:val="00D47C0C"/>
    <w:rsid w:val="00D47FE6"/>
    <w:rsid w:val="00D52D2C"/>
    <w:rsid w:val="00D54EB7"/>
    <w:rsid w:val="00D55252"/>
    <w:rsid w:val="00D5693E"/>
    <w:rsid w:val="00D57EF4"/>
    <w:rsid w:val="00D61B5E"/>
    <w:rsid w:val="00D62696"/>
    <w:rsid w:val="00D723C7"/>
    <w:rsid w:val="00D74AB3"/>
    <w:rsid w:val="00D8061F"/>
    <w:rsid w:val="00D82BE9"/>
    <w:rsid w:val="00D84875"/>
    <w:rsid w:val="00D86923"/>
    <w:rsid w:val="00D96198"/>
    <w:rsid w:val="00D96907"/>
    <w:rsid w:val="00D97C51"/>
    <w:rsid w:val="00DA701F"/>
    <w:rsid w:val="00DB132A"/>
    <w:rsid w:val="00DB5C92"/>
    <w:rsid w:val="00DB6328"/>
    <w:rsid w:val="00DC37BE"/>
    <w:rsid w:val="00DC48D0"/>
    <w:rsid w:val="00DC5A10"/>
    <w:rsid w:val="00DD2FCF"/>
    <w:rsid w:val="00DE1B6E"/>
    <w:rsid w:val="00DE1B76"/>
    <w:rsid w:val="00DE3356"/>
    <w:rsid w:val="00DE688C"/>
    <w:rsid w:val="00DF1BE4"/>
    <w:rsid w:val="00DF36DC"/>
    <w:rsid w:val="00DF3858"/>
    <w:rsid w:val="00DF6448"/>
    <w:rsid w:val="00DF6914"/>
    <w:rsid w:val="00DF73DD"/>
    <w:rsid w:val="00E04941"/>
    <w:rsid w:val="00E10806"/>
    <w:rsid w:val="00E11C58"/>
    <w:rsid w:val="00E11C89"/>
    <w:rsid w:val="00E13B3C"/>
    <w:rsid w:val="00E21DCE"/>
    <w:rsid w:val="00E23D98"/>
    <w:rsid w:val="00E31499"/>
    <w:rsid w:val="00E321C9"/>
    <w:rsid w:val="00E33409"/>
    <w:rsid w:val="00E335CB"/>
    <w:rsid w:val="00E3413B"/>
    <w:rsid w:val="00E36013"/>
    <w:rsid w:val="00E36AFD"/>
    <w:rsid w:val="00E41BFC"/>
    <w:rsid w:val="00E43347"/>
    <w:rsid w:val="00E43876"/>
    <w:rsid w:val="00E47716"/>
    <w:rsid w:val="00E61729"/>
    <w:rsid w:val="00E67679"/>
    <w:rsid w:val="00E67858"/>
    <w:rsid w:val="00E75011"/>
    <w:rsid w:val="00E80CA0"/>
    <w:rsid w:val="00E83AF2"/>
    <w:rsid w:val="00E83C6B"/>
    <w:rsid w:val="00E8413A"/>
    <w:rsid w:val="00E84A5D"/>
    <w:rsid w:val="00E917AD"/>
    <w:rsid w:val="00E91800"/>
    <w:rsid w:val="00E92109"/>
    <w:rsid w:val="00E9436D"/>
    <w:rsid w:val="00E9552C"/>
    <w:rsid w:val="00EA1E5A"/>
    <w:rsid w:val="00EB07B2"/>
    <w:rsid w:val="00EB274C"/>
    <w:rsid w:val="00EB4424"/>
    <w:rsid w:val="00EB5E09"/>
    <w:rsid w:val="00EC0DF7"/>
    <w:rsid w:val="00EC46A0"/>
    <w:rsid w:val="00EC5087"/>
    <w:rsid w:val="00ED1389"/>
    <w:rsid w:val="00ED5E41"/>
    <w:rsid w:val="00ED7D31"/>
    <w:rsid w:val="00ED7F16"/>
    <w:rsid w:val="00EE09AC"/>
    <w:rsid w:val="00EE0F3E"/>
    <w:rsid w:val="00EE1774"/>
    <w:rsid w:val="00EF7010"/>
    <w:rsid w:val="00F06AC7"/>
    <w:rsid w:val="00F07C1C"/>
    <w:rsid w:val="00F11500"/>
    <w:rsid w:val="00F13D49"/>
    <w:rsid w:val="00F16CE5"/>
    <w:rsid w:val="00F20485"/>
    <w:rsid w:val="00F22D76"/>
    <w:rsid w:val="00F31561"/>
    <w:rsid w:val="00F3612F"/>
    <w:rsid w:val="00F37D20"/>
    <w:rsid w:val="00F46593"/>
    <w:rsid w:val="00F500E9"/>
    <w:rsid w:val="00F53CDF"/>
    <w:rsid w:val="00F55D05"/>
    <w:rsid w:val="00F57861"/>
    <w:rsid w:val="00F63863"/>
    <w:rsid w:val="00F66BFC"/>
    <w:rsid w:val="00F710BB"/>
    <w:rsid w:val="00F71362"/>
    <w:rsid w:val="00F719C4"/>
    <w:rsid w:val="00F75A50"/>
    <w:rsid w:val="00F80B3F"/>
    <w:rsid w:val="00F81563"/>
    <w:rsid w:val="00F81EF9"/>
    <w:rsid w:val="00F84335"/>
    <w:rsid w:val="00F86EB9"/>
    <w:rsid w:val="00F87B07"/>
    <w:rsid w:val="00F9318B"/>
    <w:rsid w:val="00F96F36"/>
    <w:rsid w:val="00FA0069"/>
    <w:rsid w:val="00FA0D26"/>
    <w:rsid w:val="00FA13FB"/>
    <w:rsid w:val="00FA2EF5"/>
    <w:rsid w:val="00FB03D1"/>
    <w:rsid w:val="00FB6775"/>
    <w:rsid w:val="00FB7219"/>
    <w:rsid w:val="00FC1714"/>
    <w:rsid w:val="00FC3818"/>
    <w:rsid w:val="00FC3E74"/>
    <w:rsid w:val="00FC4034"/>
    <w:rsid w:val="00FC5FF9"/>
    <w:rsid w:val="00FD31D7"/>
    <w:rsid w:val="00FE0894"/>
    <w:rsid w:val="00FE2148"/>
    <w:rsid w:val="00FE6E21"/>
    <w:rsid w:val="00FF3BF5"/>
    <w:rsid w:val="00FF4D66"/>
    <w:rsid w:val="00FF57BE"/>
    <w:rsid w:val="00FF5BEA"/>
    <w:rsid w:val="00FF7EC1"/>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10"/>
    <w:rPr>
      <w:rFonts w:ascii="Sylfaen" w:hAnsi="Sylfaen"/>
      <w:lang w:val="en-GB"/>
    </w:rPr>
  </w:style>
  <w:style w:type="paragraph" w:styleId="Heading1">
    <w:name w:val="heading 1"/>
    <w:basedOn w:val="Normal"/>
    <w:next w:val="Normal"/>
    <w:link w:val="Heading1Char"/>
    <w:uiPriority w:val="9"/>
    <w:qFormat/>
    <w:rsid w:val="003B61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Heading3"/>
    <w:link w:val="Heading2Char"/>
    <w:uiPriority w:val="9"/>
    <w:unhideWhenUsed/>
    <w:qFormat/>
    <w:rsid w:val="00C17F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70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3E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171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171D"/>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DefaultParagraphFont"/>
    <w:uiPriority w:val="99"/>
    <w:unhideWhenUsed/>
    <w:rsid w:val="003B614C"/>
    <w:rPr>
      <w:color w:val="0000FF" w:themeColor="hyperlink"/>
      <w:u w:val="single"/>
    </w:rPr>
  </w:style>
  <w:style w:type="character" w:customStyle="1" w:styleId="Heading1Char">
    <w:name w:val="Heading 1 Char"/>
    <w:basedOn w:val="DefaultParagraphFont"/>
    <w:link w:val="Heading1"/>
    <w:uiPriority w:val="9"/>
    <w:rsid w:val="003B614C"/>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3B614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17F2D"/>
    <w:rPr>
      <w:rFonts w:asciiTheme="majorHAnsi" w:eastAsiaTheme="majorEastAsia" w:hAnsiTheme="majorHAnsi" w:cstheme="majorBidi"/>
      <w:b/>
      <w:bCs/>
      <w:color w:val="4F81BD" w:themeColor="accent1"/>
      <w:sz w:val="26"/>
      <w:szCs w:val="26"/>
      <w:lang w:val="en-GB"/>
    </w:rPr>
  </w:style>
  <w:style w:type="paragraph" w:styleId="Caption">
    <w:name w:val="caption"/>
    <w:basedOn w:val="Normal"/>
    <w:next w:val="Normal"/>
    <w:uiPriority w:val="35"/>
    <w:unhideWhenUsed/>
    <w:qFormat/>
    <w:rsid w:val="00E11C89"/>
    <w:pPr>
      <w:spacing w:before="0" w:after="200"/>
    </w:pPr>
    <w:rPr>
      <w:b/>
      <w:bCs/>
      <w:color w:val="4F81BD" w:themeColor="accent1"/>
      <w:sz w:val="18"/>
      <w:szCs w:val="18"/>
    </w:rPr>
  </w:style>
  <w:style w:type="paragraph" w:styleId="ListParagraph">
    <w:name w:val="List Paragraph"/>
    <w:basedOn w:val="Normal"/>
    <w:uiPriority w:val="34"/>
    <w:qFormat/>
    <w:rsid w:val="005F0AAA"/>
    <w:pPr>
      <w:ind w:left="720"/>
      <w:contextualSpacing/>
    </w:pPr>
  </w:style>
  <w:style w:type="character" w:customStyle="1" w:styleId="Heading3Char">
    <w:name w:val="Heading 3 Char"/>
    <w:basedOn w:val="DefaultParagraphFont"/>
    <w:link w:val="Heading3"/>
    <w:uiPriority w:val="9"/>
    <w:rsid w:val="006C7084"/>
    <w:rPr>
      <w:rFonts w:asciiTheme="majorHAnsi" w:eastAsiaTheme="majorEastAsia" w:hAnsiTheme="majorHAnsi" w:cstheme="majorBidi"/>
      <w:b/>
      <w:bCs/>
      <w:color w:val="4F81BD" w:themeColor="accent1"/>
      <w:lang w:val="en-GB"/>
    </w:rPr>
  </w:style>
  <w:style w:type="paragraph" w:styleId="BalloonText">
    <w:name w:val="Balloon Text"/>
    <w:basedOn w:val="Normal"/>
    <w:link w:val="BalloonTextChar"/>
    <w:uiPriority w:val="99"/>
    <w:semiHidden/>
    <w:unhideWhenUsed/>
    <w:rsid w:val="009C1C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C1C"/>
    <w:rPr>
      <w:rFonts w:ascii="Tahoma" w:hAnsi="Tahoma" w:cs="Tahoma"/>
      <w:sz w:val="16"/>
      <w:szCs w:val="16"/>
      <w:lang w:val="en-GB"/>
    </w:rPr>
  </w:style>
  <w:style w:type="paragraph" w:styleId="FootnoteText">
    <w:name w:val="footnote text"/>
    <w:basedOn w:val="Normal"/>
    <w:link w:val="FootnoteTextChar"/>
    <w:uiPriority w:val="99"/>
    <w:semiHidden/>
    <w:unhideWhenUsed/>
    <w:rsid w:val="009C1C1C"/>
    <w:pPr>
      <w:spacing w:before="0" w:after="0"/>
    </w:pPr>
    <w:rPr>
      <w:sz w:val="20"/>
      <w:szCs w:val="20"/>
    </w:rPr>
  </w:style>
  <w:style w:type="character" w:customStyle="1" w:styleId="FootnoteTextChar">
    <w:name w:val="Footnote Text Char"/>
    <w:basedOn w:val="DefaultParagraphFont"/>
    <w:link w:val="FootnoteText"/>
    <w:uiPriority w:val="99"/>
    <w:semiHidden/>
    <w:rsid w:val="009C1C1C"/>
    <w:rPr>
      <w:rFonts w:ascii="Sylfaen" w:hAnsi="Sylfaen"/>
      <w:sz w:val="20"/>
      <w:szCs w:val="20"/>
      <w:lang w:val="en-GB"/>
    </w:rPr>
  </w:style>
  <w:style w:type="character" w:styleId="FootnoteReference">
    <w:name w:val="footnote reference"/>
    <w:basedOn w:val="DefaultParagraphFont"/>
    <w:uiPriority w:val="99"/>
    <w:semiHidden/>
    <w:unhideWhenUsed/>
    <w:rsid w:val="009C1C1C"/>
    <w:rPr>
      <w:vertAlign w:val="superscript"/>
    </w:rPr>
  </w:style>
  <w:style w:type="paragraph" w:styleId="TOCHeading">
    <w:name w:val="TOC Heading"/>
    <w:basedOn w:val="Heading1"/>
    <w:next w:val="Normal"/>
    <w:uiPriority w:val="39"/>
    <w:semiHidden/>
    <w:unhideWhenUsed/>
    <w:qFormat/>
    <w:rsid w:val="00A351AA"/>
    <w:pPr>
      <w:spacing w:line="276" w:lineRule="auto"/>
      <w:outlineLvl w:val="9"/>
    </w:pPr>
    <w:rPr>
      <w:lang w:val="en-US"/>
    </w:rPr>
  </w:style>
  <w:style w:type="paragraph" w:styleId="TOC1">
    <w:name w:val="toc 1"/>
    <w:basedOn w:val="Normal"/>
    <w:next w:val="Normal"/>
    <w:autoRedefine/>
    <w:uiPriority w:val="39"/>
    <w:unhideWhenUsed/>
    <w:rsid w:val="00A351AA"/>
    <w:pPr>
      <w:spacing w:after="100"/>
    </w:pPr>
  </w:style>
  <w:style w:type="paragraph" w:styleId="TOC2">
    <w:name w:val="toc 2"/>
    <w:basedOn w:val="Normal"/>
    <w:next w:val="Normal"/>
    <w:autoRedefine/>
    <w:uiPriority w:val="39"/>
    <w:unhideWhenUsed/>
    <w:rsid w:val="00A351AA"/>
    <w:pPr>
      <w:spacing w:after="100"/>
      <w:ind w:left="220"/>
    </w:pPr>
  </w:style>
  <w:style w:type="paragraph" w:styleId="TOC3">
    <w:name w:val="toc 3"/>
    <w:basedOn w:val="Normal"/>
    <w:next w:val="Normal"/>
    <w:autoRedefine/>
    <w:uiPriority w:val="39"/>
    <w:unhideWhenUsed/>
    <w:rsid w:val="00A351AA"/>
    <w:pPr>
      <w:spacing w:after="100"/>
      <w:ind w:left="440"/>
    </w:pPr>
  </w:style>
  <w:style w:type="character" w:styleId="FollowedHyperlink">
    <w:name w:val="FollowedHyperlink"/>
    <w:basedOn w:val="DefaultParagraphFont"/>
    <w:uiPriority w:val="99"/>
    <w:semiHidden/>
    <w:unhideWhenUsed/>
    <w:rsid w:val="0076617B"/>
    <w:rPr>
      <w:color w:val="800080" w:themeColor="followedHyperlink"/>
      <w:u w:val="single"/>
    </w:rPr>
  </w:style>
  <w:style w:type="paragraph" w:styleId="Header">
    <w:name w:val="header"/>
    <w:basedOn w:val="Normal"/>
    <w:link w:val="HeaderChar"/>
    <w:uiPriority w:val="99"/>
    <w:semiHidden/>
    <w:unhideWhenUsed/>
    <w:rsid w:val="00FC3818"/>
    <w:pPr>
      <w:tabs>
        <w:tab w:val="center" w:pos="4680"/>
        <w:tab w:val="right" w:pos="9360"/>
      </w:tabs>
      <w:spacing w:before="0" w:after="0"/>
    </w:pPr>
  </w:style>
  <w:style w:type="character" w:customStyle="1" w:styleId="HeaderChar">
    <w:name w:val="Header Char"/>
    <w:basedOn w:val="DefaultParagraphFont"/>
    <w:link w:val="Header"/>
    <w:uiPriority w:val="99"/>
    <w:semiHidden/>
    <w:rsid w:val="00FC3818"/>
    <w:rPr>
      <w:rFonts w:ascii="Sylfaen" w:hAnsi="Sylfaen"/>
      <w:lang w:val="en-GB"/>
    </w:rPr>
  </w:style>
  <w:style w:type="paragraph" w:styleId="Footer">
    <w:name w:val="footer"/>
    <w:basedOn w:val="Normal"/>
    <w:link w:val="FooterChar"/>
    <w:uiPriority w:val="99"/>
    <w:unhideWhenUsed/>
    <w:rsid w:val="00FC3818"/>
    <w:pPr>
      <w:tabs>
        <w:tab w:val="center" w:pos="4680"/>
        <w:tab w:val="right" w:pos="9360"/>
      </w:tabs>
      <w:spacing w:before="0" w:after="0"/>
    </w:pPr>
  </w:style>
  <w:style w:type="character" w:customStyle="1" w:styleId="FooterChar">
    <w:name w:val="Footer Char"/>
    <w:basedOn w:val="DefaultParagraphFont"/>
    <w:link w:val="Footer"/>
    <w:uiPriority w:val="99"/>
    <w:rsid w:val="00FC3818"/>
    <w:rPr>
      <w:rFonts w:ascii="Sylfaen" w:hAnsi="Sylfaen"/>
      <w:lang w:val="en-GB"/>
    </w:rPr>
  </w:style>
  <w:style w:type="character" w:customStyle="1" w:styleId="Heading4Char">
    <w:name w:val="Heading 4 Char"/>
    <w:basedOn w:val="DefaultParagraphFont"/>
    <w:link w:val="Heading4"/>
    <w:uiPriority w:val="9"/>
    <w:rsid w:val="00C63E33"/>
    <w:rPr>
      <w:rFonts w:asciiTheme="majorHAnsi" w:eastAsiaTheme="majorEastAsia" w:hAnsiTheme="majorHAnsi" w:cstheme="majorBidi"/>
      <w:b/>
      <w:bCs/>
      <w:i/>
      <w:iCs/>
      <w:color w:val="4F81BD" w:themeColor="accent1"/>
      <w:lang w:val="en-GB"/>
    </w:rPr>
  </w:style>
  <w:style w:type="paragraph" w:styleId="TOC4">
    <w:name w:val="toc 4"/>
    <w:basedOn w:val="Normal"/>
    <w:next w:val="Normal"/>
    <w:autoRedefine/>
    <w:uiPriority w:val="39"/>
    <w:unhideWhenUsed/>
    <w:rsid w:val="003E617F"/>
    <w:pPr>
      <w:spacing w:after="100"/>
      <w:ind w:left="660"/>
    </w:pPr>
  </w:style>
  <w:style w:type="paragraph" w:styleId="Subtitle">
    <w:name w:val="Subtitle"/>
    <w:basedOn w:val="Normal"/>
    <w:next w:val="Normal"/>
    <w:link w:val="SubtitleChar"/>
    <w:uiPriority w:val="11"/>
    <w:qFormat/>
    <w:rsid w:val="004A0A2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A0A24"/>
    <w:rPr>
      <w:rFonts w:asciiTheme="majorHAnsi" w:eastAsiaTheme="majorEastAsia" w:hAnsiTheme="majorHAnsi" w:cstheme="majorBidi"/>
      <w:i/>
      <w:iCs/>
      <w:color w:val="4F81BD" w:themeColor="accent1"/>
      <w:spacing w:val="15"/>
      <w:sz w:val="24"/>
      <w:szCs w:val="24"/>
      <w:lang w:val="en-GB"/>
    </w:rPr>
  </w:style>
  <w:style w:type="character" w:styleId="BookTitle">
    <w:name w:val="Book Title"/>
    <w:basedOn w:val="DefaultParagraphFont"/>
    <w:uiPriority w:val="33"/>
    <w:qFormat/>
    <w:rsid w:val="006D51CB"/>
    <w:rPr>
      <w:b/>
      <w:bCs/>
      <w:smallCaps/>
      <w:spacing w:val="5"/>
    </w:rPr>
  </w:style>
  <w:style w:type="character" w:styleId="IntenseEmphasis">
    <w:name w:val="Intense Emphasis"/>
    <w:basedOn w:val="DefaultParagraphFont"/>
    <w:uiPriority w:val="21"/>
    <w:qFormat/>
    <w:rsid w:val="00654258"/>
    <w:rPr>
      <w:b/>
      <w:bCs/>
      <w:i/>
      <w:iCs/>
      <w:color w:val="4F81BD" w:themeColor="accent1"/>
    </w:rPr>
  </w:style>
  <w:style w:type="paragraph" w:customStyle="1" w:styleId="Default">
    <w:name w:val="Default"/>
    <w:rsid w:val="0024530B"/>
    <w:pPr>
      <w:autoSpaceDE w:val="0"/>
      <w:autoSpaceDN w:val="0"/>
      <w:adjustRightInd w:val="0"/>
      <w:spacing w:before="0" w:after="0"/>
    </w:pPr>
    <w:rPr>
      <w:rFonts w:ascii="Times New Roman" w:hAnsi="Times New Roman" w:cs="Times New Roman"/>
      <w:color w:val="000000"/>
      <w:sz w:val="24"/>
      <w:szCs w:val="24"/>
    </w:rPr>
  </w:style>
  <w:style w:type="character" w:styleId="Strong">
    <w:name w:val="Strong"/>
    <w:basedOn w:val="DefaultParagraphFont"/>
    <w:uiPriority w:val="22"/>
    <w:qFormat/>
    <w:rsid w:val="00CA59BE"/>
    <w:rPr>
      <w:b/>
      <w:bCs/>
    </w:rPr>
  </w:style>
  <w:style w:type="table" w:customStyle="1" w:styleId="LightShading-Accent11">
    <w:name w:val="Light Shading - Accent 11"/>
    <w:basedOn w:val="TableNormal"/>
    <w:uiPriority w:val="60"/>
    <w:rsid w:val="006F7CA7"/>
    <w:pPr>
      <w:spacing w:before="0" w:after="0"/>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ableofFigures">
    <w:name w:val="table of figures"/>
    <w:basedOn w:val="Normal"/>
    <w:next w:val="Normal"/>
    <w:uiPriority w:val="99"/>
    <w:unhideWhenUsed/>
    <w:rsid w:val="00CE24BA"/>
    <w:pPr>
      <w:spacing w:after="0"/>
    </w:pPr>
  </w:style>
  <w:style w:type="paragraph" w:customStyle="1" w:styleId="ecxmsonormal">
    <w:name w:val="ecxmsonormal"/>
    <w:basedOn w:val="Normal"/>
    <w:rsid w:val="00DF73DD"/>
    <w:pPr>
      <w:spacing w:before="0" w:after="324"/>
    </w:pPr>
    <w:rPr>
      <w:rFonts w:ascii="Times New Roman" w:eastAsia="Times New Roman" w:hAnsi="Times New Roman" w:cs="Times New Roman"/>
      <w:sz w:val="24"/>
      <w:szCs w:val="24"/>
      <w:lang w:val="en-CA" w:eastAsia="en-CA"/>
    </w:rPr>
  </w:style>
  <w:style w:type="paragraph" w:customStyle="1" w:styleId="ecxmsolistparagraph">
    <w:name w:val="ecxmsolistparagraph"/>
    <w:basedOn w:val="Normal"/>
    <w:rsid w:val="00DF73DD"/>
    <w:pPr>
      <w:spacing w:before="0" w:after="324"/>
    </w:pPr>
    <w:rPr>
      <w:rFonts w:ascii="Times New Roman" w:eastAsia="Times New Roman" w:hAnsi="Times New Roman" w:cs="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54621927">
      <w:bodyDiv w:val="1"/>
      <w:marLeft w:val="0"/>
      <w:marRight w:val="0"/>
      <w:marTop w:val="0"/>
      <w:marBottom w:val="0"/>
      <w:divBdr>
        <w:top w:val="none" w:sz="0" w:space="0" w:color="auto"/>
        <w:left w:val="none" w:sz="0" w:space="0" w:color="auto"/>
        <w:bottom w:val="none" w:sz="0" w:space="0" w:color="auto"/>
        <w:right w:val="none" w:sz="0" w:space="0" w:color="auto"/>
      </w:divBdr>
    </w:div>
    <w:div w:id="61293508">
      <w:bodyDiv w:val="1"/>
      <w:marLeft w:val="0"/>
      <w:marRight w:val="0"/>
      <w:marTop w:val="0"/>
      <w:marBottom w:val="0"/>
      <w:divBdr>
        <w:top w:val="none" w:sz="0" w:space="0" w:color="auto"/>
        <w:left w:val="none" w:sz="0" w:space="0" w:color="auto"/>
        <w:bottom w:val="none" w:sz="0" w:space="0" w:color="auto"/>
        <w:right w:val="none" w:sz="0" w:space="0" w:color="auto"/>
      </w:divBdr>
    </w:div>
    <w:div w:id="100925744">
      <w:bodyDiv w:val="1"/>
      <w:marLeft w:val="0"/>
      <w:marRight w:val="0"/>
      <w:marTop w:val="0"/>
      <w:marBottom w:val="0"/>
      <w:divBdr>
        <w:top w:val="none" w:sz="0" w:space="0" w:color="auto"/>
        <w:left w:val="none" w:sz="0" w:space="0" w:color="auto"/>
        <w:bottom w:val="none" w:sz="0" w:space="0" w:color="auto"/>
        <w:right w:val="none" w:sz="0" w:space="0" w:color="auto"/>
      </w:divBdr>
    </w:div>
    <w:div w:id="130025783">
      <w:bodyDiv w:val="1"/>
      <w:marLeft w:val="0"/>
      <w:marRight w:val="0"/>
      <w:marTop w:val="0"/>
      <w:marBottom w:val="0"/>
      <w:divBdr>
        <w:top w:val="none" w:sz="0" w:space="0" w:color="auto"/>
        <w:left w:val="none" w:sz="0" w:space="0" w:color="auto"/>
        <w:bottom w:val="none" w:sz="0" w:space="0" w:color="auto"/>
        <w:right w:val="none" w:sz="0" w:space="0" w:color="auto"/>
      </w:divBdr>
    </w:div>
    <w:div w:id="161043426">
      <w:bodyDiv w:val="1"/>
      <w:marLeft w:val="0"/>
      <w:marRight w:val="0"/>
      <w:marTop w:val="0"/>
      <w:marBottom w:val="0"/>
      <w:divBdr>
        <w:top w:val="none" w:sz="0" w:space="0" w:color="auto"/>
        <w:left w:val="none" w:sz="0" w:space="0" w:color="auto"/>
        <w:bottom w:val="none" w:sz="0" w:space="0" w:color="auto"/>
        <w:right w:val="none" w:sz="0" w:space="0" w:color="auto"/>
      </w:divBdr>
    </w:div>
    <w:div w:id="271326673">
      <w:bodyDiv w:val="1"/>
      <w:marLeft w:val="0"/>
      <w:marRight w:val="0"/>
      <w:marTop w:val="0"/>
      <w:marBottom w:val="0"/>
      <w:divBdr>
        <w:top w:val="none" w:sz="0" w:space="0" w:color="auto"/>
        <w:left w:val="none" w:sz="0" w:space="0" w:color="auto"/>
        <w:bottom w:val="none" w:sz="0" w:space="0" w:color="auto"/>
        <w:right w:val="none" w:sz="0" w:space="0" w:color="auto"/>
      </w:divBdr>
    </w:div>
    <w:div w:id="354621891">
      <w:bodyDiv w:val="1"/>
      <w:marLeft w:val="0"/>
      <w:marRight w:val="0"/>
      <w:marTop w:val="0"/>
      <w:marBottom w:val="0"/>
      <w:divBdr>
        <w:top w:val="none" w:sz="0" w:space="0" w:color="auto"/>
        <w:left w:val="none" w:sz="0" w:space="0" w:color="auto"/>
        <w:bottom w:val="none" w:sz="0" w:space="0" w:color="auto"/>
        <w:right w:val="none" w:sz="0" w:space="0" w:color="auto"/>
      </w:divBdr>
    </w:div>
    <w:div w:id="496650171">
      <w:bodyDiv w:val="1"/>
      <w:marLeft w:val="0"/>
      <w:marRight w:val="0"/>
      <w:marTop w:val="0"/>
      <w:marBottom w:val="0"/>
      <w:divBdr>
        <w:top w:val="none" w:sz="0" w:space="0" w:color="auto"/>
        <w:left w:val="none" w:sz="0" w:space="0" w:color="auto"/>
        <w:bottom w:val="none" w:sz="0" w:space="0" w:color="auto"/>
        <w:right w:val="none" w:sz="0" w:space="0" w:color="auto"/>
      </w:divBdr>
      <w:divsChild>
        <w:div w:id="1813056430">
          <w:marLeft w:val="0"/>
          <w:marRight w:val="0"/>
          <w:marTop w:val="0"/>
          <w:marBottom w:val="0"/>
          <w:divBdr>
            <w:top w:val="none" w:sz="0" w:space="0" w:color="auto"/>
            <w:left w:val="none" w:sz="0" w:space="0" w:color="auto"/>
            <w:bottom w:val="none" w:sz="0" w:space="0" w:color="auto"/>
            <w:right w:val="none" w:sz="0" w:space="0" w:color="auto"/>
          </w:divBdr>
          <w:divsChild>
            <w:div w:id="737288007">
              <w:marLeft w:val="0"/>
              <w:marRight w:val="0"/>
              <w:marTop w:val="0"/>
              <w:marBottom w:val="0"/>
              <w:divBdr>
                <w:top w:val="none" w:sz="0" w:space="0" w:color="auto"/>
                <w:left w:val="none" w:sz="0" w:space="0" w:color="auto"/>
                <w:bottom w:val="none" w:sz="0" w:space="0" w:color="auto"/>
                <w:right w:val="none" w:sz="0" w:space="0" w:color="auto"/>
              </w:divBdr>
              <w:divsChild>
                <w:div w:id="509570113">
                  <w:marLeft w:val="0"/>
                  <w:marRight w:val="0"/>
                  <w:marTop w:val="136"/>
                  <w:marBottom w:val="0"/>
                  <w:divBdr>
                    <w:top w:val="none" w:sz="0" w:space="0" w:color="auto"/>
                    <w:left w:val="none" w:sz="0" w:space="0" w:color="auto"/>
                    <w:bottom w:val="none" w:sz="0" w:space="0" w:color="auto"/>
                    <w:right w:val="none" w:sz="0" w:space="0" w:color="auto"/>
                  </w:divBdr>
                  <w:divsChild>
                    <w:div w:id="1390107835">
                      <w:marLeft w:val="0"/>
                      <w:marRight w:val="27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07225">
      <w:bodyDiv w:val="1"/>
      <w:marLeft w:val="0"/>
      <w:marRight w:val="0"/>
      <w:marTop w:val="0"/>
      <w:marBottom w:val="0"/>
      <w:divBdr>
        <w:top w:val="none" w:sz="0" w:space="0" w:color="auto"/>
        <w:left w:val="none" w:sz="0" w:space="0" w:color="auto"/>
        <w:bottom w:val="none" w:sz="0" w:space="0" w:color="auto"/>
        <w:right w:val="none" w:sz="0" w:space="0" w:color="auto"/>
      </w:divBdr>
    </w:div>
    <w:div w:id="849563385">
      <w:bodyDiv w:val="1"/>
      <w:marLeft w:val="0"/>
      <w:marRight w:val="0"/>
      <w:marTop w:val="0"/>
      <w:marBottom w:val="0"/>
      <w:divBdr>
        <w:top w:val="none" w:sz="0" w:space="0" w:color="auto"/>
        <w:left w:val="none" w:sz="0" w:space="0" w:color="auto"/>
        <w:bottom w:val="none" w:sz="0" w:space="0" w:color="auto"/>
        <w:right w:val="none" w:sz="0" w:space="0" w:color="auto"/>
      </w:divBdr>
    </w:div>
    <w:div w:id="926352079">
      <w:bodyDiv w:val="1"/>
      <w:marLeft w:val="0"/>
      <w:marRight w:val="0"/>
      <w:marTop w:val="0"/>
      <w:marBottom w:val="0"/>
      <w:divBdr>
        <w:top w:val="none" w:sz="0" w:space="0" w:color="auto"/>
        <w:left w:val="none" w:sz="0" w:space="0" w:color="auto"/>
        <w:bottom w:val="none" w:sz="0" w:space="0" w:color="auto"/>
        <w:right w:val="none" w:sz="0" w:space="0" w:color="auto"/>
      </w:divBdr>
    </w:div>
    <w:div w:id="1042364978">
      <w:bodyDiv w:val="1"/>
      <w:marLeft w:val="0"/>
      <w:marRight w:val="0"/>
      <w:marTop w:val="0"/>
      <w:marBottom w:val="0"/>
      <w:divBdr>
        <w:top w:val="none" w:sz="0" w:space="0" w:color="auto"/>
        <w:left w:val="none" w:sz="0" w:space="0" w:color="auto"/>
        <w:bottom w:val="none" w:sz="0" w:space="0" w:color="auto"/>
        <w:right w:val="none" w:sz="0" w:space="0" w:color="auto"/>
      </w:divBdr>
      <w:divsChild>
        <w:div w:id="1720201408">
          <w:marLeft w:val="0"/>
          <w:marRight w:val="0"/>
          <w:marTop w:val="0"/>
          <w:marBottom w:val="0"/>
          <w:divBdr>
            <w:top w:val="none" w:sz="0" w:space="0" w:color="auto"/>
            <w:left w:val="none" w:sz="0" w:space="0" w:color="auto"/>
            <w:bottom w:val="none" w:sz="0" w:space="0" w:color="auto"/>
            <w:right w:val="none" w:sz="0" w:space="0" w:color="auto"/>
          </w:divBdr>
          <w:divsChild>
            <w:div w:id="1224830005">
              <w:marLeft w:val="0"/>
              <w:marRight w:val="0"/>
              <w:marTop w:val="0"/>
              <w:marBottom w:val="0"/>
              <w:divBdr>
                <w:top w:val="none" w:sz="0" w:space="0" w:color="auto"/>
                <w:left w:val="none" w:sz="0" w:space="0" w:color="auto"/>
                <w:bottom w:val="none" w:sz="0" w:space="0" w:color="auto"/>
                <w:right w:val="none" w:sz="0" w:space="0" w:color="auto"/>
              </w:divBdr>
              <w:divsChild>
                <w:div w:id="1006594664">
                  <w:marLeft w:val="0"/>
                  <w:marRight w:val="0"/>
                  <w:marTop w:val="0"/>
                  <w:marBottom w:val="0"/>
                  <w:divBdr>
                    <w:top w:val="none" w:sz="0" w:space="0" w:color="auto"/>
                    <w:left w:val="none" w:sz="0" w:space="0" w:color="auto"/>
                    <w:bottom w:val="none" w:sz="0" w:space="0" w:color="auto"/>
                    <w:right w:val="none" w:sz="0" w:space="0" w:color="auto"/>
                  </w:divBdr>
                  <w:divsChild>
                    <w:div w:id="1828744214">
                      <w:marLeft w:val="0"/>
                      <w:marRight w:val="0"/>
                      <w:marTop w:val="0"/>
                      <w:marBottom w:val="0"/>
                      <w:divBdr>
                        <w:top w:val="none" w:sz="0" w:space="0" w:color="auto"/>
                        <w:left w:val="none" w:sz="0" w:space="0" w:color="auto"/>
                        <w:bottom w:val="none" w:sz="0" w:space="0" w:color="auto"/>
                        <w:right w:val="none" w:sz="0" w:space="0" w:color="auto"/>
                      </w:divBdr>
                      <w:divsChild>
                        <w:div w:id="832721021">
                          <w:marLeft w:val="0"/>
                          <w:marRight w:val="0"/>
                          <w:marTop w:val="0"/>
                          <w:marBottom w:val="0"/>
                          <w:divBdr>
                            <w:top w:val="none" w:sz="0" w:space="0" w:color="auto"/>
                            <w:left w:val="none" w:sz="0" w:space="0" w:color="auto"/>
                            <w:bottom w:val="none" w:sz="0" w:space="0" w:color="auto"/>
                            <w:right w:val="none" w:sz="0" w:space="0" w:color="auto"/>
                          </w:divBdr>
                          <w:divsChild>
                            <w:div w:id="677271699">
                              <w:marLeft w:val="0"/>
                              <w:marRight w:val="0"/>
                              <w:marTop w:val="0"/>
                              <w:marBottom w:val="0"/>
                              <w:divBdr>
                                <w:top w:val="none" w:sz="0" w:space="0" w:color="auto"/>
                                <w:left w:val="none" w:sz="0" w:space="0" w:color="auto"/>
                                <w:bottom w:val="none" w:sz="0" w:space="0" w:color="auto"/>
                                <w:right w:val="none" w:sz="0" w:space="0" w:color="auto"/>
                              </w:divBdr>
                              <w:divsChild>
                                <w:div w:id="854005879">
                                  <w:marLeft w:val="0"/>
                                  <w:marRight w:val="0"/>
                                  <w:marTop w:val="0"/>
                                  <w:marBottom w:val="0"/>
                                  <w:divBdr>
                                    <w:top w:val="none" w:sz="0" w:space="0" w:color="auto"/>
                                    <w:left w:val="none" w:sz="0" w:space="0" w:color="auto"/>
                                    <w:bottom w:val="none" w:sz="0" w:space="0" w:color="auto"/>
                                    <w:right w:val="none" w:sz="0" w:space="0" w:color="auto"/>
                                  </w:divBdr>
                                  <w:divsChild>
                                    <w:div w:id="464126430">
                                      <w:marLeft w:val="0"/>
                                      <w:marRight w:val="0"/>
                                      <w:marTop w:val="0"/>
                                      <w:marBottom w:val="0"/>
                                      <w:divBdr>
                                        <w:top w:val="none" w:sz="0" w:space="0" w:color="auto"/>
                                        <w:left w:val="none" w:sz="0" w:space="0" w:color="auto"/>
                                        <w:bottom w:val="none" w:sz="0" w:space="0" w:color="auto"/>
                                        <w:right w:val="none" w:sz="0" w:space="0" w:color="auto"/>
                                      </w:divBdr>
                                      <w:divsChild>
                                        <w:div w:id="1745100326">
                                          <w:marLeft w:val="0"/>
                                          <w:marRight w:val="0"/>
                                          <w:marTop w:val="0"/>
                                          <w:marBottom w:val="0"/>
                                          <w:divBdr>
                                            <w:top w:val="none" w:sz="0" w:space="0" w:color="auto"/>
                                            <w:left w:val="none" w:sz="0" w:space="0" w:color="auto"/>
                                            <w:bottom w:val="none" w:sz="0" w:space="0" w:color="auto"/>
                                            <w:right w:val="none" w:sz="0" w:space="0" w:color="auto"/>
                                          </w:divBdr>
                                          <w:divsChild>
                                            <w:div w:id="2082292683">
                                              <w:marLeft w:val="0"/>
                                              <w:marRight w:val="0"/>
                                              <w:marTop w:val="0"/>
                                              <w:marBottom w:val="0"/>
                                              <w:divBdr>
                                                <w:top w:val="none" w:sz="0" w:space="0" w:color="auto"/>
                                                <w:left w:val="none" w:sz="0" w:space="0" w:color="auto"/>
                                                <w:bottom w:val="none" w:sz="0" w:space="0" w:color="auto"/>
                                                <w:right w:val="none" w:sz="0" w:space="0" w:color="auto"/>
                                              </w:divBdr>
                                              <w:divsChild>
                                                <w:div w:id="114296582">
                                                  <w:marLeft w:val="0"/>
                                                  <w:marRight w:val="69"/>
                                                  <w:marTop w:val="0"/>
                                                  <w:marBottom w:val="0"/>
                                                  <w:divBdr>
                                                    <w:top w:val="none" w:sz="0" w:space="0" w:color="auto"/>
                                                    <w:left w:val="none" w:sz="0" w:space="0" w:color="auto"/>
                                                    <w:bottom w:val="none" w:sz="0" w:space="0" w:color="auto"/>
                                                    <w:right w:val="none" w:sz="0" w:space="0" w:color="auto"/>
                                                  </w:divBdr>
                                                  <w:divsChild>
                                                    <w:div w:id="315424828">
                                                      <w:marLeft w:val="0"/>
                                                      <w:marRight w:val="0"/>
                                                      <w:marTop w:val="0"/>
                                                      <w:marBottom w:val="0"/>
                                                      <w:divBdr>
                                                        <w:top w:val="none" w:sz="0" w:space="0" w:color="auto"/>
                                                        <w:left w:val="none" w:sz="0" w:space="0" w:color="auto"/>
                                                        <w:bottom w:val="none" w:sz="0" w:space="0" w:color="auto"/>
                                                        <w:right w:val="none" w:sz="0" w:space="0" w:color="auto"/>
                                                      </w:divBdr>
                                                      <w:divsChild>
                                                        <w:div w:id="508372805">
                                                          <w:marLeft w:val="0"/>
                                                          <w:marRight w:val="0"/>
                                                          <w:marTop w:val="0"/>
                                                          <w:marBottom w:val="0"/>
                                                          <w:divBdr>
                                                            <w:top w:val="none" w:sz="0" w:space="0" w:color="auto"/>
                                                            <w:left w:val="none" w:sz="0" w:space="0" w:color="auto"/>
                                                            <w:bottom w:val="none" w:sz="0" w:space="0" w:color="auto"/>
                                                            <w:right w:val="none" w:sz="0" w:space="0" w:color="auto"/>
                                                          </w:divBdr>
                                                          <w:divsChild>
                                                            <w:div w:id="953636938">
                                                              <w:marLeft w:val="0"/>
                                                              <w:marRight w:val="0"/>
                                                              <w:marTop w:val="0"/>
                                                              <w:marBottom w:val="0"/>
                                                              <w:divBdr>
                                                                <w:top w:val="none" w:sz="0" w:space="0" w:color="auto"/>
                                                                <w:left w:val="none" w:sz="0" w:space="0" w:color="auto"/>
                                                                <w:bottom w:val="none" w:sz="0" w:space="0" w:color="auto"/>
                                                                <w:right w:val="none" w:sz="0" w:space="0" w:color="auto"/>
                                                              </w:divBdr>
                                                              <w:divsChild>
                                                                <w:div w:id="900991151">
                                                                  <w:marLeft w:val="0"/>
                                                                  <w:marRight w:val="0"/>
                                                                  <w:marTop w:val="0"/>
                                                                  <w:marBottom w:val="81"/>
                                                                  <w:divBdr>
                                                                    <w:top w:val="single" w:sz="4" w:space="0" w:color="EDEDED"/>
                                                                    <w:left w:val="single" w:sz="4" w:space="0" w:color="EDEDED"/>
                                                                    <w:bottom w:val="single" w:sz="4" w:space="0" w:color="EDEDED"/>
                                                                    <w:right w:val="single" w:sz="4" w:space="0" w:color="EDEDED"/>
                                                                  </w:divBdr>
                                                                  <w:divsChild>
                                                                    <w:div w:id="1011109771">
                                                                      <w:marLeft w:val="0"/>
                                                                      <w:marRight w:val="0"/>
                                                                      <w:marTop w:val="0"/>
                                                                      <w:marBottom w:val="0"/>
                                                                      <w:divBdr>
                                                                        <w:top w:val="none" w:sz="0" w:space="0" w:color="auto"/>
                                                                        <w:left w:val="none" w:sz="0" w:space="0" w:color="auto"/>
                                                                        <w:bottom w:val="none" w:sz="0" w:space="0" w:color="auto"/>
                                                                        <w:right w:val="none" w:sz="0" w:space="0" w:color="auto"/>
                                                                      </w:divBdr>
                                                                      <w:divsChild>
                                                                        <w:div w:id="1332834957">
                                                                          <w:marLeft w:val="0"/>
                                                                          <w:marRight w:val="0"/>
                                                                          <w:marTop w:val="0"/>
                                                                          <w:marBottom w:val="0"/>
                                                                          <w:divBdr>
                                                                            <w:top w:val="none" w:sz="0" w:space="0" w:color="auto"/>
                                                                            <w:left w:val="none" w:sz="0" w:space="0" w:color="auto"/>
                                                                            <w:bottom w:val="none" w:sz="0" w:space="0" w:color="auto"/>
                                                                            <w:right w:val="none" w:sz="0" w:space="0" w:color="auto"/>
                                                                          </w:divBdr>
                                                                          <w:divsChild>
                                                                            <w:div w:id="1073897114">
                                                                              <w:marLeft w:val="0"/>
                                                                              <w:marRight w:val="0"/>
                                                                              <w:marTop w:val="0"/>
                                                                              <w:marBottom w:val="0"/>
                                                                              <w:divBdr>
                                                                                <w:top w:val="none" w:sz="0" w:space="0" w:color="auto"/>
                                                                                <w:left w:val="none" w:sz="0" w:space="0" w:color="auto"/>
                                                                                <w:bottom w:val="none" w:sz="0" w:space="0" w:color="auto"/>
                                                                                <w:right w:val="none" w:sz="0" w:space="0" w:color="auto"/>
                                                                              </w:divBdr>
                                                                              <w:divsChild>
                                                                                <w:div w:id="1946375839">
                                                                                  <w:marLeft w:val="138"/>
                                                                                  <w:marRight w:val="138"/>
                                                                                  <w:marTop w:val="0"/>
                                                                                  <w:marBottom w:val="0"/>
                                                                                  <w:divBdr>
                                                                                    <w:top w:val="none" w:sz="0" w:space="0" w:color="auto"/>
                                                                                    <w:left w:val="none" w:sz="0" w:space="0" w:color="auto"/>
                                                                                    <w:bottom w:val="none" w:sz="0" w:space="0" w:color="auto"/>
                                                                                    <w:right w:val="none" w:sz="0" w:space="0" w:color="auto"/>
                                                                                  </w:divBdr>
                                                                                  <w:divsChild>
                                                                                    <w:div w:id="327098423">
                                                                                      <w:marLeft w:val="0"/>
                                                                                      <w:marRight w:val="0"/>
                                                                                      <w:marTop w:val="0"/>
                                                                                      <w:marBottom w:val="0"/>
                                                                                      <w:divBdr>
                                                                                        <w:top w:val="none" w:sz="0" w:space="0" w:color="auto"/>
                                                                                        <w:left w:val="none" w:sz="0" w:space="0" w:color="auto"/>
                                                                                        <w:bottom w:val="none" w:sz="0" w:space="0" w:color="auto"/>
                                                                                        <w:right w:val="none" w:sz="0" w:space="0" w:color="auto"/>
                                                                                      </w:divBdr>
                                                                                      <w:divsChild>
                                                                                        <w:div w:id="3489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941121">
      <w:bodyDiv w:val="1"/>
      <w:marLeft w:val="0"/>
      <w:marRight w:val="0"/>
      <w:marTop w:val="0"/>
      <w:marBottom w:val="0"/>
      <w:divBdr>
        <w:top w:val="none" w:sz="0" w:space="0" w:color="auto"/>
        <w:left w:val="none" w:sz="0" w:space="0" w:color="auto"/>
        <w:bottom w:val="none" w:sz="0" w:space="0" w:color="auto"/>
        <w:right w:val="none" w:sz="0" w:space="0" w:color="auto"/>
      </w:divBdr>
    </w:div>
    <w:div w:id="1151560095">
      <w:bodyDiv w:val="1"/>
      <w:marLeft w:val="0"/>
      <w:marRight w:val="0"/>
      <w:marTop w:val="0"/>
      <w:marBottom w:val="0"/>
      <w:divBdr>
        <w:top w:val="none" w:sz="0" w:space="0" w:color="auto"/>
        <w:left w:val="none" w:sz="0" w:space="0" w:color="auto"/>
        <w:bottom w:val="none" w:sz="0" w:space="0" w:color="auto"/>
        <w:right w:val="none" w:sz="0" w:space="0" w:color="auto"/>
      </w:divBdr>
    </w:div>
    <w:div w:id="1154301208">
      <w:bodyDiv w:val="1"/>
      <w:marLeft w:val="0"/>
      <w:marRight w:val="0"/>
      <w:marTop w:val="0"/>
      <w:marBottom w:val="0"/>
      <w:divBdr>
        <w:top w:val="none" w:sz="0" w:space="0" w:color="auto"/>
        <w:left w:val="none" w:sz="0" w:space="0" w:color="auto"/>
        <w:bottom w:val="none" w:sz="0" w:space="0" w:color="auto"/>
        <w:right w:val="none" w:sz="0" w:space="0" w:color="auto"/>
      </w:divBdr>
    </w:div>
    <w:div w:id="1239287874">
      <w:bodyDiv w:val="1"/>
      <w:marLeft w:val="0"/>
      <w:marRight w:val="0"/>
      <w:marTop w:val="0"/>
      <w:marBottom w:val="0"/>
      <w:divBdr>
        <w:top w:val="none" w:sz="0" w:space="0" w:color="auto"/>
        <w:left w:val="none" w:sz="0" w:space="0" w:color="auto"/>
        <w:bottom w:val="none" w:sz="0" w:space="0" w:color="auto"/>
        <w:right w:val="none" w:sz="0" w:space="0" w:color="auto"/>
      </w:divBdr>
    </w:div>
    <w:div w:id="1242518684">
      <w:bodyDiv w:val="1"/>
      <w:marLeft w:val="0"/>
      <w:marRight w:val="0"/>
      <w:marTop w:val="0"/>
      <w:marBottom w:val="0"/>
      <w:divBdr>
        <w:top w:val="none" w:sz="0" w:space="0" w:color="auto"/>
        <w:left w:val="none" w:sz="0" w:space="0" w:color="auto"/>
        <w:bottom w:val="none" w:sz="0" w:space="0" w:color="auto"/>
        <w:right w:val="none" w:sz="0" w:space="0" w:color="auto"/>
      </w:divBdr>
    </w:div>
    <w:div w:id="132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3996564">
          <w:marLeft w:val="0"/>
          <w:marRight w:val="0"/>
          <w:marTop w:val="0"/>
          <w:marBottom w:val="0"/>
          <w:divBdr>
            <w:top w:val="none" w:sz="0" w:space="0" w:color="auto"/>
            <w:left w:val="none" w:sz="0" w:space="0" w:color="auto"/>
            <w:bottom w:val="none" w:sz="0" w:space="0" w:color="auto"/>
            <w:right w:val="none" w:sz="0" w:space="0" w:color="auto"/>
          </w:divBdr>
        </w:div>
      </w:divsChild>
    </w:div>
    <w:div w:id="1582449530">
      <w:bodyDiv w:val="1"/>
      <w:marLeft w:val="0"/>
      <w:marRight w:val="0"/>
      <w:marTop w:val="0"/>
      <w:marBottom w:val="0"/>
      <w:divBdr>
        <w:top w:val="none" w:sz="0" w:space="0" w:color="auto"/>
        <w:left w:val="none" w:sz="0" w:space="0" w:color="auto"/>
        <w:bottom w:val="none" w:sz="0" w:space="0" w:color="auto"/>
        <w:right w:val="none" w:sz="0" w:space="0" w:color="auto"/>
      </w:divBdr>
    </w:div>
    <w:div w:id="1650942819">
      <w:bodyDiv w:val="1"/>
      <w:marLeft w:val="0"/>
      <w:marRight w:val="0"/>
      <w:marTop w:val="0"/>
      <w:marBottom w:val="0"/>
      <w:divBdr>
        <w:top w:val="none" w:sz="0" w:space="0" w:color="auto"/>
        <w:left w:val="none" w:sz="0" w:space="0" w:color="auto"/>
        <w:bottom w:val="none" w:sz="0" w:space="0" w:color="auto"/>
        <w:right w:val="none" w:sz="0" w:space="0" w:color="auto"/>
      </w:divBdr>
    </w:div>
    <w:div w:id="1702168904">
      <w:bodyDiv w:val="1"/>
      <w:marLeft w:val="0"/>
      <w:marRight w:val="0"/>
      <w:marTop w:val="0"/>
      <w:marBottom w:val="0"/>
      <w:divBdr>
        <w:top w:val="none" w:sz="0" w:space="0" w:color="auto"/>
        <w:left w:val="none" w:sz="0" w:space="0" w:color="auto"/>
        <w:bottom w:val="none" w:sz="0" w:space="0" w:color="auto"/>
        <w:right w:val="none" w:sz="0" w:space="0" w:color="auto"/>
      </w:divBdr>
    </w:div>
    <w:div w:id="1849562030">
      <w:bodyDiv w:val="1"/>
      <w:marLeft w:val="0"/>
      <w:marRight w:val="0"/>
      <w:marTop w:val="0"/>
      <w:marBottom w:val="0"/>
      <w:divBdr>
        <w:top w:val="none" w:sz="0" w:space="0" w:color="auto"/>
        <w:left w:val="none" w:sz="0" w:space="0" w:color="auto"/>
        <w:bottom w:val="none" w:sz="0" w:space="0" w:color="auto"/>
        <w:right w:val="none" w:sz="0" w:space="0" w:color="auto"/>
      </w:divBdr>
    </w:div>
    <w:div w:id="1929733586">
      <w:bodyDiv w:val="1"/>
      <w:marLeft w:val="0"/>
      <w:marRight w:val="0"/>
      <w:marTop w:val="0"/>
      <w:marBottom w:val="0"/>
      <w:divBdr>
        <w:top w:val="none" w:sz="0" w:space="0" w:color="auto"/>
        <w:left w:val="none" w:sz="0" w:space="0" w:color="auto"/>
        <w:bottom w:val="none" w:sz="0" w:space="0" w:color="auto"/>
        <w:right w:val="none" w:sz="0" w:space="0" w:color="auto"/>
      </w:divBdr>
      <w:divsChild>
        <w:div w:id="348878134">
          <w:marLeft w:val="547"/>
          <w:marRight w:val="0"/>
          <w:marTop w:val="0"/>
          <w:marBottom w:val="0"/>
          <w:divBdr>
            <w:top w:val="none" w:sz="0" w:space="0" w:color="auto"/>
            <w:left w:val="none" w:sz="0" w:space="0" w:color="auto"/>
            <w:bottom w:val="none" w:sz="0" w:space="0" w:color="auto"/>
            <w:right w:val="none" w:sz="0" w:space="0" w:color="auto"/>
          </w:divBdr>
        </w:div>
        <w:div w:id="1049183804">
          <w:marLeft w:val="547"/>
          <w:marRight w:val="0"/>
          <w:marTop w:val="0"/>
          <w:marBottom w:val="0"/>
          <w:divBdr>
            <w:top w:val="none" w:sz="0" w:space="0" w:color="auto"/>
            <w:left w:val="none" w:sz="0" w:space="0" w:color="auto"/>
            <w:bottom w:val="none" w:sz="0" w:space="0" w:color="auto"/>
            <w:right w:val="none" w:sz="0" w:space="0" w:color="auto"/>
          </w:divBdr>
        </w:div>
        <w:div w:id="20667558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www.mep.gov.sa/index.jsp;jsessionid=45651251380A82882E2B3433D5376123.alfa?event=ArticleView&amp;Article.ObjectID=79" TargetMode="External"/><Relationship Id="rId39" Type="http://schemas.openxmlformats.org/officeDocument/2006/relationships/hyperlink" Target="http://www.undp.org.sa/sa/documents/home/annual_report.pdf" TargetMode="Externa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hyperlink" Target="http://www.sct.gov.sa/publications" TargetMode="External"/><Relationship Id="rId42" Type="http://schemas.openxmlformats.org/officeDocument/2006/relationships/hyperlink" Target="http://data.worldbank.org/indicator/NY.GDP.MKTP.KD.ZG?page=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www.mas.gov.sa/ShowPage?UseFM=yes&amp;Template=ais/frmAis.htm&amp;Location=getdocs:///DocMapCSDOCS.MAS/3096&amp;Scale=FULLWIDTH&amp;Page=1&amp;ContextParams=" TargetMode="External"/><Relationship Id="rId33" Type="http://schemas.openxmlformats.org/officeDocument/2006/relationships/hyperlink" Target="http://arabnews.com/saudiarabia/article588567.ece" TargetMode="External"/><Relationship Id="rId38" Type="http://schemas.openxmlformats.org/officeDocument/2006/relationships/hyperlink" Target="http://www.undp.org.sa/sa/.../cpap_narrative_review_final-mwt-matrix.do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yperlink" Target="http://www.qu.edu.qa/business/research/collegejournal/archives/CBE_Journal_Vol11_Chapter_205.pdf" TargetMode="External"/><Relationship Id="rId41" Type="http://schemas.openxmlformats.org/officeDocument/2006/relationships/hyperlink" Target="http://data.worldbank.org/about/faq/specific-data-se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menafn.com/updates/research_center/Saudi_Arabia/Economic/kamco150611e.pdf" TargetMode="External"/><Relationship Id="rId32" Type="http://schemas.openxmlformats.org/officeDocument/2006/relationships/hyperlink" Target="http://arabnews.com/economy/article454902.ece" TargetMode="External"/><Relationship Id="rId37" Type="http://schemas.openxmlformats.org/officeDocument/2006/relationships/hyperlink" Target="http://www.undp.org.sa/sa/documents/home/cpd_2007_2011.pdf" TargetMode="External"/><Relationship Id="rId40" Type="http://schemas.openxmlformats.org/officeDocument/2006/relationships/hyperlink" Target="http://www.doingbusiness.org/ranking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globalinv.net/research/KSA-economic-overview-022012.pdf" TargetMode="External"/><Relationship Id="rId28" Type="http://schemas.openxmlformats.org/officeDocument/2006/relationships/hyperlink" Target="http://www.thenational.ae/business/economy/saudi-reaches-out-to-diversify-its-economy" TargetMode="External"/><Relationship Id="rId36" Type="http://schemas.openxmlformats.org/officeDocument/2006/relationships/hyperlink" Target="http://intra.undp.org/eo/documents/methodology/rbm/RBM-technical-note.doc"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yperlink" Target="http://www.mep.gov.sa/index.jsp;jsessionid=7587746E923F7BF1B822164456479332.beta?event=ArticleView&amp;Article.ObjectID=45" TargetMode="External"/><Relationship Id="rId44" Type="http://schemas.openxmlformats.org/officeDocument/2006/relationships/hyperlink" Target="http://gcr.weforum.org/gcr2011/"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2.jpeg"/><Relationship Id="rId27" Type="http://schemas.openxmlformats.org/officeDocument/2006/relationships/hyperlink" Target="http://blogs.worldbank.org/peoplemove/node/1392" TargetMode="External"/><Relationship Id="rId30" Type="http://schemas.openxmlformats.org/officeDocument/2006/relationships/hyperlink" Target="http://www.sagia.gov.sa/en/Why-Saudi-Arabia/A-Commitment-To-The-Best/National-Competitiveness-Center/" TargetMode="External"/><Relationship Id="rId35" Type="http://schemas.openxmlformats.org/officeDocument/2006/relationships/hyperlink" Target="http://www.sct.gov.sa/publications/DownloadServlet?fid.." TargetMode="External"/><Relationship Id="rId43" Type="http://schemas.openxmlformats.org/officeDocument/2006/relationships/hyperlink" Target="http://web.worldbank.org/WBSITE/EXTERNAL/COUNTRIES/MENAEXT/0,,contentMDK:20261828~pagePK:146736~piPK:146830~theSitePK:256299,00.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ata.worldbank.org/indicator/BX.KLT.DINV.CD.WD" TargetMode="External"/><Relationship Id="rId2" Type="http://schemas.openxmlformats.org/officeDocument/2006/relationships/hyperlink" Target="http://tsdb.mas.gov.sa/" TargetMode="External"/><Relationship Id="rId1" Type="http://schemas.openxmlformats.org/officeDocument/2006/relationships/hyperlink" Target="http://www.imf.org/external/pubs/ft/weo/2011/02/weodata/weorept.aspx?sy=2006&amp;ey=2011&amp;scsm=1&amp;ssd=1&amp;sort=country&amp;ds=.&amp;br=1&amp;c=456&amp;s=BCA&amp;grp=0&amp;a=&amp;pr1.x=55&amp;pr1.y=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Countries\Saudi%20Arabia\Data\GDP%20components.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ocuments\Countries\Saudi%20Arabia\Data\GDP%20componentsSA%20CDSI,MEP,WB.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ocuments\Countries\Saudi%20Arabia\Data\GDP%20by%20sector%20w%20calc.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ocuments\Countries\Saudi%20Arabia\Data\GDP%20components.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ocuments\Countries\Saudi%20Arabia\Data\GDP%20component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Countries\Saudi%20Arabia\Data\GDP%20componentsSA%20CDSI,MEP,WB.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Countries\Saudi%20Arabia\Data\GDP%20componentsSA%20CDSI,MEP,WB.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Countries\Saudi%20Arabia\Data\GDP%20componentsSA%20CDSI,MEP,WB.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Countries\Saudi%20Arabia\Data\GDP%20componentsSA%20CDSI,MEP,WB.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Countries\Saudi%20Arabia\Data\GDP%20componentsSA%20CDSI,MEP,WB.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cuments\Countries\Saudi%20Arabia\Data\GDP%20component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cuments\Countries\Saudi%20Arabia\Data\GDP%20component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ocuments\Countries\Saudi%20Arabia\Data\Tourist%20Trips%20by%20Purpose%20Of%20Visit%202004-200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Per capita income, 1992-2009</a:t>
            </a:r>
          </a:p>
        </c:rich>
      </c:tx>
    </c:title>
    <c:plotArea>
      <c:layout/>
      <c:lineChart>
        <c:grouping val="standard"/>
        <c:ser>
          <c:idx val="0"/>
          <c:order val="0"/>
          <c:tx>
            <c:strRef>
              <c:f>'Calc on 2001-11'!$B$28</c:f>
              <c:strCache>
                <c:ptCount val="1"/>
                <c:pt idx="0">
                  <c:v>Per capita income</c:v>
                </c:pt>
              </c:strCache>
            </c:strRef>
          </c:tx>
          <c:marker>
            <c:symbol val="none"/>
          </c:marker>
          <c:cat>
            <c:numRef>
              <c:f>'Calc on 2001-11'!$C$27:$T$27</c:f>
              <c:numCache>
                <c:formatCode>General</c:formatCode>
                <c:ptCount val="1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numCache>
            </c:numRef>
          </c:cat>
          <c:val>
            <c:numRef>
              <c:f>'Calc on 2001-11'!$C$28:$T$28</c:f>
              <c:numCache>
                <c:formatCode>#,##0</c:formatCode>
                <c:ptCount val="18"/>
                <c:pt idx="0">
                  <c:v>8620</c:v>
                </c:pt>
                <c:pt idx="1">
                  <c:v>8200</c:v>
                </c:pt>
                <c:pt idx="2">
                  <c:v>7800</c:v>
                </c:pt>
                <c:pt idx="3">
                  <c:v>7860</c:v>
                </c:pt>
                <c:pt idx="4">
                  <c:v>8250</c:v>
                </c:pt>
                <c:pt idx="5">
                  <c:v>8600</c:v>
                </c:pt>
                <c:pt idx="6">
                  <c:v>8300</c:v>
                </c:pt>
                <c:pt idx="7">
                  <c:v>8050</c:v>
                </c:pt>
                <c:pt idx="8">
                  <c:v>8390</c:v>
                </c:pt>
                <c:pt idx="9">
                  <c:v>8660</c:v>
                </c:pt>
                <c:pt idx="10">
                  <c:v>8610</c:v>
                </c:pt>
                <c:pt idx="11">
                  <c:v>9280</c:v>
                </c:pt>
                <c:pt idx="12">
                  <c:v>10530</c:v>
                </c:pt>
                <c:pt idx="13">
                  <c:v>12230</c:v>
                </c:pt>
                <c:pt idx="14">
                  <c:v>13630</c:v>
                </c:pt>
                <c:pt idx="15">
                  <c:v>14790</c:v>
                </c:pt>
                <c:pt idx="16">
                  <c:v>16790</c:v>
                </c:pt>
                <c:pt idx="17">
                  <c:v>16190</c:v>
                </c:pt>
              </c:numCache>
            </c:numRef>
          </c:val>
        </c:ser>
        <c:marker val="1"/>
        <c:axId val="74476160"/>
        <c:axId val="76108160"/>
      </c:lineChart>
      <c:catAx>
        <c:axId val="74476160"/>
        <c:scaling>
          <c:orientation val="minMax"/>
        </c:scaling>
        <c:axPos val="b"/>
        <c:numFmt formatCode="General" sourceLinked="1"/>
        <c:tickLblPos val="nextTo"/>
        <c:crossAx val="76108160"/>
        <c:crosses val="autoZero"/>
        <c:auto val="1"/>
        <c:lblAlgn val="ctr"/>
        <c:lblOffset val="100"/>
      </c:catAx>
      <c:valAx>
        <c:axId val="76108160"/>
        <c:scaling>
          <c:orientation val="minMax"/>
        </c:scaling>
        <c:axPos val="l"/>
        <c:majorGridlines/>
        <c:title>
          <c:tx>
            <c:rich>
              <a:bodyPr rot="-5400000" vert="horz"/>
              <a:lstStyle/>
              <a:p>
                <a:pPr>
                  <a:defRPr sz="800" b="0"/>
                </a:pPr>
                <a:r>
                  <a:rPr lang="en-US" sz="800" b="0"/>
                  <a:t>Current USD equivalent</a:t>
                </a:r>
              </a:p>
            </c:rich>
          </c:tx>
        </c:title>
        <c:numFmt formatCode="#,##0" sourceLinked="1"/>
        <c:tickLblPos val="nextTo"/>
        <c:txPr>
          <a:bodyPr/>
          <a:lstStyle/>
          <a:p>
            <a:pPr>
              <a:defRPr sz="800">
                <a:latin typeface="Arial Narrow" pitchFamily="34" charset="0"/>
              </a:defRPr>
            </a:pPr>
            <a:endParaRPr lang="en-US"/>
          </a:p>
        </c:txPr>
        <c:crossAx val="74476160"/>
        <c:crosses val="autoZero"/>
        <c:crossBetween val="between"/>
      </c:valAx>
      <c:dTable>
        <c:showHorzBorder val="1"/>
        <c:showVertBorder val="1"/>
        <c:showOutline val="1"/>
        <c:txPr>
          <a:bodyPr/>
          <a:lstStyle/>
          <a:p>
            <a:pPr rtl="0">
              <a:defRPr sz="700">
                <a:latin typeface="Arial Narrow" pitchFamily="34" charset="0"/>
              </a:defRPr>
            </a:pPr>
            <a:endParaRPr lang="en-US"/>
          </a:p>
        </c:txPr>
      </c:dTable>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0" i="0" u="none" strike="noStrike" baseline="0">
                <a:solidFill>
                  <a:srgbClr val="000000"/>
                </a:solidFill>
                <a:latin typeface="Calibri"/>
                <a:ea typeface="Calibri"/>
                <a:cs typeface="Calibri"/>
              </a:defRPr>
            </a:pPr>
            <a:r>
              <a:rPr lang="en-CA" sz="1200" b="1" i="0" u="none" strike="noStrike" baseline="0">
                <a:solidFill>
                  <a:srgbClr val="000000"/>
                </a:solidFill>
                <a:latin typeface="Calibri"/>
              </a:rPr>
              <a:t>GDP by economic activity sector, </a:t>
            </a:r>
            <a:r>
              <a:rPr lang="en-CA" sz="800" b="1" i="0" u="none" strike="noStrike" baseline="0">
                <a:solidFill>
                  <a:srgbClr val="000000"/>
                </a:solidFill>
                <a:latin typeface="Calibri"/>
              </a:rPr>
              <a:t>at constant 1999 prices </a:t>
            </a:r>
          </a:p>
        </c:rich>
      </c:tx>
    </c:title>
    <c:plotArea>
      <c:layout/>
      <c:barChart>
        <c:barDir val="col"/>
        <c:grouping val="clustered"/>
        <c:ser>
          <c:idx val="0"/>
          <c:order val="0"/>
          <c:tx>
            <c:strRef>
              <c:f>'Calculations 2006-11'!$I$34</c:f>
              <c:strCache>
                <c:ptCount val="1"/>
                <c:pt idx="0">
                  <c:v>Agriculture, Forestry &amp; Fishing</c:v>
                </c:pt>
              </c:strCache>
            </c:strRef>
          </c:tx>
          <c:cat>
            <c:strRef>
              <c:f>'Calculations 2006-11'!$J$33:$O$33</c:f>
              <c:strCache>
                <c:ptCount val="6"/>
                <c:pt idx="0">
                  <c:v>2006</c:v>
                </c:pt>
                <c:pt idx="1">
                  <c:v>2007</c:v>
                </c:pt>
                <c:pt idx="2">
                  <c:v>2008</c:v>
                </c:pt>
                <c:pt idx="3">
                  <c:v>2009</c:v>
                </c:pt>
                <c:pt idx="4">
                  <c:v>2010</c:v>
                </c:pt>
                <c:pt idx="5">
                  <c:v>* 2011</c:v>
                </c:pt>
              </c:strCache>
            </c:strRef>
          </c:cat>
          <c:val>
            <c:numRef>
              <c:f>'Calculations 2006-11'!$J$34:$O$34</c:f>
              <c:numCache>
                <c:formatCode>0.00</c:formatCode>
                <c:ptCount val="6"/>
                <c:pt idx="0">
                  <c:v>4.9275876519426776</c:v>
                </c:pt>
                <c:pt idx="1">
                  <c:v>4.9196559976394409</c:v>
                </c:pt>
                <c:pt idx="2">
                  <c:v>4.7517565060495679</c:v>
                </c:pt>
                <c:pt idx="3">
                  <c:v>4.7238854008888636</c:v>
                </c:pt>
                <c:pt idx="4">
                  <c:v>4.5657209913012053</c:v>
                </c:pt>
                <c:pt idx="5">
                  <c:v>4.3936665917060864</c:v>
                </c:pt>
              </c:numCache>
            </c:numRef>
          </c:val>
        </c:ser>
        <c:ser>
          <c:idx val="1"/>
          <c:order val="1"/>
          <c:tx>
            <c:strRef>
              <c:f>'Calculations 2006-11'!$I$35</c:f>
              <c:strCache>
                <c:ptCount val="1"/>
                <c:pt idx="0">
                  <c:v>Mining &amp; Quarrying</c:v>
                </c:pt>
              </c:strCache>
            </c:strRef>
          </c:tx>
          <c:cat>
            <c:strRef>
              <c:f>'Calculations 2006-11'!$J$33:$O$33</c:f>
              <c:strCache>
                <c:ptCount val="6"/>
                <c:pt idx="0">
                  <c:v>2006</c:v>
                </c:pt>
                <c:pt idx="1">
                  <c:v>2007</c:v>
                </c:pt>
                <c:pt idx="2">
                  <c:v>2008</c:v>
                </c:pt>
                <c:pt idx="3">
                  <c:v>2009</c:v>
                </c:pt>
                <c:pt idx="4">
                  <c:v>2010</c:v>
                </c:pt>
                <c:pt idx="5">
                  <c:v>* 2011</c:v>
                </c:pt>
              </c:strCache>
            </c:strRef>
          </c:cat>
          <c:val>
            <c:numRef>
              <c:f>'Calculations 2006-11'!$J$35:$O$35</c:f>
              <c:numCache>
                <c:formatCode>0.00</c:formatCode>
                <c:ptCount val="6"/>
                <c:pt idx="0">
                  <c:v>27.849383973296277</c:v>
                </c:pt>
                <c:pt idx="1">
                  <c:v>26.195141109694891</c:v>
                </c:pt>
                <c:pt idx="2">
                  <c:v>26.199812362585185</c:v>
                </c:pt>
                <c:pt idx="3">
                  <c:v>23.912285782514374</c:v>
                </c:pt>
                <c:pt idx="4">
                  <c:v>23.354495492752768</c:v>
                </c:pt>
                <c:pt idx="5">
                  <c:v>22.807124397724916</c:v>
                </c:pt>
              </c:numCache>
            </c:numRef>
          </c:val>
        </c:ser>
        <c:ser>
          <c:idx val="2"/>
          <c:order val="2"/>
          <c:tx>
            <c:strRef>
              <c:f>'Calculations 2006-11'!$I$36</c:f>
              <c:strCache>
                <c:ptCount val="1"/>
                <c:pt idx="0">
                  <c:v>Manufacturing</c:v>
                </c:pt>
              </c:strCache>
            </c:strRef>
          </c:tx>
          <c:cat>
            <c:strRef>
              <c:f>'Calculations 2006-11'!$J$33:$O$33</c:f>
              <c:strCache>
                <c:ptCount val="6"/>
                <c:pt idx="0">
                  <c:v>2006</c:v>
                </c:pt>
                <c:pt idx="1">
                  <c:v>2007</c:v>
                </c:pt>
                <c:pt idx="2">
                  <c:v>2008</c:v>
                </c:pt>
                <c:pt idx="3">
                  <c:v>2009</c:v>
                </c:pt>
                <c:pt idx="4">
                  <c:v>2010</c:v>
                </c:pt>
                <c:pt idx="5">
                  <c:v>* 2011</c:v>
                </c:pt>
              </c:strCache>
            </c:strRef>
          </c:cat>
          <c:val>
            <c:numRef>
              <c:f>'Calculations 2006-11'!$J$36:$O$36</c:f>
              <c:numCache>
                <c:formatCode>0.00</c:formatCode>
                <c:ptCount val="6"/>
                <c:pt idx="0">
                  <c:v>11.748176872595618</c:v>
                </c:pt>
                <c:pt idx="1">
                  <c:v>12.175995515604175</c:v>
                </c:pt>
                <c:pt idx="2">
                  <c:v>12.379437567175689</c:v>
                </c:pt>
                <c:pt idx="3">
                  <c:v>12.557734839012646</c:v>
                </c:pt>
                <c:pt idx="4">
                  <c:v>12.632885973995689</c:v>
                </c:pt>
                <c:pt idx="5">
                  <c:v>13.294557178014013</c:v>
                </c:pt>
              </c:numCache>
            </c:numRef>
          </c:val>
        </c:ser>
        <c:ser>
          <c:idx val="3"/>
          <c:order val="3"/>
          <c:tx>
            <c:strRef>
              <c:f>'Calculations 2006-11'!$I$37</c:f>
              <c:strCache>
                <c:ptCount val="1"/>
                <c:pt idx="0">
                  <c:v>Electricity, Gas and Water</c:v>
                </c:pt>
              </c:strCache>
            </c:strRef>
          </c:tx>
          <c:cat>
            <c:strRef>
              <c:f>'Calculations 2006-11'!$J$33:$O$33</c:f>
              <c:strCache>
                <c:ptCount val="6"/>
                <c:pt idx="0">
                  <c:v>2006</c:v>
                </c:pt>
                <c:pt idx="1">
                  <c:v>2007</c:v>
                </c:pt>
                <c:pt idx="2">
                  <c:v>2008</c:v>
                </c:pt>
                <c:pt idx="3">
                  <c:v>2009</c:v>
                </c:pt>
                <c:pt idx="4">
                  <c:v>2010</c:v>
                </c:pt>
                <c:pt idx="5">
                  <c:v>* 2011</c:v>
                </c:pt>
              </c:strCache>
            </c:strRef>
          </c:cat>
          <c:val>
            <c:numRef>
              <c:f>'Calculations 2006-11'!$J$37:$O$37</c:f>
              <c:numCache>
                <c:formatCode>0.00</c:formatCode>
                <c:ptCount val="6"/>
                <c:pt idx="0">
                  <c:v>1.6060799927505121</c:v>
                </c:pt>
                <c:pt idx="1">
                  <c:v>1.6382780096539173</c:v>
                </c:pt>
                <c:pt idx="2">
                  <c:v>1.6765775772566542</c:v>
                </c:pt>
                <c:pt idx="3">
                  <c:v>1.7890377826089559</c:v>
                </c:pt>
                <c:pt idx="4">
                  <c:v>1.8452788475005995</c:v>
                </c:pt>
                <c:pt idx="5">
                  <c:v>1.8001771712931876</c:v>
                </c:pt>
              </c:numCache>
            </c:numRef>
          </c:val>
        </c:ser>
        <c:ser>
          <c:idx val="4"/>
          <c:order val="4"/>
          <c:tx>
            <c:strRef>
              <c:f>'Calculations 2006-11'!$I$38</c:f>
              <c:strCache>
                <c:ptCount val="1"/>
                <c:pt idx="0">
                  <c:v>Construction</c:v>
                </c:pt>
              </c:strCache>
            </c:strRef>
          </c:tx>
          <c:cat>
            <c:strRef>
              <c:f>'Calculations 2006-11'!$J$33:$O$33</c:f>
              <c:strCache>
                <c:ptCount val="6"/>
                <c:pt idx="0">
                  <c:v>2006</c:v>
                </c:pt>
                <c:pt idx="1">
                  <c:v>2007</c:v>
                </c:pt>
                <c:pt idx="2">
                  <c:v>2008</c:v>
                </c:pt>
                <c:pt idx="3">
                  <c:v>2009</c:v>
                </c:pt>
                <c:pt idx="4">
                  <c:v>2010</c:v>
                </c:pt>
                <c:pt idx="5">
                  <c:v>* 2011</c:v>
                </c:pt>
              </c:strCache>
            </c:strRef>
          </c:cat>
          <c:val>
            <c:numRef>
              <c:f>'Calculations 2006-11'!$J$38:$O$38</c:f>
              <c:numCache>
                <c:formatCode>0.00</c:formatCode>
                <c:ptCount val="6"/>
                <c:pt idx="0">
                  <c:v>6.9382851933890892</c:v>
                </c:pt>
                <c:pt idx="1">
                  <c:v>7.0802666290744734</c:v>
                </c:pt>
                <c:pt idx="2">
                  <c:v>6.8923216396418212</c:v>
                </c:pt>
                <c:pt idx="3">
                  <c:v>6.9279263281443955</c:v>
                </c:pt>
                <c:pt idx="4">
                  <c:v>7.1385363242376965</c:v>
                </c:pt>
                <c:pt idx="5">
                  <c:v>7.4625164790227245</c:v>
                </c:pt>
              </c:numCache>
            </c:numRef>
          </c:val>
        </c:ser>
        <c:ser>
          <c:idx val="5"/>
          <c:order val="5"/>
          <c:tx>
            <c:strRef>
              <c:f>'Calculations 2006-11'!$I$39</c:f>
              <c:strCache>
                <c:ptCount val="1"/>
                <c:pt idx="0">
                  <c:v>Wholesale &amp; Retail Trade, Restaurants &amp; Hotels</c:v>
                </c:pt>
              </c:strCache>
            </c:strRef>
          </c:tx>
          <c:cat>
            <c:strRef>
              <c:f>'Calculations 2006-11'!$J$33:$O$33</c:f>
              <c:strCache>
                <c:ptCount val="6"/>
                <c:pt idx="0">
                  <c:v>2006</c:v>
                </c:pt>
                <c:pt idx="1">
                  <c:v>2007</c:v>
                </c:pt>
                <c:pt idx="2">
                  <c:v>2008</c:v>
                </c:pt>
                <c:pt idx="3">
                  <c:v>2009</c:v>
                </c:pt>
                <c:pt idx="4">
                  <c:v>2010</c:v>
                </c:pt>
                <c:pt idx="5">
                  <c:v>* 2011</c:v>
                </c:pt>
              </c:strCache>
            </c:strRef>
          </c:cat>
          <c:val>
            <c:numRef>
              <c:f>'Calculations 2006-11'!$J$39:$O$39</c:f>
              <c:numCache>
                <c:formatCode>0.00</c:formatCode>
                <c:ptCount val="6"/>
                <c:pt idx="0">
                  <c:v>8.0103196739566656</c:v>
                </c:pt>
                <c:pt idx="1">
                  <c:v>8.3385496564005201</c:v>
                </c:pt>
                <c:pt idx="2">
                  <c:v>8.5168187240262707</c:v>
                </c:pt>
                <c:pt idx="3">
                  <c:v>8.7213351631603384</c:v>
                </c:pt>
                <c:pt idx="4">
                  <c:v>9.008995913416868</c:v>
                </c:pt>
                <c:pt idx="5">
                  <c:v>8.9804079419026248</c:v>
                </c:pt>
              </c:numCache>
            </c:numRef>
          </c:val>
        </c:ser>
        <c:ser>
          <c:idx val="6"/>
          <c:order val="6"/>
          <c:tx>
            <c:strRef>
              <c:f>'Calculations 2006-11'!$I$40</c:f>
              <c:strCache>
                <c:ptCount val="1"/>
                <c:pt idx="0">
                  <c:v>Transport, Storage &amp; Communication</c:v>
                </c:pt>
              </c:strCache>
            </c:strRef>
          </c:tx>
          <c:cat>
            <c:strRef>
              <c:f>'Calculations 2006-11'!$J$33:$O$33</c:f>
              <c:strCache>
                <c:ptCount val="6"/>
                <c:pt idx="0">
                  <c:v>2006</c:v>
                </c:pt>
                <c:pt idx="1">
                  <c:v>2007</c:v>
                </c:pt>
                <c:pt idx="2">
                  <c:v>2008</c:v>
                </c:pt>
                <c:pt idx="3">
                  <c:v>2009</c:v>
                </c:pt>
                <c:pt idx="4">
                  <c:v>2010</c:v>
                </c:pt>
                <c:pt idx="5">
                  <c:v>* 2011</c:v>
                </c:pt>
              </c:strCache>
            </c:strRef>
          </c:cat>
          <c:val>
            <c:numRef>
              <c:f>'Calculations 2006-11'!$J$40:$O$40</c:f>
              <c:numCache>
                <c:formatCode>0.00</c:formatCode>
                <c:ptCount val="6"/>
                <c:pt idx="0">
                  <c:v>5.7430526808129034</c:v>
                </c:pt>
                <c:pt idx="1">
                  <c:v>6.2035828012766485</c:v>
                </c:pt>
                <c:pt idx="2">
                  <c:v>6.6762692562301034</c:v>
                </c:pt>
                <c:pt idx="3">
                  <c:v>7.1625367334869168</c:v>
                </c:pt>
                <c:pt idx="4">
                  <c:v>7.3914651548747434</c:v>
                </c:pt>
                <c:pt idx="5">
                  <c:v>7.6235153524017489</c:v>
                </c:pt>
              </c:numCache>
            </c:numRef>
          </c:val>
        </c:ser>
        <c:ser>
          <c:idx val="7"/>
          <c:order val="7"/>
          <c:tx>
            <c:strRef>
              <c:f>'Calculations 2006-11'!$I$41</c:f>
              <c:strCache>
                <c:ptCount val="1"/>
                <c:pt idx="0">
                  <c:v> Finance, Insurance, Real Estate &amp; Business Services</c:v>
                </c:pt>
              </c:strCache>
            </c:strRef>
          </c:tx>
          <c:cat>
            <c:strRef>
              <c:f>'Calculations 2006-11'!$J$33:$O$33</c:f>
              <c:strCache>
                <c:ptCount val="6"/>
                <c:pt idx="0">
                  <c:v>2006</c:v>
                </c:pt>
                <c:pt idx="1">
                  <c:v>2007</c:v>
                </c:pt>
                <c:pt idx="2">
                  <c:v>2008</c:v>
                </c:pt>
                <c:pt idx="3">
                  <c:v>2009</c:v>
                </c:pt>
                <c:pt idx="4">
                  <c:v>2010</c:v>
                </c:pt>
                <c:pt idx="5">
                  <c:v>* 2011</c:v>
                </c:pt>
              </c:strCache>
            </c:strRef>
          </c:cat>
          <c:val>
            <c:numRef>
              <c:f>'Calculations 2006-11'!$J$41:$O$41</c:f>
              <c:numCache>
                <c:formatCode>0.00</c:formatCode>
                <c:ptCount val="6"/>
                <c:pt idx="0">
                  <c:v>12.531195974133418</c:v>
                </c:pt>
                <c:pt idx="1">
                  <c:v>12.754751807561519</c:v>
                </c:pt>
                <c:pt idx="2">
                  <c:v>12.531586458896102</c:v>
                </c:pt>
                <c:pt idx="3">
                  <c:v>12.846418295168872</c:v>
                </c:pt>
                <c:pt idx="4">
                  <c:v>12.469078608624622</c:v>
                </c:pt>
                <c:pt idx="5">
                  <c:v>11.991044163956653</c:v>
                </c:pt>
              </c:numCache>
            </c:numRef>
          </c:val>
        </c:ser>
        <c:ser>
          <c:idx val="8"/>
          <c:order val="8"/>
          <c:tx>
            <c:strRef>
              <c:f>'Calculations 2006-11'!$I$42</c:f>
              <c:strCache>
                <c:ptCount val="1"/>
                <c:pt idx="0">
                  <c:v>Community, Social &amp; Personal Services</c:v>
                </c:pt>
              </c:strCache>
            </c:strRef>
          </c:tx>
          <c:cat>
            <c:strRef>
              <c:f>'Calculations 2006-11'!$J$33:$O$33</c:f>
              <c:strCache>
                <c:ptCount val="6"/>
                <c:pt idx="0">
                  <c:v>2006</c:v>
                </c:pt>
                <c:pt idx="1">
                  <c:v>2007</c:v>
                </c:pt>
                <c:pt idx="2">
                  <c:v>2008</c:v>
                </c:pt>
                <c:pt idx="3">
                  <c:v>2009</c:v>
                </c:pt>
                <c:pt idx="4">
                  <c:v>2010</c:v>
                </c:pt>
                <c:pt idx="5">
                  <c:v>* 2011</c:v>
                </c:pt>
              </c:strCache>
            </c:strRef>
          </c:cat>
          <c:val>
            <c:numRef>
              <c:f>'Calculations 2006-11'!$J$42:$O$42</c:f>
              <c:numCache>
                <c:formatCode>0.00</c:formatCode>
                <c:ptCount val="6"/>
                <c:pt idx="0">
                  <c:v>3.7517551416675281</c:v>
                </c:pt>
                <c:pt idx="1">
                  <c:v>3.7767006274373411</c:v>
                </c:pt>
                <c:pt idx="2">
                  <c:v>3.710923932087788</c:v>
                </c:pt>
                <c:pt idx="3">
                  <c:v>3.8553615366773482</c:v>
                </c:pt>
                <c:pt idx="4">
                  <c:v>3.9017693760634784</c:v>
                </c:pt>
                <c:pt idx="5">
                  <c:v>4.0173215357553049</c:v>
                </c:pt>
              </c:numCache>
            </c:numRef>
          </c:val>
        </c:ser>
        <c:ser>
          <c:idx val="9"/>
          <c:order val="9"/>
          <c:tx>
            <c:strRef>
              <c:f>'Calculations 2006-11'!$I$43</c:f>
              <c:strCache>
                <c:ptCount val="1"/>
                <c:pt idx="0">
                  <c:v>Government Services</c:v>
                </c:pt>
              </c:strCache>
            </c:strRef>
          </c:tx>
          <c:cat>
            <c:strRef>
              <c:f>'Calculations 2006-11'!$J$33:$O$33</c:f>
              <c:strCache>
                <c:ptCount val="6"/>
                <c:pt idx="0">
                  <c:v>2006</c:v>
                </c:pt>
                <c:pt idx="1">
                  <c:v>2007</c:v>
                </c:pt>
                <c:pt idx="2">
                  <c:v>2008</c:v>
                </c:pt>
                <c:pt idx="3">
                  <c:v>2009</c:v>
                </c:pt>
                <c:pt idx="4">
                  <c:v>2010</c:v>
                </c:pt>
                <c:pt idx="5">
                  <c:v>* 2011</c:v>
                </c:pt>
              </c:strCache>
            </c:strRef>
          </c:cat>
          <c:val>
            <c:numRef>
              <c:f>'Calculations 2006-11'!$J$43:$O$43</c:f>
              <c:numCache>
                <c:formatCode>0.00</c:formatCode>
                <c:ptCount val="6"/>
                <c:pt idx="0">
                  <c:v>17.694743000660026</c:v>
                </c:pt>
                <c:pt idx="1">
                  <c:v>17.678781385917723</c:v>
                </c:pt>
                <c:pt idx="2">
                  <c:v>17.366897410609031</c:v>
                </c:pt>
                <c:pt idx="3">
                  <c:v>18.222331996453789</c:v>
                </c:pt>
                <c:pt idx="4">
                  <c:v>18.336491102606931</c:v>
                </c:pt>
                <c:pt idx="5">
                  <c:v>18.233896935449902</c:v>
                </c:pt>
              </c:numCache>
            </c:numRef>
          </c:val>
        </c:ser>
        <c:axId val="82398592"/>
        <c:axId val="82404480"/>
      </c:barChart>
      <c:catAx>
        <c:axId val="82398592"/>
        <c:scaling>
          <c:orientation val="minMax"/>
        </c:scaling>
        <c:axPos val="b"/>
        <c:numFmt formatCode="General" sourceLinked="1"/>
        <c:tickLblPos val="nextTo"/>
        <c:txPr>
          <a:bodyPr rot="0" vert="horz"/>
          <a:lstStyle/>
          <a:p>
            <a:pPr>
              <a:defRPr sz="900" b="0" i="0" u="none" strike="noStrike" baseline="0">
                <a:solidFill>
                  <a:srgbClr val="000000"/>
                </a:solidFill>
                <a:latin typeface="Arial Narrow"/>
                <a:ea typeface="Arial Narrow"/>
                <a:cs typeface="Arial Narrow"/>
              </a:defRPr>
            </a:pPr>
            <a:endParaRPr lang="en-US"/>
          </a:p>
        </c:txPr>
        <c:crossAx val="82404480"/>
        <c:crosses val="autoZero"/>
        <c:auto val="1"/>
        <c:lblAlgn val="ctr"/>
        <c:lblOffset val="100"/>
      </c:catAx>
      <c:valAx>
        <c:axId val="82404480"/>
        <c:scaling>
          <c:orientation val="minMax"/>
        </c:scaling>
        <c:axPos val="l"/>
        <c:majorGridlines/>
        <c:title>
          <c:tx>
            <c:rich>
              <a:bodyPr/>
              <a:lstStyle/>
              <a:p>
                <a:pPr>
                  <a:defRPr sz="1000" b="0" i="0" u="none" strike="noStrike" baseline="0">
                    <a:solidFill>
                      <a:srgbClr val="000000"/>
                    </a:solidFill>
                    <a:latin typeface="Calibri"/>
                    <a:ea typeface="Calibri"/>
                    <a:cs typeface="Calibri"/>
                  </a:defRPr>
                </a:pPr>
                <a:r>
                  <a:rPr lang="en-CA"/>
                  <a:t>percent  share</a:t>
                </a:r>
              </a:p>
            </c:rich>
          </c:tx>
        </c:title>
        <c:numFmt formatCode="0.00"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82398592"/>
        <c:crosses val="autoZero"/>
        <c:crossBetween val="between"/>
      </c:valAx>
    </c:plotArea>
    <c:legend>
      <c:legendPos val="r"/>
      <c:txPr>
        <a:bodyPr/>
        <a:lstStyle/>
        <a:p>
          <a:pPr>
            <a:defRPr sz="920" b="0" i="0" u="none" strike="noStrike" baseline="0">
              <a:solidFill>
                <a:srgbClr val="000000"/>
              </a:solidFill>
              <a:latin typeface="Calibri"/>
              <a:ea typeface="Calibri"/>
              <a:cs typeface="Calibri"/>
            </a:defRPr>
          </a:pPr>
          <a:endParaRPr lang="en-US"/>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GDP (% distribution), by institutional sectors, </a:t>
            </a:r>
            <a:r>
              <a:rPr lang="en-US" sz="800"/>
              <a:t>1999 constant</a:t>
            </a:r>
            <a:r>
              <a:rPr lang="en-US" sz="800" baseline="0"/>
              <a:t> prices</a:t>
            </a:r>
            <a:endParaRPr lang="en-US" sz="800"/>
          </a:p>
        </c:rich>
      </c:tx>
    </c:title>
    <c:plotArea>
      <c:layout/>
      <c:lineChart>
        <c:grouping val="standard"/>
        <c:ser>
          <c:idx val="0"/>
          <c:order val="0"/>
          <c:tx>
            <c:strRef>
              <c:f>Calculations!$A$20</c:f>
              <c:strCache>
                <c:ptCount val="1"/>
                <c:pt idx="0">
                  <c:v>Oil Sector</c:v>
                </c:pt>
              </c:strCache>
            </c:strRef>
          </c:tx>
          <c:cat>
            <c:strRef>
              <c:f>Calculations!$B$19:$G$19</c:f>
              <c:strCache>
                <c:ptCount val="6"/>
                <c:pt idx="0">
                  <c:v>2006</c:v>
                </c:pt>
                <c:pt idx="1">
                  <c:v>2007</c:v>
                </c:pt>
                <c:pt idx="2">
                  <c:v>2008</c:v>
                </c:pt>
                <c:pt idx="3">
                  <c:v>2009</c:v>
                </c:pt>
                <c:pt idx="4">
                  <c:v>2010</c:v>
                </c:pt>
                <c:pt idx="5">
                  <c:v>* 2011</c:v>
                </c:pt>
              </c:strCache>
            </c:strRef>
          </c:cat>
          <c:val>
            <c:numRef>
              <c:f>Calculations!$B$20:$G$20</c:f>
              <c:numCache>
                <c:formatCode>0</c:formatCode>
                <c:ptCount val="6"/>
                <c:pt idx="0">
                  <c:v>31.701047958657192</c:v>
                </c:pt>
                <c:pt idx="1">
                  <c:v>29.945249712071195</c:v>
                </c:pt>
                <c:pt idx="2">
                  <c:v>29.926718730917589</c:v>
                </c:pt>
                <c:pt idx="3">
                  <c:v>27.562364014964089</c:v>
                </c:pt>
                <c:pt idx="4">
                  <c:v>26.970608578148489</c:v>
                </c:pt>
                <c:pt idx="5">
                  <c:v>26.354811538320327</c:v>
                </c:pt>
              </c:numCache>
            </c:numRef>
          </c:val>
        </c:ser>
        <c:ser>
          <c:idx val="1"/>
          <c:order val="1"/>
          <c:tx>
            <c:strRef>
              <c:f>Calculations!$A$21</c:f>
              <c:strCache>
                <c:ptCount val="1"/>
                <c:pt idx="0">
                  <c:v>Non- Oil  Sector</c:v>
                </c:pt>
              </c:strCache>
            </c:strRef>
          </c:tx>
          <c:cat>
            <c:strRef>
              <c:f>Calculations!$B$19:$G$19</c:f>
              <c:strCache>
                <c:ptCount val="6"/>
                <c:pt idx="0">
                  <c:v>2006</c:v>
                </c:pt>
                <c:pt idx="1">
                  <c:v>2007</c:v>
                </c:pt>
                <c:pt idx="2">
                  <c:v>2008</c:v>
                </c:pt>
                <c:pt idx="3">
                  <c:v>2009</c:v>
                </c:pt>
                <c:pt idx="4">
                  <c:v>2010</c:v>
                </c:pt>
                <c:pt idx="5">
                  <c:v>* 2011</c:v>
                </c:pt>
              </c:strCache>
            </c:strRef>
          </c:cat>
          <c:val>
            <c:numRef>
              <c:f>Calculations!$B$21:$G$21</c:f>
              <c:numCache>
                <c:formatCode>0</c:formatCode>
                <c:ptCount val="6"/>
                <c:pt idx="0">
                  <c:v>67.141762586159459</c:v>
                </c:pt>
                <c:pt idx="1">
                  <c:v>68.883263306115367</c:v>
                </c:pt>
                <c:pt idx="2">
                  <c:v>68.918518387569819</c:v>
                </c:pt>
                <c:pt idx="3">
                  <c:v>71.26037348962862</c:v>
                </c:pt>
                <c:pt idx="4">
                  <c:v>71.840305252428806</c:v>
                </c:pt>
                <c:pt idx="5">
                  <c:v>72.504248003437482</c:v>
                </c:pt>
              </c:numCache>
            </c:numRef>
          </c:val>
        </c:ser>
        <c:marker val="1"/>
        <c:axId val="82375424"/>
        <c:axId val="82376960"/>
      </c:lineChart>
      <c:catAx>
        <c:axId val="82375424"/>
        <c:scaling>
          <c:orientation val="minMax"/>
        </c:scaling>
        <c:axPos val="b"/>
        <c:numFmt formatCode="General" sourceLinked="1"/>
        <c:tickLblPos val="nextTo"/>
        <c:crossAx val="82376960"/>
        <c:crosses val="autoZero"/>
        <c:auto val="1"/>
        <c:lblAlgn val="ctr"/>
        <c:lblOffset val="100"/>
      </c:catAx>
      <c:valAx>
        <c:axId val="82376960"/>
        <c:scaling>
          <c:orientation val="minMax"/>
        </c:scaling>
        <c:axPos val="l"/>
        <c:majorGridlines/>
        <c:numFmt formatCode="0" sourceLinked="1"/>
        <c:tickLblPos val="nextTo"/>
        <c:crossAx val="82375424"/>
        <c:crosses val="autoZero"/>
        <c:crossBetween val="between"/>
      </c:valAx>
      <c:dTable>
        <c:showHorzBorder val="1"/>
        <c:showVertBorder val="1"/>
        <c:showOutline val="1"/>
        <c:showKeys val="1"/>
      </c:dTable>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latin typeface="Arial" pitchFamily="34" charset="0"/>
                <a:cs typeface="Arial" pitchFamily="34" charset="0"/>
              </a:rPr>
              <a:t>Foreign direct investment, net inflows </a:t>
            </a:r>
            <a:r>
              <a:rPr lang="en-US" sz="800">
                <a:latin typeface="Arial" pitchFamily="34" charset="0"/>
                <a:cs typeface="Arial" pitchFamily="34" charset="0"/>
              </a:rPr>
              <a:t>(BoP, current US$ millions) http://data.worldbank.org/indicator/BX.KLT.DINV.CD.WD</a:t>
            </a:r>
          </a:p>
        </c:rich>
      </c:tx>
    </c:title>
    <c:plotArea>
      <c:layout/>
      <c:lineChart>
        <c:grouping val="standard"/>
        <c:ser>
          <c:idx val="0"/>
          <c:order val="0"/>
          <c:tx>
            <c:strRef>
              <c:f>'FDI WB-IMF'!$B$8</c:f>
              <c:strCache>
                <c:ptCount val="1"/>
                <c:pt idx="0">
                  <c:v>FDI net</c:v>
                </c:pt>
              </c:strCache>
            </c:strRef>
          </c:tx>
          <c:marker>
            <c:symbol val="none"/>
          </c:marker>
          <c:cat>
            <c:numRef>
              <c:f>'FDI WB-IMF'!$C$7:$F$7</c:f>
              <c:numCache>
                <c:formatCode>General</c:formatCode>
                <c:ptCount val="4"/>
                <c:pt idx="0">
                  <c:v>2007</c:v>
                </c:pt>
                <c:pt idx="1">
                  <c:v>2008</c:v>
                </c:pt>
                <c:pt idx="2">
                  <c:v>2009</c:v>
                </c:pt>
                <c:pt idx="3">
                  <c:v>2010</c:v>
                </c:pt>
              </c:numCache>
            </c:numRef>
          </c:cat>
          <c:val>
            <c:numRef>
              <c:f>'FDI WB-IMF'!$C$8:$F$8</c:f>
              <c:numCache>
                <c:formatCode>#,##0</c:formatCode>
                <c:ptCount val="4"/>
                <c:pt idx="0">
                  <c:v>24333.838275999897</c:v>
                </c:pt>
                <c:pt idx="1">
                  <c:v>39455.001562999998</c:v>
                </c:pt>
                <c:pt idx="2">
                  <c:v>36457.666666999998</c:v>
                </c:pt>
                <c:pt idx="3">
                  <c:v>21560.173332999992</c:v>
                </c:pt>
              </c:numCache>
            </c:numRef>
          </c:val>
        </c:ser>
        <c:marker val="1"/>
        <c:axId val="82434688"/>
        <c:axId val="82837888"/>
      </c:lineChart>
      <c:catAx>
        <c:axId val="82434688"/>
        <c:scaling>
          <c:orientation val="minMax"/>
        </c:scaling>
        <c:axPos val="b"/>
        <c:numFmt formatCode="General" sourceLinked="1"/>
        <c:tickLblPos val="nextTo"/>
        <c:crossAx val="82837888"/>
        <c:crosses val="autoZero"/>
        <c:auto val="1"/>
        <c:lblAlgn val="ctr"/>
        <c:lblOffset val="100"/>
      </c:catAx>
      <c:valAx>
        <c:axId val="82837888"/>
        <c:scaling>
          <c:orientation val="minMax"/>
        </c:scaling>
        <c:axPos val="l"/>
        <c:majorGridlines/>
        <c:numFmt formatCode="#,##0" sourceLinked="1"/>
        <c:tickLblPos val="nextTo"/>
        <c:crossAx val="82434688"/>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0"/>
              <a:t>FDI net </a:t>
            </a:r>
            <a:r>
              <a:rPr lang="en-US" sz="800">
                <a:latin typeface="Arial" pitchFamily="34" charset="0"/>
                <a:cs typeface="Arial" pitchFamily="34" charset="0"/>
              </a:rPr>
              <a:t>(US$, millions)</a:t>
            </a:r>
            <a:r>
              <a:rPr lang="en-US"/>
              <a:t> </a:t>
            </a:r>
            <a:r>
              <a:rPr lang="en-US" sz="800" b="1" i="0" u="none" strike="noStrike" baseline="0"/>
              <a:t>http://data.worldbank.org/indicator/BX.KLT.DINV.CD.WD</a:t>
            </a:r>
            <a:endParaRPr lang="en-US" sz="800"/>
          </a:p>
        </c:rich>
      </c:tx>
    </c:title>
    <c:plotArea>
      <c:layout/>
      <c:lineChart>
        <c:grouping val="standard"/>
        <c:ser>
          <c:idx val="0"/>
          <c:order val="0"/>
          <c:tx>
            <c:strRef>
              <c:f>'FDI WB-IMF'!$B$13</c:f>
              <c:strCache>
                <c:ptCount val="1"/>
                <c:pt idx="0">
                  <c:v>FDI net</c:v>
                </c:pt>
              </c:strCache>
            </c:strRef>
          </c:tx>
          <c:marker>
            <c:symbol val="none"/>
          </c:marker>
          <c:cat>
            <c:numRef>
              <c:f>'FDI WB-IMF'!$C$12:$K$12</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'FDI WB-IMF'!$C$13:$K$13</c:f>
              <c:numCache>
                <c:formatCode>#,##0</c:formatCode>
                <c:ptCount val="9"/>
                <c:pt idx="0">
                  <c:v>614.13333300000352</c:v>
                </c:pt>
                <c:pt idx="1">
                  <c:v>-586.50666699999749</c:v>
                </c:pt>
                <c:pt idx="2">
                  <c:v>-334.32</c:v>
                </c:pt>
                <c:pt idx="3">
                  <c:v>12106.749694</c:v>
                </c:pt>
                <c:pt idx="4">
                  <c:v>18317.489987000001</c:v>
                </c:pt>
                <c:pt idx="5">
                  <c:v>24333.838275999897</c:v>
                </c:pt>
                <c:pt idx="6">
                  <c:v>39455.001562999998</c:v>
                </c:pt>
                <c:pt idx="7">
                  <c:v>36457.666666999998</c:v>
                </c:pt>
                <c:pt idx="8">
                  <c:v>21560.173332999992</c:v>
                </c:pt>
              </c:numCache>
            </c:numRef>
          </c:val>
        </c:ser>
        <c:marker val="1"/>
        <c:axId val="82861440"/>
        <c:axId val="82867328"/>
      </c:lineChart>
      <c:catAx>
        <c:axId val="82861440"/>
        <c:scaling>
          <c:orientation val="minMax"/>
        </c:scaling>
        <c:axPos val="b"/>
        <c:numFmt formatCode="General" sourceLinked="1"/>
        <c:tickLblPos val="nextTo"/>
        <c:crossAx val="82867328"/>
        <c:crosses val="autoZero"/>
        <c:auto val="1"/>
        <c:lblAlgn val="ctr"/>
        <c:lblOffset val="100"/>
        <c:tickLblSkip val="1"/>
      </c:catAx>
      <c:valAx>
        <c:axId val="82867328"/>
        <c:scaling>
          <c:orientation val="minMax"/>
        </c:scaling>
        <c:axPos val="l"/>
        <c:majorGridlines/>
        <c:numFmt formatCode="#,##0" sourceLinked="1"/>
        <c:tickLblPos val="nextTo"/>
        <c:crossAx val="8286144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CA" sz="1200"/>
              <a:t>Per capita income and cost-of-living increase</a:t>
            </a:r>
          </a:p>
        </c:rich>
      </c:tx>
    </c:title>
    <c:plotArea>
      <c:layout/>
      <c:lineChart>
        <c:grouping val="standard"/>
        <c:ser>
          <c:idx val="0"/>
          <c:order val="0"/>
          <c:tx>
            <c:strRef>
              <c:f>'Calc on 2001-11'!$A$32</c:f>
              <c:strCache>
                <c:ptCount val="1"/>
                <c:pt idx="0">
                  <c:v>Per capita income (current '000 USD)</c:v>
                </c:pt>
              </c:strCache>
            </c:strRef>
          </c:tx>
          <c:marker>
            <c:symbol val="none"/>
          </c:marker>
          <c:cat>
            <c:numRef>
              <c:f>'Calc on 2001-11'!$B$31:$F$31</c:f>
              <c:numCache>
                <c:formatCode>General</c:formatCode>
                <c:ptCount val="5"/>
                <c:pt idx="0">
                  <c:v>2004</c:v>
                </c:pt>
                <c:pt idx="1">
                  <c:v>2005</c:v>
                </c:pt>
                <c:pt idx="2">
                  <c:v>2006</c:v>
                </c:pt>
                <c:pt idx="3">
                  <c:v>2007</c:v>
                </c:pt>
                <c:pt idx="4">
                  <c:v>2008</c:v>
                </c:pt>
              </c:numCache>
            </c:numRef>
          </c:cat>
          <c:val>
            <c:numRef>
              <c:f>'Calc on 2001-11'!$B$32:$F$32</c:f>
              <c:numCache>
                <c:formatCode>0.0</c:formatCode>
                <c:ptCount val="5"/>
                <c:pt idx="0">
                  <c:v>10.53</c:v>
                </c:pt>
                <c:pt idx="1">
                  <c:v>12.23</c:v>
                </c:pt>
                <c:pt idx="2">
                  <c:v>13.63</c:v>
                </c:pt>
                <c:pt idx="3">
                  <c:v>14.79</c:v>
                </c:pt>
                <c:pt idx="4">
                  <c:v>16.79</c:v>
                </c:pt>
              </c:numCache>
            </c:numRef>
          </c:val>
        </c:ser>
        <c:ser>
          <c:idx val="1"/>
          <c:order val="1"/>
          <c:tx>
            <c:strRef>
              <c:f>'Calc on 2001-11'!$A$33</c:f>
              <c:strCache>
                <c:ptCount val="1"/>
                <c:pt idx="0">
                  <c:v>Cost of Living (1999=100)  % change</c:v>
                </c:pt>
              </c:strCache>
            </c:strRef>
          </c:tx>
          <c:marker>
            <c:symbol val="none"/>
          </c:marker>
          <c:cat>
            <c:numRef>
              <c:f>'Calc on 2001-11'!$B$31:$F$31</c:f>
              <c:numCache>
                <c:formatCode>General</c:formatCode>
                <c:ptCount val="5"/>
                <c:pt idx="0">
                  <c:v>2004</c:v>
                </c:pt>
                <c:pt idx="1">
                  <c:v>2005</c:v>
                </c:pt>
                <c:pt idx="2">
                  <c:v>2006</c:v>
                </c:pt>
                <c:pt idx="3">
                  <c:v>2007</c:v>
                </c:pt>
                <c:pt idx="4">
                  <c:v>2008</c:v>
                </c:pt>
              </c:numCache>
            </c:numRef>
          </c:cat>
          <c:val>
            <c:numRef>
              <c:f>'Calc on 2001-11'!$B$33:$F$33</c:f>
              <c:numCache>
                <c:formatCode>General</c:formatCode>
                <c:ptCount val="5"/>
                <c:pt idx="0">
                  <c:v>0.30000000000000032</c:v>
                </c:pt>
                <c:pt idx="1">
                  <c:v>0.70000000000000062</c:v>
                </c:pt>
                <c:pt idx="2">
                  <c:v>2.2000000000000002</c:v>
                </c:pt>
                <c:pt idx="3">
                  <c:v>4.0999999999999996</c:v>
                </c:pt>
                <c:pt idx="4">
                  <c:v>9.9</c:v>
                </c:pt>
              </c:numCache>
            </c:numRef>
          </c:val>
        </c:ser>
        <c:marker val="1"/>
        <c:axId val="76139136"/>
        <c:axId val="76145024"/>
      </c:lineChart>
      <c:catAx>
        <c:axId val="76139136"/>
        <c:scaling>
          <c:orientation val="minMax"/>
        </c:scaling>
        <c:axPos val="b"/>
        <c:numFmt formatCode="General" sourceLinked="1"/>
        <c:tickLblPos val="nextTo"/>
        <c:crossAx val="76145024"/>
        <c:crosses val="autoZero"/>
        <c:auto val="1"/>
        <c:lblAlgn val="ctr"/>
        <c:lblOffset val="100"/>
      </c:catAx>
      <c:valAx>
        <c:axId val="76145024"/>
        <c:scaling>
          <c:orientation val="minMax"/>
        </c:scaling>
        <c:axPos val="l"/>
        <c:majorGridlines/>
        <c:numFmt formatCode="0.0" sourceLinked="1"/>
        <c:tickLblPos val="nextTo"/>
        <c:txPr>
          <a:bodyPr/>
          <a:lstStyle/>
          <a:p>
            <a:pPr>
              <a:defRPr sz="800">
                <a:latin typeface="Arial Narrow" pitchFamily="34" charset="0"/>
              </a:defRPr>
            </a:pPr>
            <a:endParaRPr lang="en-US"/>
          </a:p>
        </c:txPr>
        <c:crossAx val="76139136"/>
        <c:crosses val="autoZero"/>
        <c:crossBetween val="between"/>
      </c:valAx>
      <c:dTable>
        <c:showHorzBorder val="1"/>
        <c:showVertBorder val="1"/>
        <c:showOutline val="1"/>
        <c:showKeys val="1"/>
        <c:txPr>
          <a:bodyPr/>
          <a:lstStyle/>
          <a:p>
            <a:pPr rtl="0">
              <a:defRPr sz="800">
                <a:latin typeface="Arial Narrow" pitchFamily="34" charset="0"/>
              </a:defRPr>
            </a:pPr>
            <a:endParaRPr lang="en-US"/>
          </a:p>
        </c:txPr>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200"/>
          </a:pPr>
          <a:endParaRPr lang="en-US"/>
        </a:p>
      </c:txPr>
    </c:title>
    <c:plotArea>
      <c:layout/>
      <c:lineChart>
        <c:grouping val="standard"/>
        <c:ser>
          <c:idx val="0"/>
          <c:order val="0"/>
          <c:tx>
            <c:strRef>
              <c:f>'MEP data'!$B$74</c:f>
              <c:strCache>
                <c:ptCount val="1"/>
                <c:pt idx="0">
                  <c:v>Growth in Real-GDP (%)  </c:v>
                </c:pt>
              </c:strCache>
            </c:strRef>
          </c:tx>
          <c:marker>
            <c:symbol val="none"/>
          </c:marker>
          <c:cat>
            <c:strRef>
              <c:f>'MEP data'!$C$73:$G$73</c:f>
              <c:strCache>
                <c:ptCount val="5"/>
                <c:pt idx="0">
                  <c:v>2007</c:v>
                </c:pt>
                <c:pt idx="1">
                  <c:v>2008</c:v>
                </c:pt>
                <c:pt idx="2">
                  <c:v>2009</c:v>
                </c:pt>
                <c:pt idx="3">
                  <c:v>2010r</c:v>
                </c:pt>
                <c:pt idx="4">
                  <c:v>2011p</c:v>
                </c:pt>
              </c:strCache>
            </c:strRef>
          </c:cat>
          <c:val>
            <c:numRef>
              <c:f>'MEP data'!$C$74:$G$74</c:f>
              <c:numCache>
                <c:formatCode>#,##0.0</c:formatCode>
                <c:ptCount val="5"/>
                <c:pt idx="0">
                  <c:v>2.0170407579322092</c:v>
                </c:pt>
                <c:pt idx="1">
                  <c:v>4.2285633081570779</c:v>
                </c:pt>
                <c:pt idx="2">
                  <c:v>9.6276549304946044E-2</c:v>
                </c:pt>
                <c:pt idx="3">
                  <c:v>4.6418014237613834</c:v>
                </c:pt>
                <c:pt idx="4">
                  <c:v>6.8</c:v>
                </c:pt>
              </c:numCache>
            </c:numRef>
          </c:val>
        </c:ser>
        <c:marker val="1"/>
        <c:axId val="82076800"/>
        <c:axId val="82078336"/>
      </c:lineChart>
      <c:catAx>
        <c:axId val="82076800"/>
        <c:scaling>
          <c:orientation val="minMax"/>
        </c:scaling>
        <c:axPos val="b"/>
        <c:tickLblPos val="nextTo"/>
        <c:crossAx val="82078336"/>
        <c:crosses val="autoZero"/>
        <c:auto val="1"/>
        <c:lblAlgn val="ctr"/>
        <c:lblOffset val="100"/>
      </c:catAx>
      <c:valAx>
        <c:axId val="82078336"/>
        <c:scaling>
          <c:orientation val="minMax"/>
        </c:scaling>
        <c:axPos val="l"/>
        <c:majorGridlines/>
        <c:numFmt formatCode="#,##0.0" sourceLinked="1"/>
        <c:tickLblPos val="nextTo"/>
        <c:crossAx val="82076800"/>
        <c:crosses val="autoZero"/>
        <c:crossBetween val="between"/>
      </c:valAx>
      <c:dTable>
        <c:showHorzBorder val="1"/>
        <c:showVertBorder val="1"/>
        <c:showOutline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pPr>
            <a:r>
              <a:rPr lang="en-US" sz="1200"/>
              <a:t>GDP growth rate, by sectors, 2004-2011</a:t>
            </a:r>
          </a:p>
        </c:rich>
      </c:tx>
    </c:title>
    <c:plotArea>
      <c:layout/>
      <c:lineChart>
        <c:grouping val="standard"/>
        <c:ser>
          <c:idx val="0"/>
          <c:order val="0"/>
          <c:tx>
            <c:strRef>
              <c:f>'MEP data'!$A$101</c:f>
              <c:strCache>
                <c:ptCount val="1"/>
                <c:pt idx="0">
                  <c:v>Growth in Real-GDP (%)  </c:v>
                </c:pt>
              </c:strCache>
            </c:strRef>
          </c:tx>
          <c:marker>
            <c:symbol val="none"/>
          </c:marker>
          <c:cat>
            <c:strRef>
              <c:f>'MEP data'!$B$100:$I$100</c:f>
              <c:strCache>
                <c:ptCount val="8"/>
                <c:pt idx="0">
                  <c:v>2004</c:v>
                </c:pt>
                <c:pt idx="1">
                  <c:v>2005</c:v>
                </c:pt>
                <c:pt idx="2">
                  <c:v>2006</c:v>
                </c:pt>
                <c:pt idx="3">
                  <c:v>2007</c:v>
                </c:pt>
                <c:pt idx="4">
                  <c:v>2008</c:v>
                </c:pt>
                <c:pt idx="5">
                  <c:v>2009</c:v>
                </c:pt>
                <c:pt idx="6">
                  <c:v>2010r</c:v>
                </c:pt>
                <c:pt idx="7">
                  <c:v>2011p</c:v>
                </c:pt>
              </c:strCache>
            </c:strRef>
          </c:cat>
          <c:val>
            <c:numRef>
              <c:f>'MEP data'!$B$101:$I$101</c:f>
              <c:numCache>
                <c:formatCode>#,##0.0</c:formatCode>
                <c:ptCount val="8"/>
                <c:pt idx="0">
                  <c:v>5.2769679300291594</c:v>
                </c:pt>
                <c:pt idx="1">
                  <c:v>5.5524785378011359</c:v>
                </c:pt>
                <c:pt idx="2">
                  <c:v>3.1549258821986115</c:v>
                </c:pt>
                <c:pt idx="3">
                  <c:v>2.0170407579322092</c:v>
                </c:pt>
                <c:pt idx="4">
                  <c:v>4.2285633081570779</c:v>
                </c:pt>
                <c:pt idx="5">
                  <c:v>9.6276549304946044E-2</c:v>
                </c:pt>
                <c:pt idx="6">
                  <c:v>4.6418014237613834</c:v>
                </c:pt>
                <c:pt idx="7">
                  <c:v>6.8</c:v>
                </c:pt>
              </c:numCache>
            </c:numRef>
          </c:val>
        </c:ser>
        <c:ser>
          <c:idx val="1"/>
          <c:order val="1"/>
          <c:tx>
            <c:strRef>
              <c:f>'MEP data'!$A$102</c:f>
              <c:strCache>
                <c:ptCount val="1"/>
                <c:pt idx="0">
                  <c:v>Growth in Private Sector (%)  </c:v>
                </c:pt>
              </c:strCache>
            </c:strRef>
          </c:tx>
          <c:marker>
            <c:symbol val="none"/>
          </c:marker>
          <c:cat>
            <c:strRef>
              <c:f>'MEP data'!$B$100:$I$100</c:f>
              <c:strCache>
                <c:ptCount val="8"/>
                <c:pt idx="0">
                  <c:v>2004</c:v>
                </c:pt>
                <c:pt idx="1">
                  <c:v>2005</c:v>
                </c:pt>
                <c:pt idx="2">
                  <c:v>2006</c:v>
                </c:pt>
                <c:pt idx="3">
                  <c:v>2007</c:v>
                </c:pt>
                <c:pt idx="4">
                  <c:v>2008</c:v>
                </c:pt>
                <c:pt idx="5">
                  <c:v>2009</c:v>
                </c:pt>
                <c:pt idx="6">
                  <c:v>2010r</c:v>
                </c:pt>
                <c:pt idx="7">
                  <c:v>2011p</c:v>
                </c:pt>
              </c:strCache>
            </c:strRef>
          </c:cat>
          <c:val>
            <c:numRef>
              <c:f>'MEP data'!$B$102:$I$102</c:f>
              <c:numCache>
                <c:formatCode>#,##0.0</c:formatCode>
                <c:ptCount val="8"/>
                <c:pt idx="0">
                  <c:v>5.7</c:v>
                </c:pt>
                <c:pt idx="1">
                  <c:v>5.7</c:v>
                </c:pt>
                <c:pt idx="2">
                  <c:v>5.9</c:v>
                </c:pt>
                <c:pt idx="3">
                  <c:v>5.2</c:v>
                </c:pt>
                <c:pt idx="4">
                  <c:v>4.8</c:v>
                </c:pt>
                <c:pt idx="5">
                  <c:v>2.6</c:v>
                </c:pt>
                <c:pt idx="6">
                  <c:v>5.4</c:v>
                </c:pt>
                <c:pt idx="7">
                  <c:v>8.1</c:v>
                </c:pt>
              </c:numCache>
            </c:numRef>
          </c:val>
        </c:ser>
        <c:ser>
          <c:idx val="2"/>
          <c:order val="2"/>
          <c:tx>
            <c:strRef>
              <c:f>'MEP data'!$A$103</c:f>
              <c:strCache>
                <c:ptCount val="1"/>
                <c:pt idx="0">
                  <c:v>Growth in Government Sector (%)  </c:v>
                </c:pt>
              </c:strCache>
            </c:strRef>
          </c:tx>
          <c:marker>
            <c:symbol val="none"/>
          </c:marker>
          <c:cat>
            <c:strRef>
              <c:f>'MEP data'!$B$100:$I$100</c:f>
              <c:strCache>
                <c:ptCount val="8"/>
                <c:pt idx="0">
                  <c:v>2004</c:v>
                </c:pt>
                <c:pt idx="1">
                  <c:v>2005</c:v>
                </c:pt>
                <c:pt idx="2">
                  <c:v>2006</c:v>
                </c:pt>
                <c:pt idx="3">
                  <c:v>2007</c:v>
                </c:pt>
                <c:pt idx="4">
                  <c:v>2008</c:v>
                </c:pt>
                <c:pt idx="5">
                  <c:v>2009</c:v>
                </c:pt>
                <c:pt idx="6">
                  <c:v>2010r</c:v>
                </c:pt>
                <c:pt idx="7">
                  <c:v>2011p</c:v>
                </c:pt>
              </c:strCache>
            </c:strRef>
          </c:cat>
          <c:val>
            <c:numRef>
              <c:f>'MEP data'!$B$103:$I$103</c:f>
              <c:numCache>
                <c:formatCode>#,##0.0</c:formatCode>
                <c:ptCount val="8"/>
                <c:pt idx="0">
                  <c:v>2.2000000000000002</c:v>
                </c:pt>
                <c:pt idx="1">
                  <c:v>3.3</c:v>
                </c:pt>
                <c:pt idx="2">
                  <c:v>1.9000000000000001</c:v>
                </c:pt>
                <c:pt idx="3">
                  <c:v>1.9000000000000001</c:v>
                </c:pt>
                <c:pt idx="4">
                  <c:v>2.4</c:v>
                </c:pt>
                <c:pt idx="5">
                  <c:v>5</c:v>
                </c:pt>
                <c:pt idx="6">
                  <c:v>5.3</c:v>
                </c:pt>
                <c:pt idx="7">
                  <c:v>6.2</c:v>
                </c:pt>
              </c:numCache>
            </c:numRef>
          </c:val>
        </c:ser>
        <c:ser>
          <c:idx val="3"/>
          <c:order val="3"/>
          <c:tx>
            <c:strRef>
              <c:f>'MEP data'!$A$104</c:f>
              <c:strCache>
                <c:ptCount val="1"/>
                <c:pt idx="0">
                  <c:v>Growth in Oil Sector (%)</c:v>
                </c:pt>
              </c:strCache>
            </c:strRef>
          </c:tx>
          <c:marker>
            <c:symbol val="none"/>
          </c:marker>
          <c:cat>
            <c:strRef>
              <c:f>'MEP data'!$B$100:$I$100</c:f>
              <c:strCache>
                <c:ptCount val="8"/>
                <c:pt idx="0">
                  <c:v>2004</c:v>
                </c:pt>
                <c:pt idx="1">
                  <c:v>2005</c:v>
                </c:pt>
                <c:pt idx="2">
                  <c:v>2006</c:v>
                </c:pt>
                <c:pt idx="3">
                  <c:v>2007</c:v>
                </c:pt>
                <c:pt idx="4">
                  <c:v>2008</c:v>
                </c:pt>
                <c:pt idx="5">
                  <c:v>2009</c:v>
                </c:pt>
                <c:pt idx="6">
                  <c:v>2010r</c:v>
                </c:pt>
                <c:pt idx="7">
                  <c:v>2011p</c:v>
                </c:pt>
              </c:strCache>
            </c:strRef>
          </c:cat>
          <c:val>
            <c:numRef>
              <c:f>'MEP data'!$B$104:$I$104</c:f>
              <c:numCache>
                <c:formatCode>#,##0.0</c:formatCode>
                <c:ptCount val="8"/>
                <c:pt idx="0">
                  <c:v>6.6</c:v>
                </c:pt>
                <c:pt idx="1">
                  <c:v>6.6</c:v>
                </c:pt>
                <c:pt idx="2">
                  <c:v>-1.1000000000000001</c:v>
                </c:pt>
                <c:pt idx="3">
                  <c:v>-4.0999999999999996</c:v>
                </c:pt>
                <c:pt idx="4">
                  <c:v>4.3</c:v>
                </c:pt>
                <c:pt idx="5">
                  <c:v>-8.8000000000000007</c:v>
                </c:pt>
                <c:pt idx="6">
                  <c:v>2.2000000000000002</c:v>
                </c:pt>
                <c:pt idx="7">
                  <c:v>4.3</c:v>
                </c:pt>
              </c:numCache>
            </c:numRef>
          </c:val>
        </c:ser>
        <c:marker val="1"/>
        <c:axId val="82114432"/>
        <c:axId val="82115968"/>
      </c:lineChart>
      <c:catAx>
        <c:axId val="82114432"/>
        <c:scaling>
          <c:orientation val="minMax"/>
        </c:scaling>
        <c:axPos val="b"/>
        <c:tickLblPos val="nextTo"/>
        <c:txPr>
          <a:bodyPr/>
          <a:lstStyle/>
          <a:p>
            <a:pPr>
              <a:defRPr sz="800">
                <a:latin typeface="Arial Narrow" pitchFamily="34" charset="0"/>
              </a:defRPr>
            </a:pPr>
            <a:endParaRPr lang="en-US"/>
          </a:p>
        </c:txPr>
        <c:crossAx val="82115968"/>
        <c:crosses val="autoZero"/>
        <c:auto val="1"/>
        <c:lblAlgn val="ctr"/>
        <c:lblOffset val="100"/>
      </c:catAx>
      <c:valAx>
        <c:axId val="82115968"/>
        <c:scaling>
          <c:orientation val="minMax"/>
        </c:scaling>
        <c:axPos val="l"/>
        <c:majorGridlines/>
        <c:numFmt formatCode="#,##0.0" sourceLinked="1"/>
        <c:tickLblPos val="nextTo"/>
        <c:txPr>
          <a:bodyPr/>
          <a:lstStyle/>
          <a:p>
            <a:pPr>
              <a:defRPr sz="800">
                <a:latin typeface="Arial Narrow" pitchFamily="34" charset="0"/>
              </a:defRPr>
            </a:pPr>
            <a:endParaRPr lang="en-US"/>
          </a:p>
        </c:txPr>
        <c:crossAx val="8211443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100">
                <a:latin typeface="Arial Narrow" pitchFamily="34" charset="0"/>
              </a:rPr>
              <a:t>a. Total population</a:t>
            </a:r>
          </a:p>
        </c:rich>
      </c:tx>
      <c:layout>
        <c:manualLayout>
          <c:xMode val="edge"/>
          <c:yMode val="edge"/>
          <c:x val="0.69569265748652276"/>
          <c:y val="7.9417942282882126E-2"/>
        </c:manualLayout>
      </c:layout>
      <c:overlay val="1"/>
    </c:title>
    <c:plotArea>
      <c:layout/>
      <c:barChart>
        <c:barDir val="col"/>
        <c:grouping val="clustered"/>
        <c:ser>
          <c:idx val="0"/>
          <c:order val="0"/>
          <c:tx>
            <c:strRef>
              <c:f>'MEP data'!$L$16</c:f>
              <c:strCache>
                <c:ptCount val="1"/>
                <c:pt idx="0">
                  <c:v>Total Population (Million persons)</c:v>
                </c:pt>
              </c:strCache>
            </c:strRef>
          </c:tx>
          <c:cat>
            <c:strRef>
              <c:f>'MEP data'!$M$15:$S$15</c:f>
              <c:strCache>
                <c:ptCount val="7"/>
                <c:pt idx="0">
                  <c:v>2004</c:v>
                </c:pt>
                <c:pt idx="1">
                  <c:v>2005</c:v>
                </c:pt>
                <c:pt idx="2">
                  <c:v>2006</c:v>
                </c:pt>
                <c:pt idx="3">
                  <c:v>2007</c:v>
                </c:pt>
                <c:pt idx="4">
                  <c:v>2008</c:v>
                </c:pt>
                <c:pt idx="5">
                  <c:v>2009</c:v>
                </c:pt>
                <c:pt idx="6">
                  <c:v>2010r</c:v>
                </c:pt>
              </c:strCache>
            </c:strRef>
          </c:cat>
          <c:val>
            <c:numRef>
              <c:f>'MEP data'!$M$16:$S$16</c:f>
              <c:numCache>
                <c:formatCode>0.00</c:formatCode>
                <c:ptCount val="7"/>
                <c:pt idx="0">
                  <c:v>22.563886</c:v>
                </c:pt>
                <c:pt idx="1">
                  <c:v>23.329584000000001</c:v>
                </c:pt>
                <c:pt idx="2">
                  <c:v>24.121890000000231</c:v>
                </c:pt>
                <c:pt idx="3">
                  <c:v>24.941298</c:v>
                </c:pt>
                <c:pt idx="4">
                  <c:v>25.787025</c:v>
                </c:pt>
                <c:pt idx="5">
                  <c:v>26.660857000000131</c:v>
                </c:pt>
                <c:pt idx="6">
                  <c:v>27.563431999999889</c:v>
                </c:pt>
              </c:numCache>
            </c:numRef>
          </c:val>
        </c:ser>
        <c:ser>
          <c:idx val="1"/>
          <c:order val="1"/>
          <c:tx>
            <c:strRef>
              <c:f>'MEP data'!$L$17</c:f>
              <c:strCache>
                <c:ptCount val="1"/>
                <c:pt idx="0">
                  <c:v>Saudis </c:v>
                </c:pt>
              </c:strCache>
            </c:strRef>
          </c:tx>
          <c:cat>
            <c:strRef>
              <c:f>'MEP data'!$M$15:$S$15</c:f>
              <c:strCache>
                <c:ptCount val="7"/>
                <c:pt idx="0">
                  <c:v>2004</c:v>
                </c:pt>
                <c:pt idx="1">
                  <c:v>2005</c:v>
                </c:pt>
                <c:pt idx="2">
                  <c:v>2006</c:v>
                </c:pt>
                <c:pt idx="3">
                  <c:v>2007</c:v>
                </c:pt>
                <c:pt idx="4">
                  <c:v>2008</c:v>
                </c:pt>
                <c:pt idx="5">
                  <c:v>2009</c:v>
                </c:pt>
                <c:pt idx="6">
                  <c:v>2010r</c:v>
                </c:pt>
              </c:strCache>
            </c:strRef>
          </c:cat>
          <c:val>
            <c:numRef>
              <c:f>'MEP data'!$M$17:$S$17</c:f>
              <c:numCache>
                <c:formatCode>0.00</c:formatCode>
                <c:ptCount val="7"/>
                <c:pt idx="0">
                  <c:v>16.443987</c:v>
                </c:pt>
                <c:pt idx="1">
                  <c:v>16.854157000000235</c:v>
                </c:pt>
                <c:pt idx="2">
                  <c:v>17.270181000000001</c:v>
                </c:pt>
                <c:pt idx="3">
                  <c:v>17.691336</c:v>
                </c:pt>
                <c:pt idx="4">
                  <c:v>18.115549999999889</c:v>
                </c:pt>
                <c:pt idx="5">
                  <c:v>18.543245999999989</c:v>
                </c:pt>
                <c:pt idx="6">
                  <c:v>18.973614999999889</c:v>
                </c:pt>
              </c:numCache>
            </c:numRef>
          </c:val>
        </c:ser>
        <c:ser>
          <c:idx val="2"/>
          <c:order val="2"/>
          <c:tx>
            <c:strRef>
              <c:f>'MEP data'!$L$18</c:f>
              <c:strCache>
                <c:ptCount val="1"/>
                <c:pt idx="0">
                  <c:v>Non-Saudis </c:v>
                </c:pt>
              </c:strCache>
            </c:strRef>
          </c:tx>
          <c:cat>
            <c:strRef>
              <c:f>'MEP data'!$M$15:$S$15</c:f>
              <c:strCache>
                <c:ptCount val="7"/>
                <c:pt idx="0">
                  <c:v>2004</c:v>
                </c:pt>
                <c:pt idx="1">
                  <c:v>2005</c:v>
                </c:pt>
                <c:pt idx="2">
                  <c:v>2006</c:v>
                </c:pt>
                <c:pt idx="3">
                  <c:v>2007</c:v>
                </c:pt>
                <c:pt idx="4">
                  <c:v>2008</c:v>
                </c:pt>
                <c:pt idx="5">
                  <c:v>2009</c:v>
                </c:pt>
                <c:pt idx="6">
                  <c:v>2010r</c:v>
                </c:pt>
              </c:strCache>
            </c:strRef>
          </c:cat>
          <c:val>
            <c:numRef>
              <c:f>'MEP data'!$M$18:$S$18</c:f>
              <c:numCache>
                <c:formatCode>0.00</c:formatCode>
                <c:ptCount val="7"/>
                <c:pt idx="0">
                  <c:v>6.1198990000000002</c:v>
                </c:pt>
                <c:pt idx="1">
                  <c:v>6.4754269999999998</c:v>
                </c:pt>
                <c:pt idx="2">
                  <c:v>6.8517089999999996</c:v>
                </c:pt>
                <c:pt idx="3">
                  <c:v>7.2499620000000133</c:v>
                </c:pt>
                <c:pt idx="4">
                  <c:v>7.671475</c:v>
                </c:pt>
                <c:pt idx="5">
                  <c:v>8.1176110000000001</c:v>
                </c:pt>
                <c:pt idx="6">
                  <c:v>8.589817</c:v>
                </c:pt>
              </c:numCache>
            </c:numRef>
          </c:val>
        </c:ser>
        <c:axId val="82166912"/>
        <c:axId val="82168448"/>
      </c:barChart>
      <c:catAx>
        <c:axId val="82166912"/>
        <c:scaling>
          <c:orientation val="minMax"/>
        </c:scaling>
        <c:axPos val="b"/>
        <c:numFmt formatCode="General" sourceLinked="1"/>
        <c:tickLblPos val="nextTo"/>
        <c:crossAx val="82168448"/>
        <c:crosses val="autoZero"/>
        <c:auto val="1"/>
        <c:lblAlgn val="ctr"/>
        <c:lblOffset val="100"/>
      </c:catAx>
      <c:valAx>
        <c:axId val="82168448"/>
        <c:scaling>
          <c:orientation val="minMax"/>
        </c:scaling>
        <c:axPos val="l"/>
        <c:majorGridlines/>
        <c:numFmt formatCode="0.00" sourceLinked="1"/>
        <c:tickLblPos val="nextTo"/>
        <c:crossAx val="82166912"/>
        <c:crosses val="autoZero"/>
        <c:crossBetween val="between"/>
      </c:valAx>
    </c:plotArea>
    <c:legend>
      <c:legendPos val="r"/>
      <c:layout>
        <c:manualLayout>
          <c:xMode val="edge"/>
          <c:yMode val="edge"/>
          <c:x val="0.71225131233595795"/>
          <c:y val="0.5463029621297335"/>
          <c:w val="0.26830424321960356"/>
          <c:h val="0.39416656251302362"/>
        </c:manualLayout>
      </c:layout>
      <c:txPr>
        <a:bodyPr/>
        <a:lstStyle/>
        <a:p>
          <a:pPr>
            <a:defRPr sz="800">
              <a:latin typeface="Arial Narrow" pitchFamily="34" charset="0"/>
            </a:defRPr>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Arial Narrow" pitchFamily="34" charset="0"/>
              </a:defRPr>
            </a:pPr>
            <a:r>
              <a:rPr lang="en-US" sz="1200">
                <a:latin typeface="Arial Narrow" pitchFamily="34" charset="0"/>
              </a:rPr>
              <a:t>b. </a:t>
            </a:r>
            <a:r>
              <a:rPr lang="en-US" sz="1100">
                <a:latin typeface="Arial Narrow" pitchFamily="34" charset="0"/>
              </a:rPr>
              <a:t>Employed</a:t>
            </a:r>
            <a:r>
              <a:rPr lang="en-US" sz="1200">
                <a:latin typeface="Arial Narrow" pitchFamily="34" charset="0"/>
              </a:rPr>
              <a:t> persons</a:t>
            </a:r>
          </a:p>
        </c:rich>
      </c:tx>
      <c:layout>
        <c:manualLayout>
          <c:xMode val="edge"/>
          <c:yMode val="edge"/>
          <c:x val="0.71224300087489945"/>
          <c:y val="6.4000000000000112E-2"/>
        </c:manualLayout>
      </c:layout>
      <c:overlay val="1"/>
    </c:title>
    <c:plotArea>
      <c:layout/>
      <c:barChart>
        <c:barDir val="col"/>
        <c:grouping val="clustered"/>
        <c:ser>
          <c:idx val="0"/>
          <c:order val="0"/>
          <c:tx>
            <c:strRef>
              <c:f>'MEP data'!$L$21</c:f>
              <c:strCache>
                <c:ptCount val="1"/>
                <c:pt idx="0">
                  <c:v>Total Employment (Thousand persons) </c:v>
                </c:pt>
              </c:strCache>
            </c:strRef>
          </c:tx>
          <c:cat>
            <c:numRef>
              <c:f>'MEP data'!$M$20:$R$20</c:f>
              <c:numCache>
                <c:formatCode>General</c:formatCode>
                <c:ptCount val="6"/>
                <c:pt idx="0">
                  <c:v>2004</c:v>
                </c:pt>
                <c:pt idx="1">
                  <c:v>2005</c:v>
                </c:pt>
                <c:pt idx="2">
                  <c:v>2006</c:v>
                </c:pt>
                <c:pt idx="3">
                  <c:v>2007</c:v>
                </c:pt>
                <c:pt idx="4">
                  <c:v>2008</c:v>
                </c:pt>
                <c:pt idx="5">
                  <c:v>2009</c:v>
                </c:pt>
              </c:numCache>
            </c:numRef>
          </c:cat>
          <c:val>
            <c:numRef>
              <c:f>'MEP data'!$M$21:$R$21</c:f>
              <c:numCache>
                <c:formatCode>#,##0.0</c:formatCode>
                <c:ptCount val="6"/>
                <c:pt idx="0">
                  <c:v>7180.6</c:v>
                </c:pt>
                <c:pt idx="1">
                  <c:v>7371.5</c:v>
                </c:pt>
                <c:pt idx="2">
                  <c:v>7523</c:v>
                </c:pt>
                <c:pt idx="3">
                  <c:v>7744.4000000000005</c:v>
                </c:pt>
                <c:pt idx="4">
                  <c:v>8017.3</c:v>
                </c:pt>
                <c:pt idx="5">
                  <c:v>8148</c:v>
                </c:pt>
              </c:numCache>
            </c:numRef>
          </c:val>
        </c:ser>
        <c:ser>
          <c:idx val="1"/>
          <c:order val="1"/>
          <c:tx>
            <c:strRef>
              <c:f>'MEP data'!$L$22</c:f>
              <c:strCache>
                <c:ptCount val="1"/>
                <c:pt idx="0">
                  <c:v>Saudis</c:v>
                </c:pt>
              </c:strCache>
            </c:strRef>
          </c:tx>
          <c:cat>
            <c:numRef>
              <c:f>'MEP data'!$M$20:$R$20</c:f>
              <c:numCache>
                <c:formatCode>General</c:formatCode>
                <c:ptCount val="6"/>
                <c:pt idx="0">
                  <c:v>2004</c:v>
                </c:pt>
                <c:pt idx="1">
                  <c:v>2005</c:v>
                </c:pt>
                <c:pt idx="2">
                  <c:v>2006</c:v>
                </c:pt>
                <c:pt idx="3">
                  <c:v>2007</c:v>
                </c:pt>
                <c:pt idx="4">
                  <c:v>2008</c:v>
                </c:pt>
                <c:pt idx="5">
                  <c:v>2009</c:v>
                </c:pt>
              </c:numCache>
            </c:numRef>
          </c:cat>
          <c:val>
            <c:numRef>
              <c:f>'MEP data'!$M$22:$R$22</c:f>
              <c:numCache>
                <c:formatCode>#,##0.0</c:formatCode>
                <c:ptCount val="6"/>
                <c:pt idx="0">
                  <c:v>3298.2</c:v>
                </c:pt>
                <c:pt idx="1">
                  <c:v>3367.2</c:v>
                </c:pt>
                <c:pt idx="2">
                  <c:v>3431.6</c:v>
                </c:pt>
                <c:pt idx="3">
                  <c:v>3600.8</c:v>
                </c:pt>
                <c:pt idx="4">
                  <c:v>3756.7</c:v>
                </c:pt>
                <c:pt idx="5">
                  <c:v>3838</c:v>
                </c:pt>
              </c:numCache>
            </c:numRef>
          </c:val>
        </c:ser>
        <c:ser>
          <c:idx val="2"/>
          <c:order val="2"/>
          <c:tx>
            <c:strRef>
              <c:f>'MEP data'!$L$23</c:f>
              <c:strCache>
                <c:ptCount val="1"/>
                <c:pt idx="0">
                  <c:v>Non-Saudis</c:v>
                </c:pt>
              </c:strCache>
            </c:strRef>
          </c:tx>
          <c:cat>
            <c:numRef>
              <c:f>'MEP data'!$M$20:$R$20</c:f>
              <c:numCache>
                <c:formatCode>General</c:formatCode>
                <c:ptCount val="6"/>
                <c:pt idx="0">
                  <c:v>2004</c:v>
                </c:pt>
                <c:pt idx="1">
                  <c:v>2005</c:v>
                </c:pt>
                <c:pt idx="2">
                  <c:v>2006</c:v>
                </c:pt>
                <c:pt idx="3">
                  <c:v>2007</c:v>
                </c:pt>
                <c:pt idx="4">
                  <c:v>2008</c:v>
                </c:pt>
                <c:pt idx="5">
                  <c:v>2009</c:v>
                </c:pt>
              </c:numCache>
            </c:numRef>
          </c:cat>
          <c:val>
            <c:numRef>
              <c:f>'MEP data'!$M$23:$R$23</c:f>
              <c:numCache>
                <c:formatCode>#,##0.0</c:formatCode>
                <c:ptCount val="6"/>
                <c:pt idx="0">
                  <c:v>3882.4</c:v>
                </c:pt>
                <c:pt idx="1">
                  <c:v>4004.3</c:v>
                </c:pt>
                <c:pt idx="2">
                  <c:v>4091.4</c:v>
                </c:pt>
                <c:pt idx="3">
                  <c:v>4143.6000000000004</c:v>
                </c:pt>
                <c:pt idx="4">
                  <c:v>4260.6000000000004</c:v>
                </c:pt>
                <c:pt idx="5">
                  <c:v>4310</c:v>
                </c:pt>
              </c:numCache>
            </c:numRef>
          </c:val>
        </c:ser>
        <c:axId val="82460672"/>
        <c:axId val="82462208"/>
      </c:barChart>
      <c:catAx>
        <c:axId val="82460672"/>
        <c:scaling>
          <c:orientation val="minMax"/>
        </c:scaling>
        <c:axPos val="b"/>
        <c:numFmt formatCode="General" sourceLinked="1"/>
        <c:tickLblPos val="nextTo"/>
        <c:crossAx val="82462208"/>
        <c:crosses val="autoZero"/>
        <c:auto val="1"/>
        <c:lblAlgn val="ctr"/>
        <c:lblOffset val="100"/>
      </c:catAx>
      <c:valAx>
        <c:axId val="82462208"/>
        <c:scaling>
          <c:orientation val="minMax"/>
        </c:scaling>
        <c:axPos val="l"/>
        <c:majorGridlines/>
        <c:numFmt formatCode="#,##0.0" sourceLinked="1"/>
        <c:tickLblPos val="nextTo"/>
        <c:crossAx val="82460672"/>
        <c:crosses val="autoZero"/>
        <c:crossBetween val="between"/>
      </c:valAx>
    </c:plotArea>
    <c:legend>
      <c:legendPos val="r"/>
      <c:layout>
        <c:manualLayout>
          <c:xMode val="edge"/>
          <c:yMode val="edge"/>
          <c:x val="0.7220581802274717"/>
          <c:y val="0.27645880322065358"/>
          <c:w val="0.20849737532808399"/>
          <c:h val="0.6497267828417107"/>
        </c:manualLayout>
      </c:layout>
      <c:txPr>
        <a:bodyPr/>
        <a:lstStyle/>
        <a:p>
          <a:pPr>
            <a:defRPr sz="800">
              <a:latin typeface="Arial Narrow" pitchFamily="34" charset="0"/>
            </a:defRPr>
          </a:pPr>
          <a:endParaRPr lang="en-US"/>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100"/>
          </a:pPr>
          <a:endParaRPr lang="en-US"/>
        </a:p>
      </c:txPr>
    </c:title>
    <c:plotArea>
      <c:layout/>
      <c:lineChart>
        <c:grouping val="standard"/>
        <c:ser>
          <c:idx val="0"/>
          <c:order val="0"/>
          <c:tx>
            <c:strRef>
              <c:f>'FDI WB-IMF'!$B$68</c:f>
              <c:strCache>
                <c:ptCount val="1"/>
                <c:pt idx="0">
                  <c:v>FDI Inflows</c:v>
                </c:pt>
              </c:strCache>
            </c:strRef>
          </c:tx>
          <c:marker>
            <c:symbol val="none"/>
          </c:marker>
          <c:cat>
            <c:multiLvlStrRef>
              <c:f>'FDI WB-IMF'!$C$66:$F$67</c:f>
              <c:multiLvlStrCache>
                <c:ptCount val="4"/>
                <c:lvl>
                  <c:pt idx="0">
                    <c:v>2007</c:v>
                  </c:pt>
                  <c:pt idx="1">
                    <c:v>2008</c:v>
                  </c:pt>
                  <c:pt idx="2">
                    <c:v>2009</c:v>
                  </c:pt>
                  <c:pt idx="3">
                    <c:v>2010</c:v>
                  </c:pt>
                </c:lvl>
                <c:lvl>
                  <c:pt idx="0">
                    <c:v>FDI Inflows, 2007-10 (current $US millions)</c:v>
                  </c:pt>
                </c:lvl>
              </c:multiLvlStrCache>
            </c:multiLvlStrRef>
          </c:cat>
          <c:val>
            <c:numRef>
              <c:f>'FDI WB-IMF'!$C$68:$F$68</c:f>
              <c:numCache>
                <c:formatCode>#,##0;[Red]\-#,##0</c:formatCode>
                <c:ptCount val="4"/>
                <c:pt idx="0">
                  <c:v>22821.066666666698</c:v>
                </c:pt>
                <c:pt idx="1">
                  <c:v>38151</c:v>
                </c:pt>
                <c:pt idx="2">
                  <c:v>32100</c:v>
                </c:pt>
                <c:pt idx="3">
                  <c:v>28105</c:v>
                </c:pt>
              </c:numCache>
            </c:numRef>
          </c:val>
        </c:ser>
        <c:marker val="1"/>
        <c:axId val="82486400"/>
        <c:axId val="82487936"/>
      </c:lineChart>
      <c:catAx>
        <c:axId val="82486400"/>
        <c:scaling>
          <c:orientation val="minMax"/>
        </c:scaling>
        <c:axPos val="b"/>
        <c:tickLblPos val="nextTo"/>
        <c:crossAx val="82487936"/>
        <c:crosses val="autoZero"/>
        <c:auto val="1"/>
        <c:lblAlgn val="ctr"/>
        <c:lblOffset val="100"/>
      </c:catAx>
      <c:valAx>
        <c:axId val="82487936"/>
        <c:scaling>
          <c:orientation val="minMax"/>
        </c:scaling>
        <c:axPos val="l"/>
        <c:majorGridlines/>
        <c:numFmt formatCode="#,##0;[Red]\-#,##0" sourceLinked="1"/>
        <c:tickLblPos val="nextTo"/>
        <c:crossAx val="82486400"/>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CA" sz="1100"/>
              <a:t>Investment</a:t>
            </a:r>
            <a:r>
              <a:rPr lang="en-CA" sz="1100" baseline="0"/>
              <a:t> Inflows &amp; Outflows</a:t>
            </a:r>
          </a:p>
          <a:p>
            <a:pPr>
              <a:defRPr/>
            </a:pPr>
            <a:r>
              <a:rPr lang="en-CA" sz="800" baseline="0">
                <a:latin typeface="Arial Narrow" pitchFamily="34" charset="0"/>
              </a:rPr>
              <a:t> </a:t>
            </a:r>
            <a:r>
              <a:rPr lang="en-CA" sz="800" baseline="0">
                <a:latin typeface="Arial Narrow" pitchFamily="34" charset="0"/>
                <a:cs typeface="Arial" pitchFamily="34" charset="0"/>
              </a:rPr>
              <a:t>(current $US, millions) International Monetary Fund, World Economic Outlook Database, September 2011</a:t>
            </a:r>
            <a:endParaRPr lang="en-CA" sz="800">
              <a:latin typeface="Arial Narrow" pitchFamily="34" charset="0"/>
              <a:cs typeface="Arial" pitchFamily="34" charset="0"/>
            </a:endParaRPr>
          </a:p>
        </c:rich>
      </c:tx>
    </c:title>
    <c:plotArea>
      <c:layout/>
      <c:lineChart>
        <c:grouping val="standard"/>
        <c:ser>
          <c:idx val="0"/>
          <c:order val="0"/>
          <c:tx>
            <c:strRef>
              <c:f>'FDI WB-IMF'!$A$24</c:f>
              <c:strCache>
                <c:ptCount val="1"/>
                <c:pt idx="0">
                  <c:v>FDI Inflows</c:v>
                </c:pt>
              </c:strCache>
            </c:strRef>
          </c:tx>
          <c:cat>
            <c:strRef>
              <c:f>'FDI WB-IMF'!$C$23:$N$23</c:f>
              <c:strCache>
                <c:ptCount val="11"/>
                <c:pt idx="0">
                  <c:v>2000</c:v>
                </c:pt>
                <c:pt idx="1">
                  <c:v>2001</c:v>
                </c:pt>
                <c:pt idx="2">
                  <c:v>2002</c:v>
                </c:pt>
                <c:pt idx="3">
                  <c:v>2003</c:v>
                </c:pt>
                <c:pt idx="4">
                  <c:v>2004</c:v>
                </c:pt>
                <c:pt idx="5">
                  <c:v>2005</c:v>
                </c:pt>
                <c:pt idx="6">
                  <c:v>2006</c:v>
                </c:pt>
                <c:pt idx="7">
                  <c:v>2007</c:v>
                </c:pt>
                <c:pt idx="8">
                  <c:v>2008</c:v>
                </c:pt>
                <c:pt idx="9">
                  <c:v>2009</c:v>
                </c:pt>
                <c:pt idx="10">
                  <c:v>2010</c:v>
                </c:pt>
              </c:strCache>
            </c:strRef>
          </c:cat>
          <c:val>
            <c:numRef>
              <c:f>'FDI WB-IMF'!$C$24:$N$24</c:f>
              <c:numCache>
                <c:formatCode>#,##0;[Red]\-#,##0</c:formatCode>
                <c:ptCount val="12"/>
                <c:pt idx="0">
                  <c:v>183</c:v>
                </c:pt>
                <c:pt idx="1">
                  <c:v>504</c:v>
                </c:pt>
                <c:pt idx="2">
                  <c:v>453</c:v>
                </c:pt>
                <c:pt idx="3">
                  <c:v>778.46136399999796</c:v>
                </c:pt>
                <c:pt idx="4">
                  <c:v>1942</c:v>
                </c:pt>
                <c:pt idx="5">
                  <c:v>12097</c:v>
                </c:pt>
                <c:pt idx="6">
                  <c:v>17140</c:v>
                </c:pt>
                <c:pt idx="7">
                  <c:v>22821.066666666698</c:v>
                </c:pt>
                <c:pt idx="8">
                  <c:v>38151</c:v>
                </c:pt>
                <c:pt idx="9">
                  <c:v>32100</c:v>
                </c:pt>
                <c:pt idx="10">
                  <c:v>28105</c:v>
                </c:pt>
              </c:numCache>
            </c:numRef>
          </c:val>
        </c:ser>
        <c:ser>
          <c:idx val="1"/>
          <c:order val="1"/>
          <c:tx>
            <c:strRef>
              <c:f>'FDI WB-IMF'!$A$25</c:f>
              <c:strCache>
                <c:ptCount val="1"/>
                <c:pt idx="0">
                  <c:v>FDI Outflows </c:v>
                </c:pt>
              </c:strCache>
            </c:strRef>
          </c:tx>
          <c:marker>
            <c:symbol val="square"/>
            <c:size val="4"/>
          </c:marker>
          <c:cat>
            <c:strRef>
              <c:f>'FDI WB-IMF'!$C$23:$N$23</c:f>
              <c:strCache>
                <c:ptCount val="11"/>
                <c:pt idx="0">
                  <c:v>2000</c:v>
                </c:pt>
                <c:pt idx="1">
                  <c:v>2001</c:v>
                </c:pt>
                <c:pt idx="2">
                  <c:v>2002</c:v>
                </c:pt>
                <c:pt idx="3">
                  <c:v>2003</c:v>
                </c:pt>
                <c:pt idx="4">
                  <c:v>2004</c:v>
                </c:pt>
                <c:pt idx="5">
                  <c:v>2005</c:v>
                </c:pt>
                <c:pt idx="6">
                  <c:v>2006</c:v>
                </c:pt>
                <c:pt idx="7">
                  <c:v>2007</c:v>
                </c:pt>
                <c:pt idx="8">
                  <c:v>2008</c:v>
                </c:pt>
                <c:pt idx="9">
                  <c:v>2009</c:v>
                </c:pt>
                <c:pt idx="10">
                  <c:v>2010</c:v>
                </c:pt>
              </c:strCache>
            </c:strRef>
          </c:cat>
          <c:val>
            <c:numRef>
              <c:f>'FDI WB-IMF'!$C$25:$N$25</c:f>
              <c:numCache>
                <c:formatCode>#,##0;[Red]\-#,##0</c:formatCode>
                <c:ptCount val="12"/>
                <c:pt idx="0">
                  <c:v>1550</c:v>
                </c:pt>
                <c:pt idx="1">
                  <c:v>45.629000000000012</c:v>
                </c:pt>
                <c:pt idx="2">
                  <c:v>2020.0250000000001</c:v>
                </c:pt>
                <c:pt idx="3">
                  <c:v>473</c:v>
                </c:pt>
                <c:pt idx="4">
                  <c:v>78.735000000000014</c:v>
                </c:pt>
                <c:pt idx="5">
                  <c:v>-350.13900000000001</c:v>
                </c:pt>
                <c:pt idx="6">
                  <c:v>-38.6</c:v>
                </c:pt>
                <c:pt idx="7">
                  <c:v>-134.80000000000001</c:v>
                </c:pt>
                <c:pt idx="8">
                  <c:v>3497.6</c:v>
                </c:pt>
                <c:pt idx="9">
                  <c:v>2177.3000000000002</c:v>
                </c:pt>
                <c:pt idx="10">
                  <c:v>3906.8</c:v>
                </c:pt>
              </c:numCache>
            </c:numRef>
          </c:val>
        </c:ser>
        <c:marker val="1"/>
        <c:axId val="82507264"/>
        <c:axId val="82508800"/>
      </c:lineChart>
      <c:catAx>
        <c:axId val="82507264"/>
        <c:scaling>
          <c:orientation val="minMax"/>
        </c:scaling>
        <c:axPos val="b"/>
        <c:majorGridlines/>
        <c:numFmt formatCode="General" sourceLinked="1"/>
        <c:tickLblPos val="nextTo"/>
        <c:crossAx val="82508800"/>
        <c:crosses val="autoZero"/>
        <c:auto val="1"/>
        <c:lblAlgn val="ctr"/>
        <c:lblOffset val="100"/>
      </c:catAx>
      <c:valAx>
        <c:axId val="82508800"/>
        <c:scaling>
          <c:orientation val="minMax"/>
        </c:scaling>
        <c:axPos val="l"/>
        <c:numFmt formatCode="#,##0;[Red]\-#,##0" sourceLinked="1"/>
        <c:tickLblPos val="nextTo"/>
        <c:crossAx val="82507264"/>
        <c:crosses val="autoZero"/>
        <c:crossBetween val="between"/>
      </c:valAx>
      <c:dTable>
        <c:showHorzBorder val="1"/>
        <c:showVertBorder val="1"/>
        <c:showOutline val="1"/>
        <c:showKeys val="1"/>
      </c:dTable>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baseline="0"/>
              <a:t>International and domestic tourism, 2007-2010</a:t>
            </a:r>
            <a:endParaRPr lang="en-CA" sz="1200"/>
          </a:p>
        </c:rich>
      </c:tx>
    </c:title>
    <c:plotArea>
      <c:layout/>
      <c:lineChart>
        <c:grouping val="standard"/>
        <c:ser>
          <c:idx val="0"/>
          <c:order val="0"/>
          <c:tx>
            <c:strRef>
              <c:f>'Domestic&amp;Intl Tour&amp;Day Trips'!$B$55</c:f>
              <c:strCache>
                <c:ptCount val="1"/>
                <c:pt idx="0">
                  <c:v>International tourists</c:v>
                </c:pt>
              </c:strCache>
            </c:strRef>
          </c:tx>
          <c:cat>
            <c:strRef>
              <c:f>'Domestic&amp;Intl Tour&amp;Day Trips'!$C$54:$G$54</c:f>
              <c:strCache>
                <c:ptCount val="5"/>
                <c:pt idx="0">
                  <c:v>2007</c:v>
                </c:pt>
                <c:pt idx="1">
                  <c:v>2008</c:v>
                </c:pt>
                <c:pt idx="2">
                  <c:v>2009</c:v>
                </c:pt>
                <c:pt idx="3">
                  <c:v>2010</c:v>
                </c:pt>
                <c:pt idx="4">
                  <c:v>2011e</c:v>
                </c:pt>
              </c:strCache>
            </c:strRef>
          </c:cat>
          <c:val>
            <c:numRef>
              <c:f>'Domestic&amp;Intl Tour&amp;Day Trips'!$C$55:$G$55</c:f>
              <c:numCache>
                <c:formatCode>General</c:formatCode>
                <c:ptCount val="5"/>
                <c:pt idx="0">
                  <c:v>11.53</c:v>
                </c:pt>
                <c:pt idx="1">
                  <c:v>14.76</c:v>
                </c:pt>
                <c:pt idx="2">
                  <c:v>10.9</c:v>
                </c:pt>
                <c:pt idx="3">
                  <c:v>10.850000000000026</c:v>
                </c:pt>
                <c:pt idx="4" formatCode="0.00">
                  <c:v>17.5</c:v>
                </c:pt>
              </c:numCache>
            </c:numRef>
          </c:val>
        </c:ser>
        <c:ser>
          <c:idx val="1"/>
          <c:order val="1"/>
          <c:tx>
            <c:strRef>
              <c:f>'Domestic&amp;Intl Tour&amp;Day Trips'!$B$56</c:f>
              <c:strCache>
                <c:ptCount val="1"/>
                <c:pt idx="0">
                  <c:v>Domestic tourists</c:v>
                </c:pt>
              </c:strCache>
            </c:strRef>
          </c:tx>
          <c:cat>
            <c:strRef>
              <c:f>'Domestic&amp;Intl Tour&amp;Day Trips'!$C$54:$G$54</c:f>
              <c:strCache>
                <c:ptCount val="5"/>
                <c:pt idx="0">
                  <c:v>2007</c:v>
                </c:pt>
                <c:pt idx="1">
                  <c:v>2008</c:v>
                </c:pt>
                <c:pt idx="2">
                  <c:v>2009</c:v>
                </c:pt>
                <c:pt idx="3">
                  <c:v>2010</c:v>
                </c:pt>
                <c:pt idx="4">
                  <c:v>2011e</c:v>
                </c:pt>
              </c:strCache>
            </c:strRef>
          </c:cat>
          <c:val>
            <c:numRef>
              <c:f>'Domestic&amp;Intl Tour&amp;Day Trips'!$C$56:$G$56</c:f>
              <c:numCache>
                <c:formatCode>General</c:formatCode>
                <c:ptCount val="5"/>
                <c:pt idx="0">
                  <c:v>28.549999999999986</c:v>
                </c:pt>
                <c:pt idx="1">
                  <c:v>28.770000000000003</c:v>
                </c:pt>
                <c:pt idx="2">
                  <c:v>32.01</c:v>
                </c:pt>
                <c:pt idx="3">
                  <c:v>22.779999999999987</c:v>
                </c:pt>
                <c:pt idx="4">
                  <c:v>22.47</c:v>
                </c:pt>
              </c:numCache>
            </c:numRef>
          </c:val>
        </c:ser>
        <c:ser>
          <c:idx val="2"/>
          <c:order val="2"/>
          <c:tx>
            <c:strRef>
              <c:f>'Domestic&amp;Intl Tour&amp;Day Trips'!$B$57</c:f>
              <c:strCache>
                <c:ptCount val="1"/>
                <c:pt idx="0">
                  <c:v>International and Domestic Tourism</c:v>
                </c:pt>
              </c:strCache>
            </c:strRef>
          </c:tx>
          <c:cat>
            <c:strRef>
              <c:f>'Domestic&amp;Intl Tour&amp;Day Trips'!$C$54:$G$54</c:f>
              <c:strCache>
                <c:ptCount val="5"/>
                <c:pt idx="0">
                  <c:v>2007</c:v>
                </c:pt>
                <c:pt idx="1">
                  <c:v>2008</c:v>
                </c:pt>
                <c:pt idx="2">
                  <c:v>2009</c:v>
                </c:pt>
                <c:pt idx="3">
                  <c:v>2010</c:v>
                </c:pt>
                <c:pt idx="4">
                  <c:v>2011e</c:v>
                </c:pt>
              </c:strCache>
            </c:strRef>
          </c:cat>
          <c:val>
            <c:numRef>
              <c:f>'Domestic&amp;Intl Tour&amp;Day Trips'!$C$57:$G$57</c:f>
              <c:numCache>
                <c:formatCode>General</c:formatCode>
                <c:ptCount val="5"/>
                <c:pt idx="0">
                  <c:v>40.08</c:v>
                </c:pt>
                <c:pt idx="1">
                  <c:v>43.53</c:v>
                </c:pt>
                <c:pt idx="2">
                  <c:v>42.91</c:v>
                </c:pt>
                <c:pt idx="3" formatCode="#,##0.00">
                  <c:v>33.630000000000003</c:v>
                </c:pt>
                <c:pt idx="4">
                  <c:v>39.97</c:v>
                </c:pt>
              </c:numCache>
            </c:numRef>
          </c:val>
        </c:ser>
        <c:marker val="1"/>
        <c:axId val="82822656"/>
        <c:axId val="82824192"/>
      </c:lineChart>
      <c:catAx>
        <c:axId val="82822656"/>
        <c:scaling>
          <c:orientation val="minMax"/>
        </c:scaling>
        <c:axPos val="b"/>
        <c:tickLblPos val="nextTo"/>
        <c:crossAx val="82824192"/>
        <c:crosses val="autoZero"/>
        <c:auto val="1"/>
        <c:lblAlgn val="ctr"/>
        <c:lblOffset val="100"/>
      </c:catAx>
      <c:valAx>
        <c:axId val="82824192"/>
        <c:scaling>
          <c:orientation val="minMax"/>
        </c:scaling>
        <c:axPos val="l"/>
        <c:majorGridlines/>
        <c:title>
          <c:tx>
            <c:rich>
              <a:bodyPr rot="-5400000" vert="horz"/>
              <a:lstStyle/>
              <a:p>
                <a:pPr>
                  <a:defRPr sz="800"/>
                </a:pPr>
                <a:r>
                  <a:rPr lang="en-US" sz="800"/>
                  <a:t>millions</a:t>
                </a:r>
              </a:p>
            </c:rich>
          </c:tx>
        </c:title>
        <c:numFmt formatCode="General" sourceLinked="1"/>
        <c:tickLblPos val="nextTo"/>
        <c:crossAx val="8282265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5954A-9D66-43E6-B3E9-F7E2910F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23289</Words>
  <Characters>132750</Characters>
  <Application>Microsoft Office Word</Application>
  <DocSecurity>4</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mayssam.tamim</cp:lastModifiedBy>
  <cp:revision>2</cp:revision>
  <dcterms:created xsi:type="dcterms:W3CDTF">2012-05-28T08:29:00Z</dcterms:created>
  <dcterms:modified xsi:type="dcterms:W3CDTF">2012-05-28T08:29:00Z</dcterms:modified>
</cp:coreProperties>
</file>