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4" w:rsidRPr="00DA7619" w:rsidRDefault="00654258" w:rsidP="00865574">
      <w:pPr>
        <w:jc w:val="center"/>
        <w:rPr>
          <w:rStyle w:val="BookTitle"/>
        </w:rPr>
      </w:pPr>
      <w:r w:rsidRPr="00DA7619">
        <w:rPr>
          <w:b/>
          <w:bCs/>
          <w:smallCaps/>
          <w:noProof/>
          <w:spacing w:val="5"/>
          <w:lang w:val="en-CA" w:eastAsia="en-CA"/>
        </w:rPr>
        <w:drawing>
          <wp:inline distT="0" distB="0" distL="0" distR="0">
            <wp:extent cx="1078302" cy="1593811"/>
            <wp:effectExtent l="19050" t="0" r="754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0478" cy="1597028"/>
                    </a:xfrm>
                    <a:prstGeom prst="rect">
                      <a:avLst/>
                    </a:prstGeom>
                    <a:noFill/>
                    <a:ln w="9525">
                      <a:noFill/>
                      <a:miter lim="800000"/>
                      <a:headEnd/>
                      <a:tailEnd/>
                    </a:ln>
                  </pic:spPr>
                </pic:pic>
              </a:graphicData>
            </a:graphic>
          </wp:inline>
        </w:drawing>
      </w:r>
    </w:p>
    <w:p w:rsidR="00654258" w:rsidRPr="00DA7619" w:rsidRDefault="00654258" w:rsidP="00865574">
      <w:pPr>
        <w:jc w:val="center"/>
        <w:rPr>
          <w:rStyle w:val="BookTitle"/>
        </w:rPr>
      </w:pPr>
    </w:p>
    <w:p w:rsidR="00654258" w:rsidRPr="00DA7619" w:rsidRDefault="00654258" w:rsidP="00865574">
      <w:pPr>
        <w:jc w:val="center"/>
        <w:rPr>
          <w:rStyle w:val="BookTitle"/>
          <w:sz w:val="30"/>
        </w:rPr>
      </w:pPr>
      <w:r w:rsidRPr="00DA7619">
        <w:rPr>
          <w:rStyle w:val="BookTitle"/>
          <w:sz w:val="30"/>
        </w:rPr>
        <w:t>Kingdom of Saudi Arabia</w:t>
      </w:r>
    </w:p>
    <w:p w:rsidR="00654258" w:rsidRPr="00DA7619" w:rsidRDefault="00654258" w:rsidP="00865574">
      <w:pPr>
        <w:jc w:val="center"/>
        <w:rPr>
          <w:rStyle w:val="BookTitle"/>
        </w:rPr>
      </w:pPr>
    </w:p>
    <w:p w:rsidR="00654258" w:rsidRPr="00DA7619" w:rsidRDefault="00654258" w:rsidP="00865574">
      <w:pPr>
        <w:jc w:val="center"/>
        <w:rPr>
          <w:rStyle w:val="BookTitle"/>
        </w:rPr>
      </w:pPr>
    </w:p>
    <w:p w:rsidR="00654258" w:rsidRPr="00DA7619" w:rsidRDefault="00654258" w:rsidP="00865574">
      <w:pPr>
        <w:jc w:val="center"/>
        <w:rPr>
          <w:rStyle w:val="BookTitle"/>
        </w:rPr>
      </w:pPr>
    </w:p>
    <w:p w:rsidR="00865574" w:rsidRPr="00DA7619" w:rsidRDefault="00865574" w:rsidP="00865574">
      <w:pPr>
        <w:jc w:val="center"/>
        <w:rPr>
          <w:rStyle w:val="BookTitle"/>
        </w:rPr>
      </w:pPr>
    </w:p>
    <w:p w:rsidR="00865574" w:rsidRPr="001361EB" w:rsidRDefault="006D51CB" w:rsidP="00865574">
      <w:pPr>
        <w:jc w:val="center"/>
        <w:rPr>
          <w:rStyle w:val="BookTitle"/>
          <w:sz w:val="30"/>
        </w:rPr>
      </w:pPr>
      <w:r w:rsidRPr="001361EB">
        <w:rPr>
          <w:rStyle w:val="BookTitle"/>
          <w:sz w:val="30"/>
        </w:rPr>
        <w:t>Outcome Evaluation</w:t>
      </w:r>
      <w:r w:rsidR="001361EB" w:rsidRPr="001361EB">
        <w:rPr>
          <w:rStyle w:val="BookTitle"/>
          <w:sz w:val="30"/>
        </w:rPr>
        <w:t xml:space="preserve"> of UNDP Support for</w:t>
      </w:r>
    </w:p>
    <w:p w:rsidR="00865574" w:rsidRPr="001361EB" w:rsidRDefault="00E313D8" w:rsidP="00865574">
      <w:pPr>
        <w:jc w:val="center"/>
        <w:rPr>
          <w:rStyle w:val="BookTitle"/>
          <w:sz w:val="30"/>
        </w:rPr>
      </w:pPr>
      <w:r w:rsidRPr="001361EB">
        <w:rPr>
          <w:rStyle w:val="BookTitle"/>
          <w:sz w:val="30"/>
        </w:rPr>
        <w:t>Public Sector Performance</w:t>
      </w:r>
    </w:p>
    <w:p w:rsidR="00865574" w:rsidRPr="00DA7619" w:rsidRDefault="00654258" w:rsidP="00865574">
      <w:pPr>
        <w:jc w:val="center"/>
        <w:rPr>
          <w:rStyle w:val="BookTitle"/>
        </w:rPr>
      </w:pPr>
      <w:r w:rsidRPr="00DA7619">
        <w:rPr>
          <w:rStyle w:val="BookTitle"/>
        </w:rPr>
        <w:t xml:space="preserve">Country Programme </w:t>
      </w:r>
      <w:r w:rsidR="00865574" w:rsidRPr="00DA7619">
        <w:rPr>
          <w:rStyle w:val="BookTitle"/>
        </w:rPr>
        <w:t>2007-2011</w:t>
      </w:r>
    </w:p>
    <w:p w:rsidR="00865574" w:rsidRPr="00DA7619" w:rsidRDefault="00865574" w:rsidP="00865574">
      <w:pPr>
        <w:jc w:val="center"/>
        <w:rPr>
          <w:rStyle w:val="BookTitle"/>
        </w:rPr>
      </w:pPr>
    </w:p>
    <w:p w:rsidR="00654258" w:rsidRPr="00DA7619" w:rsidRDefault="00654258" w:rsidP="00865574">
      <w:pPr>
        <w:jc w:val="center"/>
        <w:rPr>
          <w:rStyle w:val="BookTitle"/>
        </w:rPr>
      </w:pPr>
    </w:p>
    <w:p w:rsidR="00654258" w:rsidRPr="00DA7619" w:rsidRDefault="00654258" w:rsidP="00865574">
      <w:pPr>
        <w:jc w:val="center"/>
        <w:rPr>
          <w:rStyle w:val="BookTitle"/>
        </w:rPr>
      </w:pPr>
    </w:p>
    <w:p w:rsidR="00654258" w:rsidRPr="00DA7619" w:rsidRDefault="00654258" w:rsidP="00865574">
      <w:pPr>
        <w:jc w:val="center"/>
        <w:rPr>
          <w:rStyle w:val="BookTitle"/>
        </w:rPr>
      </w:pPr>
    </w:p>
    <w:p w:rsidR="00654258" w:rsidRPr="00DA7619" w:rsidRDefault="00654258" w:rsidP="00865574">
      <w:pPr>
        <w:jc w:val="center"/>
        <w:rPr>
          <w:rStyle w:val="BookTitle"/>
        </w:rPr>
      </w:pPr>
    </w:p>
    <w:p w:rsidR="00AA52EB" w:rsidRPr="00DA7619" w:rsidRDefault="00AA52EB" w:rsidP="00865574">
      <w:pPr>
        <w:jc w:val="center"/>
        <w:rPr>
          <w:rStyle w:val="BookTitle"/>
        </w:rPr>
      </w:pPr>
    </w:p>
    <w:p w:rsidR="00AA52EB" w:rsidRPr="00DA7619" w:rsidRDefault="00AA52EB" w:rsidP="00865574">
      <w:pPr>
        <w:jc w:val="center"/>
        <w:rPr>
          <w:rStyle w:val="BookTitle"/>
        </w:rPr>
      </w:pPr>
    </w:p>
    <w:p w:rsidR="00865574" w:rsidRPr="00DA7619" w:rsidRDefault="00865574" w:rsidP="00865574">
      <w:pPr>
        <w:jc w:val="center"/>
        <w:rPr>
          <w:rStyle w:val="BookTitle"/>
        </w:rPr>
      </w:pPr>
    </w:p>
    <w:p w:rsidR="00865574" w:rsidRPr="00DA7619" w:rsidRDefault="00865574" w:rsidP="00865574">
      <w:pPr>
        <w:pBdr>
          <w:bottom w:val="single" w:sz="6" w:space="1" w:color="auto"/>
        </w:pBdr>
        <w:jc w:val="center"/>
        <w:rPr>
          <w:rStyle w:val="BookTitle"/>
        </w:rPr>
      </w:pPr>
    </w:p>
    <w:p w:rsidR="00865574" w:rsidRPr="00DA7619" w:rsidRDefault="00865574" w:rsidP="00AA52EB">
      <w:pPr>
        <w:rPr>
          <w:rStyle w:val="BookTitle"/>
        </w:rPr>
      </w:pPr>
    </w:p>
    <w:p w:rsidR="00865574" w:rsidRPr="00DA7619" w:rsidRDefault="00865574" w:rsidP="00865574">
      <w:pPr>
        <w:spacing w:after="0"/>
        <w:jc w:val="center"/>
        <w:rPr>
          <w:rStyle w:val="BookTitle"/>
          <w:sz w:val="18"/>
        </w:rPr>
      </w:pPr>
      <w:r w:rsidRPr="00DA7619">
        <w:rPr>
          <w:rStyle w:val="BookTitle"/>
          <w:sz w:val="18"/>
        </w:rPr>
        <w:t xml:space="preserve">Patricia Alexander </w:t>
      </w:r>
    </w:p>
    <w:p w:rsidR="00865574" w:rsidRPr="00DA7619" w:rsidRDefault="00865574" w:rsidP="00865574">
      <w:pPr>
        <w:spacing w:before="0"/>
        <w:jc w:val="center"/>
        <w:rPr>
          <w:rStyle w:val="BookTitle"/>
          <w:sz w:val="16"/>
        </w:rPr>
      </w:pPr>
      <w:r w:rsidRPr="00DA7619">
        <w:rPr>
          <w:rStyle w:val="BookTitle"/>
          <w:sz w:val="16"/>
        </w:rPr>
        <w:t>Consultant</w:t>
      </w:r>
    </w:p>
    <w:p w:rsidR="00865574" w:rsidRPr="00DA7619" w:rsidRDefault="00865574" w:rsidP="00865574">
      <w:pPr>
        <w:spacing w:before="0"/>
        <w:jc w:val="center"/>
        <w:rPr>
          <w:rStyle w:val="BookTitle"/>
          <w:sz w:val="16"/>
        </w:rPr>
      </w:pPr>
    </w:p>
    <w:p w:rsidR="00654258" w:rsidRPr="00F82E28" w:rsidRDefault="00F82E28" w:rsidP="00865574">
      <w:pPr>
        <w:jc w:val="center"/>
        <w:rPr>
          <w:rStyle w:val="BookTitle"/>
          <w:sz w:val="20"/>
        </w:rPr>
      </w:pPr>
      <w:r>
        <w:rPr>
          <w:rStyle w:val="BookTitle"/>
          <w:sz w:val="20"/>
        </w:rPr>
        <w:t>27</w:t>
      </w:r>
      <w:r w:rsidR="008F3FCE" w:rsidRPr="00F82E28">
        <w:rPr>
          <w:rStyle w:val="BookTitle"/>
          <w:sz w:val="20"/>
        </w:rPr>
        <w:t xml:space="preserve"> </w:t>
      </w:r>
      <w:r w:rsidR="00F8475E" w:rsidRPr="00F82E28">
        <w:rPr>
          <w:rStyle w:val="BookTitle"/>
          <w:sz w:val="20"/>
        </w:rPr>
        <w:t>May</w:t>
      </w:r>
      <w:r w:rsidR="008F3FCE" w:rsidRPr="00F82E28">
        <w:rPr>
          <w:rStyle w:val="BookTitle"/>
          <w:sz w:val="20"/>
        </w:rPr>
        <w:t xml:space="preserve"> </w:t>
      </w:r>
      <w:r>
        <w:rPr>
          <w:rStyle w:val="BookTitle"/>
          <w:sz w:val="20"/>
        </w:rPr>
        <w:t>2012</w:t>
      </w:r>
    </w:p>
    <w:p w:rsidR="00865574" w:rsidRPr="00DA7619" w:rsidRDefault="00865574" w:rsidP="00865574">
      <w:pPr>
        <w:jc w:val="center"/>
        <w:rPr>
          <w:rStyle w:val="BookTitle"/>
          <w:sz w:val="14"/>
        </w:rPr>
      </w:pPr>
      <w:r w:rsidRPr="00DA7619">
        <w:rPr>
          <w:rStyle w:val="BookTitle"/>
          <w:sz w:val="20"/>
        </w:rPr>
        <w:t>Riyadh</w:t>
      </w:r>
    </w:p>
    <w:p w:rsidR="00865574" w:rsidRPr="00DA7619" w:rsidRDefault="00865574" w:rsidP="00865574">
      <w:pPr>
        <w:rPr>
          <w:rStyle w:val="BookTitle"/>
        </w:rPr>
      </w:pPr>
    </w:p>
    <w:p w:rsidR="00654258" w:rsidRPr="00DA7619" w:rsidRDefault="00654258" w:rsidP="00654258">
      <w:pPr>
        <w:jc w:val="center"/>
        <w:rPr>
          <w:rStyle w:val="IntenseEmphasis"/>
          <w:sz w:val="30"/>
          <w:u w:val="single"/>
        </w:rPr>
      </w:pPr>
      <w:r w:rsidRPr="00DA7619">
        <w:rPr>
          <w:rStyle w:val="IntenseEmphasis"/>
          <w:sz w:val="30"/>
          <w:u w:val="single"/>
        </w:rPr>
        <w:lastRenderedPageBreak/>
        <w:t xml:space="preserve">Selected Indicators for Saudi Arabia, </w:t>
      </w:r>
      <w:r w:rsidR="0012292B" w:rsidRPr="00DA7619">
        <w:rPr>
          <w:rStyle w:val="IntenseEmphasis"/>
          <w:sz w:val="30"/>
          <w:u w:val="single"/>
        </w:rPr>
        <w:t xml:space="preserve">HDR </w:t>
      </w:r>
      <w:r w:rsidR="007D5296" w:rsidRPr="00DA7619">
        <w:rPr>
          <w:rStyle w:val="IntenseEmphasis"/>
          <w:sz w:val="24"/>
          <w:u w:val="single"/>
        </w:rPr>
        <w:t>[</w:t>
      </w:r>
      <w:r w:rsidR="006267F7" w:rsidRPr="00DA7619">
        <w:rPr>
          <w:rStyle w:val="IntenseEmphasis"/>
          <w:sz w:val="24"/>
          <w:u w:val="single"/>
        </w:rPr>
        <w:t xml:space="preserve">&amp; </w:t>
      </w:r>
      <w:r w:rsidR="007D5296" w:rsidRPr="00DA7619">
        <w:rPr>
          <w:rStyle w:val="IntenseEmphasis"/>
          <w:sz w:val="24"/>
          <w:u w:val="single"/>
        </w:rPr>
        <w:t>other]</w:t>
      </w:r>
    </w:p>
    <w:p w:rsidR="00654258" w:rsidRPr="00DA7619" w:rsidRDefault="00654258" w:rsidP="0012292B">
      <w:pPr>
        <w:rPr>
          <w:rStyle w:val="IntenseEmphasis"/>
        </w:rPr>
      </w:pPr>
    </w:p>
    <w:tbl>
      <w:tblPr>
        <w:tblStyle w:val="TableGrid"/>
        <w:tblW w:w="0" w:type="auto"/>
        <w:tblLook w:val="04A0"/>
      </w:tblPr>
      <w:tblGrid>
        <w:gridCol w:w="4542"/>
        <w:gridCol w:w="4817"/>
        <w:gridCol w:w="332"/>
      </w:tblGrid>
      <w:tr w:rsidR="00582D41" w:rsidRPr="00DA7619" w:rsidTr="002661F4">
        <w:tc>
          <w:tcPr>
            <w:tcW w:w="0" w:type="auto"/>
          </w:tcPr>
          <w:p w:rsidR="00582D41" w:rsidRPr="00DA7619" w:rsidRDefault="00582D41" w:rsidP="00AA52EB">
            <w:pPr>
              <w:spacing w:before="60" w:after="60"/>
              <w:rPr>
                <w:rFonts w:eastAsiaTheme="majorEastAsia" w:cs="Times New Roman"/>
                <w:spacing w:val="5"/>
                <w:kern w:val="28"/>
                <w:sz w:val="20"/>
                <w:szCs w:val="20"/>
              </w:rPr>
            </w:pPr>
          </w:p>
        </w:tc>
        <w:tc>
          <w:tcPr>
            <w:tcW w:w="0" w:type="auto"/>
          </w:tcPr>
          <w:p w:rsidR="00582D41" w:rsidRPr="00DA7619" w:rsidRDefault="00582D41" w:rsidP="00271DE0">
            <w:pPr>
              <w:spacing w:before="60" w:after="60"/>
              <w:jc w:val="center"/>
              <w:rPr>
                <w:rFonts w:eastAsiaTheme="majorEastAsia" w:cs="Times New Roman"/>
                <w:spacing w:val="5"/>
                <w:kern w:val="28"/>
                <w:sz w:val="20"/>
                <w:szCs w:val="20"/>
              </w:rPr>
            </w:pPr>
            <w:r w:rsidRPr="00DA7619">
              <w:rPr>
                <w:rFonts w:eastAsiaTheme="majorEastAsia" w:cs="Times New Roman"/>
                <w:spacing w:val="5"/>
                <w:kern w:val="28"/>
                <w:sz w:val="20"/>
                <w:szCs w:val="20"/>
              </w:rPr>
              <w:t xml:space="preserve">Check </w:t>
            </w:r>
            <w:r w:rsidR="00271DE0" w:rsidRPr="00DA7619">
              <w:rPr>
                <w:rFonts w:eastAsiaTheme="majorEastAsia" w:cs="Times New Roman"/>
                <w:spacing w:val="5"/>
                <w:kern w:val="28"/>
                <w:sz w:val="20"/>
                <w:szCs w:val="20"/>
              </w:rPr>
              <w:t xml:space="preserve"> </w:t>
            </w:r>
            <w:r w:rsidRPr="00DA7619">
              <w:rPr>
                <w:rFonts w:eastAsiaTheme="majorEastAsia" w:cs="Times New Roman"/>
                <w:spacing w:val="5"/>
                <w:kern w:val="28"/>
                <w:sz w:val="20"/>
                <w:szCs w:val="20"/>
              </w:rPr>
              <w:t>if current</w:t>
            </w:r>
          </w:p>
        </w:tc>
        <w:tc>
          <w:tcPr>
            <w:tcW w:w="0" w:type="auto"/>
            <w:vAlign w:val="center"/>
          </w:tcPr>
          <w:p w:rsidR="00582D41" w:rsidRPr="00DA7619" w:rsidRDefault="00582D41" w:rsidP="002661F4">
            <w:pPr>
              <w:spacing w:before="60" w:after="60"/>
              <w:jc w:val="center"/>
              <w:rPr>
                <w:rFonts w:eastAsiaTheme="majorEastAsia" w:cs="Times New Roman"/>
                <w:spacing w:val="5"/>
                <w:kern w:val="28"/>
                <w:sz w:val="20"/>
                <w:szCs w:val="20"/>
              </w:rPr>
            </w:pPr>
            <w:r w:rsidRPr="00DA7619">
              <w:rPr>
                <w:rFonts w:eastAsiaTheme="majorEastAsia" w:cs="Times New Roman"/>
                <w:spacing w:val="5"/>
                <w:kern w:val="28"/>
                <w:sz w:val="20"/>
                <w:szCs w:val="20"/>
              </w:rPr>
              <w:t>?</w:t>
            </w:r>
          </w:p>
        </w:tc>
      </w:tr>
      <w:tr w:rsidR="00582D41" w:rsidRPr="00DA7619" w:rsidTr="002661F4">
        <w:trPr>
          <w:trHeight w:val="111"/>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Population</w:t>
            </w:r>
            <w:r w:rsidR="006F0B21" w:rsidRPr="00DA7619">
              <w:rPr>
                <w:rFonts w:ascii="Sylfaen" w:hAnsi="Sylfaen"/>
                <w:sz w:val="20"/>
                <w:szCs w:val="20"/>
                <w:lang w:val="en-GB"/>
              </w:rPr>
              <w:t xml:space="preserve"> (all)</w:t>
            </w:r>
            <w:r w:rsidRPr="00DA7619">
              <w:rPr>
                <w:rFonts w:ascii="Sylfaen" w:hAnsi="Sylfaen"/>
                <w:sz w:val="20"/>
                <w:szCs w:val="20"/>
                <w:lang w:val="en-GB"/>
              </w:rPr>
              <w:t xml:space="preserve">: </w:t>
            </w:r>
          </w:p>
        </w:tc>
        <w:tc>
          <w:tcPr>
            <w:tcW w:w="0" w:type="auto"/>
          </w:tcPr>
          <w:p w:rsidR="00582D41" w:rsidRPr="00DA7619" w:rsidRDefault="006F0B21" w:rsidP="00E313D8">
            <w:pPr>
              <w:rPr>
                <w:rFonts w:cs="Times New Roman"/>
                <w:color w:val="000000"/>
                <w:sz w:val="20"/>
                <w:szCs w:val="20"/>
              </w:rPr>
            </w:pPr>
            <w:r w:rsidRPr="00DA7619">
              <w:rPr>
                <w:rFonts w:cs="Times New Roman"/>
                <w:color w:val="000000"/>
                <w:sz w:val="20"/>
                <w:szCs w:val="20"/>
              </w:rPr>
              <w:t xml:space="preserve">22.7  </w:t>
            </w:r>
            <w:r w:rsidRPr="00DA7619">
              <w:rPr>
                <w:rFonts w:cs="Times New Roman"/>
                <w:sz w:val="20"/>
                <w:szCs w:val="20"/>
              </w:rPr>
              <w:t xml:space="preserve">million  (2006)    </w:t>
            </w:r>
            <w:r w:rsidR="00E313D8" w:rsidRPr="00DA7619">
              <w:rPr>
                <w:rFonts w:cs="Times New Roman"/>
                <w:sz w:val="20"/>
                <w:szCs w:val="20"/>
              </w:rPr>
              <w:t>28.4</w:t>
            </w:r>
            <w:r w:rsidR="00465D6E" w:rsidRPr="00DA7619">
              <w:rPr>
                <w:rFonts w:cs="Times New Roman"/>
                <w:sz w:val="20"/>
                <w:szCs w:val="20"/>
              </w:rPr>
              <w:t xml:space="preserve"> million (201</w:t>
            </w:r>
            <w:r w:rsidR="00E313D8" w:rsidRPr="00DA7619">
              <w:rPr>
                <w:rFonts w:cs="Times New Roman"/>
                <w:sz w:val="20"/>
                <w:szCs w:val="20"/>
              </w:rPr>
              <w:t>1</w:t>
            </w:r>
            <w:r w:rsidR="00465D6E" w:rsidRPr="00DA7619">
              <w:rPr>
                <w:rFonts w:cs="Times New Roman"/>
                <w:sz w:val="20"/>
                <w:szCs w:val="20"/>
                <w:vertAlign w:val="superscript"/>
              </w:rPr>
              <w:t>e</w:t>
            </w:r>
            <w:r w:rsidR="00465D6E" w:rsidRPr="00DA7619">
              <w:rPr>
                <w:rFonts w:cs="Times New Roman"/>
                <w:sz w:val="20"/>
                <w:szCs w:val="20"/>
              </w:rPr>
              <w:t>)</w:t>
            </w:r>
          </w:p>
        </w:tc>
        <w:tc>
          <w:tcPr>
            <w:tcW w:w="0" w:type="auto"/>
            <w:vAlign w:val="center"/>
          </w:tcPr>
          <w:p w:rsidR="00582D41" w:rsidRPr="00DA7619" w:rsidRDefault="006F0B21" w:rsidP="002661F4">
            <w:pPr>
              <w:pStyle w:val="Default"/>
              <w:jc w:val="center"/>
              <w:rPr>
                <w:rFonts w:ascii="Sylfaen" w:hAnsi="Sylfaen"/>
                <w:sz w:val="20"/>
                <w:szCs w:val="20"/>
                <w:lang w:val="en-GB"/>
              </w:rPr>
            </w:pPr>
            <w:r w:rsidRPr="00DA7619">
              <w:rPr>
                <w:rFonts w:ascii="Sylfaen" w:hAnsi="Sylfaen"/>
                <w:sz w:val="20"/>
                <w:szCs w:val="20"/>
                <w:lang w:val="en-GB"/>
              </w:rPr>
              <w:t>√</w:t>
            </w:r>
          </w:p>
        </w:tc>
      </w:tr>
      <w:tr w:rsidR="00582D41" w:rsidRPr="00DA7619" w:rsidTr="002661F4">
        <w:tc>
          <w:tcPr>
            <w:tcW w:w="0" w:type="auto"/>
          </w:tcPr>
          <w:p w:rsidR="00582D41" w:rsidRPr="00DA7619" w:rsidRDefault="00582D41" w:rsidP="00AA52EB">
            <w:pPr>
              <w:spacing w:before="60" w:after="60"/>
              <w:rPr>
                <w:rFonts w:eastAsiaTheme="majorEastAsia" w:cs="Times New Roman"/>
                <w:spacing w:val="5"/>
                <w:kern w:val="28"/>
                <w:sz w:val="20"/>
                <w:szCs w:val="20"/>
              </w:rPr>
            </w:pPr>
            <w:r w:rsidRPr="00DA7619">
              <w:rPr>
                <w:rFonts w:eastAsiaTheme="majorEastAsia" w:cs="Times New Roman"/>
                <w:spacing w:val="5"/>
                <w:kern w:val="28"/>
                <w:sz w:val="20"/>
                <w:szCs w:val="20"/>
              </w:rPr>
              <w:t>Saudi/Non-Saudi</w:t>
            </w:r>
            <w:r w:rsidR="00465D6E" w:rsidRPr="00DA7619">
              <w:rPr>
                <w:rFonts w:eastAsiaTheme="majorEastAsia" w:cs="Times New Roman"/>
                <w:spacing w:val="5"/>
                <w:kern w:val="28"/>
                <w:sz w:val="20"/>
                <w:szCs w:val="20"/>
              </w:rPr>
              <w:t xml:space="preserve"> </w:t>
            </w:r>
            <w:r w:rsidR="006F0B21" w:rsidRPr="00DA7619">
              <w:rPr>
                <w:rFonts w:eastAsiaTheme="majorEastAsia" w:cs="Times New Roman"/>
                <w:spacing w:val="5"/>
                <w:kern w:val="28"/>
                <w:sz w:val="20"/>
                <w:szCs w:val="20"/>
              </w:rPr>
              <w:t>population</w:t>
            </w:r>
          </w:p>
        </w:tc>
        <w:tc>
          <w:tcPr>
            <w:tcW w:w="0" w:type="auto"/>
          </w:tcPr>
          <w:p w:rsidR="00582D41" w:rsidRPr="00DA7619" w:rsidRDefault="006F0B21" w:rsidP="006F0B21">
            <w:pPr>
              <w:spacing w:before="60" w:after="60"/>
              <w:rPr>
                <w:rFonts w:cs="Times New Roman"/>
                <w:color w:val="000000"/>
                <w:sz w:val="20"/>
                <w:szCs w:val="20"/>
              </w:rPr>
            </w:pPr>
            <w:r w:rsidRPr="00DA7619">
              <w:rPr>
                <w:rFonts w:cs="Times New Roman"/>
                <w:color w:val="000000"/>
                <w:sz w:val="20"/>
                <w:szCs w:val="20"/>
              </w:rPr>
              <w:t>16.1</w:t>
            </w:r>
            <w:r w:rsidR="00465D6E" w:rsidRPr="00DA7619">
              <w:rPr>
                <w:rFonts w:cs="Times New Roman"/>
                <w:color w:val="000000"/>
                <w:sz w:val="20"/>
                <w:szCs w:val="20"/>
              </w:rPr>
              <w:t xml:space="preserve"> million</w:t>
            </w:r>
            <w:r w:rsidRPr="00DA7619">
              <w:rPr>
                <w:rFonts w:cs="Times New Roman"/>
                <w:color w:val="000000"/>
                <w:sz w:val="20"/>
                <w:szCs w:val="20"/>
              </w:rPr>
              <w:t xml:space="preserve">/6.1 </w:t>
            </w:r>
            <w:r w:rsidR="00465D6E" w:rsidRPr="00DA7619">
              <w:rPr>
                <w:rFonts w:cs="Times New Roman"/>
                <w:color w:val="000000"/>
                <w:sz w:val="20"/>
                <w:szCs w:val="20"/>
              </w:rPr>
              <w:t>million (2006)</w:t>
            </w:r>
          </w:p>
          <w:p w:rsidR="00465D6E" w:rsidRPr="00DA7619" w:rsidRDefault="00E313D8" w:rsidP="006F0B21">
            <w:pPr>
              <w:spacing w:before="60" w:after="60"/>
              <w:rPr>
                <w:rFonts w:eastAsiaTheme="majorEastAsia" w:cs="Times New Roman"/>
                <w:spacing w:val="5"/>
                <w:kern w:val="28"/>
                <w:sz w:val="20"/>
                <w:szCs w:val="20"/>
              </w:rPr>
            </w:pPr>
            <w:r w:rsidRPr="00DA7619">
              <w:rPr>
                <w:rFonts w:cs="Times New Roman"/>
                <w:color w:val="000000"/>
                <w:sz w:val="20"/>
                <w:szCs w:val="20"/>
              </w:rPr>
              <w:t>19.0 million/8.6 million (2010)</w:t>
            </w:r>
          </w:p>
        </w:tc>
        <w:tc>
          <w:tcPr>
            <w:tcW w:w="0" w:type="auto"/>
            <w:vAlign w:val="center"/>
          </w:tcPr>
          <w:p w:rsidR="00582D41" w:rsidRPr="00DA7619" w:rsidRDefault="00E313D8" w:rsidP="002661F4">
            <w:pPr>
              <w:spacing w:before="60" w:after="60"/>
              <w:jc w:val="center"/>
              <w:rPr>
                <w:rFonts w:eastAsiaTheme="majorEastAsia" w:cs="Times New Roman"/>
                <w:spacing w:val="5"/>
                <w:kern w:val="28"/>
                <w:sz w:val="20"/>
                <w:szCs w:val="20"/>
              </w:rPr>
            </w:pPr>
            <w:r w:rsidRPr="00DA7619">
              <w:rPr>
                <w:sz w:val="20"/>
                <w:szCs w:val="20"/>
              </w:rPr>
              <w:t>√</w:t>
            </w:r>
          </w:p>
        </w:tc>
      </w:tr>
      <w:tr w:rsidR="00582D41" w:rsidRPr="00DA7619" w:rsidTr="002661F4">
        <w:trPr>
          <w:trHeight w:val="247"/>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bCs/>
                <w:sz w:val="20"/>
                <w:szCs w:val="20"/>
                <w:lang w:val="en-GB"/>
              </w:rPr>
              <w:t xml:space="preserve">Annual Population Growth Rate %: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3.9 (1975-2005) </w:t>
            </w:r>
          </w:p>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2.1 (2005-2015</w:t>
            </w:r>
            <w:r w:rsidR="00DC1356" w:rsidRPr="00DA7619">
              <w:rPr>
                <w:sz w:val="20"/>
                <w:szCs w:val="20"/>
                <w:vertAlign w:val="superscript"/>
                <w:lang w:val="en-GB"/>
              </w:rPr>
              <w:t xml:space="preserve"> e</w:t>
            </w:r>
            <w:r w:rsidRPr="00DA7619">
              <w:rPr>
                <w:rFonts w:ascii="Sylfaen" w:hAnsi="Sylfaen"/>
                <w:sz w:val="20"/>
                <w:szCs w:val="20"/>
                <w:lang w:val="en-GB"/>
              </w:rPr>
              <w:t xml:space="preserve">)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245"/>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bCs/>
                <w:sz w:val="20"/>
                <w:szCs w:val="20"/>
                <w:lang w:val="en-GB"/>
              </w:rPr>
              <w:t xml:space="preserve">Gross Domestic Product (GDP) per capita (PPP US$):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$13,825 (2005)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E313D8" w:rsidRPr="00DA7619" w:rsidTr="002661F4">
        <w:trPr>
          <w:trHeight w:val="247"/>
        </w:trPr>
        <w:tc>
          <w:tcPr>
            <w:tcW w:w="0" w:type="auto"/>
          </w:tcPr>
          <w:p w:rsidR="00E313D8" w:rsidRPr="00DA7619" w:rsidRDefault="00E313D8" w:rsidP="00465D6E">
            <w:pPr>
              <w:pStyle w:val="Default"/>
              <w:rPr>
                <w:rFonts w:ascii="Sylfaen" w:hAnsi="Sylfaen"/>
                <w:sz w:val="20"/>
                <w:szCs w:val="20"/>
                <w:lang w:val="en-GB"/>
              </w:rPr>
            </w:pPr>
            <w:r w:rsidRPr="00DA7619">
              <w:rPr>
                <w:rFonts w:ascii="Sylfaen" w:hAnsi="Sylfaen"/>
                <w:sz w:val="20"/>
                <w:szCs w:val="20"/>
                <w:lang w:val="en-GB"/>
              </w:rPr>
              <w:t xml:space="preserve">Real GDP growth </w:t>
            </w:r>
          </w:p>
        </w:tc>
        <w:tc>
          <w:tcPr>
            <w:tcW w:w="0" w:type="auto"/>
          </w:tcPr>
          <w:p w:rsidR="00E313D8" w:rsidRPr="00DA7619" w:rsidRDefault="00E313D8" w:rsidP="00465D6E">
            <w:pPr>
              <w:pStyle w:val="Default"/>
              <w:rPr>
                <w:rFonts w:ascii="Sylfaen" w:hAnsi="Sylfaen"/>
                <w:sz w:val="20"/>
                <w:szCs w:val="20"/>
                <w:lang w:val="en-GB"/>
              </w:rPr>
            </w:pPr>
            <w:r w:rsidRPr="00DA7619">
              <w:rPr>
                <w:rFonts w:ascii="Sylfaen" w:hAnsi="Sylfaen"/>
                <w:sz w:val="20"/>
                <w:szCs w:val="20"/>
                <w:lang w:val="en-GB"/>
              </w:rPr>
              <w:t>6.8% (2011</w:t>
            </w:r>
            <w:r w:rsidRPr="00DA7619">
              <w:rPr>
                <w:rFonts w:ascii="Sylfaen" w:hAnsi="Sylfaen"/>
                <w:sz w:val="20"/>
                <w:szCs w:val="20"/>
                <w:vertAlign w:val="superscript"/>
                <w:lang w:val="en-GB"/>
              </w:rPr>
              <w:t>p</w:t>
            </w:r>
            <w:r w:rsidRPr="00DA7619">
              <w:rPr>
                <w:rFonts w:ascii="Sylfaen" w:hAnsi="Sylfaen"/>
                <w:sz w:val="20"/>
                <w:szCs w:val="20"/>
                <w:lang w:val="en-GB"/>
              </w:rPr>
              <w:t>)</w:t>
            </w:r>
          </w:p>
        </w:tc>
        <w:tc>
          <w:tcPr>
            <w:tcW w:w="0" w:type="auto"/>
            <w:vAlign w:val="center"/>
          </w:tcPr>
          <w:p w:rsidR="00E313D8" w:rsidRPr="00DA7619" w:rsidRDefault="00E313D8" w:rsidP="002661F4">
            <w:pPr>
              <w:pStyle w:val="Default"/>
              <w:jc w:val="center"/>
              <w:rPr>
                <w:rFonts w:ascii="Sylfaen" w:hAnsi="Sylfaen"/>
                <w:sz w:val="20"/>
                <w:szCs w:val="20"/>
                <w:lang w:val="en-GB"/>
              </w:rPr>
            </w:pPr>
            <w:r w:rsidRPr="00DA7619">
              <w:rPr>
                <w:rFonts w:ascii="Sylfaen" w:hAnsi="Sylfaen"/>
                <w:sz w:val="20"/>
                <w:szCs w:val="20"/>
                <w:lang w:val="en-GB"/>
              </w:rPr>
              <w:t>√</w:t>
            </w:r>
          </w:p>
        </w:tc>
      </w:tr>
      <w:tr w:rsidR="00582D41" w:rsidRPr="00DA7619" w:rsidTr="002661F4">
        <w:trPr>
          <w:trHeight w:val="111"/>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Human Development Index (HDI) Rank: </w:t>
            </w:r>
          </w:p>
        </w:tc>
        <w:tc>
          <w:tcPr>
            <w:tcW w:w="0" w:type="auto"/>
          </w:tcPr>
          <w:p w:rsidR="00582D41" w:rsidRPr="00DA7619" w:rsidRDefault="00BD61A6" w:rsidP="00BD61A6">
            <w:pPr>
              <w:pStyle w:val="Default"/>
              <w:rPr>
                <w:rFonts w:ascii="Sylfaen" w:hAnsi="Sylfaen"/>
                <w:sz w:val="20"/>
                <w:szCs w:val="20"/>
                <w:lang w:val="en-GB"/>
              </w:rPr>
            </w:pPr>
            <w:r w:rsidRPr="00DA7619">
              <w:rPr>
                <w:rFonts w:ascii="Sylfaen" w:hAnsi="Sylfaen"/>
                <w:sz w:val="20"/>
                <w:szCs w:val="20"/>
                <w:lang w:val="en-GB"/>
              </w:rPr>
              <w:t>76 (2006)  61 ?    59 (2009)</w:t>
            </w:r>
            <w:r w:rsidR="00987D9D" w:rsidRPr="00DA7619">
              <w:rPr>
                <w:rFonts w:ascii="Sylfaen" w:hAnsi="Sylfaen"/>
                <w:sz w:val="20"/>
                <w:szCs w:val="20"/>
                <w:lang w:val="en-GB"/>
              </w:rPr>
              <w:t xml:space="preserve">  56 (2011)</w:t>
            </w:r>
          </w:p>
        </w:tc>
        <w:tc>
          <w:tcPr>
            <w:tcW w:w="0" w:type="auto"/>
            <w:vAlign w:val="center"/>
          </w:tcPr>
          <w:p w:rsidR="00582D41" w:rsidRPr="00DA7619" w:rsidRDefault="00352D92" w:rsidP="002661F4">
            <w:pPr>
              <w:pStyle w:val="Default"/>
              <w:jc w:val="center"/>
              <w:rPr>
                <w:rFonts w:ascii="Sylfaen" w:hAnsi="Sylfaen"/>
                <w:sz w:val="20"/>
                <w:szCs w:val="20"/>
                <w:lang w:val="en-GB"/>
              </w:rPr>
            </w:pPr>
            <w:r w:rsidRPr="00DA7619">
              <w:rPr>
                <w:rFonts w:ascii="Sylfaen" w:hAnsi="Sylfaen"/>
                <w:sz w:val="20"/>
                <w:szCs w:val="20"/>
                <w:lang w:val="en-GB"/>
              </w:rPr>
              <w:t>√</w:t>
            </w:r>
          </w:p>
        </w:tc>
      </w:tr>
      <w:tr w:rsidR="00582D41" w:rsidRPr="00DA7619" w:rsidTr="002661F4">
        <w:trPr>
          <w:trHeight w:val="111"/>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Human Development Index (HDI) Value: </w:t>
            </w:r>
          </w:p>
        </w:tc>
        <w:tc>
          <w:tcPr>
            <w:tcW w:w="0" w:type="auto"/>
          </w:tcPr>
          <w:p w:rsidR="00582D41" w:rsidRPr="00DA7619" w:rsidRDefault="00352D92" w:rsidP="00465D6E">
            <w:pPr>
              <w:pStyle w:val="Default"/>
              <w:rPr>
                <w:rFonts w:ascii="Sylfaen" w:hAnsi="Sylfaen"/>
                <w:sz w:val="20"/>
                <w:szCs w:val="20"/>
                <w:lang w:val="en-GB"/>
              </w:rPr>
            </w:pPr>
            <w:r w:rsidRPr="00DA7619">
              <w:rPr>
                <w:rFonts w:ascii="Sylfaen" w:hAnsi="Sylfaen"/>
                <w:sz w:val="20"/>
                <w:szCs w:val="20"/>
                <w:lang w:val="en-GB"/>
              </w:rPr>
              <w:t xml:space="preserve">0.775 (2007); </w:t>
            </w:r>
            <w:r w:rsidR="00987D9D" w:rsidRPr="00DA7619">
              <w:rPr>
                <w:rFonts w:ascii="Sylfaen" w:hAnsi="Sylfaen"/>
                <w:sz w:val="20"/>
                <w:szCs w:val="20"/>
                <w:lang w:val="en-GB"/>
              </w:rPr>
              <w:t>0.770 (2011)</w:t>
            </w:r>
          </w:p>
        </w:tc>
        <w:tc>
          <w:tcPr>
            <w:tcW w:w="0" w:type="auto"/>
            <w:vAlign w:val="center"/>
          </w:tcPr>
          <w:p w:rsidR="00582D41" w:rsidRPr="00DA7619" w:rsidRDefault="00352D92" w:rsidP="002661F4">
            <w:pPr>
              <w:pStyle w:val="Default"/>
              <w:jc w:val="center"/>
              <w:rPr>
                <w:rFonts w:ascii="Sylfaen" w:hAnsi="Sylfaen"/>
                <w:sz w:val="20"/>
                <w:szCs w:val="20"/>
                <w:lang w:val="en-GB"/>
              </w:rPr>
            </w:pPr>
            <w:r w:rsidRPr="00DA7619">
              <w:rPr>
                <w:rFonts w:ascii="Sylfaen" w:hAnsi="Sylfaen"/>
                <w:sz w:val="20"/>
                <w:szCs w:val="20"/>
                <w:lang w:val="en-GB"/>
              </w:rPr>
              <w:t>√</w:t>
            </w:r>
          </w:p>
        </w:tc>
      </w:tr>
      <w:tr w:rsidR="00582D41" w:rsidRPr="00DA7619" w:rsidTr="002661F4">
        <w:trPr>
          <w:trHeight w:val="111"/>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Gender Development Index (GDI) Rank: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70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245"/>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bCs/>
                <w:sz w:val="20"/>
                <w:szCs w:val="20"/>
                <w:lang w:val="en-GB"/>
              </w:rPr>
              <w:t xml:space="preserve">Ratio of Estimated Female to Male Earned Income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0.16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111"/>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Health Expenditure Per Capita (PPP US$):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601 (2004)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247"/>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Life Expectancy at Birth (years):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53.9 (1970-1975) </w:t>
            </w:r>
          </w:p>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71.6 (2000-2005)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385"/>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Public Expenditure on Education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6.8 (as a % of GDP 2002-2005) </w:t>
            </w:r>
          </w:p>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27.6 (as a % of total government expenditure 2002-2005)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247"/>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Youth Literacy Rate (% aged 15-24):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87.9 (1985-1994) </w:t>
            </w:r>
          </w:p>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95.8 (1995-2005)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247"/>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Adult Literacy Rate (% aged 15&lt;):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70.8 (1985-1994) </w:t>
            </w:r>
          </w:p>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82.9 (1995-2005)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69743F" w:rsidRPr="00DA7619" w:rsidTr="002661F4">
        <w:trPr>
          <w:trHeight w:val="247"/>
        </w:trPr>
        <w:tc>
          <w:tcPr>
            <w:tcW w:w="0" w:type="auto"/>
          </w:tcPr>
          <w:p w:rsidR="0069743F" w:rsidRPr="00DA7619" w:rsidRDefault="0069743F" w:rsidP="00465D6E">
            <w:pPr>
              <w:pStyle w:val="Default"/>
              <w:rPr>
                <w:rFonts w:ascii="Sylfaen" w:hAnsi="Sylfaen"/>
                <w:i/>
                <w:sz w:val="20"/>
                <w:szCs w:val="20"/>
                <w:u w:val="single"/>
                <w:lang w:val="en-GB"/>
              </w:rPr>
            </w:pPr>
            <w:r w:rsidRPr="00DA7619">
              <w:rPr>
                <w:rFonts w:ascii="Sylfaen" w:hAnsi="Sylfaen"/>
                <w:i/>
                <w:sz w:val="20"/>
                <w:szCs w:val="20"/>
                <w:u w:val="single"/>
                <w:lang w:val="en-GB"/>
              </w:rPr>
              <w:t>[Replace below with economic, HDR indicators]</w:t>
            </w:r>
          </w:p>
        </w:tc>
        <w:tc>
          <w:tcPr>
            <w:tcW w:w="0" w:type="auto"/>
          </w:tcPr>
          <w:p w:rsidR="0069743F" w:rsidRPr="00DA7619" w:rsidRDefault="0069743F" w:rsidP="00465D6E">
            <w:pPr>
              <w:pStyle w:val="Default"/>
              <w:rPr>
                <w:rFonts w:ascii="Sylfaen" w:hAnsi="Sylfaen"/>
                <w:sz w:val="20"/>
                <w:szCs w:val="20"/>
                <w:lang w:val="en-GB"/>
              </w:rPr>
            </w:pPr>
          </w:p>
        </w:tc>
        <w:tc>
          <w:tcPr>
            <w:tcW w:w="0" w:type="auto"/>
            <w:vAlign w:val="center"/>
          </w:tcPr>
          <w:p w:rsidR="0069743F" w:rsidRPr="00DA7619" w:rsidRDefault="0069743F" w:rsidP="002661F4">
            <w:pPr>
              <w:pStyle w:val="Default"/>
              <w:jc w:val="center"/>
              <w:rPr>
                <w:rFonts w:ascii="Sylfaen" w:hAnsi="Sylfaen"/>
                <w:sz w:val="20"/>
                <w:szCs w:val="20"/>
                <w:lang w:val="en-GB"/>
              </w:rPr>
            </w:pPr>
          </w:p>
        </w:tc>
      </w:tr>
      <w:tr w:rsidR="0069743F" w:rsidRPr="00DA7619" w:rsidTr="002661F4">
        <w:trPr>
          <w:trHeight w:val="247"/>
        </w:trPr>
        <w:tc>
          <w:tcPr>
            <w:tcW w:w="0" w:type="auto"/>
          </w:tcPr>
          <w:p w:rsidR="0069743F" w:rsidRPr="00DA7619" w:rsidRDefault="0069743F" w:rsidP="00465D6E">
            <w:pPr>
              <w:pStyle w:val="Default"/>
              <w:rPr>
                <w:rFonts w:ascii="Sylfaen" w:hAnsi="Sylfaen"/>
                <w:sz w:val="20"/>
                <w:szCs w:val="20"/>
                <w:lang w:val="en-GB"/>
              </w:rPr>
            </w:pPr>
          </w:p>
        </w:tc>
        <w:tc>
          <w:tcPr>
            <w:tcW w:w="0" w:type="auto"/>
          </w:tcPr>
          <w:p w:rsidR="0069743F" w:rsidRPr="00DA7619" w:rsidRDefault="0069743F" w:rsidP="00465D6E">
            <w:pPr>
              <w:pStyle w:val="Default"/>
              <w:rPr>
                <w:rFonts w:ascii="Sylfaen" w:hAnsi="Sylfaen"/>
                <w:sz w:val="20"/>
                <w:szCs w:val="20"/>
                <w:lang w:val="en-GB"/>
              </w:rPr>
            </w:pPr>
          </w:p>
        </w:tc>
        <w:tc>
          <w:tcPr>
            <w:tcW w:w="0" w:type="auto"/>
            <w:vAlign w:val="center"/>
          </w:tcPr>
          <w:p w:rsidR="0069743F" w:rsidRPr="00DA7619" w:rsidRDefault="0069743F" w:rsidP="002661F4">
            <w:pPr>
              <w:pStyle w:val="Default"/>
              <w:jc w:val="center"/>
              <w:rPr>
                <w:rFonts w:ascii="Sylfaen" w:hAnsi="Sylfaen"/>
                <w:sz w:val="20"/>
                <w:szCs w:val="20"/>
                <w:lang w:val="en-GB"/>
              </w:rPr>
            </w:pPr>
          </w:p>
        </w:tc>
      </w:tr>
      <w:tr w:rsidR="0069743F" w:rsidRPr="00DA7619" w:rsidTr="002661F4">
        <w:trPr>
          <w:trHeight w:val="247"/>
        </w:trPr>
        <w:tc>
          <w:tcPr>
            <w:tcW w:w="0" w:type="auto"/>
          </w:tcPr>
          <w:p w:rsidR="0069743F" w:rsidRPr="00DA7619" w:rsidRDefault="0069743F" w:rsidP="00465D6E">
            <w:pPr>
              <w:pStyle w:val="Default"/>
              <w:rPr>
                <w:rFonts w:ascii="Sylfaen" w:hAnsi="Sylfaen"/>
                <w:sz w:val="20"/>
                <w:szCs w:val="20"/>
                <w:lang w:val="en-GB"/>
              </w:rPr>
            </w:pPr>
          </w:p>
        </w:tc>
        <w:tc>
          <w:tcPr>
            <w:tcW w:w="0" w:type="auto"/>
          </w:tcPr>
          <w:p w:rsidR="0069743F" w:rsidRPr="00DA7619" w:rsidRDefault="0069743F" w:rsidP="00465D6E">
            <w:pPr>
              <w:pStyle w:val="Default"/>
              <w:rPr>
                <w:rFonts w:ascii="Sylfaen" w:hAnsi="Sylfaen"/>
                <w:sz w:val="20"/>
                <w:szCs w:val="20"/>
                <w:lang w:val="en-GB"/>
              </w:rPr>
            </w:pPr>
          </w:p>
        </w:tc>
        <w:tc>
          <w:tcPr>
            <w:tcW w:w="0" w:type="auto"/>
            <w:vAlign w:val="center"/>
          </w:tcPr>
          <w:p w:rsidR="0069743F" w:rsidRPr="00DA7619" w:rsidRDefault="0069743F" w:rsidP="002661F4">
            <w:pPr>
              <w:pStyle w:val="Default"/>
              <w:jc w:val="center"/>
              <w:rPr>
                <w:rFonts w:ascii="Sylfaen" w:hAnsi="Sylfaen"/>
                <w:sz w:val="20"/>
                <w:szCs w:val="20"/>
                <w:lang w:val="en-GB"/>
              </w:rPr>
            </w:pPr>
          </w:p>
        </w:tc>
      </w:tr>
      <w:tr w:rsidR="00582D41" w:rsidRPr="00DA7619" w:rsidTr="002661F4">
        <w:trPr>
          <w:trHeight w:val="247"/>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Electricity Consumption Per Capita: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6.902 (Kilowatt-hours) 2004 </w:t>
            </w:r>
          </w:p>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57.9 (% Change) 1990-2004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247"/>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Unemployed People (thousands)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327 (1996-2005)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247"/>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Unemployment Rate (% of labor force)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5.2 (1996-2005)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247"/>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Population without Electricity (millions)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0.5 (2005)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r w:rsidR="00582D41" w:rsidRPr="00DA7619" w:rsidTr="002661F4">
        <w:trPr>
          <w:trHeight w:val="247"/>
        </w:trPr>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Total Carbon Dioxide Emissions </w:t>
            </w:r>
          </w:p>
        </w:tc>
        <w:tc>
          <w:tcPr>
            <w:tcW w:w="0" w:type="auto"/>
          </w:tcPr>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254.8 (1990) </w:t>
            </w:r>
          </w:p>
          <w:p w:rsidR="00582D41" w:rsidRPr="00DA7619" w:rsidRDefault="00582D41" w:rsidP="00465D6E">
            <w:pPr>
              <w:pStyle w:val="Default"/>
              <w:rPr>
                <w:rFonts w:ascii="Sylfaen" w:hAnsi="Sylfaen"/>
                <w:sz w:val="20"/>
                <w:szCs w:val="20"/>
                <w:lang w:val="en-GB"/>
              </w:rPr>
            </w:pPr>
            <w:r w:rsidRPr="00DA7619">
              <w:rPr>
                <w:rFonts w:ascii="Sylfaen" w:hAnsi="Sylfaen"/>
                <w:sz w:val="20"/>
                <w:szCs w:val="20"/>
                <w:lang w:val="en-GB"/>
              </w:rPr>
              <w:t xml:space="preserve">308.2 (2004) </w:t>
            </w:r>
          </w:p>
        </w:tc>
        <w:tc>
          <w:tcPr>
            <w:tcW w:w="0" w:type="auto"/>
            <w:vAlign w:val="center"/>
          </w:tcPr>
          <w:p w:rsidR="00582D41" w:rsidRPr="00DA7619" w:rsidRDefault="00582D41" w:rsidP="002661F4">
            <w:pPr>
              <w:pStyle w:val="Default"/>
              <w:jc w:val="center"/>
              <w:rPr>
                <w:rFonts w:ascii="Sylfaen" w:hAnsi="Sylfaen"/>
                <w:sz w:val="20"/>
                <w:szCs w:val="20"/>
                <w:lang w:val="en-GB"/>
              </w:rPr>
            </w:pPr>
          </w:p>
        </w:tc>
      </w:tr>
    </w:tbl>
    <w:p w:rsidR="00F06AC7" w:rsidRPr="00DA7619" w:rsidRDefault="0099227F" w:rsidP="0099227F">
      <w:pPr>
        <w:rPr>
          <w:kern w:val="28"/>
        </w:rPr>
      </w:pPr>
      <w:r w:rsidRPr="00DA7619">
        <w:rPr>
          <w:kern w:val="28"/>
        </w:rPr>
        <w:t xml:space="preserve">Note:  </w:t>
      </w:r>
      <w:r w:rsidRPr="00DA7619">
        <w:rPr>
          <w:kern w:val="28"/>
          <w:vertAlign w:val="superscript"/>
        </w:rPr>
        <w:t>e</w:t>
      </w:r>
      <w:r w:rsidRPr="00DA7619">
        <w:rPr>
          <w:kern w:val="28"/>
        </w:rPr>
        <w:t xml:space="preserve"> = estimate;  </w:t>
      </w:r>
      <w:r w:rsidRPr="00DA7619">
        <w:rPr>
          <w:kern w:val="28"/>
          <w:vertAlign w:val="superscript"/>
        </w:rPr>
        <w:t>p</w:t>
      </w:r>
      <w:r w:rsidRPr="00DA7619">
        <w:rPr>
          <w:kern w:val="28"/>
        </w:rPr>
        <w:t xml:space="preserve"> = </w:t>
      </w:r>
      <w:r w:rsidR="00E313D8" w:rsidRPr="00DA7619">
        <w:rPr>
          <w:kern w:val="28"/>
        </w:rPr>
        <w:t xml:space="preserve">preliminary or </w:t>
      </w:r>
      <w:r w:rsidRPr="00DA7619">
        <w:rPr>
          <w:kern w:val="28"/>
        </w:rPr>
        <w:t>projected</w:t>
      </w:r>
    </w:p>
    <w:p w:rsidR="00F06AC7" w:rsidRPr="00DA7619" w:rsidRDefault="00F06AC7" w:rsidP="00271DE0">
      <w:pPr>
        <w:rPr>
          <w:kern w:val="28"/>
        </w:rPr>
      </w:pPr>
      <w:r w:rsidRPr="00DA7619">
        <w:rPr>
          <w:kern w:val="28"/>
        </w:rPr>
        <w:br w:type="page"/>
      </w:r>
    </w:p>
    <w:p w:rsidR="0011171D" w:rsidRPr="00DA7619" w:rsidRDefault="0011171D" w:rsidP="004A0A24">
      <w:pPr>
        <w:pStyle w:val="Title"/>
      </w:pPr>
      <w:r w:rsidRPr="00DA7619">
        <w:lastRenderedPageBreak/>
        <w:t xml:space="preserve">Outcome Evaluation, </w:t>
      </w:r>
      <w:r w:rsidR="006F05B1" w:rsidRPr="00DA7619">
        <w:t>Public Sector Performance</w:t>
      </w:r>
    </w:p>
    <w:p w:rsidR="004A0A24" w:rsidRPr="00DA7619" w:rsidRDefault="004A0A24" w:rsidP="004A0A24">
      <w:pPr>
        <w:pStyle w:val="Subtitle"/>
      </w:pPr>
      <w:r w:rsidRPr="00DA7619">
        <w:t>UNDP Saudi Arabia, 2007-11</w:t>
      </w:r>
    </w:p>
    <w:sdt>
      <w:sdtPr>
        <w:rPr>
          <w:rFonts w:ascii="Sylfaen" w:eastAsiaTheme="minorHAnsi" w:hAnsi="Sylfaen" w:cstheme="minorBidi"/>
          <w:b w:val="0"/>
          <w:bCs w:val="0"/>
          <w:color w:val="auto"/>
          <w:sz w:val="22"/>
          <w:szCs w:val="22"/>
          <w:lang w:val="en-GB"/>
        </w:rPr>
        <w:id w:val="22483707"/>
        <w:docPartObj>
          <w:docPartGallery w:val="Table of Contents"/>
          <w:docPartUnique/>
        </w:docPartObj>
      </w:sdtPr>
      <w:sdtContent>
        <w:p w:rsidR="00A351AA" w:rsidRPr="00DA7619" w:rsidRDefault="00A351AA">
          <w:pPr>
            <w:pStyle w:val="TOCHeading"/>
            <w:rPr>
              <w:lang w:val="en-GB"/>
            </w:rPr>
          </w:pPr>
          <w:r w:rsidRPr="00DA7619">
            <w:rPr>
              <w:lang w:val="en-GB"/>
            </w:rPr>
            <w:t>Contents</w:t>
          </w:r>
        </w:p>
        <w:p w:rsidR="001D2A48" w:rsidRDefault="007D6549">
          <w:pPr>
            <w:pStyle w:val="TOC1"/>
            <w:tabs>
              <w:tab w:val="right" w:leader="dot" w:pos="9465"/>
            </w:tabs>
            <w:rPr>
              <w:rFonts w:asciiTheme="minorHAnsi" w:eastAsiaTheme="minorEastAsia" w:hAnsiTheme="minorHAnsi"/>
              <w:noProof/>
              <w:lang w:val="en-CA" w:eastAsia="en-CA"/>
            </w:rPr>
          </w:pPr>
          <w:r w:rsidRPr="00DA7619">
            <w:fldChar w:fldCharType="begin"/>
          </w:r>
          <w:r w:rsidR="003E617F" w:rsidRPr="00DA7619">
            <w:instrText xml:space="preserve"> TOC \o "1-4" \h \z \u </w:instrText>
          </w:r>
          <w:r w:rsidRPr="00DA7619">
            <w:fldChar w:fldCharType="separate"/>
          </w:r>
          <w:hyperlink w:anchor="_Toc325940165" w:history="1">
            <w:r w:rsidR="001D2A48" w:rsidRPr="00F8756B">
              <w:rPr>
                <w:rStyle w:val="Hyperlink"/>
                <w:noProof/>
              </w:rPr>
              <w:t>Abbreviations</w:t>
            </w:r>
            <w:r w:rsidR="001D2A48">
              <w:rPr>
                <w:noProof/>
                <w:webHidden/>
              </w:rPr>
              <w:tab/>
            </w:r>
            <w:r w:rsidR="001D2A48">
              <w:rPr>
                <w:noProof/>
                <w:webHidden/>
              </w:rPr>
              <w:fldChar w:fldCharType="begin"/>
            </w:r>
            <w:r w:rsidR="001D2A48">
              <w:rPr>
                <w:noProof/>
                <w:webHidden/>
              </w:rPr>
              <w:instrText xml:space="preserve"> PAGEREF _Toc325940165 \h </w:instrText>
            </w:r>
            <w:r w:rsidR="001D2A48">
              <w:rPr>
                <w:noProof/>
                <w:webHidden/>
              </w:rPr>
            </w:r>
            <w:r w:rsidR="001D2A48">
              <w:rPr>
                <w:noProof/>
                <w:webHidden/>
              </w:rPr>
              <w:fldChar w:fldCharType="separate"/>
            </w:r>
            <w:r w:rsidR="001D2A48">
              <w:rPr>
                <w:noProof/>
                <w:webHidden/>
              </w:rPr>
              <w:t>6</w:t>
            </w:r>
            <w:r w:rsidR="001D2A48">
              <w:rPr>
                <w:noProof/>
                <w:webHidden/>
              </w:rPr>
              <w:fldChar w:fldCharType="end"/>
            </w:r>
          </w:hyperlink>
        </w:p>
        <w:p w:rsidR="001D2A48" w:rsidRDefault="001D2A48">
          <w:pPr>
            <w:pStyle w:val="TOC1"/>
            <w:tabs>
              <w:tab w:val="right" w:leader="dot" w:pos="9465"/>
            </w:tabs>
            <w:rPr>
              <w:rFonts w:asciiTheme="minorHAnsi" w:eastAsiaTheme="minorEastAsia" w:hAnsiTheme="minorHAnsi"/>
              <w:noProof/>
              <w:lang w:val="en-CA" w:eastAsia="en-CA"/>
            </w:rPr>
          </w:pPr>
          <w:hyperlink w:anchor="_Toc325940166" w:history="1">
            <w:r w:rsidRPr="00F8756B">
              <w:rPr>
                <w:rStyle w:val="Hyperlink"/>
                <w:noProof/>
              </w:rPr>
              <w:t>Executive Summary</w:t>
            </w:r>
            <w:r>
              <w:rPr>
                <w:noProof/>
                <w:webHidden/>
              </w:rPr>
              <w:tab/>
            </w:r>
            <w:r>
              <w:rPr>
                <w:noProof/>
                <w:webHidden/>
              </w:rPr>
              <w:fldChar w:fldCharType="begin"/>
            </w:r>
            <w:r>
              <w:rPr>
                <w:noProof/>
                <w:webHidden/>
              </w:rPr>
              <w:instrText xml:space="preserve"> PAGEREF _Toc325940166 \h </w:instrText>
            </w:r>
            <w:r>
              <w:rPr>
                <w:noProof/>
                <w:webHidden/>
              </w:rPr>
            </w:r>
            <w:r>
              <w:rPr>
                <w:noProof/>
                <w:webHidden/>
              </w:rPr>
              <w:fldChar w:fldCharType="separate"/>
            </w:r>
            <w:r>
              <w:rPr>
                <w:noProof/>
                <w:webHidden/>
              </w:rPr>
              <w:t>7</w:t>
            </w:r>
            <w:r>
              <w:rPr>
                <w:noProof/>
                <w:webHidden/>
              </w:rPr>
              <w:fldChar w:fldCharType="end"/>
            </w:r>
          </w:hyperlink>
        </w:p>
        <w:p w:rsidR="001D2A48" w:rsidRDefault="001D2A48">
          <w:pPr>
            <w:pStyle w:val="TOC1"/>
            <w:tabs>
              <w:tab w:val="left" w:pos="440"/>
              <w:tab w:val="right" w:leader="dot" w:pos="9465"/>
            </w:tabs>
            <w:rPr>
              <w:rFonts w:asciiTheme="minorHAnsi" w:eastAsiaTheme="minorEastAsia" w:hAnsiTheme="minorHAnsi"/>
              <w:noProof/>
              <w:lang w:val="en-CA" w:eastAsia="en-CA"/>
            </w:rPr>
          </w:pPr>
          <w:hyperlink w:anchor="_Toc325940167" w:history="1">
            <w:r w:rsidRPr="00F8756B">
              <w:rPr>
                <w:rStyle w:val="Hyperlink"/>
                <w:noProof/>
              </w:rPr>
              <w:t>1.</w:t>
            </w:r>
            <w:r>
              <w:rPr>
                <w:rFonts w:asciiTheme="minorHAnsi" w:eastAsiaTheme="minorEastAsia" w:hAnsiTheme="minorHAnsi"/>
                <w:noProof/>
                <w:lang w:val="en-CA" w:eastAsia="en-CA"/>
              </w:rPr>
              <w:tab/>
            </w:r>
            <w:r w:rsidRPr="00F8756B">
              <w:rPr>
                <w:rStyle w:val="Hyperlink"/>
                <w:noProof/>
                <w:lang w:eastAsia="en-CA"/>
              </w:rPr>
              <w:t>Introduction</w:t>
            </w:r>
            <w:r>
              <w:rPr>
                <w:noProof/>
                <w:webHidden/>
              </w:rPr>
              <w:tab/>
            </w:r>
            <w:r>
              <w:rPr>
                <w:noProof/>
                <w:webHidden/>
              </w:rPr>
              <w:fldChar w:fldCharType="begin"/>
            </w:r>
            <w:r>
              <w:rPr>
                <w:noProof/>
                <w:webHidden/>
              </w:rPr>
              <w:instrText xml:space="preserve"> PAGEREF _Toc325940167 \h </w:instrText>
            </w:r>
            <w:r>
              <w:rPr>
                <w:noProof/>
                <w:webHidden/>
              </w:rPr>
            </w:r>
            <w:r>
              <w:rPr>
                <w:noProof/>
                <w:webHidden/>
              </w:rPr>
              <w:fldChar w:fldCharType="separate"/>
            </w:r>
            <w:r>
              <w:rPr>
                <w:noProof/>
                <w:webHidden/>
              </w:rPr>
              <w:t>12</w:t>
            </w:r>
            <w:r>
              <w:rPr>
                <w:noProof/>
                <w:webHidden/>
              </w:rPr>
              <w:fldChar w:fldCharType="end"/>
            </w:r>
          </w:hyperlink>
        </w:p>
        <w:p w:rsidR="001D2A48" w:rsidRDefault="001D2A48">
          <w:pPr>
            <w:pStyle w:val="TOC1"/>
            <w:tabs>
              <w:tab w:val="left" w:pos="440"/>
              <w:tab w:val="right" w:leader="dot" w:pos="9465"/>
            </w:tabs>
            <w:rPr>
              <w:rFonts w:asciiTheme="minorHAnsi" w:eastAsiaTheme="minorEastAsia" w:hAnsiTheme="minorHAnsi"/>
              <w:noProof/>
              <w:lang w:val="en-CA" w:eastAsia="en-CA"/>
            </w:rPr>
          </w:pPr>
          <w:hyperlink w:anchor="_Toc325940168" w:history="1">
            <w:r w:rsidRPr="00F8756B">
              <w:rPr>
                <w:rStyle w:val="Hyperlink"/>
                <w:noProof/>
              </w:rPr>
              <w:t>2.</w:t>
            </w:r>
            <w:r>
              <w:rPr>
                <w:rFonts w:asciiTheme="minorHAnsi" w:eastAsiaTheme="minorEastAsia" w:hAnsiTheme="minorHAnsi"/>
                <w:noProof/>
                <w:lang w:val="en-CA" w:eastAsia="en-CA"/>
              </w:rPr>
              <w:tab/>
            </w:r>
            <w:r w:rsidRPr="00F8756B">
              <w:rPr>
                <w:rStyle w:val="Hyperlink"/>
                <w:noProof/>
              </w:rPr>
              <w:t>The Development Context:  UNDP-KSA cooperation</w:t>
            </w:r>
            <w:r>
              <w:rPr>
                <w:noProof/>
                <w:webHidden/>
              </w:rPr>
              <w:tab/>
            </w:r>
            <w:r>
              <w:rPr>
                <w:noProof/>
                <w:webHidden/>
              </w:rPr>
              <w:fldChar w:fldCharType="begin"/>
            </w:r>
            <w:r>
              <w:rPr>
                <w:noProof/>
                <w:webHidden/>
              </w:rPr>
              <w:instrText xml:space="preserve"> PAGEREF _Toc325940168 \h </w:instrText>
            </w:r>
            <w:r>
              <w:rPr>
                <w:noProof/>
                <w:webHidden/>
              </w:rPr>
            </w:r>
            <w:r>
              <w:rPr>
                <w:noProof/>
                <w:webHidden/>
              </w:rPr>
              <w:fldChar w:fldCharType="separate"/>
            </w:r>
            <w:r>
              <w:rPr>
                <w:noProof/>
                <w:webHidden/>
              </w:rPr>
              <w:t>15</w:t>
            </w:r>
            <w:r>
              <w:rPr>
                <w:noProof/>
                <w:webHidden/>
              </w:rPr>
              <w:fldChar w:fldCharType="end"/>
            </w:r>
          </w:hyperlink>
        </w:p>
        <w:p w:rsidR="001D2A48" w:rsidRDefault="001D2A48">
          <w:pPr>
            <w:pStyle w:val="TOC2"/>
            <w:tabs>
              <w:tab w:val="left" w:pos="880"/>
              <w:tab w:val="right" w:leader="dot" w:pos="9465"/>
            </w:tabs>
            <w:rPr>
              <w:rFonts w:asciiTheme="minorHAnsi" w:eastAsiaTheme="minorEastAsia" w:hAnsiTheme="minorHAnsi"/>
              <w:noProof/>
              <w:lang w:val="en-CA" w:eastAsia="en-CA"/>
            </w:rPr>
          </w:pPr>
          <w:hyperlink w:anchor="_Toc325940169" w:history="1">
            <w:r w:rsidRPr="00F8756B">
              <w:rPr>
                <w:rStyle w:val="Hyperlink"/>
                <w:noProof/>
              </w:rPr>
              <w:t>2.1.</w:t>
            </w:r>
            <w:r>
              <w:rPr>
                <w:rFonts w:asciiTheme="minorHAnsi" w:eastAsiaTheme="minorEastAsia" w:hAnsiTheme="minorHAnsi"/>
                <w:noProof/>
                <w:lang w:val="en-CA" w:eastAsia="en-CA"/>
              </w:rPr>
              <w:tab/>
            </w:r>
            <w:r w:rsidRPr="00F8756B">
              <w:rPr>
                <w:rStyle w:val="Hyperlink"/>
                <w:noProof/>
              </w:rPr>
              <w:t>A long history</w:t>
            </w:r>
            <w:r>
              <w:rPr>
                <w:noProof/>
                <w:webHidden/>
              </w:rPr>
              <w:tab/>
            </w:r>
            <w:r>
              <w:rPr>
                <w:noProof/>
                <w:webHidden/>
              </w:rPr>
              <w:fldChar w:fldCharType="begin"/>
            </w:r>
            <w:r>
              <w:rPr>
                <w:noProof/>
                <w:webHidden/>
              </w:rPr>
              <w:instrText xml:space="preserve"> PAGEREF _Toc325940169 \h </w:instrText>
            </w:r>
            <w:r>
              <w:rPr>
                <w:noProof/>
                <w:webHidden/>
              </w:rPr>
            </w:r>
            <w:r>
              <w:rPr>
                <w:noProof/>
                <w:webHidden/>
              </w:rPr>
              <w:fldChar w:fldCharType="separate"/>
            </w:r>
            <w:r>
              <w:rPr>
                <w:noProof/>
                <w:webHidden/>
              </w:rPr>
              <w:t>15</w:t>
            </w:r>
            <w:r>
              <w:rPr>
                <w:noProof/>
                <w:webHidden/>
              </w:rPr>
              <w:fldChar w:fldCharType="end"/>
            </w:r>
          </w:hyperlink>
        </w:p>
        <w:p w:rsidR="001D2A48" w:rsidRDefault="001D2A48">
          <w:pPr>
            <w:pStyle w:val="TOC2"/>
            <w:tabs>
              <w:tab w:val="left" w:pos="880"/>
              <w:tab w:val="right" w:leader="dot" w:pos="9465"/>
            </w:tabs>
            <w:rPr>
              <w:rFonts w:asciiTheme="minorHAnsi" w:eastAsiaTheme="minorEastAsia" w:hAnsiTheme="minorHAnsi"/>
              <w:noProof/>
              <w:lang w:val="en-CA" w:eastAsia="en-CA"/>
            </w:rPr>
          </w:pPr>
          <w:hyperlink w:anchor="_Toc325940170" w:history="1">
            <w:r w:rsidRPr="00F8756B">
              <w:rPr>
                <w:rStyle w:val="Hyperlink"/>
                <w:noProof/>
              </w:rPr>
              <w:t>2.2.</w:t>
            </w:r>
            <w:r>
              <w:rPr>
                <w:rFonts w:asciiTheme="minorHAnsi" w:eastAsiaTheme="minorEastAsia" w:hAnsiTheme="minorHAnsi"/>
                <w:noProof/>
                <w:lang w:val="en-CA" w:eastAsia="en-CA"/>
              </w:rPr>
              <w:tab/>
            </w:r>
            <w:r w:rsidRPr="00F8756B">
              <w:rPr>
                <w:rStyle w:val="Hyperlink"/>
                <w:noProof/>
              </w:rPr>
              <w:t>Framing the Country Programme 2007-11</w:t>
            </w:r>
            <w:r>
              <w:rPr>
                <w:noProof/>
                <w:webHidden/>
              </w:rPr>
              <w:tab/>
            </w:r>
            <w:r>
              <w:rPr>
                <w:noProof/>
                <w:webHidden/>
              </w:rPr>
              <w:fldChar w:fldCharType="begin"/>
            </w:r>
            <w:r>
              <w:rPr>
                <w:noProof/>
                <w:webHidden/>
              </w:rPr>
              <w:instrText xml:space="preserve"> PAGEREF _Toc325940170 \h </w:instrText>
            </w:r>
            <w:r>
              <w:rPr>
                <w:noProof/>
                <w:webHidden/>
              </w:rPr>
            </w:r>
            <w:r>
              <w:rPr>
                <w:noProof/>
                <w:webHidden/>
              </w:rPr>
              <w:fldChar w:fldCharType="separate"/>
            </w:r>
            <w:r>
              <w:rPr>
                <w:noProof/>
                <w:webHidden/>
              </w:rPr>
              <w:t>15</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171" w:history="1">
            <w:r w:rsidRPr="00F8756B">
              <w:rPr>
                <w:rStyle w:val="Hyperlink"/>
                <w:noProof/>
              </w:rPr>
              <w:t>2.2.1.</w:t>
            </w:r>
            <w:r>
              <w:rPr>
                <w:rFonts w:asciiTheme="minorHAnsi" w:eastAsiaTheme="minorEastAsia" w:hAnsiTheme="minorHAnsi"/>
                <w:noProof/>
                <w:lang w:val="en-CA" w:eastAsia="en-CA"/>
              </w:rPr>
              <w:tab/>
            </w:r>
            <w:r w:rsidRPr="00F8756B">
              <w:rPr>
                <w:rStyle w:val="Hyperlink"/>
                <w:noProof/>
              </w:rPr>
              <w:t>The public sector and economic development setting</w:t>
            </w:r>
            <w:r>
              <w:rPr>
                <w:noProof/>
                <w:webHidden/>
              </w:rPr>
              <w:tab/>
            </w:r>
            <w:r>
              <w:rPr>
                <w:noProof/>
                <w:webHidden/>
              </w:rPr>
              <w:fldChar w:fldCharType="begin"/>
            </w:r>
            <w:r>
              <w:rPr>
                <w:noProof/>
                <w:webHidden/>
              </w:rPr>
              <w:instrText xml:space="preserve"> PAGEREF _Toc325940171 \h </w:instrText>
            </w:r>
            <w:r>
              <w:rPr>
                <w:noProof/>
                <w:webHidden/>
              </w:rPr>
            </w:r>
            <w:r>
              <w:rPr>
                <w:noProof/>
                <w:webHidden/>
              </w:rPr>
              <w:fldChar w:fldCharType="separate"/>
            </w:r>
            <w:r>
              <w:rPr>
                <w:noProof/>
                <w:webHidden/>
              </w:rPr>
              <w:t>15</w:t>
            </w:r>
            <w:r>
              <w:rPr>
                <w:noProof/>
                <w:webHidden/>
              </w:rPr>
              <w:fldChar w:fldCharType="end"/>
            </w:r>
          </w:hyperlink>
        </w:p>
        <w:p w:rsidR="001D2A48" w:rsidRDefault="001D2A48">
          <w:pPr>
            <w:pStyle w:val="TOC2"/>
            <w:tabs>
              <w:tab w:val="left" w:pos="880"/>
              <w:tab w:val="right" w:leader="dot" w:pos="9465"/>
            </w:tabs>
            <w:rPr>
              <w:rFonts w:asciiTheme="minorHAnsi" w:eastAsiaTheme="minorEastAsia" w:hAnsiTheme="minorHAnsi"/>
              <w:noProof/>
              <w:lang w:val="en-CA" w:eastAsia="en-CA"/>
            </w:rPr>
          </w:pPr>
          <w:hyperlink w:anchor="_Toc325940172" w:history="1">
            <w:r w:rsidRPr="00F8756B">
              <w:rPr>
                <w:rStyle w:val="Hyperlink"/>
                <w:noProof/>
              </w:rPr>
              <w:t>2.3.</w:t>
            </w:r>
            <w:r>
              <w:rPr>
                <w:rFonts w:asciiTheme="minorHAnsi" w:eastAsiaTheme="minorEastAsia" w:hAnsiTheme="minorHAnsi"/>
                <w:noProof/>
                <w:lang w:val="en-CA" w:eastAsia="en-CA"/>
              </w:rPr>
              <w:tab/>
            </w:r>
            <w:r w:rsidRPr="00F8756B">
              <w:rPr>
                <w:rStyle w:val="Hyperlink"/>
                <w:noProof/>
              </w:rPr>
              <w:t>Country Programme Outcomes</w:t>
            </w:r>
            <w:r>
              <w:rPr>
                <w:noProof/>
                <w:webHidden/>
              </w:rPr>
              <w:tab/>
            </w:r>
            <w:r>
              <w:rPr>
                <w:noProof/>
                <w:webHidden/>
              </w:rPr>
              <w:fldChar w:fldCharType="begin"/>
            </w:r>
            <w:r>
              <w:rPr>
                <w:noProof/>
                <w:webHidden/>
              </w:rPr>
              <w:instrText xml:space="preserve"> PAGEREF _Toc325940172 \h </w:instrText>
            </w:r>
            <w:r>
              <w:rPr>
                <w:noProof/>
                <w:webHidden/>
              </w:rPr>
            </w:r>
            <w:r>
              <w:rPr>
                <w:noProof/>
                <w:webHidden/>
              </w:rPr>
              <w:fldChar w:fldCharType="separate"/>
            </w:r>
            <w:r>
              <w:rPr>
                <w:noProof/>
                <w:webHidden/>
              </w:rPr>
              <w:t>16</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173" w:history="1">
            <w:r w:rsidRPr="00F8756B">
              <w:rPr>
                <w:rStyle w:val="Hyperlink"/>
                <w:noProof/>
              </w:rPr>
              <w:t>2.3.1.</w:t>
            </w:r>
            <w:r>
              <w:rPr>
                <w:rFonts w:asciiTheme="minorHAnsi" w:eastAsiaTheme="minorEastAsia" w:hAnsiTheme="minorHAnsi"/>
                <w:noProof/>
                <w:lang w:val="en-CA" w:eastAsia="en-CA"/>
              </w:rPr>
              <w:tab/>
            </w:r>
            <w:r w:rsidRPr="00F8756B">
              <w:rPr>
                <w:rStyle w:val="Hyperlink"/>
                <w:noProof/>
              </w:rPr>
              <w:t>Outcome 3:  Public Sector Performance</w:t>
            </w:r>
            <w:r>
              <w:rPr>
                <w:noProof/>
                <w:webHidden/>
              </w:rPr>
              <w:tab/>
            </w:r>
            <w:r>
              <w:rPr>
                <w:noProof/>
                <w:webHidden/>
              </w:rPr>
              <w:fldChar w:fldCharType="begin"/>
            </w:r>
            <w:r>
              <w:rPr>
                <w:noProof/>
                <w:webHidden/>
              </w:rPr>
              <w:instrText xml:space="preserve"> PAGEREF _Toc325940173 \h </w:instrText>
            </w:r>
            <w:r>
              <w:rPr>
                <w:noProof/>
                <w:webHidden/>
              </w:rPr>
            </w:r>
            <w:r>
              <w:rPr>
                <w:noProof/>
                <w:webHidden/>
              </w:rPr>
              <w:fldChar w:fldCharType="separate"/>
            </w:r>
            <w:r>
              <w:rPr>
                <w:noProof/>
                <w:webHidden/>
              </w:rPr>
              <w:t>17</w:t>
            </w:r>
            <w:r>
              <w:rPr>
                <w:noProof/>
                <w:webHidden/>
              </w:rPr>
              <w:fldChar w:fldCharType="end"/>
            </w:r>
          </w:hyperlink>
        </w:p>
        <w:p w:rsidR="001D2A48" w:rsidRDefault="001D2A48">
          <w:pPr>
            <w:pStyle w:val="TOC1"/>
            <w:tabs>
              <w:tab w:val="left" w:pos="440"/>
              <w:tab w:val="right" w:leader="dot" w:pos="9465"/>
            </w:tabs>
            <w:rPr>
              <w:rFonts w:asciiTheme="minorHAnsi" w:eastAsiaTheme="minorEastAsia" w:hAnsiTheme="minorHAnsi"/>
              <w:noProof/>
              <w:lang w:val="en-CA" w:eastAsia="en-CA"/>
            </w:rPr>
          </w:pPr>
          <w:hyperlink w:anchor="_Toc325940174" w:history="1">
            <w:r w:rsidRPr="00F8756B">
              <w:rPr>
                <w:rStyle w:val="Hyperlink"/>
                <w:noProof/>
              </w:rPr>
              <w:t>3.</w:t>
            </w:r>
            <w:r>
              <w:rPr>
                <w:rFonts w:asciiTheme="minorHAnsi" w:eastAsiaTheme="minorEastAsia" w:hAnsiTheme="minorHAnsi"/>
                <w:noProof/>
                <w:lang w:val="en-CA" w:eastAsia="en-CA"/>
              </w:rPr>
              <w:tab/>
            </w:r>
            <w:r w:rsidRPr="00F8756B">
              <w:rPr>
                <w:rStyle w:val="Hyperlink"/>
                <w:noProof/>
              </w:rPr>
              <w:t>Findings of the Outcome Evaluation</w:t>
            </w:r>
            <w:r>
              <w:rPr>
                <w:noProof/>
                <w:webHidden/>
              </w:rPr>
              <w:tab/>
            </w:r>
            <w:r>
              <w:rPr>
                <w:noProof/>
                <w:webHidden/>
              </w:rPr>
              <w:fldChar w:fldCharType="begin"/>
            </w:r>
            <w:r>
              <w:rPr>
                <w:noProof/>
                <w:webHidden/>
              </w:rPr>
              <w:instrText xml:space="preserve"> PAGEREF _Toc325940174 \h </w:instrText>
            </w:r>
            <w:r>
              <w:rPr>
                <w:noProof/>
                <w:webHidden/>
              </w:rPr>
            </w:r>
            <w:r>
              <w:rPr>
                <w:noProof/>
                <w:webHidden/>
              </w:rPr>
              <w:fldChar w:fldCharType="separate"/>
            </w:r>
            <w:r>
              <w:rPr>
                <w:noProof/>
                <w:webHidden/>
              </w:rPr>
              <w:t>18</w:t>
            </w:r>
            <w:r>
              <w:rPr>
                <w:noProof/>
                <w:webHidden/>
              </w:rPr>
              <w:fldChar w:fldCharType="end"/>
            </w:r>
          </w:hyperlink>
        </w:p>
        <w:p w:rsidR="001D2A48" w:rsidRDefault="001D2A48">
          <w:pPr>
            <w:pStyle w:val="TOC2"/>
            <w:tabs>
              <w:tab w:val="right" w:leader="dot" w:pos="9465"/>
            </w:tabs>
            <w:rPr>
              <w:rFonts w:asciiTheme="minorHAnsi" w:eastAsiaTheme="minorEastAsia" w:hAnsiTheme="minorHAnsi"/>
              <w:noProof/>
              <w:lang w:val="en-CA" w:eastAsia="en-CA"/>
            </w:rPr>
          </w:pPr>
          <w:hyperlink w:anchor="_Toc325940175" w:history="1">
            <w:r w:rsidRPr="00F8756B">
              <w:rPr>
                <w:rStyle w:val="Hyperlink"/>
                <w:noProof/>
              </w:rPr>
              <w:t>3.1. Progress towards the Outcome</w:t>
            </w:r>
            <w:r>
              <w:rPr>
                <w:noProof/>
                <w:webHidden/>
              </w:rPr>
              <w:tab/>
            </w:r>
            <w:r>
              <w:rPr>
                <w:noProof/>
                <w:webHidden/>
              </w:rPr>
              <w:fldChar w:fldCharType="begin"/>
            </w:r>
            <w:r>
              <w:rPr>
                <w:noProof/>
                <w:webHidden/>
              </w:rPr>
              <w:instrText xml:space="preserve"> PAGEREF _Toc325940175 \h </w:instrText>
            </w:r>
            <w:r>
              <w:rPr>
                <w:noProof/>
                <w:webHidden/>
              </w:rPr>
            </w:r>
            <w:r>
              <w:rPr>
                <w:noProof/>
                <w:webHidden/>
              </w:rPr>
              <w:fldChar w:fldCharType="separate"/>
            </w:r>
            <w:r>
              <w:rPr>
                <w:noProof/>
                <w:webHidden/>
              </w:rPr>
              <w:t>18</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176" w:history="1">
            <w:r w:rsidRPr="00F8756B">
              <w:rPr>
                <w:rStyle w:val="Hyperlink"/>
                <w:noProof/>
              </w:rPr>
              <w:t>3.1.1.</w:t>
            </w:r>
            <w:r>
              <w:rPr>
                <w:rFonts w:asciiTheme="minorHAnsi" w:eastAsiaTheme="minorEastAsia" w:hAnsiTheme="minorHAnsi"/>
                <w:noProof/>
                <w:lang w:val="en-CA" w:eastAsia="en-CA"/>
              </w:rPr>
              <w:tab/>
            </w:r>
            <w:r w:rsidRPr="00F8756B">
              <w:rPr>
                <w:rStyle w:val="Hyperlink"/>
                <w:noProof/>
              </w:rPr>
              <w:t>Outputs under Outcome 3</w:t>
            </w:r>
            <w:r>
              <w:rPr>
                <w:noProof/>
                <w:webHidden/>
              </w:rPr>
              <w:tab/>
            </w:r>
            <w:r>
              <w:rPr>
                <w:noProof/>
                <w:webHidden/>
              </w:rPr>
              <w:fldChar w:fldCharType="begin"/>
            </w:r>
            <w:r>
              <w:rPr>
                <w:noProof/>
                <w:webHidden/>
              </w:rPr>
              <w:instrText xml:space="preserve"> PAGEREF _Toc325940176 \h </w:instrText>
            </w:r>
            <w:r>
              <w:rPr>
                <w:noProof/>
                <w:webHidden/>
              </w:rPr>
            </w:r>
            <w:r>
              <w:rPr>
                <w:noProof/>
                <w:webHidden/>
              </w:rPr>
              <w:fldChar w:fldCharType="separate"/>
            </w:r>
            <w:r>
              <w:rPr>
                <w:noProof/>
                <w:webHidden/>
              </w:rPr>
              <w:t>18</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177" w:history="1">
            <w:r w:rsidRPr="00F8756B">
              <w:rPr>
                <w:rStyle w:val="Hyperlink"/>
                <w:noProof/>
              </w:rPr>
              <w:t>3.1.2.</w:t>
            </w:r>
            <w:r>
              <w:rPr>
                <w:rFonts w:asciiTheme="minorHAnsi" w:eastAsiaTheme="minorEastAsia" w:hAnsiTheme="minorHAnsi"/>
                <w:noProof/>
                <w:lang w:val="en-CA" w:eastAsia="en-CA"/>
              </w:rPr>
              <w:tab/>
            </w:r>
            <w:r w:rsidRPr="00F8756B">
              <w:rPr>
                <w:rStyle w:val="Hyperlink"/>
                <w:noProof/>
              </w:rPr>
              <w:t>UNDP public sector support and KSA achievements under Outcome 3</w:t>
            </w:r>
            <w:r>
              <w:rPr>
                <w:noProof/>
                <w:webHidden/>
              </w:rPr>
              <w:tab/>
            </w:r>
            <w:r>
              <w:rPr>
                <w:noProof/>
                <w:webHidden/>
              </w:rPr>
              <w:fldChar w:fldCharType="begin"/>
            </w:r>
            <w:r>
              <w:rPr>
                <w:noProof/>
                <w:webHidden/>
              </w:rPr>
              <w:instrText xml:space="preserve"> PAGEREF _Toc325940177 \h </w:instrText>
            </w:r>
            <w:r>
              <w:rPr>
                <w:noProof/>
                <w:webHidden/>
              </w:rPr>
            </w:r>
            <w:r>
              <w:rPr>
                <w:noProof/>
                <w:webHidden/>
              </w:rPr>
              <w:fldChar w:fldCharType="separate"/>
            </w:r>
            <w:r>
              <w:rPr>
                <w:noProof/>
                <w:webHidden/>
              </w:rPr>
              <w:t>20</w:t>
            </w:r>
            <w:r>
              <w:rPr>
                <w:noProof/>
                <w:webHidden/>
              </w:rPr>
              <w:fldChar w:fldCharType="end"/>
            </w:r>
          </w:hyperlink>
        </w:p>
        <w:p w:rsidR="001D2A48" w:rsidRDefault="001D2A48">
          <w:pPr>
            <w:pStyle w:val="TOC4"/>
            <w:tabs>
              <w:tab w:val="left" w:pos="1760"/>
              <w:tab w:val="right" w:leader="dot" w:pos="9465"/>
            </w:tabs>
            <w:rPr>
              <w:rFonts w:asciiTheme="minorHAnsi" w:eastAsiaTheme="minorEastAsia" w:hAnsiTheme="minorHAnsi"/>
              <w:noProof/>
              <w:lang w:val="en-CA" w:eastAsia="en-CA"/>
            </w:rPr>
          </w:pPr>
          <w:hyperlink w:anchor="_Toc325940178" w:history="1">
            <w:r w:rsidRPr="00F8756B">
              <w:rPr>
                <w:rStyle w:val="Hyperlink"/>
                <w:noProof/>
              </w:rPr>
              <w:t>3.1.2.1.</w:t>
            </w:r>
            <w:r>
              <w:rPr>
                <w:rFonts w:asciiTheme="minorHAnsi" w:eastAsiaTheme="minorEastAsia" w:hAnsiTheme="minorHAnsi"/>
                <w:noProof/>
                <w:lang w:val="en-CA" w:eastAsia="en-CA"/>
              </w:rPr>
              <w:tab/>
            </w:r>
            <w:r w:rsidRPr="00F8756B">
              <w:rPr>
                <w:rStyle w:val="Hyperlink"/>
                <w:noProof/>
              </w:rPr>
              <w:t>Technical assistance provided to the Ministry of Transport (MOT) for the implementation of the National Transport Strategy</w:t>
            </w:r>
            <w:r>
              <w:rPr>
                <w:noProof/>
                <w:webHidden/>
              </w:rPr>
              <w:tab/>
            </w:r>
            <w:r>
              <w:rPr>
                <w:noProof/>
                <w:webHidden/>
              </w:rPr>
              <w:fldChar w:fldCharType="begin"/>
            </w:r>
            <w:r>
              <w:rPr>
                <w:noProof/>
                <w:webHidden/>
              </w:rPr>
              <w:instrText xml:space="preserve"> PAGEREF _Toc325940178 \h </w:instrText>
            </w:r>
            <w:r>
              <w:rPr>
                <w:noProof/>
                <w:webHidden/>
              </w:rPr>
            </w:r>
            <w:r>
              <w:rPr>
                <w:noProof/>
                <w:webHidden/>
              </w:rPr>
              <w:fldChar w:fldCharType="separate"/>
            </w:r>
            <w:r>
              <w:rPr>
                <w:noProof/>
                <w:webHidden/>
              </w:rPr>
              <w:t>20</w:t>
            </w:r>
            <w:r>
              <w:rPr>
                <w:noProof/>
                <w:webHidden/>
              </w:rPr>
              <w:fldChar w:fldCharType="end"/>
            </w:r>
          </w:hyperlink>
        </w:p>
        <w:p w:rsidR="001D2A48" w:rsidRDefault="001D2A48">
          <w:pPr>
            <w:pStyle w:val="TOC4"/>
            <w:tabs>
              <w:tab w:val="left" w:pos="1760"/>
              <w:tab w:val="right" w:leader="dot" w:pos="9465"/>
            </w:tabs>
            <w:rPr>
              <w:rFonts w:asciiTheme="minorHAnsi" w:eastAsiaTheme="minorEastAsia" w:hAnsiTheme="minorHAnsi"/>
              <w:noProof/>
              <w:lang w:val="en-CA" w:eastAsia="en-CA"/>
            </w:rPr>
          </w:pPr>
          <w:hyperlink w:anchor="_Toc325940179" w:history="1">
            <w:r w:rsidRPr="00F8756B">
              <w:rPr>
                <w:rStyle w:val="Hyperlink"/>
                <w:noProof/>
              </w:rPr>
              <w:t>3.1.2.2.</w:t>
            </w:r>
            <w:r>
              <w:rPr>
                <w:rFonts w:asciiTheme="minorHAnsi" w:eastAsiaTheme="minorEastAsia" w:hAnsiTheme="minorHAnsi"/>
                <w:noProof/>
                <w:lang w:val="en-CA" w:eastAsia="en-CA"/>
              </w:rPr>
              <w:tab/>
            </w:r>
            <w:r w:rsidRPr="00F8756B">
              <w:rPr>
                <w:rStyle w:val="Hyperlink"/>
                <w:noProof/>
              </w:rPr>
              <w:t>Technology and knowledge transfer programmes with focus on e-government developed for the Ministry of Foreign Affairs (MOFA)</w:t>
            </w:r>
            <w:r>
              <w:rPr>
                <w:noProof/>
                <w:webHidden/>
              </w:rPr>
              <w:tab/>
            </w:r>
            <w:r>
              <w:rPr>
                <w:noProof/>
                <w:webHidden/>
              </w:rPr>
              <w:fldChar w:fldCharType="begin"/>
            </w:r>
            <w:r>
              <w:rPr>
                <w:noProof/>
                <w:webHidden/>
              </w:rPr>
              <w:instrText xml:space="preserve"> PAGEREF _Toc325940179 \h </w:instrText>
            </w:r>
            <w:r>
              <w:rPr>
                <w:noProof/>
                <w:webHidden/>
              </w:rPr>
            </w:r>
            <w:r>
              <w:rPr>
                <w:noProof/>
                <w:webHidden/>
              </w:rPr>
              <w:fldChar w:fldCharType="separate"/>
            </w:r>
            <w:r>
              <w:rPr>
                <w:noProof/>
                <w:webHidden/>
              </w:rPr>
              <w:t>21</w:t>
            </w:r>
            <w:r>
              <w:rPr>
                <w:noProof/>
                <w:webHidden/>
              </w:rPr>
              <w:fldChar w:fldCharType="end"/>
            </w:r>
          </w:hyperlink>
        </w:p>
        <w:p w:rsidR="001D2A48" w:rsidRDefault="001D2A48">
          <w:pPr>
            <w:pStyle w:val="TOC4"/>
            <w:tabs>
              <w:tab w:val="left" w:pos="1760"/>
              <w:tab w:val="right" w:leader="dot" w:pos="9465"/>
            </w:tabs>
            <w:rPr>
              <w:rFonts w:asciiTheme="minorHAnsi" w:eastAsiaTheme="minorEastAsia" w:hAnsiTheme="minorHAnsi"/>
              <w:noProof/>
              <w:lang w:val="en-CA" w:eastAsia="en-CA"/>
            </w:rPr>
          </w:pPr>
          <w:hyperlink w:anchor="_Toc325940180" w:history="1">
            <w:r w:rsidRPr="00F8756B">
              <w:rPr>
                <w:rStyle w:val="Hyperlink"/>
                <w:noProof/>
              </w:rPr>
              <w:t>3.1.2.3.</w:t>
            </w:r>
            <w:r>
              <w:rPr>
                <w:rFonts w:asciiTheme="minorHAnsi" w:eastAsiaTheme="minorEastAsia" w:hAnsiTheme="minorHAnsi"/>
                <w:noProof/>
                <w:lang w:val="en-CA" w:eastAsia="en-CA"/>
              </w:rPr>
              <w:tab/>
            </w:r>
            <w:r w:rsidRPr="00F8756B">
              <w:rPr>
                <w:rStyle w:val="Hyperlink"/>
                <w:noProof/>
              </w:rPr>
              <w:t>Advisory services to the Communications and Information Technology Commission (CITC)</w:t>
            </w:r>
            <w:r>
              <w:rPr>
                <w:noProof/>
                <w:webHidden/>
              </w:rPr>
              <w:tab/>
            </w:r>
            <w:r>
              <w:rPr>
                <w:noProof/>
                <w:webHidden/>
              </w:rPr>
              <w:fldChar w:fldCharType="begin"/>
            </w:r>
            <w:r>
              <w:rPr>
                <w:noProof/>
                <w:webHidden/>
              </w:rPr>
              <w:instrText xml:space="preserve"> PAGEREF _Toc325940180 \h </w:instrText>
            </w:r>
            <w:r>
              <w:rPr>
                <w:noProof/>
                <w:webHidden/>
              </w:rPr>
            </w:r>
            <w:r>
              <w:rPr>
                <w:noProof/>
                <w:webHidden/>
              </w:rPr>
              <w:fldChar w:fldCharType="separate"/>
            </w:r>
            <w:r>
              <w:rPr>
                <w:noProof/>
                <w:webHidden/>
              </w:rPr>
              <w:t>22</w:t>
            </w:r>
            <w:r>
              <w:rPr>
                <w:noProof/>
                <w:webHidden/>
              </w:rPr>
              <w:fldChar w:fldCharType="end"/>
            </w:r>
          </w:hyperlink>
        </w:p>
        <w:p w:rsidR="001D2A48" w:rsidRDefault="001D2A48">
          <w:pPr>
            <w:pStyle w:val="TOC4"/>
            <w:tabs>
              <w:tab w:val="left" w:pos="1760"/>
              <w:tab w:val="right" w:leader="dot" w:pos="9465"/>
            </w:tabs>
            <w:rPr>
              <w:rFonts w:asciiTheme="minorHAnsi" w:eastAsiaTheme="minorEastAsia" w:hAnsiTheme="minorHAnsi"/>
              <w:noProof/>
              <w:lang w:val="en-CA" w:eastAsia="en-CA"/>
            </w:rPr>
          </w:pPr>
          <w:hyperlink w:anchor="_Toc325940181" w:history="1">
            <w:r w:rsidRPr="00F8756B">
              <w:rPr>
                <w:rStyle w:val="Hyperlink"/>
                <w:noProof/>
              </w:rPr>
              <w:t>3.1.2.4.</w:t>
            </w:r>
            <w:r>
              <w:rPr>
                <w:rFonts w:asciiTheme="minorHAnsi" w:eastAsiaTheme="minorEastAsia" w:hAnsiTheme="minorHAnsi"/>
                <w:noProof/>
                <w:lang w:val="en-CA" w:eastAsia="en-CA"/>
              </w:rPr>
              <w:tab/>
            </w:r>
            <w:r w:rsidRPr="00F8756B">
              <w:rPr>
                <w:rStyle w:val="Hyperlink"/>
                <w:noProof/>
              </w:rPr>
              <w:t>Electoral capacities of municipal mayors, MOMRA (Ministry of Municipal and Rural Affairs) officials and potential candidates enhanced</w:t>
            </w:r>
            <w:r>
              <w:rPr>
                <w:noProof/>
                <w:webHidden/>
              </w:rPr>
              <w:tab/>
            </w:r>
            <w:r>
              <w:rPr>
                <w:noProof/>
                <w:webHidden/>
              </w:rPr>
              <w:fldChar w:fldCharType="begin"/>
            </w:r>
            <w:r>
              <w:rPr>
                <w:noProof/>
                <w:webHidden/>
              </w:rPr>
              <w:instrText xml:space="preserve"> PAGEREF _Toc325940181 \h </w:instrText>
            </w:r>
            <w:r>
              <w:rPr>
                <w:noProof/>
                <w:webHidden/>
              </w:rPr>
            </w:r>
            <w:r>
              <w:rPr>
                <w:noProof/>
                <w:webHidden/>
              </w:rPr>
              <w:fldChar w:fldCharType="separate"/>
            </w:r>
            <w:r>
              <w:rPr>
                <w:noProof/>
                <w:webHidden/>
              </w:rPr>
              <w:t>23</w:t>
            </w:r>
            <w:r>
              <w:rPr>
                <w:noProof/>
                <w:webHidden/>
              </w:rPr>
              <w:fldChar w:fldCharType="end"/>
            </w:r>
          </w:hyperlink>
        </w:p>
        <w:p w:rsidR="001D2A48" w:rsidRDefault="001D2A48">
          <w:pPr>
            <w:pStyle w:val="TOC4"/>
            <w:tabs>
              <w:tab w:val="left" w:pos="1760"/>
              <w:tab w:val="right" w:leader="dot" w:pos="9465"/>
            </w:tabs>
            <w:rPr>
              <w:rFonts w:asciiTheme="minorHAnsi" w:eastAsiaTheme="minorEastAsia" w:hAnsiTheme="minorHAnsi"/>
              <w:noProof/>
              <w:lang w:val="en-CA" w:eastAsia="en-CA"/>
            </w:rPr>
          </w:pPr>
          <w:hyperlink w:anchor="_Toc325940182" w:history="1">
            <w:r w:rsidRPr="00F8756B">
              <w:rPr>
                <w:rStyle w:val="Hyperlink"/>
                <w:noProof/>
              </w:rPr>
              <w:t>3.1.2.5.</w:t>
            </w:r>
            <w:r>
              <w:rPr>
                <w:rFonts w:asciiTheme="minorHAnsi" w:eastAsiaTheme="minorEastAsia" w:hAnsiTheme="minorHAnsi"/>
                <w:noProof/>
                <w:lang w:val="en-CA" w:eastAsia="en-CA"/>
              </w:rPr>
              <w:tab/>
            </w:r>
            <w:r w:rsidRPr="00F8756B">
              <w:rPr>
                <w:rStyle w:val="Hyperlink"/>
                <w:noProof/>
              </w:rPr>
              <w:t>Institutional and human capacities of Al-Madinah Urban Observatory Network (MUON) developed to formulate evidence-based development programmes.</w:t>
            </w:r>
            <w:r>
              <w:rPr>
                <w:noProof/>
                <w:webHidden/>
              </w:rPr>
              <w:tab/>
            </w:r>
            <w:r>
              <w:rPr>
                <w:noProof/>
                <w:webHidden/>
              </w:rPr>
              <w:fldChar w:fldCharType="begin"/>
            </w:r>
            <w:r>
              <w:rPr>
                <w:noProof/>
                <w:webHidden/>
              </w:rPr>
              <w:instrText xml:space="preserve"> PAGEREF _Toc325940182 \h </w:instrText>
            </w:r>
            <w:r>
              <w:rPr>
                <w:noProof/>
                <w:webHidden/>
              </w:rPr>
            </w:r>
            <w:r>
              <w:rPr>
                <w:noProof/>
                <w:webHidden/>
              </w:rPr>
              <w:fldChar w:fldCharType="separate"/>
            </w:r>
            <w:r>
              <w:rPr>
                <w:noProof/>
                <w:webHidden/>
              </w:rPr>
              <w:t>24</w:t>
            </w:r>
            <w:r>
              <w:rPr>
                <w:noProof/>
                <w:webHidden/>
              </w:rPr>
              <w:fldChar w:fldCharType="end"/>
            </w:r>
          </w:hyperlink>
        </w:p>
        <w:p w:rsidR="001D2A48" w:rsidRDefault="001D2A48">
          <w:pPr>
            <w:pStyle w:val="TOC4"/>
            <w:tabs>
              <w:tab w:val="left" w:pos="1760"/>
              <w:tab w:val="right" w:leader="dot" w:pos="9465"/>
            </w:tabs>
            <w:rPr>
              <w:rFonts w:asciiTheme="minorHAnsi" w:eastAsiaTheme="minorEastAsia" w:hAnsiTheme="minorHAnsi"/>
              <w:noProof/>
              <w:lang w:val="en-CA" w:eastAsia="en-CA"/>
            </w:rPr>
          </w:pPr>
          <w:hyperlink w:anchor="_Toc325940183" w:history="1">
            <w:r w:rsidRPr="00F8756B">
              <w:rPr>
                <w:rStyle w:val="Hyperlink"/>
                <w:noProof/>
              </w:rPr>
              <w:t>3.1.2.6.</w:t>
            </w:r>
            <w:r>
              <w:rPr>
                <w:rFonts w:asciiTheme="minorHAnsi" w:eastAsiaTheme="minorEastAsia" w:hAnsiTheme="minorHAnsi"/>
                <w:noProof/>
                <w:lang w:val="en-CA" w:eastAsia="en-CA"/>
              </w:rPr>
              <w:tab/>
            </w:r>
            <w:r w:rsidRPr="00F8756B">
              <w:rPr>
                <w:rStyle w:val="Hyperlink"/>
                <w:noProof/>
              </w:rPr>
              <w:t>Enhanced technical capacities of MOMRA to implement regional urban plans</w:t>
            </w:r>
            <w:r>
              <w:rPr>
                <w:noProof/>
                <w:webHidden/>
              </w:rPr>
              <w:tab/>
            </w:r>
            <w:r>
              <w:rPr>
                <w:noProof/>
                <w:webHidden/>
              </w:rPr>
              <w:fldChar w:fldCharType="begin"/>
            </w:r>
            <w:r>
              <w:rPr>
                <w:noProof/>
                <w:webHidden/>
              </w:rPr>
              <w:instrText xml:space="preserve"> PAGEREF _Toc325940183 \h </w:instrText>
            </w:r>
            <w:r>
              <w:rPr>
                <w:noProof/>
                <w:webHidden/>
              </w:rPr>
            </w:r>
            <w:r>
              <w:rPr>
                <w:noProof/>
                <w:webHidden/>
              </w:rPr>
              <w:fldChar w:fldCharType="separate"/>
            </w:r>
            <w:r>
              <w:rPr>
                <w:noProof/>
                <w:webHidden/>
              </w:rPr>
              <w:t>24</w:t>
            </w:r>
            <w:r>
              <w:rPr>
                <w:noProof/>
                <w:webHidden/>
              </w:rPr>
              <w:fldChar w:fldCharType="end"/>
            </w:r>
          </w:hyperlink>
        </w:p>
        <w:p w:rsidR="001D2A48" w:rsidRDefault="001D2A48">
          <w:pPr>
            <w:pStyle w:val="TOC4"/>
            <w:tabs>
              <w:tab w:val="left" w:pos="1760"/>
              <w:tab w:val="right" w:leader="dot" w:pos="9465"/>
            </w:tabs>
            <w:rPr>
              <w:rFonts w:asciiTheme="minorHAnsi" w:eastAsiaTheme="minorEastAsia" w:hAnsiTheme="minorHAnsi"/>
              <w:noProof/>
              <w:lang w:val="en-CA" w:eastAsia="en-CA"/>
            </w:rPr>
          </w:pPr>
          <w:hyperlink w:anchor="_Toc325940184" w:history="1">
            <w:r w:rsidRPr="00F8756B">
              <w:rPr>
                <w:rStyle w:val="Hyperlink"/>
                <w:noProof/>
              </w:rPr>
              <w:t>3.1.2.7.</w:t>
            </w:r>
            <w:r>
              <w:rPr>
                <w:rFonts w:asciiTheme="minorHAnsi" w:eastAsiaTheme="minorEastAsia" w:hAnsiTheme="minorHAnsi"/>
                <w:noProof/>
                <w:lang w:val="en-CA" w:eastAsia="en-CA"/>
              </w:rPr>
              <w:tab/>
            </w:r>
            <w:r w:rsidRPr="00F8756B">
              <w:rPr>
                <w:rStyle w:val="Hyperlink"/>
                <w:noProof/>
              </w:rPr>
              <w:t>Support to Saudi Food and Drug Authority (SFDA)</w:t>
            </w:r>
            <w:r>
              <w:rPr>
                <w:noProof/>
                <w:webHidden/>
              </w:rPr>
              <w:tab/>
            </w:r>
            <w:r>
              <w:rPr>
                <w:noProof/>
                <w:webHidden/>
              </w:rPr>
              <w:fldChar w:fldCharType="begin"/>
            </w:r>
            <w:r>
              <w:rPr>
                <w:noProof/>
                <w:webHidden/>
              </w:rPr>
              <w:instrText xml:space="preserve"> PAGEREF _Toc325940184 \h </w:instrText>
            </w:r>
            <w:r>
              <w:rPr>
                <w:noProof/>
                <w:webHidden/>
              </w:rPr>
            </w:r>
            <w:r>
              <w:rPr>
                <w:noProof/>
                <w:webHidden/>
              </w:rPr>
              <w:fldChar w:fldCharType="separate"/>
            </w:r>
            <w:r>
              <w:rPr>
                <w:noProof/>
                <w:webHidden/>
              </w:rPr>
              <w:t>25</w:t>
            </w:r>
            <w:r>
              <w:rPr>
                <w:noProof/>
                <w:webHidden/>
              </w:rPr>
              <w:fldChar w:fldCharType="end"/>
            </w:r>
          </w:hyperlink>
        </w:p>
        <w:p w:rsidR="001D2A48" w:rsidRDefault="001D2A48">
          <w:pPr>
            <w:pStyle w:val="TOC4"/>
            <w:tabs>
              <w:tab w:val="left" w:pos="1760"/>
              <w:tab w:val="right" w:leader="dot" w:pos="9465"/>
            </w:tabs>
            <w:rPr>
              <w:rFonts w:asciiTheme="minorHAnsi" w:eastAsiaTheme="minorEastAsia" w:hAnsiTheme="minorHAnsi"/>
              <w:noProof/>
              <w:lang w:val="en-CA" w:eastAsia="en-CA"/>
            </w:rPr>
          </w:pPr>
          <w:hyperlink w:anchor="_Toc325940185" w:history="1">
            <w:r w:rsidRPr="00F8756B">
              <w:rPr>
                <w:rStyle w:val="Hyperlink"/>
                <w:noProof/>
              </w:rPr>
              <w:t>3.1.2.8.</w:t>
            </w:r>
            <w:r>
              <w:rPr>
                <w:rFonts w:asciiTheme="minorHAnsi" w:eastAsiaTheme="minorEastAsia" w:hAnsiTheme="minorHAnsi"/>
                <w:noProof/>
                <w:lang w:val="en-CA" w:eastAsia="en-CA"/>
              </w:rPr>
              <w:tab/>
            </w:r>
            <w:r w:rsidRPr="00F8756B">
              <w:rPr>
                <w:rStyle w:val="Hyperlink"/>
                <w:noProof/>
              </w:rPr>
              <w:t>KACST supported to establish Open Source Software Center and to promote the open source concept</w:t>
            </w:r>
            <w:r>
              <w:rPr>
                <w:noProof/>
                <w:webHidden/>
              </w:rPr>
              <w:tab/>
            </w:r>
            <w:r>
              <w:rPr>
                <w:noProof/>
                <w:webHidden/>
              </w:rPr>
              <w:fldChar w:fldCharType="begin"/>
            </w:r>
            <w:r>
              <w:rPr>
                <w:noProof/>
                <w:webHidden/>
              </w:rPr>
              <w:instrText xml:space="preserve"> PAGEREF _Toc325940185 \h </w:instrText>
            </w:r>
            <w:r>
              <w:rPr>
                <w:noProof/>
                <w:webHidden/>
              </w:rPr>
            </w:r>
            <w:r>
              <w:rPr>
                <w:noProof/>
                <w:webHidden/>
              </w:rPr>
              <w:fldChar w:fldCharType="separate"/>
            </w:r>
            <w:r>
              <w:rPr>
                <w:noProof/>
                <w:webHidden/>
              </w:rPr>
              <w:t>26</w:t>
            </w:r>
            <w:r>
              <w:rPr>
                <w:noProof/>
                <w:webHidden/>
              </w:rPr>
              <w:fldChar w:fldCharType="end"/>
            </w:r>
          </w:hyperlink>
        </w:p>
        <w:p w:rsidR="001D2A48" w:rsidRDefault="001D2A48">
          <w:pPr>
            <w:pStyle w:val="TOC4"/>
            <w:tabs>
              <w:tab w:val="left" w:pos="1760"/>
              <w:tab w:val="right" w:leader="dot" w:pos="9465"/>
            </w:tabs>
            <w:rPr>
              <w:rFonts w:asciiTheme="minorHAnsi" w:eastAsiaTheme="minorEastAsia" w:hAnsiTheme="minorHAnsi"/>
              <w:noProof/>
              <w:lang w:val="en-CA" w:eastAsia="en-CA"/>
            </w:rPr>
          </w:pPr>
          <w:hyperlink w:anchor="_Toc325940186" w:history="1">
            <w:r w:rsidRPr="00F8756B">
              <w:rPr>
                <w:rStyle w:val="Hyperlink"/>
                <w:noProof/>
              </w:rPr>
              <w:t>3.1.2.9.</w:t>
            </w:r>
            <w:r>
              <w:rPr>
                <w:rFonts w:asciiTheme="minorHAnsi" w:eastAsiaTheme="minorEastAsia" w:hAnsiTheme="minorHAnsi"/>
                <w:noProof/>
                <w:lang w:val="en-CA" w:eastAsia="en-CA"/>
              </w:rPr>
              <w:tab/>
            </w:r>
            <w:r w:rsidRPr="00F8756B">
              <w:rPr>
                <w:rStyle w:val="Hyperlink"/>
                <w:noProof/>
              </w:rPr>
              <w:t>Public institutions more responsive to clients’ demand for quality and efficient services in terms of costs and timeliness</w:t>
            </w:r>
            <w:r>
              <w:rPr>
                <w:noProof/>
                <w:webHidden/>
              </w:rPr>
              <w:tab/>
            </w:r>
            <w:r>
              <w:rPr>
                <w:noProof/>
                <w:webHidden/>
              </w:rPr>
              <w:fldChar w:fldCharType="begin"/>
            </w:r>
            <w:r>
              <w:rPr>
                <w:noProof/>
                <w:webHidden/>
              </w:rPr>
              <w:instrText xml:space="preserve"> PAGEREF _Toc325940186 \h </w:instrText>
            </w:r>
            <w:r>
              <w:rPr>
                <w:noProof/>
                <w:webHidden/>
              </w:rPr>
            </w:r>
            <w:r>
              <w:rPr>
                <w:noProof/>
                <w:webHidden/>
              </w:rPr>
              <w:fldChar w:fldCharType="separate"/>
            </w:r>
            <w:r>
              <w:rPr>
                <w:noProof/>
                <w:webHidden/>
              </w:rPr>
              <w:t>28</w:t>
            </w:r>
            <w:r>
              <w:rPr>
                <w:noProof/>
                <w:webHidden/>
              </w:rPr>
              <w:fldChar w:fldCharType="end"/>
            </w:r>
          </w:hyperlink>
        </w:p>
        <w:p w:rsidR="001D2A48" w:rsidRDefault="001D2A48">
          <w:pPr>
            <w:pStyle w:val="TOC2"/>
            <w:tabs>
              <w:tab w:val="left" w:pos="660"/>
              <w:tab w:val="right" w:leader="dot" w:pos="9465"/>
            </w:tabs>
            <w:rPr>
              <w:rFonts w:asciiTheme="minorHAnsi" w:eastAsiaTheme="minorEastAsia" w:hAnsiTheme="minorHAnsi"/>
              <w:noProof/>
              <w:lang w:val="en-CA" w:eastAsia="en-CA"/>
            </w:rPr>
          </w:pPr>
          <w:hyperlink w:anchor="_Toc325940187" w:history="1">
            <w:r w:rsidRPr="00F8756B">
              <w:rPr>
                <w:rStyle w:val="Hyperlink"/>
                <w:noProof/>
              </w:rPr>
              <w:t>4.</w:t>
            </w:r>
            <w:r>
              <w:rPr>
                <w:rFonts w:asciiTheme="minorHAnsi" w:eastAsiaTheme="minorEastAsia" w:hAnsiTheme="minorHAnsi"/>
                <w:noProof/>
                <w:lang w:val="en-CA" w:eastAsia="en-CA"/>
              </w:rPr>
              <w:tab/>
            </w:r>
            <w:r w:rsidRPr="00F8756B">
              <w:rPr>
                <w:rStyle w:val="Hyperlink"/>
                <w:noProof/>
              </w:rPr>
              <w:t>Factors affecting the Outcome</w:t>
            </w:r>
            <w:r>
              <w:rPr>
                <w:noProof/>
                <w:webHidden/>
              </w:rPr>
              <w:tab/>
            </w:r>
            <w:r>
              <w:rPr>
                <w:noProof/>
                <w:webHidden/>
              </w:rPr>
              <w:fldChar w:fldCharType="begin"/>
            </w:r>
            <w:r>
              <w:rPr>
                <w:noProof/>
                <w:webHidden/>
              </w:rPr>
              <w:instrText xml:space="preserve"> PAGEREF _Toc325940187 \h </w:instrText>
            </w:r>
            <w:r>
              <w:rPr>
                <w:noProof/>
                <w:webHidden/>
              </w:rPr>
            </w:r>
            <w:r>
              <w:rPr>
                <w:noProof/>
                <w:webHidden/>
              </w:rPr>
              <w:fldChar w:fldCharType="separate"/>
            </w:r>
            <w:r>
              <w:rPr>
                <w:noProof/>
                <w:webHidden/>
              </w:rPr>
              <w:t>28</w:t>
            </w:r>
            <w:r>
              <w:rPr>
                <w:noProof/>
                <w:webHidden/>
              </w:rPr>
              <w:fldChar w:fldCharType="end"/>
            </w:r>
          </w:hyperlink>
        </w:p>
        <w:p w:rsidR="001D2A48" w:rsidRDefault="001D2A48">
          <w:pPr>
            <w:pStyle w:val="TOC3"/>
            <w:tabs>
              <w:tab w:val="left" w:pos="1100"/>
              <w:tab w:val="right" w:leader="dot" w:pos="9465"/>
            </w:tabs>
            <w:rPr>
              <w:rFonts w:asciiTheme="minorHAnsi" w:eastAsiaTheme="minorEastAsia" w:hAnsiTheme="minorHAnsi"/>
              <w:noProof/>
              <w:lang w:val="en-CA" w:eastAsia="en-CA"/>
            </w:rPr>
          </w:pPr>
          <w:hyperlink w:anchor="_Toc325940188" w:history="1">
            <w:r w:rsidRPr="00F8756B">
              <w:rPr>
                <w:rStyle w:val="Hyperlink"/>
                <w:noProof/>
              </w:rPr>
              <w:t>4.1.</w:t>
            </w:r>
            <w:r>
              <w:rPr>
                <w:rFonts w:asciiTheme="minorHAnsi" w:eastAsiaTheme="minorEastAsia" w:hAnsiTheme="minorHAnsi"/>
                <w:noProof/>
                <w:lang w:val="en-CA" w:eastAsia="en-CA"/>
              </w:rPr>
              <w:tab/>
            </w:r>
            <w:r w:rsidRPr="00F8756B">
              <w:rPr>
                <w:rStyle w:val="Hyperlink"/>
                <w:noProof/>
              </w:rPr>
              <w:t>Growth and real incomes – pressure on earners, clients and households</w:t>
            </w:r>
            <w:r>
              <w:rPr>
                <w:noProof/>
                <w:webHidden/>
              </w:rPr>
              <w:tab/>
            </w:r>
            <w:r>
              <w:rPr>
                <w:noProof/>
                <w:webHidden/>
              </w:rPr>
              <w:fldChar w:fldCharType="begin"/>
            </w:r>
            <w:r>
              <w:rPr>
                <w:noProof/>
                <w:webHidden/>
              </w:rPr>
              <w:instrText xml:space="preserve"> PAGEREF _Toc325940188 \h </w:instrText>
            </w:r>
            <w:r>
              <w:rPr>
                <w:noProof/>
                <w:webHidden/>
              </w:rPr>
            </w:r>
            <w:r>
              <w:rPr>
                <w:noProof/>
                <w:webHidden/>
              </w:rPr>
              <w:fldChar w:fldCharType="separate"/>
            </w:r>
            <w:r>
              <w:rPr>
                <w:noProof/>
                <w:webHidden/>
              </w:rPr>
              <w:t>28</w:t>
            </w:r>
            <w:r>
              <w:rPr>
                <w:noProof/>
                <w:webHidden/>
              </w:rPr>
              <w:fldChar w:fldCharType="end"/>
            </w:r>
          </w:hyperlink>
        </w:p>
        <w:p w:rsidR="001D2A48" w:rsidRDefault="001D2A48">
          <w:pPr>
            <w:pStyle w:val="TOC3"/>
            <w:tabs>
              <w:tab w:val="left" w:pos="1100"/>
              <w:tab w:val="right" w:leader="dot" w:pos="9465"/>
            </w:tabs>
            <w:rPr>
              <w:rFonts w:asciiTheme="minorHAnsi" w:eastAsiaTheme="minorEastAsia" w:hAnsiTheme="minorHAnsi"/>
              <w:noProof/>
              <w:lang w:val="en-CA" w:eastAsia="en-CA"/>
            </w:rPr>
          </w:pPr>
          <w:hyperlink w:anchor="_Toc325940189" w:history="1">
            <w:r w:rsidRPr="00F8756B">
              <w:rPr>
                <w:rStyle w:val="Hyperlink"/>
                <w:noProof/>
              </w:rPr>
              <w:t>4.2.</w:t>
            </w:r>
            <w:r>
              <w:rPr>
                <w:rFonts w:asciiTheme="minorHAnsi" w:eastAsiaTheme="minorEastAsia" w:hAnsiTheme="minorHAnsi"/>
                <w:noProof/>
                <w:lang w:val="en-CA" w:eastAsia="en-CA"/>
              </w:rPr>
              <w:tab/>
            </w:r>
            <w:r w:rsidRPr="00F8756B">
              <w:rPr>
                <w:rStyle w:val="Hyperlink"/>
                <w:noProof/>
              </w:rPr>
              <w:t>Population and work force</w:t>
            </w:r>
            <w:r>
              <w:rPr>
                <w:noProof/>
                <w:webHidden/>
              </w:rPr>
              <w:tab/>
            </w:r>
            <w:r>
              <w:rPr>
                <w:noProof/>
                <w:webHidden/>
              </w:rPr>
              <w:fldChar w:fldCharType="begin"/>
            </w:r>
            <w:r>
              <w:rPr>
                <w:noProof/>
                <w:webHidden/>
              </w:rPr>
              <w:instrText xml:space="preserve"> PAGEREF _Toc325940189 \h </w:instrText>
            </w:r>
            <w:r>
              <w:rPr>
                <w:noProof/>
                <w:webHidden/>
              </w:rPr>
            </w:r>
            <w:r>
              <w:rPr>
                <w:noProof/>
                <w:webHidden/>
              </w:rPr>
              <w:fldChar w:fldCharType="separate"/>
            </w:r>
            <w:r>
              <w:rPr>
                <w:noProof/>
                <w:webHidden/>
              </w:rPr>
              <w:t>30</w:t>
            </w:r>
            <w:r>
              <w:rPr>
                <w:noProof/>
                <w:webHidden/>
              </w:rPr>
              <w:fldChar w:fldCharType="end"/>
            </w:r>
          </w:hyperlink>
        </w:p>
        <w:p w:rsidR="001D2A48" w:rsidRDefault="001D2A48">
          <w:pPr>
            <w:pStyle w:val="TOC3"/>
            <w:tabs>
              <w:tab w:val="left" w:pos="1100"/>
              <w:tab w:val="right" w:leader="dot" w:pos="9465"/>
            </w:tabs>
            <w:rPr>
              <w:rFonts w:asciiTheme="minorHAnsi" w:eastAsiaTheme="minorEastAsia" w:hAnsiTheme="minorHAnsi"/>
              <w:noProof/>
              <w:lang w:val="en-CA" w:eastAsia="en-CA"/>
            </w:rPr>
          </w:pPr>
          <w:hyperlink w:anchor="_Toc325940190" w:history="1">
            <w:r w:rsidRPr="00F8756B">
              <w:rPr>
                <w:rStyle w:val="Hyperlink"/>
                <w:noProof/>
              </w:rPr>
              <w:t>4.3.</w:t>
            </w:r>
            <w:r>
              <w:rPr>
                <w:rFonts w:asciiTheme="minorHAnsi" w:eastAsiaTheme="minorEastAsia" w:hAnsiTheme="minorHAnsi"/>
                <w:noProof/>
                <w:lang w:val="en-CA" w:eastAsia="en-CA"/>
              </w:rPr>
              <w:tab/>
            </w:r>
            <w:r w:rsidRPr="00F8756B">
              <w:rPr>
                <w:rStyle w:val="Hyperlink"/>
                <w:noProof/>
              </w:rPr>
              <w:t>High and rising government capacities</w:t>
            </w:r>
            <w:r>
              <w:rPr>
                <w:noProof/>
                <w:webHidden/>
              </w:rPr>
              <w:tab/>
            </w:r>
            <w:r>
              <w:rPr>
                <w:noProof/>
                <w:webHidden/>
              </w:rPr>
              <w:fldChar w:fldCharType="begin"/>
            </w:r>
            <w:r>
              <w:rPr>
                <w:noProof/>
                <w:webHidden/>
              </w:rPr>
              <w:instrText xml:space="preserve"> PAGEREF _Toc325940190 \h </w:instrText>
            </w:r>
            <w:r>
              <w:rPr>
                <w:noProof/>
                <w:webHidden/>
              </w:rPr>
            </w:r>
            <w:r>
              <w:rPr>
                <w:noProof/>
                <w:webHidden/>
              </w:rPr>
              <w:fldChar w:fldCharType="separate"/>
            </w:r>
            <w:r>
              <w:rPr>
                <w:noProof/>
                <w:webHidden/>
              </w:rPr>
              <w:t>32</w:t>
            </w:r>
            <w:r>
              <w:rPr>
                <w:noProof/>
                <w:webHidden/>
              </w:rPr>
              <w:fldChar w:fldCharType="end"/>
            </w:r>
          </w:hyperlink>
        </w:p>
        <w:p w:rsidR="001D2A48" w:rsidRDefault="001D2A48">
          <w:pPr>
            <w:pStyle w:val="TOC2"/>
            <w:tabs>
              <w:tab w:val="left" w:pos="660"/>
              <w:tab w:val="right" w:leader="dot" w:pos="9465"/>
            </w:tabs>
            <w:rPr>
              <w:rFonts w:asciiTheme="minorHAnsi" w:eastAsiaTheme="minorEastAsia" w:hAnsiTheme="minorHAnsi"/>
              <w:noProof/>
              <w:lang w:val="en-CA" w:eastAsia="en-CA"/>
            </w:rPr>
          </w:pPr>
          <w:hyperlink w:anchor="_Toc325940191" w:history="1">
            <w:r w:rsidRPr="00F8756B">
              <w:rPr>
                <w:rStyle w:val="Hyperlink"/>
                <w:noProof/>
              </w:rPr>
              <w:t>5.</w:t>
            </w:r>
            <w:r>
              <w:rPr>
                <w:rFonts w:asciiTheme="minorHAnsi" w:eastAsiaTheme="minorEastAsia" w:hAnsiTheme="minorHAnsi"/>
                <w:noProof/>
                <w:lang w:val="en-CA" w:eastAsia="en-CA"/>
              </w:rPr>
              <w:tab/>
            </w:r>
            <w:r w:rsidRPr="00F8756B">
              <w:rPr>
                <w:rStyle w:val="Hyperlink"/>
                <w:noProof/>
              </w:rPr>
              <w:t>Assessment of the partnership strategy</w:t>
            </w:r>
            <w:r>
              <w:rPr>
                <w:noProof/>
                <w:webHidden/>
              </w:rPr>
              <w:tab/>
            </w:r>
            <w:r>
              <w:rPr>
                <w:noProof/>
                <w:webHidden/>
              </w:rPr>
              <w:fldChar w:fldCharType="begin"/>
            </w:r>
            <w:r>
              <w:rPr>
                <w:noProof/>
                <w:webHidden/>
              </w:rPr>
              <w:instrText xml:space="preserve"> PAGEREF _Toc325940191 \h </w:instrText>
            </w:r>
            <w:r>
              <w:rPr>
                <w:noProof/>
                <w:webHidden/>
              </w:rPr>
            </w:r>
            <w:r>
              <w:rPr>
                <w:noProof/>
                <w:webHidden/>
              </w:rPr>
              <w:fldChar w:fldCharType="separate"/>
            </w:r>
            <w:r>
              <w:rPr>
                <w:noProof/>
                <w:webHidden/>
              </w:rPr>
              <w:t>32</w:t>
            </w:r>
            <w:r>
              <w:rPr>
                <w:noProof/>
                <w:webHidden/>
              </w:rPr>
              <w:fldChar w:fldCharType="end"/>
            </w:r>
          </w:hyperlink>
        </w:p>
        <w:p w:rsidR="001D2A48" w:rsidRDefault="001D2A48">
          <w:pPr>
            <w:pStyle w:val="TOC3"/>
            <w:tabs>
              <w:tab w:val="left" w:pos="1100"/>
              <w:tab w:val="right" w:leader="dot" w:pos="9465"/>
            </w:tabs>
            <w:rPr>
              <w:rFonts w:asciiTheme="minorHAnsi" w:eastAsiaTheme="minorEastAsia" w:hAnsiTheme="minorHAnsi"/>
              <w:noProof/>
              <w:lang w:val="en-CA" w:eastAsia="en-CA"/>
            </w:rPr>
          </w:pPr>
          <w:hyperlink w:anchor="_Toc325940192" w:history="1">
            <w:r w:rsidRPr="00F8756B">
              <w:rPr>
                <w:rStyle w:val="Hyperlink"/>
                <w:noProof/>
              </w:rPr>
              <w:t>5.1.</w:t>
            </w:r>
            <w:r>
              <w:rPr>
                <w:rFonts w:asciiTheme="minorHAnsi" w:eastAsiaTheme="minorEastAsia" w:hAnsiTheme="minorHAnsi"/>
                <w:noProof/>
                <w:lang w:val="en-CA" w:eastAsia="en-CA"/>
              </w:rPr>
              <w:tab/>
            </w:r>
            <w:r w:rsidRPr="00F8756B">
              <w:rPr>
                <w:rStyle w:val="Hyperlink"/>
                <w:noProof/>
              </w:rPr>
              <w:t>Flexibility</w:t>
            </w:r>
            <w:r>
              <w:rPr>
                <w:noProof/>
                <w:webHidden/>
              </w:rPr>
              <w:tab/>
            </w:r>
            <w:r>
              <w:rPr>
                <w:noProof/>
                <w:webHidden/>
              </w:rPr>
              <w:fldChar w:fldCharType="begin"/>
            </w:r>
            <w:r>
              <w:rPr>
                <w:noProof/>
                <w:webHidden/>
              </w:rPr>
              <w:instrText xml:space="preserve"> PAGEREF _Toc325940192 \h </w:instrText>
            </w:r>
            <w:r>
              <w:rPr>
                <w:noProof/>
                <w:webHidden/>
              </w:rPr>
            </w:r>
            <w:r>
              <w:rPr>
                <w:noProof/>
                <w:webHidden/>
              </w:rPr>
              <w:fldChar w:fldCharType="separate"/>
            </w:r>
            <w:r>
              <w:rPr>
                <w:noProof/>
                <w:webHidden/>
              </w:rPr>
              <w:t>33</w:t>
            </w:r>
            <w:r>
              <w:rPr>
                <w:noProof/>
                <w:webHidden/>
              </w:rPr>
              <w:fldChar w:fldCharType="end"/>
            </w:r>
          </w:hyperlink>
        </w:p>
        <w:p w:rsidR="001D2A48" w:rsidRDefault="001D2A48">
          <w:pPr>
            <w:pStyle w:val="TOC3"/>
            <w:tabs>
              <w:tab w:val="left" w:pos="1100"/>
              <w:tab w:val="right" w:leader="dot" w:pos="9465"/>
            </w:tabs>
            <w:rPr>
              <w:rFonts w:asciiTheme="minorHAnsi" w:eastAsiaTheme="minorEastAsia" w:hAnsiTheme="minorHAnsi"/>
              <w:noProof/>
              <w:lang w:val="en-CA" w:eastAsia="en-CA"/>
            </w:rPr>
          </w:pPr>
          <w:hyperlink w:anchor="_Toc325940193" w:history="1">
            <w:r w:rsidRPr="00F8756B">
              <w:rPr>
                <w:rStyle w:val="Hyperlink"/>
                <w:noProof/>
              </w:rPr>
              <w:t>5.2.</w:t>
            </w:r>
            <w:r>
              <w:rPr>
                <w:rFonts w:asciiTheme="minorHAnsi" w:eastAsiaTheme="minorEastAsia" w:hAnsiTheme="minorHAnsi"/>
                <w:noProof/>
                <w:lang w:val="en-CA" w:eastAsia="en-CA"/>
              </w:rPr>
              <w:tab/>
            </w:r>
            <w:r w:rsidRPr="00F8756B">
              <w:rPr>
                <w:rStyle w:val="Hyperlink"/>
                <w:noProof/>
              </w:rPr>
              <w:t>Accessing the UN specialized-agency network</w:t>
            </w:r>
            <w:r>
              <w:rPr>
                <w:noProof/>
                <w:webHidden/>
              </w:rPr>
              <w:tab/>
            </w:r>
            <w:r>
              <w:rPr>
                <w:noProof/>
                <w:webHidden/>
              </w:rPr>
              <w:fldChar w:fldCharType="begin"/>
            </w:r>
            <w:r>
              <w:rPr>
                <w:noProof/>
                <w:webHidden/>
              </w:rPr>
              <w:instrText xml:space="preserve"> PAGEREF _Toc325940193 \h </w:instrText>
            </w:r>
            <w:r>
              <w:rPr>
                <w:noProof/>
                <w:webHidden/>
              </w:rPr>
            </w:r>
            <w:r>
              <w:rPr>
                <w:noProof/>
                <w:webHidden/>
              </w:rPr>
              <w:fldChar w:fldCharType="separate"/>
            </w:r>
            <w:r>
              <w:rPr>
                <w:noProof/>
                <w:webHidden/>
              </w:rPr>
              <w:t>33</w:t>
            </w:r>
            <w:r>
              <w:rPr>
                <w:noProof/>
                <w:webHidden/>
              </w:rPr>
              <w:fldChar w:fldCharType="end"/>
            </w:r>
          </w:hyperlink>
        </w:p>
        <w:p w:rsidR="001D2A48" w:rsidRDefault="001D2A48">
          <w:pPr>
            <w:pStyle w:val="TOC1"/>
            <w:tabs>
              <w:tab w:val="left" w:pos="440"/>
              <w:tab w:val="right" w:leader="dot" w:pos="9465"/>
            </w:tabs>
            <w:rPr>
              <w:rFonts w:asciiTheme="minorHAnsi" w:eastAsiaTheme="minorEastAsia" w:hAnsiTheme="minorHAnsi"/>
              <w:noProof/>
              <w:lang w:val="en-CA" w:eastAsia="en-CA"/>
            </w:rPr>
          </w:pPr>
          <w:hyperlink w:anchor="_Toc325940194" w:history="1">
            <w:r w:rsidRPr="00F8756B">
              <w:rPr>
                <w:rStyle w:val="Hyperlink"/>
                <w:noProof/>
              </w:rPr>
              <w:t>6.</w:t>
            </w:r>
            <w:r>
              <w:rPr>
                <w:rFonts w:asciiTheme="minorHAnsi" w:eastAsiaTheme="minorEastAsia" w:hAnsiTheme="minorHAnsi"/>
                <w:noProof/>
                <w:lang w:val="en-CA" w:eastAsia="en-CA"/>
              </w:rPr>
              <w:tab/>
            </w:r>
            <w:r w:rsidRPr="00F8756B">
              <w:rPr>
                <w:rStyle w:val="Hyperlink"/>
                <w:noProof/>
              </w:rPr>
              <w:t>Conclusions and Recommendations</w:t>
            </w:r>
            <w:r>
              <w:rPr>
                <w:noProof/>
                <w:webHidden/>
              </w:rPr>
              <w:tab/>
            </w:r>
            <w:r>
              <w:rPr>
                <w:noProof/>
                <w:webHidden/>
              </w:rPr>
              <w:fldChar w:fldCharType="begin"/>
            </w:r>
            <w:r>
              <w:rPr>
                <w:noProof/>
                <w:webHidden/>
              </w:rPr>
              <w:instrText xml:space="preserve"> PAGEREF _Toc325940194 \h </w:instrText>
            </w:r>
            <w:r>
              <w:rPr>
                <w:noProof/>
                <w:webHidden/>
              </w:rPr>
            </w:r>
            <w:r>
              <w:rPr>
                <w:noProof/>
                <w:webHidden/>
              </w:rPr>
              <w:fldChar w:fldCharType="separate"/>
            </w:r>
            <w:r>
              <w:rPr>
                <w:noProof/>
                <w:webHidden/>
              </w:rPr>
              <w:t>34</w:t>
            </w:r>
            <w:r>
              <w:rPr>
                <w:noProof/>
                <w:webHidden/>
              </w:rPr>
              <w:fldChar w:fldCharType="end"/>
            </w:r>
          </w:hyperlink>
        </w:p>
        <w:p w:rsidR="001D2A48" w:rsidRDefault="001D2A48">
          <w:pPr>
            <w:pStyle w:val="TOC2"/>
            <w:tabs>
              <w:tab w:val="left" w:pos="880"/>
              <w:tab w:val="right" w:leader="dot" w:pos="9465"/>
            </w:tabs>
            <w:rPr>
              <w:rFonts w:asciiTheme="minorHAnsi" w:eastAsiaTheme="minorEastAsia" w:hAnsiTheme="minorHAnsi"/>
              <w:noProof/>
              <w:lang w:val="en-CA" w:eastAsia="en-CA"/>
            </w:rPr>
          </w:pPr>
          <w:hyperlink w:anchor="_Toc325940195" w:history="1">
            <w:r w:rsidRPr="00F8756B">
              <w:rPr>
                <w:rStyle w:val="Hyperlink"/>
                <w:noProof/>
              </w:rPr>
              <w:t>6.1.</w:t>
            </w:r>
            <w:r>
              <w:rPr>
                <w:rFonts w:asciiTheme="minorHAnsi" w:eastAsiaTheme="minorEastAsia" w:hAnsiTheme="minorHAnsi"/>
                <w:noProof/>
                <w:lang w:val="en-CA" w:eastAsia="en-CA"/>
              </w:rPr>
              <w:tab/>
            </w:r>
            <w:r w:rsidRPr="00F8756B">
              <w:rPr>
                <w:rStyle w:val="Hyperlink"/>
                <w:noProof/>
              </w:rPr>
              <w:t>Programme framing in a High-human-development NCC</w:t>
            </w:r>
            <w:r>
              <w:rPr>
                <w:noProof/>
                <w:webHidden/>
              </w:rPr>
              <w:tab/>
            </w:r>
            <w:r>
              <w:rPr>
                <w:noProof/>
                <w:webHidden/>
              </w:rPr>
              <w:fldChar w:fldCharType="begin"/>
            </w:r>
            <w:r>
              <w:rPr>
                <w:noProof/>
                <w:webHidden/>
              </w:rPr>
              <w:instrText xml:space="preserve"> PAGEREF _Toc325940195 \h </w:instrText>
            </w:r>
            <w:r>
              <w:rPr>
                <w:noProof/>
                <w:webHidden/>
              </w:rPr>
            </w:r>
            <w:r>
              <w:rPr>
                <w:noProof/>
                <w:webHidden/>
              </w:rPr>
              <w:fldChar w:fldCharType="separate"/>
            </w:r>
            <w:r>
              <w:rPr>
                <w:noProof/>
                <w:webHidden/>
              </w:rPr>
              <w:t>34</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196" w:history="1">
            <w:r w:rsidRPr="00F8756B">
              <w:rPr>
                <w:rStyle w:val="Hyperlink"/>
                <w:noProof/>
              </w:rPr>
              <w:t>6.1.1.</w:t>
            </w:r>
            <w:r>
              <w:rPr>
                <w:rFonts w:asciiTheme="minorHAnsi" w:eastAsiaTheme="minorEastAsia" w:hAnsiTheme="minorHAnsi"/>
                <w:noProof/>
                <w:lang w:val="en-CA" w:eastAsia="en-CA"/>
              </w:rPr>
              <w:tab/>
            </w:r>
            <w:r w:rsidRPr="00F8756B">
              <w:rPr>
                <w:rStyle w:val="Hyperlink"/>
                <w:noProof/>
              </w:rPr>
              <w:t>Ownership assured</w:t>
            </w:r>
            <w:r>
              <w:rPr>
                <w:noProof/>
                <w:webHidden/>
              </w:rPr>
              <w:tab/>
            </w:r>
            <w:r>
              <w:rPr>
                <w:noProof/>
                <w:webHidden/>
              </w:rPr>
              <w:fldChar w:fldCharType="begin"/>
            </w:r>
            <w:r>
              <w:rPr>
                <w:noProof/>
                <w:webHidden/>
              </w:rPr>
              <w:instrText xml:space="preserve"> PAGEREF _Toc325940196 \h </w:instrText>
            </w:r>
            <w:r>
              <w:rPr>
                <w:noProof/>
                <w:webHidden/>
              </w:rPr>
            </w:r>
            <w:r>
              <w:rPr>
                <w:noProof/>
                <w:webHidden/>
              </w:rPr>
              <w:fldChar w:fldCharType="separate"/>
            </w:r>
            <w:r>
              <w:rPr>
                <w:noProof/>
                <w:webHidden/>
              </w:rPr>
              <w:t>34</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197" w:history="1">
            <w:r w:rsidRPr="00F8756B">
              <w:rPr>
                <w:rStyle w:val="Hyperlink"/>
                <w:noProof/>
              </w:rPr>
              <w:t>6.1.2.</w:t>
            </w:r>
            <w:r>
              <w:rPr>
                <w:rFonts w:asciiTheme="minorHAnsi" w:eastAsiaTheme="minorEastAsia" w:hAnsiTheme="minorHAnsi"/>
                <w:noProof/>
                <w:lang w:val="en-CA" w:eastAsia="en-CA"/>
              </w:rPr>
              <w:tab/>
            </w:r>
            <w:r w:rsidRPr="00F8756B">
              <w:rPr>
                <w:rStyle w:val="Hyperlink"/>
                <w:noProof/>
              </w:rPr>
              <w:t>Mutual confidence</w:t>
            </w:r>
            <w:r>
              <w:rPr>
                <w:noProof/>
                <w:webHidden/>
              </w:rPr>
              <w:tab/>
            </w:r>
            <w:r>
              <w:rPr>
                <w:noProof/>
                <w:webHidden/>
              </w:rPr>
              <w:fldChar w:fldCharType="begin"/>
            </w:r>
            <w:r>
              <w:rPr>
                <w:noProof/>
                <w:webHidden/>
              </w:rPr>
              <w:instrText xml:space="preserve"> PAGEREF _Toc325940197 \h </w:instrText>
            </w:r>
            <w:r>
              <w:rPr>
                <w:noProof/>
                <w:webHidden/>
              </w:rPr>
            </w:r>
            <w:r>
              <w:rPr>
                <w:noProof/>
                <w:webHidden/>
              </w:rPr>
              <w:fldChar w:fldCharType="separate"/>
            </w:r>
            <w:r>
              <w:rPr>
                <w:noProof/>
                <w:webHidden/>
              </w:rPr>
              <w:t>34</w:t>
            </w:r>
            <w:r>
              <w:rPr>
                <w:noProof/>
                <w:webHidden/>
              </w:rPr>
              <w:fldChar w:fldCharType="end"/>
            </w:r>
          </w:hyperlink>
        </w:p>
        <w:p w:rsidR="001D2A48" w:rsidRDefault="001D2A48">
          <w:pPr>
            <w:pStyle w:val="TOC2"/>
            <w:tabs>
              <w:tab w:val="left" w:pos="880"/>
              <w:tab w:val="right" w:leader="dot" w:pos="9465"/>
            </w:tabs>
            <w:rPr>
              <w:rFonts w:asciiTheme="minorHAnsi" w:eastAsiaTheme="minorEastAsia" w:hAnsiTheme="minorHAnsi"/>
              <w:noProof/>
              <w:lang w:val="en-CA" w:eastAsia="en-CA"/>
            </w:rPr>
          </w:pPr>
          <w:hyperlink w:anchor="_Toc325940198" w:history="1">
            <w:r w:rsidRPr="00F8756B">
              <w:rPr>
                <w:rStyle w:val="Hyperlink"/>
                <w:noProof/>
              </w:rPr>
              <w:t>6.2.</w:t>
            </w:r>
            <w:r>
              <w:rPr>
                <w:rFonts w:asciiTheme="minorHAnsi" w:eastAsiaTheme="minorEastAsia" w:hAnsiTheme="minorHAnsi"/>
                <w:noProof/>
                <w:lang w:val="en-CA" w:eastAsia="en-CA"/>
              </w:rPr>
              <w:tab/>
            </w:r>
            <w:r w:rsidRPr="00F8756B">
              <w:rPr>
                <w:rStyle w:val="Hyperlink"/>
                <w:noProof/>
              </w:rPr>
              <w:t>Drawing conclusions on a broad Outcome</w:t>
            </w:r>
            <w:r>
              <w:rPr>
                <w:noProof/>
                <w:webHidden/>
              </w:rPr>
              <w:tab/>
            </w:r>
            <w:r>
              <w:rPr>
                <w:noProof/>
                <w:webHidden/>
              </w:rPr>
              <w:fldChar w:fldCharType="begin"/>
            </w:r>
            <w:r>
              <w:rPr>
                <w:noProof/>
                <w:webHidden/>
              </w:rPr>
              <w:instrText xml:space="preserve"> PAGEREF _Toc325940198 \h </w:instrText>
            </w:r>
            <w:r>
              <w:rPr>
                <w:noProof/>
                <w:webHidden/>
              </w:rPr>
            </w:r>
            <w:r>
              <w:rPr>
                <w:noProof/>
                <w:webHidden/>
              </w:rPr>
              <w:fldChar w:fldCharType="separate"/>
            </w:r>
            <w:r>
              <w:rPr>
                <w:noProof/>
                <w:webHidden/>
              </w:rPr>
              <w:t>34</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199" w:history="1">
            <w:r w:rsidRPr="00F8756B">
              <w:rPr>
                <w:rStyle w:val="Hyperlink"/>
                <w:noProof/>
              </w:rPr>
              <w:t>6.2.1.</w:t>
            </w:r>
            <w:r>
              <w:rPr>
                <w:rFonts w:asciiTheme="minorHAnsi" w:eastAsiaTheme="minorEastAsia" w:hAnsiTheme="minorHAnsi"/>
                <w:noProof/>
                <w:lang w:val="en-CA" w:eastAsia="en-CA"/>
              </w:rPr>
              <w:tab/>
            </w:r>
            <w:r w:rsidRPr="00F8756B">
              <w:rPr>
                <w:rStyle w:val="Hyperlink"/>
                <w:noProof/>
              </w:rPr>
              <w:t>Public sector performance</w:t>
            </w:r>
            <w:r>
              <w:rPr>
                <w:noProof/>
                <w:webHidden/>
              </w:rPr>
              <w:tab/>
            </w:r>
            <w:r>
              <w:rPr>
                <w:noProof/>
                <w:webHidden/>
              </w:rPr>
              <w:fldChar w:fldCharType="begin"/>
            </w:r>
            <w:r>
              <w:rPr>
                <w:noProof/>
                <w:webHidden/>
              </w:rPr>
              <w:instrText xml:space="preserve"> PAGEREF _Toc325940199 \h </w:instrText>
            </w:r>
            <w:r>
              <w:rPr>
                <w:noProof/>
                <w:webHidden/>
              </w:rPr>
            </w:r>
            <w:r>
              <w:rPr>
                <w:noProof/>
                <w:webHidden/>
              </w:rPr>
              <w:fldChar w:fldCharType="separate"/>
            </w:r>
            <w:r>
              <w:rPr>
                <w:noProof/>
                <w:webHidden/>
              </w:rPr>
              <w:t>34</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200" w:history="1">
            <w:r w:rsidRPr="00F8756B">
              <w:rPr>
                <w:rStyle w:val="Hyperlink"/>
                <w:noProof/>
                <w:lang w:val="en-CA"/>
              </w:rPr>
              <w:t>6.2.2.</w:t>
            </w:r>
            <w:r>
              <w:rPr>
                <w:rFonts w:asciiTheme="minorHAnsi" w:eastAsiaTheme="minorEastAsia" w:hAnsiTheme="minorHAnsi"/>
                <w:noProof/>
                <w:lang w:val="en-CA" w:eastAsia="en-CA"/>
              </w:rPr>
              <w:tab/>
            </w:r>
            <w:r w:rsidRPr="00F8756B">
              <w:rPr>
                <w:rStyle w:val="Hyperlink"/>
                <w:noProof/>
                <w:lang w:val="en-CA"/>
              </w:rPr>
              <w:t>Evident progress in efficiency quality of service</w:t>
            </w:r>
            <w:r>
              <w:rPr>
                <w:noProof/>
                <w:webHidden/>
              </w:rPr>
              <w:tab/>
            </w:r>
            <w:r>
              <w:rPr>
                <w:noProof/>
                <w:webHidden/>
              </w:rPr>
              <w:fldChar w:fldCharType="begin"/>
            </w:r>
            <w:r>
              <w:rPr>
                <w:noProof/>
                <w:webHidden/>
              </w:rPr>
              <w:instrText xml:space="preserve"> PAGEREF _Toc325940200 \h </w:instrText>
            </w:r>
            <w:r>
              <w:rPr>
                <w:noProof/>
                <w:webHidden/>
              </w:rPr>
            </w:r>
            <w:r>
              <w:rPr>
                <w:noProof/>
                <w:webHidden/>
              </w:rPr>
              <w:fldChar w:fldCharType="separate"/>
            </w:r>
            <w:r>
              <w:rPr>
                <w:noProof/>
                <w:webHidden/>
              </w:rPr>
              <w:t>35</w:t>
            </w:r>
            <w:r>
              <w:rPr>
                <w:noProof/>
                <w:webHidden/>
              </w:rPr>
              <w:fldChar w:fldCharType="end"/>
            </w:r>
          </w:hyperlink>
        </w:p>
        <w:p w:rsidR="001D2A48" w:rsidRDefault="001D2A48">
          <w:pPr>
            <w:pStyle w:val="TOC4"/>
            <w:tabs>
              <w:tab w:val="left" w:pos="1540"/>
              <w:tab w:val="right" w:leader="dot" w:pos="9465"/>
            </w:tabs>
            <w:rPr>
              <w:rFonts w:asciiTheme="minorHAnsi" w:eastAsiaTheme="minorEastAsia" w:hAnsiTheme="minorHAnsi"/>
              <w:noProof/>
              <w:lang w:val="en-CA" w:eastAsia="en-CA"/>
            </w:rPr>
          </w:pPr>
          <w:hyperlink w:anchor="_Toc325940201" w:history="1">
            <w:r w:rsidRPr="00F8756B">
              <w:rPr>
                <w:rStyle w:val="Hyperlink"/>
                <w:noProof/>
              </w:rPr>
              <w:t>6.2.3.</w:t>
            </w:r>
            <w:r>
              <w:rPr>
                <w:rFonts w:asciiTheme="minorHAnsi" w:eastAsiaTheme="minorEastAsia" w:hAnsiTheme="minorHAnsi"/>
                <w:noProof/>
                <w:lang w:val="en-CA" w:eastAsia="en-CA"/>
              </w:rPr>
              <w:tab/>
            </w:r>
            <w:r w:rsidRPr="00F8756B">
              <w:rPr>
                <w:rStyle w:val="Hyperlink"/>
                <w:noProof/>
              </w:rPr>
              <w:t>Administrative management</w:t>
            </w:r>
            <w:r>
              <w:rPr>
                <w:noProof/>
                <w:webHidden/>
              </w:rPr>
              <w:tab/>
            </w:r>
            <w:r>
              <w:rPr>
                <w:noProof/>
                <w:webHidden/>
              </w:rPr>
              <w:fldChar w:fldCharType="begin"/>
            </w:r>
            <w:r>
              <w:rPr>
                <w:noProof/>
                <w:webHidden/>
              </w:rPr>
              <w:instrText xml:space="preserve"> PAGEREF _Toc325940201 \h </w:instrText>
            </w:r>
            <w:r>
              <w:rPr>
                <w:noProof/>
                <w:webHidden/>
              </w:rPr>
            </w:r>
            <w:r>
              <w:rPr>
                <w:noProof/>
                <w:webHidden/>
              </w:rPr>
              <w:fldChar w:fldCharType="separate"/>
            </w:r>
            <w:r>
              <w:rPr>
                <w:noProof/>
                <w:webHidden/>
              </w:rPr>
              <w:t>36</w:t>
            </w:r>
            <w:r>
              <w:rPr>
                <w:noProof/>
                <w:webHidden/>
              </w:rPr>
              <w:fldChar w:fldCharType="end"/>
            </w:r>
          </w:hyperlink>
        </w:p>
        <w:p w:rsidR="001D2A48" w:rsidRDefault="001D2A48">
          <w:pPr>
            <w:pStyle w:val="TOC2"/>
            <w:tabs>
              <w:tab w:val="left" w:pos="880"/>
              <w:tab w:val="right" w:leader="dot" w:pos="9465"/>
            </w:tabs>
            <w:rPr>
              <w:rFonts w:asciiTheme="minorHAnsi" w:eastAsiaTheme="minorEastAsia" w:hAnsiTheme="minorHAnsi"/>
              <w:noProof/>
              <w:lang w:val="en-CA" w:eastAsia="en-CA"/>
            </w:rPr>
          </w:pPr>
          <w:hyperlink w:anchor="_Toc325940202" w:history="1">
            <w:r w:rsidRPr="00F8756B">
              <w:rPr>
                <w:rStyle w:val="Hyperlink"/>
                <w:noProof/>
              </w:rPr>
              <w:t>6.3.</w:t>
            </w:r>
            <w:r>
              <w:rPr>
                <w:rFonts w:asciiTheme="minorHAnsi" w:eastAsiaTheme="minorEastAsia" w:hAnsiTheme="minorHAnsi"/>
                <w:noProof/>
                <w:lang w:val="en-CA" w:eastAsia="en-CA"/>
              </w:rPr>
              <w:tab/>
            </w:r>
            <w:r w:rsidRPr="00F8756B">
              <w:rPr>
                <w:rStyle w:val="Hyperlink"/>
                <w:noProof/>
              </w:rPr>
              <w:t>Recommendations</w:t>
            </w:r>
            <w:r>
              <w:rPr>
                <w:noProof/>
                <w:webHidden/>
              </w:rPr>
              <w:tab/>
            </w:r>
            <w:r>
              <w:rPr>
                <w:noProof/>
                <w:webHidden/>
              </w:rPr>
              <w:fldChar w:fldCharType="begin"/>
            </w:r>
            <w:r>
              <w:rPr>
                <w:noProof/>
                <w:webHidden/>
              </w:rPr>
              <w:instrText xml:space="preserve"> PAGEREF _Toc325940202 \h </w:instrText>
            </w:r>
            <w:r>
              <w:rPr>
                <w:noProof/>
                <w:webHidden/>
              </w:rPr>
            </w:r>
            <w:r>
              <w:rPr>
                <w:noProof/>
                <w:webHidden/>
              </w:rPr>
              <w:fldChar w:fldCharType="separate"/>
            </w:r>
            <w:r>
              <w:rPr>
                <w:noProof/>
                <w:webHidden/>
              </w:rPr>
              <w:t>36</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203" w:history="1">
            <w:r w:rsidRPr="00F8756B">
              <w:rPr>
                <w:rStyle w:val="Hyperlink"/>
                <w:noProof/>
              </w:rPr>
              <w:t>6.3.1.</w:t>
            </w:r>
            <w:r>
              <w:rPr>
                <w:rFonts w:asciiTheme="minorHAnsi" w:eastAsiaTheme="minorEastAsia" w:hAnsiTheme="minorHAnsi"/>
                <w:noProof/>
                <w:lang w:val="en-CA" w:eastAsia="en-CA"/>
              </w:rPr>
              <w:tab/>
            </w:r>
            <w:r w:rsidRPr="00F8756B">
              <w:rPr>
                <w:rStyle w:val="Hyperlink"/>
                <w:noProof/>
              </w:rPr>
              <w:t>Current arrangements work well and should be continued</w:t>
            </w:r>
            <w:r>
              <w:rPr>
                <w:noProof/>
                <w:webHidden/>
              </w:rPr>
              <w:tab/>
            </w:r>
            <w:r>
              <w:rPr>
                <w:noProof/>
                <w:webHidden/>
              </w:rPr>
              <w:fldChar w:fldCharType="begin"/>
            </w:r>
            <w:r>
              <w:rPr>
                <w:noProof/>
                <w:webHidden/>
              </w:rPr>
              <w:instrText xml:space="preserve"> PAGEREF _Toc325940203 \h </w:instrText>
            </w:r>
            <w:r>
              <w:rPr>
                <w:noProof/>
                <w:webHidden/>
              </w:rPr>
            </w:r>
            <w:r>
              <w:rPr>
                <w:noProof/>
                <w:webHidden/>
              </w:rPr>
              <w:fldChar w:fldCharType="separate"/>
            </w:r>
            <w:r>
              <w:rPr>
                <w:noProof/>
                <w:webHidden/>
              </w:rPr>
              <w:t>36</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204" w:history="1">
            <w:r w:rsidRPr="00F8756B">
              <w:rPr>
                <w:rStyle w:val="Hyperlink"/>
                <w:noProof/>
              </w:rPr>
              <w:t>6.3.2.</w:t>
            </w:r>
            <w:r>
              <w:rPr>
                <w:rFonts w:asciiTheme="minorHAnsi" w:eastAsiaTheme="minorEastAsia" w:hAnsiTheme="minorHAnsi"/>
                <w:noProof/>
                <w:lang w:val="en-CA" w:eastAsia="en-CA"/>
              </w:rPr>
              <w:tab/>
            </w:r>
            <w:r w:rsidRPr="00F8756B">
              <w:rPr>
                <w:rStyle w:val="Hyperlink"/>
                <w:noProof/>
              </w:rPr>
              <w:t>The current relationship between the partners, articulating Outcomes in relation to national goals, should be continued</w:t>
            </w:r>
            <w:r>
              <w:rPr>
                <w:noProof/>
                <w:webHidden/>
              </w:rPr>
              <w:tab/>
            </w:r>
            <w:r>
              <w:rPr>
                <w:noProof/>
                <w:webHidden/>
              </w:rPr>
              <w:fldChar w:fldCharType="begin"/>
            </w:r>
            <w:r>
              <w:rPr>
                <w:noProof/>
                <w:webHidden/>
              </w:rPr>
              <w:instrText xml:space="preserve"> PAGEREF _Toc325940204 \h </w:instrText>
            </w:r>
            <w:r>
              <w:rPr>
                <w:noProof/>
                <w:webHidden/>
              </w:rPr>
            </w:r>
            <w:r>
              <w:rPr>
                <w:noProof/>
                <w:webHidden/>
              </w:rPr>
              <w:fldChar w:fldCharType="separate"/>
            </w:r>
            <w:r>
              <w:rPr>
                <w:noProof/>
                <w:webHidden/>
              </w:rPr>
              <w:t>36</w:t>
            </w:r>
            <w:r>
              <w:rPr>
                <w:noProof/>
                <w:webHidden/>
              </w:rPr>
              <w:fldChar w:fldCharType="end"/>
            </w:r>
          </w:hyperlink>
        </w:p>
        <w:p w:rsidR="001D2A48" w:rsidRDefault="001D2A48">
          <w:pPr>
            <w:pStyle w:val="TOC3"/>
            <w:tabs>
              <w:tab w:val="left" w:pos="1320"/>
              <w:tab w:val="right" w:leader="dot" w:pos="9465"/>
            </w:tabs>
            <w:rPr>
              <w:rFonts w:asciiTheme="minorHAnsi" w:eastAsiaTheme="minorEastAsia" w:hAnsiTheme="minorHAnsi"/>
              <w:noProof/>
              <w:lang w:val="en-CA" w:eastAsia="en-CA"/>
            </w:rPr>
          </w:pPr>
          <w:hyperlink w:anchor="_Toc325940205" w:history="1">
            <w:r w:rsidRPr="00F8756B">
              <w:rPr>
                <w:rStyle w:val="Hyperlink"/>
                <w:noProof/>
              </w:rPr>
              <w:t>6.3.3.</w:t>
            </w:r>
            <w:r>
              <w:rPr>
                <w:rFonts w:asciiTheme="minorHAnsi" w:eastAsiaTheme="minorEastAsia" w:hAnsiTheme="minorHAnsi"/>
                <w:noProof/>
                <w:lang w:val="en-CA" w:eastAsia="en-CA"/>
              </w:rPr>
              <w:tab/>
            </w:r>
            <w:r w:rsidRPr="00F8756B">
              <w:rPr>
                <w:rStyle w:val="Hyperlink"/>
                <w:noProof/>
              </w:rPr>
              <w:t>Encouragement of long-term relationships between specialized UN agencies and the government of KSA is worthwhile, and should envisage expansion to a wider range of UN entities</w:t>
            </w:r>
            <w:r>
              <w:rPr>
                <w:noProof/>
                <w:webHidden/>
              </w:rPr>
              <w:tab/>
            </w:r>
            <w:r>
              <w:rPr>
                <w:noProof/>
                <w:webHidden/>
              </w:rPr>
              <w:fldChar w:fldCharType="begin"/>
            </w:r>
            <w:r>
              <w:rPr>
                <w:noProof/>
                <w:webHidden/>
              </w:rPr>
              <w:instrText xml:space="preserve"> PAGEREF _Toc325940205 \h </w:instrText>
            </w:r>
            <w:r>
              <w:rPr>
                <w:noProof/>
                <w:webHidden/>
              </w:rPr>
            </w:r>
            <w:r>
              <w:rPr>
                <w:noProof/>
                <w:webHidden/>
              </w:rPr>
              <w:fldChar w:fldCharType="separate"/>
            </w:r>
            <w:r>
              <w:rPr>
                <w:noProof/>
                <w:webHidden/>
              </w:rPr>
              <w:t>37</w:t>
            </w:r>
            <w:r>
              <w:rPr>
                <w:noProof/>
                <w:webHidden/>
              </w:rPr>
              <w:fldChar w:fldCharType="end"/>
            </w:r>
          </w:hyperlink>
        </w:p>
        <w:p w:rsidR="001D2A48" w:rsidRDefault="001D2A48">
          <w:pPr>
            <w:pStyle w:val="TOC1"/>
            <w:tabs>
              <w:tab w:val="right" w:leader="dot" w:pos="9465"/>
            </w:tabs>
            <w:rPr>
              <w:rFonts w:asciiTheme="minorHAnsi" w:eastAsiaTheme="minorEastAsia" w:hAnsiTheme="minorHAnsi"/>
              <w:noProof/>
              <w:lang w:val="en-CA" w:eastAsia="en-CA"/>
            </w:rPr>
          </w:pPr>
          <w:hyperlink w:anchor="_Toc325940206" w:history="1">
            <w:r w:rsidRPr="00F8756B">
              <w:rPr>
                <w:rStyle w:val="Hyperlink"/>
                <w:noProof/>
              </w:rPr>
              <w:t>Annex 1. Note on Methodology</w:t>
            </w:r>
            <w:r>
              <w:rPr>
                <w:noProof/>
                <w:webHidden/>
              </w:rPr>
              <w:tab/>
            </w:r>
            <w:r>
              <w:rPr>
                <w:noProof/>
                <w:webHidden/>
              </w:rPr>
              <w:fldChar w:fldCharType="begin"/>
            </w:r>
            <w:r>
              <w:rPr>
                <w:noProof/>
                <w:webHidden/>
              </w:rPr>
              <w:instrText xml:space="preserve"> PAGEREF _Toc325940206 \h </w:instrText>
            </w:r>
            <w:r>
              <w:rPr>
                <w:noProof/>
                <w:webHidden/>
              </w:rPr>
            </w:r>
            <w:r>
              <w:rPr>
                <w:noProof/>
                <w:webHidden/>
              </w:rPr>
              <w:fldChar w:fldCharType="separate"/>
            </w:r>
            <w:r>
              <w:rPr>
                <w:noProof/>
                <w:webHidden/>
              </w:rPr>
              <w:t>38</w:t>
            </w:r>
            <w:r>
              <w:rPr>
                <w:noProof/>
                <w:webHidden/>
              </w:rPr>
              <w:fldChar w:fldCharType="end"/>
            </w:r>
          </w:hyperlink>
        </w:p>
        <w:p w:rsidR="001D2A48" w:rsidRDefault="001D2A48">
          <w:pPr>
            <w:pStyle w:val="TOC1"/>
            <w:tabs>
              <w:tab w:val="right" w:leader="dot" w:pos="9465"/>
            </w:tabs>
            <w:rPr>
              <w:rFonts w:asciiTheme="minorHAnsi" w:eastAsiaTheme="minorEastAsia" w:hAnsiTheme="minorHAnsi"/>
              <w:noProof/>
              <w:lang w:val="en-CA" w:eastAsia="en-CA"/>
            </w:rPr>
          </w:pPr>
          <w:hyperlink w:anchor="_Toc325940207" w:history="1">
            <w:r w:rsidRPr="00F8756B">
              <w:rPr>
                <w:rStyle w:val="Hyperlink"/>
                <w:noProof/>
              </w:rPr>
              <w:t>Annex 2. Terms of Reference, Outcome 3 Evaluation</w:t>
            </w:r>
            <w:r>
              <w:rPr>
                <w:noProof/>
                <w:webHidden/>
              </w:rPr>
              <w:tab/>
            </w:r>
            <w:r>
              <w:rPr>
                <w:noProof/>
                <w:webHidden/>
              </w:rPr>
              <w:fldChar w:fldCharType="begin"/>
            </w:r>
            <w:r>
              <w:rPr>
                <w:noProof/>
                <w:webHidden/>
              </w:rPr>
              <w:instrText xml:space="preserve"> PAGEREF _Toc325940207 \h </w:instrText>
            </w:r>
            <w:r>
              <w:rPr>
                <w:noProof/>
                <w:webHidden/>
              </w:rPr>
            </w:r>
            <w:r>
              <w:rPr>
                <w:noProof/>
                <w:webHidden/>
              </w:rPr>
              <w:fldChar w:fldCharType="separate"/>
            </w:r>
            <w:r>
              <w:rPr>
                <w:noProof/>
                <w:webHidden/>
              </w:rPr>
              <w:t>38</w:t>
            </w:r>
            <w:r>
              <w:rPr>
                <w:noProof/>
                <w:webHidden/>
              </w:rPr>
              <w:fldChar w:fldCharType="end"/>
            </w:r>
          </w:hyperlink>
        </w:p>
        <w:p w:rsidR="001D2A48" w:rsidRDefault="001D2A48">
          <w:pPr>
            <w:pStyle w:val="TOC1"/>
            <w:tabs>
              <w:tab w:val="right" w:leader="dot" w:pos="9465"/>
            </w:tabs>
            <w:rPr>
              <w:rFonts w:asciiTheme="minorHAnsi" w:eastAsiaTheme="minorEastAsia" w:hAnsiTheme="minorHAnsi"/>
              <w:noProof/>
              <w:lang w:val="en-CA" w:eastAsia="en-CA"/>
            </w:rPr>
          </w:pPr>
          <w:hyperlink w:anchor="_Toc325940208" w:history="1">
            <w:r w:rsidRPr="00F8756B">
              <w:rPr>
                <w:rStyle w:val="Hyperlink"/>
                <w:noProof/>
              </w:rPr>
              <w:t>Annex 3.  Persons met, schedule of meetings for Outcome 3</w:t>
            </w:r>
            <w:r>
              <w:rPr>
                <w:noProof/>
                <w:webHidden/>
              </w:rPr>
              <w:tab/>
            </w:r>
            <w:r>
              <w:rPr>
                <w:noProof/>
                <w:webHidden/>
              </w:rPr>
              <w:fldChar w:fldCharType="begin"/>
            </w:r>
            <w:r>
              <w:rPr>
                <w:noProof/>
                <w:webHidden/>
              </w:rPr>
              <w:instrText xml:space="preserve"> PAGEREF _Toc325940208 \h </w:instrText>
            </w:r>
            <w:r>
              <w:rPr>
                <w:noProof/>
                <w:webHidden/>
              </w:rPr>
            </w:r>
            <w:r>
              <w:rPr>
                <w:noProof/>
                <w:webHidden/>
              </w:rPr>
              <w:fldChar w:fldCharType="separate"/>
            </w:r>
            <w:r>
              <w:rPr>
                <w:noProof/>
                <w:webHidden/>
              </w:rPr>
              <w:t>51</w:t>
            </w:r>
            <w:r>
              <w:rPr>
                <w:noProof/>
                <w:webHidden/>
              </w:rPr>
              <w:fldChar w:fldCharType="end"/>
            </w:r>
          </w:hyperlink>
        </w:p>
        <w:p w:rsidR="001D2A48" w:rsidRDefault="001D2A48">
          <w:pPr>
            <w:pStyle w:val="TOC1"/>
            <w:tabs>
              <w:tab w:val="right" w:leader="dot" w:pos="9465"/>
            </w:tabs>
            <w:rPr>
              <w:rFonts w:asciiTheme="minorHAnsi" w:eastAsiaTheme="minorEastAsia" w:hAnsiTheme="minorHAnsi"/>
              <w:noProof/>
              <w:lang w:val="en-CA" w:eastAsia="en-CA"/>
            </w:rPr>
          </w:pPr>
          <w:hyperlink w:anchor="_Toc325940209" w:history="1">
            <w:r w:rsidRPr="00F8756B">
              <w:rPr>
                <w:rStyle w:val="Hyperlink"/>
                <w:noProof/>
              </w:rPr>
              <w:t>Annex 4.  Selected documents reviewed</w:t>
            </w:r>
            <w:r>
              <w:rPr>
                <w:noProof/>
                <w:webHidden/>
              </w:rPr>
              <w:tab/>
            </w:r>
            <w:r>
              <w:rPr>
                <w:noProof/>
                <w:webHidden/>
              </w:rPr>
              <w:fldChar w:fldCharType="begin"/>
            </w:r>
            <w:r>
              <w:rPr>
                <w:noProof/>
                <w:webHidden/>
              </w:rPr>
              <w:instrText xml:space="preserve"> PAGEREF _Toc325940209 \h </w:instrText>
            </w:r>
            <w:r>
              <w:rPr>
                <w:noProof/>
                <w:webHidden/>
              </w:rPr>
            </w:r>
            <w:r>
              <w:rPr>
                <w:noProof/>
                <w:webHidden/>
              </w:rPr>
              <w:fldChar w:fldCharType="separate"/>
            </w:r>
            <w:r>
              <w:rPr>
                <w:noProof/>
                <w:webHidden/>
              </w:rPr>
              <w:t>52</w:t>
            </w:r>
            <w:r>
              <w:rPr>
                <w:noProof/>
                <w:webHidden/>
              </w:rPr>
              <w:fldChar w:fldCharType="end"/>
            </w:r>
          </w:hyperlink>
        </w:p>
        <w:p w:rsidR="001D2A48" w:rsidRDefault="001D2A48">
          <w:pPr>
            <w:pStyle w:val="TOC2"/>
            <w:tabs>
              <w:tab w:val="right" w:leader="dot" w:pos="9465"/>
            </w:tabs>
            <w:rPr>
              <w:rFonts w:asciiTheme="minorHAnsi" w:eastAsiaTheme="minorEastAsia" w:hAnsiTheme="minorHAnsi"/>
              <w:noProof/>
              <w:lang w:val="en-CA" w:eastAsia="en-CA"/>
            </w:rPr>
          </w:pPr>
          <w:hyperlink w:anchor="_Toc325940210" w:history="1">
            <w:r w:rsidRPr="00F8756B">
              <w:rPr>
                <w:rStyle w:val="Hyperlink"/>
                <w:noProof/>
              </w:rPr>
              <w:t>Government Plans</w:t>
            </w:r>
            <w:r>
              <w:rPr>
                <w:noProof/>
                <w:webHidden/>
              </w:rPr>
              <w:tab/>
            </w:r>
            <w:r>
              <w:rPr>
                <w:noProof/>
                <w:webHidden/>
              </w:rPr>
              <w:fldChar w:fldCharType="begin"/>
            </w:r>
            <w:r>
              <w:rPr>
                <w:noProof/>
                <w:webHidden/>
              </w:rPr>
              <w:instrText xml:space="preserve"> PAGEREF _Toc325940210 \h </w:instrText>
            </w:r>
            <w:r>
              <w:rPr>
                <w:noProof/>
                <w:webHidden/>
              </w:rPr>
            </w:r>
            <w:r>
              <w:rPr>
                <w:noProof/>
                <w:webHidden/>
              </w:rPr>
              <w:fldChar w:fldCharType="separate"/>
            </w:r>
            <w:r>
              <w:rPr>
                <w:noProof/>
                <w:webHidden/>
              </w:rPr>
              <w:t>52</w:t>
            </w:r>
            <w:r>
              <w:rPr>
                <w:noProof/>
                <w:webHidden/>
              </w:rPr>
              <w:fldChar w:fldCharType="end"/>
            </w:r>
          </w:hyperlink>
        </w:p>
        <w:p w:rsidR="001D2A48" w:rsidRDefault="001D2A48">
          <w:pPr>
            <w:pStyle w:val="TOC2"/>
            <w:tabs>
              <w:tab w:val="right" w:leader="dot" w:pos="9465"/>
            </w:tabs>
            <w:rPr>
              <w:rFonts w:asciiTheme="minorHAnsi" w:eastAsiaTheme="minorEastAsia" w:hAnsiTheme="minorHAnsi"/>
              <w:noProof/>
              <w:lang w:val="en-CA" w:eastAsia="en-CA"/>
            </w:rPr>
          </w:pPr>
          <w:hyperlink w:anchor="_Toc325940211" w:history="1">
            <w:r w:rsidRPr="00F8756B">
              <w:rPr>
                <w:rStyle w:val="Hyperlink"/>
                <w:noProof/>
              </w:rPr>
              <w:t>UNDP programme materials</w:t>
            </w:r>
            <w:r>
              <w:rPr>
                <w:noProof/>
                <w:webHidden/>
              </w:rPr>
              <w:tab/>
            </w:r>
            <w:r>
              <w:rPr>
                <w:noProof/>
                <w:webHidden/>
              </w:rPr>
              <w:fldChar w:fldCharType="begin"/>
            </w:r>
            <w:r>
              <w:rPr>
                <w:noProof/>
                <w:webHidden/>
              </w:rPr>
              <w:instrText xml:space="preserve"> PAGEREF _Toc325940211 \h </w:instrText>
            </w:r>
            <w:r>
              <w:rPr>
                <w:noProof/>
                <w:webHidden/>
              </w:rPr>
            </w:r>
            <w:r>
              <w:rPr>
                <w:noProof/>
                <w:webHidden/>
              </w:rPr>
              <w:fldChar w:fldCharType="separate"/>
            </w:r>
            <w:r>
              <w:rPr>
                <w:noProof/>
                <w:webHidden/>
              </w:rPr>
              <w:t>52</w:t>
            </w:r>
            <w:r>
              <w:rPr>
                <w:noProof/>
                <w:webHidden/>
              </w:rPr>
              <w:fldChar w:fldCharType="end"/>
            </w:r>
          </w:hyperlink>
        </w:p>
        <w:p w:rsidR="001D2A48" w:rsidRDefault="001D2A48">
          <w:pPr>
            <w:pStyle w:val="TOC1"/>
            <w:tabs>
              <w:tab w:val="right" w:leader="dot" w:pos="9465"/>
            </w:tabs>
            <w:rPr>
              <w:rFonts w:asciiTheme="minorHAnsi" w:eastAsiaTheme="minorEastAsia" w:hAnsiTheme="minorHAnsi"/>
              <w:noProof/>
              <w:lang w:val="en-CA" w:eastAsia="en-CA"/>
            </w:rPr>
          </w:pPr>
          <w:hyperlink w:anchor="_Toc325940212" w:history="1">
            <w:r w:rsidRPr="00F8756B">
              <w:rPr>
                <w:rStyle w:val="Hyperlink"/>
                <w:noProof/>
              </w:rPr>
              <w:t>Annex 5.  Biography of the Evaluator</w:t>
            </w:r>
            <w:r>
              <w:rPr>
                <w:noProof/>
                <w:webHidden/>
              </w:rPr>
              <w:tab/>
            </w:r>
            <w:r>
              <w:rPr>
                <w:noProof/>
                <w:webHidden/>
              </w:rPr>
              <w:fldChar w:fldCharType="begin"/>
            </w:r>
            <w:r>
              <w:rPr>
                <w:noProof/>
                <w:webHidden/>
              </w:rPr>
              <w:instrText xml:space="preserve"> PAGEREF _Toc325940212 \h </w:instrText>
            </w:r>
            <w:r>
              <w:rPr>
                <w:noProof/>
                <w:webHidden/>
              </w:rPr>
            </w:r>
            <w:r>
              <w:rPr>
                <w:noProof/>
                <w:webHidden/>
              </w:rPr>
              <w:fldChar w:fldCharType="separate"/>
            </w:r>
            <w:r>
              <w:rPr>
                <w:noProof/>
                <w:webHidden/>
              </w:rPr>
              <w:t>52</w:t>
            </w:r>
            <w:r>
              <w:rPr>
                <w:noProof/>
                <w:webHidden/>
              </w:rPr>
              <w:fldChar w:fldCharType="end"/>
            </w:r>
          </w:hyperlink>
        </w:p>
        <w:p w:rsidR="001D2A48" w:rsidRDefault="001D2A48">
          <w:pPr>
            <w:pStyle w:val="TOC1"/>
            <w:tabs>
              <w:tab w:val="right" w:leader="dot" w:pos="9465"/>
            </w:tabs>
            <w:rPr>
              <w:rFonts w:asciiTheme="minorHAnsi" w:eastAsiaTheme="minorEastAsia" w:hAnsiTheme="minorHAnsi"/>
              <w:noProof/>
              <w:lang w:val="en-CA" w:eastAsia="en-CA"/>
            </w:rPr>
          </w:pPr>
          <w:hyperlink w:anchor="_Toc325940213" w:history="1">
            <w:r w:rsidRPr="00F8756B">
              <w:rPr>
                <w:rStyle w:val="Hyperlink"/>
                <w:noProof/>
              </w:rPr>
              <w:t>Annex 6:  United Nations Evaluation Group Code of Conduct for Evaluation in the UN System</w:t>
            </w:r>
            <w:r>
              <w:rPr>
                <w:noProof/>
                <w:webHidden/>
              </w:rPr>
              <w:tab/>
            </w:r>
            <w:r>
              <w:rPr>
                <w:noProof/>
                <w:webHidden/>
              </w:rPr>
              <w:fldChar w:fldCharType="begin"/>
            </w:r>
            <w:r>
              <w:rPr>
                <w:noProof/>
                <w:webHidden/>
              </w:rPr>
              <w:instrText xml:space="preserve"> PAGEREF _Toc325940213 \h </w:instrText>
            </w:r>
            <w:r>
              <w:rPr>
                <w:noProof/>
                <w:webHidden/>
              </w:rPr>
            </w:r>
            <w:r>
              <w:rPr>
                <w:noProof/>
                <w:webHidden/>
              </w:rPr>
              <w:fldChar w:fldCharType="separate"/>
            </w:r>
            <w:r>
              <w:rPr>
                <w:noProof/>
                <w:webHidden/>
              </w:rPr>
              <w:t>53</w:t>
            </w:r>
            <w:r>
              <w:rPr>
                <w:noProof/>
                <w:webHidden/>
              </w:rPr>
              <w:fldChar w:fldCharType="end"/>
            </w:r>
          </w:hyperlink>
        </w:p>
        <w:p w:rsidR="001D2A48" w:rsidRDefault="001D2A48">
          <w:pPr>
            <w:pStyle w:val="TOC1"/>
            <w:tabs>
              <w:tab w:val="right" w:leader="dot" w:pos="9465"/>
            </w:tabs>
            <w:rPr>
              <w:rFonts w:asciiTheme="minorHAnsi" w:eastAsiaTheme="minorEastAsia" w:hAnsiTheme="minorHAnsi"/>
              <w:noProof/>
              <w:lang w:val="en-CA" w:eastAsia="en-CA"/>
            </w:rPr>
          </w:pPr>
          <w:hyperlink w:anchor="_Toc325940214" w:history="1">
            <w:r w:rsidRPr="00F8756B">
              <w:rPr>
                <w:rStyle w:val="Hyperlink"/>
                <w:noProof/>
              </w:rPr>
              <w:t>References</w:t>
            </w:r>
            <w:r>
              <w:rPr>
                <w:noProof/>
                <w:webHidden/>
              </w:rPr>
              <w:tab/>
            </w:r>
            <w:r>
              <w:rPr>
                <w:noProof/>
                <w:webHidden/>
              </w:rPr>
              <w:fldChar w:fldCharType="begin"/>
            </w:r>
            <w:r>
              <w:rPr>
                <w:noProof/>
                <w:webHidden/>
              </w:rPr>
              <w:instrText xml:space="preserve"> PAGEREF _Toc325940214 \h </w:instrText>
            </w:r>
            <w:r>
              <w:rPr>
                <w:noProof/>
                <w:webHidden/>
              </w:rPr>
            </w:r>
            <w:r>
              <w:rPr>
                <w:noProof/>
                <w:webHidden/>
              </w:rPr>
              <w:fldChar w:fldCharType="separate"/>
            </w:r>
            <w:r>
              <w:rPr>
                <w:noProof/>
                <w:webHidden/>
              </w:rPr>
              <w:t>54</w:t>
            </w:r>
            <w:r>
              <w:rPr>
                <w:noProof/>
                <w:webHidden/>
              </w:rPr>
              <w:fldChar w:fldCharType="end"/>
            </w:r>
          </w:hyperlink>
        </w:p>
        <w:p w:rsidR="00A351AA" w:rsidRPr="00DA7619" w:rsidRDefault="007D6549">
          <w:r w:rsidRPr="00DA7619">
            <w:fldChar w:fldCharType="end"/>
          </w:r>
        </w:p>
      </w:sdtContent>
    </w:sdt>
    <w:p w:rsidR="001361EB" w:rsidRDefault="001361EB" w:rsidP="00655D95"/>
    <w:p w:rsidR="00CE24BA" w:rsidRPr="00DA7619" w:rsidRDefault="00CE24BA" w:rsidP="00655D95">
      <w:r w:rsidRPr="00DA7619">
        <w:t>List of Figures</w:t>
      </w:r>
    </w:p>
    <w:p w:rsidR="001D2A48" w:rsidRDefault="007D6549">
      <w:pPr>
        <w:pStyle w:val="TableofFigures"/>
        <w:tabs>
          <w:tab w:val="right" w:leader="dot" w:pos="9465"/>
        </w:tabs>
        <w:rPr>
          <w:rFonts w:asciiTheme="minorHAnsi" w:eastAsiaTheme="minorEastAsia" w:hAnsiTheme="minorHAnsi"/>
          <w:noProof/>
          <w:lang w:val="en-CA" w:eastAsia="en-CA"/>
        </w:rPr>
      </w:pPr>
      <w:r w:rsidRPr="00DA7619">
        <w:fldChar w:fldCharType="begin"/>
      </w:r>
      <w:r w:rsidR="00CE24BA" w:rsidRPr="00DA7619">
        <w:instrText xml:space="preserve"> TOC \h \z \c "Figure" </w:instrText>
      </w:r>
      <w:r w:rsidRPr="00DA7619">
        <w:fldChar w:fldCharType="separate"/>
      </w:r>
      <w:hyperlink w:anchor="_Toc325940215" w:history="1">
        <w:r w:rsidR="001D2A48" w:rsidRPr="002B57A2">
          <w:rPr>
            <w:rStyle w:val="Hyperlink"/>
            <w:noProof/>
          </w:rPr>
          <w:t>Figure 1</w:t>
        </w:r>
        <w:r w:rsidR="001D2A48" w:rsidRPr="002B57A2">
          <w:rPr>
            <w:rStyle w:val="Hyperlink"/>
            <w:noProof/>
          </w:rPr>
          <w:noBreakHyphen/>
          <w:t>1  Saudi Arabia per capita income, USD current equivalent</w:t>
        </w:r>
        <w:r w:rsidR="001D2A48">
          <w:rPr>
            <w:noProof/>
            <w:webHidden/>
          </w:rPr>
          <w:tab/>
        </w:r>
        <w:r w:rsidR="001D2A48">
          <w:rPr>
            <w:noProof/>
            <w:webHidden/>
          </w:rPr>
          <w:fldChar w:fldCharType="begin"/>
        </w:r>
        <w:r w:rsidR="001D2A48">
          <w:rPr>
            <w:noProof/>
            <w:webHidden/>
          </w:rPr>
          <w:instrText xml:space="preserve"> PAGEREF _Toc325940215 \h </w:instrText>
        </w:r>
        <w:r w:rsidR="001D2A48">
          <w:rPr>
            <w:noProof/>
            <w:webHidden/>
          </w:rPr>
        </w:r>
        <w:r w:rsidR="001D2A48">
          <w:rPr>
            <w:noProof/>
            <w:webHidden/>
          </w:rPr>
          <w:fldChar w:fldCharType="separate"/>
        </w:r>
        <w:r w:rsidR="001D2A48">
          <w:rPr>
            <w:noProof/>
            <w:webHidden/>
          </w:rPr>
          <w:t>12</w:t>
        </w:r>
        <w:r w:rsidR="001D2A48">
          <w:rPr>
            <w:noProof/>
            <w:webHidden/>
          </w:rPr>
          <w:fldChar w:fldCharType="end"/>
        </w:r>
      </w:hyperlink>
    </w:p>
    <w:p w:rsidR="001D2A48" w:rsidRDefault="001D2A48">
      <w:pPr>
        <w:pStyle w:val="TableofFigures"/>
        <w:tabs>
          <w:tab w:val="right" w:leader="dot" w:pos="9465"/>
        </w:tabs>
        <w:rPr>
          <w:rFonts w:asciiTheme="minorHAnsi" w:eastAsiaTheme="minorEastAsia" w:hAnsiTheme="minorHAnsi"/>
          <w:noProof/>
          <w:lang w:val="en-CA" w:eastAsia="en-CA"/>
        </w:rPr>
      </w:pPr>
      <w:hyperlink w:anchor="_Toc325940216" w:history="1">
        <w:r w:rsidRPr="002B57A2">
          <w:rPr>
            <w:rStyle w:val="Hyperlink"/>
            <w:noProof/>
          </w:rPr>
          <w:t>Figure 1</w:t>
        </w:r>
        <w:r w:rsidRPr="002B57A2">
          <w:rPr>
            <w:rStyle w:val="Hyperlink"/>
            <w:noProof/>
          </w:rPr>
          <w:noBreakHyphen/>
          <w:t>2  Income eroded by inflation, 2004-2008</w:t>
        </w:r>
        <w:r>
          <w:rPr>
            <w:noProof/>
            <w:webHidden/>
          </w:rPr>
          <w:tab/>
        </w:r>
        <w:r>
          <w:rPr>
            <w:noProof/>
            <w:webHidden/>
          </w:rPr>
          <w:fldChar w:fldCharType="begin"/>
        </w:r>
        <w:r>
          <w:rPr>
            <w:noProof/>
            <w:webHidden/>
          </w:rPr>
          <w:instrText xml:space="preserve"> PAGEREF _Toc325940216 \h </w:instrText>
        </w:r>
        <w:r>
          <w:rPr>
            <w:noProof/>
            <w:webHidden/>
          </w:rPr>
        </w:r>
        <w:r>
          <w:rPr>
            <w:noProof/>
            <w:webHidden/>
          </w:rPr>
          <w:fldChar w:fldCharType="separate"/>
        </w:r>
        <w:r>
          <w:rPr>
            <w:noProof/>
            <w:webHidden/>
          </w:rPr>
          <w:t>13</w:t>
        </w:r>
        <w:r>
          <w:rPr>
            <w:noProof/>
            <w:webHidden/>
          </w:rPr>
          <w:fldChar w:fldCharType="end"/>
        </w:r>
      </w:hyperlink>
    </w:p>
    <w:p w:rsidR="001D2A48" w:rsidRDefault="001D2A48">
      <w:pPr>
        <w:pStyle w:val="TableofFigures"/>
        <w:tabs>
          <w:tab w:val="right" w:leader="dot" w:pos="9465"/>
        </w:tabs>
        <w:rPr>
          <w:rFonts w:asciiTheme="minorHAnsi" w:eastAsiaTheme="minorEastAsia" w:hAnsiTheme="minorHAnsi"/>
          <w:noProof/>
          <w:lang w:val="en-CA" w:eastAsia="en-CA"/>
        </w:rPr>
      </w:pPr>
      <w:hyperlink w:anchor="_Toc325940217" w:history="1">
        <w:r w:rsidRPr="002B57A2">
          <w:rPr>
            <w:rStyle w:val="Hyperlink"/>
            <w:noProof/>
          </w:rPr>
          <w:t>Figure 4</w:t>
        </w:r>
        <w:r w:rsidRPr="002B57A2">
          <w:rPr>
            <w:rStyle w:val="Hyperlink"/>
            <w:noProof/>
          </w:rPr>
          <w:noBreakHyphen/>
          <w:t>1. Real GDP growth, 2007-2011</w:t>
        </w:r>
        <w:r>
          <w:rPr>
            <w:noProof/>
            <w:webHidden/>
          </w:rPr>
          <w:tab/>
        </w:r>
        <w:r>
          <w:rPr>
            <w:noProof/>
            <w:webHidden/>
          </w:rPr>
          <w:fldChar w:fldCharType="begin"/>
        </w:r>
        <w:r>
          <w:rPr>
            <w:noProof/>
            <w:webHidden/>
          </w:rPr>
          <w:instrText xml:space="preserve"> PAGEREF _Toc325940217 \h </w:instrText>
        </w:r>
        <w:r>
          <w:rPr>
            <w:noProof/>
            <w:webHidden/>
          </w:rPr>
        </w:r>
        <w:r>
          <w:rPr>
            <w:noProof/>
            <w:webHidden/>
          </w:rPr>
          <w:fldChar w:fldCharType="separate"/>
        </w:r>
        <w:r>
          <w:rPr>
            <w:noProof/>
            <w:webHidden/>
          </w:rPr>
          <w:t>28</w:t>
        </w:r>
        <w:r>
          <w:rPr>
            <w:noProof/>
            <w:webHidden/>
          </w:rPr>
          <w:fldChar w:fldCharType="end"/>
        </w:r>
      </w:hyperlink>
    </w:p>
    <w:p w:rsidR="001D2A48" w:rsidRDefault="001D2A48">
      <w:pPr>
        <w:pStyle w:val="TableofFigures"/>
        <w:tabs>
          <w:tab w:val="right" w:leader="dot" w:pos="9465"/>
        </w:tabs>
        <w:rPr>
          <w:rFonts w:asciiTheme="minorHAnsi" w:eastAsiaTheme="minorEastAsia" w:hAnsiTheme="minorHAnsi"/>
          <w:noProof/>
          <w:lang w:val="en-CA" w:eastAsia="en-CA"/>
        </w:rPr>
      </w:pPr>
      <w:hyperlink w:anchor="_Toc325940218" w:history="1">
        <w:r w:rsidRPr="002B57A2">
          <w:rPr>
            <w:rStyle w:val="Hyperlink"/>
            <w:noProof/>
          </w:rPr>
          <w:t>Figure 4</w:t>
        </w:r>
        <w:r w:rsidRPr="002B57A2">
          <w:rPr>
            <w:rStyle w:val="Hyperlink"/>
            <w:noProof/>
          </w:rPr>
          <w:noBreakHyphen/>
          <w:t>2  GDP growth patterns, 2004-2011</w:t>
        </w:r>
        <w:r>
          <w:rPr>
            <w:noProof/>
            <w:webHidden/>
          </w:rPr>
          <w:tab/>
        </w:r>
        <w:r>
          <w:rPr>
            <w:noProof/>
            <w:webHidden/>
          </w:rPr>
          <w:fldChar w:fldCharType="begin"/>
        </w:r>
        <w:r>
          <w:rPr>
            <w:noProof/>
            <w:webHidden/>
          </w:rPr>
          <w:instrText xml:space="preserve"> PAGEREF _Toc325940218 \h </w:instrText>
        </w:r>
        <w:r>
          <w:rPr>
            <w:noProof/>
            <w:webHidden/>
          </w:rPr>
        </w:r>
        <w:r>
          <w:rPr>
            <w:noProof/>
            <w:webHidden/>
          </w:rPr>
          <w:fldChar w:fldCharType="separate"/>
        </w:r>
        <w:r>
          <w:rPr>
            <w:noProof/>
            <w:webHidden/>
          </w:rPr>
          <w:t>29</w:t>
        </w:r>
        <w:r>
          <w:rPr>
            <w:noProof/>
            <w:webHidden/>
          </w:rPr>
          <w:fldChar w:fldCharType="end"/>
        </w:r>
      </w:hyperlink>
    </w:p>
    <w:p w:rsidR="001D2A48" w:rsidRDefault="001D2A48">
      <w:pPr>
        <w:pStyle w:val="TableofFigures"/>
        <w:tabs>
          <w:tab w:val="right" w:leader="dot" w:pos="9465"/>
        </w:tabs>
        <w:rPr>
          <w:rFonts w:asciiTheme="minorHAnsi" w:eastAsiaTheme="minorEastAsia" w:hAnsiTheme="minorHAnsi"/>
          <w:noProof/>
          <w:lang w:val="en-CA" w:eastAsia="en-CA"/>
        </w:rPr>
      </w:pPr>
      <w:hyperlink w:anchor="_Toc325940219" w:history="1">
        <w:r w:rsidRPr="002B57A2">
          <w:rPr>
            <w:rStyle w:val="Hyperlink"/>
            <w:noProof/>
          </w:rPr>
          <w:t>Figure 4</w:t>
        </w:r>
        <w:r w:rsidRPr="002B57A2">
          <w:rPr>
            <w:rStyle w:val="Hyperlink"/>
            <w:noProof/>
          </w:rPr>
          <w:noBreakHyphen/>
          <w:t>3  comparison of total and employed population shares, Saudi and non-Saudi persons</w:t>
        </w:r>
        <w:r>
          <w:rPr>
            <w:noProof/>
            <w:webHidden/>
          </w:rPr>
          <w:tab/>
        </w:r>
        <w:r>
          <w:rPr>
            <w:noProof/>
            <w:webHidden/>
          </w:rPr>
          <w:fldChar w:fldCharType="begin"/>
        </w:r>
        <w:r>
          <w:rPr>
            <w:noProof/>
            <w:webHidden/>
          </w:rPr>
          <w:instrText xml:space="preserve"> PAGEREF _Toc325940219 \h </w:instrText>
        </w:r>
        <w:r>
          <w:rPr>
            <w:noProof/>
            <w:webHidden/>
          </w:rPr>
        </w:r>
        <w:r>
          <w:rPr>
            <w:noProof/>
            <w:webHidden/>
          </w:rPr>
          <w:fldChar w:fldCharType="separate"/>
        </w:r>
        <w:r>
          <w:rPr>
            <w:noProof/>
            <w:webHidden/>
          </w:rPr>
          <w:t>31</w:t>
        </w:r>
        <w:r>
          <w:rPr>
            <w:noProof/>
            <w:webHidden/>
          </w:rPr>
          <w:fldChar w:fldCharType="end"/>
        </w:r>
      </w:hyperlink>
    </w:p>
    <w:p w:rsidR="001361EB" w:rsidRDefault="007D6549" w:rsidP="00866A57">
      <w:r w:rsidRPr="00DA7619">
        <w:fldChar w:fldCharType="end"/>
      </w:r>
    </w:p>
    <w:p w:rsidR="001361EB" w:rsidRDefault="001361EB" w:rsidP="00866A57"/>
    <w:p w:rsidR="001D2A48" w:rsidRDefault="00CE24BA" w:rsidP="00866A57">
      <w:pPr>
        <w:rPr>
          <w:noProof/>
        </w:rPr>
      </w:pPr>
      <w:r w:rsidRPr="00DA7619">
        <w:t>List of Tables</w:t>
      </w:r>
      <w:r w:rsidR="007D6549" w:rsidRPr="00DA7619">
        <w:fldChar w:fldCharType="begin"/>
      </w:r>
      <w:r w:rsidRPr="00DA7619">
        <w:instrText xml:space="preserve"> TOC \h \z \c "Table" </w:instrText>
      </w:r>
      <w:r w:rsidR="007D6549" w:rsidRPr="00DA7619">
        <w:fldChar w:fldCharType="separate"/>
      </w:r>
    </w:p>
    <w:p w:rsidR="001D2A48" w:rsidRDefault="001D2A48">
      <w:pPr>
        <w:pStyle w:val="TableofFigures"/>
        <w:tabs>
          <w:tab w:val="right" w:leader="dot" w:pos="9465"/>
        </w:tabs>
        <w:rPr>
          <w:rFonts w:asciiTheme="minorHAnsi" w:eastAsiaTheme="minorEastAsia" w:hAnsiTheme="minorHAnsi"/>
          <w:noProof/>
          <w:lang w:val="en-CA" w:eastAsia="en-CA"/>
        </w:rPr>
      </w:pPr>
      <w:hyperlink w:anchor="_Toc325940220" w:history="1">
        <w:r w:rsidRPr="00F32434">
          <w:rPr>
            <w:rStyle w:val="Hyperlink"/>
            <w:noProof/>
          </w:rPr>
          <w:t>Table 4</w:t>
        </w:r>
        <w:r w:rsidRPr="00F32434">
          <w:rPr>
            <w:rStyle w:val="Hyperlink"/>
            <w:noProof/>
          </w:rPr>
          <w:noBreakHyphen/>
          <w:t>1  Average growth rates, by sector, 2007-2011</w:t>
        </w:r>
        <w:r>
          <w:rPr>
            <w:noProof/>
            <w:webHidden/>
          </w:rPr>
          <w:tab/>
        </w:r>
        <w:r>
          <w:rPr>
            <w:noProof/>
            <w:webHidden/>
          </w:rPr>
          <w:fldChar w:fldCharType="begin"/>
        </w:r>
        <w:r>
          <w:rPr>
            <w:noProof/>
            <w:webHidden/>
          </w:rPr>
          <w:instrText xml:space="preserve"> PAGEREF _Toc325940220 \h </w:instrText>
        </w:r>
        <w:r>
          <w:rPr>
            <w:noProof/>
            <w:webHidden/>
          </w:rPr>
        </w:r>
        <w:r>
          <w:rPr>
            <w:noProof/>
            <w:webHidden/>
          </w:rPr>
          <w:fldChar w:fldCharType="separate"/>
        </w:r>
        <w:r>
          <w:rPr>
            <w:noProof/>
            <w:webHidden/>
          </w:rPr>
          <w:t>30</w:t>
        </w:r>
        <w:r>
          <w:rPr>
            <w:noProof/>
            <w:webHidden/>
          </w:rPr>
          <w:fldChar w:fldCharType="end"/>
        </w:r>
      </w:hyperlink>
    </w:p>
    <w:p w:rsidR="001D2A48" w:rsidRDefault="001D2A48">
      <w:pPr>
        <w:pStyle w:val="TableofFigures"/>
        <w:tabs>
          <w:tab w:val="right" w:leader="dot" w:pos="9465"/>
        </w:tabs>
        <w:rPr>
          <w:rFonts w:asciiTheme="minorHAnsi" w:eastAsiaTheme="minorEastAsia" w:hAnsiTheme="minorHAnsi"/>
          <w:noProof/>
          <w:lang w:val="en-CA" w:eastAsia="en-CA"/>
        </w:rPr>
      </w:pPr>
      <w:hyperlink w:anchor="_Toc325940221" w:history="1">
        <w:r w:rsidRPr="00F32434">
          <w:rPr>
            <w:rStyle w:val="Hyperlink"/>
            <w:noProof/>
          </w:rPr>
          <w:t>Table 4</w:t>
        </w:r>
        <w:r w:rsidRPr="00F32434">
          <w:rPr>
            <w:rStyle w:val="Hyperlink"/>
            <w:noProof/>
          </w:rPr>
          <w:noBreakHyphen/>
          <w:t>2  Saudi Arabia Total and Employed Population, 2004-2011</w:t>
        </w:r>
        <w:r>
          <w:rPr>
            <w:noProof/>
            <w:webHidden/>
          </w:rPr>
          <w:tab/>
        </w:r>
        <w:r>
          <w:rPr>
            <w:noProof/>
            <w:webHidden/>
          </w:rPr>
          <w:fldChar w:fldCharType="begin"/>
        </w:r>
        <w:r>
          <w:rPr>
            <w:noProof/>
            <w:webHidden/>
          </w:rPr>
          <w:instrText xml:space="preserve"> PAGEREF _Toc325940221 \h </w:instrText>
        </w:r>
        <w:r>
          <w:rPr>
            <w:noProof/>
            <w:webHidden/>
          </w:rPr>
        </w:r>
        <w:r>
          <w:rPr>
            <w:noProof/>
            <w:webHidden/>
          </w:rPr>
          <w:fldChar w:fldCharType="separate"/>
        </w:r>
        <w:r>
          <w:rPr>
            <w:noProof/>
            <w:webHidden/>
          </w:rPr>
          <w:t>30</w:t>
        </w:r>
        <w:r>
          <w:rPr>
            <w:noProof/>
            <w:webHidden/>
          </w:rPr>
          <w:fldChar w:fldCharType="end"/>
        </w:r>
      </w:hyperlink>
    </w:p>
    <w:p w:rsidR="00E41BFC" w:rsidRDefault="007D6549" w:rsidP="00E41BFC">
      <w:r w:rsidRPr="00DA7619">
        <w:fldChar w:fldCharType="end"/>
      </w:r>
      <w:r w:rsidR="00E41BFC" w:rsidRPr="00DA7619">
        <w:t xml:space="preserve"> </w:t>
      </w:r>
    </w:p>
    <w:p w:rsidR="004614BD" w:rsidRDefault="004614BD" w:rsidP="00E41BFC"/>
    <w:p w:rsidR="004614BD" w:rsidRPr="00DA7619" w:rsidRDefault="004614BD" w:rsidP="004614BD">
      <w:pPr>
        <w:spacing w:before="0" w:after="0"/>
        <w:jc w:val="center"/>
        <w:rPr>
          <w:rFonts w:ascii="Arial" w:hAnsi="Arial" w:cs="Arial"/>
          <w:sz w:val="18"/>
          <w:szCs w:val="18"/>
        </w:rPr>
      </w:pPr>
      <w:r w:rsidRPr="00DA7619">
        <w:rPr>
          <w:rFonts w:ascii="Arial" w:hAnsi="Arial" w:cs="Arial"/>
          <w:sz w:val="18"/>
          <w:szCs w:val="18"/>
        </w:rPr>
        <w:t>Note on currency equivalents:</w:t>
      </w:r>
    </w:p>
    <w:p w:rsidR="004614BD" w:rsidRPr="00DA7619" w:rsidRDefault="004614BD" w:rsidP="004614BD">
      <w:pPr>
        <w:spacing w:before="0"/>
        <w:jc w:val="center"/>
        <w:rPr>
          <w:rFonts w:ascii="Arial" w:hAnsi="Arial" w:cs="Arial"/>
          <w:sz w:val="14"/>
          <w:szCs w:val="18"/>
        </w:rPr>
      </w:pPr>
      <w:r w:rsidRPr="00DA7619">
        <w:rPr>
          <w:rFonts w:ascii="Arial" w:hAnsi="Arial" w:cs="Arial"/>
          <w:sz w:val="14"/>
          <w:szCs w:val="18"/>
        </w:rPr>
        <w:t>(As of April 2012)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7"/>
        <w:gridCol w:w="322"/>
        <w:gridCol w:w="1467"/>
      </w:tblGrid>
      <w:tr w:rsidR="004614BD" w:rsidRPr="00DA7619" w:rsidTr="00511356">
        <w:trPr>
          <w:jc w:val="center"/>
        </w:trPr>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1 Saudi riyal (SR)</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0.204 EUR</w:t>
            </w:r>
          </w:p>
        </w:tc>
      </w:tr>
      <w:tr w:rsidR="004614BD" w:rsidRPr="00DA7619" w:rsidTr="00511356">
        <w:trPr>
          <w:jc w:val="center"/>
        </w:trPr>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1 riyal (SR)</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0.267 USD</w:t>
            </w:r>
          </w:p>
        </w:tc>
      </w:tr>
      <w:tr w:rsidR="004614BD" w:rsidRPr="00DA7619" w:rsidTr="00511356">
        <w:trPr>
          <w:jc w:val="center"/>
        </w:trPr>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1 € (EUR)</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4.903 riyal (SR)</w:t>
            </w:r>
          </w:p>
        </w:tc>
      </w:tr>
      <w:tr w:rsidR="004614BD" w:rsidRPr="00DA7619" w:rsidTr="00511356">
        <w:trPr>
          <w:jc w:val="center"/>
        </w:trPr>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$1 (USD)</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3.749 riyal (SR)</w:t>
            </w:r>
          </w:p>
        </w:tc>
      </w:tr>
      <w:tr w:rsidR="004614BD" w:rsidRPr="00DA7619" w:rsidTr="00511356">
        <w:trPr>
          <w:jc w:val="center"/>
        </w:trPr>
        <w:tc>
          <w:tcPr>
            <w:tcW w:w="0" w:type="auto"/>
            <w:gridSpan w:val="3"/>
          </w:tcPr>
          <w:p w:rsidR="004614BD" w:rsidRPr="00DA7619" w:rsidRDefault="004614BD" w:rsidP="00511356">
            <w:pPr>
              <w:jc w:val="center"/>
              <w:rPr>
                <w:rFonts w:ascii="Arial" w:hAnsi="Arial" w:cs="Arial"/>
                <w:sz w:val="18"/>
                <w:szCs w:val="18"/>
              </w:rPr>
            </w:pPr>
          </w:p>
          <w:p w:rsidR="004614BD" w:rsidRPr="00DA7619" w:rsidRDefault="004614BD" w:rsidP="00511356">
            <w:pPr>
              <w:jc w:val="center"/>
              <w:rPr>
                <w:rFonts w:ascii="Arial" w:hAnsi="Arial" w:cs="Arial"/>
                <w:sz w:val="14"/>
                <w:szCs w:val="18"/>
              </w:rPr>
            </w:pPr>
            <w:r w:rsidRPr="00DA7619">
              <w:rPr>
                <w:rFonts w:ascii="Arial" w:hAnsi="Arial" w:cs="Arial"/>
                <w:sz w:val="14"/>
                <w:szCs w:val="18"/>
              </w:rPr>
              <w:t>( 2001)</w:t>
            </w:r>
          </w:p>
        </w:tc>
      </w:tr>
      <w:tr w:rsidR="004614BD" w:rsidRPr="00DA7619" w:rsidTr="00511356">
        <w:trPr>
          <w:jc w:val="center"/>
        </w:trPr>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$1 (USD)</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w:t>
            </w:r>
          </w:p>
        </w:tc>
        <w:tc>
          <w:tcPr>
            <w:tcW w:w="0" w:type="auto"/>
          </w:tcPr>
          <w:p w:rsidR="004614BD" w:rsidRPr="00DA7619" w:rsidRDefault="004614BD" w:rsidP="00511356">
            <w:pPr>
              <w:jc w:val="center"/>
              <w:rPr>
                <w:rFonts w:ascii="Arial" w:hAnsi="Arial" w:cs="Arial"/>
                <w:sz w:val="18"/>
                <w:szCs w:val="18"/>
              </w:rPr>
            </w:pPr>
            <w:r w:rsidRPr="00DA7619">
              <w:rPr>
                <w:rFonts w:ascii="Arial" w:hAnsi="Arial" w:cs="Arial"/>
                <w:sz w:val="18"/>
                <w:szCs w:val="18"/>
              </w:rPr>
              <w:t>3.749 riyal (SR)</w:t>
            </w:r>
          </w:p>
        </w:tc>
      </w:tr>
    </w:tbl>
    <w:p w:rsidR="004614BD" w:rsidRDefault="004614BD" w:rsidP="00E41BFC"/>
    <w:p w:rsidR="004614BD" w:rsidRPr="00DA7619" w:rsidRDefault="004614BD" w:rsidP="00E41BFC"/>
    <w:p w:rsidR="00770977" w:rsidRPr="00DA7619" w:rsidRDefault="00770977">
      <w:pPr>
        <w:rPr>
          <w:rFonts w:asciiTheme="majorHAnsi" w:eastAsiaTheme="majorEastAsia" w:hAnsiTheme="majorHAnsi" w:cstheme="majorBidi"/>
          <w:b/>
          <w:bCs/>
          <w:color w:val="365F91" w:themeColor="accent1" w:themeShade="BF"/>
          <w:sz w:val="28"/>
          <w:szCs w:val="28"/>
        </w:rPr>
      </w:pPr>
      <w:r w:rsidRPr="00DA7619">
        <w:br w:type="page"/>
      </w:r>
    </w:p>
    <w:p w:rsidR="00770977" w:rsidRPr="00DA7619" w:rsidRDefault="003B614C" w:rsidP="00AF5735">
      <w:pPr>
        <w:pStyle w:val="Heading1"/>
        <w:jc w:val="center"/>
      </w:pPr>
      <w:bookmarkStart w:id="0" w:name="_Toc325940165"/>
      <w:r w:rsidRPr="00DA7619">
        <w:lastRenderedPageBreak/>
        <w:t>Abbreviations</w:t>
      </w:r>
      <w:bookmarkEnd w:id="0"/>
    </w:p>
    <w:tbl>
      <w:tblPr>
        <w:tblStyle w:val="TableGrid"/>
        <w:tblW w:w="0" w:type="auto"/>
        <w:jc w:val="center"/>
        <w:tblLook w:val="04A0"/>
      </w:tblPr>
      <w:tblGrid>
        <w:gridCol w:w="923"/>
        <w:gridCol w:w="3905"/>
      </w:tblGrid>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 xml:space="preserve">CDSI </w:t>
            </w:r>
          </w:p>
        </w:tc>
        <w:tc>
          <w:tcPr>
            <w:tcW w:w="0" w:type="auto"/>
          </w:tcPr>
          <w:p w:rsidR="001361EB" w:rsidRPr="001424AA" w:rsidRDefault="001361EB" w:rsidP="003B614C">
            <w:pPr>
              <w:rPr>
                <w:sz w:val="18"/>
                <w:szCs w:val="18"/>
              </w:rPr>
            </w:pPr>
            <w:r w:rsidRPr="001424AA">
              <w:rPr>
                <w:sz w:val="18"/>
                <w:szCs w:val="18"/>
              </w:rPr>
              <w:t>Central Department of Statistics and Information</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 xml:space="preserve">CO </w:t>
            </w:r>
          </w:p>
        </w:tc>
        <w:tc>
          <w:tcPr>
            <w:tcW w:w="0" w:type="auto"/>
          </w:tcPr>
          <w:p w:rsidR="001361EB" w:rsidRPr="001424AA" w:rsidRDefault="001361EB" w:rsidP="003B614C">
            <w:pPr>
              <w:rPr>
                <w:sz w:val="18"/>
                <w:szCs w:val="18"/>
              </w:rPr>
            </w:pPr>
            <w:r w:rsidRPr="001424AA">
              <w:rPr>
                <w:sz w:val="18"/>
                <w:szCs w:val="18"/>
              </w:rPr>
              <w:t>country office</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CP</w:t>
            </w:r>
          </w:p>
        </w:tc>
        <w:tc>
          <w:tcPr>
            <w:tcW w:w="0" w:type="auto"/>
          </w:tcPr>
          <w:p w:rsidR="001361EB" w:rsidRPr="001424AA" w:rsidRDefault="001361EB" w:rsidP="00695460">
            <w:pPr>
              <w:rPr>
                <w:sz w:val="18"/>
                <w:szCs w:val="18"/>
              </w:rPr>
            </w:pPr>
            <w:r w:rsidRPr="001424AA">
              <w:rPr>
                <w:sz w:val="18"/>
                <w:szCs w:val="18"/>
              </w:rPr>
              <w:t xml:space="preserve">country programme </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 xml:space="preserve">CPAP </w:t>
            </w:r>
          </w:p>
        </w:tc>
        <w:tc>
          <w:tcPr>
            <w:tcW w:w="0" w:type="auto"/>
          </w:tcPr>
          <w:p w:rsidR="001361EB" w:rsidRPr="001424AA" w:rsidRDefault="001361EB" w:rsidP="003B614C">
            <w:pPr>
              <w:rPr>
                <w:sz w:val="18"/>
                <w:szCs w:val="18"/>
              </w:rPr>
            </w:pPr>
            <w:r w:rsidRPr="001424AA">
              <w:rPr>
                <w:sz w:val="18"/>
                <w:szCs w:val="18"/>
              </w:rPr>
              <w:t>Country Programme Action Plan</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CPD</w:t>
            </w:r>
          </w:p>
        </w:tc>
        <w:tc>
          <w:tcPr>
            <w:tcW w:w="0" w:type="auto"/>
          </w:tcPr>
          <w:p w:rsidR="001361EB" w:rsidRPr="001424AA" w:rsidRDefault="001361EB" w:rsidP="003B614C">
            <w:pPr>
              <w:rPr>
                <w:sz w:val="18"/>
                <w:szCs w:val="18"/>
              </w:rPr>
            </w:pPr>
            <w:r w:rsidRPr="001424AA">
              <w:rPr>
                <w:sz w:val="18"/>
                <w:szCs w:val="18"/>
              </w:rPr>
              <w:t>Country Programme Document</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CPI</w:t>
            </w:r>
          </w:p>
        </w:tc>
        <w:tc>
          <w:tcPr>
            <w:tcW w:w="0" w:type="auto"/>
          </w:tcPr>
          <w:p w:rsidR="001361EB" w:rsidRPr="001424AA" w:rsidRDefault="001361EB" w:rsidP="003B614C">
            <w:pPr>
              <w:rPr>
                <w:sz w:val="18"/>
                <w:szCs w:val="18"/>
              </w:rPr>
            </w:pPr>
            <w:r w:rsidRPr="001424AA">
              <w:rPr>
                <w:sz w:val="18"/>
                <w:szCs w:val="18"/>
              </w:rPr>
              <w:t>Consumer Price Index</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CPPS</w:t>
            </w:r>
          </w:p>
        </w:tc>
        <w:tc>
          <w:tcPr>
            <w:tcW w:w="0" w:type="auto"/>
          </w:tcPr>
          <w:p w:rsidR="001361EB" w:rsidRPr="001424AA" w:rsidRDefault="001361EB" w:rsidP="003B614C">
            <w:pPr>
              <w:rPr>
                <w:sz w:val="18"/>
                <w:szCs w:val="18"/>
              </w:rPr>
            </w:pPr>
            <w:r w:rsidRPr="001424AA">
              <w:rPr>
                <w:sz w:val="18"/>
                <w:szCs w:val="18"/>
              </w:rPr>
              <w:t>Country Programme Performance Summary</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CSR</w:t>
            </w:r>
          </w:p>
        </w:tc>
        <w:tc>
          <w:tcPr>
            <w:tcW w:w="0" w:type="auto"/>
          </w:tcPr>
          <w:p w:rsidR="001361EB" w:rsidRPr="001424AA" w:rsidRDefault="001361EB" w:rsidP="003B614C">
            <w:pPr>
              <w:rPr>
                <w:sz w:val="18"/>
                <w:szCs w:val="18"/>
              </w:rPr>
            </w:pPr>
            <w:r w:rsidRPr="001424AA">
              <w:rPr>
                <w:sz w:val="18"/>
                <w:szCs w:val="18"/>
              </w:rPr>
              <w:t>corporate social responsibility</w:t>
            </w:r>
          </w:p>
        </w:tc>
      </w:tr>
      <w:tr w:rsidR="003A29B8" w:rsidRPr="001424AA" w:rsidTr="00AA52EB">
        <w:trPr>
          <w:jc w:val="center"/>
        </w:trPr>
        <w:tc>
          <w:tcPr>
            <w:tcW w:w="0" w:type="auto"/>
          </w:tcPr>
          <w:p w:rsidR="003A29B8" w:rsidRPr="001424AA" w:rsidRDefault="003A29B8" w:rsidP="003B614C">
            <w:pPr>
              <w:rPr>
                <w:sz w:val="18"/>
                <w:szCs w:val="18"/>
              </w:rPr>
            </w:pPr>
            <w:r w:rsidRPr="001424AA">
              <w:rPr>
                <w:sz w:val="18"/>
                <w:szCs w:val="18"/>
              </w:rPr>
              <w:t>DPA</w:t>
            </w:r>
          </w:p>
        </w:tc>
        <w:tc>
          <w:tcPr>
            <w:tcW w:w="0" w:type="auto"/>
          </w:tcPr>
          <w:p w:rsidR="003A29B8" w:rsidRPr="001424AA" w:rsidRDefault="003A29B8" w:rsidP="003B614C">
            <w:pPr>
              <w:rPr>
                <w:sz w:val="18"/>
                <w:szCs w:val="18"/>
              </w:rPr>
            </w:pPr>
            <w:r w:rsidRPr="001424AA">
              <w:rPr>
                <w:sz w:val="18"/>
                <w:szCs w:val="18"/>
              </w:rPr>
              <w:t>Department of Political Affairs (UN)</w:t>
            </w:r>
          </w:p>
        </w:tc>
      </w:tr>
      <w:tr w:rsidR="003A29B8" w:rsidRPr="001424AA" w:rsidTr="00AA52EB">
        <w:trPr>
          <w:jc w:val="center"/>
        </w:trPr>
        <w:tc>
          <w:tcPr>
            <w:tcW w:w="0" w:type="auto"/>
          </w:tcPr>
          <w:p w:rsidR="003A29B8" w:rsidRPr="001424AA" w:rsidRDefault="003A29B8" w:rsidP="003B614C">
            <w:pPr>
              <w:rPr>
                <w:sz w:val="18"/>
                <w:szCs w:val="18"/>
              </w:rPr>
            </w:pPr>
            <w:r w:rsidRPr="001424AA">
              <w:rPr>
                <w:sz w:val="18"/>
                <w:szCs w:val="18"/>
              </w:rPr>
              <w:t>EAD</w:t>
            </w:r>
          </w:p>
        </w:tc>
        <w:tc>
          <w:tcPr>
            <w:tcW w:w="0" w:type="auto"/>
          </w:tcPr>
          <w:p w:rsidR="003A29B8" w:rsidRPr="001424AA" w:rsidRDefault="003A29B8" w:rsidP="003B614C">
            <w:pPr>
              <w:rPr>
                <w:sz w:val="18"/>
                <w:szCs w:val="18"/>
              </w:rPr>
            </w:pPr>
            <w:r w:rsidRPr="001424AA">
              <w:rPr>
                <w:sz w:val="18"/>
                <w:szCs w:val="18"/>
              </w:rPr>
              <w:t>Electoral Assistance Division (UN-DPA)</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EO</w:t>
            </w:r>
          </w:p>
        </w:tc>
        <w:tc>
          <w:tcPr>
            <w:tcW w:w="0" w:type="auto"/>
          </w:tcPr>
          <w:p w:rsidR="001361EB" w:rsidRPr="001424AA" w:rsidRDefault="001361EB" w:rsidP="003B614C">
            <w:pPr>
              <w:rPr>
                <w:sz w:val="18"/>
                <w:szCs w:val="18"/>
              </w:rPr>
            </w:pPr>
            <w:r w:rsidRPr="001424AA">
              <w:rPr>
                <w:sz w:val="18"/>
                <w:szCs w:val="18"/>
              </w:rPr>
              <w:t>(UN) Evaluation Office</w:t>
            </w:r>
          </w:p>
        </w:tc>
      </w:tr>
      <w:tr w:rsidR="001361EB" w:rsidRPr="001424AA" w:rsidTr="00E8294B">
        <w:trPr>
          <w:jc w:val="center"/>
        </w:trPr>
        <w:tc>
          <w:tcPr>
            <w:tcW w:w="0" w:type="auto"/>
          </w:tcPr>
          <w:p w:rsidR="001361EB" w:rsidRPr="001424AA" w:rsidRDefault="001361EB" w:rsidP="00E8294B">
            <w:pPr>
              <w:rPr>
                <w:sz w:val="18"/>
                <w:szCs w:val="18"/>
              </w:rPr>
            </w:pPr>
            <w:r w:rsidRPr="001424AA">
              <w:rPr>
                <w:sz w:val="18"/>
                <w:szCs w:val="18"/>
              </w:rPr>
              <w:t>GCC</w:t>
            </w:r>
          </w:p>
        </w:tc>
        <w:tc>
          <w:tcPr>
            <w:tcW w:w="0" w:type="auto"/>
          </w:tcPr>
          <w:p w:rsidR="001361EB" w:rsidRPr="001424AA" w:rsidRDefault="001361EB" w:rsidP="00E8294B">
            <w:pPr>
              <w:rPr>
                <w:sz w:val="18"/>
                <w:szCs w:val="18"/>
              </w:rPr>
            </w:pPr>
            <w:r w:rsidRPr="001424AA">
              <w:rPr>
                <w:sz w:val="18"/>
                <w:szCs w:val="18"/>
              </w:rPr>
              <w:t>Gulf Cooperation Council</w:t>
            </w:r>
          </w:p>
        </w:tc>
      </w:tr>
      <w:tr w:rsidR="001361EB" w:rsidRPr="001424AA" w:rsidTr="00FB6775">
        <w:trPr>
          <w:jc w:val="center"/>
        </w:trPr>
        <w:tc>
          <w:tcPr>
            <w:tcW w:w="0" w:type="auto"/>
          </w:tcPr>
          <w:p w:rsidR="001361EB" w:rsidRPr="001424AA" w:rsidRDefault="001361EB" w:rsidP="00FB6775">
            <w:pPr>
              <w:rPr>
                <w:sz w:val="18"/>
                <w:szCs w:val="18"/>
              </w:rPr>
            </w:pPr>
            <w:r w:rsidRPr="001424AA">
              <w:rPr>
                <w:sz w:val="18"/>
                <w:szCs w:val="18"/>
              </w:rPr>
              <w:t>GCF</w:t>
            </w:r>
          </w:p>
        </w:tc>
        <w:tc>
          <w:tcPr>
            <w:tcW w:w="0" w:type="auto"/>
          </w:tcPr>
          <w:p w:rsidR="001361EB" w:rsidRPr="001424AA" w:rsidRDefault="001361EB" w:rsidP="00FB6775">
            <w:pPr>
              <w:rPr>
                <w:sz w:val="18"/>
                <w:szCs w:val="18"/>
              </w:rPr>
            </w:pPr>
            <w:r w:rsidRPr="001424AA">
              <w:rPr>
                <w:sz w:val="18"/>
                <w:szCs w:val="18"/>
              </w:rPr>
              <w:t>Global Competitiveness Forum</w:t>
            </w:r>
          </w:p>
        </w:tc>
      </w:tr>
      <w:tr w:rsidR="001361EB" w:rsidRPr="001424AA" w:rsidTr="00E8294B">
        <w:trPr>
          <w:jc w:val="center"/>
        </w:trPr>
        <w:tc>
          <w:tcPr>
            <w:tcW w:w="0" w:type="auto"/>
          </w:tcPr>
          <w:p w:rsidR="001361EB" w:rsidRPr="001424AA" w:rsidRDefault="001361EB" w:rsidP="00E8294B">
            <w:pPr>
              <w:rPr>
                <w:sz w:val="18"/>
                <w:szCs w:val="18"/>
              </w:rPr>
            </w:pPr>
            <w:r w:rsidRPr="001424AA">
              <w:rPr>
                <w:sz w:val="18"/>
                <w:szCs w:val="18"/>
              </w:rPr>
              <w:t>GDP</w:t>
            </w:r>
          </w:p>
        </w:tc>
        <w:tc>
          <w:tcPr>
            <w:tcW w:w="0" w:type="auto"/>
          </w:tcPr>
          <w:p w:rsidR="001361EB" w:rsidRPr="001424AA" w:rsidRDefault="001361EB" w:rsidP="00E8294B">
            <w:pPr>
              <w:rPr>
                <w:sz w:val="18"/>
                <w:szCs w:val="18"/>
              </w:rPr>
            </w:pPr>
            <w:r w:rsidRPr="001424AA">
              <w:rPr>
                <w:sz w:val="18"/>
                <w:szCs w:val="18"/>
              </w:rPr>
              <w:t>gross domestic product</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HDR</w:t>
            </w:r>
          </w:p>
        </w:tc>
        <w:tc>
          <w:tcPr>
            <w:tcW w:w="0" w:type="auto"/>
          </w:tcPr>
          <w:p w:rsidR="001361EB" w:rsidRPr="001424AA" w:rsidRDefault="001361EB" w:rsidP="003B614C">
            <w:pPr>
              <w:rPr>
                <w:sz w:val="18"/>
                <w:szCs w:val="18"/>
              </w:rPr>
            </w:pPr>
            <w:r w:rsidRPr="001424AA">
              <w:rPr>
                <w:sz w:val="18"/>
                <w:szCs w:val="18"/>
              </w:rPr>
              <w:t>Human Development Report (UNDP)</w:t>
            </w:r>
          </w:p>
        </w:tc>
      </w:tr>
      <w:tr w:rsidR="001361EB" w:rsidRPr="001424AA" w:rsidTr="00C87E92">
        <w:trPr>
          <w:jc w:val="center"/>
        </w:trPr>
        <w:tc>
          <w:tcPr>
            <w:tcW w:w="0" w:type="auto"/>
          </w:tcPr>
          <w:p w:rsidR="001361EB" w:rsidRPr="001424AA" w:rsidRDefault="001361EB" w:rsidP="00C87E92">
            <w:pPr>
              <w:rPr>
                <w:rFonts w:cs="Arial"/>
                <w:sz w:val="18"/>
                <w:szCs w:val="18"/>
              </w:rPr>
            </w:pPr>
            <w:r w:rsidRPr="001424AA">
              <w:rPr>
                <w:rFonts w:cs="Arial"/>
                <w:sz w:val="18"/>
                <w:szCs w:val="18"/>
              </w:rPr>
              <w:t>ICT</w:t>
            </w:r>
          </w:p>
        </w:tc>
        <w:tc>
          <w:tcPr>
            <w:tcW w:w="0" w:type="auto"/>
          </w:tcPr>
          <w:p w:rsidR="001361EB" w:rsidRPr="001424AA" w:rsidRDefault="001361EB" w:rsidP="00C87E92">
            <w:pPr>
              <w:rPr>
                <w:rFonts w:cs="Arial"/>
                <w:sz w:val="18"/>
                <w:szCs w:val="18"/>
              </w:rPr>
            </w:pPr>
            <w:r w:rsidRPr="001424AA">
              <w:rPr>
                <w:rFonts w:cs="Arial"/>
                <w:sz w:val="18"/>
                <w:szCs w:val="18"/>
              </w:rPr>
              <w:t>information, communications and technology</w:t>
            </w:r>
          </w:p>
        </w:tc>
      </w:tr>
      <w:tr w:rsidR="001361EB" w:rsidRPr="001424AA" w:rsidTr="00AA52EB">
        <w:trPr>
          <w:jc w:val="center"/>
        </w:trPr>
        <w:tc>
          <w:tcPr>
            <w:tcW w:w="0" w:type="auto"/>
          </w:tcPr>
          <w:p w:rsidR="001361EB" w:rsidRPr="001424AA" w:rsidRDefault="001361EB" w:rsidP="000A1FB6">
            <w:pPr>
              <w:rPr>
                <w:rFonts w:cs="Arial"/>
                <w:sz w:val="18"/>
                <w:szCs w:val="18"/>
              </w:rPr>
            </w:pPr>
            <w:r w:rsidRPr="001424AA">
              <w:rPr>
                <w:rFonts w:cs="Arial"/>
                <w:sz w:val="18"/>
                <w:szCs w:val="18"/>
              </w:rPr>
              <w:t>IT</w:t>
            </w:r>
          </w:p>
        </w:tc>
        <w:tc>
          <w:tcPr>
            <w:tcW w:w="0" w:type="auto"/>
          </w:tcPr>
          <w:p w:rsidR="001361EB" w:rsidRPr="001424AA" w:rsidRDefault="001361EB" w:rsidP="00D020C8">
            <w:pPr>
              <w:rPr>
                <w:rFonts w:cs="Arial"/>
                <w:sz w:val="18"/>
                <w:szCs w:val="18"/>
              </w:rPr>
            </w:pPr>
            <w:r w:rsidRPr="001424AA">
              <w:rPr>
                <w:rFonts w:cs="Arial"/>
                <w:sz w:val="18"/>
                <w:szCs w:val="18"/>
              </w:rPr>
              <w:t>information technology</w:t>
            </w:r>
          </w:p>
        </w:tc>
      </w:tr>
      <w:tr w:rsidR="001361EB" w:rsidRPr="001424AA" w:rsidTr="00AA52EB">
        <w:trPr>
          <w:jc w:val="center"/>
        </w:trPr>
        <w:tc>
          <w:tcPr>
            <w:tcW w:w="0" w:type="auto"/>
          </w:tcPr>
          <w:p w:rsidR="001361EB" w:rsidRPr="001424AA" w:rsidRDefault="001361EB" w:rsidP="000A1FB6">
            <w:pPr>
              <w:rPr>
                <w:rFonts w:cs="Arial"/>
                <w:sz w:val="18"/>
                <w:szCs w:val="18"/>
              </w:rPr>
            </w:pPr>
            <w:r w:rsidRPr="001424AA">
              <w:rPr>
                <w:rFonts w:cs="Arial"/>
                <w:sz w:val="18"/>
                <w:szCs w:val="18"/>
              </w:rPr>
              <w:t>KACST</w:t>
            </w:r>
          </w:p>
        </w:tc>
        <w:tc>
          <w:tcPr>
            <w:tcW w:w="0" w:type="auto"/>
          </w:tcPr>
          <w:p w:rsidR="001361EB" w:rsidRPr="001424AA" w:rsidRDefault="001361EB" w:rsidP="00F12E63">
            <w:pPr>
              <w:rPr>
                <w:rFonts w:cs="Arial"/>
                <w:sz w:val="18"/>
                <w:szCs w:val="18"/>
              </w:rPr>
            </w:pPr>
            <w:r w:rsidRPr="001424AA">
              <w:rPr>
                <w:rFonts w:cs="Arial"/>
                <w:sz w:val="18"/>
                <w:szCs w:val="18"/>
              </w:rPr>
              <w:t>King Abdulaziz City for Science and Technology</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KSA</w:t>
            </w:r>
          </w:p>
        </w:tc>
        <w:tc>
          <w:tcPr>
            <w:tcW w:w="0" w:type="auto"/>
          </w:tcPr>
          <w:p w:rsidR="001361EB" w:rsidRPr="001424AA" w:rsidRDefault="001361EB" w:rsidP="003B614C">
            <w:pPr>
              <w:rPr>
                <w:sz w:val="18"/>
                <w:szCs w:val="18"/>
              </w:rPr>
            </w:pPr>
            <w:r w:rsidRPr="001424AA">
              <w:rPr>
                <w:sz w:val="18"/>
                <w:szCs w:val="18"/>
              </w:rPr>
              <w:t>Kingdom of Saudi Arabia</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MEP</w:t>
            </w:r>
          </w:p>
        </w:tc>
        <w:tc>
          <w:tcPr>
            <w:tcW w:w="0" w:type="auto"/>
          </w:tcPr>
          <w:p w:rsidR="001361EB" w:rsidRPr="001424AA" w:rsidRDefault="001361EB" w:rsidP="003B614C">
            <w:pPr>
              <w:rPr>
                <w:sz w:val="18"/>
                <w:szCs w:val="18"/>
              </w:rPr>
            </w:pPr>
            <w:r w:rsidRPr="001424AA">
              <w:rPr>
                <w:sz w:val="18"/>
                <w:szCs w:val="18"/>
              </w:rPr>
              <w:t>Ministry of Economy and Planning</w:t>
            </w:r>
          </w:p>
        </w:tc>
      </w:tr>
      <w:tr w:rsidR="001361EB" w:rsidRPr="001424AA" w:rsidTr="00AA52EB">
        <w:trPr>
          <w:jc w:val="center"/>
        </w:trPr>
        <w:tc>
          <w:tcPr>
            <w:tcW w:w="0" w:type="auto"/>
          </w:tcPr>
          <w:p w:rsidR="001361EB" w:rsidRPr="001424AA" w:rsidRDefault="001361EB" w:rsidP="000A1FB6">
            <w:pPr>
              <w:rPr>
                <w:rFonts w:cs="Arial"/>
                <w:sz w:val="18"/>
                <w:szCs w:val="18"/>
              </w:rPr>
            </w:pPr>
            <w:r w:rsidRPr="001424AA">
              <w:rPr>
                <w:rFonts w:cs="Arial"/>
                <w:sz w:val="18"/>
                <w:szCs w:val="18"/>
              </w:rPr>
              <w:t>MOFA</w:t>
            </w:r>
          </w:p>
        </w:tc>
        <w:tc>
          <w:tcPr>
            <w:tcW w:w="0" w:type="auto"/>
          </w:tcPr>
          <w:p w:rsidR="001361EB" w:rsidRPr="001424AA" w:rsidRDefault="001361EB" w:rsidP="000A1FB6">
            <w:pPr>
              <w:rPr>
                <w:rFonts w:cs="Arial"/>
                <w:sz w:val="18"/>
                <w:szCs w:val="18"/>
              </w:rPr>
            </w:pPr>
            <w:r w:rsidRPr="001424AA">
              <w:rPr>
                <w:rFonts w:cs="Arial"/>
                <w:sz w:val="18"/>
                <w:szCs w:val="18"/>
              </w:rPr>
              <w:t>Ministry of Foreign Affairs</w:t>
            </w:r>
          </w:p>
        </w:tc>
      </w:tr>
      <w:tr w:rsidR="001361EB" w:rsidRPr="001424AA" w:rsidTr="00AA52EB">
        <w:trPr>
          <w:jc w:val="center"/>
        </w:trPr>
        <w:tc>
          <w:tcPr>
            <w:tcW w:w="0" w:type="auto"/>
          </w:tcPr>
          <w:p w:rsidR="001361EB" w:rsidRPr="001424AA" w:rsidRDefault="001361EB" w:rsidP="000A1FB6">
            <w:pPr>
              <w:rPr>
                <w:rFonts w:cs="Arial"/>
                <w:sz w:val="18"/>
                <w:szCs w:val="18"/>
              </w:rPr>
            </w:pPr>
            <w:r w:rsidRPr="001424AA">
              <w:rPr>
                <w:rFonts w:cs="Arial"/>
                <w:sz w:val="18"/>
                <w:szCs w:val="18"/>
              </w:rPr>
              <w:t>MOMRA</w:t>
            </w:r>
          </w:p>
        </w:tc>
        <w:tc>
          <w:tcPr>
            <w:tcW w:w="0" w:type="auto"/>
          </w:tcPr>
          <w:p w:rsidR="001361EB" w:rsidRPr="001424AA" w:rsidRDefault="001361EB" w:rsidP="000A1FB6">
            <w:pPr>
              <w:rPr>
                <w:rFonts w:cs="Arial"/>
                <w:sz w:val="18"/>
                <w:szCs w:val="18"/>
              </w:rPr>
            </w:pPr>
            <w:r w:rsidRPr="001424AA">
              <w:rPr>
                <w:sz w:val="18"/>
                <w:szCs w:val="18"/>
              </w:rPr>
              <w:t>Ministry of Municipal &amp;Rural Affairs</w:t>
            </w:r>
          </w:p>
        </w:tc>
      </w:tr>
      <w:tr w:rsidR="001361EB" w:rsidRPr="001424AA" w:rsidTr="00FB6775">
        <w:trPr>
          <w:jc w:val="center"/>
        </w:trPr>
        <w:tc>
          <w:tcPr>
            <w:tcW w:w="0" w:type="auto"/>
          </w:tcPr>
          <w:p w:rsidR="001361EB" w:rsidRPr="001424AA" w:rsidRDefault="001361EB" w:rsidP="000A1FB6">
            <w:pPr>
              <w:rPr>
                <w:rFonts w:cs="Arial"/>
                <w:sz w:val="18"/>
                <w:szCs w:val="18"/>
              </w:rPr>
            </w:pPr>
            <w:r w:rsidRPr="001424AA">
              <w:rPr>
                <w:rFonts w:cs="Arial"/>
                <w:sz w:val="18"/>
                <w:szCs w:val="18"/>
              </w:rPr>
              <w:t>MOT</w:t>
            </w:r>
          </w:p>
        </w:tc>
        <w:tc>
          <w:tcPr>
            <w:tcW w:w="0" w:type="auto"/>
          </w:tcPr>
          <w:p w:rsidR="001361EB" w:rsidRPr="001424AA" w:rsidRDefault="001361EB" w:rsidP="000A1FB6">
            <w:pPr>
              <w:rPr>
                <w:rFonts w:cs="Arial"/>
                <w:sz w:val="18"/>
                <w:szCs w:val="18"/>
              </w:rPr>
            </w:pPr>
            <w:r w:rsidRPr="001424AA">
              <w:rPr>
                <w:rFonts w:cs="Arial"/>
                <w:sz w:val="18"/>
                <w:szCs w:val="18"/>
              </w:rPr>
              <w:t>Ministry of Transport</w:t>
            </w:r>
          </w:p>
        </w:tc>
      </w:tr>
      <w:tr w:rsidR="001361EB" w:rsidRPr="001424AA" w:rsidTr="00AA52EB">
        <w:trPr>
          <w:jc w:val="center"/>
        </w:trPr>
        <w:tc>
          <w:tcPr>
            <w:tcW w:w="0" w:type="auto"/>
          </w:tcPr>
          <w:p w:rsidR="001361EB" w:rsidRPr="001424AA" w:rsidRDefault="001361EB" w:rsidP="000A1FB6">
            <w:pPr>
              <w:rPr>
                <w:rFonts w:cs="Arial"/>
                <w:sz w:val="18"/>
                <w:szCs w:val="18"/>
              </w:rPr>
            </w:pPr>
            <w:r w:rsidRPr="001424AA">
              <w:rPr>
                <w:rFonts w:cs="Arial"/>
                <w:sz w:val="18"/>
                <w:szCs w:val="18"/>
              </w:rPr>
              <w:t>MUON</w:t>
            </w:r>
          </w:p>
        </w:tc>
        <w:tc>
          <w:tcPr>
            <w:tcW w:w="0" w:type="auto"/>
          </w:tcPr>
          <w:p w:rsidR="001361EB" w:rsidRPr="001424AA" w:rsidRDefault="001361EB" w:rsidP="000A1FB6">
            <w:pPr>
              <w:rPr>
                <w:rFonts w:cs="Arial"/>
                <w:sz w:val="18"/>
                <w:szCs w:val="18"/>
              </w:rPr>
            </w:pPr>
            <w:r w:rsidRPr="001424AA">
              <w:rPr>
                <w:sz w:val="18"/>
                <w:szCs w:val="18"/>
              </w:rPr>
              <w:t>Madinah Urban Observatory Network</w:t>
            </w:r>
          </w:p>
        </w:tc>
      </w:tr>
      <w:tr w:rsidR="001361EB" w:rsidRPr="001424AA" w:rsidTr="00FB6775">
        <w:trPr>
          <w:jc w:val="center"/>
        </w:trPr>
        <w:tc>
          <w:tcPr>
            <w:tcW w:w="0" w:type="auto"/>
          </w:tcPr>
          <w:p w:rsidR="001361EB" w:rsidRPr="001424AA" w:rsidRDefault="001361EB" w:rsidP="00FB6775">
            <w:pPr>
              <w:rPr>
                <w:sz w:val="18"/>
                <w:szCs w:val="18"/>
              </w:rPr>
            </w:pPr>
            <w:r w:rsidRPr="001424AA">
              <w:rPr>
                <w:sz w:val="18"/>
                <w:szCs w:val="18"/>
              </w:rPr>
              <w:t>NCC</w:t>
            </w:r>
          </w:p>
        </w:tc>
        <w:tc>
          <w:tcPr>
            <w:tcW w:w="0" w:type="auto"/>
          </w:tcPr>
          <w:p w:rsidR="001361EB" w:rsidRPr="001424AA" w:rsidRDefault="001361EB" w:rsidP="00814F82">
            <w:pPr>
              <w:rPr>
                <w:sz w:val="18"/>
                <w:szCs w:val="18"/>
              </w:rPr>
            </w:pPr>
            <w:r w:rsidRPr="001424AA">
              <w:rPr>
                <w:sz w:val="18"/>
                <w:szCs w:val="18"/>
              </w:rPr>
              <w:t>National Competitiveness Council</w:t>
            </w:r>
          </w:p>
        </w:tc>
      </w:tr>
      <w:tr w:rsidR="001361EB" w:rsidRPr="001424AA" w:rsidTr="00FB6775">
        <w:trPr>
          <w:jc w:val="center"/>
        </w:trPr>
        <w:tc>
          <w:tcPr>
            <w:tcW w:w="0" w:type="auto"/>
          </w:tcPr>
          <w:p w:rsidR="001361EB" w:rsidRPr="001424AA" w:rsidRDefault="001361EB" w:rsidP="00FB6775">
            <w:pPr>
              <w:rPr>
                <w:sz w:val="18"/>
                <w:szCs w:val="18"/>
              </w:rPr>
            </w:pPr>
            <w:r w:rsidRPr="001424AA">
              <w:rPr>
                <w:sz w:val="18"/>
                <w:szCs w:val="18"/>
              </w:rPr>
              <w:t xml:space="preserve">NCC </w:t>
            </w:r>
          </w:p>
        </w:tc>
        <w:tc>
          <w:tcPr>
            <w:tcW w:w="0" w:type="auto"/>
          </w:tcPr>
          <w:p w:rsidR="001361EB" w:rsidRPr="001424AA" w:rsidRDefault="001361EB" w:rsidP="00814F82">
            <w:pPr>
              <w:rPr>
                <w:sz w:val="18"/>
                <w:szCs w:val="18"/>
              </w:rPr>
            </w:pPr>
            <w:r w:rsidRPr="001424AA">
              <w:rPr>
                <w:sz w:val="18"/>
                <w:szCs w:val="18"/>
              </w:rPr>
              <w:t>net contributing country</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NDP</w:t>
            </w:r>
          </w:p>
        </w:tc>
        <w:tc>
          <w:tcPr>
            <w:tcW w:w="0" w:type="auto"/>
          </w:tcPr>
          <w:p w:rsidR="001361EB" w:rsidRPr="001424AA" w:rsidRDefault="001361EB" w:rsidP="003B614C">
            <w:pPr>
              <w:rPr>
                <w:sz w:val="18"/>
                <w:szCs w:val="18"/>
              </w:rPr>
            </w:pPr>
            <w:r w:rsidRPr="001424AA">
              <w:rPr>
                <w:sz w:val="18"/>
                <w:szCs w:val="18"/>
              </w:rPr>
              <w:t>National Development Plan</w:t>
            </w:r>
          </w:p>
        </w:tc>
      </w:tr>
      <w:tr w:rsidR="001361EB" w:rsidRPr="001424AA" w:rsidTr="00E8294B">
        <w:trPr>
          <w:jc w:val="center"/>
        </w:trPr>
        <w:tc>
          <w:tcPr>
            <w:tcW w:w="0" w:type="auto"/>
          </w:tcPr>
          <w:p w:rsidR="001361EB" w:rsidRPr="001424AA" w:rsidRDefault="001361EB" w:rsidP="00E8294B">
            <w:pPr>
              <w:rPr>
                <w:sz w:val="18"/>
                <w:szCs w:val="18"/>
              </w:rPr>
            </w:pPr>
            <w:r w:rsidRPr="001424AA">
              <w:rPr>
                <w:sz w:val="18"/>
                <w:szCs w:val="18"/>
              </w:rPr>
              <w:t>NFP</w:t>
            </w:r>
          </w:p>
        </w:tc>
        <w:tc>
          <w:tcPr>
            <w:tcW w:w="0" w:type="auto"/>
          </w:tcPr>
          <w:p w:rsidR="001361EB" w:rsidRPr="001424AA" w:rsidRDefault="001361EB" w:rsidP="00E8294B">
            <w:pPr>
              <w:rPr>
                <w:sz w:val="18"/>
                <w:szCs w:val="18"/>
              </w:rPr>
            </w:pPr>
            <w:r w:rsidRPr="001424AA">
              <w:rPr>
                <w:rFonts w:eastAsia="Times New Roman" w:cs="Times New Roman"/>
                <w:sz w:val="18"/>
                <w:szCs w:val="18"/>
                <w:lang w:eastAsia="en-CA"/>
              </w:rPr>
              <w:t>National Frequency Plan</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NIM</w:t>
            </w:r>
          </w:p>
        </w:tc>
        <w:tc>
          <w:tcPr>
            <w:tcW w:w="0" w:type="auto"/>
          </w:tcPr>
          <w:p w:rsidR="001361EB" w:rsidRPr="001424AA" w:rsidRDefault="001361EB" w:rsidP="003B614C">
            <w:pPr>
              <w:rPr>
                <w:sz w:val="18"/>
                <w:szCs w:val="18"/>
              </w:rPr>
            </w:pPr>
            <w:r w:rsidRPr="001424AA">
              <w:rPr>
                <w:sz w:val="18"/>
                <w:szCs w:val="18"/>
              </w:rPr>
              <w:t>national implementation model</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NTS</w:t>
            </w:r>
          </w:p>
        </w:tc>
        <w:tc>
          <w:tcPr>
            <w:tcW w:w="0" w:type="auto"/>
          </w:tcPr>
          <w:p w:rsidR="001361EB" w:rsidRPr="001424AA" w:rsidRDefault="001361EB" w:rsidP="003B614C">
            <w:pPr>
              <w:rPr>
                <w:sz w:val="18"/>
                <w:szCs w:val="18"/>
              </w:rPr>
            </w:pPr>
            <w:r w:rsidRPr="001424AA">
              <w:rPr>
                <w:sz w:val="18"/>
                <w:szCs w:val="18"/>
              </w:rPr>
              <w:t>National Transportation Strategy</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ODA</w:t>
            </w:r>
          </w:p>
        </w:tc>
        <w:tc>
          <w:tcPr>
            <w:tcW w:w="0" w:type="auto"/>
          </w:tcPr>
          <w:p w:rsidR="001361EB" w:rsidRPr="001424AA" w:rsidRDefault="001361EB" w:rsidP="003B614C">
            <w:pPr>
              <w:rPr>
                <w:sz w:val="18"/>
                <w:szCs w:val="18"/>
              </w:rPr>
            </w:pPr>
            <w:r w:rsidRPr="001424AA">
              <w:rPr>
                <w:sz w:val="18"/>
                <w:szCs w:val="18"/>
              </w:rPr>
              <w:t>official development assistance</w:t>
            </w:r>
          </w:p>
        </w:tc>
      </w:tr>
      <w:tr w:rsidR="001361EB" w:rsidRPr="001424AA" w:rsidTr="00AA52EB">
        <w:trPr>
          <w:jc w:val="center"/>
        </w:trPr>
        <w:tc>
          <w:tcPr>
            <w:tcW w:w="0" w:type="auto"/>
          </w:tcPr>
          <w:p w:rsidR="001361EB" w:rsidRPr="001424AA" w:rsidRDefault="001361EB" w:rsidP="000A1FB6">
            <w:pPr>
              <w:rPr>
                <w:rFonts w:cs="Arial"/>
                <w:sz w:val="18"/>
                <w:szCs w:val="18"/>
              </w:rPr>
            </w:pPr>
            <w:r w:rsidRPr="001424AA">
              <w:rPr>
                <w:rFonts w:cs="Arial"/>
                <w:sz w:val="18"/>
                <w:szCs w:val="18"/>
              </w:rPr>
              <w:t>OSS</w:t>
            </w:r>
          </w:p>
        </w:tc>
        <w:tc>
          <w:tcPr>
            <w:tcW w:w="0" w:type="auto"/>
          </w:tcPr>
          <w:p w:rsidR="001361EB" w:rsidRPr="001424AA" w:rsidRDefault="001361EB" w:rsidP="000A1FB6">
            <w:pPr>
              <w:rPr>
                <w:rFonts w:cs="Arial"/>
                <w:sz w:val="18"/>
                <w:szCs w:val="18"/>
              </w:rPr>
            </w:pPr>
            <w:r w:rsidRPr="001424AA">
              <w:rPr>
                <w:sz w:val="18"/>
                <w:szCs w:val="18"/>
              </w:rPr>
              <w:t>open-source software</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PPP</w:t>
            </w:r>
          </w:p>
        </w:tc>
        <w:tc>
          <w:tcPr>
            <w:tcW w:w="0" w:type="auto"/>
          </w:tcPr>
          <w:p w:rsidR="001361EB" w:rsidRPr="001424AA" w:rsidRDefault="001361EB" w:rsidP="003B614C">
            <w:pPr>
              <w:rPr>
                <w:sz w:val="18"/>
                <w:szCs w:val="18"/>
              </w:rPr>
            </w:pPr>
            <w:r w:rsidRPr="001424AA">
              <w:rPr>
                <w:sz w:val="18"/>
                <w:szCs w:val="18"/>
              </w:rPr>
              <w:t>public-private partnership</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RRF</w:t>
            </w:r>
          </w:p>
        </w:tc>
        <w:tc>
          <w:tcPr>
            <w:tcW w:w="0" w:type="auto"/>
          </w:tcPr>
          <w:p w:rsidR="001361EB" w:rsidRPr="001424AA" w:rsidRDefault="001361EB" w:rsidP="003B614C">
            <w:pPr>
              <w:rPr>
                <w:sz w:val="18"/>
                <w:szCs w:val="18"/>
              </w:rPr>
            </w:pPr>
            <w:r w:rsidRPr="001424AA">
              <w:rPr>
                <w:sz w:val="18"/>
                <w:szCs w:val="18"/>
              </w:rPr>
              <w:t>results and resources framework</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 xml:space="preserve">SA </w:t>
            </w:r>
          </w:p>
        </w:tc>
        <w:tc>
          <w:tcPr>
            <w:tcW w:w="0" w:type="auto"/>
          </w:tcPr>
          <w:p w:rsidR="001361EB" w:rsidRPr="001424AA" w:rsidRDefault="001361EB" w:rsidP="003B614C">
            <w:pPr>
              <w:rPr>
                <w:sz w:val="18"/>
                <w:szCs w:val="18"/>
              </w:rPr>
            </w:pPr>
            <w:r w:rsidRPr="001424AA">
              <w:rPr>
                <w:sz w:val="18"/>
                <w:szCs w:val="18"/>
              </w:rPr>
              <w:t>Saudi Arabia</w:t>
            </w:r>
          </w:p>
        </w:tc>
      </w:tr>
      <w:tr w:rsidR="001361EB" w:rsidRPr="001424AA" w:rsidTr="00AA52EB">
        <w:trPr>
          <w:jc w:val="center"/>
        </w:trPr>
        <w:tc>
          <w:tcPr>
            <w:tcW w:w="0" w:type="auto"/>
          </w:tcPr>
          <w:p w:rsidR="001361EB" w:rsidRPr="001424AA" w:rsidRDefault="001361EB" w:rsidP="000A1FB6">
            <w:pPr>
              <w:rPr>
                <w:rFonts w:cs="Arial"/>
                <w:sz w:val="18"/>
                <w:szCs w:val="18"/>
              </w:rPr>
            </w:pPr>
            <w:r w:rsidRPr="001424AA">
              <w:rPr>
                <w:rFonts w:cs="Arial"/>
                <w:sz w:val="18"/>
                <w:szCs w:val="18"/>
              </w:rPr>
              <w:t>SFDA</w:t>
            </w:r>
          </w:p>
        </w:tc>
        <w:tc>
          <w:tcPr>
            <w:tcW w:w="0" w:type="auto"/>
          </w:tcPr>
          <w:p w:rsidR="001361EB" w:rsidRPr="001424AA" w:rsidRDefault="001361EB" w:rsidP="000A1FB6">
            <w:pPr>
              <w:rPr>
                <w:rFonts w:cs="Arial"/>
                <w:sz w:val="18"/>
                <w:szCs w:val="18"/>
              </w:rPr>
            </w:pPr>
            <w:r w:rsidRPr="001424AA">
              <w:rPr>
                <w:sz w:val="18"/>
                <w:szCs w:val="18"/>
              </w:rPr>
              <w:t>Saudi Food and Drug Authority</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 xml:space="preserve">SME </w:t>
            </w:r>
          </w:p>
        </w:tc>
        <w:tc>
          <w:tcPr>
            <w:tcW w:w="0" w:type="auto"/>
          </w:tcPr>
          <w:p w:rsidR="001361EB" w:rsidRPr="001424AA" w:rsidRDefault="001361EB" w:rsidP="003B614C">
            <w:pPr>
              <w:rPr>
                <w:sz w:val="18"/>
                <w:szCs w:val="18"/>
              </w:rPr>
            </w:pPr>
            <w:r w:rsidRPr="001424AA">
              <w:rPr>
                <w:sz w:val="18"/>
                <w:szCs w:val="18"/>
              </w:rPr>
              <w:t>small and medium enterprise</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SR</w:t>
            </w:r>
          </w:p>
        </w:tc>
        <w:tc>
          <w:tcPr>
            <w:tcW w:w="0" w:type="auto"/>
          </w:tcPr>
          <w:p w:rsidR="001361EB" w:rsidRPr="001424AA" w:rsidRDefault="001361EB" w:rsidP="003B614C">
            <w:pPr>
              <w:rPr>
                <w:sz w:val="18"/>
                <w:szCs w:val="18"/>
              </w:rPr>
            </w:pPr>
            <w:r w:rsidRPr="001424AA">
              <w:rPr>
                <w:sz w:val="18"/>
                <w:szCs w:val="18"/>
              </w:rPr>
              <w:t>Saudi riyal</w:t>
            </w:r>
          </w:p>
        </w:tc>
      </w:tr>
      <w:tr w:rsidR="00666876" w:rsidRPr="001424AA" w:rsidTr="00AA52EB">
        <w:trPr>
          <w:jc w:val="center"/>
        </w:trPr>
        <w:tc>
          <w:tcPr>
            <w:tcW w:w="0" w:type="auto"/>
          </w:tcPr>
          <w:p w:rsidR="00666876" w:rsidRPr="001424AA" w:rsidRDefault="00666876" w:rsidP="003B614C">
            <w:pPr>
              <w:rPr>
                <w:sz w:val="18"/>
                <w:szCs w:val="18"/>
              </w:rPr>
            </w:pPr>
            <w:r w:rsidRPr="001424AA">
              <w:rPr>
                <w:sz w:val="18"/>
                <w:szCs w:val="18"/>
              </w:rPr>
              <w:t>TA</w:t>
            </w:r>
          </w:p>
        </w:tc>
        <w:tc>
          <w:tcPr>
            <w:tcW w:w="0" w:type="auto"/>
          </w:tcPr>
          <w:p w:rsidR="00666876" w:rsidRPr="001424AA" w:rsidRDefault="00666876" w:rsidP="003B614C">
            <w:pPr>
              <w:rPr>
                <w:sz w:val="18"/>
                <w:szCs w:val="18"/>
              </w:rPr>
            </w:pPr>
            <w:r w:rsidRPr="001424AA">
              <w:rPr>
                <w:sz w:val="18"/>
                <w:szCs w:val="18"/>
              </w:rPr>
              <w:t>technical assistance</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UN</w:t>
            </w:r>
          </w:p>
        </w:tc>
        <w:tc>
          <w:tcPr>
            <w:tcW w:w="0" w:type="auto"/>
          </w:tcPr>
          <w:p w:rsidR="001361EB" w:rsidRPr="001424AA" w:rsidRDefault="001361EB" w:rsidP="003B614C">
            <w:pPr>
              <w:rPr>
                <w:sz w:val="18"/>
                <w:szCs w:val="18"/>
              </w:rPr>
            </w:pPr>
            <w:r w:rsidRPr="001424AA">
              <w:rPr>
                <w:sz w:val="18"/>
                <w:szCs w:val="18"/>
              </w:rPr>
              <w:t>United Nations</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 xml:space="preserve">UNDP </w:t>
            </w:r>
          </w:p>
        </w:tc>
        <w:tc>
          <w:tcPr>
            <w:tcW w:w="0" w:type="auto"/>
          </w:tcPr>
          <w:p w:rsidR="001361EB" w:rsidRPr="001424AA" w:rsidRDefault="001361EB" w:rsidP="003B614C">
            <w:pPr>
              <w:rPr>
                <w:sz w:val="18"/>
                <w:szCs w:val="18"/>
              </w:rPr>
            </w:pPr>
            <w:r w:rsidRPr="001424AA">
              <w:rPr>
                <w:sz w:val="18"/>
                <w:szCs w:val="18"/>
              </w:rPr>
              <w:t xml:space="preserve">United Nations Development Programme </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UNWTO</w:t>
            </w:r>
          </w:p>
        </w:tc>
        <w:tc>
          <w:tcPr>
            <w:tcW w:w="0" w:type="auto"/>
          </w:tcPr>
          <w:p w:rsidR="001361EB" w:rsidRPr="001424AA" w:rsidRDefault="001361EB" w:rsidP="003B614C">
            <w:pPr>
              <w:rPr>
                <w:sz w:val="18"/>
                <w:szCs w:val="18"/>
              </w:rPr>
            </w:pPr>
            <w:r w:rsidRPr="001424AA">
              <w:rPr>
                <w:sz w:val="18"/>
                <w:szCs w:val="18"/>
              </w:rPr>
              <w:t>UN World Tourism Organisation</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USD</w:t>
            </w:r>
          </w:p>
        </w:tc>
        <w:tc>
          <w:tcPr>
            <w:tcW w:w="0" w:type="auto"/>
          </w:tcPr>
          <w:p w:rsidR="001361EB" w:rsidRPr="001424AA" w:rsidRDefault="001361EB" w:rsidP="003B614C">
            <w:pPr>
              <w:rPr>
                <w:sz w:val="18"/>
                <w:szCs w:val="18"/>
              </w:rPr>
            </w:pPr>
            <w:r w:rsidRPr="001424AA">
              <w:rPr>
                <w:sz w:val="18"/>
                <w:szCs w:val="18"/>
              </w:rPr>
              <w:t>United States dollars</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WB</w:t>
            </w:r>
          </w:p>
        </w:tc>
        <w:tc>
          <w:tcPr>
            <w:tcW w:w="0" w:type="auto"/>
          </w:tcPr>
          <w:p w:rsidR="001361EB" w:rsidRPr="001424AA" w:rsidRDefault="001361EB" w:rsidP="003B614C">
            <w:pPr>
              <w:rPr>
                <w:sz w:val="18"/>
                <w:szCs w:val="18"/>
              </w:rPr>
            </w:pPr>
            <w:r w:rsidRPr="001424AA">
              <w:rPr>
                <w:sz w:val="18"/>
                <w:szCs w:val="18"/>
              </w:rPr>
              <w:t>World Bank</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WDI</w:t>
            </w:r>
          </w:p>
        </w:tc>
        <w:tc>
          <w:tcPr>
            <w:tcW w:w="0" w:type="auto"/>
          </w:tcPr>
          <w:p w:rsidR="001361EB" w:rsidRPr="001424AA" w:rsidRDefault="001361EB" w:rsidP="003B614C">
            <w:pPr>
              <w:rPr>
                <w:sz w:val="18"/>
                <w:szCs w:val="18"/>
              </w:rPr>
            </w:pPr>
            <w:r w:rsidRPr="001424AA">
              <w:rPr>
                <w:sz w:val="18"/>
                <w:szCs w:val="18"/>
              </w:rPr>
              <w:t>World Development Indicators</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WEF</w:t>
            </w:r>
          </w:p>
        </w:tc>
        <w:tc>
          <w:tcPr>
            <w:tcW w:w="0" w:type="auto"/>
          </w:tcPr>
          <w:p w:rsidR="001361EB" w:rsidRPr="001424AA" w:rsidRDefault="001361EB" w:rsidP="003B614C">
            <w:pPr>
              <w:rPr>
                <w:sz w:val="18"/>
                <w:szCs w:val="18"/>
              </w:rPr>
            </w:pPr>
            <w:r w:rsidRPr="001424AA">
              <w:rPr>
                <w:sz w:val="18"/>
                <w:szCs w:val="18"/>
              </w:rPr>
              <w:t>World Economic Forum</w:t>
            </w:r>
          </w:p>
        </w:tc>
      </w:tr>
      <w:tr w:rsidR="001361EB" w:rsidRPr="001424AA" w:rsidTr="00AA52EB">
        <w:trPr>
          <w:jc w:val="center"/>
        </w:trPr>
        <w:tc>
          <w:tcPr>
            <w:tcW w:w="0" w:type="auto"/>
          </w:tcPr>
          <w:p w:rsidR="001361EB" w:rsidRPr="001424AA" w:rsidRDefault="001361EB" w:rsidP="003B614C">
            <w:pPr>
              <w:rPr>
                <w:sz w:val="18"/>
                <w:szCs w:val="18"/>
              </w:rPr>
            </w:pPr>
            <w:r w:rsidRPr="001424AA">
              <w:rPr>
                <w:sz w:val="18"/>
                <w:szCs w:val="18"/>
              </w:rPr>
              <w:t xml:space="preserve">WTO </w:t>
            </w:r>
          </w:p>
        </w:tc>
        <w:tc>
          <w:tcPr>
            <w:tcW w:w="0" w:type="auto"/>
          </w:tcPr>
          <w:p w:rsidR="001361EB" w:rsidRPr="001424AA" w:rsidRDefault="001361EB" w:rsidP="003B614C">
            <w:pPr>
              <w:rPr>
                <w:sz w:val="18"/>
                <w:szCs w:val="18"/>
              </w:rPr>
            </w:pPr>
            <w:r w:rsidRPr="001424AA">
              <w:rPr>
                <w:sz w:val="18"/>
                <w:szCs w:val="18"/>
              </w:rPr>
              <w:t>World Trade Organisation</w:t>
            </w:r>
          </w:p>
        </w:tc>
      </w:tr>
    </w:tbl>
    <w:p w:rsidR="003B614C" w:rsidRDefault="003B614C" w:rsidP="003B614C"/>
    <w:p w:rsidR="001424AA" w:rsidRPr="00DA7619" w:rsidRDefault="001424AA" w:rsidP="003B614C"/>
    <w:p w:rsidR="00C17F2D" w:rsidRDefault="00C17F2D" w:rsidP="00E83AF2">
      <w:pPr>
        <w:pStyle w:val="Heading1"/>
        <w:ind w:left="360"/>
      </w:pPr>
      <w:bookmarkStart w:id="1" w:name="_Toc325940166"/>
      <w:r w:rsidRPr="00DA7619">
        <w:lastRenderedPageBreak/>
        <w:t>Executive Summary</w:t>
      </w:r>
      <w:bookmarkEnd w:id="1"/>
    </w:p>
    <w:p w:rsidR="004614BD" w:rsidRDefault="004614BD" w:rsidP="004614BD">
      <w:r w:rsidRPr="00DA7619">
        <w:t xml:space="preserve">This report presents an Outcome Evaluation focusing on the </w:t>
      </w:r>
      <w:r w:rsidRPr="009F07CD">
        <w:t>public sector performance</w:t>
      </w:r>
      <w:r w:rsidRPr="00DA7619">
        <w:t xml:space="preserve"> objective shared by the government of Saudi Arabia (SA) and the UNDP country office in SA, in the period 2007-2011.  This objective</w:t>
      </w:r>
      <w:r>
        <w:t xml:space="preserve">, Outcome 3:  </w:t>
      </w:r>
      <w:r w:rsidRPr="00DA7619">
        <w:t xml:space="preserve">“An efficient and accountable public sector and institutions are in </w:t>
      </w:r>
      <w:r w:rsidRPr="00132898">
        <w:t>place”, constituted the third of five “outcomes” incorporated in the UNDP-SA Country Programme Document</w:t>
      </w:r>
      <w:r w:rsidRPr="00DA7619">
        <w:t xml:space="preserve"> (CPD).</w:t>
      </w:r>
    </w:p>
    <w:p w:rsidR="004614BD" w:rsidRDefault="004614BD" w:rsidP="004614BD">
      <w:pPr>
        <w:rPr>
          <w:lang w:val="en-CA"/>
        </w:rPr>
      </w:pPr>
      <w:r>
        <w:t xml:space="preserve">The CP began during the SA eighth national plan period, in which the country focused efforts on a number of emerging issues, including </w:t>
      </w:r>
      <w:r w:rsidRPr="00DA7619">
        <w:t xml:space="preserve">diversification of the economy to capture more value-added, improve technology and foster sustainable growth.  In parallel, it aimed to solve human resource </w:t>
      </w:r>
      <w:r>
        <w:t xml:space="preserve">issues, </w:t>
      </w:r>
      <w:r w:rsidRPr="00DA7619">
        <w:t>widening job opportunities</w:t>
      </w:r>
      <w:r>
        <w:t xml:space="preserve"> for </w:t>
      </w:r>
      <w:r w:rsidRPr="00DA7619">
        <w:t>its young population</w:t>
      </w:r>
      <w:r>
        <w:t xml:space="preserve">.  </w:t>
      </w:r>
      <w:r w:rsidRPr="00DA7619">
        <w:t xml:space="preserve">These objectives were set in a context of preparing for greater integration into the globalizing economy </w:t>
      </w:r>
      <w:r>
        <w:t>following</w:t>
      </w:r>
      <w:r w:rsidRPr="00DA7619">
        <w:t xml:space="preserve"> accession to the World Trade Organization (WTO), and accelerating the process of privatization and export enhancement</w:t>
      </w:r>
      <w:r>
        <w:t xml:space="preserve">.  The ninth plan focused on </w:t>
      </w:r>
      <w:r>
        <w:rPr>
          <w:lang w:val="en-CA"/>
        </w:rPr>
        <w:t>accelerating regionally balanced development with improved living standards and quality, enhancing human resource efficiency and competitiveness, moving towards a knowledge economy.</w:t>
      </w:r>
      <w:r>
        <w:t xml:space="preserve">  It was prepared by government during the course of the CP activities, and the CPD took the updated focus into account in its review and final years.  </w:t>
      </w:r>
    </w:p>
    <w:p w:rsidR="004614BD" w:rsidRDefault="004614BD" w:rsidP="004614BD">
      <w:pPr>
        <w:rPr>
          <w:lang w:val="en-CA"/>
        </w:rPr>
      </w:pPr>
      <w:r>
        <w:t xml:space="preserve">In preparing the CP, UNDP </w:t>
      </w:r>
      <w:r w:rsidRPr="00CF5029">
        <w:t xml:space="preserve">undertook a series of round-table </w:t>
      </w:r>
      <w:r>
        <w:t xml:space="preserve">discussions </w:t>
      </w:r>
      <w:r w:rsidRPr="00CF5029">
        <w:rPr>
          <w:rFonts w:cs="TimesNewRoman"/>
          <w:lang w:val="en-CA"/>
        </w:rPr>
        <w:t>involving all stakeholders,</w:t>
      </w:r>
      <w:r>
        <w:rPr>
          <w:rFonts w:cs="TimesNewRoman"/>
          <w:lang w:val="en-CA"/>
        </w:rPr>
        <w:t xml:space="preserve"> the g</w:t>
      </w:r>
      <w:r w:rsidRPr="00CF5029">
        <w:rPr>
          <w:rFonts w:cs="TimesNewRoman"/>
          <w:lang w:val="en-CA"/>
        </w:rPr>
        <w:t>overnment, the private sector, civil society and</w:t>
      </w:r>
      <w:r>
        <w:rPr>
          <w:rFonts w:cs="TimesNewRoman"/>
          <w:lang w:val="en-CA"/>
        </w:rPr>
        <w:t xml:space="preserve"> UN </w:t>
      </w:r>
      <w:r w:rsidRPr="00CA6CE1">
        <w:rPr>
          <w:rFonts w:cs="TimesNewRoman"/>
          <w:lang w:val="en-CA"/>
        </w:rPr>
        <w:t xml:space="preserve">agencies.  The </w:t>
      </w:r>
      <w:r w:rsidRPr="00CA6CE1">
        <w:t xml:space="preserve">resulting CPD emerged as a flexible partnership between Saudi Arabia and UNDP, which </w:t>
      </w:r>
      <w:r>
        <w:t>focused on furthering</w:t>
      </w:r>
      <w:r w:rsidRPr="00CA6CE1">
        <w:t xml:space="preserve"> the development priorities of </w:t>
      </w:r>
      <w:r>
        <w:t>the succeeding plans in turn</w:t>
      </w:r>
      <w:r w:rsidRPr="00CA6CE1">
        <w:t>.</w:t>
      </w:r>
      <w:r>
        <w:t xml:space="preserve">  </w:t>
      </w:r>
      <w:r>
        <w:rPr>
          <w:lang w:val="en-CA"/>
        </w:rPr>
        <w:t>The government’s concern was to raise growth in part by improving the efficiency and competitiveness of the Saudi economy in an international environment dominated by globalisation and heightened competition based on science and technology achievements.  These concerns prompted a renewed focus on performance, particularly within its own services.</w:t>
      </w:r>
      <w:r w:rsidRPr="00EB0BDD">
        <w:rPr>
          <w:lang w:val="en-CA"/>
        </w:rPr>
        <w:t xml:space="preserve"> </w:t>
      </w:r>
      <w:r>
        <w:rPr>
          <w:lang w:val="en-CA"/>
        </w:rPr>
        <w:t xml:space="preserve"> This focus guided the design of the UNDP programme Outcome 3.  The objective of improved public sector performance covers a myriad of interactions between a government and population, mediated by institutions tasked to deliver services that are new and evolving.  </w:t>
      </w:r>
    </w:p>
    <w:p w:rsidR="004614BD" w:rsidRPr="00DA7619" w:rsidRDefault="004614BD" w:rsidP="004614BD">
      <w:r>
        <w:t xml:space="preserve">The indicators adopted for Outcome 3 took into consideration a broad programme operating in partnership with nine partner ministries and agencies.  The indicators therefore varied in scope, with some more directly linked to outputs, while others were directed at broad changes.  The seven indicators were:  </w:t>
      </w:r>
      <w:r w:rsidRPr="00DA7619">
        <w:t xml:space="preserve">  </w:t>
      </w:r>
    </w:p>
    <w:p w:rsidR="004614BD" w:rsidRPr="00DA7619" w:rsidRDefault="004614BD" w:rsidP="004614BD">
      <w:pPr>
        <w:pStyle w:val="ListParagraph"/>
        <w:numPr>
          <w:ilvl w:val="0"/>
          <w:numId w:val="26"/>
        </w:numPr>
      </w:pPr>
      <w:r w:rsidRPr="00DA7619">
        <w:t>Increased level of public and candidates satisfaction with the municipal elections process</w:t>
      </w:r>
    </w:p>
    <w:p w:rsidR="004614BD" w:rsidRPr="00DA7619" w:rsidRDefault="004614BD" w:rsidP="004614BD">
      <w:pPr>
        <w:pStyle w:val="ListParagraph"/>
        <w:numPr>
          <w:ilvl w:val="0"/>
          <w:numId w:val="26"/>
        </w:numPr>
      </w:pPr>
      <w:r w:rsidRPr="00DA7619">
        <w:t>The percentage of trained officials elected to municipal posts</w:t>
      </w:r>
    </w:p>
    <w:p w:rsidR="004614BD" w:rsidRPr="00DA7619" w:rsidRDefault="004614BD" w:rsidP="004614BD">
      <w:pPr>
        <w:pStyle w:val="ListParagraph"/>
        <w:numPr>
          <w:ilvl w:val="0"/>
          <w:numId w:val="26"/>
        </w:numPr>
      </w:pPr>
      <w:r w:rsidRPr="00DA7619">
        <w:t>Increased voter turnout in the next municipal elections by 10%</w:t>
      </w:r>
    </w:p>
    <w:p w:rsidR="004614BD" w:rsidRPr="00DA7619" w:rsidRDefault="004614BD" w:rsidP="004614BD">
      <w:pPr>
        <w:pStyle w:val="ListParagraph"/>
        <w:numPr>
          <w:ilvl w:val="0"/>
          <w:numId w:val="26"/>
        </w:numPr>
      </w:pPr>
      <w:r w:rsidRPr="00DA7619">
        <w:t>Compliance of SFDA rules and regulations with at least one international standard</w:t>
      </w:r>
    </w:p>
    <w:p w:rsidR="004614BD" w:rsidRPr="00DA7619" w:rsidRDefault="004614BD" w:rsidP="004614BD">
      <w:pPr>
        <w:pStyle w:val="ListParagraph"/>
        <w:numPr>
          <w:ilvl w:val="0"/>
          <w:numId w:val="26"/>
        </w:numPr>
      </w:pPr>
      <w:r w:rsidRPr="00DA7619">
        <w:t>Number of evidence-based development programmes adopted at the policy making level in Al-Madinah region</w:t>
      </w:r>
    </w:p>
    <w:p w:rsidR="004614BD" w:rsidRPr="00DA7619" w:rsidRDefault="004614BD" w:rsidP="004614BD">
      <w:pPr>
        <w:pStyle w:val="ListParagraph"/>
        <w:numPr>
          <w:ilvl w:val="0"/>
          <w:numId w:val="26"/>
        </w:numPr>
      </w:pPr>
      <w:r w:rsidRPr="00DA7619">
        <w:t>Number of partnerships between the MUON and CSO and private sector increased</w:t>
      </w:r>
    </w:p>
    <w:p w:rsidR="004614BD" w:rsidRDefault="004614BD" w:rsidP="004614BD">
      <w:pPr>
        <w:pStyle w:val="ListParagraph"/>
        <w:numPr>
          <w:ilvl w:val="0"/>
          <w:numId w:val="26"/>
        </w:numPr>
      </w:pPr>
      <w:r w:rsidRPr="00DA7619">
        <w:t>Decentralized policies developed at the local level</w:t>
      </w:r>
    </w:p>
    <w:p w:rsidR="004614BD" w:rsidRDefault="004614BD" w:rsidP="004614BD">
      <w:r>
        <w:t xml:space="preserve">The baseline condition in the country with respect to public services generally was noted in the CPD:  </w:t>
      </w:r>
      <w:r w:rsidRPr="00DA7619">
        <w:t>Quality service delivery is challenged by population growth and regional development</w:t>
      </w:r>
      <w:r>
        <w:t xml:space="preserve">.  </w:t>
      </w:r>
      <w:r w:rsidRPr="00DA7619">
        <w:t>This Outcome Evaluation provide</w:t>
      </w:r>
      <w:r>
        <w:t>s</w:t>
      </w:r>
      <w:r w:rsidRPr="00DA7619">
        <w:t xml:space="preserve"> an assessment of the contributions UNDP made to the improved public sector </w:t>
      </w:r>
      <w:r w:rsidRPr="00DA7619">
        <w:lastRenderedPageBreak/>
        <w:t>performance outputs under Outcome 3 of the CP,</w:t>
      </w:r>
      <w:r>
        <w:t xml:space="preserve"> and of the effectiveness of the </w:t>
      </w:r>
      <w:r w:rsidRPr="00DA7619">
        <w:t xml:space="preserve">partnership strategy </w:t>
      </w:r>
      <w:r>
        <w:t>adopted.</w:t>
      </w:r>
    </w:p>
    <w:p w:rsidR="004614BD" w:rsidRDefault="004614BD" w:rsidP="004614BD">
      <w:r>
        <w:t>In 2006, a</w:t>
      </w:r>
      <w:r w:rsidRPr="009C4E28">
        <w:t xml:space="preserve">t the time of developing the </w:t>
      </w:r>
      <w:r>
        <w:t xml:space="preserve">2007-11 </w:t>
      </w:r>
      <w:r w:rsidRPr="009C4E28">
        <w:t xml:space="preserve">country programme (CP) with UNDP, Saudi Arabia had a population of 22.7 million, of whom 6.1 million </w:t>
      </w:r>
      <w:r>
        <w:t xml:space="preserve">or 27 percent </w:t>
      </w:r>
      <w:r w:rsidRPr="009C4E28">
        <w:t>were expatriates</w:t>
      </w:r>
      <w:r>
        <w:t xml:space="preserve">.  </w:t>
      </w:r>
      <w:r>
        <w:rPr>
          <w:rFonts w:cs="TimesNewRoman"/>
          <w:lang w:val="en-CA"/>
        </w:rPr>
        <w:t>The economy had</w:t>
      </w:r>
      <w:r w:rsidRPr="009C4E28">
        <w:rPr>
          <w:rFonts w:cs="TimesNewRoman"/>
          <w:lang w:val="en-CA"/>
        </w:rPr>
        <w:t xml:space="preserve"> gradually reduced dependence on oil revenues by diversifying into export industries such as metals, plastics</w:t>
      </w:r>
      <w:r>
        <w:rPr>
          <w:rFonts w:cs="TimesNewRoman"/>
          <w:lang w:val="en-CA"/>
        </w:rPr>
        <w:t xml:space="preserve"> </w:t>
      </w:r>
      <w:r w:rsidRPr="009C4E28">
        <w:rPr>
          <w:rFonts w:cs="TimesNewRoman"/>
          <w:lang w:val="en-CA"/>
        </w:rPr>
        <w:t xml:space="preserve">and chemicals. </w:t>
      </w:r>
      <w:r>
        <w:rPr>
          <w:rFonts w:cs="TimesNewRoman"/>
          <w:lang w:val="en-CA"/>
        </w:rPr>
        <w:t>G</w:t>
      </w:r>
      <w:r w:rsidRPr="009C4E28">
        <w:rPr>
          <w:rFonts w:cs="TimesNewRoman"/>
          <w:lang w:val="en-CA"/>
        </w:rPr>
        <w:t>ross domestic product</w:t>
      </w:r>
      <w:r>
        <w:rPr>
          <w:rFonts w:cs="TimesNewRoman"/>
          <w:lang w:val="en-CA"/>
        </w:rPr>
        <w:t xml:space="preserve"> had steadied and begun rising, and the country had acceded to </w:t>
      </w:r>
      <w:r w:rsidRPr="003A322E">
        <w:t>the</w:t>
      </w:r>
      <w:r>
        <w:t xml:space="preserve"> </w:t>
      </w:r>
      <w:r w:rsidRPr="003A322E">
        <w:t>World Trade Organization (WTO)</w:t>
      </w:r>
      <w:r>
        <w:t xml:space="preserve"> in 2005.</w:t>
      </w:r>
    </w:p>
    <w:p w:rsidR="004614BD" w:rsidRDefault="004614BD" w:rsidP="004614BD">
      <w:r>
        <w:t>T</w:t>
      </w:r>
      <w:r w:rsidRPr="004B7157">
        <w:t>he country had made major achievements</w:t>
      </w:r>
      <w:r>
        <w:t xml:space="preserve"> in social development, reducing</w:t>
      </w:r>
      <w:r w:rsidRPr="003A322E">
        <w:t xml:space="preserve"> extreme poverty </w:t>
      </w:r>
      <w:r>
        <w:t>to</w:t>
      </w:r>
      <w:r w:rsidRPr="003A322E">
        <w:t xml:space="preserve"> 1.6 per cent. The enrolment rate in primary education </w:t>
      </w:r>
      <w:r>
        <w:t>was</w:t>
      </w:r>
      <w:r w:rsidRPr="003A322E">
        <w:t xml:space="preserve"> 94.5 per cent for boys and 93 per cent for girls, and the net enrolment in secondary and tertiary education </w:t>
      </w:r>
      <w:r>
        <w:t>was</w:t>
      </w:r>
      <w:r w:rsidRPr="003A322E">
        <w:t xml:space="preserve"> 65 per cent for both.</w:t>
      </w:r>
      <w:r>
        <w:t xml:space="preserve">  While </w:t>
      </w:r>
      <w:r w:rsidRPr="003A322E">
        <w:t xml:space="preserve">the unemployment rate for females </w:t>
      </w:r>
      <w:r>
        <w:t>remained</w:t>
      </w:r>
      <w:r w:rsidRPr="003A322E">
        <w:t xml:space="preserve"> higher than for males, the gap </w:t>
      </w:r>
      <w:r>
        <w:t xml:space="preserve">seemed to be </w:t>
      </w:r>
      <w:r w:rsidRPr="003A322E">
        <w:t>closing.</w:t>
      </w:r>
    </w:p>
    <w:p w:rsidR="004614BD" w:rsidRDefault="004614BD" w:rsidP="004614BD">
      <w:pPr>
        <w:rPr>
          <w:rFonts w:cs="TimesNewRoman"/>
          <w:lang w:val="en-CA"/>
        </w:rPr>
      </w:pPr>
      <w:r>
        <w:t xml:space="preserve">The CP period marked a time of real growth of the economy, and improving human development outcomes.  By 2011, </w:t>
      </w:r>
      <w:r>
        <w:rPr>
          <w:rFonts w:cs="TimesNewRoman"/>
          <w:lang w:val="en-CA"/>
        </w:rPr>
        <w:t>the population reached 28</w:t>
      </w:r>
      <w:r w:rsidRPr="005F0AAA">
        <w:rPr>
          <w:rFonts w:cs="TimesNewRoman"/>
          <w:lang w:val="en-CA"/>
        </w:rPr>
        <w:t xml:space="preserve">.4 million, </w:t>
      </w:r>
      <w:r>
        <w:rPr>
          <w:rFonts w:cs="TimesNewRoman"/>
          <w:lang w:val="en-CA"/>
        </w:rPr>
        <w:t xml:space="preserve">and real GDP annual growth over the term had averaged 3.6 percent.  Despite the global financial crisis, SA had not gone into recession, and personal incomes were rising in excess of inflation.  Economic diversification played a vital role in keeping the economy in positive territory, as did stimulus spending by the government.  </w:t>
      </w:r>
    </w:p>
    <w:p w:rsidR="004614BD" w:rsidRPr="00DA7619" w:rsidRDefault="004614BD" w:rsidP="004614BD">
      <w:r w:rsidRPr="00DA7619">
        <w:t>The CPAP identified 9 outputs to be delivered by the programme</w:t>
      </w:r>
      <w:r>
        <w:t>:</w:t>
      </w:r>
    </w:p>
    <w:p w:rsidR="004614BD" w:rsidRPr="00DA7619" w:rsidRDefault="004614BD" w:rsidP="004614BD">
      <w:pPr>
        <w:pStyle w:val="ListParagraph"/>
        <w:numPr>
          <w:ilvl w:val="0"/>
          <w:numId w:val="5"/>
        </w:numPr>
        <w:spacing w:before="0" w:after="0"/>
      </w:pPr>
      <w:r w:rsidRPr="00DA7619">
        <w:t xml:space="preserve">Technical assistance provided to </w:t>
      </w:r>
      <w:r>
        <w:t>the Ministry of Transport</w:t>
      </w:r>
      <w:r w:rsidRPr="00DA7619">
        <w:t xml:space="preserve"> for the Implementation of the National Transport Strategy </w:t>
      </w:r>
    </w:p>
    <w:p w:rsidR="004614BD" w:rsidRPr="00DA7619" w:rsidRDefault="004614BD" w:rsidP="004614BD">
      <w:pPr>
        <w:pStyle w:val="ListParagraph"/>
        <w:numPr>
          <w:ilvl w:val="0"/>
          <w:numId w:val="5"/>
        </w:numPr>
        <w:spacing w:before="0" w:after="0"/>
      </w:pPr>
      <w:r w:rsidRPr="00DA7619">
        <w:t xml:space="preserve">Technology and knowledge transfer programmes with focus on e-government developed for </w:t>
      </w:r>
      <w:r>
        <w:t>the Ministry of Foreign Affairs</w:t>
      </w:r>
    </w:p>
    <w:p w:rsidR="004614BD" w:rsidRPr="00DA7619" w:rsidRDefault="004614BD" w:rsidP="004614BD">
      <w:pPr>
        <w:pStyle w:val="ListParagraph"/>
        <w:numPr>
          <w:ilvl w:val="0"/>
          <w:numId w:val="5"/>
        </w:numPr>
        <w:spacing w:before="0" w:after="0"/>
      </w:pPr>
      <w:r w:rsidRPr="00DA7619">
        <w:t xml:space="preserve">Advisory services to the Communications and Information Technology Commission </w:t>
      </w:r>
    </w:p>
    <w:p w:rsidR="004614BD" w:rsidRPr="00DA7619" w:rsidRDefault="004614BD" w:rsidP="004614BD">
      <w:pPr>
        <w:pStyle w:val="ListParagraph"/>
        <w:numPr>
          <w:ilvl w:val="0"/>
          <w:numId w:val="5"/>
        </w:numPr>
        <w:spacing w:before="0" w:after="0"/>
      </w:pPr>
      <w:r w:rsidRPr="00DA7619">
        <w:t xml:space="preserve"> Electoral capacities of municipal mayors, Minist</w:t>
      </w:r>
      <w:r>
        <w:t xml:space="preserve">ry of Municipal and Rural Affairs </w:t>
      </w:r>
      <w:r w:rsidRPr="00DA7619">
        <w:t>officials, and potential candidates enhanced;</w:t>
      </w:r>
    </w:p>
    <w:p w:rsidR="004614BD" w:rsidRPr="00DA7619" w:rsidRDefault="004614BD" w:rsidP="004614BD">
      <w:pPr>
        <w:pStyle w:val="ListParagraph"/>
        <w:numPr>
          <w:ilvl w:val="0"/>
          <w:numId w:val="5"/>
        </w:numPr>
        <w:spacing w:before="0" w:after="0"/>
      </w:pPr>
      <w:r w:rsidRPr="00DA7619">
        <w:t xml:space="preserve">Enhanced technical capacities of </w:t>
      </w:r>
      <w:r>
        <w:t xml:space="preserve">the </w:t>
      </w:r>
      <w:r w:rsidRPr="00DA7619">
        <w:t>Minist</w:t>
      </w:r>
      <w:r>
        <w:t>ry of Municipal and Rural Affairs</w:t>
      </w:r>
      <w:r w:rsidRPr="00DA7619">
        <w:t xml:space="preserve"> to implement regional Urban plans</w:t>
      </w:r>
    </w:p>
    <w:p w:rsidR="004614BD" w:rsidRPr="00DA7619" w:rsidRDefault="004614BD" w:rsidP="004614BD">
      <w:pPr>
        <w:pStyle w:val="ListParagraph"/>
        <w:numPr>
          <w:ilvl w:val="0"/>
          <w:numId w:val="5"/>
        </w:numPr>
        <w:spacing w:before="0" w:after="0"/>
      </w:pPr>
      <w:r w:rsidRPr="00DA7619">
        <w:t>Institutional and human capacities of Al-Madinah Urban Observatory Network developed to formulate evidence-based development programmes.</w:t>
      </w:r>
    </w:p>
    <w:p w:rsidR="004614BD" w:rsidRPr="00DA7619" w:rsidRDefault="004614BD" w:rsidP="004614BD">
      <w:pPr>
        <w:pStyle w:val="ListParagraph"/>
        <w:numPr>
          <w:ilvl w:val="0"/>
          <w:numId w:val="5"/>
        </w:numPr>
        <w:spacing w:before="0" w:after="0"/>
      </w:pPr>
      <w:r w:rsidRPr="00DA7619">
        <w:t>Institutional and human capacities of</w:t>
      </w:r>
      <w:r>
        <w:t xml:space="preserve"> Saudi Food and Drug Authority </w:t>
      </w:r>
      <w:r w:rsidRPr="00DA7619">
        <w:t xml:space="preserve">developed to implement WTO commitments and increase public awareness about SFDA's role. </w:t>
      </w:r>
    </w:p>
    <w:p w:rsidR="004614BD" w:rsidRPr="00DA7619" w:rsidRDefault="004614BD" w:rsidP="004614BD">
      <w:pPr>
        <w:pStyle w:val="ListParagraph"/>
        <w:numPr>
          <w:ilvl w:val="0"/>
          <w:numId w:val="5"/>
        </w:numPr>
        <w:spacing w:before="0" w:after="0"/>
      </w:pPr>
      <w:r>
        <w:t>King Abdulaziz Center for Science and Technology</w:t>
      </w:r>
      <w:r w:rsidRPr="00DA7619">
        <w:t xml:space="preserve"> supported to establish Open Source Software Center to promote open source concept</w:t>
      </w:r>
    </w:p>
    <w:p w:rsidR="004614BD" w:rsidRPr="00DA7619" w:rsidRDefault="004614BD" w:rsidP="004614BD">
      <w:pPr>
        <w:pStyle w:val="ListParagraph"/>
        <w:numPr>
          <w:ilvl w:val="0"/>
          <w:numId w:val="5"/>
        </w:numPr>
        <w:spacing w:before="0" w:after="0"/>
      </w:pPr>
      <w:r w:rsidRPr="00DA7619">
        <w:t>Public institutions more responsive to clients’ demand for quality and efficient services in terms of costs and timeliness</w:t>
      </w:r>
    </w:p>
    <w:p w:rsidR="004614BD" w:rsidRDefault="004614BD" w:rsidP="004614BD">
      <w:r>
        <w:rPr>
          <w:rFonts w:cs="TimesNewRoman"/>
          <w:lang w:val="en-CA"/>
        </w:rPr>
        <w:t xml:space="preserve">There is not a one-to-one correspondence between the indicators listed earlier and the interventions supporting Outcome 3.  </w:t>
      </w:r>
      <w:r w:rsidRPr="00DA7619">
        <w:t xml:space="preserve">The </w:t>
      </w:r>
      <w:r>
        <w:t>evaluation</w:t>
      </w:r>
      <w:r w:rsidRPr="00DA7619">
        <w:t xml:space="preserve"> touches on each of the nine outputs under the CPD, and integrates indicators of progress towards the outcome.  </w:t>
      </w:r>
      <w:r>
        <w:t>R</w:t>
      </w:r>
      <w:r w:rsidRPr="00DA7619">
        <w:t>esults should be understood as the product of the efforts of public sector staff and management, and its various clients including enterprises, the general public, and development partners</w:t>
      </w:r>
      <w:r>
        <w:t xml:space="preserve"> – supported by the UNDP interventions.</w:t>
      </w:r>
    </w:p>
    <w:p w:rsidR="004614BD" w:rsidRDefault="004614BD" w:rsidP="004614BD">
      <w:r>
        <w:t xml:space="preserve">The evaluation finds that </w:t>
      </w:r>
      <w:r w:rsidRPr="00DA7619">
        <w:t xml:space="preserve">the </w:t>
      </w:r>
      <w:r>
        <w:t>partnership in this period</w:t>
      </w:r>
      <w:r w:rsidRPr="00DA7619">
        <w:t xml:space="preserve"> laid some of the bases for the evolution to a higher stage of the knowledge economy that would be the objective of the subsequent CPD, for the </w:t>
      </w:r>
      <w:r w:rsidRPr="00DA7619">
        <w:lastRenderedPageBreak/>
        <w:t>2012-17 years.</w:t>
      </w:r>
      <w:r>
        <w:t xml:space="preserve">  </w:t>
      </w:r>
      <w:r w:rsidRPr="00DA7619">
        <w:t>The CP provided support as advisory services, including facilitating the engagement of national and international consultants and access to the knowledge base available from a range of UN specialized agencies and rosters.</w:t>
      </w:r>
    </w:p>
    <w:p w:rsidR="004614BD" w:rsidRDefault="004614BD" w:rsidP="004614BD">
      <w:r>
        <w:t xml:space="preserve">Continuing earlier partnerships through a </w:t>
      </w:r>
      <w:r w:rsidRPr="00DA7619">
        <w:t xml:space="preserve">five-year programme, </w:t>
      </w:r>
      <w:r>
        <w:t xml:space="preserve">interventions </w:t>
      </w:r>
      <w:r w:rsidRPr="00DA7619">
        <w:t xml:space="preserve">focused on continued and expanded implementation of </w:t>
      </w:r>
      <w:r>
        <w:t>the National Transportation Strategy</w:t>
      </w:r>
      <w:r w:rsidRPr="00DA7619">
        <w:t xml:space="preserve"> and strengthening the administrative capacities of the</w:t>
      </w:r>
      <w:r>
        <w:t xml:space="preserve"> Ministry of Transport (MOT), and </w:t>
      </w:r>
      <w:r w:rsidRPr="00DA7619">
        <w:t xml:space="preserve">in the formulation of policy options and specific plans for the development of the transport sector.  </w:t>
      </w:r>
      <w:r>
        <w:t xml:space="preserve">Responsible for vital networks of land, sea and air transport, the ministry developed </w:t>
      </w:r>
      <w:r w:rsidRPr="00DA7619">
        <w:t>a comprehensive</w:t>
      </w:r>
      <w:r>
        <w:t xml:space="preserve"> </w:t>
      </w:r>
      <w:r w:rsidRPr="00DA7619">
        <w:t xml:space="preserve">operations and maintenance capability for each mode and for inter-modal integration, as well as an adequate regulatory system requiring the active involvement and cooperation of a large number of agencies and bureaus.  </w:t>
      </w:r>
      <w:r>
        <w:t>SA is today able to focus on f</w:t>
      </w:r>
      <w:r w:rsidRPr="00DA7619">
        <w:t xml:space="preserve">urther development of </w:t>
      </w:r>
      <w:r>
        <w:t>“</w:t>
      </w:r>
      <w:r w:rsidRPr="00DA7619">
        <w:t>smart</w:t>
      </w:r>
      <w:r>
        <w:t>”</w:t>
      </w:r>
      <w:r w:rsidRPr="00DA7619">
        <w:t xml:space="preserve"> transport systems, that can supervise urban vehicle circulation, promoting smooth flows of vehicles and passengers.</w:t>
      </w:r>
    </w:p>
    <w:p w:rsidR="004614BD" w:rsidRDefault="004614BD" w:rsidP="004614BD">
      <w:pPr>
        <w:rPr>
          <w:lang w:eastAsia="en-CA"/>
        </w:rPr>
      </w:pPr>
      <w:r w:rsidRPr="00DA7619">
        <w:t>Looking specifically at government services, UNDP supported the Ministry of Foreign Affairs (MOFA)</w:t>
      </w:r>
      <w:r>
        <w:t xml:space="preserve"> in </w:t>
      </w:r>
      <w:r w:rsidRPr="00DA7619">
        <w:t>developing an information technology (IT) component that would create greater sustainability</w:t>
      </w:r>
      <w:r>
        <w:t>.</w:t>
      </w:r>
      <w:r w:rsidRPr="00DA7619">
        <w:t xml:space="preserve"> The project provided technical assistance for installing competitive ICT to increase </w:t>
      </w:r>
      <w:r w:rsidRPr="00DA7619">
        <w:rPr>
          <w:spacing w:val="-3"/>
        </w:rPr>
        <w:t xml:space="preserve">work productivity and efficiency, </w:t>
      </w:r>
      <w:r w:rsidRPr="00DA7619">
        <w:t>to update and standardize the ICT infrastructure in MOFA, and to increase the diffusion and utilization of ICT in its offices at home and abroad.   It introduced the concept of “Anywhere anytime” e-Services, e-Transactions, e-Communications and e-Information, for s</w:t>
      </w:r>
      <w:r w:rsidRPr="00DA7619">
        <w:rPr>
          <w:rFonts w:eastAsia="Calibri" w:cs="Times New Roman"/>
        </w:rPr>
        <w:t>ervices</w:t>
      </w:r>
      <w:r w:rsidRPr="00DA7619">
        <w:t xml:space="preserve"> such as access to government </w:t>
      </w:r>
      <w:r w:rsidRPr="00DA7619">
        <w:rPr>
          <w:rFonts w:eastAsia="Calibri" w:cs="Times New Roman"/>
        </w:rPr>
        <w:t>information</w:t>
      </w:r>
      <w:r>
        <w:rPr>
          <w:rFonts w:eastAsia="Calibri" w:cs="Times New Roman"/>
        </w:rPr>
        <w:t xml:space="preserve"> and visas.  </w:t>
      </w:r>
      <w:r w:rsidRPr="00DA7619">
        <w:t xml:space="preserve">By </w:t>
      </w:r>
      <w:r>
        <w:t>2011</w:t>
      </w:r>
      <w:r w:rsidRPr="00DA7619">
        <w:t>, SA ranked</w:t>
      </w:r>
      <w:r w:rsidRPr="00DA7619">
        <w:rPr>
          <w:lang w:eastAsia="en-CA"/>
        </w:rPr>
        <w:t xml:space="preserve"> 41 out of 193 countries in using e-government, according to the United Nation</w:t>
      </w:r>
      <w:r>
        <w:rPr>
          <w:lang w:eastAsia="en-CA"/>
        </w:rPr>
        <w:t>s</w:t>
      </w:r>
      <w:r w:rsidRPr="00DA7619">
        <w:rPr>
          <w:lang w:eastAsia="en-CA"/>
        </w:rPr>
        <w:t xml:space="preserve"> e-Government Survey</w:t>
      </w:r>
      <w:r>
        <w:rPr>
          <w:lang w:eastAsia="en-CA"/>
        </w:rPr>
        <w:t>.</w:t>
      </w:r>
    </w:p>
    <w:p w:rsidR="004614BD" w:rsidRPr="00DA7619" w:rsidRDefault="004614BD" w:rsidP="004614BD">
      <w:r w:rsidRPr="00DA7619">
        <w:t>The Communications and Information Technology Commission (CITC) is responsible for a range of tasks related to IT, including regulating radio frequencies and the Internet.</w:t>
      </w:r>
      <w:r>
        <w:t xml:space="preserve">  </w:t>
      </w:r>
      <w:r w:rsidRPr="00DA7619">
        <w:rPr>
          <w:rFonts w:eastAsia="Times New Roman" w:cs="Times New Roman"/>
          <w:lang w:eastAsia="en-CA"/>
        </w:rPr>
        <w:t>The advisory services under this output were assisted by t</w:t>
      </w:r>
      <w:r w:rsidRPr="00DA7619">
        <w:t xml:space="preserve">he International Telecommunication Union (ITU), which acted as executing agency.  </w:t>
      </w:r>
      <w:r>
        <w:t>Given</w:t>
      </w:r>
      <w:r w:rsidRPr="00DA7619">
        <w:t xml:space="preserve"> that the radio frequency spectrum is a scarce natural resource, has large economic value and is crucial for modern telecommunication services, enhancing the efficiency and effectiveness for engineering, management and monitoring of this resource is vital for government.</w:t>
      </w:r>
      <w:r>
        <w:t xml:space="preserve">  </w:t>
      </w:r>
      <w:r w:rsidRPr="00DA7619">
        <w:t>Further, as part of global trends and its own commitment to economic liberalization, government decided in the course of the programme to allow wider competition and attract private investment for the provision of telecommunication services in the country.</w:t>
      </w:r>
    </w:p>
    <w:p w:rsidR="004614BD" w:rsidRDefault="004614BD" w:rsidP="004614BD">
      <w:r>
        <w:rPr>
          <w:lang w:val="en-CA" w:eastAsia="en-CA"/>
        </w:rPr>
        <w:t xml:space="preserve">UNDP and the United Nations Electoral Assistance Division of the Department of Political Affairs (EAD/DPA) </w:t>
      </w:r>
      <w:r>
        <w:rPr>
          <w:lang w:eastAsia="en-CA"/>
        </w:rPr>
        <w:t>provided</w:t>
      </w:r>
      <w:r w:rsidRPr="00DA7619">
        <w:rPr>
          <w:lang w:eastAsia="en-CA"/>
        </w:rPr>
        <w:t xml:space="preserve"> technical support to the Ministry of Municipal and Rural Affairs </w:t>
      </w:r>
      <w:r>
        <w:rPr>
          <w:lang w:eastAsia="en-CA"/>
        </w:rPr>
        <w:t>(MOMRA) to organize</w:t>
      </w:r>
      <w:r w:rsidRPr="00DA7619">
        <w:rPr>
          <w:lang w:eastAsia="en-CA"/>
        </w:rPr>
        <w:t xml:space="preserve"> municipal elections. </w:t>
      </w:r>
      <w:r>
        <w:rPr>
          <w:lang w:eastAsia="en-CA"/>
        </w:rPr>
        <w:t xml:space="preserve"> UN-EAD consulting support allowed the ministry to take advantage of the Division’s </w:t>
      </w:r>
      <w:r>
        <w:t>knowledge</w:t>
      </w:r>
      <w:r w:rsidRPr="00DA7619">
        <w:t xml:space="preserve"> of legal frameworks</w:t>
      </w:r>
      <w:r>
        <w:t xml:space="preserve"> and</w:t>
      </w:r>
      <w:r w:rsidRPr="00DA7619">
        <w:t xml:space="preserve"> global best practices</w:t>
      </w:r>
      <w:r>
        <w:t>.  Ministry officials noted that, following a satisfactory turnout to limited municipal elections in 2005, one of the goals of the Ministry (and one of the Outcome 3 indicators) was:  “I</w:t>
      </w:r>
      <w:r w:rsidRPr="00FD11AB">
        <w:t xml:space="preserve">ncreased voter turnout in the </w:t>
      </w:r>
      <w:r>
        <w:t>next municipal elections by 10%”.  However, officials acknowledged, voter turnout actually declined in 2011.  Because little authority was perceived to be exercised by elected officials, voters displayed little appetite for renewed participation.  By increasing the relevance of municipal councils, and with hopes that women will be accorded the right to vote in the scheduled 2015 round, officials expected that their participation together with recent discussion of rights and governance will ignite renewed interest and a higher turnout.</w:t>
      </w:r>
    </w:p>
    <w:p w:rsidR="004614BD" w:rsidRDefault="004614BD" w:rsidP="004614BD">
      <w:pPr>
        <w:spacing w:before="60" w:after="60"/>
        <w:rPr>
          <w:rFonts w:eastAsia="Times New Roman" w:cs="Times New Roman"/>
          <w:lang w:eastAsia="en-CA"/>
        </w:rPr>
      </w:pPr>
      <w:r w:rsidRPr="00422F41">
        <w:rPr>
          <w:rFonts w:eastAsia="Times New Roman" w:cs="Times New Roman"/>
          <w:szCs w:val="24"/>
          <w:lang w:eastAsia="en-CA"/>
        </w:rPr>
        <w:lastRenderedPageBreak/>
        <w:t xml:space="preserve">UNDP’s support has contributed to the development of Al-Madinah Urban Observatory Network (MOUN) since its inception until its firm establishment currently as a leading facility for urban development planning.  </w:t>
      </w:r>
      <w:r w:rsidRPr="00422F41">
        <w:rPr>
          <w:rFonts w:eastAsia="Times New Roman" w:cs="Times New Roman"/>
          <w:lang w:eastAsia="en-CA"/>
        </w:rPr>
        <w:t xml:space="preserve">UNDP facilitated cooperation with UN-HABITAT, the world leader in developing the concept of urban observatories and source of the core set of key urban indicators.  </w:t>
      </w:r>
      <w:r w:rsidRPr="00DA7619">
        <w:rPr>
          <w:lang w:eastAsia="en-CA"/>
        </w:rPr>
        <w:t xml:space="preserve">The project </w:t>
      </w:r>
      <w:r>
        <w:rPr>
          <w:lang w:eastAsia="en-CA"/>
        </w:rPr>
        <w:t>today, with UNDP support,</w:t>
      </w:r>
      <w:r w:rsidRPr="00DA7619">
        <w:rPr>
          <w:lang w:eastAsia="en-CA"/>
        </w:rPr>
        <w:t xml:space="preserve"> </w:t>
      </w:r>
      <w:r>
        <w:rPr>
          <w:lang w:eastAsia="en-CA"/>
        </w:rPr>
        <w:t xml:space="preserve">has </w:t>
      </w:r>
      <w:r w:rsidRPr="00DA7619">
        <w:rPr>
          <w:lang w:eastAsia="en-CA"/>
        </w:rPr>
        <w:t xml:space="preserve">gone beyond the core indicators minimum dataset, and expanded its capacity to report on urban shelter and human development concerns.  </w:t>
      </w:r>
      <w:r>
        <w:rPr>
          <w:lang w:eastAsia="en-CA"/>
        </w:rPr>
        <w:t xml:space="preserve">It has trained </w:t>
      </w:r>
      <w:r w:rsidRPr="00422F41">
        <w:rPr>
          <w:rFonts w:eastAsia="Times New Roman" w:cs="Times New Roman"/>
          <w:lang w:eastAsia="en-CA"/>
        </w:rPr>
        <w:t xml:space="preserve">prepare an indigenous cadre of </w:t>
      </w:r>
      <w:r>
        <w:rPr>
          <w:rFonts w:eastAsia="Times New Roman" w:cs="Times New Roman"/>
          <w:lang w:eastAsia="en-CA"/>
        </w:rPr>
        <w:t xml:space="preserve">senior-level trainers, and more than </w:t>
      </w:r>
      <w:r w:rsidRPr="00422F41">
        <w:rPr>
          <w:rFonts w:eastAsia="Times New Roman" w:cs="Times New Roman"/>
          <w:lang w:eastAsia="en-CA"/>
        </w:rPr>
        <w:t>200 personnel on technical issues related to monitoring and the use of indicators in development and urban planning.</w:t>
      </w:r>
    </w:p>
    <w:p w:rsidR="004614BD" w:rsidRDefault="004614BD" w:rsidP="004614BD">
      <w:pPr>
        <w:spacing w:before="60" w:after="60"/>
        <w:rPr>
          <w:rFonts w:eastAsia="Times New Roman" w:cs="Times New Roman"/>
          <w:lang w:val="en-CA" w:eastAsia="en-CA"/>
        </w:rPr>
      </w:pPr>
      <w:r>
        <w:rPr>
          <w:rFonts w:eastAsia="Times New Roman" w:cs="Times New Roman"/>
          <w:lang w:eastAsia="en-CA"/>
        </w:rPr>
        <w:t xml:space="preserve">An ongoing programme with </w:t>
      </w:r>
      <w:r>
        <w:t xml:space="preserve">the Ministry of Municipality and Rural Affairs (MOMRA) in the implementation of the regional plans </w:t>
      </w:r>
      <w:r w:rsidRPr="00F7224D">
        <w:t>has supported d</w:t>
      </w:r>
      <w:r w:rsidRPr="00F7224D">
        <w:rPr>
          <w:rFonts w:eastAsia="Times New Roman" w:cs="Times New Roman"/>
          <w:lang w:val="en-CA" w:eastAsia="en-CA"/>
        </w:rPr>
        <w:t>etailed</w:t>
      </w:r>
      <w:r>
        <w:rPr>
          <w:rFonts w:eastAsia="Times New Roman" w:cs="Times New Roman"/>
          <w:lang w:val="en-CA" w:eastAsia="en-CA"/>
        </w:rPr>
        <w:t xml:space="preserve"> strategies</w:t>
      </w:r>
      <w:r w:rsidRPr="00F7224D">
        <w:rPr>
          <w:rFonts w:eastAsia="Times New Roman" w:cs="Times New Roman"/>
          <w:lang w:val="en-CA" w:eastAsia="en-CA"/>
        </w:rPr>
        <w:t xml:space="preserve"> for selected regions in line with the long-term goals of the National Development Plan </w:t>
      </w:r>
      <w:r>
        <w:rPr>
          <w:rFonts w:eastAsia="Times New Roman" w:cs="Times New Roman"/>
          <w:lang w:val="en-CA" w:eastAsia="en-CA"/>
        </w:rPr>
        <w:t xml:space="preserve">and </w:t>
      </w:r>
      <w:r w:rsidRPr="00F7224D">
        <w:rPr>
          <w:rFonts w:eastAsia="Times New Roman" w:cs="Times New Roman"/>
          <w:lang w:val="en-CA" w:eastAsia="en-CA"/>
        </w:rPr>
        <w:t>the National Spatial Strategy.</w:t>
      </w:r>
      <w:r>
        <w:rPr>
          <w:rFonts w:eastAsia="Times New Roman" w:cs="Times New Roman"/>
          <w:lang w:val="en-CA" w:eastAsia="en-CA"/>
        </w:rPr>
        <w:t xml:space="preserve">  MOMRA has also produced a dedicated study </w:t>
      </w:r>
      <w:r w:rsidRPr="00E03B3F">
        <w:rPr>
          <w:rFonts w:eastAsia="Times New Roman" w:cs="Times New Roman"/>
          <w:szCs w:val="24"/>
          <w:lang w:val="en-CA" w:eastAsia="en-CA"/>
        </w:rPr>
        <w:t xml:space="preserve">on policies pertaining to balanced </w:t>
      </w:r>
      <w:r>
        <w:rPr>
          <w:rFonts w:eastAsia="Times New Roman" w:cs="Times New Roman"/>
          <w:szCs w:val="24"/>
          <w:lang w:val="en-CA" w:eastAsia="en-CA"/>
        </w:rPr>
        <w:t>regional</w:t>
      </w:r>
      <w:r w:rsidRPr="00E03B3F">
        <w:rPr>
          <w:rFonts w:eastAsia="Times New Roman" w:cs="Times New Roman"/>
          <w:szCs w:val="24"/>
          <w:lang w:val="en-CA" w:eastAsia="en-CA"/>
        </w:rPr>
        <w:t xml:space="preserve"> growth</w:t>
      </w:r>
      <w:r>
        <w:rPr>
          <w:rFonts w:eastAsia="Times New Roman" w:cs="Times New Roman"/>
          <w:szCs w:val="24"/>
          <w:lang w:val="en-CA" w:eastAsia="en-CA"/>
        </w:rPr>
        <w:t xml:space="preserve">, and helped upgrade </w:t>
      </w:r>
      <w:r w:rsidRPr="00FA7678">
        <w:rPr>
          <w:rFonts w:eastAsia="Times New Roman" w:cs="Times New Roman"/>
          <w:lang w:val="en-CA" w:eastAsia="en-CA"/>
        </w:rPr>
        <w:t xml:space="preserve">the urban and </w:t>
      </w:r>
      <w:r w:rsidRPr="00E03B3F">
        <w:rPr>
          <w:rFonts w:eastAsia="Times New Roman" w:cs="Times New Roman"/>
          <w:lang w:val="en-CA" w:eastAsia="en-CA"/>
        </w:rPr>
        <w:t>regional database</w:t>
      </w:r>
      <w:r w:rsidRPr="00FA7678">
        <w:rPr>
          <w:rFonts w:eastAsia="Times New Roman" w:cs="Times New Roman"/>
          <w:lang w:val="en-CA" w:eastAsia="en-CA"/>
        </w:rPr>
        <w:t xml:space="preserve"> </w:t>
      </w:r>
      <w:r>
        <w:rPr>
          <w:rFonts w:eastAsia="Times New Roman" w:cs="Times New Roman"/>
          <w:lang w:val="en-CA" w:eastAsia="en-CA"/>
        </w:rPr>
        <w:t>and</w:t>
      </w:r>
      <w:r w:rsidRPr="00FA7678">
        <w:rPr>
          <w:rFonts w:eastAsia="Times New Roman" w:cs="Times New Roman"/>
          <w:lang w:val="en-CA" w:eastAsia="en-CA"/>
        </w:rPr>
        <w:t xml:space="preserve"> the substantive </w:t>
      </w:r>
      <w:r w:rsidRPr="00E03B3F">
        <w:rPr>
          <w:rFonts w:eastAsia="Times New Roman" w:cs="Times New Roman"/>
          <w:lang w:val="en-CA" w:eastAsia="en-CA"/>
        </w:rPr>
        <w:t xml:space="preserve">skills </w:t>
      </w:r>
      <w:r w:rsidRPr="00FA7678">
        <w:rPr>
          <w:rFonts w:eastAsia="Times New Roman" w:cs="Times New Roman"/>
          <w:lang w:val="en-CA" w:eastAsia="en-CA"/>
        </w:rPr>
        <w:t>of staff. Overall, the project has contributed to the evolution of an</w:t>
      </w:r>
      <w:r w:rsidRPr="00E03B3F">
        <w:rPr>
          <w:rFonts w:eastAsia="Times New Roman" w:cs="Times New Roman"/>
          <w:lang w:val="en-CA" w:eastAsia="en-CA"/>
        </w:rPr>
        <w:t xml:space="preserve"> efficient and accountable public sector and stronger local communities and institution</w:t>
      </w:r>
      <w:r w:rsidRPr="00FA7678">
        <w:rPr>
          <w:rFonts w:eastAsia="Times New Roman" w:cs="Times New Roman"/>
          <w:lang w:val="en-CA" w:eastAsia="en-CA"/>
        </w:rPr>
        <w:t>s</w:t>
      </w:r>
      <w:r w:rsidRPr="00E03B3F">
        <w:rPr>
          <w:rFonts w:eastAsia="Times New Roman" w:cs="Times New Roman"/>
          <w:lang w:val="en-CA" w:eastAsia="en-CA"/>
        </w:rPr>
        <w:t>.</w:t>
      </w:r>
    </w:p>
    <w:p w:rsidR="004614BD" w:rsidRPr="00A657C6" w:rsidRDefault="004614BD" w:rsidP="004614BD">
      <w:pPr>
        <w:rPr>
          <w:rFonts w:eastAsia="Times New Roman" w:cs="Times New Roman"/>
          <w:lang w:val="en-CA" w:eastAsia="en-CA"/>
        </w:rPr>
      </w:pPr>
      <w:r>
        <w:t xml:space="preserve">At the beginning of the CP, the newly established Saudi Food and Drug Authority (SFDA) had been given responsibility for all procedural, executive and control functions of the pre-existing government food and drug organizations, becoming the sole central regulator.  Under the weight of this complex mandate, and in light of UNDP’s track record in identifying specialized technical support, SFDA requested assistance in the start-up of the Authority.  Over a series of partnerships, the </w:t>
      </w:r>
      <w:r w:rsidRPr="00A657C6">
        <w:t xml:space="preserve"> </w:t>
      </w:r>
      <w:r>
        <w:t xml:space="preserve">level of </w:t>
      </w:r>
      <w:r w:rsidRPr="00A657C6">
        <w:t xml:space="preserve">quality and autonomy </w:t>
      </w:r>
      <w:r>
        <w:t xml:space="preserve">achieved by </w:t>
      </w:r>
      <w:r w:rsidRPr="00A657C6">
        <w:t xml:space="preserve">SFDA has helped assure the </w:t>
      </w:r>
      <w:r w:rsidRPr="00A657C6">
        <w:rPr>
          <w:rFonts w:eastAsia="Times New Roman" w:cs="Times New Roman"/>
          <w:lang w:val="en-CA" w:eastAsia="en-CA"/>
        </w:rPr>
        <w:t>safe and secure quality of food and drugs</w:t>
      </w:r>
      <w:r>
        <w:rPr>
          <w:rFonts w:eastAsia="Times New Roman" w:cs="Times New Roman"/>
          <w:lang w:val="en-CA" w:eastAsia="en-CA"/>
        </w:rPr>
        <w:t xml:space="preserve"> </w:t>
      </w:r>
      <w:r w:rsidRPr="00A657C6">
        <w:rPr>
          <w:rFonts w:eastAsia="Times New Roman" w:cs="Times New Roman"/>
          <w:lang w:val="en-CA" w:eastAsia="en-CA"/>
        </w:rPr>
        <w:t xml:space="preserve">– factors that in the long run will help improve productivity, per capita incomes, and better </w:t>
      </w:r>
      <w:r>
        <w:rPr>
          <w:rFonts w:eastAsia="Times New Roman" w:cs="Times New Roman"/>
          <w:lang w:val="en-CA" w:eastAsia="en-CA"/>
        </w:rPr>
        <w:t>quality of life</w:t>
      </w:r>
      <w:r w:rsidRPr="00A657C6">
        <w:rPr>
          <w:rFonts w:eastAsia="Times New Roman" w:cs="Times New Roman"/>
          <w:lang w:val="en-CA" w:eastAsia="en-CA"/>
        </w:rPr>
        <w:t>.</w:t>
      </w:r>
    </w:p>
    <w:p w:rsidR="004614BD" w:rsidRPr="00DA7619" w:rsidRDefault="004614BD" w:rsidP="004614BD">
      <w:r>
        <w:t xml:space="preserve">King Abdul Aziz City for Science and Technology (KACST) is working towards establishing a national OSS centre that will act as a single point of reference focusing on coordinating and facilitating development and implementation of OSS for the public sector in SA.  As it expands, the KACST project will play a role in SA’s model of software adoption, which is one of the fastest advances in the region as computer connectivity becomes universal.  Project leaders hope to foster a critical mass of users and draw clients </w:t>
      </w:r>
      <w:r w:rsidRPr="00DA7619">
        <w:t>in the private sector</w:t>
      </w:r>
      <w:r>
        <w:t xml:space="preserve">, who will become the drivers of further take-up of OSS.  The concept may prove to be a win-win experience for job seekers and skills buyers in the burgeoning Saudi market which, staff explained, </w:t>
      </w:r>
      <w:r w:rsidRPr="00DA7619">
        <w:t>lacks technical people in many software areas</w:t>
      </w:r>
      <w:r>
        <w:t>.</w:t>
      </w:r>
    </w:p>
    <w:p w:rsidR="004614BD" w:rsidRPr="00DA7619" w:rsidRDefault="004614BD" w:rsidP="004614BD">
      <w:r w:rsidRPr="00DA7619">
        <w:t>Indicators of the increased responsiveness of public institutions, and of improved publi</w:t>
      </w:r>
      <w:r>
        <w:t>c sector performance as a whole include</w:t>
      </w:r>
      <w:r w:rsidRPr="00DA7619">
        <w:t xml:space="preserve"> </w:t>
      </w:r>
      <w:r>
        <w:t>t</w:t>
      </w:r>
      <w:r w:rsidRPr="00DA7619">
        <w:t xml:space="preserve">he excellent ranking achieved by KSA in a number of global performance indicators, such as the </w:t>
      </w:r>
      <w:r w:rsidRPr="00DA7619">
        <w:rPr>
          <w:lang w:eastAsia="en-CA"/>
        </w:rPr>
        <w:t>United Nation</w:t>
      </w:r>
      <w:r>
        <w:rPr>
          <w:lang w:eastAsia="en-CA"/>
        </w:rPr>
        <w:t>s</w:t>
      </w:r>
      <w:r w:rsidRPr="00DA7619">
        <w:rPr>
          <w:lang w:eastAsia="en-CA"/>
        </w:rPr>
        <w:t xml:space="preserve"> e-Government Survey</w:t>
      </w:r>
      <w:r w:rsidRPr="00DA7619">
        <w:t xml:space="preserve">, the </w:t>
      </w:r>
      <w:r w:rsidRPr="00DA7619">
        <w:rPr>
          <w:lang w:eastAsia="en-CA"/>
        </w:rPr>
        <w:t>Network Readiness Index</w:t>
      </w:r>
      <w:r w:rsidRPr="00DA7619">
        <w:t>, and the Doing Business Report</w:t>
      </w:r>
      <w:r>
        <w:t xml:space="preserve">.  Others are the </w:t>
      </w:r>
      <w:r w:rsidRPr="00DA7619">
        <w:t xml:space="preserve">record numbers of public e-transactions, by MOFA, testifying to </w:t>
      </w:r>
      <w:r>
        <w:t>an improved capability to provide customer satisfaction.  One area where targets have not yet been achieved, increased voter turnout in municipal elections, paired with the target for “an i</w:t>
      </w:r>
      <w:r w:rsidRPr="00FD11AB">
        <w:t xml:space="preserve">ncreased level of satisfaction </w:t>
      </w:r>
      <w:r>
        <w:t xml:space="preserve">on the part of the </w:t>
      </w:r>
      <w:r w:rsidRPr="00FD11AB">
        <w:t xml:space="preserve">public and </w:t>
      </w:r>
      <w:r>
        <w:t xml:space="preserve">of </w:t>
      </w:r>
      <w:r w:rsidRPr="00FD11AB">
        <w:t xml:space="preserve">candidates with </w:t>
      </w:r>
      <w:r>
        <w:t xml:space="preserve">the municipal elections process” remains a goal for the next period.  </w:t>
      </w:r>
    </w:p>
    <w:p w:rsidR="004614BD" w:rsidRPr="00D81AE5" w:rsidRDefault="004614BD" w:rsidP="004614BD">
      <w:pPr>
        <w:spacing w:before="60" w:after="60"/>
        <w:rPr>
          <w:b/>
          <w:sz w:val="24"/>
        </w:rPr>
      </w:pPr>
      <w:r w:rsidRPr="00D81AE5">
        <w:rPr>
          <w:b/>
          <w:sz w:val="24"/>
        </w:rPr>
        <w:t>Factors affecting the Outcome</w:t>
      </w:r>
    </w:p>
    <w:p w:rsidR="004614BD" w:rsidRPr="00DA7619" w:rsidRDefault="004614BD" w:rsidP="004614BD">
      <w:pPr>
        <w:spacing w:before="60" w:after="60"/>
      </w:pPr>
      <w:r>
        <w:t>The CP was carried out in a period in which SA was</w:t>
      </w:r>
      <w:r w:rsidRPr="00DA7619">
        <w:t xml:space="preserve"> experiencing rapid population growth</w:t>
      </w:r>
      <w:r>
        <w:t xml:space="preserve"> as well as economic growth</w:t>
      </w:r>
      <w:r w:rsidRPr="00DA7619">
        <w:t xml:space="preserve">, and a need for continued but measured regional development.  </w:t>
      </w:r>
      <w:r>
        <w:t xml:space="preserve">With </w:t>
      </w:r>
      <w:r w:rsidRPr="00DA7619">
        <w:t xml:space="preserve">improving </w:t>
      </w:r>
      <w:r w:rsidRPr="00DA7619">
        <w:lastRenderedPageBreak/>
        <w:t>human development outcomes</w:t>
      </w:r>
      <w:r>
        <w:t>, better work/life quality measures are expected by the population</w:t>
      </w:r>
      <w:r w:rsidRPr="00DA7619">
        <w:t>.</w:t>
      </w:r>
      <w:r>
        <w:t xml:space="preserve">  Many are concerned that SA suffers </w:t>
      </w:r>
      <w:r w:rsidRPr="00DA7619">
        <w:t xml:space="preserve">persistent problems of a mismatch between jobs and skills in the domestic labour market, resulting in continuing reliance on expatriate personnel in several segments.  </w:t>
      </w:r>
    </w:p>
    <w:p w:rsidR="004614BD" w:rsidRDefault="004614BD" w:rsidP="004614BD">
      <w:pPr>
        <w:rPr>
          <w:rFonts w:cs="TimesNewRoman"/>
        </w:rPr>
      </w:pPr>
      <w:r w:rsidRPr="00DA7619">
        <w:t>Dual demands on the KSA government are (1) the need to make government more responsive to the needs of the population and the economy, and (2) the need to provide learning opportunities that will attract Saudi youth to prepare themselves for the rapidly evolving, performance-oriented public and private sectors.</w:t>
      </w:r>
      <w:r>
        <w:t xml:space="preserve">  These demands resulted in a growing appetite for capacity development by </w:t>
      </w:r>
      <w:r w:rsidRPr="00DA7619">
        <w:t xml:space="preserve">government ministries and agencies seeking </w:t>
      </w:r>
      <w:r w:rsidRPr="00DA7619">
        <w:rPr>
          <w:rFonts w:cs="TimesNewRoman"/>
        </w:rPr>
        <w:t>to explore new sectors (partnering with</w:t>
      </w:r>
      <w:r w:rsidRPr="00DA7619">
        <w:t xml:space="preserve"> both </w:t>
      </w:r>
      <w:r w:rsidRPr="00DA7619">
        <w:rPr>
          <w:rFonts w:cs="TimesNewRoman"/>
        </w:rPr>
        <w:t xml:space="preserve">domestic and foreign investors), such as the knowledge and information technology sectors.  </w:t>
      </w:r>
    </w:p>
    <w:p w:rsidR="004614BD" w:rsidRPr="00D13B50" w:rsidRDefault="004614BD" w:rsidP="004614BD">
      <w:pPr>
        <w:rPr>
          <w:b/>
          <w:sz w:val="24"/>
        </w:rPr>
      </w:pPr>
      <w:r w:rsidRPr="00D13B50">
        <w:rPr>
          <w:b/>
          <w:sz w:val="24"/>
        </w:rPr>
        <w:t>Partnership strategy</w:t>
      </w:r>
    </w:p>
    <w:p w:rsidR="004614BD" w:rsidRDefault="004614BD" w:rsidP="004614BD">
      <w:r>
        <w:t xml:space="preserve">The partnership strategy in a net contributing country is fairly straightforward.  In the NCC context, the government is the donor partner on the financing side.  SA projects are funded using the national implementation modality, with the partner ministry assuming administrative control, as Executing Agency in conjunction with the UNDP CO.  As the narrative review has repeatedly observed, the SA partners expressed sincere appreciation for the effective skills, networks and management model that UNDP SA has contributed to the government’s successes in working for the objectives of its strategic development plans.  </w:t>
      </w:r>
      <w:r w:rsidRPr="00DA7619">
        <w:t xml:space="preserve">It is clear from discussions with all projects and programmes that SA </w:t>
      </w:r>
      <w:r>
        <w:t xml:space="preserve">as a partner </w:t>
      </w:r>
      <w:r w:rsidRPr="00DA7619">
        <w:t xml:space="preserve">greatly appreciates several roles specific to UNDP and the UN as a whole.  </w:t>
      </w:r>
    </w:p>
    <w:p w:rsidR="004614BD" w:rsidRDefault="004614BD" w:rsidP="004614BD">
      <w:r>
        <w:t xml:space="preserve">The </w:t>
      </w:r>
      <w:r w:rsidRPr="00DA7619">
        <w:t>institutional access</w:t>
      </w:r>
      <w:r>
        <w:t xml:space="preserve"> to the specialized agencies and knowledge pool linked to UNDP is appreciated by the SA partner.  The range of international organizations, </w:t>
      </w:r>
      <w:r w:rsidRPr="00DA7619">
        <w:t>committ</w:t>
      </w:r>
      <w:r>
        <w:t xml:space="preserve">ees, commissions and expertise that have been called on during the CP 2007-11 has been enormous, and is particularly highlighted by the scope of outputs under Outcome 3.  Partner staff met by the Evaluation mission confirmed the high regard in which they hold the reputation, profile and standard of the UN network.  Under the NCC arrangement as it has evolved, government entities enjoy the flexibility to engage the most appropriate expertise, whether from home or abroad.  </w:t>
      </w:r>
    </w:p>
    <w:p w:rsidR="004614BD" w:rsidRPr="009E3376" w:rsidRDefault="004614BD" w:rsidP="004614BD">
      <w:pPr>
        <w:rPr>
          <w:b/>
          <w:sz w:val="24"/>
        </w:rPr>
      </w:pPr>
      <w:r w:rsidRPr="009E3376">
        <w:rPr>
          <w:b/>
          <w:sz w:val="24"/>
        </w:rPr>
        <w:t>Conclusions and recommendations</w:t>
      </w:r>
    </w:p>
    <w:p w:rsidR="004614BD" w:rsidRDefault="004614BD" w:rsidP="004614BD">
      <w:r>
        <w:t>As an NCC, the SA</w:t>
      </w:r>
      <w:r w:rsidRPr="00DA7619">
        <w:t xml:space="preserve"> government finance</w:t>
      </w:r>
      <w:r>
        <w:t xml:space="preserve">s its relatively </w:t>
      </w:r>
      <w:r w:rsidRPr="00DA7619">
        <w:t>large programme, and is clear as to its objectives and needs</w:t>
      </w:r>
      <w:r>
        <w:t>.  Ownership by government is assured, and the role of UNDP is one of facilitating access to the best possible resources.  The relationship of mutual trust and cooperation has been built over time.  The rapport established on both sides serves as an excellent example of successful partnerships in an NCC setting.</w:t>
      </w:r>
    </w:p>
    <w:p w:rsidR="004614BD" w:rsidRDefault="004614BD" w:rsidP="004614BD">
      <w:pPr>
        <w:rPr>
          <w:lang w:val="en-CA"/>
        </w:rPr>
      </w:pPr>
      <w:r>
        <w:rPr>
          <w:lang w:val="en-CA"/>
        </w:rPr>
        <w:t xml:space="preserve">On the basis of the findings presented in the narrative review and context, it is evident that remarkable progress has been made in the efficient organization and structure of the concerned institutions in the Saudi public service sector.  This finding holds on the basis of a </w:t>
      </w:r>
      <w:r w:rsidRPr="0040268E">
        <w:rPr>
          <w:lang w:val="en-CA"/>
        </w:rPr>
        <w:t>comparison of the start and end points, and in</w:t>
      </w:r>
      <w:r>
        <w:rPr>
          <w:lang w:val="en-CA"/>
        </w:rPr>
        <w:t xml:space="preserve"> </w:t>
      </w:r>
      <w:r w:rsidRPr="0040268E">
        <w:rPr>
          <w:lang w:val="en-CA"/>
        </w:rPr>
        <w:t>comparisons with regional and global standards</w:t>
      </w:r>
      <w:r>
        <w:rPr>
          <w:lang w:val="en-CA"/>
        </w:rPr>
        <w:t xml:space="preserve">. </w:t>
      </w:r>
      <w:r>
        <w:rPr>
          <w:lang w:val="en-CA"/>
        </w:rPr>
        <w:tab/>
      </w:r>
    </w:p>
    <w:p w:rsidR="004614BD" w:rsidRPr="00B63069" w:rsidRDefault="004614BD" w:rsidP="004614BD">
      <w:pPr>
        <w:rPr>
          <w:b/>
          <w:sz w:val="24"/>
        </w:rPr>
      </w:pPr>
      <w:bookmarkStart w:id="2" w:name="_Toc324762527"/>
      <w:bookmarkStart w:id="3" w:name="_Toc324775690"/>
      <w:r w:rsidRPr="00B63069">
        <w:rPr>
          <w:b/>
          <w:sz w:val="24"/>
        </w:rPr>
        <w:t>Current arrangements work well and should be continued</w:t>
      </w:r>
      <w:bookmarkEnd w:id="2"/>
      <w:bookmarkEnd w:id="3"/>
    </w:p>
    <w:p w:rsidR="004614BD" w:rsidRDefault="004614BD" w:rsidP="004614BD">
      <w:r>
        <w:t xml:space="preserve">UNDP experience has demonstrated that administrative modalities within NIM execution are best designed as flexible and simple protocols.  Success with this flexible model has highlighted the benefit to SA deriving from UNDP partnership in the access provided to advisory and capacity development services.  </w:t>
      </w:r>
      <w:r w:rsidRPr="00481A50">
        <w:t xml:space="preserve">UNDP </w:t>
      </w:r>
      <w:r>
        <w:t xml:space="preserve">has followed its partners’ wishes to </w:t>
      </w:r>
      <w:r w:rsidRPr="00481A50">
        <w:t xml:space="preserve">extend its support beyond financial management </w:t>
      </w:r>
      <w:r w:rsidRPr="00481A50">
        <w:lastRenderedPageBreak/>
        <w:t>to the active use of the international experiences of its network of country offices and expertise around the world</w:t>
      </w:r>
      <w:r>
        <w:t xml:space="preserve">, including </w:t>
      </w:r>
      <w:r w:rsidRPr="00481A50">
        <w:t>the United Nations specialized agencies</w:t>
      </w:r>
    </w:p>
    <w:p w:rsidR="004614BD" w:rsidRPr="007307F7" w:rsidRDefault="004614BD" w:rsidP="004614BD">
      <w:pPr>
        <w:rPr>
          <w:b/>
          <w:sz w:val="24"/>
        </w:rPr>
      </w:pPr>
      <w:r w:rsidRPr="007307F7">
        <w:rPr>
          <w:b/>
          <w:sz w:val="24"/>
        </w:rPr>
        <w:t xml:space="preserve">The current relationship between the partners, articulating Outcomes in relation to national goals, should be continued </w:t>
      </w:r>
    </w:p>
    <w:p w:rsidR="004614BD" w:rsidRDefault="004614BD" w:rsidP="004614BD">
      <w:r>
        <w:t>The partnership with UNDP has contributed to SA’s progress toward its goals of modernizing government, improving the performance of the public sector, and providing a high quality of services to the people to achieve a high standard of human development.  This contribution reflects UNDP’s mandate to support human rights and development.</w:t>
      </w:r>
    </w:p>
    <w:p w:rsidR="004614BD" w:rsidRPr="007307F7" w:rsidRDefault="004614BD" w:rsidP="004614BD">
      <w:pPr>
        <w:rPr>
          <w:b/>
          <w:sz w:val="24"/>
        </w:rPr>
      </w:pPr>
      <w:r w:rsidRPr="007307F7">
        <w:rPr>
          <w:b/>
          <w:sz w:val="24"/>
        </w:rPr>
        <w:t>Encouragement of long-term relationships between specialized UN agencies and the government of KSA is worthwhile, and should envisage expansion to a wider range of UN entities</w:t>
      </w:r>
    </w:p>
    <w:p w:rsidR="004614BD" w:rsidRDefault="004614BD" w:rsidP="004614BD">
      <w:r>
        <w:t>All informants stressed that the f</w:t>
      </w:r>
      <w:r w:rsidRPr="00DA7619">
        <w:t xml:space="preserve">lexibility of </w:t>
      </w:r>
      <w:r>
        <w:t xml:space="preserve">the UNDP KSA </w:t>
      </w:r>
      <w:r w:rsidRPr="00DA7619">
        <w:t xml:space="preserve">partnership </w:t>
      </w:r>
      <w:r>
        <w:t>is a great strength</w:t>
      </w:r>
      <w:r w:rsidRPr="00DA7619">
        <w:t xml:space="preserve"> of the relationship</w:t>
      </w:r>
      <w:r>
        <w:t>.  The SA partner has been able to benefit from UNDP’s i</w:t>
      </w:r>
      <w:r w:rsidRPr="00DA7619">
        <w:t xml:space="preserve">mportant capability to gain access to experts in neighbouring countries, </w:t>
      </w:r>
      <w:r>
        <w:t>notably</w:t>
      </w:r>
      <w:r w:rsidRPr="00DA7619">
        <w:t xml:space="preserve"> other Middle Eastern countries</w:t>
      </w:r>
      <w:r>
        <w:t xml:space="preserve"> whose experience is highly relevant to SA, and to develop cooperation with UN agencies in a range of specialized fields.  UNDP should continue to facilitate such partnerships, and to seek out opportunities to extend the cooperation to other suitable UN entities.</w:t>
      </w:r>
    </w:p>
    <w:p w:rsidR="004614BD" w:rsidRPr="004614BD" w:rsidRDefault="004614BD" w:rsidP="004614BD"/>
    <w:p w:rsidR="003B614C" w:rsidRPr="00DA7619" w:rsidRDefault="004614BD" w:rsidP="004E7041">
      <w:pPr>
        <w:pStyle w:val="Heading1"/>
        <w:numPr>
          <w:ilvl w:val="0"/>
          <w:numId w:val="1"/>
        </w:numPr>
      </w:pPr>
      <w:bookmarkStart w:id="4" w:name="_Toc325940167"/>
      <w:r>
        <w:rPr>
          <w:lang w:eastAsia="en-CA"/>
        </w:rPr>
        <w:t>Introduction</w:t>
      </w:r>
      <w:bookmarkEnd w:id="4"/>
    </w:p>
    <w:p w:rsidR="0037591D" w:rsidRPr="00DA7619" w:rsidRDefault="004A0A24" w:rsidP="00DC5A10">
      <w:r w:rsidRPr="00DA7619">
        <w:t>This</w:t>
      </w:r>
      <w:r w:rsidR="00D47C0C" w:rsidRPr="00DA7619">
        <w:t xml:space="preserve"> report presents an </w:t>
      </w:r>
      <w:r w:rsidR="0092249E" w:rsidRPr="00DA7619">
        <w:t>Outcome E</w:t>
      </w:r>
      <w:r w:rsidR="00D47C0C" w:rsidRPr="00DA7619">
        <w:t xml:space="preserve">valuation </w:t>
      </w:r>
      <w:r w:rsidR="0092249E" w:rsidRPr="00DA7619">
        <w:t>focusing on</w:t>
      </w:r>
      <w:r w:rsidR="00D47C0C" w:rsidRPr="00DA7619">
        <w:t xml:space="preserve"> </w:t>
      </w:r>
      <w:r w:rsidR="008C027E" w:rsidRPr="00DA7619">
        <w:t xml:space="preserve">the </w:t>
      </w:r>
      <w:r w:rsidR="002363FC" w:rsidRPr="00E23AEB">
        <w:rPr>
          <w:b/>
          <w:i/>
        </w:rPr>
        <w:t>improved public sector performance</w:t>
      </w:r>
      <w:r w:rsidR="002363FC" w:rsidRPr="00DA7619">
        <w:t xml:space="preserve"> </w:t>
      </w:r>
      <w:r w:rsidR="00C309E3" w:rsidRPr="00DA7619">
        <w:t xml:space="preserve">objective </w:t>
      </w:r>
      <w:r w:rsidR="008C027E" w:rsidRPr="00DA7619">
        <w:t xml:space="preserve">shared by the government of Saudi Arabia (SA) and </w:t>
      </w:r>
      <w:r w:rsidR="005E6284" w:rsidRPr="00DA7619">
        <w:t xml:space="preserve">the </w:t>
      </w:r>
      <w:r w:rsidR="008C027E" w:rsidRPr="00DA7619">
        <w:t xml:space="preserve">UNDP </w:t>
      </w:r>
      <w:r w:rsidR="00F57861" w:rsidRPr="00DA7619">
        <w:t xml:space="preserve">country office in </w:t>
      </w:r>
      <w:r w:rsidR="008C027E" w:rsidRPr="00DA7619">
        <w:t xml:space="preserve">SA, in the period 2007-2011.  </w:t>
      </w:r>
      <w:r w:rsidR="00C309E3" w:rsidRPr="00DA7619">
        <w:t>This objective</w:t>
      </w:r>
      <w:r w:rsidR="00DF1FB8">
        <w:t xml:space="preserve">, Outcome 3:  </w:t>
      </w:r>
      <w:r w:rsidR="00DF1FB8" w:rsidRPr="00DA7619">
        <w:t>“An efficient and accountable public sector and institutions are in place”</w:t>
      </w:r>
      <w:r w:rsidR="00DF1FB8">
        <w:t>,</w:t>
      </w:r>
      <w:r w:rsidR="00C309E3" w:rsidRPr="00DA7619">
        <w:t xml:space="preserve"> constituted </w:t>
      </w:r>
      <w:r w:rsidR="00E23AEB">
        <w:t>the third</w:t>
      </w:r>
      <w:r w:rsidR="00C309E3" w:rsidRPr="00DA7619">
        <w:t xml:space="preserve"> of five “outcomes” </w:t>
      </w:r>
      <w:r w:rsidR="0037591D" w:rsidRPr="00DA7619">
        <w:t xml:space="preserve">incorporated </w:t>
      </w:r>
      <w:r w:rsidR="00C309E3" w:rsidRPr="00DA7619">
        <w:t xml:space="preserve">in the </w:t>
      </w:r>
      <w:r w:rsidR="005E6284" w:rsidRPr="00DA7619">
        <w:t>UNDP-</w:t>
      </w:r>
      <w:r w:rsidR="00B92243" w:rsidRPr="00DA7619">
        <w:t>SA</w:t>
      </w:r>
      <w:r w:rsidR="0073515B" w:rsidRPr="00DA7619">
        <w:t xml:space="preserve"> </w:t>
      </w:r>
      <w:r w:rsidR="00DC5A10" w:rsidRPr="00DA7619">
        <w:t xml:space="preserve">Country Programme </w:t>
      </w:r>
      <w:r w:rsidR="00AA0E26" w:rsidRPr="00DA7619">
        <w:t>Document (CPD)</w:t>
      </w:r>
      <w:r w:rsidR="00F63863" w:rsidRPr="00DA7619">
        <w:t>.</w:t>
      </w:r>
      <w:r w:rsidR="00AA0E26" w:rsidRPr="00DA7619">
        <w:t xml:space="preserve"> </w:t>
      </w:r>
      <w:r w:rsidR="00F63863" w:rsidRPr="00DA7619">
        <w:t xml:space="preserve">The CPD </w:t>
      </w:r>
      <w:r w:rsidR="003B614C" w:rsidRPr="00DA7619">
        <w:t xml:space="preserve">for 2007-2011 </w:t>
      </w:r>
      <w:r w:rsidR="0073515B" w:rsidRPr="00DA7619">
        <w:t>was completed on schedule</w:t>
      </w:r>
      <w:r w:rsidR="0037591D" w:rsidRPr="00DA7619">
        <w:t>; its achievements have been welcomed by the government,</w:t>
      </w:r>
      <w:r w:rsidR="0073515B" w:rsidRPr="00DA7619">
        <w:t xml:space="preserve"> and the </w:t>
      </w:r>
      <w:r w:rsidR="00F63863" w:rsidRPr="00DA7619">
        <w:t xml:space="preserve">UNDP-SA </w:t>
      </w:r>
      <w:r w:rsidR="0073515B" w:rsidRPr="00DA7619">
        <w:t xml:space="preserve">partnership has continued under the aegis of a new CPD for 2012-16.  </w:t>
      </w:r>
    </w:p>
    <w:p w:rsidR="002363FC" w:rsidRPr="00DA7619" w:rsidRDefault="00B92243" w:rsidP="00880653">
      <w:r w:rsidRPr="00DA7619">
        <w:t>At the start of</w:t>
      </w:r>
      <w:r w:rsidR="0073515B" w:rsidRPr="00DA7619">
        <w:t xml:space="preserve"> the </w:t>
      </w:r>
      <w:r w:rsidR="00234EC3" w:rsidRPr="00DA7619">
        <w:t>time-span</w:t>
      </w:r>
      <w:r w:rsidR="0073515B" w:rsidRPr="00DA7619">
        <w:t xml:space="preserve"> </w:t>
      </w:r>
      <w:r w:rsidR="0037591D" w:rsidRPr="00DA7619">
        <w:t>examined under</w:t>
      </w:r>
      <w:r w:rsidR="0073515B" w:rsidRPr="00DA7619">
        <w:t xml:space="preserve"> the present Outcome Evaluation, </w:t>
      </w:r>
      <w:r w:rsidR="005E6284" w:rsidRPr="00DA7619">
        <w:t>the Kingdom of Saudi Arabia (KSA)</w:t>
      </w:r>
      <w:r w:rsidR="00367992" w:rsidRPr="00DA7619">
        <w:t xml:space="preserve"> was ready to make great strides in </w:t>
      </w:r>
      <w:r w:rsidR="00234EC3" w:rsidRPr="00DA7619">
        <w:t>plans</w:t>
      </w:r>
      <w:r w:rsidR="00367992" w:rsidRPr="00DA7619">
        <w:t xml:space="preserve"> it had </w:t>
      </w:r>
      <w:r w:rsidR="00234EC3" w:rsidRPr="00DA7619">
        <w:t xml:space="preserve">already </w:t>
      </w:r>
      <w:r w:rsidR="00367992" w:rsidRPr="00DA7619">
        <w:t xml:space="preserve">launched in </w:t>
      </w:r>
      <w:r w:rsidR="00234EC3" w:rsidRPr="00DA7619">
        <w:t>previous periods</w:t>
      </w:r>
      <w:r w:rsidRPr="00DA7619">
        <w:t xml:space="preserve">.  </w:t>
      </w:r>
    </w:p>
    <w:p w:rsidR="00880653" w:rsidRPr="00DA7619" w:rsidRDefault="00234EC3" w:rsidP="00880653">
      <w:r w:rsidRPr="00DA7619">
        <w:t>As the new millennium began, the Kingdom realised</w:t>
      </w:r>
      <w:r w:rsidR="00B92243" w:rsidRPr="00DA7619">
        <w:t xml:space="preserve"> strong revenues generated by </w:t>
      </w:r>
      <w:r w:rsidR="00367992" w:rsidRPr="00DA7619">
        <w:t>its oil resources</w:t>
      </w:r>
      <w:r w:rsidR="003A2740" w:rsidRPr="00DA7619">
        <w:t xml:space="preserve"> and high net exports</w:t>
      </w:r>
      <w:r w:rsidRPr="00DA7619">
        <w:t>.  P</w:t>
      </w:r>
      <w:r w:rsidR="00152A81" w:rsidRPr="00DA7619">
        <w:t>er capita income</w:t>
      </w:r>
      <w:r w:rsidR="00B635D5" w:rsidRPr="00DA7619">
        <w:t xml:space="preserve">, which had remained in the </w:t>
      </w:r>
      <w:r w:rsidR="008B6754" w:rsidRPr="00DA7619">
        <w:t>$</w:t>
      </w:r>
      <w:r w:rsidR="00152A81" w:rsidRPr="00DA7619">
        <w:t xml:space="preserve">8000 </w:t>
      </w:r>
      <w:r w:rsidR="008B6754" w:rsidRPr="00DA7619">
        <w:t xml:space="preserve">(USD) </w:t>
      </w:r>
      <w:r w:rsidR="00152A81" w:rsidRPr="00DA7619">
        <w:t xml:space="preserve">range </w:t>
      </w:r>
      <w:r w:rsidR="00B635D5" w:rsidRPr="00DA7619">
        <w:t>since the early 19</w:t>
      </w:r>
      <w:r w:rsidR="00152A81" w:rsidRPr="00DA7619">
        <w:t>9</w:t>
      </w:r>
      <w:r w:rsidR="008B6754" w:rsidRPr="00DA7619">
        <w:t xml:space="preserve">0s, had begun rising, </w:t>
      </w:r>
      <w:r w:rsidR="00B635D5" w:rsidRPr="00DA7619">
        <w:t xml:space="preserve">and by 2004 had broken the $10,000 mark.  SA </w:t>
      </w:r>
      <w:r w:rsidR="004A341E" w:rsidRPr="00DA7619">
        <w:t xml:space="preserve">had </w:t>
      </w:r>
      <w:r w:rsidR="008B6754" w:rsidRPr="00DA7619">
        <w:t>moved from a middle-income to</w:t>
      </w:r>
      <w:r w:rsidR="00B635D5" w:rsidRPr="00DA7619">
        <w:t xml:space="preserve"> a high-income country, and</w:t>
      </w:r>
      <w:r w:rsidR="004A341E" w:rsidRPr="00DA7619">
        <w:t xml:space="preserve"> was </w:t>
      </w:r>
      <w:r w:rsidR="00B635D5" w:rsidRPr="00DA7619">
        <w:t xml:space="preserve">ambitious to achieve </w:t>
      </w:r>
      <w:r w:rsidR="005E6284" w:rsidRPr="00DA7619">
        <w:t xml:space="preserve">as a nation </w:t>
      </w:r>
      <w:r w:rsidR="00B635D5" w:rsidRPr="00DA7619">
        <w:t xml:space="preserve">the Millennium Development Goals (MDGs) adopted by world leaders in 2000.  </w:t>
      </w:r>
      <w:r w:rsidR="004A341E" w:rsidRPr="00DA7619">
        <w:t xml:space="preserve">The rapid and steady rise in incomes is </w:t>
      </w:r>
      <w:r w:rsidR="00F20485" w:rsidRPr="00DA7619">
        <w:t xml:space="preserve">shown in Figure </w:t>
      </w:r>
      <w:r w:rsidR="00233FEC" w:rsidRPr="00DA7619">
        <w:t>1</w:t>
      </w:r>
      <w:r w:rsidR="00F20485" w:rsidRPr="00DA7619">
        <w:t xml:space="preserve">.1, below.  </w:t>
      </w:r>
    </w:p>
    <w:p w:rsidR="00E83AF2" w:rsidRPr="00DA7619" w:rsidRDefault="00E83AF2" w:rsidP="00E83AF2">
      <w:pPr>
        <w:pStyle w:val="Caption"/>
      </w:pPr>
      <w:bookmarkStart w:id="5" w:name="_Toc325940215"/>
      <w:r w:rsidRPr="00DA7619">
        <w:t xml:space="preserve">Figure </w:t>
      </w:r>
      <w:fldSimple w:instr=" STYLEREF 1 \s ">
        <w:r w:rsidR="0097348A" w:rsidRPr="00DA7619">
          <w:rPr>
            <w:noProof/>
          </w:rPr>
          <w:t>1</w:t>
        </w:r>
      </w:fldSimple>
      <w:r w:rsidR="0097348A" w:rsidRPr="00DA7619">
        <w:noBreakHyphen/>
      </w:r>
      <w:fldSimple w:instr=" SEQ Figure \* ARABIC \s 1 ">
        <w:r w:rsidR="0097348A" w:rsidRPr="00DA7619">
          <w:rPr>
            <w:noProof/>
          </w:rPr>
          <w:t>1</w:t>
        </w:r>
      </w:fldSimple>
      <w:r w:rsidRPr="00DA7619">
        <w:t xml:space="preserve">  Saudi Arabia per capita income, USD current equivalent</w:t>
      </w:r>
      <w:bookmarkEnd w:id="5"/>
    </w:p>
    <w:p w:rsidR="00B635D5" w:rsidRPr="00DA7619" w:rsidRDefault="00B635D5" w:rsidP="00DC5A10">
      <w:r w:rsidRPr="00DA7619">
        <w:rPr>
          <w:noProof/>
          <w:lang w:val="en-CA" w:eastAsia="en-CA"/>
        </w:rPr>
        <w:lastRenderedPageBreak/>
        <w:drawing>
          <wp:inline distT="0" distB="0" distL="0" distR="0">
            <wp:extent cx="5945734" cy="2184070"/>
            <wp:effectExtent l="19050" t="0" r="16916" b="66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35D5" w:rsidRPr="00DA7619" w:rsidRDefault="00F16CE5" w:rsidP="00DC5A10">
      <w:r w:rsidRPr="00DA7619">
        <w:rPr>
          <w:sz w:val="18"/>
          <w:szCs w:val="18"/>
        </w:rPr>
        <w:t>Source:  WB WDI</w:t>
      </w:r>
      <w:r w:rsidRPr="00DA7619">
        <w:rPr>
          <w:rStyle w:val="FootnoteReference"/>
        </w:rPr>
        <w:footnoteReference w:id="1"/>
      </w:r>
    </w:p>
    <w:p w:rsidR="00EB274C" w:rsidRPr="00DA7619" w:rsidRDefault="008B6754" w:rsidP="00EB274C">
      <w:r w:rsidRPr="00DA7619">
        <w:t xml:space="preserve">While these numbers show the </w:t>
      </w:r>
      <w:r w:rsidR="0097348A" w:rsidRPr="00DA7619">
        <w:t>impact of SA’s oil exports, the</w:t>
      </w:r>
      <w:r w:rsidRPr="00DA7619">
        <w:t xml:space="preserve"> </w:t>
      </w:r>
      <w:r w:rsidR="0097348A" w:rsidRPr="00DA7619">
        <w:t>indicator is in</w:t>
      </w:r>
      <w:r w:rsidRPr="00DA7619">
        <w:t xml:space="preserve"> current – not constant – dollar</w:t>
      </w:r>
      <w:r w:rsidR="0097348A" w:rsidRPr="00DA7619">
        <w:t>s</w:t>
      </w:r>
      <w:r w:rsidRPr="00DA7619">
        <w:t xml:space="preserve">.  </w:t>
      </w:r>
      <w:r w:rsidR="00EB274C" w:rsidRPr="00DA7619">
        <w:t xml:space="preserve">As petroleum revenues worked their way through the economy, cost-of-living price rises reduced the real gains for the population, and the government </w:t>
      </w:r>
      <w:r w:rsidRPr="00DA7619">
        <w:t>was exploring</w:t>
      </w:r>
      <w:r w:rsidR="00EB274C" w:rsidRPr="00DA7619">
        <w:t xml:space="preserve"> alternative development </w:t>
      </w:r>
      <w:r w:rsidRPr="00DA7619">
        <w:t>elements</w:t>
      </w:r>
      <w:r w:rsidR="00EB274C" w:rsidRPr="00DA7619">
        <w:t xml:space="preserve"> to reduce the country’s dependence on oil resources.  </w:t>
      </w:r>
      <w:r w:rsidR="00233FEC" w:rsidRPr="00DA7619">
        <w:t>This impact of high revenues from one boom sector is seen by some authors to have a “Dutch disease” impact:  producing inflation throughout the domestic economy.  Indeed, in SA t</w:t>
      </w:r>
      <w:r w:rsidR="0097348A" w:rsidRPr="00DA7619">
        <w:t>he cost-of-</w:t>
      </w:r>
      <w:r w:rsidR="00EB274C" w:rsidRPr="00DA7619">
        <w:t>living index rose from just</w:t>
      </w:r>
      <w:r w:rsidRPr="00DA7619">
        <w:t xml:space="preserve"> a </w:t>
      </w:r>
      <w:r w:rsidR="00EB274C" w:rsidRPr="00DA7619">
        <w:t>0.3 percent annual increase in 2004, climbing with the oil boom to 4.1 percent in 2007, and was t</w:t>
      </w:r>
      <w:r w:rsidR="00233FEC" w:rsidRPr="00DA7619">
        <w:t>o hit 9.9% by 2008; see Figure 1</w:t>
      </w:r>
      <w:r w:rsidR="00EB274C" w:rsidRPr="00DA7619">
        <w:t xml:space="preserve">.2.  </w:t>
      </w:r>
      <w:r w:rsidR="00355AD6" w:rsidRPr="00DA7619">
        <w:t xml:space="preserve">The graph shows the cost of living more or less keeping pace with rising per capita incomes up to 2007.  However, as world oil prices </w:t>
      </w:r>
      <w:r w:rsidR="0097348A" w:rsidRPr="00DA7619">
        <w:t>rose precipitously</w:t>
      </w:r>
      <w:r w:rsidR="00355AD6" w:rsidRPr="00DA7619">
        <w:t xml:space="preserve"> in 2008, the cost of living spiked to a 9.9 percent </w:t>
      </w:r>
      <w:r w:rsidR="0097348A" w:rsidRPr="00DA7619">
        <w:t xml:space="preserve">year-on-year </w:t>
      </w:r>
      <w:r w:rsidR="00355AD6" w:rsidRPr="00DA7619">
        <w:t xml:space="preserve">increase.  </w:t>
      </w:r>
      <w:r w:rsidR="00EB274C" w:rsidRPr="00DA7619">
        <w:t xml:space="preserve">This means that the fruits of rising national revenues were being </w:t>
      </w:r>
      <w:r w:rsidR="00311582" w:rsidRPr="00DA7619">
        <w:t>denied to</w:t>
      </w:r>
      <w:r w:rsidR="00EB274C" w:rsidRPr="00DA7619">
        <w:t xml:space="preserve"> </w:t>
      </w:r>
      <w:r w:rsidR="0097348A" w:rsidRPr="00DA7619">
        <w:t xml:space="preserve">much of </w:t>
      </w:r>
      <w:r w:rsidR="00EB274C" w:rsidRPr="00DA7619">
        <w:t xml:space="preserve">the population </w:t>
      </w:r>
      <w:r w:rsidR="00311582" w:rsidRPr="00DA7619">
        <w:t xml:space="preserve">by </w:t>
      </w:r>
      <w:r w:rsidRPr="00DA7619">
        <w:t xml:space="preserve">the pressures of </w:t>
      </w:r>
      <w:r w:rsidR="00311582" w:rsidRPr="00DA7619">
        <w:t>inflation</w:t>
      </w:r>
      <w:r w:rsidR="00EB274C" w:rsidRPr="00DA7619">
        <w:t xml:space="preserve">.  </w:t>
      </w:r>
    </w:p>
    <w:p w:rsidR="0097348A" w:rsidRPr="00DA7619" w:rsidRDefault="0097348A" w:rsidP="0097348A">
      <w:pPr>
        <w:pStyle w:val="Caption"/>
      </w:pPr>
      <w:bookmarkStart w:id="6" w:name="_Toc325940216"/>
      <w:r w:rsidRPr="00DA7619">
        <w:t xml:space="preserve">Figure </w:t>
      </w:r>
      <w:fldSimple w:instr=" STYLEREF 1 \s ">
        <w:r w:rsidRPr="00DA7619">
          <w:rPr>
            <w:noProof/>
          </w:rPr>
          <w:t>1</w:t>
        </w:r>
      </w:fldSimple>
      <w:r w:rsidRPr="00DA7619">
        <w:noBreakHyphen/>
      </w:r>
      <w:fldSimple w:instr=" SEQ Figure \* ARABIC \s 1 ">
        <w:r w:rsidRPr="00DA7619">
          <w:rPr>
            <w:noProof/>
          </w:rPr>
          <w:t>2</w:t>
        </w:r>
      </w:fldSimple>
      <w:r w:rsidRPr="00DA7619">
        <w:t xml:space="preserve">  Income eroded by inflation, 2004-2008</w:t>
      </w:r>
      <w:bookmarkEnd w:id="6"/>
    </w:p>
    <w:p w:rsidR="00EB274C" w:rsidRPr="00DA7619" w:rsidRDefault="00EB274C" w:rsidP="00EB274C">
      <w:pPr>
        <w:jc w:val="center"/>
      </w:pPr>
      <w:r w:rsidRPr="00DA7619">
        <w:rPr>
          <w:noProof/>
          <w:lang w:val="en-CA" w:eastAsia="en-CA"/>
        </w:rPr>
        <w:drawing>
          <wp:inline distT="0" distB="0" distL="0" distR="0">
            <wp:extent cx="4572000" cy="2746375"/>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74C" w:rsidRPr="00DA7619" w:rsidRDefault="008B6754" w:rsidP="00C370D8">
      <w:pPr>
        <w:rPr>
          <w:sz w:val="18"/>
        </w:rPr>
      </w:pPr>
      <w:r w:rsidRPr="00DA7619">
        <w:rPr>
          <w:sz w:val="18"/>
        </w:rPr>
        <w:t>Source:  Author’s construction from WDI and KSA-MEP (see References)</w:t>
      </w:r>
    </w:p>
    <w:p w:rsidR="00C370D8" w:rsidRPr="00DA7619" w:rsidRDefault="00233FEC" w:rsidP="00C370D8">
      <w:r w:rsidRPr="00DA7619">
        <w:lastRenderedPageBreak/>
        <w:t>The eighth five-year development plan (2005-2009) was designed to address a number of emerging issues.</w:t>
      </w:r>
      <w:r w:rsidR="00B57514">
        <w:t xml:space="preserve"> </w:t>
      </w:r>
      <w:r w:rsidR="00C370D8" w:rsidRPr="00DA7619">
        <w:t>The plan focussed on diversification of the economy, optimizing domestic processing, downstream petrochemical and other industries to capture more value</w:t>
      </w:r>
      <w:r w:rsidR="008B6754" w:rsidRPr="00DA7619">
        <w:t>-added</w:t>
      </w:r>
      <w:r w:rsidR="00C370D8" w:rsidRPr="00DA7619">
        <w:t>, improve technology and foster sustainable growth.  In parallel, it aimed to solve human resource</w:t>
      </w:r>
      <w:r w:rsidR="00311582" w:rsidRPr="00DA7619">
        <w:t xml:space="preserve"> and employment</w:t>
      </w:r>
      <w:r w:rsidR="00C370D8" w:rsidRPr="00DA7619">
        <w:t xml:space="preserve"> </w:t>
      </w:r>
      <w:r w:rsidR="00B57514">
        <w:t>mis</w:t>
      </w:r>
      <w:r w:rsidR="008B6754" w:rsidRPr="00DA7619">
        <w:t>matches</w:t>
      </w:r>
      <w:r w:rsidR="00C370D8" w:rsidRPr="00DA7619">
        <w:t xml:space="preserve"> with improved training of its young population, widening job opportunities and increased Saudization of the work force.  These objectives were set in a context of preparing for greater integration into the globalizing economy including accession to the World Trade Organization (WTO)</w:t>
      </w:r>
      <w:r w:rsidR="00311582" w:rsidRPr="00DA7619">
        <w:t>, and accelerating</w:t>
      </w:r>
      <w:r w:rsidR="0050021E" w:rsidRPr="00DA7619">
        <w:t xml:space="preserve"> the process of privatization and export enhancement.</w:t>
      </w:r>
    </w:p>
    <w:p w:rsidR="00DC5A10" w:rsidRPr="00DA7619" w:rsidRDefault="00880653" w:rsidP="00DC5A10">
      <w:r w:rsidRPr="00DA7619">
        <w:t xml:space="preserve">UNDP-SA was </w:t>
      </w:r>
      <w:r w:rsidR="00E83AF2" w:rsidRPr="00DA7619">
        <w:t>well prepared</w:t>
      </w:r>
      <w:r w:rsidRPr="00DA7619">
        <w:t xml:space="preserve"> to support </w:t>
      </w:r>
      <w:r w:rsidR="0002124E" w:rsidRPr="00DA7619">
        <w:t xml:space="preserve">the country’s </w:t>
      </w:r>
      <w:r w:rsidR="0050021E" w:rsidRPr="00DA7619">
        <w:t xml:space="preserve">efforts, and undertook a series of round-table </w:t>
      </w:r>
      <w:r w:rsidR="00CF5029" w:rsidRPr="00DA7619">
        <w:t xml:space="preserve">discussions </w:t>
      </w:r>
      <w:r w:rsidR="00CF5029" w:rsidRPr="00DA7619">
        <w:rPr>
          <w:rFonts w:cs="TimesNewRoman"/>
        </w:rPr>
        <w:t xml:space="preserve">involving all stakeholders, </w:t>
      </w:r>
      <w:r w:rsidR="00E83AF2" w:rsidRPr="00DA7619">
        <w:rPr>
          <w:rFonts w:cs="TimesNewRoman"/>
        </w:rPr>
        <w:t>the g</w:t>
      </w:r>
      <w:r w:rsidR="00CF5029" w:rsidRPr="00DA7619">
        <w:rPr>
          <w:rFonts w:cs="TimesNewRoman"/>
        </w:rPr>
        <w:t xml:space="preserve">overnment, the private sector, civil society and UN agencies.  </w:t>
      </w:r>
      <w:r w:rsidR="00CF5029" w:rsidRPr="00DA7619">
        <w:t>T</w:t>
      </w:r>
      <w:r w:rsidR="0073515B" w:rsidRPr="00DA7619">
        <w:t xml:space="preserve">he CPD </w:t>
      </w:r>
      <w:r w:rsidR="00CF5029" w:rsidRPr="00DA7619">
        <w:t xml:space="preserve">resulting from these consultations </w:t>
      </w:r>
      <w:r w:rsidR="00DE1B6E" w:rsidRPr="00DA7619">
        <w:t xml:space="preserve">described the </w:t>
      </w:r>
      <w:r w:rsidR="00CF5029" w:rsidRPr="00DA7619">
        <w:t xml:space="preserve">new </w:t>
      </w:r>
      <w:r w:rsidR="0073515B" w:rsidRPr="00DA7619">
        <w:t>coo</w:t>
      </w:r>
      <w:r w:rsidR="00D47C0C" w:rsidRPr="00DA7619">
        <w:t xml:space="preserve">peration </w:t>
      </w:r>
      <w:r w:rsidR="00DE1B6E" w:rsidRPr="00DA7619">
        <w:t>programme as “</w:t>
      </w:r>
      <w:r w:rsidR="00D47C0C" w:rsidRPr="00DA7619">
        <w:t>a flexible</w:t>
      </w:r>
      <w:r w:rsidR="003B614C" w:rsidRPr="00DA7619">
        <w:t xml:space="preserve"> </w:t>
      </w:r>
      <w:r w:rsidR="0073515B" w:rsidRPr="00DA7619">
        <w:t>partnership between Saudi Arabia and UNDP</w:t>
      </w:r>
      <w:r w:rsidR="00DE1B6E" w:rsidRPr="00DA7619">
        <w:t>, anchored</w:t>
      </w:r>
      <w:r w:rsidR="00DC5A10" w:rsidRPr="00DA7619">
        <w:t xml:space="preserve"> in the overall development priorities of the country, as outlined in the eighth and ninth development plans. </w:t>
      </w:r>
      <w:r w:rsidR="00CF5029" w:rsidRPr="00DA7619">
        <w:t xml:space="preserve"> </w:t>
      </w:r>
      <w:r w:rsidR="00DC5A10" w:rsidRPr="00DA7619">
        <w:t xml:space="preserve">The plans recognize challenges that the Country Programme intends to address, including greater diversification of the sustainable base of the economy, enhanced efficiency of the public sector and the full participation of youth and women in socio-economic progress. The plan’s overall objectives aim at enhancing the living standards of Saudi citizens by increasing their livelihood opportunities through entrepreneurship, investment and employment, and at maximizing the benefits from the current growth trends and the integration into the global economy. Moreover, the country believes it has a regional and global responsibility and has a substantial official development assistance (ODA) programme </w:t>
      </w:r>
      <w:r w:rsidR="003B614C" w:rsidRPr="00DA7619">
        <w:t xml:space="preserve">that benefits poorer countries” </w:t>
      </w:r>
      <w:r w:rsidR="007D6549" w:rsidRPr="00DA7619">
        <w:fldChar w:fldCharType="begin"/>
      </w:r>
      <w:r w:rsidR="00DB11E7">
        <w:instrText xml:space="preserve"> ADDIN EN.CITE &lt;EndNote&gt;&lt;Cite&gt;&lt;Author&gt;UNDP Saudi Arabia&lt;/Author&gt;&lt;Year&gt;2006&lt;/Year&gt;&lt;RecNum&gt;1054&lt;/RecNum&gt;&lt;Suffix&gt;, pp. 3-4&lt;/Suffix&gt;&lt;record&gt;&lt;rec-number&gt;1054&lt;/rec-number&gt;&lt;ref-type name="Report"&gt;27&lt;/ref-type&gt;&lt;contributors&gt;&lt;authors&gt;&lt;author&gt;UNDP Saudi Arabia,&lt;/author&gt;&lt;/authors&gt;&lt;/contributors&gt;&lt;titles&gt;&lt;title&gt;Country programme document for Saudi Arabia (2007-2011)&lt;/title&gt;&lt;/titles&gt;&lt;pages&gt;9&lt;/pages&gt;&lt;dates&gt;&lt;year&gt;2006&lt;/year&gt;&lt;/dates&gt;&lt;pub-location&gt;New York&lt;/pub-location&gt;&lt;publisher&gt;Executive Board of the United Nations Development Programme and of the United Nations Population Fund&lt;/publisher&gt;&lt;urls&gt;&lt;related-urls&gt;&lt;url&gt;http://www.undp.org.sa/sa/documents/home/cpd_2007_2011.pdf&lt;/url&gt;&lt;/related-urls&gt;&lt;/urls&gt;&lt;/record&gt;&lt;/Cite&gt;&lt;/EndNote&gt;</w:instrText>
      </w:r>
      <w:r w:rsidR="007D6549" w:rsidRPr="00DA7619">
        <w:fldChar w:fldCharType="separate"/>
      </w:r>
      <w:r w:rsidR="003B614C" w:rsidRPr="00DA7619">
        <w:t>(UNDP Saudi Arabia 2006, pp. 3-4)</w:t>
      </w:r>
      <w:r w:rsidR="007D6549" w:rsidRPr="00DA7619">
        <w:fldChar w:fldCharType="end"/>
      </w:r>
      <w:r w:rsidR="003B614C" w:rsidRPr="00DA7619">
        <w:t>.</w:t>
      </w:r>
      <w:r w:rsidR="00B57514" w:rsidRPr="00B57514">
        <w:rPr>
          <w:rStyle w:val="FootnoteReference"/>
        </w:rPr>
        <w:t xml:space="preserve"> </w:t>
      </w:r>
      <w:r w:rsidR="00B57514" w:rsidRPr="00DA7619">
        <w:rPr>
          <w:rStyle w:val="FootnoteReference"/>
        </w:rPr>
        <w:footnoteReference w:id="2"/>
      </w:r>
    </w:p>
    <w:p w:rsidR="00DC5A10" w:rsidRPr="00DA7619" w:rsidRDefault="00AA0E26" w:rsidP="00B57514">
      <w:r w:rsidRPr="00DA7619">
        <w:t xml:space="preserve">The CPD </w:t>
      </w:r>
      <w:r w:rsidR="00DC5A10" w:rsidRPr="00DA7619">
        <w:t xml:space="preserve">and the </w:t>
      </w:r>
      <w:r w:rsidR="00C17F2D" w:rsidRPr="00DA7619">
        <w:t xml:space="preserve">subsequent </w:t>
      </w:r>
      <w:r w:rsidR="00DC5A10" w:rsidRPr="00DA7619">
        <w:t xml:space="preserve">Country Programme Action Plan </w:t>
      </w:r>
      <w:r w:rsidR="00C17F2D" w:rsidRPr="00DA7619">
        <w:t xml:space="preserve">review </w:t>
      </w:r>
      <w:r w:rsidR="00E83AF2" w:rsidRPr="00DA7619">
        <w:t>of 2008 articulated</w:t>
      </w:r>
      <w:r w:rsidR="00DC5A10" w:rsidRPr="00DA7619">
        <w:t xml:space="preserve"> five development outcomes to which </w:t>
      </w:r>
      <w:r w:rsidR="00AF5735" w:rsidRPr="00DA7619">
        <w:t xml:space="preserve">UNDP would contribute. </w:t>
      </w:r>
      <w:r w:rsidR="00DF1FB8">
        <w:t xml:space="preserve"> As noted earlier, </w:t>
      </w:r>
      <w:r w:rsidR="00AF5735" w:rsidRPr="00DA7619">
        <w:t>Outcome 3</w:t>
      </w:r>
      <w:r w:rsidR="00DC5A10" w:rsidRPr="00DA7619">
        <w:t xml:space="preserve"> </w:t>
      </w:r>
      <w:r w:rsidR="00D55252" w:rsidRPr="00DA7619">
        <w:t>was defined as</w:t>
      </w:r>
      <w:r w:rsidR="00233FEC" w:rsidRPr="00DA7619">
        <w:t>:  “An efficient and accountable public sector and institutions are in place</w:t>
      </w:r>
      <w:r w:rsidR="005C55C3" w:rsidRPr="00DA7619">
        <w:t xml:space="preserve">” </w:t>
      </w:r>
      <w:r w:rsidR="007D6549" w:rsidRPr="00DA7619">
        <w:fldChar w:fldCharType="begin"/>
      </w:r>
      <w:r w:rsidR="00DB11E7">
        <w:instrText xml:space="preserve"> ADDIN EN.CITE &lt;EndNote&gt;&lt;Cite&gt;&lt;Author&gt;UNDP Saudi Arabia&lt;/Author&gt;&lt;Year&gt;2008&lt;/Year&gt;&lt;RecNum&gt;1056&lt;/RecNum&gt;&lt;record&gt;&lt;rec-number&gt;1056&lt;/rec-number&gt;&lt;ref-type name="Report"&gt;27&lt;/ref-type&gt;&lt;contributors&gt;&lt;authors&gt;&lt;author&gt;UNDP Saudi Arabia,&lt;/author&gt;&lt;/authors&gt;&lt;/contributors&gt;&lt;titles&gt;&lt;title&gt;Country Programme Action Plan&lt;/title&gt;&lt;/titles&gt;&lt;pages&gt;9&lt;/pages&gt;&lt;dates&gt;&lt;year&gt;2008&lt;/year&gt;&lt;/dates&gt;&lt;pub-location&gt;Riyadh&lt;/pub-location&gt;&lt;publisher&gt;Government of the Kingdom of Saudi Arabia and UNDP SA Country Office&lt;/publisher&gt;&lt;urls&gt;&lt;related-urls&gt;&lt;url&gt;www.undp.org.sa/sa/.../cpap_narrative_review_final-mwt-matrix.doc&lt;/url&gt;&lt;/related-urls&gt;&lt;/urls&gt;&lt;research-notes&gt;link ?? dsnt work, but doc found Srch - COMMON FRAMEWORK FOR THE COUNTRY PROGRAMME ...&amp;#xD;or, try:  saudi cpap rrf&lt;/research-notes&gt;&lt;/record&gt;&lt;/Cite&gt;&lt;/EndNote&gt;</w:instrText>
      </w:r>
      <w:r w:rsidR="007D6549" w:rsidRPr="00DA7619">
        <w:fldChar w:fldCharType="separate"/>
      </w:r>
      <w:r w:rsidR="005C55C3" w:rsidRPr="00DA7619">
        <w:t>(UNDP Saudi Arabia 2008)</w:t>
      </w:r>
      <w:r w:rsidR="007D6549" w:rsidRPr="00DA7619">
        <w:fldChar w:fldCharType="end"/>
      </w:r>
      <w:r w:rsidR="00DC5A10" w:rsidRPr="00DA7619">
        <w:t xml:space="preserve">.  </w:t>
      </w:r>
    </w:p>
    <w:p w:rsidR="00C17F2D" w:rsidRPr="00DA7619" w:rsidRDefault="00C17F2D" w:rsidP="00C17F2D">
      <w:r w:rsidRPr="00DA7619">
        <w:t xml:space="preserve">This outcome evaluation will provide </w:t>
      </w:r>
      <w:r w:rsidR="00E83AF2" w:rsidRPr="00DA7619">
        <w:t xml:space="preserve">an assessment of </w:t>
      </w:r>
      <w:r w:rsidRPr="00DA7619">
        <w:t xml:space="preserve">(i) the contributions that UNDP has made to the </w:t>
      </w:r>
      <w:r w:rsidR="003110C1" w:rsidRPr="00DA7619">
        <w:t>improved public sector performance outputs under Outcome 3</w:t>
      </w:r>
      <w:r w:rsidRPr="00DA7619">
        <w:t xml:space="preserve"> of the CP, (ii) whether the UNDP </w:t>
      </w:r>
      <w:r w:rsidR="00816E3C" w:rsidRPr="00DA7619">
        <w:t xml:space="preserve">partnership </w:t>
      </w:r>
      <w:r w:rsidRPr="00DA7619">
        <w:t>strategy has been effective, and (iii) whether some adjustments are needed so that UNDP can stay relevant in the field in future.</w:t>
      </w:r>
      <w:r w:rsidR="00E83AF2" w:rsidRPr="00DA7619">
        <w:t xml:space="preserve">  The report is organized as follows:  following this </w:t>
      </w:r>
      <w:r w:rsidR="00725264" w:rsidRPr="00DA7619">
        <w:t>Introduction</w:t>
      </w:r>
      <w:r w:rsidR="00E83AF2" w:rsidRPr="00DA7619">
        <w:t xml:space="preserve">, Chapter 2 gives some background to </w:t>
      </w:r>
      <w:r w:rsidR="00725264" w:rsidRPr="00DA7619">
        <w:t xml:space="preserve">the SA development setting, </w:t>
      </w:r>
      <w:r w:rsidR="003110C1" w:rsidRPr="00DA7619">
        <w:t>in</w:t>
      </w:r>
      <w:r w:rsidR="00725264" w:rsidRPr="00DA7619">
        <w:t xml:space="preserve"> the </w:t>
      </w:r>
      <w:r w:rsidR="009F3790" w:rsidRPr="00DA7619">
        <w:t>context of the country’s status as a net contributing country (NCC</w:t>
      </w:r>
      <w:r w:rsidR="00CD0D1C" w:rsidRPr="00DA7619">
        <w:t xml:space="preserve">).  Chapter 3, Findings and Conclusions, presents </w:t>
      </w:r>
      <w:r w:rsidR="004F746F" w:rsidRPr="00DA7619">
        <w:t xml:space="preserve">the assessment in four sections:  the progress the Kingdom has made toward achievement of Outcome </w:t>
      </w:r>
      <w:r w:rsidR="003110C1" w:rsidRPr="00DA7619">
        <w:t>3</w:t>
      </w:r>
      <w:r w:rsidR="004F746F" w:rsidRPr="00DA7619">
        <w:t>; factors in the economy, and in the institutional and global setting, that may have affected the outcome under consideration; the contributions UNDP’s programme made toward achievement of the outcome; and lastly, the role of UNDP’s partnership strategy in the observed progress.</w:t>
      </w:r>
      <w:r w:rsidR="00882F51" w:rsidRPr="00DA7619">
        <w:t xml:space="preserve">  Chapter 4 presents lessons learned and recommendations for the future cooperation programme.</w:t>
      </w:r>
    </w:p>
    <w:p w:rsidR="00C17F2D" w:rsidRPr="00DA7619" w:rsidRDefault="003110C1" w:rsidP="00C17F2D">
      <w:pPr>
        <w:pStyle w:val="Heading1"/>
        <w:numPr>
          <w:ilvl w:val="0"/>
          <w:numId w:val="1"/>
        </w:numPr>
      </w:pPr>
      <w:bookmarkStart w:id="7" w:name="_Toc325940168"/>
      <w:r w:rsidRPr="00DA7619">
        <w:lastRenderedPageBreak/>
        <w:t>T</w:t>
      </w:r>
      <w:r w:rsidR="00124802" w:rsidRPr="00DA7619">
        <w:t xml:space="preserve">he </w:t>
      </w:r>
      <w:r w:rsidR="00C17F2D" w:rsidRPr="00DA7619">
        <w:t>Development Context</w:t>
      </w:r>
      <w:r w:rsidRPr="00DA7619">
        <w:t>:  UNDP-KSA cooperation</w:t>
      </w:r>
      <w:bookmarkEnd w:id="7"/>
    </w:p>
    <w:p w:rsidR="007F60D5" w:rsidRPr="00DA7619" w:rsidRDefault="00D26309" w:rsidP="007F60D5">
      <w:pPr>
        <w:pStyle w:val="Heading2"/>
        <w:numPr>
          <w:ilvl w:val="1"/>
          <w:numId w:val="1"/>
        </w:numPr>
      </w:pPr>
      <w:bookmarkStart w:id="8" w:name="_Toc325940169"/>
      <w:r>
        <w:t>A long history</w:t>
      </w:r>
      <w:bookmarkEnd w:id="8"/>
    </w:p>
    <w:p w:rsidR="00D84875" w:rsidRPr="00DA7619" w:rsidRDefault="00695460" w:rsidP="00C17F2D">
      <w:r w:rsidRPr="00DA7619">
        <w:t xml:space="preserve">UNDP and Saudi Arabia have </w:t>
      </w:r>
      <w:r w:rsidR="00A351AA" w:rsidRPr="00DA7619">
        <w:t>a long history of</w:t>
      </w:r>
      <w:r w:rsidRPr="00DA7619">
        <w:t xml:space="preserve"> cooperation</w:t>
      </w:r>
      <w:r w:rsidR="00A351AA" w:rsidRPr="00DA7619">
        <w:t xml:space="preserve">, since </w:t>
      </w:r>
      <w:r w:rsidR="009F3790" w:rsidRPr="00DA7619">
        <w:t>UNDP’s</w:t>
      </w:r>
      <w:r w:rsidR="00A351AA" w:rsidRPr="00DA7619">
        <w:t xml:space="preserve"> launch in</w:t>
      </w:r>
      <w:r w:rsidR="00D84875" w:rsidRPr="00DA7619">
        <w:t xml:space="preserve"> 1966.  Projects in the early years focussed on the initial foundations of national development including natural resource management and environment.  In the 1980s </w:t>
      </w:r>
      <w:r w:rsidR="00C3413D" w:rsidRPr="00DA7619">
        <w:t>and ’</w:t>
      </w:r>
      <w:r w:rsidR="00D84875" w:rsidRPr="00DA7619">
        <w:t>90s, emphasis moved to industrial development for economic diversification beyond oil exports, issues posed by globalization and trade participation, development of the private sector, education, social protection and community development, as well as more upstream policy advice and governance activities</w:t>
      </w:r>
      <w:r w:rsidR="002B1675" w:rsidRPr="00DA7619">
        <w:t xml:space="preserve">, design of national development plans and related policies for public administration.  </w:t>
      </w:r>
      <w:r w:rsidR="004D0F1A" w:rsidRPr="00DA7619">
        <w:t xml:space="preserve">By the turn of the millennium, the development agenda became focused on achieving the Millennium Development Goals (MDGs), alongside the continuing attention to sustainable development and public sector reform.  </w:t>
      </w:r>
      <w:r w:rsidR="002B1675" w:rsidRPr="00DA7619">
        <w:t xml:space="preserve">From the beginning, cooperation programmes were financed entirely from government resources </w:t>
      </w:r>
      <w:r w:rsidR="007D6549" w:rsidRPr="00DA7619">
        <w:fldChar w:fldCharType="begin"/>
      </w:r>
      <w:r w:rsidR="00DB11E7">
        <w:instrText xml:space="preserve"> ADDIN EN.CITE &lt;EndNote&gt;&lt;Cite&gt;&lt;Author&gt;Khoday&lt;/Author&gt;&lt;Year&gt;2010&lt;/Year&gt;&lt;RecNum&gt;1059&lt;/RecNum&gt;&lt;record&gt;&lt;rec-number&gt;1059&lt;/rec-number&gt;&lt;ref-type name="Report"&gt;27&lt;/ref-type&gt;&lt;contributors&gt;&lt;authors&gt;&lt;author&gt;Kishan Khoday&lt;/author&gt;&lt;/authors&gt;&lt;/contributors&gt;&lt;titles&gt;&lt;title&gt;UNDP and Saudi Arabia:  A Partnership in Human Development, 1965-2010&lt;/title&gt;&lt;/titles&gt;&lt;pages&gt;18&lt;/pages&gt;&lt;dates&gt;&lt;year&gt;2010&lt;/year&gt;&lt;/dates&gt;&lt;pub-location&gt;Riyadh&lt;/pub-location&gt;&lt;publisher&gt;UNDP Saudi Arabia&lt;/publisher&gt;&lt;urls&gt;&lt;related-urls&gt;&lt;url&gt;unpublished manuscript&lt;/url&gt;&lt;/related-urls&gt;&lt;/urls&gt;&lt;/record&gt;&lt;/Cite&gt;&lt;/EndNote&gt;</w:instrText>
      </w:r>
      <w:r w:rsidR="007D6549" w:rsidRPr="00DA7619">
        <w:fldChar w:fldCharType="separate"/>
      </w:r>
      <w:r w:rsidR="002B1675" w:rsidRPr="00DA7619">
        <w:t>(Khoday 2010)</w:t>
      </w:r>
      <w:r w:rsidR="007D6549" w:rsidRPr="00DA7619">
        <w:fldChar w:fldCharType="end"/>
      </w:r>
      <w:r w:rsidR="00D84875" w:rsidRPr="00DA7619">
        <w:t>.</w:t>
      </w:r>
    </w:p>
    <w:p w:rsidR="00882F51" w:rsidRPr="00DA7619" w:rsidRDefault="002B1675" w:rsidP="00FE0894">
      <w:pPr>
        <w:rPr>
          <w:color w:val="000000"/>
        </w:rPr>
      </w:pPr>
      <w:r w:rsidRPr="00DA7619">
        <w:t>Saudi Arabia</w:t>
      </w:r>
      <w:r w:rsidR="00D26309">
        <w:t xml:space="preserve"> is a net donor to the UN system, classified as a net contributing country</w:t>
      </w:r>
      <w:r w:rsidR="00695460" w:rsidRPr="00DA7619">
        <w:t xml:space="preserve">.  </w:t>
      </w:r>
      <w:r w:rsidR="00D26309">
        <w:t xml:space="preserve">NCCs </w:t>
      </w:r>
      <w:r w:rsidR="00695460" w:rsidRPr="00DA7619">
        <w:t>finance their</w:t>
      </w:r>
      <w:r w:rsidR="00933CA3" w:rsidRPr="00DA7619">
        <w:t xml:space="preserve"> </w:t>
      </w:r>
      <w:r w:rsidR="00695460" w:rsidRPr="00DA7619">
        <w:t>programmes almost entirely through their</w:t>
      </w:r>
      <w:r w:rsidR="00933CA3" w:rsidRPr="00DA7619">
        <w:t xml:space="preserve"> </w:t>
      </w:r>
      <w:r w:rsidR="00695460" w:rsidRPr="00DA7619">
        <w:t>respective governments</w:t>
      </w:r>
      <w:r w:rsidR="00933CA3" w:rsidRPr="00DA7619">
        <w:t xml:space="preserve">.  Among the 18 countries of the Arab region, five are NCCs.  </w:t>
      </w:r>
      <w:r w:rsidR="00D26309">
        <w:t xml:space="preserve">In </w:t>
      </w:r>
      <w:r w:rsidR="002258F2" w:rsidRPr="00DA7619">
        <w:t xml:space="preserve">2008 </w:t>
      </w:r>
      <w:r w:rsidR="00E11C89" w:rsidRPr="00DA7619">
        <w:t xml:space="preserve">UNDP commissioned an evaluation of </w:t>
      </w:r>
      <w:r w:rsidR="009F3790" w:rsidRPr="00DA7619">
        <w:t>its</w:t>
      </w:r>
      <w:r w:rsidR="00E11C89" w:rsidRPr="00DA7619">
        <w:t xml:space="preserve"> role in the </w:t>
      </w:r>
      <w:r w:rsidR="00F81EF9" w:rsidRPr="00DA7619">
        <w:t>NCCs of</w:t>
      </w:r>
      <w:r w:rsidR="00E11C89" w:rsidRPr="00DA7619">
        <w:t xml:space="preserve"> the Arab region.  </w:t>
      </w:r>
      <w:r w:rsidR="002258F2" w:rsidRPr="00DA7619">
        <w:t xml:space="preserve">The evaluation concluded that there is a clear match between the emerging needs of NCCs and UNDP’s mandate and capabilities, and a </w:t>
      </w:r>
      <w:r w:rsidR="009F3790" w:rsidRPr="00DA7619">
        <w:t xml:space="preserve">robust </w:t>
      </w:r>
      <w:r w:rsidR="002258F2" w:rsidRPr="00DA7619">
        <w:t xml:space="preserve">justification for a continued and strengthened UNDP presence.  It found that Saudi Arabia and other NCCs strongly desire the presence of UNDP, primarily because it is the embodiment of the UN system and a link to the international community </w:t>
      </w:r>
      <w:r w:rsidR="00933CA3" w:rsidRPr="00DA7619">
        <w:rPr>
          <w:color w:val="000000"/>
        </w:rPr>
        <w:t xml:space="preserve"> </w:t>
      </w:r>
      <w:r w:rsidR="007D6549" w:rsidRPr="00DA7619">
        <w:rPr>
          <w:color w:val="000000"/>
        </w:rPr>
        <w:fldChar w:fldCharType="begin"/>
      </w:r>
      <w:r w:rsidR="00DB11E7">
        <w:rPr>
          <w:color w:val="000000"/>
        </w:rPr>
        <w:instrText xml:space="preserve"> ADDIN EN.CITE &lt;EndNote&gt;&lt;Cite&gt;&lt;Author&gt;UNDP Evaluation Office&lt;/Author&gt;&lt;Year&gt;2008&lt;/Year&gt;&lt;RecNum&gt;1048&lt;/RecNum&gt;&lt;Suffix&gt;, pp. vii, x, 1&lt;/Suffix&gt;&lt;record&gt;&lt;rec-number&gt;1048&lt;/rec-number&gt;&lt;ref-type name="Report"&gt;27&lt;/ref-type&gt;&lt;contributors&gt;&lt;authors&gt;&lt;author&gt;UNDP Evaluation Office,&lt;/author&gt;&lt;/authors&gt;&lt;/contributors&gt;&lt;titles&gt;&lt;title&gt;Evaluation of the Role of UNDP in the Net Contributor Countries of the Arab Region &lt;/title&gt;&lt;/titles&gt;&lt;pages&gt;93&lt;/pages&gt;&lt;dates&gt;&lt;year&gt;2008&lt;/year&gt;&lt;pub-dates&gt;&lt;date&gt;May&lt;/date&gt;&lt;/pub-dates&gt;&lt;/dates&gt;&lt;pub-location&gt;New York&lt;/pub-location&gt;&lt;publisher&gt;Evaluation Office, United Nations Development Programme&lt;/publisher&gt;&lt;isbn&gt;DP/2008/26&amp;#xD;&lt;/isbn&gt;&lt;urls&gt;&lt;related-urls&gt;&lt;url&gt;http://web.undp.org/evaluation/documents/thematic/ncc/NCC.pdf&lt;/url&gt;&lt;/related-urls&gt;&lt;pdf-urls&gt;&lt;url&gt;http://web.undp.org/evaluation/documents/thematic/ncc/NCC.pdf&lt;/url&gt;&lt;/pdf-urls&gt;&lt;/urls&gt;&lt;research-notes&gt;2008/18  Report of UNDP Executive Bd and UNFPA ExBd&amp;#xD;Evaluation of net contributor countries in the Arab region&amp;#xD;The Executive Board&amp;#xD;1. Takes note of the evaluation of UNDP in the net contributor countries of the Arab region&amp;#xD;(DP/2008/26), its corrigenda ((DP/2008/26/Corr.1 and DP/2008/26/Corr.2) and the management&amp;#xD;response to that evaluation (DP/2008/27);&amp;#xD;2. Requests UNDP to include the Board in its consultations concerning the review and&amp;#xD;development of criteria for continued UNDP presence in a net contributor country;&amp;#xD;3. Urges UNDP to give high priority to strengthening its support to net contributor countries in&amp;#xD;the area of capacity development, based on national priorities and systems, in order to strengthen&amp;#xD;the sustainability of its programming.&lt;/research-notes&gt;&lt;/record&gt;&lt;/Cite&gt;&lt;/EndNote&gt;</w:instrText>
      </w:r>
      <w:r w:rsidR="007D6549" w:rsidRPr="00DA7619">
        <w:rPr>
          <w:color w:val="000000"/>
        </w:rPr>
        <w:fldChar w:fldCharType="separate"/>
      </w:r>
      <w:r w:rsidR="002258F2" w:rsidRPr="00DA7619">
        <w:rPr>
          <w:color w:val="000000"/>
        </w:rPr>
        <w:t>(UNDP Evaluation Office 2008, pp. vii, x, 1)</w:t>
      </w:r>
      <w:r w:rsidR="007D6549" w:rsidRPr="00DA7619">
        <w:rPr>
          <w:color w:val="000000"/>
        </w:rPr>
        <w:fldChar w:fldCharType="end"/>
      </w:r>
      <w:r w:rsidR="00933CA3" w:rsidRPr="00DA7619">
        <w:rPr>
          <w:color w:val="000000"/>
        </w:rPr>
        <w:t xml:space="preserve">. </w:t>
      </w:r>
      <w:r w:rsidR="002258F2" w:rsidRPr="00DA7619">
        <w:rPr>
          <w:color w:val="000000"/>
        </w:rPr>
        <w:t xml:space="preserve">The value and special nature of UNDP-NCC cooperation is highlighted in Box 1, </w:t>
      </w:r>
      <w:r w:rsidR="00D86923" w:rsidRPr="00DA7619">
        <w:rPr>
          <w:color w:val="000000"/>
        </w:rPr>
        <w:t xml:space="preserve">which emphasizes the importance of rapid growth, internal change and globalization. </w:t>
      </w:r>
    </w:p>
    <w:p w:rsidR="00FE0894" w:rsidRPr="00DA7619" w:rsidRDefault="007F60D5" w:rsidP="007F60D5">
      <w:pPr>
        <w:pStyle w:val="Caption"/>
        <w:rPr>
          <w:color w:val="000000"/>
        </w:rPr>
      </w:pPr>
      <w:r w:rsidRPr="00DA7619">
        <w:t xml:space="preserve">Box </w:t>
      </w:r>
      <w:fldSimple w:instr=" STYLEREF 1 \s ">
        <w:r w:rsidRPr="00DA7619">
          <w:rPr>
            <w:noProof/>
          </w:rPr>
          <w:t>2</w:t>
        </w:r>
      </w:fldSimple>
      <w:r w:rsidRPr="00DA7619">
        <w:noBreakHyphen/>
      </w:r>
      <w:r w:rsidR="00C3413D" w:rsidRPr="00DA7619">
        <w:t>1</w:t>
      </w:r>
      <w:r w:rsidRPr="00DA7619">
        <w:t xml:space="preserve">  UNDP and NCCs in the Arab region</w:t>
      </w:r>
    </w:p>
    <w:tbl>
      <w:tblPr>
        <w:tblStyle w:val="TableGrid"/>
        <w:tblW w:w="0" w:type="auto"/>
        <w:tblLook w:val="04A0"/>
      </w:tblPr>
      <w:tblGrid>
        <w:gridCol w:w="9576"/>
      </w:tblGrid>
      <w:tr w:rsidR="00E11C89" w:rsidRPr="00DA7619" w:rsidTr="00E11C89">
        <w:tc>
          <w:tcPr>
            <w:tcW w:w="9576" w:type="dxa"/>
          </w:tcPr>
          <w:p w:rsidR="00F81EF9" w:rsidRPr="00DA7619" w:rsidRDefault="00F81EF9" w:rsidP="002258F2">
            <w:pPr>
              <w:rPr>
                <w:b/>
                <w:sz w:val="20"/>
                <w:szCs w:val="20"/>
              </w:rPr>
            </w:pPr>
            <w:r w:rsidRPr="00DA7619">
              <w:rPr>
                <w:b/>
                <w:sz w:val="20"/>
                <w:szCs w:val="20"/>
              </w:rPr>
              <w:t>From UNDP Evaluation office, 2008</w:t>
            </w:r>
          </w:p>
          <w:p w:rsidR="00E11C89" w:rsidRPr="00DA7619" w:rsidRDefault="00E11C89" w:rsidP="002258F2">
            <w:pPr>
              <w:rPr>
                <w:rFonts w:ascii="Calibri" w:hAnsi="Calibri"/>
                <w:color w:val="000000"/>
              </w:rPr>
            </w:pPr>
            <w:r w:rsidRPr="00DA7619">
              <w:rPr>
                <w:sz w:val="20"/>
                <w:szCs w:val="20"/>
              </w:rPr>
              <w:t xml:space="preserve">For UNDP, net contributor countries (NCCs) are a special group that bring together the UN principle of universality with that of progressivity: All countries are eligible to participate in </w:t>
            </w:r>
            <w:r w:rsidR="002258F2" w:rsidRPr="00DA7619">
              <w:rPr>
                <w:sz w:val="20"/>
                <w:szCs w:val="20"/>
              </w:rPr>
              <w:t xml:space="preserve">UNDP </w:t>
            </w:r>
            <w:r w:rsidRPr="00DA7619">
              <w:rPr>
                <w:sz w:val="20"/>
                <w:szCs w:val="20"/>
              </w:rPr>
              <w:t>programmes, but those with higher levels of income are affected by policies that limit the</w:t>
            </w:r>
            <w:r w:rsidR="002258F2" w:rsidRPr="00DA7619">
              <w:rPr>
                <w:sz w:val="20"/>
                <w:szCs w:val="20"/>
              </w:rPr>
              <w:t xml:space="preserve"> </w:t>
            </w:r>
            <w:r w:rsidRPr="00DA7619">
              <w:rPr>
                <w:sz w:val="20"/>
                <w:szCs w:val="20"/>
              </w:rPr>
              <w:t>resources that can be provided by UNDP. The five NCCs within the group of Arab States—Bahrain, Kuwait, Libyan Arab Jamahiriya (Libya), Saudi Arabia and the United Arab Emirates</w:t>
            </w:r>
            <w:r w:rsidR="002258F2" w:rsidRPr="00DA7619">
              <w:rPr>
                <w:sz w:val="20"/>
                <w:szCs w:val="20"/>
              </w:rPr>
              <w:t xml:space="preserve"> </w:t>
            </w:r>
            <w:r w:rsidRPr="00DA7619">
              <w:rPr>
                <w:sz w:val="20"/>
                <w:szCs w:val="20"/>
              </w:rPr>
              <w:t>(UAE)—are busily adapting to fast-changing internal and external environments. Internally, all</w:t>
            </w:r>
            <w:r w:rsidR="002258F2" w:rsidRPr="00DA7619">
              <w:rPr>
                <w:sz w:val="20"/>
                <w:szCs w:val="20"/>
              </w:rPr>
              <w:t xml:space="preserve"> </w:t>
            </w:r>
            <w:r w:rsidRPr="00DA7619">
              <w:rPr>
                <w:sz w:val="20"/>
                <w:szCs w:val="20"/>
              </w:rPr>
              <w:t>five countries have recently experienced rapidly growing economies combined with moves towards</w:t>
            </w:r>
            <w:r w:rsidR="002258F2" w:rsidRPr="00DA7619">
              <w:rPr>
                <w:sz w:val="20"/>
                <w:szCs w:val="20"/>
              </w:rPr>
              <w:t xml:space="preserve"> </w:t>
            </w:r>
            <w:r w:rsidRPr="00DA7619">
              <w:rPr>
                <w:sz w:val="20"/>
                <w:szCs w:val="20"/>
              </w:rPr>
              <w:t>greater political openness. At the same time, they have had to adapt to the onward march of</w:t>
            </w:r>
            <w:r w:rsidR="002258F2" w:rsidRPr="00DA7619">
              <w:rPr>
                <w:sz w:val="20"/>
                <w:szCs w:val="20"/>
              </w:rPr>
              <w:t xml:space="preserve"> </w:t>
            </w:r>
            <w:r w:rsidRPr="00DA7619">
              <w:rPr>
                <w:sz w:val="20"/>
                <w:szCs w:val="20"/>
              </w:rPr>
              <w:t xml:space="preserve">globalization and the challenge of finding their role in this new external environment. This </w:t>
            </w:r>
            <w:r w:rsidR="00D86923" w:rsidRPr="00DA7619">
              <w:rPr>
                <w:sz w:val="20"/>
                <w:szCs w:val="20"/>
              </w:rPr>
              <w:t>shifting context</w:t>
            </w:r>
            <w:r w:rsidRPr="00DA7619">
              <w:rPr>
                <w:sz w:val="20"/>
                <w:szCs w:val="20"/>
              </w:rPr>
              <w:t xml:space="preserve"> suggests that UNDP’s relationship with these countries also needs to evolve (</w:t>
            </w:r>
            <w:r w:rsidR="00FE0894" w:rsidRPr="00DA7619">
              <w:rPr>
                <w:sz w:val="20"/>
                <w:szCs w:val="20"/>
              </w:rPr>
              <w:t xml:space="preserve">UNDP EO 2008, </w:t>
            </w:r>
            <w:r w:rsidRPr="00DA7619">
              <w:rPr>
                <w:sz w:val="20"/>
                <w:szCs w:val="20"/>
              </w:rPr>
              <w:t>p. vii).</w:t>
            </w:r>
          </w:p>
        </w:tc>
      </w:tr>
    </w:tbl>
    <w:p w:rsidR="00695460" w:rsidRPr="00DA7619" w:rsidRDefault="00B82A60" w:rsidP="00B82A60">
      <w:pPr>
        <w:pStyle w:val="Heading2"/>
        <w:numPr>
          <w:ilvl w:val="1"/>
          <w:numId w:val="1"/>
        </w:numPr>
      </w:pPr>
      <w:r w:rsidRPr="00DA7619">
        <w:t xml:space="preserve"> </w:t>
      </w:r>
      <w:bookmarkStart w:id="9" w:name="_Toc325940170"/>
      <w:r w:rsidR="007656CB" w:rsidRPr="00DA7619">
        <w:t>Framing</w:t>
      </w:r>
      <w:r w:rsidR="002B1675" w:rsidRPr="00DA7619">
        <w:t xml:space="preserve"> the Country Programme 2007-11</w:t>
      </w:r>
      <w:bookmarkEnd w:id="9"/>
    </w:p>
    <w:p w:rsidR="007656CB" w:rsidRPr="00DA7619" w:rsidRDefault="007656CB" w:rsidP="007656CB">
      <w:pPr>
        <w:pStyle w:val="Heading3"/>
        <w:numPr>
          <w:ilvl w:val="2"/>
          <w:numId w:val="1"/>
        </w:numPr>
      </w:pPr>
      <w:bookmarkStart w:id="10" w:name="_Toc325940171"/>
      <w:r w:rsidRPr="00DA7619">
        <w:t xml:space="preserve">The </w:t>
      </w:r>
      <w:r w:rsidR="006778DE" w:rsidRPr="00DA7619">
        <w:t xml:space="preserve">public sector and </w:t>
      </w:r>
      <w:r w:rsidRPr="00DA7619">
        <w:t>economic development setting</w:t>
      </w:r>
      <w:bookmarkEnd w:id="10"/>
    </w:p>
    <w:p w:rsidR="00317C0E" w:rsidRPr="00DA7619" w:rsidRDefault="006778DE" w:rsidP="00DB5C92">
      <w:r w:rsidRPr="00DA7619">
        <w:t xml:space="preserve">The Kingdom of Saudi Arabia has for some time used the strengths and worth of its public sector to assure stability of economic growth and development programmes.  </w:t>
      </w:r>
      <w:r w:rsidR="00317C0E" w:rsidRPr="00DA7619">
        <w:t xml:space="preserve">The 2007-11 period closed with the after-effects of a global financial crisis; however, KSA was able to employ fiscal stimulus via heavy spending in infrastructure projects and services to counteract the slowdown elsewhere in the economy.  Frequent use of such tools has led to the increasing role of the public sector as a key driver for the economy.  At the same time, the country’s plan objectives to diversify the economy out of </w:t>
      </w:r>
      <w:r w:rsidR="00317C0E" w:rsidRPr="00DA7619">
        <w:lastRenderedPageBreak/>
        <w:t xml:space="preserve">traditional and state-run oil revenue sources will place growing emphasis on the private sector.  The future for the public sector will more and more depend on its capacity to move on two paths:  to gradually exit some of its implementation and production activities, and to increasingly develop its role as the facilitator for </w:t>
      </w:r>
      <w:r w:rsidR="00EC06C6" w:rsidRPr="00DA7619">
        <w:t xml:space="preserve">all sectors, providing the legislative and regulatory framework.  </w:t>
      </w:r>
    </w:p>
    <w:p w:rsidR="00A93ADC" w:rsidRPr="00DA7619" w:rsidRDefault="002B1675" w:rsidP="00DB5C92">
      <w:pPr>
        <w:rPr>
          <w:rFonts w:cs="TimesNewRoman"/>
        </w:rPr>
      </w:pPr>
      <w:r w:rsidRPr="00DA7619">
        <w:t>In 2006, a</w:t>
      </w:r>
      <w:r w:rsidR="00B75A21" w:rsidRPr="00DA7619">
        <w:t xml:space="preserve">t the time of developing the </w:t>
      </w:r>
      <w:r w:rsidRPr="00DA7619">
        <w:t xml:space="preserve">2007-11 </w:t>
      </w:r>
      <w:r w:rsidR="00B75A21" w:rsidRPr="00DA7619">
        <w:t>country programme (CP)</w:t>
      </w:r>
      <w:r w:rsidR="00AC4974" w:rsidRPr="00DA7619">
        <w:t xml:space="preserve"> with UNDP,</w:t>
      </w:r>
      <w:r w:rsidR="00B75A21" w:rsidRPr="00DA7619">
        <w:t xml:space="preserve"> </w:t>
      </w:r>
      <w:r w:rsidR="00A93ADC" w:rsidRPr="00DA7619">
        <w:t xml:space="preserve">Saudi Arabia had a population of 22.7 million, of whom 6.1 million </w:t>
      </w:r>
      <w:r w:rsidR="005F0AAA" w:rsidRPr="00DA7619">
        <w:t xml:space="preserve">or 27 percent </w:t>
      </w:r>
      <w:r w:rsidR="00A93ADC" w:rsidRPr="00DA7619">
        <w:t>were expatriates.</w:t>
      </w:r>
      <w:r w:rsidR="009D505C" w:rsidRPr="00DA7619">
        <w:rPr>
          <w:rStyle w:val="FootnoteReference"/>
        </w:rPr>
        <w:footnoteReference w:id="3"/>
      </w:r>
      <w:r w:rsidR="00A93ADC" w:rsidRPr="00DA7619">
        <w:t xml:space="preserve">  These numbers posed a particular human development challenge, </w:t>
      </w:r>
      <w:r w:rsidR="005B3980" w:rsidRPr="00DA7619">
        <w:t>as the country envisaged</w:t>
      </w:r>
      <w:r w:rsidR="00A93ADC" w:rsidRPr="00DA7619">
        <w:t xml:space="preserve"> </w:t>
      </w:r>
      <w:r w:rsidR="00A93ADC" w:rsidRPr="00DA7619">
        <w:rPr>
          <w:rFonts w:cs="TimesNewRoman"/>
        </w:rPr>
        <w:t xml:space="preserve">a gradual shift away from dependence on expatriate labour, and </w:t>
      </w:r>
      <w:r w:rsidR="005B3980" w:rsidRPr="00DA7619">
        <w:rPr>
          <w:rFonts w:cs="TimesNewRoman"/>
        </w:rPr>
        <w:t>the creation of</w:t>
      </w:r>
      <w:r w:rsidR="00A93ADC" w:rsidRPr="00DA7619">
        <w:rPr>
          <w:rFonts w:cs="TimesNewRoman"/>
        </w:rPr>
        <w:t xml:space="preserve"> an environment for viable, value-adding and sustainable employment opportunities for new entrants in the labour market, especially youth and women.</w:t>
      </w:r>
      <w:r w:rsidR="009C4E28" w:rsidRPr="00DA7619">
        <w:rPr>
          <w:rFonts w:cs="TimesNewRoman"/>
        </w:rPr>
        <w:t xml:space="preserve">  Earning relatively high annual revenues from natural resources, Saudi Arabia had invested significantly in physical infrastructure during the </w:t>
      </w:r>
      <w:r w:rsidR="005B3980" w:rsidRPr="00DA7619">
        <w:rPr>
          <w:rFonts w:cs="TimesNewRoman"/>
        </w:rPr>
        <w:t>previous</w:t>
      </w:r>
      <w:r w:rsidR="009C4E28" w:rsidRPr="00DA7619">
        <w:rPr>
          <w:rFonts w:cs="TimesNewRoman"/>
        </w:rPr>
        <w:t xml:space="preserve"> few decades, in road networks, housing, hospitals, schools and </w:t>
      </w:r>
      <w:r w:rsidR="005B3980" w:rsidRPr="00DA7619">
        <w:rPr>
          <w:rFonts w:cs="TimesNewRoman"/>
        </w:rPr>
        <w:t>more</w:t>
      </w:r>
      <w:r w:rsidR="009C4E28" w:rsidRPr="00DA7619">
        <w:rPr>
          <w:rFonts w:cs="TimesNewRoman"/>
        </w:rPr>
        <w:t xml:space="preserve"> recently, the information technology infrastructure. The economy had gradually reduced dependence on oil revenues by diversifying into export industries such as metals, plastics and chemicals. Gross domestic product, always impacted by global oil prices, after two decades of slow growth and </w:t>
      </w:r>
      <w:r w:rsidR="00E9436D" w:rsidRPr="00DA7619">
        <w:rPr>
          <w:rFonts w:cs="TimesNewRoman"/>
        </w:rPr>
        <w:t xml:space="preserve">budget and trade deficits </w:t>
      </w:r>
      <w:r w:rsidR="009C4E28" w:rsidRPr="00DA7619">
        <w:rPr>
          <w:rFonts w:cs="TimesNewRoman"/>
        </w:rPr>
        <w:t>recorded surpluses in 2004 an</w:t>
      </w:r>
      <w:r w:rsidR="00E9436D" w:rsidRPr="00DA7619">
        <w:rPr>
          <w:rFonts w:cs="TimesNewRoman"/>
        </w:rPr>
        <w:t>d 2005, when growth rates of 5.3</w:t>
      </w:r>
      <w:r w:rsidR="009C4E28" w:rsidRPr="00DA7619">
        <w:rPr>
          <w:rFonts w:cs="TimesNewRoman"/>
        </w:rPr>
        <w:t xml:space="preserve"> per cent and </w:t>
      </w:r>
      <w:r w:rsidR="00E9436D" w:rsidRPr="00DA7619">
        <w:rPr>
          <w:rFonts w:cs="TimesNewRoman"/>
        </w:rPr>
        <w:t>5.6</w:t>
      </w:r>
      <w:r w:rsidR="009C4E28" w:rsidRPr="00DA7619">
        <w:rPr>
          <w:rFonts w:cs="TimesNewRoman"/>
        </w:rPr>
        <w:t xml:space="preserve"> per cent, respectively, were recorded</w:t>
      </w:r>
      <w:r w:rsidR="003A322E" w:rsidRPr="00DA7619">
        <w:rPr>
          <w:rFonts w:cs="TimesNewRoman"/>
        </w:rPr>
        <w:t>.</w:t>
      </w:r>
      <w:r w:rsidR="00E9436D" w:rsidRPr="00DA7619">
        <w:rPr>
          <w:rFonts w:cs="TimesNewRoman"/>
        </w:rPr>
        <w:t xml:space="preserve"> </w:t>
      </w:r>
      <w:r w:rsidR="003A322E" w:rsidRPr="00DA7619">
        <w:t>To sustain and strengthen the momentum towards economic growth resulting from its 2005 accession to the World Trade Organization (WTO), the Government was making efforts to improve the investment climate in the country</w:t>
      </w:r>
      <w:r w:rsidR="00F81EF9" w:rsidRPr="00DA7619">
        <w:t xml:space="preserve"> </w:t>
      </w:r>
      <w:r w:rsidR="007D6549" w:rsidRPr="00DA7619">
        <w:rPr>
          <w:rFonts w:cs="TimesNewRoman"/>
        </w:rPr>
        <w:fldChar w:fldCharType="begin"/>
      </w:r>
      <w:r w:rsidR="00DB11E7">
        <w:rPr>
          <w:rFonts w:cs="TimesNewRoman"/>
        </w:rPr>
        <w:instrText xml:space="preserve"> ADDIN EN.CITE &lt;EndNote&gt;&lt;Cite&gt;&lt;Author&gt;UNDP Saudi Arabia&lt;/Author&gt;&lt;Year&gt;2006&lt;/Year&gt;&lt;RecNum&gt;1054&lt;/RecNum&gt;&lt;Suffix&gt;, p. 2&lt;/Suffix&gt;&lt;record&gt;&lt;rec-number&gt;1054&lt;/rec-number&gt;&lt;ref-type name="Report"&gt;27&lt;/ref-type&gt;&lt;contributors&gt;&lt;authors&gt;&lt;author&gt;UNDP Saudi Arabia,&lt;/author&gt;&lt;/authors&gt;&lt;/contributors&gt;&lt;titles&gt;&lt;title&gt;Country programme document for Saudi Arabia (2007-2011)&lt;/title&gt;&lt;/titles&gt;&lt;pages&gt;9&lt;/pages&gt;&lt;dates&gt;&lt;year&gt;2006&lt;/year&gt;&lt;/dates&gt;&lt;pub-location&gt;New York&lt;/pub-location&gt;&lt;publisher&gt;Executive Board of the United Nations Development Programme and of the United Nations Population Fund&lt;/publisher&gt;&lt;urls&gt;&lt;related-urls&gt;&lt;url&gt;http://www.undp.org.sa/sa/documents/home/cpd_2007_2011.pdf&lt;/url&gt;&lt;/related-urls&gt;&lt;/urls&gt;&lt;/record&gt;&lt;/Cite&gt;&lt;/EndNote&gt;</w:instrText>
      </w:r>
      <w:r w:rsidR="007D6549" w:rsidRPr="00DA7619">
        <w:rPr>
          <w:rFonts w:cs="TimesNewRoman"/>
        </w:rPr>
        <w:fldChar w:fldCharType="separate"/>
      </w:r>
      <w:r w:rsidR="005B3980" w:rsidRPr="00DA7619">
        <w:rPr>
          <w:rFonts w:cs="TimesNewRoman"/>
        </w:rPr>
        <w:t>(UNDP Saudi Arabia 2006, p. 2)</w:t>
      </w:r>
      <w:r w:rsidR="007D6549" w:rsidRPr="00DA7619">
        <w:rPr>
          <w:rFonts w:cs="TimesNewRoman"/>
        </w:rPr>
        <w:fldChar w:fldCharType="end"/>
      </w:r>
      <w:r w:rsidR="00E9436D" w:rsidRPr="00DA7619">
        <w:rPr>
          <w:rFonts w:cs="TimesNewRoman"/>
        </w:rPr>
        <w:t xml:space="preserve"> </w:t>
      </w:r>
      <w:r w:rsidR="007D6549" w:rsidRPr="00DA7619">
        <w:rPr>
          <w:rFonts w:cs="TimesNewRoman"/>
        </w:rPr>
        <w:fldChar w:fldCharType="begin"/>
      </w:r>
      <w:r w:rsidR="00DB11E7">
        <w:rPr>
          <w:rFonts w:cs="TimesNewRoman"/>
        </w:rPr>
        <w:instrText xml:space="preserve"> ADDIN EN.CITE &lt;EndNote&gt;&lt;Cite&gt;&lt;Author&gt;World Bank&lt;/Author&gt;&lt;Year&gt;various years&lt;/Year&gt;&lt;RecNum&gt;1058&lt;/RecNum&gt;&lt;record&gt;&lt;rec-number&gt;1058&lt;/rec-number&gt;&lt;ref-type name="Online Database"&gt;45&lt;/ref-type&gt;&lt;contributors&gt;&lt;authors&gt;&lt;author&gt;World Bank,&lt;/author&gt;&lt;/authors&gt;&lt;/contributors&gt;&lt;titles&gt;&lt;title&gt;World Development Indicators&lt;/title&gt;&lt;/titles&gt;&lt;dates&gt;&lt;year&gt;various years&lt;/year&gt;&lt;pub-dates&gt;&lt;date&gt;GDP growth (annual %) &lt;/date&gt;&lt;/pub-dates&gt;&lt;/dates&gt;&lt;publisher&gt;International Bank for Reconstruction and Development (The World Bank)&lt;/publisher&gt;&lt;urls&gt;&lt;related-urls&gt;&lt;url&gt;http://data.worldbank.org/indicator/NY.GDP.MKTP.KD.ZG?page=1&lt;/url&gt;&lt;/related-urls&gt;&lt;/urls&gt;&lt;/record&gt;&lt;/Cite&gt;&lt;/EndNote&gt;</w:instrText>
      </w:r>
      <w:r w:rsidR="007D6549" w:rsidRPr="00DA7619">
        <w:rPr>
          <w:rFonts w:cs="TimesNewRoman"/>
        </w:rPr>
        <w:fldChar w:fldCharType="separate"/>
      </w:r>
      <w:r w:rsidR="00E9436D" w:rsidRPr="00DA7619">
        <w:rPr>
          <w:rFonts w:cs="TimesNewRoman"/>
        </w:rPr>
        <w:t>(World Bank various years)</w:t>
      </w:r>
      <w:r w:rsidR="007D6549" w:rsidRPr="00DA7619">
        <w:rPr>
          <w:rFonts w:cs="TimesNewRoman"/>
        </w:rPr>
        <w:fldChar w:fldCharType="end"/>
      </w:r>
      <w:r w:rsidR="009C4E28" w:rsidRPr="00DA7619">
        <w:rPr>
          <w:rFonts w:cs="TimesNewRoman"/>
        </w:rPr>
        <w:t>.</w:t>
      </w:r>
    </w:p>
    <w:p w:rsidR="003A322E" w:rsidRPr="00DA7619" w:rsidRDefault="00F81EF9" w:rsidP="00DB5C92">
      <w:r w:rsidRPr="00DA7619">
        <w:t>As the CP stated, i</w:t>
      </w:r>
      <w:r w:rsidR="003A322E" w:rsidRPr="00DA7619">
        <w:t xml:space="preserve">n terms of social development, the country had made major achievements. It was well on its way to achieving the Millennium Development Goals (MDGs) by 2015. The extreme poverty rate in the country </w:t>
      </w:r>
      <w:r w:rsidRPr="00DA7619">
        <w:t>had declined to</w:t>
      </w:r>
      <w:r w:rsidR="003A322E" w:rsidRPr="00DA7619">
        <w:t xml:space="preserve"> 1.6 per cent. The enrolment rate in primary education was 94.5 per cent for boys and 93 per cent for girls, and the net enrolment in secondary and tertiary education was 65 per cent for both.</w:t>
      </w:r>
      <w:r w:rsidR="002F771E" w:rsidRPr="00DA7619">
        <w:t xml:space="preserve">  While </w:t>
      </w:r>
      <w:r w:rsidR="003A322E" w:rsidRPr="00DA7619">
        <w:t xml:space="preserve">the unemployment rate for females remained higher than for males, the gap </w:t>
      </w:r>
      <w:r w:rsidR="002F771E" w:rsidRPr="00DA7619">
        <w:t xml:space="preserve">seemed to be </w:t>
      </w:r>
      <w:r w:rsidR="003A322E" w:rsidRPr="00DA7619">
        <w:t>closing. The under-five child mortality rate was 22.4 per 1,000 births, and the maternal mortality rate was 1.4 per 100,000 live births. The cumulative number of reported cases of HIV/AIDS-infected people since 1984 was estimated at 10,000</w:t>
      </w:r>
      <w:r w:rsidR="006001BB" w:rsidRPr="00DA7619">
        <w:t xml:space="preserve"> (p. 2)</w:t>
      </w:r>
      <w:r w:rsidR="003A322E" w:rsidRPr="00DA7619">
        <w:t>.</w:t>
      </w:r>
    </w:p>
    <w:p w:rsidR="006F7AC5" w:rsidRPr="00DA7619" w:rsidRDefault="006F7AC5" w:rsidP="006F7AC5">
      <w:r w:rsidRPr="00DA7619">
        <w:t>Many public construction projects have been undertaken throughout the Kingdom of Saudi Arabia as part of the government’s national development plans in the last three decades, with significant public expenditure involved.  One of the critical problems concerning these projects is the frequent</w:t>
      </w:r>
      <w:r w:rsidR="00C06266">
        <w:t xml:space="preserve"> and lengthy delays that occur</w:t>
      </w:r>
      <w:r w:rsidRPr="00DA7619">
        <w:t xml:space="preserve">. It is found the most influencing current cause of delay is the lack of qualified and experienced personnel – attributed to the considerable amount of large, innovative, construction projects and associated current undersupply of manpower in the industry </w:t>
      </w:r>
      <w:r w:rsidR="007D6549" w:rsidRPr="00DA7619">
        <w:fldChar w:fldCharType="begin"/>
      </w:r>
      <w:r w:rsidR="00DB11E7">
        <w:instrText xml:space="preserve"> ADDIN EN.CITE &lt;EndNote&gt;&lt;Cite&gt;&lt;Author&gt;Al-Karashi&lt;/Author&gt;&lt;Year&gt;2009&lt;/Year&gt;&lt;RecNum&gt;1090&lt;/RecNum&gt;&lt;record&gt;&lt;rec-number&gt;1090&lt;/rec-number&gt;&lt;ref-type name="Journal Article"&gt;17&lt;/ref-type&gt;&lt;contributors&gt;&lt;authors&gt;&lt;author&gt;Adel Al-Karashi&lt;/author&gt;&lt;author&gt;Martin Skitmore&lt;/author&gt;&lt;/authors&gt;&lt;/contributors&gt;&lt;titles&gt;&lt;title&gt;Causes of delays in Saudi Arabian public sector construction projects&lt;/title&gt;&lt;secondary-title&gt;Construction Management and Economics, Routledge&lt;/secondary-title&gt;&lt;/titles&gt;&lt;periodical&gt;&lt;full-title&gt;Construction Management and Economics, Routledge&lt;/full-title&gt;&lt;/periodical&gt;&lt;pages&gt; 3-23&lt;/pages&gt;&lt;volume&gt;27&lt;/volume&gt;&lt;number&gt;1&lt;/number&gt;&lt;dates&gt;&lt;year&gt;2009&lt;/year&gt;&lt;/dates&gt;&lt;urls&gt;&lt;related-urls&gt;&lt;url&gt;http://eprints.qut.edu.au/21066/1/c21066.pdf&lt;/url&gt;&lt;/related-urls&gt;&lt;/urls&gt;&lt;/record&gt;&lt;/Cite&gt;&lt;/EndNote&gt;</w:instrText>
      </w:r>
      <w:r w:rsidR="007D6549" w:rsidRPr="00DA7619">
        <w:fldChar w:fldCharType="separate"/>
      </w:r>
      <w:r w:rsidRPr="00DA7619">
        <w:t>(Al-Karashi and Skitmore 2009)</w:t>
      </w:r>
      <w:r w:rsidR="007D6549" w:rsidRPr="00DA7619">
        <w:fldChar w:fldCharType="end"/>
      </w:r>
      <w:r w:rsidRPr="00DA7619">
        <w:t>.</w:t>
      </w:r>
    </w:p>
    <w:p w:rsidR="005C7FDF" w:rsidRPr="00DA7619" w:rsidRDefault="005C7FDF" w:rsidP="005D4CF2">
      <w:pPr>
        <w:pStyle w:val="Heading2"/>
        <w:numPr>
          <w:ilvl w:val="1"/>
          <w:numId w:val="1"/>
        </w:numPr>
      </w:pPr>
      <w:bookmarkStart w:id="11" w:name="_Toc325940172"/>
      <w:r w:rsidRPr="00DA7619">
        <w:t>Country Programme</w:t>
      </w:r>
      <w:r w:rsidR="00DF1BE4" w:rsidRPr="00DA7619">
        <w:t xml:space="preserve"> </w:t>
      </w:r>
      <w:r w:rsidRPr="00DA7619">
        <w:t>Outcomes</w:t>
      </w:r>
      <w:bookmarkEnd w:id="11"/>
    </w:p>
    <w:p w:rsidR="00146C36" w:rsidRPr="00DA7619" w:rsidRDefault="00A93ADC" w:rsidP="00F84E01">
      <w:r w:rsidRPr="00DA7619">
        <w:t xml:space="preserve">The CP was </w:t>
      </w:r>
      <w:r w:rsidR="00DB5C92" w:rsidRPr="00DA7619">
        <w:t xml:space="preserve">drafted, as </w:t>
      </w:r>
      <w:r w:rsidR="002F771E" w:rsidRPr="00DA7619">
        <w:t xml:space="preserve">we have </w:t>
      </w:r>
      <w:r w:rsidR="00DB5C92" w:rsidRPr="00DA7619">
        <w:t>noted in the Introduction,</w:t>
      </w:r>
      <w:r w:rsidRPr="00DA7619">
        <w:t xml:space="preserve"> on </w:t>
      </w:r>
      <w:r w:rsidR="00882F51" w:rsidRPr="00DA7619">
        <w:t xml:space="preserve">the basis of the country’s </w:t>
      </w:r>
      <w:r w:rsidRPr="00DA7619">
        <w:t>national priorities as reflected in the eighth national</w:t>
      </w:r>
      <w:r w:rsidR="006001BB" w:rsidRPr="00DA7619">
        <w:t xml:space="preserve"> </w:t>
      </w:r>
      <w:r w:rsidRPr="00DA7619">
        <w:t>development plan</w:t>
      </w:r>
      <w:r w:rsidR="00DE688C" w:rsidRPr="00DA7619">
        <w:t>,</w:t>
      </w:r>
      <w:r w:rsidRPr="00DA7619">
        <w:t xml:space="preserve"> and </w:t>
      </w:r>
      <w:r w:rsidR="003F58FA" w:rsidRPr="00DA7619">
        <w:t xml:space="preserve">on </w:t>
      </w:r>
      <w:r w:rsidRPr="00DA7619">
        <w:t>a review of the previous country</w:t>
      </w:r>
      <w:r w:rsidR="006001BB" w:rsidRPr="00DA7619">
        <w:t xml:space="preserve"> </w:t>
      </w:r>
      <w:r w:rsidRPr="00DA7619">
        <w:t>cooperation framework (CCF) for 2001-2005</w:t>
      </w:r>
      <w:r w:rsidR="006001BB" w:rsidRPr="00DA7619">
        <w:t xml:space="preserve">.  </w:t>
      </w:r>
      <w:r w:rsidR="005C7FDF" w:rsidRPr="00DA7619">
        <w:t>Over the course of its delivery, the CP was articulated in several documents.</w:t>
      </w:r>
      <w:r w:rsidR="00634691" w:rsidRPr="00DA7619">
        <w:t xml:space="preserve">  The statement of the Outcomes and indicators for these was modified as experience was reviewed</w:t>
      </w:r>
      <w:r w:rsidR="002F276F" w:rsidRPr="00DA7619">
        <w:t xml:space="preserve">, and as government objectives were shaped in the lead-up to the </w:t>
      </w:r>
      <w:r w:rsidR="002F276F" w:rsidRPr="00DA7619">
        <w:lastRenderedPageBreak/>
        <w:t>ninth plan</w:t>
      </w:r>
      <w:r w:rsidR="00634691" w:rsidRPr="00DA7619">
        <w:t xml:space="preserve">.  </w:t>
      </w:r>
      <w:r w:rsidR="00B63C20" w:rsidRPr="00DA7619">
        <w:t>Outcome</w:t>
      </w:r>
      <w:r w:rsidR="00423921" w:rsidRPr="00DA7619">
        <w:t xml:space="preserve"> 3</w:t>
      </w:r>
      <w:r w:rsidR="00B63C20" w:rsidRPr="00DA7619">
        <w:t xml:space="preserve">, </w:t>
      </w:r>
      <w:r w:rsidR="00964A02" w:rsidRPr="00DA7619">
        <w:t xml:space="preserve">which is </w:t>
      </w:r>
      <w:r w:rsidR="00B63C20" w:rsidRPr="00DA7619">
        <w:t xml:space="preserve">the subject of this report, </w:t>
      </w:r>
      <w:r w:rsidR="00146C36" w:rsidRPr="00DA7619">
        <w:t>focused on support for government’s modernization and improvement of it services to the population and contribution to the development of the nation</w:t>
      </w:r>
      <w:r w:rsidR="00B63C20" w:rsidRPr="00DA7619">
        <w:t>:  “</w:t>
      </w:r>
      <w:r w:rsidR="00964A02" w:rsidRPr="00DA7619">
        <w:t>Public institutions at the national and regional level more capable to respond to citizens needs in quality and effectiveness of services</w:t>
      </w:r>
      <w:r w:rsidR="00B63C20" w:rsidRPr="00DA7619">
        <w:t xml:space="preserve">.”  </w:t>
      </w:r>
      <w:r w:rsidR="00423921" w:rsidRPr="00DA7619">
        <w:t xml:space="preserve">The baseline from which the government and its partners </w:t>
      </w:r>
      <w:r w:rsidR="00F84E01" w:rsidRPr="00DA7619">
        <w:t xml:space="preserve">worked </w:t>
      </w:r>
      <w:r w:rsidR="00423921" w:rsidRPr="00DA7619">
        <w:t xml:space="preserve">was:  Quality service delivery is challenged by population growth and regional development </w:t>
      </w:r>
      <w:r w:rsidR="007D6549" w:rsidRPr="00DA7619">
        <w:fldChar w:fldCharType="begin"/>
      </w:r>
      <w:r w:rsidR="00DB11E7">
        <w:instrText xml:space="preserve"> ADDIN EN.CITE &lt;EndNote&gt;&lt;Cite&gt;&lt;Author&gt;UNDP Saudi Arabia&lt;/Author&gt;&lt;Year&gt;2006&lt;/Year&gt;&lt;RecNum&gt;1054&lt;/RecNum&gt;&lt;Suffix&gt;, p. 7&lt;/Suffix&gt;&lt;record&gt;&lt;rec-number&gt;1054&lt;/rec-number&gt;&lt;ref-type name="Report"&gt;27&lt;/ref-type&gt;&lt;contributors&gt;&lt;authors&gt;&lt;author&gt;UNDP Saudi Arabia,&lt;/author&gt;&lt;/authors&gt;&lt;/contributors&gt;&lt;titles&gt;&lt;title&gt;Country programme document for Saudi Arabia (2007-2011)&lt;/title&gt;&lt;/titles&gt;&lt;pages&gt;9&lt;/pages&gt;&lt;dates&gt;&lt;year&gt;2006&lt;/year&gt;&lt;/dates&gt;&lt;pub-location&gt;New York&lt;/pub-location&gt;&lt;publisher&gt;Executive Board of the United Nations Development Programme and of the United Nations Population Fund&lt;/publisher&gt;&lt;urls&gt;&lt;related-urls&gt;&lt;url&gt;http://www.undp.org.sa/sa/documents/home/cpd_2007_2011.pdf&lt;/url&gt;&lt;/related-urls&gt;&lt;/urls&gt;&lt;/record&gt;&lt;/Cite&gt;&lt;/EndNote&gt;</w:instrText>
      </w:r>
      <w:r w:rsidR="007D6549" w:rsidRPr="00DA7619">
        <w:fldChar w:fldCharType="separate"/>
      </w:r>
      <w:r w:rsidR="00E3413B" w:rsidRPr="00DA7619">
        <w:t>(UNDP Saudi Arabia 2006, p. 7)</w:t>
      </w:r>
      <w:r w:rsidR="007D6549" w:rsidRPr="00DA7619">
        <w:fldChar w:fldCharType="end"/>
      </w:r>
      <w:r w:rsidR="00C156D6" w:rsidRPr="00DA7619">
        <w:t>.</w:t>
      </w:r>
      <w:r w:rsidR="00F31561" w:rsidRPr="00DA7619">
        <w:t xml:space="preserve"> </w:t>
      </w:r>
    </w:p>
    <w:p w:rsidR="00423921" w:rsidRPr="00DA7619" w:rsidRDefault="00F31561" w:rsidP="00F84E01">
      <w:r w:rsidRPr="00DA7619">
        <w:t xml:space="preserve"> </w:t>
      </w:r>
      <w:r w:rsidR="00423921" w:rsidRPr="00DA7619">
        <w:t>Th</w:t>
      </w:r>
      <w:r w:rsidR="00F84E01" w:rsidRPr="00DA7619">
        <w:t xml:space="preserve">e outcome </w:t>
      </w:r>
      <w:r w:rsidR="00423921" w:rsidRPr="00DA7619">
        <w:t>was also articulated in the CPAP</w:t>
      </w:r>
      <w:r w:rsidR="00F84E01" w:rsidRPr="00DA7619">
        <w:t>, stating that the programme would contribute to the evolution of a more</w:t>
      </w:r>
      <w:r w:rsidR="00423921" w:rsidRPr="00DA7619">
        <w:t xml:space="preserve"> efficient and accountable public sector and institutions </w:t>
      </w:r>
      <w:r w:rsidR="007D6549" w:rsidRPr="00DA7619">
        <w:fldChar w:fldCharType="begin"/>
      </w:r>
      <w:r w:rsidR="00DB11E7">
        <w:instrText xml:space="preserve"> ADDIN EN.CITE &lt;EndNote&gt;&lt;Cite&gt;&lt;Author&gt;UNDP Saudi Arabia&lt;/Author&gt;&lt;Year&gt;2008&lt;/Year&gt;&lt;RecNum&gt;1056&lt;/RecNum&gt;&lt;record&gt;&lt;rec-number&gt;1056&lt;/rec-number&gt;&lt;ref-type name="Report"&gt;27&lt;/ref-type&gt;&lt;contributors&gt;&lt;authors&gt;&lt;author&gt;UNDP Saudi Arabia,&lt;/author&gt;&lt;/authors&gt;&lt;/contributors&gt;&lt;titles&gt;&lt;title&gt;Country Programme Action Plan&lt;/title&gt;&lt;/titles&gt;&lt;pages&gt;9&lt;/pages&gt;&lt;dates&gt;&lt;year&gt;2008&lt;/year&gt;&lt;/dates&gt;&lt;pub-location&gt;Riyadh&lt;/pub-location&gt;&lt;publisher&gt;Government of the Kingdom of Saudi Arabia and UNDP SA Country Office&lt;/publisher&gt;&lt;urls&gt;&lt;related-urls&gt;&lt;url&gt;www.undp.org.sa/sa/.../cpap_narrative_review_final-mwt-matrix.doc&lt;/url&gt;&lt;/related-urls&gt;&lt;/urls&gt;&lt;research-notes&gt;link ?? dsnt work, but doc found Srch - COMMON FRAMEWORK FOR THE COUNTRY PROGRAMME ...&amp;#xD;or, try:  saudi cpap rrf&lt;/research-notes&gt;&lt;/record&gt;&lt;/Cite&gt;&lt;/EndNote&gt;</w:instrText>
      </w:r>
      <w:r w:rsidR="007D6549" w:rsidRPr="00DA7619">
        <w:fldChar w:fldCharType="separate"/>
      </w:r>
      <w:r w:rsidR="00423921" w:rsidRPr="00DA7619">
        <w:t>(UNDP Saudi Arabia 2008)</w:t>
      </w:r>
      <w:r w:rsidR="007D6549" w:rsidRPr="00DA7619">
        <w:fldChar w:fldCharType="end"/>
      </w:r>
      <w:r w:rsidR="00423921" w:rsidRPr="00DA7619">
        <w:t>.</w:t>
      </w:r>
      <w:r w:rsidR="00F84E01" w:rsidRPr="00DA7619">
        <w:t xml:space="preserve">  </w:t>
      </w:r>
      <w:r w:rsidR="00146C36" w:rsidRPr="00DA7619">
        <w:t>A later</w:t>
      </w:r>
      <w:r w:rsidR="00F84E01" w:rsidRPr="00DA7619">
        <w:t xml:space="preserve"> review of the performance of the programme reported that the</w:t>
      </w:r>
      <w:r w:rsidR="00F84E01" w:rsidRPr="00DA7619">
        <w:rPr>
          <w:rFonts w:ascii="Arial Narrow" w:hAnsi="Arial Narrow" w:cs="Arial"/>
          <w:shadow/>
          <w:sz w:val="16"/>
          <w:szCs w:val="16"/>
        </w:rPr>
        <w:t xml:space="preserve"> p</w:t>
      </w:r>
      <w:r w:rsidR="00F84E01" w:rsidRPr="00DA7619">
        <w:t xml:space="preserve">erformance of the public sector had indeed been enhanced, and that public institutions at the national and regional level were, by the end of the CP, more capable to respond to citizens needs in quality and effectiveness of services </w:t>
      </w:r>
      <w:r w:rsidR="007D6549" w:rsidRPr="00DA7619">
        <w:fldChar w:fldCharType="begin"/>
      </w:r>
      <w:r w:rsidR="00DB11E7">
        <w:instrText xml:space="preserve"> ADDIN EN.CITE &lt;EndNote&gt;&lt;Cite&gt;&lt;Author&gt;UNDP Saudi Arabia&lt;/Author&gt;&lt;Year&gt;2011&lt;/Year&gt;&lt;RecNum&gt;1057&lt;/RecNum&gt;&lt;record&gt;&lt;rec-number&gt;1057&lt;/rec-number&gt;&lt;ref-type name="Report"&gt;27&lt;/ref-type&gt;&lt;contributors&gt;&lt;authors&gt;&lt;author&gt;UNDP Saudi Arabia,&lt;/author&gt;&lt;/authors&gt;&lt;/contributors&gt;&lt;titles&gt;&lt;title&gt;Country Programme Performance Summary&lt;/title&gt;&lt;/titles&gt;&lt;pages&gt;8&lt;/pages&gt;&lt;dates&gt;&lt;year&gt;2011&lt;/year&gt;&lt;/dates&gt;&lt;pub-location&gt;Riyadh&lt;/pub-location&gt;&lt;publisher&gt;UNDP&lt;/publisher&gt;&lt;urls&gt;&lt;related-urls&gt;&lt;url&gt;web.undp.org/.../SAU%20Statement_of_challenges_and_performance &lt;/url&gt;&lt;/related-urls&gt;&lt;/urls&gt;&lt;research-notes&gt;text is saved in Countries/SA/Docs Outcome Eval&lt;/research-notes&gt;&lt;/record&gt;&lt;/Cite&gt;&lt;/EndNote&gt;</w:instrText>
      </w:r>
      <w:r w:rsidR="007D6549" w:rsidRPr="00DA7619">
        <w:fldChar w:fldCharType="separate"/>
      </w:r>
      <w:r w:rsidR="00F84E01" w:rsidRPr="00DA7619">
        <w:t>(UNDP Saudi Arabia 2011)</w:t>
      </w:r>
      <w:r w:rsidR="007D6549" w:rsidRPr="00DA7619">
        <w:fldChar w:fldCharType="end"/>
      </w:r>
      <w:r w:rsidR="00F84E01" w:rsidRPr="00DA7619">
        <w:t>.</w:t>
      </w:r>
    </w:p>
    <w:p w:rsidR="006557A3" w:rsidRPr="00DA7619" w:rsidRDefault="00C82A7C" w:rsidP="00D26309">
      <w:pPr>
        <w:pStyle w:val="Heading3"/>
        <w:numPr>
          <w:ilvl w:val="2"/>
          <w:numId w:val="1"/>
        </w:numPr>
      </w:pPr>
      <w:bookmarkStart w:id="12" w:name="_Toc325940173"/>
      <w:r w:rsidRPr="00DA7619">
        <w:t>Outcome 3</w:t>
      </w:r>
      <w:r w:rsidR="006557A3" w:rsidRPr="00DA7619">
        <w:t xml:space="preserve">:  </w:t>
      </w:r>
      <w:r w:rsidRPr="00DA7619">
        <w:t>Public Sector Performance</w:t>
      </w:r>
      <w:bookmarkEnd w:id="12"/>
    </w:p>
    <w:p w:rsidR="008D76D0" w:rsidRPr="00DA7619" w:rsidRDefault="00976006" w:rsidP="008D76D0">
      <w:r w:rsidRPr="00DA7619">
        <w:rPr>
          <w:color w:val="000000"/>
        </w:rPr>
        <w:t xml:space="preserve">As section 2.3 explains, the Outcome statement used in this Evaluation is the version on which the Terms of Reference are based, which in </w:t>
      </w:r>
      <w:r w:rsidRPr="00DA7619">
        <w:t xml:space="preserve">turn is taken from the CPAP (2008).  </w:t>
      </w:r>
      <w:r w:rsidR="00B138FC" w:rsidRPr="00DA7619">
        <w:t>The statement reads</w:t>
      </w:r>
      <w:r w:rsidR="00A24129" w:rsidRPr="00DA7619">
        <w:t>:  “Outcome 3</w:t>
      </w:r>
      <w:r w:rsidRPr="00DA7619">
        <w:t xml:space="preserve">. </w:t>
      </w:r>
      <w:r w:rsidR="00C82A7C" w:rsidRPr="00DA7619">
        <w:t>An efficient and accountable public sector and institutions in place</w:t>
      </w:r>
      <w:r w:rsidR="00DB132A" w:rsidRPr="00DA7619">
        <w:t>”</w:t>
      </w:r>
      <w:r w:rsidR="00446E34" w:rsidRPr="00DA7619">
        <w:t xml:space="preserve">.  </w:t>
      </w:r>
      <w:r w:rsidR="008D76D0" w:rsidRPr="00DA7619">
        <w:t xml:space="preserve">The </w:t>
      </w:r>
      <w:r w:rsidR="008D76D0" w:rsidRPr="00DA7619">
        <w:rPr>
          <w:b/>
          <w:i/>
        </w:rPr>
        <w:t>baseline</w:t>
      </w:r>
      <w:r w:rsidR="008D76D0" w:rsidRPr="00DA7619">
        <w:t>, or short summary of the prevailing situation with respect to Outcome 3 and its target indicators had been set out succinctly in the CPD:  “Quality service delivery is challenged by population growth and regional development” (UNDP 2006).</w:t>
      </w:r>
    </w:p>
    <w:p w:rsidR="00B8283A" w:rsidRPr="00DA7619" w:rsidRDefault="00DF6448" w:rsidP="00976006">
      <w:r w:rsidRPr="00DA7619">
        <w:t xml:space="preserve">The </w:t>
      </w:r>
      <w:r w:rsidR="002F771E" w:rsidRPr="00DA7619">
        <w:t xml:space="preserve">Outcome </w:t>
      </w:r>
      <w:r w:rsidR="00B138FC" w:rsidRPr="00DA7619">
        <w:t>i</w:t>
      </w:r>
      <w:r w:rsidR="002F771E" w:rsidRPr="00DA7619">
        <w:t>ndicators</w:t>
      </w:r>
      <w:r w:rsidRPr="00DA7619">
        <w:t xml:space="preserve"> </w:t>
      </w:r>
      <w:r w:rsidR="008D76D0" w:rsidRPr="00DA7619">
        <w:t xml:space="preserve">in the CPAP </w:t>
      </w:r>
      <w:r w:rsidRPr="00DA7619">
        <w:t xml:space="preserve">are:  </w:t>
      </w:r>
    </w:p>
    <w:p w:rsidR="0053004F" w:rsidRPr="00DA7619" w:rsidRDefault="00C82A7C" w:rsidP="0055608D">
      <w:pPr>
        <w:pStyle w:val="ListParagraph"/>
        <w:numPr>
          <w:ilvl w:val="0"/>
          <w:numId w:val="3"/>
        </w:numPr>
      </w:pPr>
      <w:r w:rsidRPr="00DA7619">
        <w:t>Increased level of public and candidates satisfaction with th</w:t>
      </w:r>
      <w:r w:rsidR="0053004F" w:rsidRPr="00DA7619">
        <w:t>e municipal elections process</w:t>
      </w:r>
    </w:p>
    <w:p w:rsidR="0053004F" w:rsidRPr="00DA7619" w:rsidRDefault="00C82A7C" w:rsidP="0055608D">
      <w:pPr>
        <w:pStyle w:val="ListParagraph"/>
        <w:numPr>
          <w:ilvl w:val="0"/>
          <w:numId w:val="3"/>
        </w:numPr>
      </w:pPr>
      <w:r w:rsidRPr="00DA7619">
        <w:t>The percentage of trained official</w:t>
      </w:r>
      <w:r w:rsidR="0053004F" w:rsidRPr="00DA7619">
        <w:t>s elected to municipal posts</w:t>
      </w:r>
    </w:p>
    <w:p w:rsidR="0053004F" w:rsidRPr="00DA7619" w:rsidRDefault="00C82A7C" w:rsidP="0055608D">
      <w:pPr>
        <w:pStyle w:val="ListParagraph"/>
        <w:numPr>
          <w:ilvl w:val="0"/>
          <w:numId w:val="3"/>
        </w:numPr>
      </w:pPr>
      <w:r w:rsidRPr="00DA7619">
        <w:t>Increased voter turnout in the nex</w:t>
      </w:r>
      <w:r w:rsidR="0053004F" w:rsidRPr="00DA7619">
        <w:t>t municipal elections by 10%</w:t>
      </w:r>
    </w:p>
    <w:p w:rsidR="0053004F" w:rsidRPr="00DA7619" w:rsidRDefault="00C82A7C" w:rsidP="0055608D">
      <w:pPr>
        <w:pStyle w:val="ListParagraph"/>
        <w:numPr>
          <w:ilvl w:val="0"/>
          <w:numId w:val="3"/>
        </w:numPr>
      </w:pPr>
      <w:r w:rsidRPr="00DA7619">
        <w:t>Compliance of SFDA rules and regulations with at lea</w:t>
      </w:r>
      <w:r w:rsidR="0053004F" w:rsidRPr="00DA7619">
        <w:t>st one international standard</w:t>
      </w:r>
    </w:p>
    <w:p w:rsidR="0053004F" w:rsidRPr="00DA7619" w:rsidRDefault="00C82A7C" w:rsidP="0055608D">
      <w:pPr>
        <w:pStyle w:val="ListParagraph"/>
        <w:numPr>
          <w:ilvl w:val="0"/>
          <w:numId w:val="3"/>
        </w:numPr>
      </w:pPr>
      <w:r w:rsidRPr="00DA7619">
        <w:t>Number of evidence-based development programmes adopted at the policy maki</w:t>
      </w:r>
      <w:r w:rsidR="0053004F" w:rsidRPr="00DA7619">
        <w:t>ng level in Al-Madinah region</w:t>
      </w:r>
    </w:p>
    <w:p w:rsidR="0053004F" w:rsidRPr="00DA7619" w:rsidRDefault="00C82A7C" w:rsidP="0055608D">
      <w:pPr>
        <w:pStyle w:val="ListParagraph"/>
        <w:numPr>
          <w:ilvl w:val="0"/>
          <w:numId w:val="3"/>
        </w:numPr>
      </w:pPr>
      <w:r w:rsidRPr="00DA7619">
        <w:t>Number of partnerships between the MUON and CSO</w:t>
      </w:r>
      <w:r w:rsidR="0053004F" w:rsidRPr="00DA7619">
        <w:t xml:space="preserve"> and private sector increased</w:t>
      </w:r>
    </w:p>
    <w:p w:rsidR="0053004F" w:rsidRPr="00DA7619" w:rsidRDefault="00C82A7C" w:rsidP="0055608D">
      <w:pPr>
        <w:pStyle w:val="ListParagraph"/>
        <w:numPr>
          <w:ilvl w:val="0"/>
          <w:numId w:val="3"/>
        </w:numPr>
      </w:pPr>
      <w:r w:rsidRPr="00DA7619">
        <w:t xml:space="preserve">Decentralized policies developed </w:t>
      </w:r>
      <w:r w:rsidR="0053004F" w:rsidRPr="00DA7619">
        <w:t>at the local level</w:t>
      </w:r>
    </w:p>
    <w:p w:rsidR="00A24129" w:rsidRPr="00DA7619" w:rsidRDefault="00A24129" w:rsidP="00A24129">
      <w:r w:rsidRPr="00DA7619">
        <w:t xml:space="preserve">More general indicators were also referred to in UNDP reviews, which stated that Outcome 3 would demonstrate that, “Public institutions at the national and regional level </w:t>
      </w:r>
      <w:r w:rsidR="008D76D0" w:rsidRPr="00DA7619">
        <w:t xml:space="preserve">[would be] </w:t>
      </w:r>
      <w:r w:rsidRPr="00DA7619">
        <w:t>more capable to respond to citizens needs in qualit</w:t>
      </w:r>
      <w:r w:rsidR="008D76D0" w:rsidRPr="00DA7619">
        <w:t>y and effectiveness of services,” and similarly that, “</w:t>
      </w:r>
      <w:r w:rsidRPr="00DA7619">
        <w:t xml:space="preserve">Service delivery standards in quality and quantity </w:t>
      </w:r>
      <w:r w:rsidR="008D76D0" w:rsidRPr="00DA7619">
        <w:t xml:space="preserve">[would be] </w:t>
      </w:r>
      <w:r w:rsidRPr="00DA7619">
        <w:t>set and met in targeted institutions</w:t>
      </w:r>
      <w:r w:rsidR="008D76D0" w:rsidRPr="00DA7619">
        <w:t>”</w:t>
      </w:r>
      <w:r w:rsidRPr="00DA7619">
        <w:t xml:space="preserve"> </w:t>
      </w:r>
      <w:r w:rsidR="007D6549" w:rsidRPr="00DA7619">
        <w:fldChar w:fldCharType="begin"/>
      </w:r>
      <w:r w:rsidR="00DB11E7">
        <w:instrText xml:space="preserve"> ADDIN EN.CITE &lt;EndNote&gt;&lt;Cite&gt;&lt;Author&gt;UNDP Saudi Arabia&lt;/Author&gt;&lt;Year&gt;2011&lt;/Year&gt;&lt;RecNum&gt;1057&lt;/RecNum&gt;&lt;record&gt;&lt;rec-number&gt;1057&lt;/rec-number&gt;&lt;ref-type name="Report"&gt;27&lt;/ref-type&gt;&lt;contributors&gt;&lt;authors&gt;&lt;author&gt;UNDP Saudi Arabia,&lt;/author&gt;&lt;/authors&gt;&lt;/contributors&gt;&lt;titles&gt;&lt;title&gt;Country Programme Performance Summary&lt;/title&gt;&lt;/titles&gt;&lt;pages&gt;8&lt;/pages&gt;&lt;dates&gt;&lt;year&gt;2011&lt;/year&gt;&lt;/dates&gt;&lt;pub-location&gt;Riyadh&lt;/pub-location&gt;&lt;publisher&gt;UNDP&lt;/publisher&gt;&lt;urls&gt;&lt;related-urls&gt;&lt;url&gt;web.undp.org/.../SAU%20Statement_of_challenges_and_performance &lt;/url&gt;&lt;/related-urls&gt;&lt;/urls&gt;&lt;research-notes&gt;text is saved in Countries/SA/Docs Outcome Eval&lt;/research-notes&gt;&lt;/record&gt;&lt;/Cite&gt;&lt;/EndNote&gt;</w:instrText>
      </w:r>
      <w:r w:rsidR="007D6549" w:rsidRPr="00DA7619">
        <w:fldChar w:fldCharType="separate"/>
      </w:r>
      <w:r w:rsidRPr="00DA7619">
        <w:t>(UNDP Saudi Arabia 2011)</w:t>
      </w:r>
      <w:r w:rsidR="007D6549" w:rsidRPr="00DA7619">
        <w:fldChar w:fldCharType="end"/>
      </w:r>
      <w:r w:rsidR="008D76D0" w:rsidRPr="00DA7619">
        <w:t>.</w:t>
      </w:r>
    </w:p>
    <w:p w:rsidR="003A4F9F" w:rsidRPr="00DA7619" w:rsidRDefault="003A4F9F" w:rsidP="0053004F"/>
    <w:p w:rsidR="009F57C0" w:rsidRPr="00DA7619" w:rsidRDefault="009F57C0" w:rsidP="00C825E4">
      <w:pPr>
        <w:rPr>
          <w:bCs/>
        </w:rPr>
      </w:pPr>
      <w:r w:rsidRPr="00DA7619">
        <w:t xml:space="preserve">Under the UNDP conception of evaluating for results, </w:t>
      </w:r>
      <w:r w:rsidR="00787FC0" w:rsidRPr="00DA7619">
        <w:rPr>
          <w:b/>
          <w:bCs/>
          <w:i/>
        </w:rPr>
        <w:t>outcomes</w:t>
      </w:r>
      <w:r w:rsidR="00787FC0" w:rsidRPr="00DA7619">
        <w:t xml:space="preserve"> are</w:t>
      </w:r>
      <w:r w:rsidRPr="00DA7619">
        <w:t xml:space="preserve"> actual or intended changes in development conditions that the agency’s interventions are seeking to support.  Outcomes </w:t>
      </w:r>
      <w:r w:rsidR="00DF6448" w:rsidRPr="00DA7619">
        <w:t>“</w:t>
      </w:r>
      <w:r w:rsidRPr="00DA7619">
        <w:t xml:space="preserve">describe a </w:t>
      </w:r>
      <w:r w:rsidRPr="00DA7619">
        <w:rPr>
          <w:b/>
          <w:i/>
        </w:rPr>
        <w:t>change that takes place in the capacities or conditions of a partner</w:t>
      </w:r>
      <w:r w:rsidRPr="00DA7619">
        <w:t xml:space="preserve">, in part – but only in part – as a consequence of the delivery of UNDP’s outputs and </w:t>
      </w:r>
      <w:r w:rsidR="00171F43" w:rsidRPr="00DA7619">
        <w:t>those of other partners</w:t>
      </w:r>
      <w:r w:rsidR="00DF6448" w:rsidRPr="00DA7619">
        <w:t>”</w:t>
      </w:r>
      <w:r w:rsidRPr="00DA7619">
        <w:t xml:space="preserve"> </w:t>
      </w:r>
      <w:r w:rsidR="007D6549" w:rsidRPr="00DA7619">
        <w:rPr>
          <w:bCs/>
        </w:rPr>
        <w:fldChar w:fldCharType="begin"/>
      </w:r>
      <w:r w:rsidR="00DB11E7">
        <w:rPr>
          <w:bCs/>
        </w:rPr>
        <w:instrText xml:space="preserve"> ADDIN EN.CITE &lt;EndNote&gt;&lt;Cite&gt;&lt;Author&gt;UNDP&lt;/Author&gt;&lt;Year&gt;2007&lt;/Year&gt;&lt;RecNum&gt;865&lt;/RecNum&gt;&lt;Suffix&gt;, pp. 2-3; emphasis added&lt;/Suffix&gt;&lt;record&gt;&lt;rec-number&gt;865&lt;/rec-number&gt;&lt;ref-type name="Electronic Article"&gt;43&lt;/ref-type&gt;&lt;contributors&gt;&lt;authors&gt;&lt;author&gt;UNDP&lt;/author&gt;&lt;/authors&gt;&lt;tertiary-authors&gt;&lt;author&gt;United Nations&lt;/author&gt;&lt;/tertiary-authors&gt;&lt;/contributors&gt;&lt;titles&gt;&lt;title&gt;&lt;style face="normal" font="Times New Roman" size="100%"&gt;Knowing the What and the How. RBM in UNDP:  Technical Note&lt;/style&gt;&lt;/title&gt;&lt;/titles&gt;&lt;dates&gt;&lt;year&gt;2007&lt;/year&gt;&lt;/dates&gt;&lt;pub-location&gt;New York&lt;/pub-location&gt;&lt;publisher&gt;UNDP&lt;/publisher&gt;&lt;urls&gt;&lt;related-urls&gt;&lt;url&gt;&lt;style face="underline" font="Times New Roman" size="100%"&gt;Knowing the What and the How &amp;lt;http://intra.undp.org/eo/documents/methodology/rbm/RBM-technical-note.doc&amp;gt;&lt;/style&gt;&lt;/url&gt;&lt;/related-urls&gt;&lt;/urls&gt;&lt;custom2&gt;2006-05-02&lt;/custom2&gt;&lt;research-notes&gt;&lt;style face="normal" font="Times New Roman" size="10"&gt;intra.undp.org/eo/documents/methodology/rbm/RBM-technical-note.doc - 2006-05-02&lt;/style&gt;&lt;style face="normal" font="Times New Roman" size="100%"&gt; - &lt;/style&gt;&lt;style face="underline" font="Times New Roman" size="100%"&gt;Text Version &amp;lt;search?q=cache:p3AnAJTHnMkJ:intra.undp.org/eo/documents/methodology/rbm/RBM-technical-note.doc+rbm+outcome&amp;amp;access=a&amp;amp;output=xml_no_dtd&amp;amp;ie=UTF-8&amp;amp;client=undp_intranet_frontend&amp;amp;site=default_collection&amp;amp;oe=UTF-8&amp;amp;proxystylesheet=undp_intranet_frontend&amp;gt;&lt;/style&gt;&lt;style face="normal" font="default" size="100%"&gt;&amp;#xD;&lt;/style&gt;&lt;/research-notes&gt;&lt;/record&gt;&lt;/Cite&gt;&lt;/EndNote&gt;</w:instrText>
      </w:r>
      <w:r w:rsidR="007D6549" w:rsidRPr="00DA7619">
        <w:rPr>
          <w:bCs/>
        </w:rPr>
        <w:fldChar w:fldCharType="separate"/>
      </w:r>
      <w:r w:rsidR="00DF6448" w:rsidRPr="00DA7619">
        <w:rPr>
          <w:bCs/>
        </w:rPr>
        <w:t>(UNDP 2007, pp. 2-3; emphasis added)</w:t>
      </w:r>
      <w:r w:rsidR="007D6549" w:rsidRPr="00DA7619">
        <w:rPr>
          <w:bCs/>
        </w:rPr>
        <w:fldChar w:fldCharType="end"/>
      </w:r>
      <w:r w:rsidR="00165DF2" w:rsidRPr="00DA7619">
        <w:rPr>
          <w:bCs/>
        </w:rPr>
        <w:t xml:space="preserve">.  </w:t>
      </w:r>
      <w:r w:rsidR="00171F43" w:rsidRPr="00DA7619">
        <w:t>They are markers of eventual impact, but are more readily observed than is impact, which often cannot be directly observed and may be achieved over a longer period than that of the programme under review.  “</w:t>
      </w:r>
      <w:r w:rsidR="00171F43" w:rsidRPr="00DA7619">
        <w:rPr>
          <w:bCs/>
        </w:rPr>
        <w:t xml:space="preserve">An individual UNDP output or even a cluster of outputs will not guarantee </w:t>
      </w:r>
      <w:r w:rsidR="00171F43" w:rsidRPr="00DA7619">
        <w:rPr>
          <w:bCs/>
        </w:rPr>
        <w:lastRenderedPageBreak/>
        <w:t xml:space="preserve">the achievement of a related outcome, since the contribution of a wider group of partners is usually essential”.   In the case of a country programme, the group of desired </w:t>
      </w:r>
      <w:r w:rsidR="00171F43" w:rsidRPr="00DA7619">
        <w:t>outcomes will have been agreed to by the country and cooperating partners.  All of these stakeholders will have an influence on a given development issue within the limited period of time under consideration. It is evident that seeking to influence outcomes is by its very nature dependent on partnerships. Since several actors are involved, outcomes cannot necessarily be attributed to any one party, including UNDP, on its own.</w:t>
      </w:r>
    </w:p>
    <w:p w:rsidR="009F57C0" w:rsidRPr="00DA7619" w:rsidRDefault="00C825E4" w:rsidP="00C825E4">
      <w:pPr>
        <w:rPr>
          <w:bCs/>
        </w:rPr>
      </w:pPr>
      <w:r w:rsidRPr="00DA7619">
        <w:rPr>
          <w:bCs/>
        </w:rPr>
        <w:t xml:space="preserve">In the special case of NCCs, the role of the country itself is of primordial importance, since the country is at once the funder and the beneficiary of the commissioned outputs.  </w:t>
      </w:r>
      <w:r w:rsidR="00B23AC2" w:rsidRPr="00DA7619">
        <w:rPr>
          <w:bCs/>
        </w:rPr>
        <w:t>As will be seen in the findings of the evaluation report, the principal partnership is that with the Kingdom of Saudi Arabia</w:t>
      </w:r>
      <w:r w:rsidR="00171F43" w:rsidRPr="00DA7619">
        <w:rPr>
          <w:bCs/>
        </w:rPr>
        <w:t xml:space="preserve"> and its ministries and agencies</w:t>
      </w:r>
      <w:r w:rsidR="00B23AC2" w:rsidRPr="00DA7619">
        <w:rPr>
          <w:bCs/>
        </w:rPr>
        <w:t>, which more than any other factor has shaped the achievement of the outcome under review.</w:t>
      </w:r>
      <w:r w:rsidR="00171F43" w:rsidRPr="00DA7619">
        <w:rPr>
          <w:bCs/>
        </w:rPr>
        <w:t xml:space="preserve">  Other members of the UN group of </w:t>
      </w:r>
      <w:r w:rsidR="00490A8A" w:rsidRPr="00DA7619">
        <w:rPr>
          <w:bCs/>
        </w:rPr>
        <w:t>agencies</w:t>
      </w:r>
      <w:r w:rsidR="00171F43" w:rsidRPr="00DA7619">
        <w:rPr>
          <w:bCs/>
        </w:rPr>
        <w:t xml:space="preserve"> have also joined in outputs of the CP.</w:t>
      </w:r>
    </w:p>
    <w:p w:rsidR="00FB4CF3" w:rsidRPr="001361EB" w:rsidRDefault="00FB4CF3" w:rsidP="001361EB">
      <w:r w:rsidRPr="001361EB">
        <w:rPr>
          <w:bCs/>
        </w:rPr>
        <w:t xml:space="preserve">More specifically, however, in the particular case of SA, UNDP noted that </w:t>
      </w:r>
      <w:r w:rsidRPr="001361EB">
        <w:t>based on the concept of national ownership, achievement of an outcome is an entire responsibility of the Government.  UNDP, along with other UN Agencies, will confine their contribution to the output level. In view of this, the two interrelated dimensions (discussed in this report and a separate report on Outcome 2) of economic diversification and efficient performance of the public sector have been achievements of the KSA, and cooperation with UNDP has been a positive element in these achievements, related to the UNDP contributions made as outputs and shown in the CPD.</w:t>
      </w:r>
    </w:p>
    <w:p w:rsidR="00C17F2D" w:rsidRPr="00DA7619" w:rsidRDefault="00C17F2D" w:rsidP="00497B6E">
      <w:pPr>
        <w:pStyle w:val="Heading1"/>
        <w:numPr>
          <w:ilvl w:val="0"/>
          <w:numId w:val="1"/>
        </w:numPr>
      </w:pPr>
      <w:bookmarkStart w:id="13" w:name="_Toc325940174"/>
      <w:r w:rsidRPr="00DA7619">
        <w:t xml:space="preserve">Findings </w:t>
      </w:r>
      <w:r w:rsidR="00955B86" w:rsidRPr="00DA7619">
        <w:t>of the Outcome Evaluation</w:t>
      </w:r>
      <w:bookmarkEnd w:id="13"/>
    </w:p>
    <w:p w:rsidR="00C17F2D" w:rsidRPr="00DA7619" w:rsidRDefault="009D13CA" w:rsidP="009D13CA">
      <w:pPr>
        <w:pStyle w:val="Heading2"/>
      </w:pPr>
      <w:bookmarkStart w:id="14" w:name="_Toc325940175"/>
      <w:r w:rsidRPr="00DA7619">
        <w:t>3.</w:t>
      </w:r>
      <w:r w:rsidR="005F0D3D" w:rsidRPr="00DA7619">
        <w:t xml:space="preserve">1. </w:t>
      </w:r>
      <w:r w:rsidR="00C17F2D" w:rsidRPr="00DA7619">
        <w:t xml:space="preserve">Progress </w:t>
      </w:r>
      <w:r w:rsidR="00124802" w:rsidRPr="00DA7619">
        <w:t>towards the Outcome</w:t>
      </w:r>
      <w:bookmarkEnd w:id="14"/>
    </w:p>
    <w:p w:rsidR="005F0D3D" w:rsidRPr="00DA7619" w:rsidRDefault="0053004F" w:rsidP="0055608D">
      <w:pPr>
        <w:pStyle w:val="Heading3"/>
        <w:numPr>
          <w:ilvl w:val="2"/>
          <w:numId w:val="4"/>
        </w:numPr>
      </w:pPr>
      <w:bookmarkStart w:id="15" w:name="_Toc325940176"/>
      <w:r w:rsidRPr="00DA7619">
        <w:t>Outputs under Outcome 3</w:t>
      </w:r>
      <w:bookmarkEnd w:id="15"/>
    </w:p>
    <w:p w:rsidR="0053004F" w:rsidRPr="00DA7619" w:rsidRDefault="003D25DD" w:rsidP="0053004F">
      <w:r w:rsidRPr="00DA7619">
        <w:t>The CPAP identified 9</w:t>
      </w:r>
      <w:r w:rsidR="00C70737" w:rsidRPr="00DA7619">
        <w:t xml:space="preserve"> outputs to be delivered by the programme</w:t>
      </w:r>
      <w:r w:rsidR="0010020E" w:rsidRPr="00DA7619">
        <w:t xml:space="preserve"> (re-ordered here</w:t>
      </w:r>
      <w:r w:rsidR="002A5EC9" w:rsidRPr="00DA7619">
        <w:t>under</w:t>
      </w:r>
      <w:r w:rsidR="0010020E" w:rsidRPr="00DA7619">
        <w:t>)</w:t>
      </w:r>
      <w:r w:rsidR="00C70737" w:rsidRPr="00DA7619">
        <w:t>:</w:t>
      </w:r>
    </w:p>
    <w:p w:rsidR="008462C8" w:rsidRPr="00DA7619" w:rsidRDefault="008462C8" w:rsidP="0055608D">
      <w:pPr>
        <w:pStyle w:val="ListParagraph"/>
        <w:numPr>
          <w:ilvl w:val="0"/>
          <w:numId w:val="5"/>
        </w:numPr>
        <w:spacing w:before="0" w:after="0"/>
      </w:pPr>
      <w:r w:rsidRPr="00DA7619">
        <w:t>Technical assistance provided to MOT for the Implementa</w:t>
      </w:r>
      <w:r w:rsidR="00787FC0" w:rsidRPr="00DA7619">
        <w:t>tion of the National Transport S</w:t>
      </w:r>
      <w:r w:rsidRPr="00DA7619">
        <w:t xml:space="preserve">trategy </w:t>
      </w:r>
    </w:p>
    <w:p w:rsidR="008462C8" w:rsidRPr="00DA7619" w:rsidRDefault="008462C8" w:rsidP="0055608D">
      <w:pPr>
        <w:pStyle w:val="ListParagraph"/>
        <w:numPr>
          <w:ilvl w:val="0"/>
          <w:numId w:val="5"/>
        </w:numPr>
        <w:spacing w:before="0" w:after="0"/>
      </w:pPr>
      <w:r w:rsidRPr="00DA7619">
        <w:t>Technology and knowledge transfer programmes with focus on e-government developed for MOFA</w:t>
      </w:r>
    </w:p>
    <w:p w:rsidR="0003704F" w:rsidRPr="00DA7619" w:rsidRDefault="00F872AF" w:rsidP="0055608D">
      <w:pPr>
        <w:pStyle w:val="ListParagraph"/>
        <w:numPr>
          <w:ilvl w:val="0"/>
          <w:numId w:val="5"/>
        </w:numPr>
        <w:spacing w:before="0" w:after="0"/>
      </w:pPr>
      <w:r w:rsidRPr="00DA7619">
        <w:t>Advisory services</w:t>
      </w:r>
      <w:r w:rsidR="00095E03" w:rsidRPr="00DA7619">
        <w:t xml:space="preserve"> to </w:t>
      </w:r>
      <w:r w:rsidRPr="00DA7619">
        <w:t xml:space="preserve">the </w:t>
      </w:r>
      <w:r w:rsidR="00095E03" w:rsidRPr="00DA7619">
        <w:t>Communications and Information Technology Commission</w:t>
      </w:r>
      <w:r w:rsidR="0003704F" w:rsidRPr="00DA7619">
        <w:t xml:space="preserve"> </w:t>
      </w:r>
      <w:r w:rsidR="00095E03" w:rsidRPr="00DA7619">
        <w:rPr>
          <w:rStyle w:val="FootnoteReference"/>
        </w:rPr>
        <w:footnoteReference w:id="4"/>
      </w:r>
    </w:p>
    <w:p w:rsidR="008462C8" w:rsidRPr="00DA7619" w:rsidRDefault="0003704F" w:rsidP="0055608D">
      <w:pPr>
        <w:pStyle w:val="ListParagraph"/>
        <w:numPr>
          <w:ilvl w:val="0"/>
          <w:numId w:val="5"/>
        </w:numPr>
        <w:spacing w:before="0" w:after="0"/>
      </w:pPr>
      <w:r w:rsidRPr="00DA7619">
        <w:t xml:space="preserve"> </w:t>
      </w:r>
      <w:r w:rsidR="008462C8" w:rsidRPr="00DA7619">
        <w:t>Electoral capacities of municipal mayors, MoMRA (Ministry of Municipal &amp;Rural Affairs) officials</w:t>
      </w:r>
      <w:r w:rsidR="00787FC0" w:rsidRPr="00DA7619">
        <w:t>,</w:t>
      </w:r>
      <w:r w:rsidR="008462C8" w:rsidRPr="00DA7619">
        <w:t xml:space="preserve"> and potential candidates enhanced;</w:t>
      </w:r>
    </w:p>
    <w:p w:rsidR="00787FC0" w:rsidRPr="00DA7619" w:rsidRDefault="00787FC0" w:rsidP="0055608D">
      <w:pPr>
        <w:pStyle w:val="ListParagraph"/>
        <w:numPr>
          <w:ilvl w:val="0"/>
          <w:numId w:val="5"/>
        </w:numPr>
        <w:spacing w:before="0" w:after="0"/>
      </w:pPr>
      <w:r w:rsidRPr="00DA7619">
        <w:t>Enhanced technical capacities of MoMRA to implement regional Urban plans</w:t>
      </w:r>
    </w:p>
    <w:p w:rsidR="0010020E" w:rsidRPr="00DA7619" w:rsidRDefault="0010020E" w:rsidP="0055608D">
      <w:pPr>
        <w:pStyle w:val="ListParagraph"/>
        <w:numPr>
          <w:ilvl w:val="0"/>
          <w:numId w:val="5"/>
        </w:numPr>
        <w:spacing w:before="0" w:after="0"/>
      </w:pPr>
      <w:r w:rsidRPr="00DA7619">
        <w:t>Institutional and human capacities of Al-Madinah Urban Observatory Network (MUON) developed to formulate evidence-based development programmes.</w:t>
      </w:r>
    </w:p>
    <w:p w:rsidR="008462C8" w:rsidRPr="00DA7619" w:rsidRDefault="008462C8" w:rsidP="0055608D">
      <w:pPr>
        <w:pStyle w:val="ListParagraph"/>
        <w:numPr>
          <w:ilvl w:val="0"/>
          <w:numId w:val="5"/>
        </w:numPr>
        <w:spacing w:before="0" w:after="0"/>
      </w:pPr>
      <w:r w:rsidRPr="00DA7619">
        <w:t xml:space="preserve">Institutional and human capacities of Saudi Food and Drug Authority (SFDA) developed to implement WTO commitments and increase public awareness about SFDA's role. </w:t>
      </w:r>
    </w:p>
    <w:p w:rsidR="008462C8" w:rsidRPr="00DA7619" w:rsidRDefault="008462C8" w:rsidP="0055608D">
      <w:pPr>
        <w:pStyle w:val="ListParagraph"/>
        <w:numPr>
          <w:ilvl w:val="0"/>
          <w:numId w:val="5"/>
        </w:numPr>
        <w:spacing w:before="0" w:after="0"/>
      </w:pPr>
      <w:r w:rsidRPr="00DA7619">
        <w:t>KACST supported to establish Open Sou</w:t>
      </w:r>
      <w:r w:rsidR="00787FC0" w:rsidRPr="00DA7619">
        <w:t>rce Software Center to promote o</w:t>
      </w:r>
      <w:r w:rsidRPr="00DA7619">
        <w:t>pen source concept</w:t>
      </w:r>
    </w:p>
    <w:p w:rsidR="008462C8" w:rsidRPr="00DA7619" w:rsidRDefault="008462C8" w:rsidP="0055608D">
      <w:pPr>
        <w:pStyle w:val="ListParagraph"/>
        <w:numPr>
          <w:ilvl w:val="0"/>
          <w:numId w:val="5"/>
        </w:numPr>
        <w:spacing w:before="0" w:after="0"/>
      </w:pPr>
      <w:r w:rsidRPr="00DA7619">
        <w:lastRenderedPageBreak/>
        <w:t>Public institutions more responsive to clients’ demand for quality and efficient services in terms of costs and timeliness</w:t>
      </w:r>
    </w:p>
    <w:p w:rsidR="00795D95" w:rsidRPr="00DA7619" w:rsidRDefault="0071232B" w:rsidP="0071232B">
      <w:r w:rsidRPr="00DA7619">
        <w:t xml:space="preserve">This section looks at the progress </w:t>
      </w:r>
      <w:r w:rsidR="00B23AC2" w:rsidRPr="00DA7619">
        <w:t>K</w:t>
      </w:r>
      <w:r w:rsidRPr="00DA7619">
        <w:t xml:space="preserve">SA has made in </w:t>
      </w:r>
      <w:r w:rsidR="00545C23" w:rsidRPr="00DA7619">
        <w:t xml:space="preserve">the </w:t>
      </w:r>
      <w:r w:rsidRPr="00DA7619">
        <w:t xml:space="preserve">achievement of its target indicators, which were identified as markers on the road to reaching the </w:t>
      </w:r>
      <w:r w:rsidR="00615F6A" w:rsidRPr="00DA7619">
        <w:t xml:space="preserve">public sector performance </w:t>
      </w:r>
      <w:r w:rsidRPr="00DA7619">
        <w:t>outcome.  As underlined</w:t>
      </w:r>
      <w:r w:rsidR="00545C23" w:rsidRPr="00DA7619">
        <w:t xml:space="preserve"> </w:t>
      </w:r>
      <w:r w:rsidR="00B138FC" w:rsidRPr="00DA7619">
        <w:t>earlier</w:t>
      </w:r>
      <w:r w:rsidRPr="00DA7619">
        <w:t xml:space="preserve">, progress in the achievement of development outcomes is not the result of the efforts of UNDP or any </w:t>
      </w:r>
      <w:r w:rsidR="00EC46A0" w:rsidRPr="00DA7619">
        <w:t xml:space="preserve">one </w:t>
      </w:r>
      <w:r w:rsidRPr="00DA7619">
        <w:t xml:space="preserve">partner agency alone.  These results should be understood as the product of the efforts of </w:t>
      </w:r>
      <w:r w:rsidR="00615F6A" w:rsidRPr="00DA7619">
        <w:t>public sector staff and management</w:t>
      </w:r>
      <w:r w:rsidRPr="00DA7619">
        <w:t xml:space="preserve">, </w:t>
      </w:r>
      <w:r w:rsidR="00615F6A" w:rsidRPr="00DA7619">
        <w:t>and its</w:t>
      </w:r>
      <w:r w:rsidRPr="00DA7619">
        <w:t xml:space="preserve"> various </w:t>
      </w:r>
      <w:r w:rsidR="00615F6A" w:rsidRPr="00DA7619">
        <w:t>clients</w:t>
      </w:r>
      <w:r w:rsidRPr="00DA7619">
        <w:t xml:space="preserve"> including enterprises</w:t>
      </w:r>
      <w:r w:rsidR="00615F6A" w:rsidRPr="00DA7619">
        <w:t>, the general public, and</w:t>
      </w:r>
      <w:r w:rsidRPr="00DA7619">
        <w:t xml:space="preserve"> development partners</w:t>
      </w:r>
      <w:r w:rsidR="00545C23" w:rsidRPr="00DA7619">
        <w:t>.  At the same time,</w:t>
      </w:r>
      <w:r w:rsidRPr="00DA7619">
        <w:t xml:space="preserve"> </w:t>
      </w:r>
      <w:r w:rsidR="00FC5FF9" w:rsidRPr="00DA7619">
        <w:t>results</w:t>
      </w:r>
      <w:r w:rsidRPr="00DA7619">
        <w:t xml:space="preserve"> are also influenced by conditions in the </w:t>
      </w:r>
      <w:r w:rsidR="00282DF6" w:rsidRPr="00DA7619">
        <w:t xml:space="preserve">national and global </w:t>
      </w:r>
      <w:r w:rsidRPr="00DA7619">
        <w:t xml:space="preserve">economy and environment, which may </w:t>
      </w:r>
      <w:r w:rsidR="00DC48D0" w:rsidRPr="00DA7619">
        <w:t>embody</w:t>
      </w:r>
      <w:r w:rsidRPr="00DA7619">
        <w:t xml:space="preserve"> supporting as well as challenging factors.</w:t>
      </w:r>
      <w:r w:rsidR="00490A8A" w:rsidRPr="00DA7619">
        <w:t xml:space="preserve">  The section touches on each of the nine outputs under the CPD, and integrates indicators of progress towards the outcome.  </w:t>
      </w:r>
    </w:p>
    <w:p w:rsidR="00795D95" w:rsidRPr="00DA7619" w:rsidRDefault="00795D95" w:rsidP="0071232B">
      <w:r w:rsidRPr="00DA7619">
        <w:t xml:space="preserve">The indicators adopted for </w:t>
      </w:r>
      <w:r w:rsidR="00497B6E" w:rsidRPr="00DA7619">
        <w:t xml:space="preserve">Outcome 3 </w:t>
      </w:r>
      <w:r w:rsidRPr="00DA7619">
        <w:t>the CP were set out specifically in the CPAP</w:t>
      </w:r>
      <w:r w:rsidR="00351CDC" w:rsidRPr="00DA7619">
        <w:t>, as follows</w:t>
      </w:r>
      <w:r w:rsidRPr="00DA7619">
        <w:t>:</w:t>
      </w:r>
    </w:p>
    <w:p w:rsidR="00795D95" w:rsidRPr="00DA7619" w:rsidRDefault="00795D95" w:rsidP="0055608D">
      <w:pPr>
        <w:pStyle w:val="ListParagraph"/>
        <w:numPr>
          <w:ilvl w:val="0"/>
          <w:numId w:val="3"/>
        </w:numPr>
      </w:pPr>
      <w:r w:rsidRPr="00DA7619">
        <w:t xml:space="preserve">An increased level of </w:t>
      </w:r>
      <w:r w:rsidR="00351CDC" w:rsidRPr="00DA7619">
        <w:t xml:space="preserve">satisfaction on the part of the </w:t>
      </w:r>
      <w:r w:rsidRPr="00DA7619">
        <w:t xml:space="preserve">public and </w:t>
      </w:r>
      <w:r w:rsidR="00351CDC" w:rsidRPr="00DA7619">
        <w:t xml:space="preserve">of </w:t>
      </w:r>
      <w:r w:rsidRPr="00DA7619">
        <w:t>candidates with the municipal elections process</w:t>
      </w:r>
    </w:p>
    <w:p w:rsidR="00795D95" w:rsidRPr="00DA7619" w:rsidRDefault="00795D95" w:rsidP="0055608D">
      <w:pPr>
        <w:pStyle w:val="ListParagraph"/>
        <w:numPr>
          <w:ilvl w:val="0"/>
          <w:numId w:val="3"/>
        </w:numPr>
      </w:pPr>
      <w:r w:rsidRPr="00DA7619">
        <w:t>The percentage of trained officials elected to municipal posts</w:t>
      </w:r>
    </w:p>
    <w:p w:rsidR="00795D95" w:rsidRPr="00DA7619" w:rsidRDefault="00795D95" w:rsidP="0055608D">
      <w:pPr>
        <w:pStyle w:val="ListParagraph"/>
        <w:numPr>
          <w:ilvl w:val="0"/>
          <w:numId w:val="3"/>
        </w:numPr>
      </w:pPr>
      <w:r w:rsidRPr="00DA7619">
        <w:t>Increased voter turnout in the next municipal elections by 10%</w:t>
      </w:r>
    </w:p>
    <w:p w:rsidR="00795D95" w:rsidRPr="00DA7619" w:rsidRDefault="00795D95" w:rsidP="0055608D">
      <w:pPr>
        <w:pStyle w:val="ListParagraph"/>
        <w:numPr>
          <w:ilvl w:val="0"/>
          <w:numId w:val="3"/>
        </w:numPr>
      </w:pPr>
      <w:r w:rsidRPr="00DA7619">
        <w:t>Compliance of SFDA rules and regulations with at least one international standard</w:t>
      </w:r>
    </w:p>
    <w:p w:rsidR="00795D95" w:rsidRPr="00DA7619" w:rsidRDefault="00795D95" w:rsidP="0055608D">
      <w:pPr>
        <w:pStyle w:val="ListParagraph"/>
        <w:numPr>
          <w:ilvl w:val="0"/>
          <w:numId w:val="3"/>
        </w:numPr>
      </w:pPr>
      <w:r w:rsidRPr="00DA7619">
        <w:t>The number of evidence-based development programmes adopted at the policy making level in the Al-Madinah region</w:t>
      </w:r>
    </w:p>
    <w:p w:rsidR="00351CDC" w:rsidRPr="00DA7619" w:rsidRDefault="00795D95" w:rsidP="0055608D">
      <w:pPr>
        <w:pStyle w:val="ListParagraph"/>
        <w:numPr>
          <w:ilvl w:val="0"/>
          <w:numId w:val="3"/>
        </w:numPr>
      </w:pPr>
      <w:r w:rsidRPr="00DA7619">
        <w:t xml:space="preserve">The number of partnerships between the MUON and CSO and </w:t>
      </w:r>
      <w:r w:rsidR="00351CDC" w:rsidRPr="00DA7619">
        <w:t>the private sector increased</w:t>
      </w:r>
    </w:p>
    <w:p w:rsidR="00795D95" w:rsidRPr="00DA7619" w:rsidRDefault="00795D95" w:rsidP="0055608D">
      <w:pPr>
        <w:pStyle w:val="ListParagraph"/>
        <w:numPr>
          <w:ilvl w:val="0"/>
          <w:numId w:val="3"/>
        </w:numPr>
      </w:pPr>
      <w:r w:rsidRPr="00DA7619">
        <w:t xml:space="preserve">Decentralized policies developed at the local level </w:t>
      </w:r>
      <w:r w:rsidR="007D6549" w:rsidRPr="00DA7619">
        <w:fldChar w:fldCharType="begin"/>
      </w:r>
      <w:r w:rsidR="00DB11E7">
        <w:instrText xml:space="preserve"> ADDIN EN.CITE &lt;EndNote&gt;&lt;Cite&gt;&lt;Author&gt;UNDP Saudi Arabia&lt;/Author&gt;&lt;Year&gt;2008&lt;/Year&gt;&lt;RecNum&gt;1056&lt;/RecNum&gt;&lt;record&gt;&lt;rec-number&gt;1056&lt;/rec-number&gt;&lt;ref-type name="Report"&gt;27&lt;/ref-type&gt;&lt;contributors&gt;&lt;authors&gt;&lt;author&gt;UNDP Saudi Arabia,&lt;/author&gt;&lt;/authors&gt;&lt;/contributors&gt;&lt;titles&gt;&lt;title&gt;Country Programme Action Plan&lt;/title&gt;&lt;/titles&gt;&lt;pages&gt;9&lt;/pages&gt;&lt;dates&gt;&lt;year&gt;2008&lt;/year&gt;&lt;/dates&gt;&lt;pub-location&gt;Riyadh&lt;/pub-location&gt;&lt;publisher&gt;Government of the Kingdom of Saudi Arabia and UNDP SA Country Office&lt;/publisher&gt;&lt;urls&gt;&lt;related-urls&gt;&lt;url&gt;www.undp.org.sa/sa/.../cpap_narrative_review_final-mwt-matrix.doc&lt;/url&gt;&lt;/related-urls&gt;&lt;/urls&gt;&lt;research-notes&gt;link ?? dsnt work, but doc found Srch - COMMON FRAMEWORK FOR THE COUNTRY PROGRAMME ...&amp;#xD;or, try:  saudi cpap rrf&lt;/research-notes&gt;&lt;/record&gt;&lt;/Cite&gt;&lt;/EndNote&gt;</w:instrText>
      </w:r>
      <w:r w:rsidR="007D6549" w:rsidRPr="00DA7619">
        <w:fldChar w:fldCharType="separate"/>
      </w:r>
      <w:r w:rsidRPr="00DA7619">
        <w:t>(UNDP Saudi Arabia 2008)</w:t>
      </w:r>
      <w:r w:rsidR="007D6549" w:rsidRPr="00DA7619">
        <w:fldChar w:fldCharType="end"/>
      </w:r>
    </w:p>
    <w:p w:rsidR="0071232B" w:rsidRPr="00DA7619" w:rsidRDefault="00490A8A" w:rsidP="0071232B">
      <w:r w:rsidRPr="00DA7619">
        <w:t>As could be expected under a broad outcome dealing with an extended objective – improvement of the effectiveness and accountability of the public sector as a whole, including its many institutions serving the population – achievements demonstrating progress on any one indicator may be observed in several areas of the programme.  Therefore we do not expect to see a one-to-one correspondence of indicators and outputs, and progress will be noted in several of the areas in which the country has advanced.</w:t>
      </w:r>
    </w:p>
    <w:p w:rsidR="00E424B2" w:rsidRPr="00DA7619" w:rsidRDefault="00E424B2" w:rsidP="00E424B2">
      <w:r w:rsidRPr="00DA7619">
        <w:t xml:space="preserve">The government’s plans and the UNDP outputs delivered were characterized by an emphasis throughout the programme on the development of a </w:t>
      </w:r>
      <w:r w:rsidRPr="00DA7619">
        <w:rPr>
          <w:bCs/>
        </w:rPr>
        <w:t>knowledge economy, with the use of modern information and communications technologies (ICT) in every project, institution and ministry involved.  This emphasis was synthesized at the end of the CP period in the drafting of the future CPD:</w:t>
      </w:r>
      <w:r w:rsidRPr="00DA7619">
        <w:t xml:space="preserve"> </w:t>
      </w:r>
    </w:p>
    <w:p w:rsidR="00E424B2" w:rsidRPr="00DA7619" w:rsidRDefault="00E424B2" w:rsidP="00E424B2">
      <w:pPr>
        <w:ind w:left="360"/>
      </w:pPr>
      <w:r w:rsidRPr="00DA7619">
        <w:t xml:space="preserve">To diversify the economy beyond oil exports a major emphasis is on growth of a knowledge economy. New capacities will be developed for expansion of areas of new emphasis like tourism and information technology as well as policies and institutional capacities for shifting to a knowledge economy including the role of New Economic Cities. Related to this will be KSA post-accession policies and improving competitiveness of KSA, and alignment with global standards and safety in areas like transport and food and drug manufacturing. Support will also go to build capacities to engage in global partnerships related to above issues of trade and investment. </w:t>
      </w:r>
    </w:p>
    <w:p w:rsidR="00E424B2" w:rsidRPr="00DA7619" w:rsidRDefault="00E424B2" w:rsidP="0071232B">
      <w:r w:rsidRPr="00DA7619">
        <w:t>This section illustrates ways in which the 2007-11 CP laid some of the bases for the evolution to a higher stage of the knowledge economy that would be the objective of the subsequent CPD, for the 2012-17 years.</w:t>
      </w:r>
    </w:p>
    <w:p w:rsidR="00615F6A" w:rsidRPr="00DA7619" w:rsidRDefault="00174A1C" w:rsidP="0055608D">
      <w:pPr>
        <w:pStyle w:val="Heading3"/>
        <w:numPr>
          <w:ilvl w:val="2"/>
          <w:numId w:val="4"/>
        </w:numPr>
      </w:pPr>
      <w:bookmarkStart w:id="16" w:name="_Toc325940177"/>
      <w:r w:rsidRPr="00DA7619">
        <w:lastRenderedPageBreak/>
        <w:t>UNDP p</w:t>
      </w:r>
      <w:r w:rsidR="00016108" w:rsidRPr="00DA7619">
        <w:t xml:space="preserve">ublic sector support </w:t>
      </w:r>
      <w:r w:rsidRPr="00DA7619">
        <w:t xml:space="preserve">and KSA achievements </w:t>
      </w:r>
      <w:r w:rsidR="00016108" w:rsidRPr="00DA7619">
        <w:t>under Outcome 3</w:t>
      </w:r>
      <w:bookmarkEnd w:id="16"/>
    </w:p>
    <w:p w:rsidR="002702ED" w:rsidRPr="00DA7619" w:rsidRDefault="00016108" w:rsidP="00016108">
      <w:r w:rsidRPr="00DA7619">
        <w:t xml:space="preserve">The CP provided support as advisory services, including facilitating the engagement of national and international consultants and access to </w:t>
      </w:r>
      <w:r w:rsidR="00772D31" w:rsidRPr="00DA7619">
        <w:t xml:space="preserve">the knowledge base available from </w:t>
      </w:r>
      <w:r w:rsidRPr="00DA7619">
        <w:t>a range of UN specialized agencies an</w:t>
      </w:r>
      <w:r w:rsidR="002702ED" w:rsidRPr="00DA7619">
        <w:t>d</w:t>
      </w:r>
      <w:r w:rsidRPr="00DA7619">
        <w:t xml:space="preserve"> rosters.</w:t>
      </w:r>
      <w:r w:rsidR="004C2A58" w:rsidRPr="00DA7619">
        <w:t xml:space="preserve">  The major outputs as noted above are reviewed in further detail in the following sub-sections.</w:t>
      </w:r>
    </w:p>
    <w:p w:rsidR="002702ED" w:rsidRPr="00DA7619" w:rsidRDefault="002702ED" w:rsidP="0055608D">
      <w:pPr>
        <w:pStyle w:val="Heading4"/>
        <w:numPr>
          <w:ilvl w:val="3"/>
          <w:numId w:val="4"/>
        </w:numPr>
      </w:pPr>
      <w:bookmarkStart w:id="17" w:name="_Toc325940178"/>
      <w:r w:rsidRPr="00DA7619">
        <w:t xml:space="preserve">Technical assistance provided to </w:t>
      </w:r>
      <w:r w:rsidR="0010020E" w:rsidRPr="00DA7619">
        <w:t>the Ministry of Transport (</w:t>
      </w:r>
      <w:r w:rsidRPr="00DA7619">
        <w:t>MOT</w:t>
      </w:r>
      <w:r w:rsidR="0010020E" w:rsidRPr="00DA7619">
        <w:t>)</w:t>
      </w:r>
      <w:r w:rsidRPr="00DA7619">
        <w:t xml:space="preserve"> for the </w:t>
      </w:r>
      <w:r w:rsidR="002821BE" w:rsidRPr="00DA7619">
        <w:t>i</w:t>
      </w:r>
      <w:r w:rsidRPr="00DA7619">
        <w:t>mplementa</w:t>
      </w:r>
      <w:r w:rsidR="002821BE" w:rsidRPr="00DA7619">
        <w:t>tion of the National Transport S</w:t>
      </w:r>
      <w:r w:rsidRPr="00DA7619">
        <w:t>trategy</w:t>
      </w:r>
      <w:bookmarkEnd w:id="17"/>
      <w:r w:rsidRPr="00DA7619">
        <w:t xml:space="preserve"> </w:t>
      </w:r>
    </w:p>
    <w:p w:rsidR="002702ED" w:rsidRPr="00DA7619" w:rsidRDefault="003D25DD" w:rsidP="002702ED">
      <w:r w:rsidRPr="00DA7619">
        <w:t xml:space="preserve">KSA embarked as early as </w:t>
      </w:r>
      <w:r w:rsidR="00DE2D94" w:rsidRPr="00DA7619">
        <w:t>2002</w:t>
      </w:r>
      <w:r w:rsidRPr="00DA7619">
        <w:t xml:space="preserve"> on a </w:t>
      </w:r>
      <w:r w:rsidR="00DE2D94" w:rsidRPr="00DA7619">
        <w:t>National Transportation S</w:t>
      </w:r>
      <w:r w:rsidRPr="00DA7619">
        <w:t>trategy</w:t>
      </w:r>
      <w:r w:rsidR="00582EBA" w:rsidRPr="00DA7619">
        <w:t xml:space="preserve"> (NTS)</w:t>
      </w:r>
      <w:r w:rsidRPr="00DA7619">
        <w:t xml:space="preserve"> to rationalize and develop its roads and transport network.</w:t>
      </w:r>
      <w:r w:rsidR="00DE2D94" w:rsidRPr="00DA7619">
        <w:t xml:space="preserve">  UNDP supported this strategy in the earlier CP, and in 2007 began a further five-year programme, focused </w:t>
      </w:r>
      <w:r w:rsidR="00582EBA" w:rsidRPr="00DA7619">
        <w:t>on continued and expanded implementation of NTS and strengthening the administrative capacities of the Ministry of Transport (MOT).</w:t>
      </w:r>
      <w:r w:rsidR="0037765F" w:rsidRPr="00DA7619">
        <w:t xml:space="preserve">  As part of UNDP’s support to the objectives of the eighth plan, the project was designed to assist MOT in the formulation of policy options and specific plans for the development of the transport sector.  </w:t>
      </w:r>
      <w:r w:rsidR="00740CF0" w:rsidRPr="00DA7619">
        <w:t>It also strengthened the administrative capacities of the ministry to enable it to adopt new concepts and applications, including a geographical information system or GIS, for its transport database.</w:t>
      </w:r>
      <w:r w:rsidR="00E14D65" w:rsidRPr="00DA7619">
        <w:t xml:space="preserve">  </w:t>
      </w:r>
    </w:p>
    <w:p w:rsidR="00655649" w:rsidRPr="00DA7619" w:rsidRDefault="002821BE" w:rsidP="002702ED">
      <w:r w:rsidRPr="00DA7619">
        <w:t xml:space="preserve">KSA comprises a vast and rugged geographic territory, much of which is sparsely populated.  </w:t>
      </w:r>
      <w:r w:rsidR="00E14D65" w:rsidRPr="00DA7619">
        <w:t xml:space="preserve">The </w:t>
      </w:r>
      <w:r w:rsidR="00594D89" w:rsidRPr="00DA7619">
        <w:t xml:space="preserve">effectiveness and efficiency of the </w:t>
      </w:r>
      <w:r w:rsidR="00E14D65" w:rsidRPr="00DA7619">
        <w:t xml:space="preserve">transport network of KSA is </w:t>
      </w:r>
      <w:r w:rsidR="00594D89" w:rsidRPr="00DA7619">
        <w:t xml:space="preserve">dependent on </w:t>
      </w:r>
      <w:r w:rsidR="00E14D65" w:rsidRPr="00DA7619">
        <w:t xml:space="preserve">the integration of </w:t>
      </w:r>
      <w:r w:rsidR="00E31B6D" w:rsidRPr="00DA7619">
        <w:t>land, sea and air systems</w:t>
      </w:r>
      <w:r w:rsidR="00594D89" w:rsidRPr="00DA7619">
        <w:t xml:space="preserve">, each of which plays a major role in supporting the country’s economy and development.  At the beginning of the CP period, the road system had developed from fewer than 230 km of paved roadways to some 44,000 km, with a further 100,000 km of unpaved routes.  Commercial trucking had become an important </w:t>
      </w:r>
      <w:r w:rsidR="008A37E4" w:rsidRPr="00DA7619">
        <w:t>means</w:t>
      </w:r>
      <w:r w:rsidR="00594D89" w:rsidRPr="00DA7619">
        <w:t xml:space="preserve"> of goods transport, and in addition 6 commercial and 22 domestic regional airports had been </w:t>
      </w:r>
      <w:r w:rsidR="00655649" w:rsidRPr="00DA7619">
        <w:t>constructed</w:t>
      </w:r>
      <w:r w:rsidR="00594D89" w:rsidRPr="00DA7619">
        <w:t xml:space="preserve">.  The railway network was expanding to become an important mode of freight and passenger transport.  </w:t>
      </w:r>
    </w:p>
    <w:p w:rsidR="00E14D65" w:rsidRPr="00DA7619" w:rsidRDefault="00594D89" w:rsidP="002702ED">
      <w:r w:rsidRPr="00DA7619">
        <w:t>The project was designed to assist the development of a comprehensive</w:t>
      </w:r>
      <w:r w:rsidR="00351F6D">
        <w:t xml:space="preserve"> </w:t>
      </w:r>
      <w:r w:rsidRPr="00DA7619">
        <w:t>operations and maint</w:t>
      </w:r>
      <w:r w:rsidR="00655649" w:rsidRPr="00DA7619">
        <w:t>enance capability for each mode</w:t>
      </w:r>
      <w:r w:rsidRPr="00DA7619">
        <w:t xml:space="preserve"> and </w:t>
      </w:r>
      <w:r w:rsidR="00655649" w:rsidRPr="00DA7619">
        <w:t>for</w:t>
      </w:r>
      <w:r w:rsidRPr="00DA7619">
        <w:t xml:space="preserve"> inter-modal integration, as well as the evolution of an adequate regulatory system requiring the </w:t>
      </w:r>
      <w:r w:rsidR="008A37E4" w:rsidRPr="00DA7619">
        <w:t xml:space="preserve">active involvement and cooperation of a large number of agencies and bureaus.  </w:t>
      </w:r>
    </w:p>
    <w:p w:rsidR="00393E3E" w:rsidRDefault="00393E3E" w:rsidP="002702ED">
      <w:r>
        <w:t>MOT notes that w</w:t>
      </w:r>
      <w:r w:rsidR="00534650">
        <w:t>hile today’s transport programme must continue the work of network completion and expansion,</w:t>
      </w:r>
      <w:r w:rsidR="00655649" w:rsidRPr="00DA7619">
        <w:t xml:space="preserve"> the </w:t>
      </w:r>
      <w:r>
        <w:t xml:space="preserve">emerging </w:t>
      </w:r>
      <w:r w:rsidR="00655649" w:rsidRPr="00DA7619">
        <w:t xml:space="preserve">challenge </w:t>
      </w:r>
      <w:r w:rsidR="00534650">
        <w:t xml:space="preserve">is to improve management of the whole transport sector.  The primary emphasis will </w:t>
      </w:r>
      <w:r>
        <w:t xml:space="preserve">be </w:t>
      </w:r>
      <w:r w:rsidR="00534650">
        <w:t>increasingly on the operation and maintenance of an essentially completed and maturing system.  The demands on the transportation system will be</w:t>
      </w:r>
      <w:r>
        <w:t xml:space="preserve"> those not of a rapidly growing economy in the infrastructure development stage</w:t>
      </w:r>
      <w:r w:rsidR="00655649" w:rsidRPr="00DA7619">
        <w:t>,</w:t>
      </w:r>
      <w:r>
        <w:t xml:space="preserve"> but those of a maturing economy that is seeking a sustainable growth pattern, and a competitive role in the increasingly global world</w:t>
      </w:r>
      <w:r w:rsidR="006041F3">
        <w:t xml:space="preserve"> (</w:t>
      </w:r>
      <w:r w:rsidR="00351F6D">
        <w:t xml:space="preserve">see </w:t>
      </w:r>
      <w:r w:rsidR="006041F3">
        <w:t>project documents)</w:t>
      </w:r>
      <w:r>
        <w:t>.</w:t>
      </w:r>
      <w:r w:rsidR="00655649" w:rsidRPr="00DA7619">
        <w:t xml:space="preserve"> </w:t>
      </w:r>
    </w:p>
    <w:p w:rsidR="00655649" w:rsidRPr="00DA7619" w:rsidRDefault="006041F3" w:rsidP="002702ED">
      <w:r>
        <w:t>Ministry officials explained to the Evaluation mission that SA is today able to focus on f</w:t>
      </w:r>
      <w:r w:rsidR="00655649" w:rsidRPr="00DA7619">
        <w:t xml:space="preserve">urther development of </w:t>
      </w:r>
      <w:r>
        <w:t>“</w:t>
      </w:r>
      <w:r w:rsidR="00655649" w:rsidRPr="00DA7619">
        <w:t>smart</w:t>
      </w:r>
      <w:r>
        <w:t>”</w:t>
      </w:r>
      <w:r w:rsidR="00655649" w:rsidRPr="00DA7619">
        <w:t xml:space="preserve"> transport systems, that can for example supervise urban vehicle circulation, directing drivers away from bottlenecks and to lesser-used routes during the changing rhythm of daily traffic, permitting more efficient use of roadways, reducing snarls and promoting smooth flows of vehicles and passengers.</w:t>
      </w:r>
    </w:p>
    <w:p w:rsidR="00740CF0" w:rsidRPr="00DA7619" w:rsidRDefault="00740CF0" w:rsidP="002702ED"/>
    <w:p w:rsidR="002702ED" w:rsidRPr="00DA7619" w:rsidRDefault="002702ED" w:rsidP="0055608D">
      <w:pPr>
        <w:pStyle w:val="Heading4"/>
        <w:numPr>
          <w:ilvl w:val="3"/>
          <w:numId w:val="4"/>
        </w:numPr>
      </w:pPr>
      <w:bookmarkStart w:id="18" w:name="_Toc325940179"/>
      <w:r w:rsidRPr="00DA7619">
        <w:lastRenderedPageBreak/>
        <w:t xml:space="preserve">Technology and knowledge transfer programmes with focus on e-government developed for </w:t>
      </w:r>
      <w:r w:rsidR="0010020E" w:rsidRPr="00DA7619">
        <w:t>the Ministry of Foreign Affairs (MOFA)</w:t>
      </w:r>
      <w:bookmarkEnd w:id="18"/>
    </w:p>
    <w:p w:rsidR="00F57D52" w:rsidRPr="00DA7619" w:rsidRDefault="00B05F50" w:rsidP="00F57D52">
      <w:pPr>
        <w:rPr>
          <w:lang w:eastAsia="en-CA"/>
        </w:rPr>
      </w:pPr>
      <w:r w:rsidRPr="00DA7619">
        <w:t>The Saudi authorities have granted priority to diversifying and modernizing their economy, starting in 1999 with the privatization of the power and telecommunications industries</w:t>
      </w:r>
      <w:r w:rsidR="00F57D52" w:rsidRPr="00DA7619">
        <w:t>.</w:t>
      </w:r>
      <w:r w:rsidR="00C732CC" w:rsidRPr="00DA7619">
        <w:t xml:space="preserve"> </w:t>
      </w:r>
      <w:r w:rsidRPr="00DA7619">
        <w:t xml:space="preserve"> From that time, developments in</w:t>
      </w:r>
      <w:r w:rsidR="00C732CC" w:rsidRPr="00DA7619">
        <w:t xml:space="preserve"> the information and communication</w:t>
      </w:r>
      <w:r w:rsidR="00272506" w:rsidRPr="00DA7619">
        <w:t>s</w:t>
      </w:r>
      <w:r w:rsidR="00C732CC" w:rsidRPr="00DA7619">
        <w:t xml:space="preserve"> technology </w:t>
      </w:r>
      <w:r w:rsidRPr="00DA7619">
        <w:rPr>
          <w:rFonts w:ascii="Arial" w:hAnsi="Arial" w:cs="Arial"/>
          <w:color w:val="222222"/>
        </w:rPr>
        <w:t>(</w:t>
      </w:r>
      <w:r w:rsidRPr="00DA7619">
        <w:t>ICT) industry continue</w:t>
      </w:r>
      <w:r w:rsidR="00272506" w:rsidRPr="00DA7619">
        <w:t>d</w:t>
      </w:r>
      <w:r w:rsidRPr="00DA7619">
        <w:t xml:space="preserve"> to accelerate.  </w:t>
      </w:r>
      <w:r w:rsidR="000E3E28" w:rsidRPr="00DA7619">
        <w:t>The Sau</w:t>
      </w:r>
      <w:r w:rsidR="00272506" w:rsidRPr="00DA7619">
        <w:t>di National e-Government programme</w:t>
      </w:r>
      <w:r w:rsidR="000E3E28" w:rsidRPr="00DA7619">
        <w:t xml:space="preserve">, YESSER, was launched to provide better government services, enhance efficiency and effectiveness in the public sector, and contribute to creating a Saudi information and knowledge-based society. Simultaneously, a large number of regulatory and policy actions focused on fostering competitiveness and establishing a business environment supportive of information and communication </w:t>
      </w:r>
      <w:r w:rsidR="00C732CC" w:rsidRPr="00DA7619">
        <w:t xml:space="preserve">technologies </w:t>
      </w:r>
      <w:r w:rsidRPr="00DA7619">
        <w:t xml:space="preserve">were adopted </w:t>
      </w:r>
      <w:r w:rsidR="007D6549" w:rsidRPr="00DA7619">
        <w:fldChar w:fldCharType="begin"/>
      </w:r>
      <w:r w:rsidR="00DB11E7">
        <w:instrText xml:space="preserve"> ADDIN EN.CITE &lt;EndNote&gt;&lt;Cite&gt;&lt;Author&gt;Badger&lt;/Author&gt;&lt;Year&gt;2011&lt;/Year&gt;&lt;RecNum&gt;1088&lt;/RecNum&gt;&lt;record&gt;&lt;rec-number&gt;1088&lt;/rec-number&gt;&lt;ref-type name="Book Section"&gt;5&lt;/ref-type&gt;&lt;contributors&gt;&lt;authors&gt;&lt;author&gt;Mark O. Badger&lt;/author&gt;&lt;author&gt;Mustafa M. Khan&lt;/author&gt;&lt;author&gt;Bruno Lanvin&lt;/author&gt;&lt;/authors&gt;&lt;secondary-authors&gt;&lt;author&gt;World Economic Forum,&lt;/author&gt;&lt;/secondary-authors&gt;&lt;/contributors&gt;&lt;titles&gt;&lt;title&gt;Growing Talent for the Knowledge Economy: The Experience of Saudi Arabia&lt;/title&gt;&lt;secondary-title&gt;The Global Information Technology Report 2010–2011&lt;/secondary-title&gt;&lt;/titles&gt;&lt;pages&gt;Chapter 2&lt;/pages&gt;&lt;dates&gt;&lt;year&gt;2011&lt;/year&gt;&lt;/dates&gt;&lt;pub-location&gt;Geneva&lt;/pub-location&gt;&lt;publisher&gt;World Economic Forum&lt;/publisher&gt;&lt;urls&gt;&lt;related-urls&gt;&lt;url&gt;http://www.weforum.org/reports/global-information-technology-report-2010-2011-0&lt;/url&gt;&lt;/related-urls&gt;&lt;/urls&gt;&lt;/record&gt;&lt;/Cite&gt;&lt;/EndNote&gt;</w:instrText>
      </w:r>
      <w:r w:rsidR="007D6549" w:rsidRPr="00DA7619">
        <w:fldChar w:fldCharType="separate"/>
      </w:r>
      <w:r w:rsidRPr="00DA7619">
        <w:t>(Badger et al. 2011)</w:t>
      </w:r>
      <w:r w:rsidR="007D6549" w:rsidRPr="00DA7619">
        <w:fldChar w:fldCharType="end"/>
      </w:r>
      <w:r w:rsidRPr="00DA7619">
        <w:t>.</w:t>
      </w:r>
      <w:r w:rsidR="00F57D52" w:rsidRPr="00DA7619">
        <w:rPr>
          <w:lang w:eastAsia="en-CA"/>
        </w:rPr>
        <w:t xml:space="preserve"> </w:t>
      </w:r>
    </w:p>
    <w:p w:rsidR="00F57D52" w:rsidRPr="00DA7619" w:rsidRDefault="00F57D52" w:rsidP="00F57D52">
      <w:pPr>
        <w:rPr>
          <w:lang w:eastAsia="en-CA"/>
        </w:rPr>
      </w:pPr>
      <w:r w:rsidRPr="00DA7619">
        <w:rPr>
          <w:lang w:eastAsia="en-CA"/>
        </w:rPr>
        <w:t>The SA government also recognised the importance of ICT as a key driver of its economic transformation. By the end of the CP period, the Kingdom had risen to 34</w:t>
      </w:r>
      <w:r w:rsidRPr="00DA7619">
        <w:rPr>
          <w:vertAlign w:val="superscript"/>
          <w:lang w:eastAsia="en-CA"/>
        </w:rPr>
        <w:t>th</w:t>
      </w:r>
      <w:r w:rsidRPr="00DA7619">
        <w:rPr>
          <w:lang w:eastAsia="en-CA"/>
        </w:rPr>
        <w:t xml:space="preserve"> place of 142 countries ranked in the 2012 Network Readiness Index of the World Economic Forum (WEF).   According to the WEF Report, it was the committed government effort to prioritise ICT (ranked 5</w:t>
      </w:r>
      <w:r w:rsidRPr="00DA7619">
        <w:rPr>
          <w:vertAlign w:val="superscript"/>
          <w:lang w:eastAsia="en-CA"/>
        </w:rPr>
        <w:t>th</w:t>
      </w:r>
      <w:r w:rsidRPr="00DA7619">
        <w:rPr>
          <w:lang w:eastAsia="en-CA"/>
        </w:rPr>
        <w:t xml:space="preserve"> among all countries covered) coupled with a very favourable environment for business development that gave the country high marks in the index for preparing the country for the ICT revolution, especially in terms of infrastructure development.  Nevertheless, the Report noted, it remains important for the country to foster higher levels of competition to reduce the costs of communications (where it ranked midway in the index) and to improve the skill base by reducing adult illiteracy (where it ranked 98</w:t>
      </w:r>
      <w:r w:rsidRPr="00DA7619">
        <w:rPr>
          <w:vertAlign w:val="superscript"/>
          <w:lang w:eastAsia="en-CA"/>
        </w:rPr>
        <w:t>th</w:t>
      </w:r>
      <w:r w:rsidRPr="00DA7619">
        <w:rPr>
          <w:lang w:eastAsia="en-CA"/>
        </w:rPr>
        <w:t xml:space="preserve"> of the 142</w:t>
      </w:r>
      <w:r w:rsidRPr="00DA7619">
        <w:rPr>
          <w:color w:val="999999"/>
          <w:sz w:val="9"/>
          <w:szCs w:val="9"/>
          <w:vertAlign w:val="superscript"/>
          <w:lang w:eastAsia="en-CA"/>
        </w:rPr>
        <w:t>t</w:t>
      </w:r>
      <w:r w:rsidRPr="00DA7619">
        <w:rPr>
          <w:lang w:eastAsia="en-CA"/>
        </w:rPr>
        <w:t xml:space="preserve">).  In addition, it is essential that SA increase its population’s participation in tertiary education.  These education and training targets should be immediate priorities to further boost the uptake of ICT in the country, the Report stated </w:t>
      </w:r>
      <w:r w:rsidR="007D6549" w:rsidRPr="00DA7619">
        <w:rPr>
          <w:lang w:eastAsia="en-CA"/>
        </w:rPr>
        <w:fldChar w:fldCharType="begin"/>
      </w:r>
      <w:r w:rsidR="00DB11E7">
        <w:rPr>
          <w:lang w:eastAsia="en-CA"/>
        </w:rPr>
        <w:instrText xml:space="preserve"> ADDIN EN.CITE &lt;EndNote&gt;&lt;Cite&gt;&lt;Author&gt;World Economic Forum&lt;/Author&gt;&lt;Year&gt;2012&lt;/Year&gt;&lt;RecNum&gt;1087&lt;/RecNum&gt;&lt;record&gt;&lt;rec-number&gt;1087&lt;/rec-number&gt;&lt;ref-type name="Report"&gt;27&lt;/ref-type&gt;&lt;contributors&gt;&lt;authors&gt;&lt;author&gt;World Economic Forum,&lt;/author&gt;&lt;/authors&gt;&lt;/contributors&gt;&lt;titles&gt;&lt;title&gt;The Global Information Technology Report 2011–2012&lt;/title&gt;&lt;/titles&gt;&lt;dates&gt;&lt;year&gt;2012&lt;/year&gt;&lt;/dates&gt;&lt;pub-location&gt;Geneva&lt;/pub-location&gt;&lt;publisher&gt;World Economic Forum&lt;/publisher&gt;&lt;urls&gt;&lt;related-urls&gt;&lt;url&gt;http://www.weforum.org/reports/global-information-technology-report-2011-2012-0&lt;/url&gt;&lt;/related-urls&gt;&lt;/urls&gt;&lt;/record&gt;&lt;/Cite&gt;&lt;/EndNote&gt;</w:instrText>
      </w:r>
      <w:r w:rsidR="007D6549" w:rsidRPr="00DA7619">
        <w:rPr>
          <w:lang w:eastAsia="en-CA"/>
        </w:rPr>
        <w:fldChar w:fldCharType="separate"/>
      </w:r>
      <w:r w:rsidR="009845A5" w:rsidRPr="00DA7619">
        <w:rPr>
          <w:lang w:eastAsia="en-CA"/>
        </w:rPr>
        <w:t>(World Economic Forum 2012)</w:t>
      </w:r>
      <w:r w:rsidR="007D6549" w:rsidRPr="00DA7619">
        <w:rPr>
          <w:lang w:eastAsia="en-CA"/>
        </w:rPr>
        <w:fldChar w:fldCharType="end"/>
      </w:r>
      <w:r w:rsidRPr="00DA7619">
        <w:rPr>
          <w:lang w:eastAsia="en-CA"/>
        </w:rPr>
        <w:t>.</w:t>
      </w:r>
    </w:p>
    <w:p w:rsidR="00E8294B" w:rsidRDefault="00272506" w:rsidP="00F57D52">
      <w:r w:rsidRPr="00DA7619">
        <w:t xml:space="preserve">Looking specifically at government services, </w:t>
      </w:r>
      <w:r w:rsidR="00F57D52" w:rsidRPr="00DA7619">
        <w:t>UNDP supported the government of SA with a new project as of 2008 developing an information technology (IT) component that would create greater sustainability and would stre</w:t>
      </w:r>
      <w:r w:rsidR="00956D13">
        <w:t>ngthen</w:t>
      </w:r>
      <w:r w:rsidR="00F57D52" w:rsidRPr="00DA7619">
        <w:t xml:space="preserve"> the country’s embassies and the</w:t>
      </w:r>
      <w:r w:rsidR="00A81C74" w:rsidRPr="00DA7619">
        <w:t>ir authority, the</w:t>
      </w:r>
      <w:r w:rsidR="00F57D52" w:rsidRPr="00DA7619">
        <w:t xml:space="preserve"> Ministry of Foreign Affairs (MOFA)</w:t>
      </w:r>
      <w:r w:rsidR="00A81C74" w:rsidRPr="00DA7619">
        <w:t>.  The project provided technical assistance for installing</w:t>
      </w:r>
      <w:r w:rsidR="00F57D52" w:rsidRPr="00DA7619">
        <w:t xml:space="preserve"> competitive ICT at MOFA </w:t>
      </w:r>
      <w:r w:rsidR="00A81C74" w:rsidRPr="00DA7619">
        <w:t xml:space="preserve">to increase </w:t>
      </w:r>
      <w:r w:rsidR="00F57D52" w:rsidRPr="00DA7619">
        <w:rPr>
          <w:spacing w:val="-3"/>
        </w:rPr>
        <w:t xml:space="preserve">work productivity </w:t>
      </w:r>
      <w:r w:rsidR="00A81C74" w:rsidRPr="00DA7619">
        <w:rPr>
          <w:spacing w:val="-3"/>
        </w:rPr>
        <w:t xml:space="preserve">and </w:t>
      </w:r>
      <w:r w:rsidR="00F57D52" w:rsidRPr="00DA7619">
        <w:rPr>
          <w:spacing w:val="-3"/>
        </w:rPr>
        <w:t>efficiency</w:t>
      </w:r>
      <w:r w:rsidR="00A81C74" w:rsidRPr="00DA7619">
        <w:rPr>
          <w:spacing w:val="-3"/>
        </w:rPr>
        <w:t>, initially in the issuance of visas worldwide</w:t>
      </w:r>
      <w:r w:rsidR="00F57D52" w:rsidRPr="00DA7619">
        <w:t xml:space="preserve">. The project </w:t>
      </w:r>
      <w:r w:rsidR="00A81C74" w:rsidRPr="00DA7619">
        <w:t>was designed</w:t>
      </w:r>
      <w:r w:rsidR="00F57D52" w:rsidRPr="00DA7619">
        <w:t xml:space="preserve"> to update </w:t>
      </w:r>
      <w:r w:rsidR="00A81C74" w:rsidRPr="00DA7619">
        <w:t xml:space="preserve">and standardize </w:t>
      </w:r>
      <w:r w:rsidRPr="00DA7619">
        <w:t>the ICT</w:t>
      </w:r>
      <w:r w:rsidR="00F57D52" w:rsidRPr="00DA7619">
        <w:t xml:space="preserve"> infrastructure in MOFA,</w:t>
      </w:r>
      <w:r w:rsidR="00A81C74" w:rsidRPr="00DA7619">
        <w:t xml:space="preserve"> and to</w:t>
      </w:r>
      <w:r w:rsidR="00F57D52" w:rsidRPr="00DA7619">
        <w:t xml:space="preserve"> increase the diffusion </w:t>
      </w:r>
      <w:r w:rsidR="00A81C74" w:rsidRPr="00DA7619">
        <w:t xml:space="preserve">and </w:t>
      </w:r>
      <w:r w:rsidR="00F57D52" w:rsidRPr="00DA7619">
        <w:t>utilization of ICT</w:t>
      </w:r>
      <w:r w:rsidR="00A81C74" w:rsidRPr="00DA7619">
        <w:t xml:space="preserve"> in its offices at home and abroad</w:t>
      </w:r>
      <w:r w:rsidR="00F57D52" w:rsidRPr="00DA7619">
        <w:t xml:space="preserve">. </w:t>
      </w:r>
      <w:r w:rsidR="00A81C74" w:rsidRPr="00DA7619">
        <w:t xml:space="preserve">  It introduced the concept of “</w:t>
      </w:r>
      <w:r w:rsidR="00F57D52" w:rsidRPr="00DA7619">
        <w:t>Anywhere anytime</w:t>
      </w:r>
      <w:r w:rsidR="00A81C74" w:rsidRPr="00DA7619">
        <w:t>”</w:t>
      </w:r>
      <w:r w:rsidR="00F57D52" w:rsidRPr="00DA7619">
        <w:t xml:space="preserve"> e-Services, e-</w:t>
      </w:r>
      <w:r w:rsidR="00A81C74" w:rsidRPr="00DA7619">
        <w:t xml:space="preserve">Transactions, e-Communications </w:t>
      </w:r>
      <w:r w:rsidR="00F57D52" w:rsidRPr="00DA7619">
        <w:t>and e-Information</w:t>
      </w:r>
      <w:r w:rsidR="00A81C74" w:rsidRPr="00DA7619">
        <w:t>, for s</w:t>
      </w:r>
      <w:r w:rsidR="00A81C74" w:rsidRPr="00DA7619">
        <w:rPr>
          <w:rFonts w:eastAsia="Calibri" w:cs="Times New Roman"/>
        </w:rPr>
        <w:t>ervices</w:t>
      </w:r>
      <w:r w:rsidR="00A81C74" w:rsidRPr="00DA7619">
        <w:t xml:space="preserve"> such as access to government </w:t>
      </w:r>
      <w:r w:rsidR="00A81C74" w:rsidRPr="00DA7619">
        <w:rPr>
          <w:rFonts w:eastAsia="Calibri" w:cs="Times New Roman"/>
        </w:rPr>
        <w:t xml:space="preserve">information, </w:t>
      </w:r>
      <w:r w:rsidR="00A81C74" w:rsidRPr="00DA7619">
        <w:t>v</w:t>
      </w:r>
      <w:r w:rsidR="00A81C74" w:rsidRPr="00DA7619">
        <w:rPr>
          <w:rFonts w:eastAsia="Calibri" w:cs="Times New Roman"/>
        </w:rPr>
        <w:t xml:space="preserve">isa applications, license renewals, </w:t>
      </w:r>
      <w:r w:rsidR="00A81C74" w:rsidRPr="00DA7619">
        <w:t xml:space="preserve">the </w:t>
      </w:r>
      <w:r w:rsidR="006624B0" w:rsidRPr="00DA7619">
        <w:t xml:space="preserve">ordering of </w:t>
      </w:r>
      <w:r w:rsidR="00A81C74" w:rsidRPr="00DA7619">
        <w:rPr>
          <w:rFonts w:eastAsia="Calibri" w:cs="Times New Roman"/>
        </w:rPr>
        <w:t>certificates</w:t>
      </w:r>
      <w:r w:rsidR="00A81C74" w:rsidRPr="00DA7619">
        <w:t xml:space="preserve"> and</w:t>
      </w:r>
      <w:r w:rsidR="00A81C74" w:rsidRPr="00DA7619">
        <w:rPr>
          <w:rFonts w:eastAsia="Calibri" w:cs="Times New Roman"/>
        </w:rPr>
        <w:t xml:space="preserve"> filing </w:t>
      </w:r>
      <w:r w:rsidR="001A5AAB" w:rsidRPr="00DA7619">
        <w:t xml:space="preserve">of </w:t>
      </w:r>
      <w:r w:rsidR="00A81C74" w:rsidRPr="00DA7619">
        <w:rPr>
          <w:rFonts w:eastAsia="Calibri" w:cs="Times New Roman"/>
        </w:rPr>
        <w:t>personal data</w:t>
      </w:r>
      <w:r w:rsidR="00A81C74" w:rsidRPr="00DA7619">
        <w:t xml:space="preserve"> in the national vital statistics registries</w:t>
      </w:r>
      <w:r w:rsidR="00A81C74" w:rsidRPr="00DA7619">
        <w:rPr>
          <w:rFonts w:eastAsia="Calibri" w:cs="Times New Roman"/>
        </w:rPr>
        <w:t xml:space="preserve">, </w:t>
      </w:r>
      <w:r w:rsidR="00A81C74" w:rsidRPr="00DA7619">
        <w:t xml:space="preserve">and various </w:t>
      </w:r>
      <w:r w:rsidR="00A81C74" w:rsidRPr="00DA7619">
        <w:rPr>
          <w:rFonts w:eastAsia="Calibri" w:cs="Times New Roman"/>
        </w:rPr>
        <w:t>accounting, finance</w:t>
      </w:r>
      <w:r w:rsidR="00A81C74" w:rsidRPr="00DA7619">
        <w:t>, human resource and other systems</w:t>
      </w:r>
      <w:r w:rsidR="00A81C74" w:rsidRPr="00DA7619">
        <w:rPr>
          <w:rFonts w:eastAsia="Calibri" w:cs="Times New Roman"/>
        </w:rPr>
        <w:t>.</w:t>
      </w:r>
      <w:r w:rsidR="001A5AAB" w:rsidRPr="00DA7619">
        <w:t xml:space="preserve">  </w:t>
      </w:r>
    </w:p>
    <w:p w:rsidR="00F57D52" w:rsidRPr="00DA7619" w:rsidRDefault="001A5AAB" w:rsidP="00F57D52">
      <w:r w:rsidRPr="00DA7619">
        <w:t>The impact of this advanced use of ICT is its transformation of the w</w:t>
      </w:r>
      <w:r w:rsidR="00F57D52" w:rsidRPr="00DA7619">
        <w:t>ork environment to</w:t>
      </w:r>
      <w:r w:rsidRPr="00DA7619">
        <w:t xml:space="preserve"> the level of a "k</w:t>
      </w:r>
      <w:r w:rsidR="00F57D52" w:rsidRPr="00DA7619">
        <w:t xml:space="preserve">nowledge </w:t>
      </w:r>
      <w:r w:rsidRPr="00DA7619">
        <w:t>s</w:t>
      </w:r>
      <w:r w:rsidR="00F57D52" w:rsidRPr="00DA7619">
        <w:t xml:space="preserve">ociety </w:t>
      </w:r>
      <w:r w:rsidRPr="00DA7619">
        <w:t>and</w:t>
      </w:r>
      <w:r w:rsidR="00F57D52" w:rsidRPr="00DA7619">
        <w:t xml:space="preserve"> management</w:t>
      </w:r>
      <w:r w:rsidRPr="00DA7619">
        <w:t>” (</w:t>
      </w:r>
      <w:r w:rsidR="00E8294B">
        <w:t xml:space="preserve">see </w:t>
      </w:r>
      <w:r w:rsidRPr="00DA7619">
        <w:t>Project documents)</w:t>
      </w:r>
      <w:r w:rsidR="00F57D52" w:rsidRPr="00DA7619">
        <w:t xml:space="preserve">. </w:t>
      </w:r>
      <w:r w:rsidRPr="00DA7619">
        <w:t xml:space="preserve"> The project helped develop a cohort of s</w:t>
      </w:r>
      <w:r w:rsidR="00F57D52" w:rsidRPr="00DA7619">
        <w:t xml:space="preserve">killed </w:t>
      </w:r>
      <w:r w:rsidRPr="00DA7619">
        <w:t xml:space="preserve">and </w:t>
      </w:r>
      <w:r w:rsidR="00F57D52" w:rsidRPr="00DA7619">
        <w:t xml:space="preserve">knowledgeable employees through </w:t>
      </w:r>
      <w:r w:rsidRPr="00DA7619">
        <w:t>a c</w:t>
      </w:r>
      <w:r w:rsidR="00F57D52" w:rsidRPr="00DA7619">
        <w:t xml:space="preserve">ontinuous </w:t>
      </w:r>
      <w:r w:rsidRPr="00DA7619">
        <w:t xml:space="preserve">learning and </w:t>
      </w:r>
      <w:r w:rsidR="00F57D52" w:rsidRPr="00DA7619">
        <w:t>training</w:t>
      </w:r>
      <w:r w:rsidRPr="00DA7619">
        <w:t xml:space="preserve"> process</w:t>
      </w:r>
      <w:r w:rsidR="00F57D52" w:rsidRPr="00DA7619">
        <w:t>.</w:t>
      </w:r>
      <w:r w:rsidRPr="00DA7619">
        <w:t xml:space="preserve">  O</w:t>
      </w:r>
      <w:r w:rsidR="00F57D52" w:rsidRPr="00DA7619">
        <w:t xml:space="preserve">bjectives </w:t>
      </w:r>
      <w:r w:rsidRPr="00DA7619">
        <w:t xml:space="preserve">of the project also </w:t>
      </w:r>
      <w:r w:rsidR="008D7DA1" w:rsidRPr="00DA7619">
        <w:t>put a high priority on greater</w:t>
      </w:r>
      <w:r w:rsidRPr="00DA7619">
        <w:t xml:space="preserve"> user</w:t>
      </w:r>
      <w:r w:rsidR="00F57D52" w:rsidRPr="00DA7619">
        <w:t xml:space="preserve"> satisfaction</w:t>
      </w:r>
      <w:r w:rsidRPr="00DA7619">
        <w:t xml:space="preserve">, </w:t>
      </w:r>
      <w:r w:rsidR="008D7DA1" w:rsidRPr="00DA7619">
        <w:t>by establishing</w:t>
      </w:r>
      <w:r w:rsidRPr="00DA7619">
        <w:t xml:space="preserve"> </w:t>
      </w:r>
      <w:r w:rsidR="008D7DA1" w:rsidRPr="00DA7619">
        <w:t>“</w:t>
      </w:r>
      <w:r w:rsidRPr="00DA7619">
        <w:t>one-</w:t>
      </w:r>
      <w:r w:rsidR="00F57D52" w:rsidRPr="00DA7619">
        <w:t>stop</w:t>
      </w:r>
      <w:r w:rsidR="008D7DA1" w:rsidRPr="00DA7619">
        <w:t>”</w:t>
      </w:r>
      <w:r w:rsidR="00F57D52" w:rsidRPr="00DA7619">
        <w:t xml:space="preserve"> easy, secure </w:t>
      </w:r>
      <w:r w:rsidRPr="00DA7619">
        <w:t xml:space="preserve">and rapid </w:t>
      </w:r>
      <w:r w:rsidR="00F57D52" w:rsidRPr="00DA7619">
        <w:t>services</w:t>
      </w:r>
      <w:r w:rsidRPr="00DA7619">
        <w:t xml:space="preserve">.  Overall, the project was seen by staff </w:t>
      </w:r>
      <w:r w:rsidR="00F57D52" w:rsidRPr="00DA7619">
        <w:t xml:space="preserve">as contributing to </w:t>
      </w:r>
      <w:r w:rsidRPr="00DA7619">
        <w:t xml:space="preserve">the development of the </w:t>
      </w:r>
      <w:r w:rsidR="00F57D52" w:rsidRPr="00DA7619">
        <w:t xml:space="preserve">digital economy </w:t>
      </w:r>
      <w:r w:rsidRPr="00DA7619">
        <w:t xml:space="preserve">and to </w:t>
      </w:r>
      <w:r w:rsidR="00F57D52" w:rsidRPr="00DA7619">
        <w:rPr>
          <w:spacing w:val="-3"/>
        </w:rPr>
        <w:t>providing an attractive environment for investment</w:t>
      </w:r>
      <w:r w:rsidR="00F57D52" w:rsidRPr="00DA7619">
        <w:t xml:space="preserve"> in KSA.</w:t>
      </w:r>
    </w:p>
    <w:p w:rsidR="006C63B0" w:rsidRPr="0062041F" w:rsidRDefault="008A5C78" w:rsidP="006C63B0">
      <w:pPr>
        <w:rPr>
          <w:rFonts w:eastAsia="Times New Roman" w:cs="Times New Roman"/>
          <w:color w:val="000000"/>
          <w:lang w:val="en-CA" w:eastAsia="en-CA"/>
        </w:rPr>
      </w:pPr>
      <w:r w:rsidRPr="00DA7619">
        <w:rPr>
          <w:lang w:eastAsia="en-CA"/>
        </w:rPr>
        <w:t xml:space="preserve">The Saudi government has 1,200 electronic services provided by 144 government agencies.  </w:t>
      </w:r>
      <w:r w:rsidR="00E8294B">
        <w:rPr>
          <w:lang w:eastAsia="en-CA"/>
        </w:rPr>
        <w:t xml:space="preserve">In 2010 its embassies issued </w:t>
      </w:r>
      <w:r w:rsidR="00E8294B" w:rsidRPr="00DA7619">
        <w:t>8,404,582</w:t>
      </w:r>
      <w:r w:rsidR="00E8294B">
        <w:t xml:space="preserve"> e-visas, which were simultaneously registered with all points of entry </w:t>
      </w:r>
      <w:r w:rsidR="00E8294B">
        <w:lastRenderedPageBreak/>
        <w:t xml:space="preserve">throughout the country.  In </w:t>
      </w:r>
      <w:r w:rsidR="006C63B0">
        <w:t>less than</w:t>
      </w:r>
      <w:r w:rsidR="00E8294B">
        <w:t xml:space="preserve"> four years, the project trained more </w:t>
      </w:r>
      <w:r w:rsidR="00E8294B" w:rsidRPr="0062041F">
        <w:t xml:space="preserve">than </w:t>
      </w:r>
      <w:r w:rsidR="006C63B0" w:rsidRPr="0062041F">
        <w:rPr>
          <w:rFonts w:eastAsia="Times New Roman" w:cs="Times New Roman"/>
          <w:color w:val="000000"/>
          <w:lang w:val="en-CA" w:eastAsia="en-CA"/>
        </w:rPr>
        <w:t xml:space="preserve">4642 technical specialists from the starting point to </w:t>
      </w:r>
      <w:r w:rsidR="006C63B0" w:rsidRPr="0062041F">
        <w:rPr>
          <w:rFonts w:cs="Arial"/>
          <w:bCs/>
          <w:lang w:val="en-CA"/>
        </w:rPr>
        <w:t>IC</w:t>
      </w:r>
      <w:r w:rsidR="006C63B0" w:rsidRPr="0062041F">
        <w:rPr>
          <w:rFonts w:cs="Arial"/>
          <w:bCs/>
          <w:vertAlign w:val="superscript"/>
          <w:lang w:val="en-CA"/>
        </w:rPr>
        <w:t>3</w:t>
      </w:r>
      <w:r w:rsidR="006C63B0" w:rsidRPr="0062041F">
        <w:rPr>
          <w:rFonts w:cs="Arial"/>
          <w:bCs/>
          <w:lang w:val="en-CA"/>
        </w:rPr>
        <w:t xml:space="preserve">/ICDL certificate (respectively </w:t>
      </w:r>
      <w:r w:rsidR="0062041F" w:rsidRPr="0062041F">
        <w:rPr>
          <w:rFonts w:cs="Arial"/>
          <w:bCs/>
          <w:lang w:val="en-CA"/>
        </w:rPr>
        <w:t>North</w:t>
      </w:r>
      <w:r w:rsidR="006C63B0" w:rsidRPr="0062041F">
        <w:rPr>
          <w:rFonts w:cs="Arial"/>
          <w:bCs/>
          <w:lang w:val="en-CA"/>
        </w:rPr>
        <w:t xml:space="preserve"> American and European </w:t>
      </w:r>
      <w:r w:rsidR="006C63B0" w:rsidRPr="0062041F">
        <w:rPr>
          <w:rFonts w:eastAsia="Times New Roman" w:cs="Times New Roman"/>
          <w:color w:val="000000"/>
          <w:lang w:val="en-CA" w:eastAsia="en-CA"/>
        </w:rPr>
        <w:t xml:space="preserve">international </w:t>
      </w:r>
      <w:r w:rsidR="0062041F">
        <w:rPr>
          <w:rFonts w:eastAsia="Times New Roman" w:cs="Times New Roman"/>
          <w:color w:val="000000"/>
          <w:lang w:val="en-CA" w:eastAsia="en-CA"/>
        </w:rPr>
        <w:t xml:space="preserve">computer competency </w:t>
      </w:r>
      <w:r w:rsidR="006C63B0" w:rsidRPr="0062041F">
        <w:rPr>
          <w:rFonts w:eastAsia="Times New Roman" w:cs="Times New Roman"/>
          <w:color w:val="000000"/>
          <w:lang w:val="en-CA" w:eastAsia="en-CA"/>
        </w:rPr>
        <w:t>certification level</w:t>
      </w:r>
      <w:r w:rsidR="0062041F">
        <w:rPr>
          <w:rFonts w:eastAsia="Times New Roman" w:cs="Times New Roman"/>
          <w:color w:val="000000"/>
          <w:lang w:val="en-CA" w:eastAsia="en-CA"/>
        </w:rPr>
        <w:t>s).  (Communication from MOFA project leadership.)</w:t>
      </w:r>
    </w:p>
    <w:p w:rsidR="00272506" w:rsidRPr="00DA7619" w:rsidRDefault="00272506" w:rsidP="00272506">
      <w:pPr>
        <w:rPr>
          <w:lang w:eastAsia="en-CA"/>
        </w:rPr>
      </w:pPr>
      <w:r w:rsidRPr="00DA7619">
        <w:rPr>
          <w:lang w:eastAsia="en-CA"/>
        </w:rPr>
        <w:t>The YESSER programme overall translates the government's keen interest in implementing the e-government concept</w:t>
      </w:r>
      <w:r w:rsidR="00702A4A" w:rsidRPr="00DA7619">
        <w:rPr>
          <w:lang w:eastAsia="en-CA"/>
        </w:rPr>
        <w:t xml:space="preserve">, and stands as one of </w:t>
      </w:r>
      <w:r w:rsidRPr="00DA7619">
        <w:rPr>
          <w:lang w:eastAsia="en-CA"/>
        </w:rPr>
        <w:t xml:space="preserve">many initiatives and projects adopted by the government to </w:t>
      </w:r>
      <w:r w:rsidR="008A5C78" w:rsidRPr="00DA7619">
        <w:rPr>
          <w:lang w:eastAsia="en-CA"/>
        </w:rPr>
        <w:t>improve public sector performance and service to its population</w:t>
      </w:r>
      <w:r w:rsidRPr="00DA7619">
        <w:rPr>
          <w:lang w:eastAsia="en-CA"/>
        </w:rPr>
        <w:t xml:space="preserve">.  </w:t>
      </w:r>
    </w:p>
    <w:p w:rsidR="00E605D9" w:rsidRPr="00DA7619" w:rsidRDefault="00E605D9" w:rsidP="00E605D9">
      <w:pPr>
        <w:rPr>
          <w:lang w:eastAsia="en-CA"/>
        </w:rPr>
      </w:pPr>
      <w:r w:rsidRPr="00DA7619">
        <w:t>By the end of the CP period, SA ranked</w:t>
      </w:r>
      <w:r w:rsidRPr="00DA7619">
        <w:rPr>
          <w:lang w:eastAsia="en-CA"/>
        </w:rPr>
        <w:t xml:space="preserve"> 41 out of 193 countries in using e-government</w:t>
      </w:r>
      <w:r w:rsidR="009C4141" w:rsidRPr="00DA7619">
        <w:rPr>
          <w:lang w:eastAsia="en-CA"/>
        </w:rPr>
        <w:t>, according to the United Nation</w:t>
      </w:r>
      <w:r w:rsidR="00E8294B">
        <w:rPr>
          <w:lang w:eastAsia="en-CA"/>
        </w:rPr>
        <w:t>s</w:t>
      </w:r>
      <w:r w:rsidR="009C4141" w:rsidRPr="00DA7619">
        <w:rPr>
          <w:lang w:eastAsia="en-CA"/>
        </w:rPr>
        <w:t xml:space="preserve"> e-Government Survey</w:t>
      </w:r>
      <w:r w:rsidRPr="00DA7619">
        <w:rPr>
          <w:lang w:eastAsia="en-CA"/>
        </w:rPr>
        <w:t xml:space="preserve">. </w:t>
      </w:r>
      <w:r w:rsidR="00A6283F" w:rsidRPr="00DA7619">
        <w:rPr>
          <w:rStyle w:val="FootnoteReference"/>
          <w:lang w:eastAsia="en-CA"/>
        </w:rPr>
        <w:footnoteReference w:id="5"/>
      </w:r>
      <w:r w:rsidR="009C4141" w:rsidRPr="00DA7619">
        <w:rPr>
          <w:lang w:eastAsia="en-CA"/>
        </w:rPr>
        <w:t xml:space="preserve">  </w:t>
      </w:r>
      <w:r w:rsidR="0018585D" w:rsidRPr="00DA7619">
        <w:rPr>
          <w:lang w:eastAsia="en-CA"/>
        </w:rPr>
        <w:t>The Survey showed that the Kingdom</w:t>
      </w:r>
      <w:r w:rsidR="009C4141" w:rsidRPr="00DA7619">
        <w:rPr>
          <w:lang w:eastAsia="en-CA"/>
        </w:rPr>
        <w:t xml:space="preserve"> holds</w:t>
      </w:r>
      <w:r w:rsidRPr="00DA7619">
        <w:rPr>
          <w:lang w:eastAsia="en-CA"/>
        </w:rPr>
        <w:t xml:space="preserve"> ninth place in terms of electronic participation</w:t>
      </w:r>
      <w:r w:rsidR="0018585D" w:rsidRPr="00DA7619">
        <w:rPr>
          <w:lang w:eastAsia="en-CA"/>
        </w:rPr>
        <w:t>, while in the provision of electronic services it stands</w:t>
      </w:r>
      <w:r w:rsidR="009C4141" w:rsidRPr="00DA7619">
        <w:rPr>
          <w:lang w:eastAsia="en-CA"/>
        </w:rPr>
        <w:t xml:space="preserve"> second</w:t>
      </w:r>
      <w:r w:rsidRPr="00DA7619">
        <w:rPr>
          <w:lang w:eastAsia="en-CA"/>
        </w:rPr>
        <w:t xml:space="preserve"> </w:t>
      </w:r>
      <w:r w:rsidR="0018585D" w:rsidRPr="00DA7619">
        <w:rPr>
          <w:lang w:eastAsia="en-CA"/>
        </w:rPr>
        <w:t xml:space="preserve">among its neighbours </w:t>
      </w:r>
      <w:r w:rsidRPr="00DA7619">
        <w:rPr>
          <w:lang w:eastAsia="en-CA"/>
        </w:rPr>
        <w:t xml:space="preserve">in the </w:t>
      </w:r>
      <w:r w:rsidR="0018585D" w:rsidRPr="00DA7619">
        <w:rPr>
          <w:lang w:eastAsia="en-CA"/>
        </w:rPr>
        <w:t>Gulf Cooperation Council (</w:t>
      </w:r>
      <w:r w:rsidRPr="00DA7619">
        <w:rPr>
          <w:lang w:eastAsia="en-CA"/>
        </w:rPr>
        <w:t>GCC</w:t>
      </w:r>
      <w:r w:rsidR="0018585D" w:rsidRPr="00DA7619">
        <w:rPr>
          <w:lang w:eastAsia="en-CA"/>
        </w:rPr>
        <w:t>)</w:t>
      </w:r>
      <w:r w:rsidRPr="00DA7619">
        <w:rPr>
          <w:lang w:eastAsia="en-CA"/>
        </w:rPr>
        <w:t xml:space="preserve"> </w:t>
      </w:r>
      <w:r w:rsidR="0018585D" w:rsidRPr="00DA7619">
        <w:rPr>
          <w:lang w:eastAsia="en-CA"/>
        </w:rPr>
        <w:t>and holds the number 20 position world wide</w:t>
      </w:r>
      <w:r w:rsidR="009C4141" w:rsidRPr="00DA7619">
        <w:rPr>
          <w:lang w:eastAsia="en-CA"/>
        </w:rPr>
        <w:t xml:space="preserve"> </w:t>
      </w:r>
      <w:r w:rsidR="007D6549" w:rsidRPr="00DA7619">
        <w:rPr>
          <w:lang w:eastAsia="en-CA"/>
        </w:rPr>
        <w:fldChar w:fldCharType="begin"/>
      </w:r>
      <w:r w:rsidR="00DB11E7">
        <w:rPr>
          <w:lang w:eastAsia="en-CA"/>
        </w:rPr>
        <w:instrText xml:space="preserve"> ADDIN EN.CITE &lt;EndNote&gt;&lt;Cite&gt;&lt;Author&gt;UN DESA&lt;/Author&gt;&lt;Year&gt;2012&lt;/Year&gt;&lt;RecNum&gt;1089&lt;/RecNum&gt;&lt;record&gt;&lt;rec-number&gt;1089&lt;/rec-number&gt;&lt;ref-type name="Report"&gt;27&lt;/ref-type&gt;&lt;contributors&gt;&lt;authors&gt;&lt;author&gt;UN DESA, &lt;/author&gt;&lt;/authors&gt;&lt;/contributors&gt;&lt;titles&gt;&lt;title&gt;United Nations E-Government Survey 2012: E-Government for the People &lt;/title&gt;&lt;/titles&gt;&lt;dates&gt;&lt;year&gt;2012&lt;/year&gt;&lt;pub-dates&gt;&lt;date&gt;15 March 2012&lt;/date&gt;&lt;/pub-dates&gt;&lt;/dates&gt;&lt;pub-location&gt;New York&lt;/pub-location&gt;&lt;publisher&gt;UN Department of Economic and Social Affairs, Division for Public Administration and Development Management&lt;/publisher&gt;&lt;urls&gt;&lt;related-urls&gt;&lt;url&gt;http://www.un.org/en/development/desa/publications/connecting-governments-to-citizens.html&lt;/url&gt;&lt;/related-urls&gt;&lt;/urls&gt;&lt;/record&gt;&lt;/Cite&gt;&lt;/EndNote&gt;</w:instrText>
      </w:r>
      <w:r w:rsidR="007D6549" w:rsidRPr="00DA7619">
        <w:rPr>
          <w:lang w:eastAsia="en-CA"/>
        </w:rPr>
        <w:fldChar w:fldCharType="separate"/>
      </w:r>
      <w:r w:rsidR="009C4141" w:rsidRPr="00DA7619">
        <w:rPr>
          <w:lang w:eastAsia="en-CA"/>
        </w:rPr>
        <w:t>(UN DESA 2012)</w:t>
      </w:r>
      <w:r w:rsidR="007D6549" w:rsidRPr="00DA7619">
        <w:rPr>
          <w:lang w:eastAsia="en-CA"/>
        </w:rPr>
        <w:fldChar w:fldCharType="end"/>
      </w:r>
      <w:r w:rsidR="0018585D" w:rsidRPr="00DA7619">
        <w:rPr>
          <w:lang w:eastAsia="en-CA"/>
        </w:rPr>
        <w:t>.</w:t>
      </w:r>
    </w:p>
    <w:p w:rsidR="002702ED" w:rsidRPr="00DA7619" w:rsidRDefault="00F872AF" w:rsidP="0055608D">
      <w:pPr>
        <w:pStyle w:val="Heading4"/>
        <w:numPr>
          <w:ilvl w:val="3"/>
          <w:numId w:val="4"/>
        </w:numPr>
      </w:pPr>
      <w:bookmarkStart w:id="19" w:name="_Toc325940180"/>
      <w:r w:rsidRPr="00DA7619">
        <w:t>Advisory services</w:t>
      </w:r>
      <w:r w:rsidR="0003704F" w:rsidRPr="00DA7619">
        <w:t xml:space="preserve"> to </w:t>
      </w:r>
      <w:r w:rsidRPr="00DA7619">
        <w:t xml:space="preserve">the </w:t>
      </w:r>
      <w:r w:rsidR="0003704F" w:rsidRPr="00DA7619">
        <w:t xml:space="preserve">Communications and Information Technology Commission </w:t>
      </w:r>
      <w:r w:rsidR="0010020E" w:rsidRPr="00DA7619">
        <w:t>(CITC)</w:t>
      </w:r>
      <w:bookmarkEnd w:id="19"/>
    </w:p>
    <w:p w:rsidR="000A6772" w:rsidRPr="00DA7619" w:rsidRDefault="008A5C78" w:rsidP="000A6772">
      <w:r w:rsidRPr="00DA7619">
        <w:t xml:space="preserve">This </w:t>
      </w:r>
      <w:r w:rsidR="00254176" w:rsidRPr="00DA7619">
        <w:t xml:space="preserve">project supported the Government's telecommunications development programmes through advisory services in the field of radio frequency spectrum engineering and management.  </w:t>
      </w:r>
      <w:r w:rsidR="000A6772" w:rsidRPr="00DA7619">
        <w:t>Its primary focus was institution building and training.</w:t>
      </w:r>
    </w:p>
    <w:p w:rsidR="00254176" w:rsidRPr="00DA7619" w:rsidRDefault="00254176" w:rsidP="00A97D90">
      <w:pPr>
        <w:rPr>
          <w:rFonts w:eastAsia="Times New Roman" w:cs="Times New Roman"/>
          <w:lang w:eastAsia="en-CA"/>
        </w:rPr>
      </w:pPr>
      <w:r w:rsidRPr="00DA7619">
        <w:t xml:space="preserve">The Communications and Information Technology Commission (CITC) is responsible for </w:t>
      </w:r>
      <w:r w:rsidR="00A97D90" w:rsidRPr="00DA7619">
        <w:t xml:space="preserve">a range of tasks related to IT, including </w:t>
      </w:r>
      <w:r w:rsidRPr="00DA7619">
        <w:t xml:space="preserve">regulating radio frequencies and the Internet.  Following on decisions of </w:t>
      </w:r>
      <w:r w:rsidR="004E1DB9" w:rsidRPr="00DA7619">
        <w:rPr>
          <w:rFonts w:eastAsia="Times New Roman" w:cs="Times New Roman"/>
          <w:lang w:eastAsia="en-CA"/>
        </w:rPr>
        <w:t>the World Radio C</w:t>
      </w:r>
      <w:r w:rsidRPr="00DA7619">
        <w:rPr>
          <w:rFonts w:eastAsia="Times New Roman" w:cs="Times New Roman"/>
          <w:lang w:eastAsia="en-CA"/>
        </w:rPr>
        <w:t xml:space="preserve">ommunication Conference, 2000, it was necessary to prepare a </w:t>
      </w:r>
      <w:r w:rsidR="00FB09BA" w:rsidRPr="00DA7619">
        <w:rPr>
          <w:rFonts w:eastAsia="Times New Roman" w:cs="Times New Roman"/>
          <w:lang w:eastAsia="en-CA"/>
        </w:rPr>
        <w:t xml:space="preserve">National Frequency Plan </w:t>
      </w:r>
      <w:r w:rsidRPr="00DA7619">
        <w:rPr>
          <w:rFonts w:eastAsia="Times New Roman" w:cs="Times New Roman"/>
          <w:lang w:eastAsia="en-CA"/>
        </w:rPr>
        <w:t xml:space="preserve">(NFP) and guide its implementation.  Implementation also </w:t>
      </w:r>
      <w:r w:rsidR="004E1DB9" w:rsidRPr="00DA7619">
        <w:rPr>
          <w:rFonts w:eastAsia="Times New Roman" w:cs="Times New Roman"/>
          <w:lang w:eastAsia="en-CA"/>
        </w:rPr>
        <w:t>required</w:t>
      </w:r>
      <w:r w:rsidRPr="00DA7619">
        <w:rPr>
          <w:rFonts w:eastAsia="Times New Roman" w:cs="Times New Roman"/>
          <w:lang w:eastAsia="en-CA"/>
        </w:rPr>
        <w:t xml:space="preserve"> the establishment and maintenance of a National Frequency Register, and the development of the requisite software.  </w:t>
      </w:r>
      <w:r w:rsidR="004E1DB9" w:rsidRPr="00DA7619">
        <w:rPr>
          <w:rFonts w:eastAsia="Times New Roman" w:cs="Times New Roman"/>
          <w:lang w:eastAsia="en-CA"/>
        </w:rPr>
        <w:t>Further, it was necessary to institute a regime of spectrum pricing policy.  Overall, the project assisted in enhancing the efficacy of radio frequency spectrum management and monitoring, including updating computerized processes for these activities.</w:t>
      </w:r>
    </w:p>
    <w:p w:rsidR="00436627" w:rsidRPr="00DA7619" w:rsidRDefault="00436627" w:rsidP="00254176">
      <w:pPr>
        <w:rPr>
          <w:rFonts w:eastAsia="Times New Roman" w:cs="Times New Roman"/>
          <w:lang w:eastAsia="en-CA"/>
        </w:rPr>
      </w:pPr>
      <w:r w:rsidRPr="00DA7619">
        <w:rPr>
          <w:rFonts w:eastAsia="Times New Roman" w:cs="Times New Roman"/>
          <w:lang w:eastAsia="en-CA"/>
        </w:rPr>
        <w:t xml:space="preserve">The advisory services under this output were assisted by </w:t>
      </w:r>
      <w:r w:rsidR="00A97D90" w:rsidRPr="00DA7619">
        <w:rPr>
          <w:rFonts w:eastAsia="Times New Roman" w:cs="Times New Roman"/>
          <w:lang w:eastAsia="en-CA"/>
        </w:rPr>
        <w:t>t</w:t>
      </w:r>
      <w:r w:rsidR="00FF4509" w:rsidRPr="00DA7619">
        <w:t>he International Telecommunication Union (ITU)</w:t>
      </w:r>
      <w:r w:rsidR="00A97D90" w:rsidRPr="00DA7619">
        <w:t xml:space="preserve">, which acted as executing agency.  The long-standing cooperation arrangements between KSA and the ITU reflect the role of UNDP as a respected UN agency to draw in sister organizations from the pool of specialized UN agencies.  </w:t>
      </w:r>
    </w:p>
    <w:p w:rsidR="000A6772" w:rsidRPr="00DA7619" w:rsidRDefault="004E1DB9" w:rsidP="000A6772">
      <w:r w:rsidRPr="00DA7619">
        <w:rPr>
          <w:rFonts w:eastAsia="Times New Roman" w:cs="Times New Roman"/>
          <w:lang w:eastAsia="en-CA"/>
        </w:rPr>
        <w:t xml:space="preserve">By </w:t>
      </w:r>
      <w:r w:rsidRPr="00DA7619">
        <w:rPr>
          <w:rStyle w:val="apple-style-span"/>
          <w:rFonts w:cs="Arial"/>
          <w:color w:val="000000"/>
        </w:rPr>
        <w:t>enhancing the efficiency and effectiveness for engineering, management and monitoring of the radio frequency spectrum, the project contributed to the broader aims of developing an efficient and accountable branch of public sector services, delivering communications services to local communities, and strengthening a vital institution in the communications ar</w:t>
      </w:r>
      <w:r w:rsidR="00436627" w:rsidRPr="00DA7619">
        <w:rPr>
          <w:rStyle w:val="apple-style-span"/>
          <w:rFonts w:cs="Arial"/>
          <w:color w:val="000000"/>
        </w:rPr>
        <w:t>ena.</w:t>
      </w:r>
      <w:r w:rsidR="000A6772" w:rsidRPr="00DA7619">
        <w:t xml:space="preserve"> </w:t>
      </w:r>
    </w:p>
    <w:p w:rsidR="000A6772" w:rsidRPr="00DA7619" w:rsidRDefault="000A6772" w:rsidP="000A6772">
      <w:r w:rsidRPr="00DA7619">
        <w:lastRenderedPageBreak/>
        <w:t>Further, as part of global trends and its own commitment to economic liberalization, government decided in the course of the programme to allow wider competition and attract private investment for the provision of telecommunication services in the country.</w:t>
      </w:r>
    </w:p>
    <w:p w:rsidR="000A6772" w:rsidRPr="00DA7619" w:rsidRDefault="00772D31" w:rsidP="00254176">
      <w:r w:rsidRPr="00DA7619">
        <w:t>T</w:t>
      </w:r>
      <w:r w:rsidR="00A97D90" w:rsidRPr="00DA7619">
        <w:t>he UNDP</w:t>
      </w:r>
      <w:r w:rsidRPr="00DA7619">
        <w:t xml:space="preserve"> information portal, reviewing this programme component</w:t>
      </w:r>
      <w:r w:rsidR="00A97D90" w:rsidRPr="00DA7619">
        <w:t xml:space="preserve"> </w:t>
      </w:r>
      <w:r w:rsidR="000D6735" w:rsidRPr="00DA7619">
        <w:t>observed that, understanding that</w:t>
      </w:r>
      <w:r w:rsidR="00A97D90" w:rsidRPr="00DA7619">
        <w:t xml:space="preserve"> </w:t>
      </w:r>
      <w:r w:rsidR="000D6735" w:rsidRPr="00DA7619">
        <w:t xml:space="preserve">the radio frequency spectrum is a scarce natural resource, has large economic value and is crucial for modern telecommunication services, enhancing the efficiency and effectiveness for engineering, management and monitoring of this resource is vital for government.  The project’s </w:t>
      </w:r>
      <w:r w:rsidR="004E1DB9" w:rsidRPr="00DA7619">
        <w:t xml:space="preserve">long-term impact </w:t>
      </w:r>
      <w:r w:rsidR="000D6735" w:rsidRPr="00DA7619">
        <w:t xml:space="preserve">will be to help </w:t>
      </w:r>
      <w:r w:rsidR="004E1DB9" w:rsidRPr="00DA7619">
        <w:t xml:space="preserve">implement </w:t>
      </w:r>
      <w:r w:rsidR="000D6735" w:rsidRPr="00DA7619">
        <w:t>the g</w:t>
      </w:r>
      <w:r w:rsidR="004E1DB9" w:rsidRPr="00DA7619">
        <w:t>overnment’s strategic policy for the telecommunications sector</w:t>
      </w:r>
      <w:r w:rsidR="000D6735" w:rsidRPr="00DA7619">
        <w:t>.  That is, the government has stated its commitment</w:t>
      </w:r>
      <w:r w:rsidR="004E1DB9" w:rsidRPr="00DA7619">
        <w:t xml:space="preserve"> to make available advanced telecommunication services of the best quality and adequate quantity, at affordable cost, to all sectors of the national economy and society. </w:t>
      </w:r>
      <w:r w:rsidR="000D6735" w:rsidRPr="00DA7619">
        <w:t xml:space="preserve"> </w:t>
      </w:r>
    </w:p>
    <w:p w:rsidR="002702ED" w:rsidRPr="00DA7619" w:rsidRDefault="002702ED" w:rsidP="0055608D">
      <w:pPr>
        <w:pStyle w:val="Heading4"/>
        <w:numPr>
          <w:ilvl w:val="3"/>
          <w:numId w:val="4"/>
        </w:numPr>
      </w:pPr>
      <w:bookmarkStart w:id="20" w:name="_Toc325940181"/>
      <w:r w:rsidRPr="00DA7619">
        <w:t>Electoral ca</w:t>
      </w:r>
      <w:r w:rsidR="00B22D4A">
        <w:t xml:space="preserve">pacities of municipal mayors, MOMRA (Ministry of Municipal and </w:t>
      </w:r>
      <w:r w:rsidRPr="00DA7619">
        <w:t>Rural Affairs) officials and potential candidates enhanced</w:t>
      </w:r>
      <w:bookmarkEnd w:id="20"/>
    </w:p>
    <w:p w:rsidR="00265D1C" w:rsidRPr="00DA7619" w:rsidRDefault="0024252D" w:rsidP="00B22EA6">
      <w:pPr>
        <w:rPr>
          <w:lang w:eastAsia="en-CA"/>
        </w:rPr>
      </w:pPr>
      <w:r w:rsidRPr="00CF41F5">
        <w:t xml:space="preserve">The project, known </w:t>
      </w:r>
      <w:r w:rsidR="005A2995" w:rsidRPr="00CF41F5">
        <w:t xml:space="preserve">in its earlier phase </w:t>
      </w:r>
      <w:r w:rsidRPr="00CF41F5">
        <w:t>as</w:t>
      </w:r>
      <w:r>
        <w:rPr>
          <w:rFonts w:ascii="Times New Roman" w:eastAsia="Times New Roman" w:hAnsi="Times New Roman" w:cs="Times New Roman"/>
          <w:sz w:val="24"/>
          <w:szCs w:val="24"/>
          <w:lang w:eastAsia="en-CA"/>
        </w:rPr>
        <w:t xml:space="preserve"> </w:t>
      </w:r>
      <w:r w:rsidRPr="00664E33">
        <w:rPr>
          <w:lang w:val="en-CA" w:eastAsia="en-CA"/>
        </w:rPr>
        <w:t>Technical Support to Municipal Elections</w:t>
      </w:r>
      <w:r w:rsidR="005A2995">
        <w:rPr>
          <w:lang w:val="en-CA" w:eastAsia="en-CA"/>
        </w:rPr>
        <w:t xml:space="preserve"> and Post-elections</w:t>
      </w:r>
      <w:r>
        <w:rPr>
          <w:lang w:val="en-CA" w:eastAsia="en-CA"/>
        </w:rPr>
        <w:t xml:space="preserve">, </w:t>
      </w:r>
      <w:r w:rsidR="00251C32">
        <w:rPr>
          <w:lang w:val="en-CA" w:eastAsia="en-CA"/>
        </w:rPr>
        <w:t xml:space="preserve">beginning in 2004, </w:t>
      </w:r>
      <w:r>
        <w:rPr>
          <w:lang w:val="en-CA" w:eastAsia="en-CA"/>
        </w:rPr>
        <w:t>was assisted by UNDP and the United Nations Electoral Assistance Division of the Department of Political Affairs (EAD/DPA).</w:t>
      </w:r>
      <w:r w:rsidR="00E6716A">
        <w:rPr>
          <w:lang w:val="en-CA" w:eastAsia="en-CA"/>
        </w:rPr>
        <w:t xml:space="preserve">  </w:t>
      </w:r>
      <w:r w:rsidR="00265D1C" w:rsidRPr="00DA7619">
        <w:rPr>
          <w:lang w:eastAsia="en-CA"/>
        </w:rPr>
        <w:t xml:space="preserve">The programme </w:t>
      </w:r>
      <w:r w:rsidR="00E6716A">
        <w:rPr>
          <w:lang w:eastAsia="en-CA"/>
        </w:rPr>
        <w:t>provided</w:t>
      </w:r>
      <w:r w:rsidR="00265D1C" w:rsidRPr="00DA7619">
        <w:rPr>
          <w:lang w:eastAsia="en-CA"/>
        </w:rPr>
        <w:t xml:space="preserve"> technical support to the Ministry of Municipal and Rural Affairs </w:t>
      </w:r>
      <w:r w:rsidR="00E6716A">
        <w:rPr>
          <w:lang w:eastAsia="en-CA"/>
        </w:rPr>
        <w:t>(MOMRA) to organize</w:t>
      </w:r>
      <w:r w:rsidR="00265D1C" w:rsidRPr="00DA7619">
        <w:rPr>
          <w:lang w:eastAsia="en-CA"/>
        </w:rPr>
        <w:t xml:space="preserve"> municipal elections. </w:t>
      </w:r>
      <w:r w:rsidR="00E6716A">
        <w:rPr>
          <w:lang w:eastAsia="en-CA"/>
        </w:rPr>
        <w:t xml:space="preserve"> Subsequently, </w:t>
      </w:r>
      <w:r w:rsidR="00265D1C" w:rsidRPr="00DA7619">
        <w:rPr>
          <w:lang w:eastAsia="en-CA"/>
        </w:rPr>
        <w:t>UNDP provide</w:t>
      </w:r>
      <w:r w:rsidR="00E6716A">
        <w:rPr>
          <w:lang w:eastAsia="en-CA"/>
        </w:rPr>
        <w:t>d post-</w:t>
      </w:r>
      <w:r w:rsidR="00265D1C" w:rsidRPr="00DA7619">
        <w:rPr>
          <w:lang w:eastAsia="en-CA"/>
        </w:rPr>
        <w:t xml:space="preserve">election assistance </w:t>
      </w:r>
      <w:r w:rsidR="00E6716A">
        <w:rPr>
          <w:lang w:eastAsia="en-CA"/>
        </w:rPr>
        <w:t>via</w:t>
      </w:r>
      <w:r w:rsidR="00265D1C" w:rsidRPr="00DA7619">
        <w:rPr>
          <w:lang w:eastAsia="en-CA"/>
        </w:rPr>
        <w:t xml:space="preserve"> a capacity development programme for municipal councils and administrations. </w:t>
      </w:r>
    </w:p>
    <w:p w:rsidR="00265D1C" w:rsidRDefault="00E6716A" w:rsidP="00E6716A">
      <w:pPr>
        <w:rPr>
          <w:lang w:eastAsia="en-CA"/>
        </w:rPr>
      </w:pPr>
      <w:r>
        <w:rPr>
          <w:lang w:eastAsia="en-CA"/>
        </w:rPr>
        <w:t>A continuing</w:t>
      </w:r>
      <w:r w:rsidR="00265D1C" w:rsidRPr="00DA7619">
        <w:rPr>
          <w:lang w:eastAsia="en-CA"/>
        </w:rPr>
        <w:t xml:space="preserve"> technical support programme for elections </w:t>
      </w:r>
      <w:r w:rsidR="00251C32">
        <w:rPr>
          <w:lang w:eastAsia="en-CA"/>
        </w:rPr>
        <w:t>has</w:t>
      </w:r>
      <w:r w:rsidR="00265D1C" w:rsidRPr="00DA7619">
        <w:rPr>
          <w:lang w:eastAsia="en-CA"/>
        </w:rPr>
        <w:t xml:space="preserve"> </w:t>
      </w:r>
      <w:r>
        <w:rPr>
          <w:lang w:eastAsia="en-CA"/>
        </w:rPr>
        <w:t>support</w:t>
      </w:r>
      <w:r w:rsidR="00251C32">
        <w:rPr>
          <w:lang w:eastAsia="en-CA"/>
        </w:rPr>
        <w:t>ed</w:t>
      </w:r>
      <w:r>
        <w:rPr>
          <w:lang w:eastAsia="en-CA"/>
        </w:rPr>
        <w:t xml:space="preserve"> the</w:t>
      </w:r>
      <w:r w:rsidR="00265D1C" w:rsidRPr="00DA7619">
        <w:rPr>
          <w:lang w:eastAsia="en-CA"/>
        </w:rPr>
        <w:t xml:space="preserve"> building </w:t>
      </w:r>
      <w:r>
        <w:rPr>
          <w:lang w:eastAsia="en-CA"/>
        </w:rPr>
        <w:t xml:space="preserve">of </w:t>
      </w:r>
      <w:r w:rsidR="00265D1C" w:rsidRPr="00DA7619">
        <w:rPr>
          <w:lang w:eastAsia="en-CA"/>
        </w:rPr>
        <w:t>national and institutional capacities in electoral processes</w:t>
      </w:r>
      <w:r>
        <w:rPr>
          <w:lang w:eastAsia="en-CA"/>
        </w:rPr>
        <w:t>,</w:t>
      </w:r>
      <w:r w:rsidR="00265D1C" w:rsidRPr="00DA7619">
        <w:rPr>
          <w:lang w:eastAsia="en-CA"/>
        </w:rPr>
        <w:t xml:space="preserve"> including voter and civic education; providing policy advice and support on electoral management and implementation; and providing training to electoral official</w:t>
      </w:r>
      <w:r>
        <w:rPr>
          <w:lang w:eastAsia="en-CA"/>
        </w:rPr>
        <w:t>s</w:t>
      </w:r>
      <w:r w:rsidR="00265D1C" w:rsidRPr="00DA7619">
        <w:rPr>
          <w:lang w:eastAsia="en-CA"/>
        </w:rPr>
        <w:t xml:space="preserve"> at all levels</w:t>
      </w:r>
      <w:r>
        <w:rPr>
          <w:lang w:eastAsia="en-CA"/>
        </w:rPr>
        <w:t xml:space="preserve">, and to </w:t>
      </w:r>
      <w:r w:rsidR="00265D1C" w:rsidRPr="00DA7619">
        <w:rPr>
          <w:lang w:eastAsia="en-CA"/>
        </w:rPr>
        <w:t xml:space="preserve">elected and appointed council members. </w:t>
      </w:r>
      <w:r w:rsidR="00251C32">
        <w:rPr>
          <w:lang w:eastAsia="en-CA"/>
        </w:rPr>
        <w:t>The post-</w:t>
      </w:r>
      <w:r w:rsidR="00265D1C" w:rsidRPr="00DA7619">
        <w:rPr>
          <w:lang w:eastAsia="en-CA"/>
        </w:rPr>
        <w:t xml:space="preserve">election </w:t>
      </w:r>
      <w:r w:rsidR="00251C32">
        <w:rPr>
          <w:lang w:eastAsia="en-CA"/>
        </w:rPr>
        <w:t xml:space="preserve">component </w:t>
      </w:r>
      <w:r w:rsidR="00265D1C" w:rsidRPr="00DA7619">
        <w:rPr>
          <w:lang w:eastAsia="en-CA"/>
        </w:rPr>
        <w:t xml:space="preserve">will </w:t>
      </w:r>
      <w:r w:rsidR="00251C32">
        <w:rPr>
          <w:lang w:eastAsia="en-CA"/>
        </w:rPr>
        <w:t>continue to support</w:t>
      </w:r>
      <w:r w:rsidR="00265D1C" w:rsidRPr="00DA7619">
        <w:rPr>
          <w:lang w:eastAsia="en-CA"/>
        </w:rPr>
        <w:t xml:space="preserve"> the development of a national strategy for municipal councils, municipal administration and finance, training of municipal council members, </w:t>
      </w:r>
      <w:r w:rsidR="00251C32">
        <w:rPr>
          <w:lang w:eastAsia="en-CA"/>
        </w:rPr>
        <w:t>and further</w:t>
      </w:r>
      <w:r w:rsidR="00265D1C" w:rsidRPr="00DA7619">
        <w:rPr>
          <w:lang w:eastAsia="en-CA"/>
        </w:rPr>
        <w:t xml:space="preserve"> municipal investment </w:t>
      </w:r>
      <w:r w:rsidR="00251C32">
        <w:rPr>
          <w:lang w:eastAsia="en-CA"/>
        </w:rPr>
        <w:t>to</w:t>
      </w:r>
      <w:r w:rsidR="00265D1C" w:rsidRPr="00DA7619">
        <w:rPr>
          <w:lang w:eastAsia="en-CA"/>
        </w:rPr>
        <w:t xml:space="preserve"> move towards Pro-Poor Municipal </w:t>
      </w:r>
      <w:r w:rsidR="00251C32">
        <w:rPr>
          <w:lang w:eastAsia="en-CA"/>
        </w:rPr>
        <w:t>public-private partnership</w:t>
      </w:r>
      <w:r w:rsidR="00265D1C" w:rsidRPr="00DA7619">
        <w:rPr>
          <w:lang w:eastAsia="en-CA"/>
        </w:rPr>
        <w:t xml:space="preserve"> policies and practices.</w:t>
      </w:r>
    </w:p>
    <w:p w:rsidR="00251C32" w:rsidRDefault="00251C32" w:rsidP="00E6716A">
      <w:r>
        <w:rPr>
          <w:lang w:eastAsia="en-CA"/>
        </w:rPr>
        <w:t xml:space="preserve">MOMRA </w:t>
      </w:r>
      <w:r w:rsidR="00B22D4A">
        <w:rPr>
          <w:lang w:eastAsia="en-CA"/>
        </w:rPr>
        <w:t xml:space="preserve">personnel </w:t>
      </w:r>
      <w:r>
        <w:rPr>
          <w:lang w:eastAsia="en-CA"/>
        </w:rPr>
        <w:t xml:space="preserve">informed the Evaluation mission that the UN-EAD consulting support allowed the ministry to take advantage of the Division’s </w:t>
      </w:r>
      <w:r>
        <w:t>knowledge</w:t>
      </w:r>
      <w:r w:rsidRPr="00DA7619">
        <w:t xml:space="preserve"> of legal frameworks</w:t>
      </w:r>
      <w:r>
        <w:t xml:space="preserve"> and</w:t>
      </w:r>
      <w:r w:rsidRPr="00DA7619">
        <w:t xml:space="preserve"> global best practices, </w:t>
      </w:r>
      <w:r>
        <w:t xml:space="preserve">to send staff members on </w:t>
      </w:r>
      <w:r w:rsidRPr="00DA7619">
        <w:t xml:space="preserve">study tours, </w:t>
      </w:r>
      <w:r>
        <w:t xml:space="preserve">and to retain the services of recognized </w:t>
      </w:r>
      <w:r w:rsidRPr="00DA7619">
        <w:t>UN experts</w:t>
      </w:r>
      <w:r>
        <w:t xml:space="preserve"> in electoral assistance.  </w:t>
      </w:r>
      <w:r w:rsidR="00FD09A0">
        <w:t>Ministry staff felt that the first round of municipal elections, piloted in 2005 prior to the CP cooperation project and the first elections in the Kingdom since the 1960s, had been only moderately successful.</w:t>
      </w:r>
      <w:r w:rsidR="00B22D4A">
        <w:t xml:space="preserve">  Turnout was satisfactory, and the suffrage extended to males only, aged 21 or older.  Women, promised participation in the next round, scheduled for 2009 and ultimately delayed to 2011, were again not included.</w:t>
      </w:r>
    </w:p>
    <w:p w:rsidR="003E42A7" w:rsidRDefault="002D64C2" w:rsidP="003E42A7">
      <w:r>
        <w:t>H</w:t>
      </w:r>
      <w:r w:rsidR="003E42A7">
        <w:t xml:space="preserve">alf of all local councils </w:t>
      </w:r>
      <w:r>
        <w:t xml:space="preserve">were up </w:t>
      </w:r>
      <w:r w:rsidR="003E42A7">
        <w:t>for election, the other half being appointed by the national government</w:t>
      </w:r>
      <w:r>
        <w:t>.  Observers generally agreed that the councils “had little power”.  Discussing the 2011 election, MOMRA staff noted that o</w:t>
      </w:r>
      <w:r w:rsidR="003E42A7">
        <w:t xml:space="preserve">ne of the </w:t>
      </w:r>
      <w:r>
        <w:t xml:space="preserve">goals of the Ministry (and one of the </w:t>
      </w:r>
      <w:r w:rsidR="003E42A7">
        <w:t>Outcome 3 indicators</w:t>
      </w:r>
      <w:r>
        <w:t>)</w:t>
      </w:r>
      <w:r w:rsidR="003E42A7">
        <w:t xml:space="preserve"> was:  “I</w:t>
      </w:r>
      <w:r w:rsidR="003E42A7" w:rsidRPr="00FD11AB">
        <w:t xml:space="preserve">ncreased voter turnout in the </w:t>
      </w:r>
      <w:r w:rsidR="003E42A7">
        <w:t>next municipal elections by 10%”</w:t>
      </w:r>
      <w:r>
        <w:t xml:space="preserve">.  However, he said, voter turnout actually declined in 2011.  Seeing how little authority was exercised by elected officials, he said, voters displayed little appetite for renewed participation.  Officials have high hopes, however, that women will be accorded the right to vote in the </w:t>
      </w:r>
      <w:r w:rsidR="001E64CF">
        <w:t xml:space="preserve">scheduled 2015 round, and that their </w:t>
      </w:r>
      <w:r w:rsidR="001E64CF">
        <w:lastRenderedPageBreak/>
        <w:t>participation together with recent discussion of rights and governance will ignite renewed interest and a higher turnout.</w:t>
      </w:r>
    </w:p>
    <w:p w:rsidR="002702ED" w:rsidRPr="00DA7619" w:rsidRDefault="002702ED" w:rsidP="0055608D">
      <w:pPr>
        <w:pStyle w:val="Heading4"/>
        <w:numPr>
          <w:ilvl w:val="3"/>
          <w:numId w:val="4"/>
        </w:numPr>
      </w:pPr>
      <w:bookmarkStart w:id="21" w:name="_Toc325940182"/>
      <w:r w:rsidRPr="00DA7619">
        <w:t>Institutional and human c</w:t>
      </w:r>
      <w:r w:rsidR="003D25DD" w:rsidRPr="00DA7619">
        <w:t>apacities of</w:t>
      </w:r>
      <w:r w:rsidRPr="00DA7619">
        <w:t xml:space="preserve"> Al-Madinah Urban Observatory Network (MUON) developed to formulate evidence-based development programmes.</w:t>
      </w:r>
      <w:bookmarkEnd w:id="21"/>
    </w:p>
    <w:p w:rsidR="00A24F94" w:rsidRDefault="00174A1C" w:rsidP="00174A1C">
      <w:pPr>
        <w:spacing w:before="100" w:beforeAutospacing="1" w:after="100" w:afterAutospacing="1"/>
        <w:rPr>
          <w:rFonts w:eastAsia="Times New Roman" w:cs="Times New Roman"/>
          <w:szCs w:val="24"/>
          <w:lang w:eastAsia="en-CA"/>
        </w:rPr>
      </w:pPr>
      <w:r w:rsidRPr="00551680">
        <w:rPr>
          <w:rFonts w:eastAsia="Times New Roman" w:cs="Times New Roman"/>
          <w:szCs w:val="24"/>
          <w:lang w:eastAsia="en-CA"/>
        </w:rPr>
        <w:t xml:space="preserve">During the CP period and its predecessor, UNDP supported the Municipality of Al Madinah Al Munawarah Region to establish </w:t>
      </w:r>
      <w:r w:rsidR="00A24F94">
        <w:rPr>
          <w:rFonts w:eastAsia="Times New Roman" w:cs="Times New Roman"/>
          <w:szCs w:val="24"/>
          <w:lang w:eastAsia="en-CA"/>
        </w:rPr>
        <w:t xml:space="preserve">the </w:t>
      </w:r>
      <w:r w:rsidRPr="00551680">
        <w:rPr>
          <w:rFonts w:eastAsia="Times New Roman" w:cs="Times New Roman"/>
          <w:szCs w:val="24"/>
          <w:lang w:eastAsia="en-CA"/>
        </w:rPr>
        <w:t xml:space="preserve">Al-Madinah Urban Observatory Network (MOUN) – the first facility of its kind in the Kingdom of Saudi Arabia and the Middle East Region as a whole.  MOUN was conceived within the national development plan which prioritizes the notion of “spatial equity,” across the Kingdom. </w:t>
      </w:r>
    </w:p>
    <w:p w:rsidR="00174A1C" w:rsidRPr="00551680" w:rsidRDefault="00174A1C" w:rsidP="00174A1C">
      <w:pPr>
        <w:spacing w:before="100" w:beforeAutospacing="1" w:after="100" w:afterAutospacing="1"/>
        <w:rPr>
          <w:rFonts w:eastAsia="Times New Roman" w:cs="Times New Roman"/>
          <w:szCs w:val="24"/>
          <w:lang w:eastAsia="en-CA"/>
        </w:rPr>
      </w:pPr>
      <w:r w:rsidRPr="00551680">
        <w:rPr>
          <w:rFonts w:eastAsia="Times New Roman" w:cs="Times New Roman"/>
          <w:szCs w:val="24"/>
          <w:lang w:eastAsia="en-CA"/>
        </w:rPr>
        <w:t>UNDP’s support has contributed to the development of MOUN since its inception until its firm establishment currently as a leading facility for urban development planning.  In particular, UNDP supported the formulation of the mandate, the substantive focus and institutional structure, and the development of technical expertise within the observatory through a three-pronged approach:</w:t>
      </w:r>
    </w:p>
    <w:p w:rsidR="00546474" w:rsidRPr="00551680" w:rsidRDefault="00174A1C" w:rsidP="0055608D">
      <w:pPr>
        <w:pStyle w:val="ListParagraph"/>
        <w:numPr>
          <w:ilvl w:val="0"/>
          <w:numId w:val="6"/>
        </w:numPr>
        <w:spacing w:before="60" w:after="60"/>
        <w:ind w:left="714" w:hanging="357"/>
        <w:contextualSpacing w:val="0"/>
        <w:rPr>
          <w:rFonts w:eastAsia="Times New Roman" w:cs="Times New Roman"/>
          <w:lang w:eastAsia="en-CA"/>
        </w:rPr>
      </w:pPr>
      <w:r w:rsidRPr="00551680">
        <w:rPr>
          <w:rFonts w:eastAsia="Times New Roman" w:cs="Times New Roman"/>
          <w:lang w:eastAsia="en-CA"/>
        </w:rPr>
        <w:t>Forging instrumental partnerships with key organizations that provided the technical guidance and back-up for MOUN</w:t>
      </w:r>
      <w:r w:rsidR="00546474" w:rsidRPr="00551680">
        <w:rPr>
          <w:rFonts w:eastAsia="Times New Roman" w:cs="Times New Roman"/>
          <w:lang w:eastAsia="en-CA"/>
        </w:rPr>
        <w:t xml:space="preserve">.  Through the UN network of specialized agencies, UNDP facilitated cooperation with </w:t>
      </w:r>
      <w:r w:rsidRPr="00551680">
        <w:rPr>
          <w:rFonts w:eastAsia="Times New Roman" w:cs="Times New Roman"/>
          <w:lang w:eastAsia="en-CA"/>
        </w:rPr>
        <w:t xml:space="preserve">UN-HABITAT, the world leader </w:t>
      </w:r>
      <w:r w:rsidR="00546474" w:rsidRPr="00551680">
        <w:rPr>
          <w:rFonts w:eastAsia="Times New Roman" w:cs="Times New Roman"/>
          <w:lang w:eastAsia="en-CA"/>
        </w:rPr>
        <w:t>in developing</w:t>
      </w:r>
      <w:r w:rsidRPr="00551680">
        <w:rPr>
          <w:rFonts w:eastAsia="Times New Roman" w:cs="Times New Roman"/>
          <w:lang w:eastAsia="en-CA"/>
        </w:rPr>
        <w:t xml:space="preserve"> the concept of urban observatories and source of the </w:t>
      </w:r>
      <w:r w:rsidR="00546474" w:rsidRPr="00551680">
        <w:rPr>
          <w:rFonts w:eastAsia="Times New Roman" w:cs="Times New Roman"/>
          <w:lang w:eastAsia="en-CA"/>
        </w:rPr>
        <w:t xml:space="preserve">core </w:t>
      </w:r>
      <w:r w:rsidRPr="00551680">
        <w:rPr>
          <w:rFonts w:eastAsia="Times New Roman" w:cs="Times New Roman"/>
          <w:lang w:eastAsia="en-CA"/>
        </w:rPr>
        <w:t xml:space="preserve">set of </w:t>
      </w:r>
      <w:r w:rsidR="00546474" w:rsidRPr="00551680">
        <w:rPr>
          <w:rFonts w:eastAsia="Times New Roman" w:cs="Times New Roman"/>
          <w:lang w:eastAsia="en-CA"/>
        </w:rPr>
        <w:t xml:space="preserve">key </w:t>
      </w:r>
      <w:r w:rsidRPr="00551680">
        <w:rPr>
          <w:rFonts w:eastAsia="Times New Roman" w:cs="Times New Roman"/>
          <w:lang w:eastAsia="en-CA"/>
        </w:rPr>
        <w:t>urban indicators</w:t>
      </w:r>
      <w:r w:rsidR="00546474" w:rsidRPr="00551680">
        <w:rPr>
          <w:rFonts w:eastAsia="Times New Roman" w:cs="Times New Roman"/>
          <w:lang w:eastAsia="en-CA"/>
        </w:rPr>
        <w:t xml:space="preserve">.  The project also partnered with </w:t>
      </w:r>
      <w:r w:rsidRPr="00551680">
        <w:rPr>
          <w:rFonts w:eastAsia="Times New Roman" w:cs="Times New Roman"/>
          <w:lang w:eastAsia="en-CA"/>
        </w:rPr>
        <w:t>the Arab Urban</w:t>
      </w:r>
      <w:r w:rsidR="00546474" w:rsidRPr="00551680">
        <w:rPr>
          <w:rFonts w:eastAsia="Times New Roman" w:cs="Times New Roman"/>
          <w:lang w:eastAsia="en-CA"/>
        </w:rPr>
        <w:t xml:space="preserve"> Development Institute (AUDI), the</w:t>
      </w:r>
      <w:r w:rsidRPr="00551680">
        <w:rPr>
          <w:rFonts w:eastAsia="Times New Roman" w:cs="Times New Roman"/>
          <w:lang w:eastAsia="en-CA"/>
        </w:rPr>
        <w:t xml:space="preserve"> leading regional institu</w:t>
      </w:r>
      <w:r w:rsidR="00546474" w:rsidRPr="00551680">
        <w:rPr>
          <w:rFonts w:eastAsia="Times New Roman" w:cs="Times New Roman"/>
          <w:lang w:eastAsia="en-CA"/>
        </w:rPr>
        <w:t>tion on urban planning issues.</w:t>
      </w:r>
    </w:p>
    <w:p w:rsidR="00546474" w:rsidRPr="00551680" w:rsidRDefault="00546474" w:rsidP="0055608D">
      <w:pPr>
        <w:pStyle w:val="ListParagraph"/>
        <w:numPr>
          <w:ilvl w:val="0"/>
          <w:numId w:val="6"/>
        </w:numPr>
        <w:spacing w:before="60" w:after="60"/>
        <w:ind w:left="714" w:hanging="357"/>
        <w:contextualSpacing w:val="0"/>
        <w:rPr>
          <w:rFonts w:eastAsia="Times New Roman" w:cs="Times New Roman"/>
          <w:lang w:eastAsia="en-CA"/>
        </w:rPr>
      </w:pPr>
      <w:r w:rsidRPr="00551680">
        <w:rPr>
          <w:rFonts w:eastAsia="Times New Roman" w:cs="Times New Roman"/>
          <w:lang w:eastAsia="en-CA"/>
        </w:rPr>
        <w:t xml:space="preserve">Supporting </w:t>
      </w:r>
      <w:r w:rsidR="00174A1C" w:rsidRPr="00551680">
        <w:rPr>
          <w:rFonts w:eastAsia="Times New Roman" w:cs="Times New Roman"/>
          <w:lang w:eastAsia="en-CA"/>
        </w:rPr>
        <w:t xml:space="preserve">consultation with other </w:t>
      </w:r>
      <w:r w:rsidRPr="00551680">
        <w:rPr>
          <w:rFonts w:eastAsia="Times New Roman" w:cs="Times New Roman"/>
          <w:lang w:eastAsia="en-CA"/>
        </w:rPr>
        <w:t>specialized</w:t>
      </w:r>
      <w:r w:rsidR="00174A1C" w:rsidRPr="00551680">
        <w:rPr>
          <w:rFonts w:eastAsia="Times New Roman" w:cs="Times New Roman"/>
          <w:lang w:eastAsia="en-CA"/>
        </w:rPr>
        <w:t xml:space="preserve"> partners, seven technical consultancy and knowledge transfer missions </w:t>
      </w:r>
      <w:r w:rsidRPr="00551680">
        <w:rPr>
          <w:rFonts w:eastAsia="Times New Roman" w:cs="Times New Roman"/>
          <w:lang w:eastAsia="en-CA"/>
        </w:rPr>
        <w:t>brought in</w:t>
      </w:r>
      <w:r w:rsidR="00174A1C" w:rsidRPr="00551680">
        <w:rPr>
          <w:rFonts w:eastAsia="Times New Roman" w:cs="Times New Roman"/>
          <w:lang w:eastAsia="en-CA"/>
        </w:rPr>
        <w:t xml:space="preserve"> top-notch experts from Australia, Egypt, Jordan and Sudan to guide the institutional set-up of the observatory</w:t>
      </w:r>
      <w:r w:rsidRPr="00551680">
        <w:rPr>
          <w:rFonts w:eastAsia="Times New Roman" w:cs="Times New Roman"/>
          <w:lang w:eastAsia="en-CA"/>
        </w:rPr>
        <w:t>, establish</w:t>
      </w:r>
      <w:r w:rsidR="00174A1C" w:rsidRPr="00551680">
        <w:rPr>
          <w:rFonts w:eastAsia="Times New Roman" w:cs="Times New Roman"/>
          <w:lang w:eastAsia="en-CA"/>
        </w:rPr>
        <w:t xml:space="preserve"> the technical database of indicators</w:t>
      </w:r>
      <w:r w:rsidRPr="00551680">
        <w:rPr>
          <w:rFonts w:eastAsia="Times New Roman" w:cs="Times New Roman"/>
          <w:lang w:eastAsia="en-CA"/>
        </w:rPr>
        <w:t xml:space="preserve"> and the identification of key development targets, and help develop the </w:t>
      </w:r>
      <w:r w:rsidR="00174A1C" w:rsidRPr="00551680">
        <w:rPr>
          <w:rFonts w:eastAsia="Times New Roman" w:cs="Times New Roman"/>
          <w:lang w:eastAsia="en-CA"/>
        </w:rPr>
        <w:t>strategic use of the indicators in urban an</w:t>
      </w:r>
      <w:r w:rsidRPr="00551680">
        <w:rPr>
          <w:rFonts w:eastAsia="Times New Roman" w:cs="Times New Roman"/>
          <w:lang w:eastAsia="en-CA"/>
        </w:rPr>
        <w:t>d development policy making</w:t>
      </w:r>
    </w:p>
    <w:p w:rsidR="00174A1C" w:rsidRPr="00551680" w:rsidRDefault="00174A1C" w:rsidP="0055608D">
      <w:pPr>
        <w:pStyle w:val="ListParagraph"/>
        <w:numPr>
          <w:ilvl w:val="0"/>
          <w:numId w:val="6"/>
        </w:numPr>
        <w:spacing w:before="60" w:after="60"/>
        <w:ind w:left="714" w:hanging="357"/>
        <w:contextualSpacing w:val="0"/>
        <w:rPr>
          <w:rFonts w:eastAsia="Times New Roman" w:cs="Times New Roman"/>
          <w:lang w:eastAsia="en-CA"/>
        </w:rPr>
      </w:pPr>
      <w:r w:rsidRPr="00551680">
        <w:rPr>
          <w:rFonts w:eastAsia="Times New Roman" w:cs="Times New Roman"/>
          <w:lang w:eastAsia="en-CA"/>
        </w:rPr>
        <w:t>Conducting Training of Trainers (ToT) workshops to prepare an indigenou</w:t>
      </w:r>
      <w:r w:rsidR="00653BF7">
        <w:rPr>
          <w:rFonts w:eastAsia="Times New Roman" w:cs="Times New Roman"/>
          <w:lang w:eastAsia="en-CA"/>
        </w:rPr>
        <w:t xml:space="preserve">s cadre of </w:t>
      </w:r>
      <w:r w:rsidRPr="00551680">
        <w:rPr>
          <w:rFonts w:eastAsia="Times New Roman" w:cs="Times New Roman"/>
          <w:lang w:eastAsia="en-CA"/>
        </w:rPr>
        <w:t xml:space="preserve">trainers, who subsequently trained </w:t>
      </w:r>
      <w:r w:rsidR="0016043C" w:rsidRPr="00551680">
        <w:rPr>
          <w:rFonts w:eastAsia="Times New Roman" w:cs="Times New Roman"/>
          <w:lang w:eastAsia="en-CA"/>
        </w:rPr>
        <w:t>some 200</w:t>
      </w:r>
      <w:r w:rsidRPr="00551680">
        <w:rPr>
          <w:rFonts w:eastAsia="Times New Roman" w:cs="Times New Roman"/>
          <w:lang w:eastAsia="en-CA"/>
        </w:rPr>
        <w:t xml:space="preserve"> personnel</w:t>
      </w:r>
      <w:r w:rsidR="0016043C" w:rsidRPr="00551680">
        <w:rPr>
          <w:rFonts w:eastAsia="Times New Roman" w:cs="Times New Roman"/>
          <w:lang w:eastAsia="en-CA"/>
        </w:rPr>
        <w:t xml:space="preserve"> </w:t>
      </w:r>
      <w:r w:rsidRPr="00551680">
        <w:rPr>
          <w:rFonts w:eastAsia="Times New Roman" w:cs="Times New Roman"/>
          <w:lang w:eastAsia="en-CA"/>
        </w:rPr>
        <w:t xml:space="preserve">in all sectors of the municipality on technical issues related to monitoring and </w:t>
      </w:r>
      <w:r w:rsidR="0016043C" w:rsidRPr="00551680">
        <w:rPr>
          <w:rFonts w:eastAsia="Times New Roman" w:cs="Times New Roman"/>
          <w:lang w:eastAsia="en-CA"/>
        </w:rPr>
        <w:t xml:space="preserve">the </w:t>
      </w:r>
      <w:r w:rsidRPr="00551680">
        <w:rPr>
          <w:rFonts w:eastAsia="Times New Roman" w:cs="Times New Roman"/>
          <w:lang w:eastAsia="en-CA"/>
        </w:rPr>
        <w:t>use of indicators in development and urban planning.</w:t>
      </w:r>
    </w:p>
    <w:p w:rsidR="0016043C" w:rsidRPr="00DA7619" w:rsidRDefault="0016043C" w:rsidP="00551680">
      <w:pPr>
        <w:rPr>
          <w:lang w:eastAsia="en-CA"/>
        </w:rPr>
      </w:pPr>
      <w:r w:rsidRPr="00DA7619">
        <w:rPr>
          <w:lang w:eastAsia="en-CA"/>
        </w:rPr>
        <w:t xml:space="preserve">The project </w:t>
      </w:r>
      <w:r w:rsidR="00551680">
        <w:rPr>
          <w:lang w:eastAsia="en-CA"/>
        </w:rPr>
        <w:t>today, with UNDP support,</w:t>
      </w:r>
      <w:r w:rsidR="00265D1C" w:rsidRPr="00DA7619">
        <w:rPr>
          <w:lang w:eastAsia="en-CA"/>
        </w:rPr>
        <w:t xml:space="preserve"> </w:t>
      </w:r>
      <w:r w:rsidR="00551680">
        <w:rPr>
          <w:lang w:eastAsia="en-CA"/>
        </w:rPr>
        <w:t xml:space="preserve">has </w:t>
      </w:r>
      <w:r w:rsidRPr="00DA7619">
        <w:rPr>
          <w:lang w:eastAsia="en-CA"/>
        </w:rPr>
        <w:t xml:space="preserve">gone beyond the core indicators minimum dataset, and expanded its capacity to report on urban shelter and human development concerns.  </w:t>
      </w:r>
    </w:p>
    <w:p w:rsidR="0010020E" w:rsidRPr="00DA7619" w:rsidRDefault="0010020E" w:rsidP="0055608D">
      <w:pPr>
        <w:pStyle w:val="Heading4"/>
        <w:numPr>
          <w:ilvl w:val="3"/>
          <w:numId w:val="4"/>
        </w:numPr>
      </w:pPr>
      <w:bookmarkStart w:id="22" w:name="_Toc325940183"/>
      <w:r w:rsidRPr="00DA7619">
        <w:t>Enh</w:t>
      </w:r>
      <w:r w:rsidR="001E64CF">
        <w:t>anced technical capacities of MO</w:t>
      </w:r>
      <w:r w:rsidRPr="00DA7619">
        <w:t>MRA to implement regional urban plans</w:t>
      </w:r>
      <w:bookmarkEnd w:id="22"/>
    </w:p>
    <w:p w:rsidR="00D749DA" w:rsidRDefault="00D749DA" w:rsidP="00D749DA">
      <w:r>
        <w:t>Formally, Urban/Infrastructure Planning (Phases III/IV) ran from 2008 through the end of the CP period, and is continuing through 2012.  The project was designed to boost the efforts of the Ministry of Municipality and Rural Affairs (MOMRA) in the implementation of the regional plans and tenets of the National Spatial Strategy. During its earlier phases, the regional plans for thirteen provinces were produced while the national institutional and individual capacities were developed.</w:t>
      </w:r>
    </w:p>
    <w:p w:rsidR="00D749DA" w:rsidRPr="00E03B3F" w:rsidRDefault="00D749DA" w:rsidP="00E03B3F">
      <w:pPr>
        <w:rPr>
          <w:lang w:val="en-CA" w:eastAsia="en-CA"/>
        </w:rPr>
      </w:pPr>
      <w:r w:rsidRPr="00E03B3F">
        <w:rPr>
          <w:rFonts w:eastAsia="Times New Roman" w:cs="Times New Roman"/>
          <w:lang w:val="en-CA" w:eastAsia="en-CA"/>
        </w:rPr>
        <w:t xml:space="preserve">Phases III and IV </w:t>
      </w:r>
      <w:r w:rsidR="00E03B3F">
        <w:rPr>
          <w:rFonts w:eastAsia="Times New Roman" w:cs="Times New Roman"/>
          <w:lang w:val="en-CA" w:eastAsia="en-CA"/>
        </w:rPr>
        <w:t>have provided</w:t>
      </w:r>
      <w:r w:rsidRPr="00E03B3F">
        <w:rPr>
          <w:rFonts w:eastAsia="Times New Roman" w:cs="Times New Roman"/>
          <w:lang w:val="en-CA" w:eastAsia="en-CA"/>
        </w:rPr>
        <w:t xml:space="preserve"> further assist</w:t>
      </w:r>
      <w:r w:rsidR="00E03B3F">
        <w:rPr>
          <w:rFonts w:eastAsia="Times New Roman" w:cs="Times New Roman"/>
          <w:lang w:val="en-CA" w:eastAsia="en-CA"/>
        </w:rPr>
        <w:t>ance to</w:t>
      </w:r>
      <w:r w:rsidRPr="00E03B3F">
        <w:rPr>
          <w:rFonts w:eastAsia="Times New Roman" w:cs="Times New Roman"/>
          <w:lang w:val="en-CA" w:eastAsia="en-CA"/>
        </w:rPr>
        <w:t xml:space="preserve"> the impleme</w:t>
      </w:r>
      <w:r w:rsidR="0010257B" w:rsidRPr="00E03B3F">
        <w:rPr>
          <w:rFonts w:eastAsia="Times New Roman" w:cs="Times New Roman"/>
          <w:lang w:val="en-CA" w:eastAsia="en-CA"/>
        </w:rPr>
        <w:t xml:space="preserve">ntation of regional urban plans through:  (1) </w:t>
      </w:r>
      <w:r w:rsidR="0010257B" w:rsidRPr="00E03B3F">
        <w:rPr>
          <w:lang w:val="en-CA" w:eastAsia="en-CA"/>
        </w:rPr>
        <w:t>The design and operation of</w:t>
      </w:r>
      <w:r w:rsidRPr="00E03B3F">
        <w:rPr>
          <w:lang w:val="en-CA" w:eastAsia="en-CA"/>
        </w:rPr>
        <w:t xml:space="preserve"> a National Urban Observatory by </w:t>
      </w:r>
      <w:r w:rsidR="0010257B" w:rsidRPr="00E03B3F">
        <w:rPr>
          <w:lang w:val="en-CA" w:eastAsia="en-CA"/>
        </w:rPr>
        <w:t xml:space="preserve">MOMRA.  (2)  Continuing the </w:t>
      </w:r>
      <w:r w:rsidRPr="00E03B3F">
        <w:rPr>
          <w:lang w:val="en-CA" w:eastAsia="en-CA"/>
        </w:rPr>
        <w:t xml:space="preserve">capacity development of </w:t>
      </w:r>
      <w:r w:rsidR="0010257B" w:rsidRPr="00E03B3F">
        <w:rPr>
          <w:lang w:val="en-CA" w:eastAsia="en-CA"/>
        </w:rPr>
        <w:t>MOMRA staff; and, more generally</w:t>
      </w:r>
      <w:r w:rsidR="00E03B3F">
        <w:rPr>
          <w:lang w:val="en-CA" w:eastAsia="en-CA"/>
        </w:rPr>
        <w:t>,</w:t>
      </w:r>
      <w:r w:rsidR="0010257B" w:rsidRPr="00E03B3F">
        <w:rPr>
          <w:lang w:val="en-CA" w:eastAsia="en-CA"/>
        </w:rPr>
        <w:t xml:space="preserve"> (3) Creating</w:t>
      </w:r>
      <w:r w:rsidRPr="00E03B3F">
        <w:rPr>
          <w:lang w:val="en-CA" w:eastAsia="en-CA"/>
        </w:rPr>
        <w:t xml:space="preserve"> an environment conducive to efficient urban planning in the Kingdom.</w:t>
      </w:r>
    </w:p>
    <w:p w:rsidR="00E03B3F" w:rsidRPr="00E03B3F" w:rsidRDefault="00F7224D" w:rsidP="00F7224D">
      <w:pPr>
        <w:rPr>
          <w:rFonts w:eastAsia="Times New Roman" w:cs="Times New Roman"/>
          <w:szCs w:val="24"/>
          <w:lang w:val="en-CA" w:eastAsia="en-CA"/>
        </w:rPr>
      </w:pPr>
      <w:r w:rsidRPr="00F7224D">
        <w:lastRenderedPageBreak/>
        <w:t>Through the provision of specialist support, the project has supported the d</w:t>
      </w:r>
      <w:r w:rsidR="00E03B3F" w:rsidRPr="00F7224D">
        <w:rPr>
          <w:rFonts w:eastAsia="Times New Roman" w:cs="Times New Roman"/>
          <w:lang w:val="en-CA" w:eastAsia="en-CA"/>
        </w:rPr>
        <w:t xml:space="preserve">etailed formulation of </w:t>
      </w:r>
      <w:r>
        <w:rPr>
          <w:rFonts w:eastAsia="Times New Roman" w:cs="Times New Roman"/>
          <w:lang w:val="en-CA" w:eastAsia="en-CA"/>
        </w:rPr>
        <w:t>development strategies</w:t>
      </w:r>
      <w:r w:rsidR="00E03B3F" w:rsidRPr="00F7224D">
        <w:rPr>
          <w:rFonts w:eastAsia="Times New Roman" w:cs="Times New Roman"/>
          <w:lang w:val="en-CA" w:eastAsia="en-CA"/>
        </w:rPr>
        <w:t xml:space="preserve"> for selected regions in line with the long-term goals of the National Development Plan </w:t>
      </w:r>
      <w:r>
        <w:rPr>
          <w:rFonts w:eastAsia="Times New Roman" w:cs="Times New Roman"/>
          <w:lang w:val="en-CA" w:eastAsia="en-CA"/>
        </w:rPr>
        <w:t xml:space="preserve">and </w:t>
      </w:r>
      <w:r w:rsidR="00E03B3F" w:rsidRPr="00F7224D">
        <w:rPr>
          <w:rFonts w:eastAsia="Times New Roman" w:cs="Times New Roman"/>
          <w:lang w:val="en-CA" w:eastAsia="en-CA"/>
        </w:rPr>
        <w:t>in compliance with the guidelines of the National Spatial Strategy.</w:t>
      </w:r>
      <w:r>
        <w:rPr>
          <w:rFonts w:eastAsia="Times New Roman" w:cs="Times New Roman"/>
          <w:lang w:val="en-CA" w:eastAsia="en-CA"/>
        </w:rPr>
        <w:t xml:space="preserve">  MOMRA has also produced a dedicated study </w:t>
      </w:r>
      <w:r w:rsidR="00E03B3F" w:rsidRPr="00E03B3F">
        <w:rPr>
          <w:rFonts w:eastAsia="Times New Roman" w:cs="Times New Roman"/>
          <w:szCs w:val="24"/>
          <w:lang w:val="en-CA" w:eastAsia="en-CA"/>
        </w:rPr>
        <w:t xml:space="preserve">on policies pertaining to balanced </w:t>
      </w:r>
      <w:r>
        <w:rPr>
          <w:rFonts w:eastAsia="Times New Roman" w:cs="Times New Roman"/>
          <w:szCs w:val="24"/>
          <w:lang w:val="en-CA" w:eastAsia="en-CA"/>
        </w:rPr>
        <w:t>regional</w:t>
      </w:r>
      <w:r w:rsidRPr="00E03B3F">
        <w:rPr>
          <w:rFonts w:eastAsia="Times New Roman" w:cs="Times New Roman"/>
          <w:szCs w:val="24"/>
          <w:lang w:val="en-CA" w:eastAsia="en-CA"/>
        </w:rPr>
        <w:t xml:space="preserve"> </w:t>
      </w:r>
      <w:r w:rsidR="00E03B3F" w:rsidRPr="00E03B3F">
        <w:rPr>
          <w:rFonts w:eastAsia="Times New Roman" w:cs="Times New Roman"/>
          <w:szCs w:val="24"/>
          <w:lang w:val="en-CA" w:eastAsia="en-CA"/>
        </w:rPr>
        <w:t>growth</w:t>
      </w:r>
      <w:r>
        <w:rPr>
          <w:rFonts w:eastAsia="Times New Roman" w:cs="Times New Roman"/>
          <w:szCs w:val="24"/>
          <w:lang w:val="en-CA" w:eastAsia="en-CA"/>
        </w:rPr>
        <w:t>, and has prepared a r</w:t>
      </w:r>
      <w:r w:rsidR="00E03B3F" w:rsidRPr="00E03B3F">
        <w:rPr>
          <w:rFonts w:eastAsia="Times New Roman" w:cs="Times New Roman"/>
          <w:szCs w:val="24"/>
          <w:lang w:val="en-CA" w:eastAsia="en-CA"/>
        </w:rPr>
        <w:t xml:space="preserve">eview of conditions within selected regions </w:t>
      </w:r>
      <w:r>
        <w:rPr>
          <w:rFonts w:eastAsia="Times New Roman" w:cs="Times New Roman"/>
          <w:szCs w:val="24"/>
          <w:lang w:val="en-CA" w:eastAsia="en-CA"/>
        </w:rPr>
        <w:t>to highlight</w:t>
      </w:r>
      <w:r w:rsidR="00E03B3F" w:rsidRPr="00E03B3F">
        <w:rPr>
          <w:rFonts w:eastAsia="Times New Roman" w:cs="Times New Roman"/>
          <w:szCs w:val="24"/>
          <w:lang w:val="en-CA" w:eastAsia="en-CA"/>
        </w:rPr>
        <w:t xml:space="preserve"> development constraints and future prospects for robust urban planning.</w:t>
      </w:r>
      <w:r>
        <w:rPr>
          <w:rFonts w:eastAsia="Times New Roman" w:cs="Times New Roman"/>
          <w:szCs w:val="24"/>
          <w:lang w:val="en-CA" w:eastAsia="en-CA"/>
        </w:rPr>
        <w:t xml:space="preserve">  This work has provided a basis for the elaboration </w:t>
      </w:r>
      <w:r w:rsidR="00E03B3F" w:rsidRPr="00E03B3F">
        <w:rPr>
          <w:rFonts w:eastAsia="Times New Roman" w:cs="Times New Roman"/>
          <w:szCs w:val="24"/>
          <w:lang w:val="en-CA" w:eastAsia="en-CA"/>
        </w:rPr>
        <w:t xml:space="preserve">of regional development strategies </w:t>
      </w:r>
      <w:r>
        <w:rPr>
          <w:rFonts w:eastAsia="Times New Roman" w:cs="Times New Roman"/>
          <w:szCs w:val="24"/>
          <w:lang w:val="en-CA" w:eastAsia="en-CA"/>
        </w:rPr>
        <w:t>which will include</w:t>
      </w:r>
      <w:r w:rsidR="00E03B3F" w:rsidRPr="00E03B3F">
        <w:rPr>
          <w:rFonts w:eastAsia="Times New Roman" w:cs="Times New Roman"/>
          <w:szCs w:val="24"/>
          <w:lang w:val="en-CA" w:eastAsia="en-CA"/>
        </w:rPr>
        <w:t xml:space="preserve"> sectoral development</w:t>
      </w:r>
      <w:r>
        <w:rPr>
          <w:rFonts w:eastAsia="Times New Roman" w:cs="Times New Roman"/>
          <w:szCs w:val="24"/>
          <w:lang w:val="en-CA" w:eastAsia="en-CA"/>
        </w:rPr>
        <w:t>.</w:t>
      </w:r>
    </w:p>
    <w:p w:rsidR="00E03B3F" w:rsidRPr="00E03B3F" w:rsidRDefault="00F7224D" w:rsidP="00E03B3F">
      <w:pPr>
        <w:spacing w:before="0" w:after="0"/>
        <w:rPr>
          <w:rFonts w:eastAsia="Times New Roman" w:cs="Times New Roman"/>
          <w:lang w:val="en-CA" w:eastAsia="en-CA"/>
        </w:rPr>
      </w:pPr>
      <w:r w:rsidRPr="00FA7678">
        <w:rPr>
          <w:rFonts w:eastAsia="Times New Roman" w:cs="Times New Roman"/>
          <w:lang w:val="en-CA" w:eastAsia="en-CA"/>
        </w:rPr>
        <w:t>Ministry consultants and technical specialists have carried out a r</w:t>
      </w:r>
      <w:r w:rsidR="00E03B3F" w:rsidRPr="00E03B3F">
        <w:rPr>
          <w:rFonts w:eastAsia="Times New Roman" w:cs="Times New Roman"/>
          <w:lang w:val="en-CA" w:eastAsia="en-CA"/>
        </w:rPr>
        <w:t xml:space="preserve">eview and evaluation of </w:t>
      </w:r>
      <w:r w:rsidRPr="00FA7678">
        <w:rPr>
          <w:rFonts w:eastAsia="Times New Roman" w:cs="Times New Roman"/>
          <w:lang w:val="en-CA" w:eastAsia="en-CA"/>
        </w:rPr>
        <w:t xml:space="preserve">the urban and </w:t>
      </w:r>
      <w:r w:rsidRPr="00E03B3F">
        <w:rPr>
          <w:rFonts w:eastAsia="Times New Roman" w:cs="Times New Roman"/>
          <w:lang w:val="en-CA" w:eastAsia="en-CA"/>
        </w:rPr>
        <w:t xml:space="preserve">regional </w:t>
      </w:r>
      <w:r w:rsidR="00E03B3F" w:rsidRPr="00E03B3F">
        <w:rPr>
          <w:rFonts w:eastAsia="Times New Roman" w:cs="Times New Roman"/>
          <w:lang w:val="en-CA" w:eastAsia="en-CA"/>
        </w:rPr>
        <w:t>database</w:t>
      </w:r>
      <w:r w:rsidR="00FA7678" w:rsidRPr="00FA7678">
        <w:rPr>
          <w:rFonts w:eastAsia="Times New Roman" w:cs="Times New Roman"/>
          <w:lang w:val="en-CA" w:eastAsia="en-CA"/>
        </w:rPr>
        <w:t xml:space="preserve"> so as to identify </w:t>
      </w:r>
      <w:r w:rsidR="00E03B3F" w:rsidRPr="00E03B3F">
        <w:rPr>
          <w:rFonts w:eastAsia="Times New Roman" w:cs="Times New Roman"/>
          <w:lang w:val="en-CA" w:eastAsia="en-CA"/>
        </w:rPr>
        <w:t>data gaps and shortcomings.</w:t>
      </w:r>
      <w:r w:rsidR="00FA7678" w:rsidRPr="00FA7678">
        <w:rPr>
          <w:rFonts w:eastAsia="Times New Roman" w:cs="Times New Roman"/>
          <w:lang w:val="en-CA" w:eastAsia="en-CA"/>
        </w:rPr>
        <w:t xml:space="preserve">  The technical cooperation has upgraded the substantive </w:t>
      </w:r>
      <w:r w:rsidR="00E03B3F" w:rsidRPr="00E03B3F">
        <w:rPr>
          <w:rFonts w:eastAsia="Times New Roman" w:cs="Times New Roman"/>
          <w:lang w:val="en-CA" w:eastAsia="en-CA"/>
        </w:rPr>
        <w:t xml:space="preserve">skills </w:t>
      </w:r>
      <w:r w:rsidR="00FA7678" w:rsidRPr="00FA7678">
        <w:rPr>
          <w:rFonts w:eastAsia="Times New Roman" w:cs="Times New Roman"/>
          <w:lang w:val="en-CA" w:eastAsia="en-CA"/>
        </w:rPr>
        <w:t>of MOMRA staff. Overall, the project has contributed to the evolution of an</w:t>
      </w:r>
      <w:r w:rsidR="00E03B3F" w:rsidRPr="00E03B3F">
        <w:rPr>
          <w:rFonts w:eastAsia="Times New Roman" w:cs="Times New Roman"/>
          <w:lang w:val="en-CA" w:eastAsia="en-CA"/>
        </w:rPr>
        <w:t xml:space="preserve"> efficient and accountable public sector and stronger local communities and institution</w:t>
      </w:r>
      <w:r w:rsidR="00FA7678" w:rsidRPr="00FA7678">
        <w:rPr>
          <w:rFonts w:eastAsia="Times New Roman" w:cs="Times New Roman"/>
          <w:lang w:val="en-CA" w:eastAsia="en-CA"/>
        </w:rPr>
        <w:t>s</w:t>
      </w:r>
      <w:r w:rsidR="00E03B3F" w:rsidRPr="00E03B3F">
        <w:rPr>
          <w:rFonts w:eastAsia="Times New Roman" w:cs="Times New Roman"/>
          <w:lang w:val="en-CA" w:eastAsia="en-CA"/>
        </w:rPr>
        <w:t>.</w:t>
      </w:r>
    </w:p>
    <w:p w:rsidR="00D4031F" w:rsidRDefault="00AE3BCD" w:rsidP="0055608D">
      <w:pPr>
        <w:pStyle w:val="Heading4"/>
        <w:numPr>
          <w:ilvl w:val="3"/>
          <w:numId w:val="4"/>
        </w:numPr>
      </w:pPr>
      <w:bookmarkStart w:id="23" w:name="_Toc325940184"/>
      <w:r>
        <w:t xml:space="preserve">Support to </w:t>
      </w:r>
      <w:r w:rsidRPr="00DA7619">
        <w:t>Saudi Food and Drug Authority (SFDA)</w:t>
      </w:r>
      <w:bookmarkEnd w:id="23"/>
      <w:r w:rsidRPr="00DA7619">
        <w:t xml:space="preserve"> </w:t>
      </w:r>
    </w:p>
    <w:p w:rsidR="00F53A3D" w:rsidRDefault="00D4031F" w:rsidP="00D4031F">
      <w:r>
        <w:t>The full name of this project was “</w:t>
      </w:r>
      <w:r w:rsidRPr="00DA7619">
        <w:t xml:space="preserve">Institutional and human capacities of </w:t>
      </w:r>
      <w:r>
        <w:t xml:space="preserve">SFDA </w:t>
      </w:r>
      <w:r w:rsidRPr="00DA7619">
        <w:t>developed to implement WTO commitments and increase public awareness about SFDA's role</w:t>
      </w:r>
      <w:r>
        <w:t>”</w:t>
      </w:r>
      <w:r w:rsidRPr="00DA7619">
        <w:t xml:space="preserve">. </w:t>
      </w:r>
      <w:r w:rsidR="00DB4BAC">
        <w:t xml:space="preserve"> In the years prior to the current project, in 2004 the newly established Saudi Food and Drug Authority (SFDA) was responsible for taking on all procedural, executive and control functions of the pre-existing government food and drug organizations, becoming the sole central regulator, reporting directly to the Council of Ministers. Its responsibilities covered the safety, security, validity and effectiveness of food and medicine </w:t>
      </w:r>
      <w:r w:rsidR="00F53A3D">
        <w:t>destined for human and animal consumption</w:t>
      </w:r>
      <w:r w:rsidR="00DB4BAC">
        <w:t xml:space="preserve">; </w:t>
      </w:r>
      <w:r w:rsidR="00F53A3D">
        <w:t xml:space="preserve">the </w:t>
      </w:r>
      <w:r w:rsidR="00DB4BAC">
        <w:t xml:space="preserve">safety of biological and chemical products, cosmetics and pesticides; safeguarding the impact of electronic </w:t>
      </w:r>
      <w:r w:rsidR="00F53A3D">
        <w:t>goods used in the</w:t>
      </w:r>
      <w:r w:rsidR="00DB4BAC">
        <w:t xml:space="preserve"> public health</w:t>
      </w:r>
      <w:r w:rsidR="00F53A3D">
        <w:t xml:space="preserve"> </w:t>
      </w:r>
      <w:r w:rsidR="00653BF7">
        <w:t>domain</w:t>
      </w:r>
      <w:r w:rsidR="00DB4BAC">
        <w:t xml:space="preserve">, and </w:t>
      </w:r>
      <w:r w:rsidR="00F53A3D">
        <w:t>overseeing</w:t>
      </w:r>
      <w:r w:rsidR="00DB4BAC">
        <w:t xml:space="preserve"> standards </w:t>
      </w:r>
      <w:r w:rsidR="00F53A3D">
        <w:t>for</w:t>
      </w:r>
      <w:r w:rsidR="00DB4BAC">
        <w:t xml:space="preserve"> medical and diagnostic devices. </w:t>
      </w:r>
    </w:p>
    <w:p w:rsidR="002D2221" w:rsidRDefault="00F53A3D" w:rsidP="00D4031F">
      <w:r>
        <w:t>In addition, t</w:t>
      </w:r>
      <w:r w:rsidR="00DB4BAC">
        <w:t xml:space="preserve">he Authority </w:t>
      </w:r>
      <w:r>
        <w:t>was tasked to</w:t>
      </w:r>
      <w:r w:rsidR="00DB4BAC">
        <w:t xml:space="preserve"> </w:t>
      </w:r>
      <w:r>
        <w:t>establish</w:t>
      </w:r>
      <w:r w:rsidR="00DB4BAC">
        <w:t xml:space="preserve"> explicit plans for food and drugs</w:t>
      </w:r>
      <w:r>
        <w:t xml:space="preserve"> supply</w:t>
      </w:r>
      <w:r w:rsidR="00DB4BAC">
        <w:t xml:space="preserve">, </w:t>
      </w:r>
      <w:r>
        <w:t xml:space="preserve">to </w:t>
      </w:r>
      <w:r w:rsidR="00DB4BAC">
        <w:t xml:space="preserve">conduct relevant studies, monitor the implementation of procedures </w:t>
      </w:r>
      <w:r>
        <w:t>for the issuing</w:t>
      </w:r>
      <w:r w:rsidR="00DB4BAC">
        <w:t xml:space="preserve"> of licenses for food, medicine</w:t>
      </w:r>
      <w:r>
        <w:t>s</w:t>
      </w:r>
      <w:r w:rsidR="00DB4BAC">
        <w:t xml:space="preserve"> and medical equipment to factories, exchange and publish information in cooperation with relevant local and international bodies, and build databases for food and drugs in the Kingdom. </w:t>
      </w:r>
    </w:p>
    <w:p w:rsidR="007C12A0" w:rsidRPr="004F3D04" w:rsidRDefault="002D2221" w:rsidP="007C12A0">
      <w:pPr>
        <w:rPr>
          <w:lang w:val="en-CA" w:eastAsia="en-CA"/>
        </w:rPr>
      </w:pPr>
      <w:r>
        <w:t xml:space="preserve">Under the weight of this enormous and complex mandate, and in light of </w:t>
      </w:r>
      <w:r w:rsidR="00DB4BAC">
        <w:t xml:space="preserve">UNDP’s </w:t>
      </w:r>
      <w:r>
        <w:t>track record and competitive advantage</w:t>
      </w:r>
      <w:r w:rsidR="00DB4BAC">
        <w:t xml:space="preserve"> in </w:t>
      </w:r>
      <w:r>
        <w:t>identifying</w:t>
      </w:r>
      <w:r w:rsidR="00DB4BAC">
        <w:t xml:space="preserve"> </w:t>
      </w:r>
      <w:r>
        <w:t xml:space="preserve">specialized </w:t>
      </w:r>
      <w:r w:rsidR="00DB4BAC">
        <w:t xml:space="preserve">technical support, SFDA </w:t>
      </w:r>
      <w:r>
        <w:t xml:space="preserve">requested the technical assistance of </w:t>
      </w:r>
      <w:r w:rsidR="00DB4BAC">
        <w:t xml:space="preserve">UNDP </w:t>
      </w:r>
      <w:r w:rsidR="004F3D04">
        <w:t>in</w:t>
      </w:r>
      <w:r w:rsidR="00DB4BAC">
        <w:t xml:space="preserve"> the </w:t>
      </w:r>
      <w:r w:rsidR="004F3D04">
        <w:t>start-up of the A</w:t>
      </w:r>
      <w:r w:rsidR="00DB4BAC">
        <w:t>uthority.</w:t>
      </w:r>
      <w:r w:rsidR="004F3D04">
        <w:t xml:space="preserve">  The objective of the initial project was to provide substantive support enabling the new organization to formulate its strategy and business plan and to develop the required institutional capacity to discharge its mandate and ultimately meet the national development plan’s aspiration for safe food and drugs management. </w:t>
      </w:r>
      <w:r w:rsidR="007C12A0">
        <w:t xml:space="preserve"> </w:t>
      </w:r>
      <w:r w:rsidR="007C12A0">
        <w:rPr>
          <w:lang w:val="en-CA" w:eastAsia="en-CA"/>
        </w:rPr>
        <w:t>The p</w:t>
      </w:r>
      <w:r w:rsidR="007C12A0" w:rsidRPr="004F3D04">
        <w:rPr>
          <w:lang w:val="en-CA" w:eastAsia="en-CA"/>
        </w:rPr>
        <w:t xml:space="preserve">roject </w:t>
      </w:r>
      <w:r w:rsidR="007C12A0">
        <w:rPr>
          <w:lang w:val="en-CA" w:eastAsia="en-CA"/>
        </w:rPr>
        <w:t xml:space="preserve">was ultimately </w:t>
      </w:r>
      <w:r w:rsidR="007C12A0" w:rsidRPr="004F3D04">
        <w:rPr>
          <w:lang w:val="en-CA" w:eastAsia="en-CA"/>
        </w:rPr>
        <w:t>extend</w:t>
      </w:r>
      <w:r w:rsidR="007C12A0">
        <w:rPr>
          <w:lang w:val="en-CA" w:eastAsia="en-CA"/>
        </w:rPr>
        <w:t>ed to</w:t>
      </w:r>
      <w:r w:rsidR="007C12A0" w:rsidRPr="004F3D04">
        <w:rPr>
          <w:lang w:val="en-CA" w:eastAsia="en-CA"/>
        </w:rPr>
        <w:t xml:space="preserve"> 2011.</w:t>
      </w:r>
      <w:r w:rsidR="007C12A0">
        <w:rPr>
          <w:lang w:val="en-CA" w:eastAsia="en-CA"/>
        </w:rPr>
        <w:t xml:space="preserve">  </w:t>
      </w:r>
    </w:p>
    <w:p w:rsidR="004F3D04" w:rsidRPr="00A657C6" w:rsidRDefault="007C12A0" w:rsidP="00A657C6">
      <w:pPr>
        <w:rPr>
          <w:rFonts w:eastAsia="Times New Roman" w:cs="Times New Roman"/>
          <w:lang w:val="en-CA" w:eastAsia="en-CA"/>
        </w:rPr>
      </w:pPr>
      <w:r w:rsidRPr="00A657C6">
        <w:t xml:space="preserve">Directed at institutional and policy capacity development, the project provided </w:t>
      </w:r>
      <w:r w:rsidR="004F3D04" w:rsidRPr="00A657C6">
        <w:t>advisory services, specialized expertise, and admin</w:t>
      </w:r>
      <w:r w:rsidRPr="00A657C6">
        <w:t>istrative</w:t>
      </w:r>
      <w:r w:rsidR="004F3D04" w:rsidRPr="00A657C6">
        <w:t xml:space="preserve"> support to </w:t>
      </w:r>
      <w:r w:rsidRPr="00A657C6">
        <w:t xml:space="preserve">SFDA, and </w:t>
      </w:r>
      <w:r w:rsidR="004F3D04" w:rsidRPr="00A657C6">
        <w:t>help</w:t>
      </w:r>
      <w:r w:rsidRPr="00A657C6">
        <w:t>ed develop</w:t>
      </w:r>
      <w:r w:rsidR="004F3D04" w:rsidRPr="00A657C6">
        <w:t xml:space="preserve"> the Authority’s policy, advocacy, and executing capacity in the areas of food and drug safety</w:t>
      </w:r>
      <w:r w:rsidRPr="00A657C6">
        <w:t xml:space="preserve">.  The resulting high quality and autonomy of SFDA has helped assure the </w:t>
      </w:r>
      <w:r w:rsidR="004F3D04" w:rsidRPr="00A657C6">
        <w:rPr>
          <w:rFonts w:eastAsia="Times New Roman" w:cs="Times New Roman"/>
          <w:lang w:val="en-CA" w:eastAsia="en-CA"/>
        </w:rPr>
        <w:t>safe and secure quality of food and drugs</w:t>
      </w:r>
      <w:r w:rsidRPr="00A657C6">
        <w:rPr>
          <w:rFonts w:eastAsia="Times New Roman" w:cs="Times New Roman"/>
          <w:lang w:val="en-CA" w:eastAsia="en-CA"/>
        </w:rPr>
        <w:t>, contributing to the</w:t>
      </w:r>
      <w:r w:rsidR="004F3D04" w:rsidRPr="00A657C6">
        <w:rPr>
          <w:rFonts w:eastAsia="Times New Roman" w:cs="Times New Roman"/>
          <w:lang w:val="en-CA" w:eastAsia="en-CA"/>
        </w:rPr>
        <w:t xml:space="preserve"> quality of life for further human development and longevity</w:t>
      </w:r>
      <w:r w:rsidRPr="00A657C6">
        <w:rPr>
          <w:rFonts w:eastAsia="Times New Roman" w:cs="Times New Roman"/>
          <w:lang w:val="en-CA" w:eastAsia="en-CA"/>
        </w:rPr>
        <w:t xml:space="preserve"> – factors that in the long run will help</w:t>
      </w:r>
      <w:r w:rsidR="00A657C6" w:rsidRPr="00A657C6">
        <w:rPr>
          <w:rFonts w:eastAsia="Times New Roman" w:cs="Times New Roman"/>
          <w:lang w:val="en-CA" w:eastAsia="en-CA"/>
        </w:rPr>
        <w:t xml:space="preserve"> improve</w:t>
      </w:r>
      <w:r w:rsidR="004F3D04" w:rsidRPr="00A657C6">
        <w:rPr>
          <w:rFonts w:eastAsia="Times New Roman" w:cs="Times New Roman"/>
          <w:lang w:val="en-CA" w:eastAsia="en-CA"/>
        </w:rPr>
        <w:t xml:space="preserve"> productivity</w:t>
      </w:r>
      <w:r w:rsidR="00A657C6" w:rsidRPr="00A657C6">
        <w:rPr>
          <w:rFonts w:eastAsia="Times New Roman" w:cs="Times New Roman"/>
          <w:lang w:val="en-CA" w:eastAsia="en-CA"/>
        </w:rPr>
        <w:t xml:space="preserve">, </w:t>
      </w:r>
      <w:r w:rsidR="004F3D04" w:rsidRPr="00A657C6">
        <w:rPr>
          <w:rFonts w:eastAsia="Times New Roman" w:cs="Times New Roman"/>
          <w:lang w:val="en-CA" w:eastAsia="en-CA"/>
        </w:rPr>
        <w:t>per capita income</w:t>
      </w:r>
      <w:r w:rsidR="00A657C6" w:rsidRPr="00A657C6">
        <w:rPr>
          <w:rFonts w:eastAsia="Times New Roman" w:cs="Times New Roman"/>
          <w:lang w:val="en-CA" w:eastAsia="en-CA"/>
        </w:rPr>
        <w:t>s</w:t>
      </w:r>
      <w:r w:rsidR="004F3D04" w:rsidRPr="00A657C6">
        <w:rPr>
          <w:rFonts w:eastAsia="Times New Roman" w:cs="Times New Roman"/>
          <w:lang w:val="en-CA" w:eastAsia="en-CA"/>
        </w:rPr>
        <w:t>, and better education.</w:t>
      </w:r>
    </w:p>
    <w:p w:rsidR="004F3D04" w:rsidRPr="00653BF7" w:rsidRDefault="004F3D04" w:rsidP="00653BF7">
      <w:pPr>
        <w:spacing w:before="0" w:after="0"/>
        <w:ind w:left="720"/>
        <w:rPr>
          <w:rFonts w:eastAsia="Times New Roman" w:cs="Times New Roman"/>
          <w:lang w:val="en-CA" w:eastAsia="en-CA"/>
        </w:rPr>
      </w:pPr>
      <w:r w:rsidRPr="00653BF7">
        <w:rPr>
          <w:rFonts w:eastAsia="Times New Roman" w:cs="Times New Roman"/>
          <w:lang w:val="en-CA" w:eastAsia="en-CA"/>
        </w:rPr>
        <w:t xml:space="preserve">1. Several experts’ missions were led to assess the food and drugs laboratories needs and improvement measures. </w:t>
      </w:r>
    </w:p>
    <w:p w:rsidR="004F3D04" w:rsidRPr="00653BF7" w:rsidRDefault="004F3D04" w:rsidP="00653BF7">
      <w:pPr>
        <w:spacing w:before="0" w:after="0"/>
        <w:ind w:left="720"/>
        <w:rPr>
          <w:rFonts w:eastAsia="Times New Roman" w:cs="Times New Roman"/>
          <w:lang w:val="en-CA" w:eastAsia="en-CA"/>
        </w:rPr>
      </w:pPr>
      <w:r w:rsidRPr="00653BF7">
        <w:rPr>
          <w:rFonts w:eastAsia="Times New Roman" w:cs="Times New Roman"/>
          <w:lang w:val="en-CA" w:eastAsia="en-CA"/>
        </w:rPr>
        <w:lastRenderedPageBreak/>
        <w:t xml:space="preserve">2. An expert mission held to support the set up of the SFDA HR system, guidelines, procedures, and assess its </w:t>
      </w:r>
      <w:r w:rsidR="00653BF7" w:rsidRPr="00653BF7">
        <w:rPr>
          <w:rFonts w:eastAsia="Times New Roman" w:cs="Times New Roman"/>
          <w:lang w:val="en-CA" w:eastAsia="en-CA"/>
        </w:rPr>
        <w:t>needs.</w:t>
      </w:r>
    </w:p>
    <w:p w:rsidR="004F3D04" w:rsidRPr="00653BF7" w:rsidRDefault="004F3D04" w:rsidP="00653BF7">
      <w:pPr>
        <w:spacing w:before="0" w:after="0"/>
        <w:ind w:left="720"/>
        <w:rPr>
          <w:rFonts w:eastAsia="Times New Roman" w:cs="Times New Roman"/>
          <w:lang w:val="en-CA" w:eastAsia="en-CA"/>
        </w:rPr>
      </w:pPr>
      <w:r w:rsidRPr="00653BF7">
        <w:rPr>
          <w:rFonts w:eastAsia="Times New Roman" w:cs="Times New Roman"/>
          <w:lang w:val="en-CA" w:eastAsia="en-CA"/>
        </w:rPr>
        <w:t>3. Corporate Human Resources is being developed by building the knowledge and expertise of SFDA staff through.</w:t>
      </w:r>
    </w:p>
    <w:p w:rsidR="004F3D04" w:rsidRPr="00653BF7" w:rsidRDefault="004F3D04" w:rsidP="00653BF7">
      <w:pPr>
        <w:spacing w:before="0" w:after="0"/>
        <w:ind w:left="720"/>
        <w:rPr>
          <w:rFonts w:eastAsia="Times New Roman" w:cs="Times New Roman"/>
          <w:lang w:val="en-CA" w:eastAsia="en-CA"/>
        </w:rPr>
      </w:pPr>
      <w:r w:rsidRPr="00653BF7">
        <w:rPr>
          <w:rFonts w:eastAsia="Times New Roman" w:cs="Times New Roman"/>
          <w:lang w:val="en-CA" w:eastAsia="en-CA"/>
        </w:rPr>
        <w:t xml:space="preserve">5. Support establishing a center concerned with reporting the medical equipments technical defects and troubles through a Sub-Contract with “ECRI-IMD” – a non-profit agency in Dubai. Sub-contract signed and functional. Provide training and post graduate scholarships for SFDA staff to enhance their knowledge. </w:t>
      </w:r>
    </w:p>
    <w:p w:rsidR="00F61A9D" w:rsidRPr="00DA7619" w:rsidRDefault="00A657C6" w:rsidP="00F61A9D">
      <w:r>
        <w:t xml:space="preserve">SFDA personnel from several of its major branches </w:t>
      </w:r>
      <w:r w:rsidR="005A4C02">
        <w:t>(</w:t>
      </w:r>
      <w:r w:rsidR="005A4C02" w:rsidRPr="00DA7619">
        <w:t>food, drug</w:t>
      </w:r>
      <w:r w:rsidR="005A4C02">
        <w:t>s and</w:t>
      </w:r>
      <w:r w:rsidR="005A4C02" w:rsidRPr="00DA7619">
        <w:t xml:space="preserve"> medical equipment</w:t>
      </w:r>
      <w:r w:rsidR="005A4C02">
        <w:t>)</w:t>
      </w:r>
      <w:r w:rsidR="005A4C02" w:rsidRPr="00DA7619">
        <w:t xml:space="preserve"> </w:t>
      </w:r>
      <w:r>
        <w:t>told the Evaluation mission that f</w:t>
      </w:r>
      <w:r w:rsidR="00F61A9D" w:rsidRPr="00DA7619">
        <w:t xml:space="preserve">rom the </w:t>
      </w:r>
      <w:r>
        <w:t>earliest days of the partnership with</w:t>
      </w:r>
      <w:r w:rsidR="00F61A9D" w:rsidRPr="00DA7619">
        <w:t xml:space="preserve"> </w:t>
      </w:r>
      <w:r>
        <w:t>UNDP the project</w:t>
      </w:r>
      <w:r w:rsidR="00F61A9D" w:rsidRPr="00DA7619">
        <w:t xml:space="preserve"> provided </w:t>
      </w:r>
      <w:r>
        <w:t>the</w:t>
      </w:r>
      <w:r w:rsidR="00653BF7">
        <w:t xml:space="preserve"> </w:t>
      </w:r>
      <w:r>
        <w:t>Authority</w:t>
      </w:r>
      <w:r w:rsidR="00F61A9D" w:rsidRPr="00DA7619">
        <w:t xml:space="preserve"> with the </w:t>
      </w:r>
      <w:r>
        <w:t>necessary fle</w:t>
      </w:r>
      <w:r w:rsidR="00653BF7">
        <w:t xml:space="preserve">xibility </w:t>
      </w:r>
      <w:r w:rsidR="00F61A9D" w:rsidRPr="00DA7619">
        <w:t xml:space="preserve">to </w:t>
      </w:r>
      <w:r>
        <w:t>get the job done.  They explained that the broad scope of the mandate demanded the establishment of</w:t>
      </w:r>
      <w:r w:rsidR="00F61A9D" w:rsidRPr="00DA7619">
        <w:t xml:space="preserve"> various commi</w:t>
      </w:r>
      <w:r>
        <w:t>ttees, commissions and expert units</w:t>
      </w:r>
      <w:r w:rsidR="00F61A9D" w:rsidRPr="00DA7619">
        <w:t>,</w:t>
      </w:r>
      <w:r>
        <w:t xml:space="preserve"> demanding skills in many disciplines.  By</w:t>
      </w:r>
      <w:r w:rsidR="00F61A9D" w:rsidRPr="00DA7619">
        <w:t xml:space="preserve"> 2011 </w:t>
      </w:r>
      <w:r>
        <w:t>SFDA had</w:t>
      </w:r>
      <w:r w:rsidR="00F61A9D" w:rsidRPr="00DA7619">
        <w:t xml:space="preserve"> establish 43 committees, </w:t>
      </w:r>
      <w:r>
        <w:t xml:space="preserve">employed </w:t>
      </w:r>
      <w:r w:rsidR="00F61A9D" w:rsidRPr="00DA7619">
        <w:t xml:space="preserve">195 </w:t>
      </w:r>
      <w:r w:rsidRPr="00DA7619">
        <w:t xml:space="preserve">international and local </w:t>
      </w:r>
      <w:r w:rsidR="00F61A9D" w:rsidRPr="00DA7619">
        <w:t>experts</w:t>
      </w:r>
      <w:r>
        <w:t>,</w:t>
      </w:r>
      <w:r w:rsidR="00F61A9D" w:rsidRPr="00DA7619">
        <w:t xml:space="preserve"> and conducted 22 missions</w:t>
      </w:r>
      <w:r>
        <w:t xml:space="preserve"> abroad to see similar food and drug authorities in action.</w:t>
      </w:r>
    </w:p>
    <w:p w:rsidR="00F61A9D" w:rsidRPr="00DA7619" w:rsidRDefault="00A657C6" w:rsidP="00F61A9D">
      <w:r>
        <w:t xml:space="preserve">Since most pharmaceuticals </w:t>
      </w:r>
      <w:r w:rsidR="00F61A9D" w:rsidRPr="00DA7619">
        <w:t xml:space="preserve">are </w:t>
      </w:r>
      <w:r w:rsidRPr="00DA7619">
        <w:t>imported</w:t>
      </w:r>
      <w:r w:rsidR="00F61A9D" w:rsidRPr="00DA7619">
        <w:t xml:space="preserve">, </w:t>
      </w:r>
      <w:r>
        <w:t>the Authority needed</w:t>
      </w:r>
      <w:r w:rsidR="00F61A9D" w:rsidRPr="00DA7619">
        <w:t xml:space="preserve"> to inspect international </w:t>
      </w:r>
      <w:r>
        <w:t xml:space="preserve">production </w:t>
      </w:r>
      <w:r w:rsidR="00F61A9D" w:rsidRPr="00DA7619">
        <w:t xml:space="preserve">facilities </w:t>
      </w:r>
      <w:r w:rsidR="00971600">
        <w:t>as well as</w:t>
      </w:r>
      <w:r w:rsidR="00F61A9D" w:rsidRPr="00DA7619">
        <w:t xml:space="preserve"> medical </w:t>
      </w:r>
      <w:r w:rsidR="00971600" w:rsidRPr="00DA7619">
        <w:t>faculties</w:t>
      </w:r>
      <w:r w:rsidR="00971600">
        <w:t xml:space="preserve"> and</w:t>
      </w:r>
      <w:r w:rsidR="00F61A9D" w:rsidRPr="00DA7619">
        <w:t xml:space="preserve"> </w:t>
      </w:r>
      <w:r w:rsidR="00971600">
        <w:t>pharmaceutical laboratories</w:t>
      </w:r>
      <w:r w:rsidR="00F61A9D" w:rsidRPr="00DA7619">
        <w:t xml:space="preserve">.  </w:t>
      </w:r>
      <w:r w:rsidR="00971600">
        <w:t>They have also enabled many of their staff members to qualify in appropriate fields.  O</w:t>
      </w:r>
      <w:r w:rsidR="00F61A9D" w:rsidRPr="00DA7619">
        <w:t xml:space="preserve">ver the 5-year period </w:t>
      </w:r>
      <w:r w:rsidR="00971600">
        <w:t xml:space="preserve">of the project </w:t>
      </w:r>
      <w:r w:rsidR="00F61A9D" w:rsidRPr="00DA7619">
        <w:t xml:space="preserve">500 </w:t>
      </w:r>
      <w:r w:rsidR="00971600">
        <w:t xml:space="preserve">staff members gained higher </w:t>
      </w:r>
      <w:r w:rsidR="00971600" w:rsidRPr="00DA7619">
        <w:t>quali</w:t>
      </w:r>
      <w:r w:rsidR="00971600">
        <w:t>fi</w:t>
      </w:r>
      <w:r w:rsidR="00971600" w:rsidRPr="00DA7619">
        <w:t>cations</w:t>
      </w:r>
      <w:r w:rsidR="00971600">
        <w:t>, attending</w:t>
      </w:r>
      <w:r w:rsidR="00F61A9D" w:rsidRPr="00DA7619">
        <w:t xml:space="preserve"> graduate schoo</w:t>
      </w:r>
      <w:r w:rsidR="00971600">
        <w:t>l</w:t>
      </w:r>
      <w:r w:rsidR="00F61A9D" w:rsidRPr="00DA7619">
        <w:t xml:space="preserve">s </w:t>
      </w:r>
      <w:r w:rsidR="00971600">
        <w:t>in</w:t>
      </w:r>
      <w:r w:rsidR="00AE7793">
        <w:t xml:space="preserve"> </w:t>
      </w:r>
      <w:r w:rsidR="00F61A9D" w:rsidRPr="00DA7619">
        <w:t xml:space="preserve">Canada, Australia, </w:t>
      </w:r>
      <w:r w:rsidR="00971600">
        <w:t xml:space="preserve">the </w:t>
      </w:r>
      <w:r w:rsidR="00F61A9D" w:rsidRPr="00DA7619">
        <w:t xml:space="preserve">UK and US.  </w:t>
      </w:r>
      <w:r w:rsidR="00971600">
        <w:t xml:space="preserve">SA has </w:t>
      </w:r>
      <w:r w:rsidR="00F61A9D" w:rsidRPr="00DA7619">
        <w:t xml:space="preserve">also </w:t>
      </w:r>
      <w:r w:rsidR="00971600" w:rsidRPr="00DA7619">
        <w:t>established</w:t>
      </w:r>
      <w:r w:rsidR="00F61A9D" w:rsidRPr="00DA7619">
        <w:t xml:space="preserve"> so</w:t>
      </w:r>
      <w:r w:rsidR="00971600">
        <w:t>me domestic training programmes</w:t>
      </w:r>
      <w:r w:rsidR="00F61A9D" w:rsidRPr="00DA7619">
        <w:t>.</w:t>
      </w:r>
    </w:p>
    <w:p w:rsidR="005A4C02" w:rsidRPr="005A4C02" w:rsidRDefault="00762001" w:rsidP="00F61A9D">
      <w:pPr>
        <w:rPr>
          <w:vertAlign w:val="subscript"/>
        </w:rPr>
      </w:pPr>
      <w:r>
        <w:t>Explaining the emphasis on “</w:t>
      </w:r>
      <w:r w:rsidR="00F61A9D" w:rsidRPr="00DA7619">
        <w:t>flexibility</w:t>
      </w:r>
      <w:r>
        <w:t xml:space="preserve">”, SFDA staff clarified the </w:t>
      </w:r>
      <w:r w:rsidR="005A4C02">
        <w:t xml:space="preserve">impact of </w:t>
      </w:r>
      <w:r w:rsidR="00F61A9D" w:rsidRPr="00DA7619">
        <w:t>government rules</w:t>
      </w:r>
      <w:r w:rsidR="005A4C02">
        <w:t>, under which</w:t>
      </w:r>
      <w:r w:rsidR="00F61A9D" w:rsidRPr="00DA7619">
        <w:t xml:space="preserve"> it is difficult to bring foreign experts</w:t>
      </w:r>
      <w:r w:rsidR="005A4C02" w:rsidRPr="005A4C02">
        <w:t xml:space="preserve"> </w:t>
      </w:r>
      <w:r w:rsidR="005A4C02" w:rsidRPr="00DA7619">
        <w:t>in</w:t>
      </w:r>
      <w:r w:rsidR="005A4C02">
        <w:t xml:space="preserve">to a public agency.  However, working under the aegis of a UNDP project, SFDA can get </w:t>
      </w:r>
      <w:r w:rsidR="00F61A9D" w:rsidRPr="00DA7619">
        <w:t>help identify</w:t>
      </w:r>
      <w:r w:rsidR="005A4C02">
        <w:t xml:space="preserve">ing appropriate expertise; at the same time, UNDP has a reputation for its ability to </w:t>
      </w:r>
      <w:r w:rsidR="00F61A9D" w:rsidRPr="00DA7619">
        <w:t xml:space="preserve">certify the </w:t>
      </w:r>
      <w:r w:rsidR="005A4C02" w:rsidRPr="00DA7619">
        <w:t>reliability</w:t>
      </w:r>
      <w:r w:rsidR="00F61A9D" w:rsidRPr="00DA7619">
        <w:t xml:space="preserve"> of </w:t>
      </w:r>
      <w:r w:rsidR="005A4C02">
        <w:t xml:space="preserve">the </w:t>
      </w:r>
      <w:r w:rsidR="00F61A9D" w:rsidRPr="00DA7619">
        <w:t xml:space="preserve">experts </w:t>
      </w:r>
      <w:r w:rsidR="005A4C02">
        <w:t>it proposes</w:t>
      </w:r>
      <w:r w:rsidR="00F61A9D" w:rsidRPr="00DA7619">
        <w:t>.</w:t>
      </w:r>
      <w:r w:rsidR="005A4C02">
        <w:t xml:space="preserve">  By comparison, using </w:t>
      </w:r>
      <w:r w:rsidR="005A4C02" w:rsidRPr="00DA7619">
        <w:t>international</w:t>
      </w:r>
      <w:r w:rsidR="00F61A9D" w:rsidRPr="00DA7619">
        <w:t xml:space="preserve"> consulting firms</w:t>
      </w:r>
      <w:r w:rsidR="005A4C02">
        <w:t xml:space="preserve"> has been found to be</w:t>
      </w:r>
      <w:r w:rsidR="00F61A9D" w:rsidRPr="00DA7619">
        <w:t xml:space="preserve"> expensive, </w:t>
      </w:r>
      <w:r w:rsidR="005A4C02">
        <w:t>and large firms may rely on set solutions rather than adapting their approach to the specific needs of the Authority.</w:t>
      </w:r>
    </w:p>
    <w:p w:rsidR="005A4C02" w:rsidRDefault="005A4C02" w:rsidP="00F61A9D">
      <w:r>
        <w:t xml:space="preserve">SFDA expects to continue to have new tasks on its plate, and it hopes to continue its cooperation with UNDP.  </w:t>
      </w:r>
      <w:r w:rsidR="00AE7793">
        <w:t>“</w:t>
      </w:r>
      <w:r w:rsidR="00AE7793" w:rsidRPr="00DA7619">
        <w:t xml:space="preserve">We have invested heavily in IT, one of our focus areas.  We expect in the next </w:t>
      </w:r>
      <w:r w:rsidR="00AE7793">
        <w:t>five</w:t>
      </w:r>
      <w:r w:rsidR="00AE7793" w:rsidRPr="00DA7619">
        <w:t xml:space="preserve"> years to continue the project, as still mo</w:t>
      </w:r>
      <w:r w:rsidR="00AE7793">
        <w:t>r</w:t>
      </w:r>
      <w:r w:rsidR="00AE7793" w:rsidRPr="00DA7619">
        <w:t>e ta</w:t>
      </w:r>
      <w:r w:rsidR="00AE7793">
        <w:t>s</w:t>
      </w:r>
      <w:r w:rsidR="00AE7793" w:rsidRPr="00DA7619">
        <w:t xml:space="preserve">ks arise, </w:t>
      </w:r>
      <w:r w:rsidR="00AE7793">
        <w:t xml:space="preserve">and </w:t>
      </w:r>
      <w:r w:rsidR="00AE7793" w:rsidRPr="00DA7619">
        <w:t xml:space="preserve">we </w:t>
      </w:r>
      <w:r w:rsidR="00AE7793">
        <w:t xml:space="preserve">will have </w:t>
      </w:r>
      <w:r w:rsidR="00AE7793" w:rsidRPr="00DA7619">
        <w:t xml:space="preserve">need </w:t>
      </w:r>
      <w:r w:rsidR="00AE7793">
        <w:t xml:space="preserve">of </w:t>
      </w:r>
      <w:r w:rsidR="00AE7793" w:rsidRPr="00DA7619">
        <w:t xml:space="preserve">the same </w:t>
      </w:r>
      <w:r w:rsidR="00AE7793">
        <w:t>modality for TA.”</w:t>
      </w:r>
    </w:p>
    <w:p w:rsidR="002702ED" w:rsidRPr="00DA7619" w:rsidRDefault="002702ED" w:rsidP="0055608D">
      <w:pPr>
        <w:pStyle w:val="Heading4"/>
        <w:numPr>
          <w:ilvl w:val="3"/>
          <w:numId w:val="4"/>
        </w:numPr>
      </w:pPr>
      <w:bookmarkStart w:id="24" w:name="_Toc325940185"/>
      <w:r w:rsidRPr="00DA7619">
        <w:t xml:space="preserve">KACST supported to establish Open Source Software Center </w:t>
      </w:r>
      <w:r w:rsidR="00B27116" w:rsidRPr="00DA7619">
        <w:t xml:space="preserve">and </w:t>
      </w:r>
      <w:r w:rsidRPr="00DA7619">
        <w:t xml:space="preserve">to promote </w:t>
      </w:r>
      <w:r w:rsidR="00B27116" w:rsidRPr="00DA7619">
        <w:t>the o</w:t>
      </w:r>
      <w:r w:rsidRPr="00DA7619">
        <w:t>pen source concept</w:t>
      </w:r>
      <w:bookmarkEnd w:id="24"/>
    </w:p>
    <w:p w:rsidR="00D4031F" w:rsidRDefault="00B27116" w:rsidP="00B27116">
      <w:r w:rsidRPr="00DA7619">
        <w:t xml:space="preserve">The </w:t>
      </w:r>
      <w:r w:rsidR="00534CEC">
        <w:t xml:space="preserve">Evaluation mission learned that the </w:t>
      </w:r>
      <w:r w:rsidRPr="00DA7619">
        <w:t xml:space="preserve">project was conceived of in 2008, but got off the ground only in </w:t>
      </w:r>
      <w:r w:rsidR="00D4031F" w:rsidRPr="00DA7619">
        <w:t>2010.</w:t>
      </w:r>
      <w:r w:rsidR="00D4031F">
        <w:t xml:space="preserve">  During discussions, project managers noted that it is not unusual for complex or new-concept projects to reach the inception stage:  government may take some time, understandable, </w:t>
      </w:r>
      <w:r w:rsidRPr="00DA7619">
        <w:t xml:space="preserve">to make decisions, to sign off, and to arrange for funding. </w:t>
      </w:r>
      <w:r w:rsidR="00D4031F">
        <w:t xml:space="preserve"> The Open Source Software </w:t>
      </w:r>
      <w:r w:rsidR="00B230B0">
        <w:t xml:space="preserve">(OSS) </w:t>
      </w:r>
      <w:r w:rsidR="00D4031F">
        <w:t xml:space="preserve">Center embodied a new idea, </w:t>
      </w:r>
      <w:r w:rsidR="008566BA">
        <w:t xml:space="preserve">which </w:t>
      </w:r>
      <w:r w:rsidR="00D4031F">
        <w:t xml:space="preserve">for </w:t>
      </w:r>
      <w:r w:rsidR="008566BA">
        <w:t xml:space="preserve">some seemed </w:t>
      </w:r>
      <w:r w:rsidR="00D4031F">
        <w:t>counterintuitive to accepted business practices</w:t>
      </w:r>
      <w:r w:rsidR="005B14EE">
        <w:t xml:space="preserve"> and the dominance of proprietary software</w:t>
      </w:r>
      <w:r w:rsidR="00D4031F">
        <w:t xml:space="preserve">.  </w:t>
      </w:r>
    </w:p>
    <w:p w:rsidR="002754A4" w:rsidRDefault="002754A4" w:rsidP="00B27116">
      <w:r>
        <w:t xml:space="preserve">As described on the UNDP portal, King Abdul Aziz City for Science and Technology (KACST) is working towards establishing a national OSS centre that will act as a single point of reference focusing on coordinating and facilitating development and implementation of OSS for the public sector in SA. </w:t>
      </w:r>
    </w:p>
    <w:p w:rsidR="005D1F57" w:rsidRDefault="00B230B0" w:rsidP="00B230B0">
      <w:r>
        <w:lastRenderedPageBreak/>
        <w:t xml:space="preserve">OSS, as defined in </w:t>
      </w:r>
      <w:r w:rsidR="00014CA1">
        <w:t>standard</w:t>
      </w:r>
      <w:r>
        <w:t xml:space="preserve"> references, </w:t>
      </w:r>
      <w:r w:rsidRPr="00D40B4C">
        <w:t xml:space="preserve">is </w:t>
      </w:r>
      <w:hyperlink r:id="rId11" w:tooltip="Computer software" w:history="1">
        <w:r w:rsidRPr="00D40B4C">
          <w:rPr>
            <w:rStyle w:val="Hyperlink"/>
            <w:color w:val="auto"/>
            <w:u w:val="none"/>
          </w:rPr>
          <w:t>computer software</w:t>
        </w:r>
      </w:hyperlink>
      <w:r w:rsidRPr="00D40B4C">
        <w:t xml:space="preserve"> that is available</w:t>
      </w:r>
      <w:r w:rsidR="005D1F57">
        <w:t xml:space="preserve"> to all users.  It is accessible because</w:t>
      </w:r>
      <w:r w:rsidRPr="00D40B4C">
        <w:t xml:space="preserve"> the </w:t>
      </w:r>
      <w:hyperlink r:id="rId12" w:tooltip="Source code" w:history="1">
        <w:r w:rsidRPr="00D40B4C">
          <w:rPr>
            <w:rStyle w:val="Hyperlink"/>
            <w:color w:val="auto"/>
            <w:u w:val="none"/>
          </w:rPr>
          <w:t>source code</w:t>
        </w:r>
      </w:hyperlink>
      <w:r w:rsidRPr="00D40B4C">
        <w:t xml:space="preserve"> and certain other rights normally reserved for </w:t>
      </w:r>
      <w:hyperlink r:id="rId13" w:tooltip="Copyright" w:history="1">
        <w:r w:rsidRPr="00D40B4C">
          <w:rPr>
            <w:rStyle w:val="Hyperlink"/>
            <w:color w:val="auto"/>
            <w:u w:val="none"/>
          </w:rPr>
          <w:t>copyright</w:t>
        </w:r>
      </w:hyperlink>
      <w:r w:rsidRPr="00D40B4C">
        <w:t xml:space="preserve"> holders are provided under an </w:t>
      </w:r>
      <w:hyperlink r:id="rId14" w:tooltip="Open-source license" w:history="1">
        <w:r w:rsidRPr="00D40B4C">
          <w:rPr>
            <w:rStyle w:val="Hyperlink"/>
            <w:color w:val="auto"/>
            <w:u w:val="none"/>
          </w:rPr>
          <w:t>open-source license</w:t>
        </w:r>
      </w:hyperlink>
      <w:r w:rsidRPr="00D40B4C">
        <w:t xml:space="preserve"> that permits users to study, change, improve and at times also to distribute the software.</w:t>
      </w:r>
      <w:r w:rsidR="005D1F57">
        <w:t xml:space="preserve">  Of particular interest to innovators in SA institutions focusing on IT, </w:t>
      </w:r>
      <w:r w:rsidR="007C211F">
        <w:t xml:space="preserve">OSS </w:t>
      </w:r>
      <w:r w:rsidRPr="00D40B4C">
        <w:t xml:space="preserve">is very often developed in a public, </w:t>
      </w:r>
      <w:hyperlink r:id="rId15" w:tooltip="Collaborative software development model" w:history="1">
        <w:r w:rsidRPr="00D40B4C">
          <w:rPr>
            <w:rStyle w:val="Hyperlink"/>
            <w:color w:val="auto"/>
            <w:u w:val="none"/>
          </w:rPr>
          <w:t>collaborative</w:t>
        </w:r>
      </w:hyperlink>
      <w:r w:rsidRPr="00D40B4C">
        <w:t xml:space="preserve"> manner. </w:t>
      </w:r>
      <w:r w:rsidR="008E60C1">
        <w:t xml:space="preserve"> The SA project is located in the King Abdulaziz Center for Science and Technology (KACST).</w:t>
      </w:r>
    </w:p>
    <w:p w:rsidR="002754A4" w:rsidRDefault="008E60C1" w:rsidP="002754A4">
      <w:r>
        <w:t xml:space="preserve">Project participants working at KACST explained some of the potential attractions of OSS for Saudi firms and agencies.  </w:t>
      </w:r>
    </w:p>
    <w:p w:rsidR="00EA2824" w:rsidRDefault="007B4F96" w:rsidP="0055608D">
      <w:pPr>
        <w:pStyle w:val="ListParagraph"/>
        <w:numPr>
          <w:ilvl w:val="0"/>
          <w:numId w:val="8"/>
        </w:numPr>
        <w:ind w:left="360"/>
      </w:pPr>
      <w:r>
        <w:t>As an ICT development</w:t>
      </w:r>
      <w:r w:rsidR="00EA2824">
        <w:t xml:space="preserve"> strategy, the OSS approach has several important features.  As </w:t>
      </w:r>
      <w:r w:rsidRPr="00DA7619">
        <w:t>a matter of security</w:t>
      </w:r>
      <w:r w:rsidR="00EA2824">
        <w:t xml:space="preserve">, SA is </w:t>
      </w:r>
      <w:r w:rsidRPr="00DA7619">
        <w:t xml:space="preserve">not </w:t>
      </w:r>
      <w:r w:rsidR="00EA2824">
        <w:t xml:space="preserve">best served by </w:t>
      </w:r>
      <w:r w:rsidRPr="00DA7619">
        <w:t>having companies and the country dependent on one or a few software suppliers</w:t>
      </w:r>
    </w:p>
    <w:p w:rsidR="00EA2824" w:rsidRDefault="00EA2824" w:rsidP="0055608D">
      <w:pPr>
        <w:pStyle w:val="ListParagraph"/>
        <w:numPr>
          <w:ilvl w:val="0"/>
          <w:numId w:val="8"/>
        </w:numPr>
        <w:ind w:left="360"/>
      </w:pPr>
      <w:r>
        <w:t>Expanding use of OSS can be an asset for job creation</w:t>
      </w:r>
      <w:r w:rsidR="007B4F96" w:rsidRPr="00DA7619">
        <w:t xml:space="preserve">:  </w:t>
      </w:r>
      <w:r>
        <w:t>“T</w:t>
      </w:r>
      <w:r w:rsidR="007B4F96" w:rsidRPr="00DA7619">
        <w:t xml:space="preserve">here will be </w:t>
      </w:r>
      <w:r>
        <w:t xml:space="preserve">less </w:t>
      </w:r>
      <w:r w:rsidR="007B4F96" w:rsidRPr="00DA7619">
        <w:t>need to outsource specialization once we have created the skills pool here</w:t>
      </w:r>
      <w:r>
        <w:t>.”</w:t>
      </w:r>
    </w:p>
    <w:p w:rsidR="007B4F96" w:rsidRPr="00DA7619" w:rsidRDefault="00EA2824" w:rsidP="0055608D">
      <w:pPr>
        <w:pStyle w:val="ListParagraph"/>
        <w:numPr>
          <w:ilvl w:val="0"/>
          <w:numId w:val="8"/>
        </w:numPr>
        <w:ind w:left="360"/>
      </w:pPr>
      <w:r>
        <w:t>Importantly, going this route</w:t>
      </w:r>
      <w:r w:rsidR="007B4F96" w:rsidRPr="00DA7619">
        <w:t xml:space="preserve"> is a matter of innovation and creativity:  </w:t>
      </w:r>
      <w:r>
        <w:t>“W</w:t>
      </w:r>
      <w:r w:rsidR="007B4F96" w:rsidRPr="00DA7619">
        <w:t>hen we have our own source code we can do whatever we want</w:t>
      </w:r>
      <w:r>
        <w:t>.”</w:t>
      </w:r>
    </w:p>
    <w:p w:rsidR="00B230B0" w:rsidRPr="00D40B4C" w:rsidRDefault="00EA2824" w:rsidP="00B230B0">
      <w:r>
        <w:t xml:space="preserve">OSS may prove a boon to new adopters.  Some </w:t>
      </w:r>
      <w:r w:rsidR="00B230B0" w:rsidRPr="00D40B4C">
        <w:t>report</w:t>
      </w:r>
      <w:r>
        <w:t>s in the US have stated</w:t>
      </w:r>
      <w:r w:rsidR="00B230B0" w:rsidRPr="00D40B4C">
        <w:t xml:space="preserve"> that adoption of open-source software models has resulted in savings of about $60 billion per year to </w:t>
      </w:r>
      <w:r w:rsidR="007C211F">
        <w:t>American users</w:t>
      </w:r>
      <w:r>
        <w:t>.</w:t>
      </w:r>
    </w:p>
    <w:p w:rsidR="00B27116" w:rsidRDefault="00F14744" w:rsidP="00B27116">
      <w:r>
        <w:t xml:space="preserve">Recognizing senior </w:t>
      </w:r>
      <w:r w:rsidRPr="00DA7619">
        <w:t>management</w:t>
      </w:r>
      <w:r>
        <w:t>’s hesitancy to fully</w:t>
      </w:r>
      <w:r w:rsidRPr="00DA7619">
        <w:t xml:space="preserve"> support</w:t>
      </w:r>
      <w:r>
        <w:t xml:space="preserve"> the concept in the early years, </w:t>
      </w:r>
      <w:r w:rsidR="00EA2824">
        <w:t xml:space="preserve">the </w:t>
      </w:r>
      <w:r w:rsidR="00014CA1">
        <w:t>KACST team</w:t>
      </w:r>
      <w:r>
        <w:t xml:space="preserve"> </w:t>
      </w:r>
      <w:r w:rsidR="00EA2824">
        <w:t>decid</w:t>
      </w:r>
      <w:r w:rsidR="002754A4">
        <w:t xml:space="preserve">ed to begin with a small pilot </w:t>
      </w:r>
      <w:r>
        <w:t>–</w:t>
      </w:r>
      <w:r w:rsidR="002754A4">
        <w:t xml:space="preserve"> </w:t>
      </w:r>
      <w:r>
        <w:t>UNDP</w:t>
      </w:r>
      <w:r w:rsidR="002754A4">
        <w:t xml:space="preserve"> assistance </w:t>
      </w:r>
      <w:r>
        <w:t>to prepare</w:t>
      </w:r>
      <w:r w:rsidR="002754A4">
        <w:t xml:space="preserve"> a project document to design the main activities and results for a joint development programme between KACST and UNDP.  Staff explained to the mission that o</w:t>
      </w:r>
      <w:r w:rsidR="00B27116" w:rsidRPr="00DA7619">
        <w:t xml:space="preserve">nce </w:t>
      </w:r>
      <w:r w:rsidR="002754A4">
        <w:t xml:space="preserve">management has the opportunities to see the success of </w:t>
      </w:r>
      <w:r w:rsidR="00B27116" w:rsidRPr="00DA7619">
        <w:t xml:space="preserve">the pilot, </w:t>
      </w:r>
      <w:r w:rsidR="002754A4">
        <w:t>“</w:t>
      </w:r>
      <w:r w:rsidR="00B27116" w:rsidRPr="00DA7619">
        <w:t>support will be much more forthcoming.</w:t>
      </w:r>
      <w:r w:rsidR="002754A4">
        <w:t>”</w:t>
      </w:r>
      <w:r w:rsidR="00B27116" w:rsidRPr="00DA7619">
        <w:t xml:space="preserve">  </w:t>
      </w:r>
      <w:r w:rsidR="002754A4">
        <w:t xml:space="preserve">They </w:t>
      </w:r>
      <w:r w:rsidR="005A6B25">
        <w:t xml:space="preserve">noted that the concept </w:t>
      </w:r>
      <w:r>
        <w:t xml:space="preserve">launch </w:t>
      </w:r>
      <w:r w:rsidR="005A6B25">
        <w:t>had been helped by its relationship with g</w:t>
      </w:r>
      <w:r w:rsidR="00B27116" w:rsidRPr="00DA7619">
        <w:t xml:space="preserve">overnment </w:t>
      </w:r>
      <w:r w:rsidR="005A6B25">
        <w:t xml:space="preserve">as </w:t>
      </w:r>
      <w:r w:rsidR="00B27116" w:rsidRPr="00DA7619">
        <w:t xml:space="preserve">the driver for this phase, but </w:t>
      </w:r>
      <w:r w:rsidR="00DE700B">
        <w:t xml:space="preserve">felt confident that </w:t>
      </w:r>
      <w:r w:rsidR="00B27116" w:rsidRPr="00DA7619">
        <w:t xml:space="preserve">the drivers for the next phase </w:t>
      </w:r>
      <w:r w:rsidR="00DE700B">
        <w:t>would</w:t>
      </w:r>
      <w:r w:rsidR="00B27116" w:rsidRPr="00DA7619">
        <w:t xml:space="preserve"> be the </w:t>
      </w:r>
      <w:r>
        <w:t>evidence collected in real time</w:t>
      </w:r>
      <w:r w:rsidR="00DE700B">
        <w:t xml:space="preserve">.  In cooperation with a survey firm, the pilot had begun a </w:t>
      </w:r>
      <w:r w:rsidR="00B27116" w:rsidRPr="00DA7619">
        <w:t xml:space="preserve">survey of users of OSS, </w:t>
      </w:r>
      <w:r w:rsidR="00DE700B">
        <w:t xml:space="preserve">to map specific future directions in which </w:t>
      </w:r>
      <w:r w:rsidR="00B27116" w:rsidRPr="00DA7619">
        <w:t>to extend the project</w:t>
      </w:r>
      <w:r w:rsidR="00DE700B">
        <w:t>, based on user needs and ideas</w:t>
      </w:r>
      <w:r w:rsidR="00B27116" w:rsidRPr="00DA7619">
        <w:t>.</w:t>
      </w:r>
    </w:p>
    <w:p w:rsidR="00014CA1" w:rsidRDefault="00F14744" w:rsidP="00DE700B">
      <w:r>
        <w:t>As it expands, t</w:t>
      </w:r>
      <w:r w:rsidR="00DE700B">
        <w:t xml:space="preserve">he KACST project will play a role in SA’s model of software adoption, which is one of the fastest advances in the region as computer connectivity becomes universal.  The designers were determined that is not in the Kingdom’s interest to </w:t>
      </w:r>
      <w:r w:rsidR="00B27116" w:rsidRPr="00DA7619">
        <w:t xml:space="preserve">go the route of </w:t>
      </w:r>
      <w:r w:rsidR="00DE700B">
        <w:t xml:space="preserve">freely </w:t>
      </w:r>
      <w:r w:rsidR="00B27116" w:rsidRPr="00DA7619">
        <w:t xml:space="preserve">pirating </w:t>
      </w:r>
      <w:r w:rsidR="00DE700B">
        <w:t>software, as has become the standard procedure in some regions.  They deemed this question</w:t>
      </w:r>
      <w:r w:rsidR="009E6A51">
        <w:t xml:space="preserve"> a moral issue, in so far as the legitimate author rights of OSS could not be defended if its developers did not respect licensing protocols, and such flouting of regulation could destroy the nasce</w:t>
      </w:r>
      <w:r w:rsidR="00014CA1">
        <w:t>nt industry in SA, a new player</w:t>
      </w:r>
      <w:r w:rsidR="009E6A51">
        <w:t xml:space="preserve"> </w:t>
      </w:r>
      <w:r w:rsidR="007D6549">
        <w:fldChar w:fldCharType="begin"/>
      </w:r>
      <w:r w:rsidR="00DB11E7">
        <w:instrText xml:space="preserve"> ADDIN EN.CITE &lt;EndNote&gt;&lt;Cite&gt;&lt;Author&gt;OSI&lt;/Author&gt;&lt;Year&gt;2010&lt;/Year&gt;&lt;RecNum&gt;1091&lt;/RecNum&gt;&lt;Prefix&gt;OSS regulatory protocols are described in &lt;/Prefix&gt;&lt;record&gt;&lt;rec-number&gt;1091&lt;/rec-number&gt;&lt;ref-type name="Electronic Source"&gt;12&lt;/ref-type&gt;&lt;contributors&gt;&lt;authors&gt;&lt;author&gt;OSI,&lt;/author&gt;&lt;/authors&gt;&lt;/contributors&gt;&lt;titles&gt;&lt;title&gt;The Open Source Definition&lt;/title&gt;&lt;secondary-title&gt;The Open Source Initiative&lt;/secondary-title&gt;&lt;/titles&gt;&lt;volume&gt;2012&lt;/volume&gt;&lt;dates&gt;&lt;year&gt;2010&lt;/year&gt;&lt;/dates&gt;&lt;pub-location&gt;San Francisco&lt;/pub-location&gt;&lt;urls&gt;&lt;related-urls&gt;&lt;url&gt;http://www.opensource.org/&lt;/url&gt;&lt;/related-urls&gt;&lt;/urls&gt;&lt;/record&gt;&lt;/Cite&gt;&lt;/EndNote&gt;</w:instrText>
      </w:r>
      <w:r w:rsidR="007D6549">
        <w:fldChar w:fldCharType="separate"/>
      </w:r>
      <w:r w:rsidR="00014CA1">
        <w:t>(OSS regulatory protocols are described in OSI 2010)</w:t>
      </w:r>
      <w:r w:rsidR="007D6549">
        <w:fldChar w:fldCharType="end"/>
      </w:r>
      <w:r w:rsidR="00014CA1">
        <w:t>.</w:t>
      </w:r>
    </w:p>
    <w:p w:rsidR="009E6A51" w:rsidRDefault="009E6A51" w:rsidP="00DE700B">
      <w:r>
        <w:t xml:space="preserve">A further key point is that the government has a preponderant share in the sector; that is, </w:t>
      </w:r>
      <w:r w:rsidRPr="00DA7619">
        <w:t xml:space="preserve">the </w:t>
      </w:r>
      <w:r>
        <w:t xml:space="preserve">software </w:t>
      </w:r>
      <w:r w:rsidRPr="00DA7619">
        <w:t xml:space="preserve">market is more driven by the government than by </w:t>
      </w:r>
      <w:r>
        <w:t xml:space="preserve">individual users.  This being said, government has no interest in </w:t>
      </w:r>
      <w:r w:rsidRPr="00DA7619">
        <w:t>caus</w:t>
      </w:r>
      <w:r>
        <w:t>ing its constituency</w:t>
      </w:r>
      <w:r w:rsidRPr="00DA7619">
        <w:t xml:space="preserve"> to pay to communicate with the</w:t>
      </w:r>
      <w:r>
        <w:t>ir</w:t>
      </w:r>
      <w:r w:rsidRPr="00DA7619">
        <w:t xml:space="preserve"> government.  </w:t>
      </w:r>
    </w:p>
    <w:p w:rsidR="00051B92" w:rsidRPr="00DA7619" w:rsidRDefault="00F14744" w:rsidP="00051B92">
      <w:r>
        <w:t xml:space="preserve">Following on the directions shown by the survey of 250,000 on-line respondents, project leaders hope to develop OSS training courses and to foster a critical mass of users to build confidence in the potential of the approach.  </w:t>
      </w:r>
      <w:r w:rsidR="00051B92">
        <w:t xml:space="preserve">This will help draw clients </w:t>
      </w:r>
      <w:r w:rsidR="00051B92" w:rsidRPr="00DA7619">
        <w:t>in the private sector</w:t>
      </w:r>
      <w:r w:rsidR="00051B92">
        <w:t xml:space="preserve">, who will in turn become the true drivers of further take-up of OSS.  The concept may prove to be a win-win experience for job </w:t>
      </w:r>
      <w:r w:rsidR="00051B92">
        <w:lastRenderedPageBreak/>
        <w:t xml:space="preserve">seekers and skills buyers in the xx Saudi market which, staff explained, </w:t>
      </w:r>
      <w:r w:rsidR="00051B92" w:rsidRPr="00DA7619">
        <w:t>lacks technical people in many software areas</w:t>
      </w:r>
      <w:r w:rsidR="00051B92">
        <w:t>.</w:t>
      </w:r>
    </w:p>
    <w:p w:rsidR="00051B92" w:rsidRDefault="00051B92" w:rsidP="00051B92">
      <w:r>
        <w:t>Next steps as this project continues in the 2012-17 CPD include d</w:t>
      </w:r>
      <w:r w:rsidRPr="00DA7619">
        <w:t xml:space="preserve">eveloping programming standards with partners, </w:t>
      </w:r>
      <w:r>
        <w:t>training teams in countries where OSS is widely used (one team is currently training in India</w:t>
      </w:r>
      <w:r w:rsidR="00293302">
        <w:t xml:space="preserve">, and the project is working with Red Hat, the </w:t>
      </w:r>
      <w:r w:rsidR="00293302" w:rsidRPr="00DA7619">
        <w:t>world’s open source lead</w:t>
      </w:r>
      <w:r w:rsidR="00293302">
        <w:t>e</w:t>
      </w:r>
      <w:r w:rsidR="00293302" w:rsidRPr="00DA7619">
        <w:t>r</w:t>
      </w:r>
      <w:r w:rsidR="00293302">
        <w:t>, on new applications</w:t>
      </w:r>
      <w:r>
        <w:t>), and pursuing the initiative in practical directions (</w:t>
      </w:r>
      <w:r w:rsidRPr="00DA7619">
        <w:t>fixing bugs, exploring other applications</w:t>
      </w:r>
      <w:r w:rsidR="00293302">
        <w:t xml:space="preserve">) as one track.  In parallel, the team hopes </w:t>
      </w:r>
      <w:r w:rsidR="00293302" w:rsidRPr="00DA7619">
        <w:t xml:space="preserve">to develop one agency within government </w:t>
      </w:r>
      <w:r w:rsidR="00293302">
        <w:t xml:space="preserve">(such as the government-sponsored </w:t>
      </w:r>
      <w:r w:rsidR="00293302" w:rsidRPr="00DA7619">
        <w:t>Vocational Training Agency</w:t>
      </w:r>
      <w:r w:rsidR="00293302">
        <w:t xml:space="preserve">) that can act </w:t>
      </w:r>
      <w:r w:rsidR="00293302" w:rsidRPr="00DA7619">
        <w:t xml:space="preserve">as a support unit for </w:t>
      </w:r>
      <w:r w:rsidR="00293302">
        <w:t>OSS in all ministries</w:t>
      </w:r>
      <w:r w:rsidR="00293302" w:rsidRPr="00DA7619">
        <w:t xml:space="preserve">.  </w:t>
      </w:r>
      <w:r w:rsidR="00293302">
        <w:t>Such a move could enable OSS to take off, with a solid client base and efficient support services.</w:t>
      </w:r>
    </w:p>
    <w:p w:rsidR="002702ED" w:rsidRPr="00DA7619" w:rsidRDefault="002702ED" w:rsidP="0055608D">
      <w:pPr>
        <w:pStyle w:val="Heading4"/>
        <w:numPr>
          <w:ilvl w:val="3"/>
          <w:numId w:val="4"/>
        </w:numPr>
      </w:pPr>
      <w:bookmarkStart w:id="25" w:name="_Toc325940186"/>
      <w:r w:rsidRPr="00DA7619">
        <w:t>Public institutions more responsive to clients’ demand for quality and efficient services in terms of costs and timeliness</w:t>
      </w:r>
      <w:bookmarkEnd w:id="25"/>
    </w:p>
    <w:p w:rsidR="00016108" w:rsidRPr="00DA7619" w:rsidRDefault="0055044E" w:rsidP="0055044E">
      <w:r w:rsidRPr="00DA7619">
        <w:t xml:space="preserve">This final output is a statement of </w:t>
      </w:r>
      <w:r w:rsidR="00655B55">
        <w:t xml:space="preserve">the </w:t>
      </w:r>
      <w:r w:rsidRPr="00DA7619">
        <w:t xml:space="preserve">over-arching </w:t>
      </w:r>
      <w:r w:rsidR="004D3E6E" w:rsidRPr="00DA7619">
        <w:t xml:space="preserve">objectives </w:t>
      </w:r>
      <w:r w:rsidR="00655B55">
        <w:t xml:space="preserve">and theme </w:t>
      </w:r>
      <w:r w:rsidR="004D3E6E" w:rsidRPr="00DA7619">
        <w:t xml:space="preserve">of Outcome 3.  </w:t>
      </w:r>
      <w:r w:rsidR="00500F1D" w:rsidRPr="00DA7619">
        <w:t xml:space="preserve">Indicators of the increased responsiveness of public institutions, and of improved public sector performance as a whole, have been noted in the preceding sub-sections, and include:  </w:t>
      </w:r>
    </w:p>
    <w:p w:rsidR="00500F1D" w:rsidRPr="00DA7619" w:rsidRDefault="00500F1D" w:rsidP="0055608D">
      <w:pPr>
        <w:pStyle w:val="ListParagraph"/>
        <w:numPr>
          <w:ilvl w:val="0"/>
          <w:numId w:val="7"/>
        </w:numPr>
      </w:pPr>
      <w:r w:rsidRPr="00DA7619">
        <w:t xml:space="preserve">The excellent ranking achieved by KSA in a number of global performance indicators, such as the </w:t>
      </w:r>
      <w:r w:rsidR="00E8294B" w:rsidRPr="00DA7619">
        <w:rPr>
          <w:lang w:eastAsia="en-CA"/>
        </w:rPr>
        <w:t>United Nation</w:t>
      </w:r>
      <w:r w:rsidR="00E8294B">
        <w:rPr>
          <w:lang w:eastAsia="en-CA"/>
        </w:rPr>
        <w:t>s</w:t>
      </w:r>
      <w:r w:rsidR="00E8294B" w:rsidRPr="00DA7619">
        <w:rPr>
          <w:lang w:eastAsia="en-CA"/>
        </w:rPr>
        <w:t xml:space="preserve"> e-Government Survey</w:t>
      </w:r>
      <w:r w:rsidRPr="00DA7619">
        <w:t xml:space="preserve">, the WEF </w:t>
      </w:r>
      <w:r w:rsidR="00E8294B" w:rsidRPr="00DA7619">
        <w:rPr>
          <w:lang w:eastAsia="en-CA"/>
        </w:rPr>
        <w:t>Network Readiness Index</w:t>
      </w:r>
      <w:r w:rsidRPr="00DA7619">
        <w:t xml:space="preserve">, and the WB group’s Doing Business Report.  </w:t>
      </w:r>
    </w:p>
    <w:p w:rsidR="00500F1D" w:rsidRPr="00DA7619" w:rsidRDefault="00500F1D" w:rsidP="0055608D">
      <w:pPr>
        <w:pStyle w:val="ListParagraph"/>
        <w:numPr>
          <w:ilvl w:val="0"/>
          <w:numId w:val="7"/>
        </w:numPr>
      </w:pPr>
      <w:r w:rsidRPr="00DA7619">
        <w:t xml:space="preserve">The record numbers of public e-transactions, such as the issuance of </w:t>
      </w:r>
      <w:r w:rsidR="00C15754" w:rsidRPr="00DA7619">
        <w:t>more than eight million e-visas in 2010 by MOFA, testifying to more efficient interactions of the global co</w:t>
      </w:r>
      <w:r w:rsidR="00655B55">
        <w:t>mmunity with the KSA government, and an improved capability to provide customer satisfaction</w:t>
      </w:r>
    </w:p>
    <w:p w:rsidR="00C3471E" w:rsidRPr="00DA7619" w:rsidRDefault="00C87D9E" w:rsidP="00607534">
      <w:pPr>
        <w:ind w:left="90"/>
      </w:pPr>
      <w:r>
        <w:t>That said, the one area where targets have not yet been achieved, that of increased voter turnout in municipal elections, paired with the target for “an i</w:t>
      </w:r>
      <w:r w:rsidRPr="00FD11AB">
        <w:t xml:space="preserve">ncreased level of satisfaction </w:t>
      </w:r>
      <w:r>
        <w:t xml:space="preserve">on the part of the </w:t>
      </w:r>
      <w:r w:rsidRPr="00FD11AB">
        <w:t xml:space="preserve">public and </w:t>
      </w:r>
      <w:r>
        <w:t xml:space="preserve">of </w:t>
      </w:r>
      <w:r w:rsidRPr="00FD11AB">
        <w:t xml:space="preserve">candidates with </w:t>
      </w:r>
      <w:r>
        <w:t xml:space="preserve">the municipal elections process” remains a goal for </w:t>
      </w:r>
      <w:r w:rsidR="00607534">
        <w:t xml:space="preserve">the next period.  Among the set of indicators for Outcome 3, these are </w:t>
      </w:r>
      <w:r>
        <w:t xml:space="preserve">the only </w:t>
      </w:r>
      <w:r w:rsidR="00607534">
        <w:t xml:space="preserve">ones </w:t>
      </w:r>
      <w:r>
        <w:t xml:space="preserve">that provide an empirical measure of </w:t>
      </w:r>
      <w:r w:rsidR="00607534">
        <w:t>performance not in efficiency terms but in terms of public</w:t>
      </w:r>
      <w:r>
        <w:t xml:space="preserve"> </w:t>
      </w:r>
      <w:r w:rsidR="00607534">
        <w:t>approval.</w:t>
      </w:r>
    </w:p>
    <w:p w:rsidR="00C3471E" w:rsidRPr="00DA7619" w:rsidRDefault="00C3471E" w:rsidP="0055608D">
      <w:pPr>
        <w:pStyle w:val="Heading2"/>
        <w:numPr>
          <w:ilvl w:val="0"/>
          <w:numId w:val="4"/>
        </w:numPr>
      </w:pPr>
      <w:bookmarkStart w:id="26" w:name="_Toc325940187"/>
      <w:r w:rsidRPr="00DA7619">
        <w:t>Factors affecting the Outcome</w:t>
      </w:r>
      <w:bookmarkEnd w:id="26"/>
    </w:p>
    <w:p w:rsidR="00C3471E" w:rsidRPr="00DA7619" w:rsidRDefault="00CD6B55" w:rsidP="00CD6B55">
      <w:r w:rsidRPr="00DA7619">
        <w:rPr>
          <w:rFonts w:cs="TimesNewRoman,Bold"/>
          <w:bCs/>
        </w:rPr>
        <w:t>When the CPD stated the task of the coming period, it laid emphasis on the need for p</w:t>
      </w:r>
      <w:r w:rsidRPr="00DA7619">
        <w:t xml:space="preserve">ublic institutions at the national and regional levels to develop more capacity to respond to citizens’ needs in quality and effectiveness of services.  It highlighted the prevailing </w:t>
      </w:r>
      <w:r w:rsidR="00E56FBA" w:rsidRPr="00DA7619">
        <w:t>condition that</w:t>
      </w:r>
      <w:r w:rsidRPr="00DA7619">
        <w:t xml:space="preserve"> delivering a high quality of services over a vast territory and dispersed but mobile population would continue to face challenges.  The country is experiencing </w:t>
      </w:r>
      <w:r w:rsidR="00EE67D5" w:rsidRPr="00DA7619">
        <w:t xml:space="preserve">rapid </w:t>
      </w:r>
      <w:r w:rsidRPr="00DA7619">
        <w:t>population growth</w:t>
      </w:r>
      <w:r w:rsidR="00EE67D5" w:rsidRPr="00DA7619">
        <w:t>,</w:t>
      </w:r>
      <w:r w:rsidRPr="00DA7619">
        <w:t xml:space="preserve"> and </w:t>
      </w:r>
      <w:r w:rsidR="00EE67D5" w:rsidRPr="00DA7619">
        <w:t xml:space="preserve">a need for continued but measured </w:t>
      </w:r>
      <w:r w:rsidRPr="00DA7619">
        <w:t>regional development</w:t>
      </w:r>
      <w:r w:rsidR="00EE67D5" w:rsidRPr="00DA7619">
        <w:t xml:space="preserve">.  </w:t>
      </w:r>
    </w:p>
    <w:p w:rsidR="00C3471E" w:rsidRPr="00DA7619" w:rsidRDefault="00C3471E" w:rsidP="0055608D">
      <w:pPr>
        <w:pStyle w:val="Heading3"/>
        <w:numPr>
          <w:ilvl w:val="1"/>
          <w:numId w:val="4"/>
        </w:numPr>
      </w:pPr>
      <w:bookmarkStart w:id="27" w:name="_Toc325940188"/>
      <w:r w:rsidRPr="00DA7619">
        <w:t>Gro</w:t>
      </w:r>
      <w:r w:rsidR="002916D7">
        <w:t>wth and real incomes – pressure</w:t>
      </w:r>
      <w:r w:rsidRPr="00DA7619">
        <w:t xml:space="preserve"> on </w:t>
      </w:r>
      <w:r w:rsidR="00EE67D5" w:rsidRPr="00DA7619">
        <w:t xml:space="preserve">earners, </w:t>
      </w:r>
      <w:r w:rsidR="00655B55" w:rsidRPr="00DA7619">
        <w:t>clients and</w:t>
      </w:r>
      <w:r w:rsidR="00EE67D5" w:rsidRPr="00DA7619">
        <w:t xml:space="preserve"> households</w:t>
      </w:r>
      <w:bookmarkEnd w:id="27"/>
      <w:r w:rsidR="00EE67D5" w:rsidRPr="00DA7619">
        <w:t xml:space="preserve"> </w:t>
      </w:r>
    </w:p>
    <w:p w:rsidR="002D3FB3" w:rsidRPr="00DA7619" w:rsidRDefault="008A1C2C" w:rsidP="002D3FB3">
      <w:pPr>
        <w:rPr>
          <w:rFonts w:cs="TimesNewRoman"/>
        </w:rPr>
      </w:pPr>
      <w:r w:rsidRPr="00DA7619">
        <w:t xml:space="preserve">The CP period marked </w:t>
      </w:r>
      <w:r w:rsidR="00A95AE7" w:rsidRPr="00DA7619">
        <w:t xml:space="preserve">a time of real </w:t>
      </w:r>
      <w:r w:rsidR="00615F6A" w:rsidRPr="00DA7619">
        <w:t xml:space="preserve">economic </w:t>
      </w:r>
      <w:r w:rsidR="00A95AE7" w:rsidRPr="00DA7619">
        <w:t xml:space="preserve">growth and improving human development </w:t>
      </w:r>
      <w:r w:rsidR="002D3FB3" w:rsidRPr="00DA7619">
        <w:t>outcomes</w:t>
      </w:r>
      <w:r w:rsidR="00A95AE7" w:rsidRPr="00DA7619">
        <w:t xml:space="preserve">.  </w:t>
      </w:r>
      <w:r w:rsidR="00387A34" w:rsidRPr="00DA7619">
        <w:t>By</w:t>
      </w:r>
      <w:r w:rsidR="00803939" w:rsidRPr="00DA7619">
        <w:t xml:space="preserve"> 2011, </w:t>
      </w:r>
      <w:r w:rsidR="00803939" w:rsidRPr="00DA7619">
        <w:rPr>
          <w:rFonts w:cs="TimesNewRoman"/>
        </w:rPr>
        <w:t xml:space="preserve">the population </w:t>
      </w:r>
      <w:r w:rsidR="00545C23" w:rsidRPr="00DA7619">
        <w:rPr>
          <w:rFonts w:cs="TimesNewRoman"/>
        </w:rPr>
        <w:t>reached</w:t>
      </w:r>
      <w:r w:rsidR="00803939" w:rsidRPr="00DA7619">
        <w:rPr>
          <w:rFonts w:cs="TimesNewRoman"/>
        </w:rPr>
        <w:t xml:space="preserve"> 28</w:t>
      </w:r>
      <w:r w:rsidR="005F0AAA" w:rsidRPr="00DA7619">
        <w:rPr>
          <w:rFonts w:cs="TimesNewRoman"/>
        </w:rPr>
        <w:t xml:space="preserve">.4 million, </w:t>
      </w:r>
      <w:r w:rsidR="00A95AE7" w:rsidRPr="00DA7619">
        <w:rPr>
          <w:rFonts w:cs="TimesNewRoman"/>
        </w:rPr>
        <w:t xml:space="preserve">and real GDP </w:t>
      </w:r>
      <w:r w:rsidR="00615F6A" w:rsidRPr="00DA7619">
        <w:rPr>
          <w:rFonts w:cs="TimesNewRoman"/>
        </w:rPr>
        <w:t xml:space="preserve">annual growth </w:t>
      </w:r>
      <w:r w:rsidR="00243808" w:rsidRPr="00DA7619">
        <w:rPr>
          <w:rFonts w:cs="TimesNewRoman"/>
        </w:rPr>
        <w:t>over the term had averaged 3.6 percent</w:t>
      </w:r>
      <w:r w:rsidR="00270B9C" w:rsidRPr="00DA7619">
        <w:rPr>
          <w:rFonts w:cs="TimesNewRoman"/>
        </w:rPr>
        <w:t>.  Despite the global financial crisis, SA had not gone into recession</w:t>
      </w:r>
      <w:r w:rsidR="006C2157" w:rsidRPr="00DA7619">
        <w:rPr>
          <w:rFonts w:cs="TimesNewRoman"/>
        </w:rPr>
        <w:t xml:space="preserve"> (although growth in 2009 came very close to zero)</w:t>
      </w:r>
      <w:r w:rsidR="002D3FB3" w:rsidRPr="00DA7619">
        <w:rPr>
          <w:rFonts w:cs="TimesNewRoman"/>
        </w:rPr>
        <w:t xml:space="preserve">, and personal incomes were rising in excess of inflation </w:t>
      </w:r>
      <w:r w:rsidR="007D6549" w:rsidRPr="00DA7619">
        <w:rPr>
          <w:rFonts w:cs="TimesNewRoman"/>
        </w:rPr>
        <w:fldChar w:fldCharType="begin"/>
      </w:r>
      <w:r w:rsidR="00DB11E7">
        <w:rPr>
          <w:rFonts w:cs="TimesNewRoman"/>
        </w:rPr>
        <w:instrText xml:space="preserve"> ADDIN EN.CITE &lt;EndNote&gt;&lt;Cite&gt;&lt;Author&gt;Saudi Arabia Ministry of Economy and Planning&lt;/Author&gt;&lt;Year&gt;2012&lt;/Year&gt;&lt;RecNum&gt;1066&lt;/RecNum&gt;&lt;Suffix&gt; (MEP)&lt;/Suffix&gt;&lt;record&gt;&lt;rec-number&gt;1066&lt;/rec-number&gt;&lt;ref-type name="Online Database"&gt;45&lt;/ref-type&gt;&lt;contributors&gt;&lt;authors&gt;&lt;author&gt;Saudi Arabia Ministry of Economy and Planning,&lt;/author&gt;&lt;/authors&gt;&lt;/contributors&gt;&lt;titles&gt;&lt;title&gt;KSA Economy&lt;/title&gt;&lt;/titles&gt;&lt;dates&gt;&lt;year&gt;2012&lt;/year&gt;&lt;pub-dates&gt;&lt;date&gt;12 April 2012&lt;/date&gt;&lt;/pub-dates&gt;&lt;/dates&gt;&lt;publisher&gt;Kingdom of Saudi Arabia&lt;/publisher&gt;&lt;urls&gt;&lt;related-urls&gt;&lt;url&gt;http://www.mep.gov.sa/index.jsp;jsessionid=7587746E923F7BF1B822164456479332.beta?event=ArticleView&amp;amp;Article.ObjectID=45&lt;/url&gt;&lt;/related-urls&gt;&lt;/urls&gt;&lt;/record&gt;&lt;/Cite&gt;&lt;/EndNote&gt;</w:instrText>
      </w:r>
      <w:r w:rsidR="007D6549" w:rsidRPr="00DA7619">
        <w:rPr>
          <w:rFonts w:cs="TimesNewRoman"/>
        </w:rPr>
        <w:fldChar w:fldCharType="separate"/>
      </w:r>
      <w:r w:rsidR="002D3FB3" w:rsidRPr="00DA7619">
        <w:rPr>
          <w:rFonts w:cs="TimesNewRoman"/>
        </w:rPr>
        <w:t>(Saudi Arabia Ministry of Economy and Planning 2012 (MEP))</w:t>
      </w:r>
      <w:r w:rsidR="007D6549" w:rsidRPr="00DA7619">
        <w:rPr>
          <w:rFonts w:cs="TimesNewRoman"/>
        </w:rPr>
        <w:fldChar w:fldCharType="end"/>
      </w:r>
      <w:r w:rsidR="002D3FB3" w:rsidRPr="00DA7619">
        <w:rPr>
          <w:rFonts w:cs="TimesNewRoman"/>
        </w:rPr>
        <w:t>.</w:t>
      </w:r>
    </w:p>
    <w:p w:rsidR="00243808" w:rsidRPr="00DA7619" w:rsidRDefault="00243808" w:rsidP="00243808">
      <w:pPr>
        <w:pStyle w:val="Caption"/>
        <w:rPr>
          <w:rFonts w:cs="TimesNewRoman"/>
        </w:rPr>
      </w:pPr>
      <w:bookmarkStart w:id="28" w:name="_Toc325940217"/>
      <w:r w:rsidRPr="00DA7619">
        <w:t xml:space="preserve">Figure </w:t>
      </w:r>
      <w:r w:rsidR="00C3471E" w:rsidRPr="00DA7619">
        <w:t>4</w:t>
      </w:r>
      <w:r w:rsidR="0097348A" w:rsidRPr="00DA7619">
        <w:noBreakHyphen/>
      </w:r>
      <w:fldSimple w:instr=" SEQ Figure \* ARABIC \s 1 ">
        <w:r w:rsidR="0097348A" w:rsidRPr="00DA7619">
          <w:rPr>
            <w:noProof/>
          </w:rPr>
          <w:t>1</w:t>
        </w:r>
      </w:fldSimple>
      <w:r w:rsidRPr="00DA7619">
        <w:t>. Real GDP growth, 2007-2011</w:t>
      </w:r>
      <w:bookmarkEnd w:id="28"/>
    </w:p>
    <w:p w:rsidR="00A95AE7" w:rsidRPr="00DA7619" w:rsidRDefault="00A95AE7" w:rsidP="00270B9C">
      <w:pPr>
        <w:jc w:val="center"/>
        <w:rPr>
          <w:rFonts w:cs="TimesNewRoman"/>
        </w:rPr>
      </w:pPr>
      <w:r w:rsidRPr="00DA7619">
        <w:rPr>
          <w:rFonts w:cs="TimesNewRoman"/>
          <w:noProof/>
          <w:lang w:val="en-CA" w:eastAsia="en-CA"/>
        </w:rPr>
        <w:lastRenderedPageBreak/>
        <w:drawing>
          <wp:inline distT="0" distB="0" distL="0" distR="0">
            <wp:extent cx="4182015" cy="2346385"/>
            <wp:effectExtent l="19050" t="0" r="28035"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3808" w:rsidRPr="00DA7619" w:rsidRDefault="00243808" w:rsidP="00243808">
      <w:pPr>
        <w:rPr>
          <w:rFonts w:cs="TimesNewRoman"/>
        </w:rPr>
      </w:pPr>
      <w:r w:rsidRPr="00DA7619">
        <w:rPr>
          <w:rFonts w:cs="TimesNewRoman"/>
          <w:sz w:val="18"/>
        </w:rPr>
        <w:t>Note:  r:  revised;  p:  preliminary estimates</w:t>
      </w:r>
    </w:p>
    <w:p w:rsidR="009B22F4" w:rsidRPr="00DA7619" w:rsidRDefault="009B22F4">
      <w:pPr>
        <w:rPr>
          <w:rFonts w:cs="TimesNewRoman"/>
        </w:rPr>
      </w:pPr>
      <w:r w:rsidRPr="00DA7619">
        <w:rPr>
          <w:rFonts w:cs="TimesNewRoman"/>
        </w:rPr>
        <w:t>Breaking down the growth rate by sectors</w:t>
      </w:r>
      <w:r w:rsidR="00705196" w:rsidRPr="00DA7619">
        <w:rPr>
          <w:rFonts w:cs="TimesNewRoman"/>
        </w:rPr>
        <w:t xml:space="preserve"> (see Figure 3.2)</w:t>
      </w:r>
      <w:r w:rsidRPr="00DA7619">
        <w:rPr>
          <w:rFonts w:cs="TimesNewRoman"/>
        </w:rPr>
        <w:t xml:space="preserve">, we see that economic diversification </w:t>
      </w:r>
      <w:r w:rsidR="00E56FBA">
        <w:rPr>
          <w:rFonts w:cs="TimesNewRoman"/>
        </w:rPr>
        <w:t xml:space="preserve">(an indicator for Outcome 2 in the CPD) </w:t>
      </w:r>
      <w:r w:rsidRPr="00DA7619">
        <w:rPr>
          <w:rFonts w:cs="TimesNewRoman"/>
        </w:rPr>
        <w:t xml:space="preserve">played a vital role in keeping the economy in positive territory, as did stimulus spending by the government.  The oil sector plunged into negative numbers as oil demand responded to global downturns, most spectacularly following the 2008 financial crisis, but </w:t>
      </w:r>
      <w:r w:rsidR="00705196" w:rsidRPr="00DA7619">
        <w:rPr>
          <w:rFonts w:cs="TimesNewRoman"/>
        </w:rPr>
        <w:t>in earlier years as well, as world oil market</w:t>
      </w:r>
      <w:r w:rsidR="0075473B" w:rsidRPr="00DA7619">
        <w:rPr>
          <w:rFonts w:cs="TimesNewRoman"/>
        </w:rPr>
        <w:t xml:space="preserve"> demand and prices</w:t>
      </w:r>
      <w:r w:rsidR="00705196" w:rsidRPr="00DA7619">
        <w:rPr>
          <w:rFonts w:cs="TimesNewRoman"/>
        </w:rPr>
        <w:t xml:space="preserve"> fluctuated.</w:t>
      </w:r>
    </w:p>
    <w:p w:rsidR="00705196" w:rsidRPr="00DA7619" w:rsidRDefault="00705196" w:rsidP="00705196">
      <w:pPr>
        <w:pStyle w:val="Caption"/>
        <w:rPr>
          <w:rFonts w:cs="TimesNewRoman"/>
        </w:rPr>
      </w:pPr>
      <w:bookmarkStart w:id="29" w:name="_Toc325940218"/>
      <w:r w:rsidRPr="00DA7619">
        <w:t xml:space="preserve">Figure </w:t>
      </w:r>
      <w:r w:rsidR="00C3471E" w:rsidRPr="00DA7619">
        <w:t>4</w:t>
      </w:r>
      <w:r w:rsidR="0097348A" w:rsidRPr="00DA7619">
        <w:noBreakHyphen/>
      </w:r>
      <w:fldSimple w:instr=" SEQ Figure \* ARABIC \s 1 ">
        <w:r w:rsidR="0097348A" w:rsidRPr="00DA7619">
          <w:rPr>
            <w:noProof/>
          </w:rPr>
          <w:t>2</w:t>
        </w:r>
      </w:fldSimple>
      <w:r w:rsidRPr="00DA7619">
        <w:t xml:space="preserve">  GDP growth patterns, 2004-2011</w:t>
      </w:r>
      <w:bookmarkEnd w:id="29"/>
    </w:p>
    <w:p w:rsidR="009B22F4" w:rsidRPr="00DA7619" w:rsidRDefault="009B22F4" w:rsidP="009B22F4">
      <w:pPr>
        <w:jc w:val="center"/>
        <w:rPr>
          <w:rFonts w:cs="TimesNewRoman"/>
        </w:rPr>
      </w:pPr>
      <w:r w:rsidRPr="00DA7619">
        <w:rPr>
          <w:rFonts w:cs="TimesNewRoman"/>
          <w:noProof/>
          <w:lang w:val="en-CA" w:eastAsia="en-CA"/>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0" w:type="auto"/>
        <w:jc w:val="center"/>
        <w:tblInd w:w="103" w:type="dxa"/>
        <w:tblLook w:val="04A0"/>
      </w:tblPr>
      <w:tblGrid>
        <w:gridCol w:w="2687"/>
        <w:gridCol w:w="706"/>
        <w:gridCol w:w="706"/>
        <w:gridCol w:w="706"/>
        <w:gridCol w:w="706"/>
        <w:gridCol w:w="706"/>
        <w:gridCol w:w="706"/>
        <w:gridCol w:w="760"/>
        <w:gridCol w:w="791"/>
      </w:tblGrid>
      <w:tr w:rsidR="009B22F4" w:rsidRPr="00DA7619" w:rsidTr="009B22F4">
        <w:trPr>
          <w:trHeight w:val="360"/>
          <w:jc w:val="center"/>
        </w:trPr>
        <w:tc>
          <w:tcPr>
            <w:tcW w:w="0" w:type="auto"/>
            <w:tcBorders>
              <w:top w:val="single" w:sz="8" w:space="0" w:color="808080"/>
              <w:left w:val="single" w:sz="4" w:space="0" w:color="808080"/>
              <w:bottom w:val="single" w:sz="8" w:space="0" w:color="808080"/>
              <w:right w:val="single" w:sz="4" w:space="0" w:color="808080"/>
            </w:tcBorders>
            <w:shd w:val="clear" w:color="000000" w:fill="C2D69A"/>
            <w:noWrap/>
            <w:vAlign w:val="center"/>
            <w:hideMark/>
          </w:tcPr>
          <w:p w:rsidR="009B22F4" w:rsidRPr="00DA7619" w:rsidRDefault="009B22F4" w:rsidP="009B22F4">
            <w:pPr>
              <w:spacing w:before="0" w:after="0"/>
              <w:rPr>
                <w:rFonts w:ascii="Arial" w:eastAsia="Times New Roman" w:hAnsi="Arial" w:cs="Arial"/>
                <w:lang w:eastAsia="en-CA"/>
              </w:rPr>
            </w:pPr>
            <w:r w:rsidRPr="00DA7619">
              <w:rPr>
                <w:rFonts w:ascii="Arial" w:eastAsia="Times New Roman" w:hAnsi="Arial" w:cs="Arial"/>
                <w:lang w:eastAsia="en-CA"/>
              </w:rPr>
              <w:t> </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DA7619" w:rsidRDefault="009B22F4" w:rsidP="009B22F4">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2004</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DA7619" w:rsidRDefault="009B22F4" w:rsidP="009B22F4">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2005</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DA7619" w:rsidRDefault="009B22F4" w:rsidP="009B22F4">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2006</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DA7619" w:rsidRDefault="009B22F4" w:rsidP="009B22F4">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2007</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DA7619" w:rsidRDefault="009B22F4" w:rsidP="009B22F4">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2008</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DA7619" w:rsidRDefault="009B22F4" w:rsidP="009B22F4">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2009</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DA7619" w:rsidRDefault="009B22F4" w:rsidP="009B22F4">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2010</w:t>
            </w:r>
            <w:r w:rsidRPr="00DA7619">
              <w:rPr>
                <w:rFonts w:ascii="Arial" w:eastAsia="Times New Roman" w:hAnsi="Arial" w:cs="Arial"/>
                <w:b/>
                <w:bCs/>
                <w:vertAlign w:val="superscript"/>
                <w:lang w:eastAsia="en-CA"/>
              </w:rPr>
              <w:t>r</w:t>
            </w:r>
          </w:p>
        </w:tc>
        <w:tc>
          <w:tcPr>
            <w:tcW w:w="0" w:type="auto"/>
            <w:tcBorders>
              <w:top w:val="single" w:sz="8" w:space="0" w:color="808080"/>
              <w:left w:val="nil"/>
              <w:bottom w:val="single" w:sz="8" w:space="0" w:color="808080"/>
              <w:right w:val="single" w:sz="4" w:space="0" w:color="808080"/>
            </w:tcBorders>
            <w:shd w:val="clear" w:color="000000" w:fill="C2D69A"/>
            <w:noWrap/>
            <w:vAlign w:val="bottom"/>
            <w:hideMark/>
          </w:tcPr>
          <w:p w:rsidR="009B22F4" w:rsidRPr="00DA7619" w:rsidRDefault="009B22F4" w:rsidP="009B22F4">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2011</w:t>
            </w:r>
            <w:r w:rsidRPr="00DA7619">
              <w:rPr>
                <w:rFonts w:ascii="Arial" w:eastAsia="Times New Roman" w:hAnsi="Arial" w:cs="Arial"/>
                <w:b/>
                <w:bCs/>
                <w:vertAlign w:val="superscript"/>
                <w:lang w:eastAsia="en-CA"/>
              </w:rPr>
              <w:t>p</w:t>
            </w:r>
          </w:p>
        </w:tc>
      </w:tr>
      <w:tr w:rsidR="009B22F4" w:rsidRPr="00DA7619" w:rsidTr="009B22F4">
        <w:trPr>
          <w:trHeight w:val="255"/>
          <w:jc w:val="center"/>
        </w:trPr>
        <w:tc>
          <w:tcPr>
            <w:tcW w:w="0" w:type="auto"/>
            <w:tcBorders>
              <w:top w:val="nil"/>
              <w:left w:val="single" w:sz="4" w:space="0" w:color="808080"/>
              <w:bottom w:val="nil"/>
              <w:right w:val="single" w:sz="4" w:space="0" w:color="808080"/>
            </w:tcBorders>
            <w:shd w:val="clear" w:color="000000" w:fill="FFFFFF"/>
            <w:noWrap/>
            <w:vAlign w:val="center"/>
            <w:hideMark/>
          </w:tcPr>
          <w:p w:rsidR="009B22F4" w:rsidRPr="00DA7619" w:rsidRDefault="009B22F4" w:rsidP="009B22F4">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 xml:space="preserve">Growth in Real-GDP (%)  </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5.3</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5.6</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3.2</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2.0</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4.2</w:t>
            </w:r>
          </w:p>
        </w:tc>
        <w:tc>
          <w:tcPr>
            <w:tcW w:w="0" w:type="auto"/>
            <w:tcBorders>
              <w:top w:val="nil"/>
              <w:left w:val="nil"/>
              <w:bottom w:val="nil"/>
              <w:right w:val="single" w:sz="4" w:space="0" w:color="A5A5A5"/>
            </w:tcBorders>
            <w:shd w:val="clear" w:color="FFFFFF"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0.1</w:t>
            </w:r>
          </w:p>
        </w:tc>
        <w:tc>
          <w:tcPr>
            <w:tcW w:w="0" w:type="auto"/>
            <w:tcBorders>
              <w:top w:val="nil"/>
              <w:left w:val="nil"/>
              <w:bottom w:val="nil"/>
              <w:right w:val="single" w:sz="4" w:space="0" w:color="A5A5A5"/>
            </w:tcBorders>
            <w:shd w:val="clear" w:color="FFFFFF"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4.6</w:t>
            </w:r>
          </w:p>
        </w:tc>
        <w:tc>
          <w:tcPr>
            <w:tcW w:w="0" w:type="auto"/>
            <w:tcBorders>
              <w:top w:val="nil"/>
              <w:left w:val="nil"/>
              <w:bottom w:val="nil"/>
              <w:right w:val="single" w:sz="4" w:space="0" w:color="808080"/>
            </w:tcBorders>
            <w:shd w:val="clear" w:color="FFFFFF"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6.8</w:t>
            </w:r>
          </w:p>
        </w:tc>
      </w:tr>
      <w:tr w:rsidR="009B22F4" w:rsidRPr="00DA7619" w:rsidTr="009B22F4">
        <w:trPr>
          <w:trHeight w:val="255"/>
          <w:jc w:val="center"/>
        </w:trPr>
        <w:tc>
          <w:tcPr>
            <w:tcW w:w="0" w:type="auto"/>
            <w:tcBorders>
              <w:top w:val="nil"/>
              <w:left w:val="single" w:sz="4" w:space="0" w:color="808080"/>
              <w:bottom w:val="nil"/>
              <w:right w:val="single" w:sz="4" w:space="0" w:color="808080"/>
            </w:tcBorders>
            <w:shd w:val="clear" w:color="000000" w:fill="D7E4BC"/>
            <w:noWrap/>
            <w:vAlign w:val="center"/>
            <w:hideMark/>
          </w:tcPr>
          <w:p w:rsidR="009B22F4" w:rsidRPr="00DA7619" w:rsidRDefault="009B22F4" w:rsidP="009B22F4">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 xml:space="preserve">Growth in Private Sector (%)  </w:t>
            </w:r>
          </w:p>
        </w:tc>
        <w:tc>
          <w:tcPr>
            <w:tcW w:w="0" w:type="auto"/>
            <w:tcBorders>
              <w:top w:val="nil"/>
              <w:left w:val="nil"/>
              <w:bottom w:val="nil"/>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5.7</w:t>
            </w:r>
          </w:p>
        </w:tc>
        <w:tc>
          <w:tcPr>
            <w:tcW w:w="0" w:type="auto"/>
            <w:tcBorders>
              <w:top w:val="nil"/>
              <w:left w:val="nil"/>
              <w:bottom w:val="nil"/>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5.7</w:t>
            </w:r>
          </w:p>
        </w:tc>
        <w:tc>
          <w:tcPr>
            <w:tcW w:w="0" w:type="auto"/>
            <w:tcBorders>
              <w:top w:val="nil"/>
              <w:left w:val="nil"/>
              <w:bottom w:val="nil"/>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5.9</w:t>
            </w:r>
          </w:p>
        </w:tc>
        <w:tc>
          <w:tcPr>
            <w:tcW w:w="0" w:type="auto"/>
            <w:tcBorders>
              <w:top w:val="nil"/>
              <w:left w:val="nil"/>
              <w:bottom w:val="nil"/>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5.2</w:t>
            </w:r>
          </w:p>
        </w:tc>
        <w:tc>
          <w:tcPr>
            <w:tcW w:w="0" w:type="auto"/>
            <w:tcBorders>
              <w:top w:val="nil"/>
              <w:left w:val="nil"/>
              <w:bottom w:val="nil"/>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4.8</w:t>
            </w:r>
          </w:p>
        </w:tc>
        <w:tc>
          <w:tcPr>
            <w:tcW w:w="0" w:type="auto"/>
            <w:tcBorders>
              <w:top w:val="nil"/>
              <w:left w:val="nil"/>
              <w:bottom w:val="nil"/>
              <w:right w:val="single" w:sz="4" w:space="0" w:color="A5A5A5"/>
            </w:tcBorders>
            <w:shd w:val="clear" w:color="FFFFFF"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2.6</w:t>
            </w:r>
          </w:p>
        </w:tc>
        <w:tc>
          <w:tcPr>
            <w:tcW w:w="0" w:type="auto"/>
            <w:tcBorders>
              <w:top w:val="nil"/>
              <w:left w:val="nil"/>
              <w:bottom w:val="nil"/>
              <w:right w:val="single" w:sz="4" w:space="0" w:color="A5A5A5"/>
            </w:tcBorders>
            <w:shd w:val="clear" w:color="FFFFFF"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5.4</w:t>
            </w:r>
          </w:p>
        </w:tc>
        <w:tc>
          <w:tcPr>
            <w:tcW w:w="0" w:type="auto"/>
            <w:tcBorders>
              <w:top w:val="nil"/>
              <w:left w:val="nil"/>
              <w:bottom w:val="nil"/>
              <w:right w:val="single" w:sz="4" w:space="0" w:color="808080"/>
            </w:tcBorders>
            <w:shd w:val="clear" w:color="FFFFFF"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8.1</w:t>
            </w:r>
          </w:p>
        </w:tc>
      </w:tr>
      <w:tr w:rsidR="009B22F4" w:rsidRPr="00DA7619" w:rsidTr="009B22F4">
        <w:trPr>
          <w:trHeight w:val="255"/>
          <w:jc w:val="center"/>
        </w:trPr>
        <w:tc>
          <w:tcPr>
            <w:tcW w:w="0" w:type="auto"/>
            <w:tcBorders>
              <w:top w:val="nil"/>
              <w:left w:val="single" w:sz="4" w:space="0" w:color="808080"/>
              <w:bottom w:val="nil"/>
              <w:right w:val="single" w:sz="4" w:space="0" w:color="808080"/>
            </w:tcBorders>
            <w:shd w:val="clear" w:color="000000" w:fill="FFFFFF"/>
            <w:noWrap/>
            <w:vAlign w:val="center"/>
            <w:hideMark/>
          </w:tcPr>
          <w:p w:rsidR="009B22F4" w:rsidRPr="00DA7619" w:rsidRDefault="009B22F4" w:rsidP="009B22F4">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 xml:space="preserve">Growth in Government Sector (%)  </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2.2</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3.3</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1.9</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1.9</w:t>
            </w:r>
          </w:p>
        </w:tc>
        <w:tc>
          <w:tcPr>
            <w:tcW w:w="0" w:type="auto"/>
            <w:tcBorders>
              <w:top w:val="nil"/>
              <w:left w:val="nil"/>
              <w:bottom w:val="nil"/>
              <w:right w:val="single" w:sz="4" w:space="0" w:color="A5A5A5"/>
            </w:tcBorders>
            <w:shd w:val="clear" w:color="000000"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2.4</w:t>
            </w:r>
          </w:p>
        </w:tc>
        <w:tc>
          <w:tcPr>
            <w:tcW w:w="0" w:type="auto"/>
            <w:tcBorders>
              <w:top w:val="nil"/>
              <w:left w:val="nil"/>
              <w:bottom w:val="nil"/>
              <w:right w:val="single" w:sz="4" w:space="0" w:color="A5A5A5"/>
            </w:tcBorders>
            <w:shd w:val="clear" w:color="FFFFFF"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5.0</w:t>
            </w:r>
          </w:p>
        </w:tc>
        <w:tc>
          <w:tcPr>
            <w:tcW w:w="0" w:type="auto"/>
            <w:tcBorders>
              <w:top w:val="nil"/>
              <w:left w:val="nil"/>
              <w:bottom w:val="nil"/>
              <w:right w:val="single" w:sz="4" w:space="0" w:color="A5A5A5"/>
            </w:tcBorders>
            <w:shd w:val="clear" w:color="FFFFFF"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5.3</w:t>
            </w:r>
          </w:p>
        </w:tc>
        <w:tc>
          <w:tcPr>
            <w:tcW w:w="0" w:type="auto"/>
            <w:tcBorders>
              <w:top w:val="nil"/>
              <w:left w:val="nil"/>
              <w:bottom w:val="nil"/>
              <w:right w:val="single" w:sz="4" w:space="0" w:color="808080"/>
            </w:tcBorders>
            <w:shd w:val="clear" w:color="FFFFFF" w:fill="FFFFFF"/>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6.2</w:t>
            </w:r>
          </w:p>
        </w:tc>
      </w:tr>
      <w:tr w:rsidR="009B22F4" w:rsidRPr="00DA7619" w:rsidTr="009B22F4">
        <w:trPr>
          <w:trHeight w:val="255"/>
          <w:jc w:val="center"/>
        </w:trPr>
        <w:tc>
          <w:tcPr>
            <w:tcW w:w="0" w:type="auto"/>
            <w:tcBorders>
              <w:top w:val="nil"/>
              <w:left w:val="single" w:sz="4" w:space="0" w:color="808080"/>
              <w:bottom w:val="single" w:sz="4" w:space="0" w:color="808080"/>
              <w:right w:val="single" w:sz="4" w:space="0" w:color="808080"/>
            </w:tcBorders>
            <w:shd w:val="clear" w:color="000000" w:fill="D7E4BC"/>
            <w:noWrap/>
            <w:vAlign w:val="center"/>
            <w:hideMark/>
          </w:tcPr>
          <w:p w:rsidR="009B22F4" w:rsidRPr="00DA7619" w:rsidRDefault="009B22F4" w:rsidP="009B22F4">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Growth in Oil Sector (%)</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6.6</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6.6</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-1.1</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-4.1</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4.3</w:t>
            </w:r>
          </w:p>
        </w:tc>
        <w:tc>
          <w:tcPr>
            <w:tcW w:w="0" w:type="auto"/>
            <w:tcBorders>
              <w:top w:val="nil"/>
              <w:left w:val="nil"/>
              <w:bottom w:val="single" w:sz="4" w:space="0" w:color="808080"/>
              <w:right w:val="single" w:sz="4" w:space="0" w:color="A5A5A5"/>
            </w:tcBorders>
            <w:shd w:val="clear" w:color="FFFFFF"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-8.8</w:t>
            </w:r>
          </w:p>
        </w:tc>
        <w:tc>
          <w:tcPr>
            <w:tcW w:w="0" w:type="auto"/>
            <w:tcBorders>
              <w:top w:val="nil"/>
              <w:left w:val="nil"/>
              <w:bottom w:val="single" w:sz="4" w:space="0" w:color="808080"/>
              <w:right w:val="single" w:sz="4" w:space="0" w:color="A5A5A5"/>
            </w:tcBorders>
            <w:shd w:val="clear" w:color="FFFFFF"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2.2</w:t>
            </w:r>
          </w:p>
        </w:tc>
        <w:tc>
          <w:tcPr>
            <w:tcW w:w="0" w:type="auto"/>
            <w:tcBorders>
              <w:top w:val="nil"/>
              <w:left w:val="nil"/>
              <w:bottom w:val="single" w:sz="4" w:space="0" w:color="808080"/>
              <w:right w:val="single" w:sz="4" w:space="0" w:color="808080"/>
            </w:tcBorders>
            <w:shd w:val="clear" w:color="FFFFFF" w:fill="D7E4BC"/>
            <w:noWrap/>
            <w:vAlign w:val="center"/>
            <w:hideMark/>
          </w:tcPr>
          <w:p w:rsidR="009B22F4" w:rsidRPr="00DA7619" w:rsidRDefault="009B22F4" w:rsidP="009B22F4">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4.3</w:t>
            </w:r>
          </w:p>
        </w:tc>
      </w:tr>
    </w:tbl>
    <w:p w:rsidR="009B22F4" w:rsidRPr="00DA7619" w:rsidRDefault="004C70E7" w:rsidP="004C70E7">
      <w:pPr>
        <w:spacing w:before="0" w:after="0"/>
        <w:ind w:firstLine="720"/>
        <w:rPr>
          <w:rFonts w:cs="TimesNewRoman"/>
          <w:sz w:val="18"/>
        </w:rPr>
      </w:pPr>
      <w:r w:rsidRPr="00DA7619">
        <w:rPr>
          <w:rFonts w:cs="TimesNewRoman"/>
          <w:sz w:val="18"/>
        </w:rPr>
        <w:t xml:space="preserve">Note:  </w:t>
      </w:r>
      <w:r w:rsidRPr="00DA7619">
        <w:rPr>
          <w:rFonts w:cs="TimesNewRoman"/>
          <w:sz w:val="18"/>
          <w:vertAlign w:val="superscript"/>
        </w:rPr>
        <w:t>r</w:t>
      </w:r>
      <w:r w:rsidRPr="00DA7619">
        <w:rPr>
          <w:rFonts w:cs="TimesNewRoman"/>
          <w:sz w:val="18"/>
        </w:rPr>
        <w:t xml:space="preserve"> : revised;  </w:t>
      </w:r>
      <w:r w:rsidRPr="00DA7619">
        <w:rPr>
          <w:rFonts w:cs="TimesNewRoman"/>
          <w:sz w:val="18"/>
          <w:vertAlign w:val="superscript"/>
        </w:rPr>
        <w:t>p</w:t>
      </w:r>
      <w:r w:rsidRPr="00DA7619">
        <w:rPr>
          <w:rFonts w:cs="TimesNewRoman"/>
          <w:sz w:val="18"/>
        </w:rPr>
        <w:t xml:space="preserve"> : preliminary estimates</w:t>
      </w:r>
    </w:p>
    <w:p w:rsidR="009B22F4" w:rsidRPr="00DA7619" w:rsidRDefault="004C70E7" w:rsidP="004C70E7">
      <w:pPr>
        <w:spacing w:before="0" w:after="0"/>
        <w:rPr>
          <w:rFonts w:cs="TimesNewRoman"/>
        </w:rPr>
      </w:pPr>
      <w:r w:rsidRPr="00DA7619">
        <w:rPr>
          <w:rFonts w:cs="TimesNewRoman"/>
        </w:rPr>
        <w:tab/>
      </w:r>
      <w:r w:rsidRPr="00DA7619">
        <w:rPr>
          <w:rFonts w:cs="TimesNewRoman"/>
          <w:sz w:val="18"/>
        </w:rPr>
        <w:t xml:space="preserve">Source:  Author’s </w:t>
      </w:r>
      <w:r w:rsidR="00E56FBA">
        <w:rPr>
          <w:rFonts w:cs="TimesNewRoman"/>
          <w:sz w:val="18"/>
        </w:rPr>
        <w:t>construction</w:t>
      </w:r>
      <w:r w:rsidRPr="00DA7619">
        <w:rPr>
          <w:rFonts w:cs="TimesNewRoman"/>
          <w:sz w:val="18"/>
        </w:rPr>
        <w:t xml:space="preserve"> </w:t>
      </w:r>
      <w:r w:rsidR="009F7154" w:rsidRPr="00DA7619">
        <w:rPr>
          <w:rFonts w:cs="TimesNewRoman"/>
          <w:sz w:val="18"/>
        </w:rPr>
        <w:t xml:space="preserve">based </w:t>
      </w:r>
      <w:r w:rsidRPr="00DA7619">
        <w:rPr>
          <w:rFonts w:cs="TimesNewRoman"/>
          <w:sz w:val="18"/>
        </w:rPr>
        <w:t>on MEP</w:t>
      </w:r>
    </w:p>
    <w:p w:rsidR="00705196" w:rsidRPr="00DA7619" w:rsidRDefault="002916D7">
      <w:pPr>
        <w:rPr>
          <w:rFonts w:cs="TimesNewRoman"/>
        </w:rPr>
      </w:pPr>
      <w:r>
        <w:rPr>
          <w:rFonts w:cs="TimesNewRoman"/>
        </w:rPr>
        <w:lastRenderedPageBreak/>
        <w:t>Figure 4</w:t>
      </w:r>
      <w:r w:rsidR="00705196" w:rsidRPr="00DA7619">
        <w:rPr>
          <w:rFonts w:cs="TimesNewRoman"/>
        </w:rPr>
        <w:t>.2</w:t>
      </w:r>
      <w:r w:rsidR="00EC46A0" w:rsidRPr="00DA7619">
        <w:rPr>
          <w:rFonts w:cs="TimesNewRoman"/>
        </w:rPr>
        <w:t xml:space="preserve"> highlights the important role of the private sector, where growth was high and relatively stable, showing less slowdown in 2009 than the oil sector, and rapid recovery in t</w:t>
      </w:r>
      <w:r>
        <w:rPr>
          <w:rFonts w:cs="TimesNewRoman"/>
        </w:rPr>
        <w:t>he following two years.  Table 4</w:t>
      </w:r>
      <w:r w:rsidR="00EC46A0" w:rsidRPr="00DA7619">
        <w:rPr>
          <w:rFonts w:cs="TimesNewRoman"/>
        </w:rPr>
        <w:t xml:space="preserve">.1 indicates that the growth rate of the private sector averaged 5.2 percent over the CP period (2007-11), higher than all other sectors in this breakdown.  It also demonstrates the important role played </w:t>
      </w:r>
      <w:r w:rsidR="00A2125A" w:rsidRPr="00DA7619">
        <w:rPr>
          <w:rFonts w:cs="TimesNewRoman"/>
        </w:rPr>
        <w:t>by government, which boosted spending in 2010 and 2011, thereby countering the impact of falling incomes in other sectors.</w:t>
      </w:r>
      <w:r w:rsidR="00A2125A" w:rsidRPr="00DA7619">
        <w:rPr>
          <w:rStyle w:val="FootnoteReference"/>
          <w:rFonts w:cs="TimesNewRoman"/>
        </w:rPr>
        <w:footnoteReference w:id="6"/>
      </w:r>
    </w:p>
    <w:p w:rsidR="00EC46A0" w:rsidRPr="00DA7619" w:rsidRDefault="00EC46A0" w:rsidP="00EC46A0">
      <w:pPr>
        <w:pStyle w:val="Caption"/>
        <w:rPr>
          <w:rFonts w:cs="TimesNewRoman"/>
        </w:rPr>
      </w:pPr>
      <w:bookmarkStart w:id="30" w:name="_Toc325940220"/>
      <w:r w:rsidRPr="00DA7619">
        <w:t xml:space="preserve">Table </w:t>
      </w:r>
      <w:r w:rsidR="00C3471E" w:rsidRPr="00DA7619">
        <w:t>4</w:t>
      </w:r>
      <w:r w:rsidR="00DC37BE" w:rsidRPr="00DA7619">
        <w:noBreakHyphen/>
      </w:r>
      <w:fldSimple w:instr=" SEQ Table \* ARABIC \s 1 ">
        <w:r w:rsidR="00DC37BE" w:rsidRPr="00DA7619">
          <w:rPr>
            <w:noProof/>
          </w:rPr>
          <w:t>1</w:t>
        </w:r>
      </w:fldSimple>
      <w:r w:rsidRPr="00DA7619">
        <w:t xml:space="preserve">  Average growth rates, by sector, 2007-2011</w:t>
      </w:r>
      <w:bookmarkEnd w:id="30"/>
    </w:p>
    <w:tbl>
      <w:tblPr>
        <w:tblW w:w="0" w:type="auto"/>
        <w:jc w:val="center"/>
        <w:tblInd w:w="103" w:type="dxa"/>
        <w:tblLook w:val="04A0"/>
      </w:tblPr>
      <w:tblGrid>
        <w:gridCol w:w="2687"/>
        <w:gridCol w:w="706"/>
        <w:gridCol w:w="706"/>
        <w:gridCol w:w="706"/>
        <w:gridCol w:w="760"/>
        <w:gridCol w:w="791"/>
        <w:gridCol w:w="1020"/>
      </w:tblGrid>
      <w:tr w:rsidR="00705196" w:rsidRPr="00DA7619" w:rsidTr="005200F9">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705196" w:rsidRPr="00DA7619" w:rsidRDefault="00705196" w:rsidP="00705196">
            <w:pPr>
              <w:spacing w:before="0" w:after="0"/>
              <w:rPr>
                <w:rFonts w:ascii="Arial" w:eastAsia="Times New Roman" w:hAnsi="Arial" w:cs="Arial"/>
                <w:lang w:eastAsia="en-CA"/>
              </w:rPr>
            </w:pPr>
            <w:r w:rsidRPr="00DA7619">
              <w:rPr>
                <w:rFonts w:ascii="Arial" w:eastAsia="Times New Roman" w:hAnsi="Arial" w:cs="Arial"/>
                <w:lang w:eastAsia="en-CA"/>
              </w:rPr>
              <w:t> </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DA7619" w:rsidRDefault="00705196" w:rsidP="00705196">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2007</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DA7619" w:rsidRDefault="00705196" w:rsidP="00705196">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2008</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DA7619" w:rsidRDefault="00705196" w:rsidP="00705196">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2009</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DA7619" w:rsidRDefault="00705196" w:rsidP="00705196">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2010</w:t>
            </w:r>
            <w:r w:rsidRPr="00DA7619">
              <w:rPr>
                <w:rFonts w:ascii="Arial" w:eastAsia="Times New Roman" w:hAnsi="Arial" w:cs="Arial"/>
                <w:b/>
                <w:bCs/>
                <w:vertAlign w:val="superscript"/>
                <w:lang w:eastAsia="en-CA"/>
              </w:rPr>
              <w:t>r</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DA7619" w:rsidRDefault="00705196" w:rsidP="00705196">
            <w:pPr>
              <w:spacing w:before="0" w:after="0"/>
              <w:jc w:val="right"/>
              <w:rPr>
                <w:rFonts w:ascii="Arial" w:eastAsia="Times New Roman" w:hAnsi="Arial" w:cs="Arial"/>
                <w:b/>
                <w:bCs/>
                <w:lang w:eastAsia="en-CA"/>
              </w:rPr>
            </w:pPr>
            <w:r w:rsidRPr="00DA7619">
              <w:rPr>
                <w:rFonts w:ascii="Arial" w:eastAsia="Times New Roman" w:hAnsi="Arial" w:cs="Arial"/>
                <w:b/>
                <w:bCs/>
                <w:lang w:eastAsia="en-CA"/>
              </w:rPr>
              <w:t>2011</w:t>
            </w:r>
            <w:r w:rsidRPr="00DA7619">
              <w:rPr>
                <w:rFonts w:ascii="Arial" w:eastAsia="Times New Roman" w:hAnsi="Arial" w:cs="Arial"/>
                <w:b/>
                <w:bCs/>
                <w:vertAlign w:val="superscript"/>
                <w:lang w:eastAsia="en-CA"/>
              </w:rPr>
              <w:t>p</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705196" w:rsidRPr="00DA7619" w:rsidRDefault="00705196" w:rsidP="005200F9">
            <w:pPr>
              <w:spacing w:before="0" w:after="0"/>
              <w:jc w:val="center"/>
              <w:rPr>
                <w:rFonts w:ascii="MS Sans Serif" w:eastAsia="Times New Roman" w:hAnsi="MS Sans Serif" w:cs="Times New Roman"/>
                <w:sz w:val="20"/>
                <w:szCs w:val="20"/>
                <w:lang w:eastAsia="en-CA"/>
              </w:rPr>
            </w:pPr>
            <w:r w:rsidRPr="00DA7619">
              <w:rPr>
                <w:rFonts w:ascii="MS Sans Serif" w:eastAsia="Times New Roman" w:hAnsi="MS Sans Serif" w:cs="Times New Roman"/>
                <w:sz w:val="20"/>
                <w:szCs w:val="20"/>
                <w:lang w:eastAsia="en-CA"/>
              </w:rPr>
              <w:t>Average 2007-11</w:t>
            </w:r>
          </w:p>
        </w:tc>
      </w:tr>
      <w:tr w:rsidR="00705196" w:rsidRPr="00DA7619" w:rsidTr="005200F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05196" w:rsidRPr="00DA7619" w:rsidRDefault="00705196" w:rsidP="00705196">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 xml:space="preserve">Growth in Real-GDP (%)  </w:t>
            </w:r>
          </w:p>
        </w:tc>
        <w:tc>
          <w:tcPr>
            <w:tcW w:w="0" w:type="auto"/>
            <w:tcBorders>
              <w:top w:val="nil"/>
              <w:left w:val="nil"/>
              <w:bottom w:val="single" w:sz="4" w:space="0" w:color="auto"/>
              <w:right w:val="single" w:sz="4" w:space="0" w:color="auto"/>
            </w:tcBorders>
            <w:shd w:val="clear" w:color="000000"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4.2</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0.1</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4.6</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6.8</w:t>
            </w:r>
          </w:p>
        </w:tc>
        <w:tc>
          <w:tcPr>
            <w:tcW w:w="1020" w:type="dxa"/>
            <w:tcBorders>
              <w:top w:val="nil"/>
              <w:left w:val="nil"/>
              <w:bottom w:val="single" w:sz="4" w:space="0" w:color="auto"/>
              <w:right w:val="single" w:sz="4" w:space="0" w:color="auto"/>
            </w:tcBorders>
            <w:shd w:val="clear" w:color="auto" w:fill="auto"/>
            <w:noWrap/>
            <w:vAlign w:val="bottom"/>
            <w:hideMark/>
          </w:tcPr>
          <w:p w:rsidR="00705196" w:rsidRPr="00DA7619" w:rsidRDefault="00705196" w:rsidP="00705196">
            <w:pPr>
              <w:spacing w:before="0" w:after="0"/>
              <w:jc w:val="right"/>
              <w:rPr>
                <w:rFonts w:ascii="MS Sans Serif" w:eastAsia="Times New Roman" w:hAnsi="MS Sans Serif" w:cs="Times New Roman"/>
                <w:sz w:val="20"/>
                <w:szCs w:val="20"/>
                <w:lang w:eastAsia="en-CA"/>
              </w:rPr>
            </w:pPr>
            <w:r w:rsidRPr="00DA7619">
              <w:rPr>
                <w:rFonts w:ascii="MS Sans Serif" w:eastAsia="Times New Roman" w:hAnsi="MS Sans Serif" w:cs="Times New Roman"/>
                <w:sz w:val="20"/>
                <w:szCs w:val="20"/>
                <w:lang w:eastAsia="en-CA"/>
              </w:rPr>
              <w:t>3.6</w:t>
            </w:r>
          </w:p>
        </w:tc>
      </w:tr>
      <w:tr w:rsidR="00705196" w:rsidRPr="00DA7619" w:rsidTr="005200F9">
        <w:trPr>
          <w:trHeight w:val="255"/>
          <w:jc w:val="center"/>
        </w:trPr>
        <w:tc>
          <w:tcPr>
            <w:tcW w:w="0" w:type="auto"/>
            <w:tcBorders>
              <w:top w:val="nil"/>
              <w:left w:val="single" w:sz="4" w:space="0" w:color="auto"/>
              <w:bottom w:val="single" w:sz="4" w:space="0" w:color="auto"/>
              <w:right w:val="single" w:sz="4" w:space="0" w:color="auto"/>
            </w:tcBorders>
            <w:shd w:val="clear" w:color="000000" w:fill="D7E4BC"/>
            <w:noWrap/>
            <w:vAlign w:val="center"/>
            <w:hideMark/>
          </w:tcPr>
          <w:p w:rsidR="00705196" w:rsidRPr="00DA7619" w:rsidRDefault="00705196" w:rsidP="00705196">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 xml:space="preserve">Growth in Private Sector (%)  </w:t>
            </w:r>
          </w:p>
        </w:tc>
        <w:tc>
          <w:tcPr>
            <w:tcW w:w="0" w:type="auto"/>
            <w:tcBorders>
              <w:top w:val="nil"/>
              <w:left w:val="nil"/>
              <w:bottom w:val="single" w:sz="4" w:space="0" w:color="auto"/>
              <w:right w:val="single" w:sz="4" w:space="0" w:color="auto"/>
            </w:tcBorders>
            <w:shd w:val="clear" w:color="000000"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5.2</w:t>
            </w:r>
          </w:p>
        </w:tc>
        <w:tc>
          <w:tcPr>
            <w:tcW w:w="0" w:type="auto"/>
            <w:tcBorders>
              <w:top w:val="nil"/>
              <w:left w:val="nil"/>
              <w:bottom w:val="single" w:sz="4" w:space="0" w:color="auto"/>
              <w:right w:val="single" w:sz="4" w:space="0" w:color="auto"/>
            </w:tcBorders>
            <w:shd w:val="clear" w:color="000000"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4.8</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2.6</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5.4</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8.1</w:t>
            </w:r>
          </w:p>
        </w:tc>
        <w:tc>
          <w:tcPr>
            <w:tcW w:w="1020" w:type="dxa"/>
            <w:tcBorders>
              <w:top w:val="nil"/>
              <w:left w:val="nil"/>
              <w:bottom w:val="single" w:sz="4" w:space="0" w:color="auto"/>
              <w:right w:val="single" w:sz="4" w:space="0" w:color="auto"/>
            </w:tcBorders>
            <w:shd w:val="clear" w:color="auto" w:fill="auto"/>
            <w:noWrap/>
            <w:vAlign w:val="bottom"/>
            <w:hideMark/>
          </w:tcPr>
          <w:p w:rsidR="00705196" w:rsidRPr="00DA7619" w:rsidRDefault="00705196" w:rsidP="00705196">
            <w:pPr>
              <w:spacing w:before="0" w:after="0"/>
              <w:jc w:val="right"/>
              <w:rPr>
                <w:rFonts w:ascii="MS Sans Serif" w:eastAsia="Times New Roman" w:hAnsi="MS Sans Serif" w:cs="Times New Roman"/>
                <w:sz w:val="20"/>
                <w:szCs w:val="20"/>
                <w:lang w:eastAsia="en-CA"/>
              </w:rPr>
            </w:pPr>
            <w:r w:rsidRPr="00DA7619">
              <w:rPr>
                <w:rFonts w:ascii="MS Sans Serif" w:eastAsia="Times New Roman" w:hAnsi="MS Sans Serif" w:cs="Times New Roman"/>
                <w:sz w:val="20"/>
                <w:szCs w:val="20"/>
                <w:lang w:eastAsia="en-CA"/>
              </w:rPr>
              <w:t>5.2</w:t>
            </w:r>
          </w:p>
        </w:tc>
      </w:tr>
      <w:tr w:rsidR="00705196" w:rsidRPr="00DA7619" w:rsidTr="005200F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05196" w:rsidRPr="00DA7619" w:rsidRDefault="00705196" w:rsidP="00705196">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 xml:space="preserve">Growth in Government Sector (%)  </w:t>
            </w:r>
          </w:p>
        </w:tc>
        <w:tc>
          <w:tcPr>
            <w:tcW w:w="0" w:type="auto"/>
            <w:tcBorders>
              <w:top w:val="nil"/>
              <w:left w:val="nil"/>
              <w:bottom w:val="single" w:sz="4" w:space="0" w:color="auto"/>
              <w:right w:val="single" w:sz="4" w:space="0" w:color="auto"/>
            </w:tcBorders>
            <w:shd w:val="clear" w:color="000000"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2.4</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5.0</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5.3</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6.2</w:t>
            </w:r>
          </w:p>
        </w:tc>
        <w:tc>
          <w:tcPr>
            <w:tcW w:w="1020" w:type="dxa"/>
            <w:tcBorders>
              <w:top w:val="nil"/>
              <w:left w:val="nil"/>
              <w:bottom w:val="single" w:sz="4" w:space="0" w:color="auto"/>
              <w:right w:val="single" w:sz="4" w:space="0" w:color="auto"/>
            </w:tcBorders>
            <w:shd w:val="clear" w:color="auto" w:fill="auto"/>
            <w:noWrap/>
            <w:vAlign w:val="bottom"/>
            <w:hideMark/>
          </w:tcPr>
          <w:p w:rsidR="00705196" w:rsidRPr="00DA7619" w:rsidRDefault="00705196" w:rsidP="00705196">
            <w:pPr>
              <w:spacing w:before="0" w:after="0"/>
              <w:jc w:val="right"/>
              <w:rPr>
                <w:rFonts w:ascii="MS Sans Serif" w:eastAsia="Times New Roman" w:hAnsi="MS Sans Serif" w:cs="Times New Roman"/>
                <w:sz w:val="20"/>
                <w:szCs w:val="20"/>
                <w:lang w:eastAsia="en-CA"/>
              </w:rPr>
            </w:pPr>
            <w:r w:rsidRPr="00DA7619">
              <w:rPr>
                <w:rFonts w:ascii="MS Sans Serif" w:eastAsia="Times New Roman" w:hAnsi="MS Sans Serif" w:cs="Times New Roman"/>
                <w:sz w:val="20"/>
                <w:szCs w:val="20"/>
                <w:lang w:eastAsia="en-CA"/>
              </w:rPr>
              <w:t>4.2</w:t>
            </w:r>
          </w:p>
        </w:tc>
      </w:tr>
      <w:tr w:rsidR="00705196" w:rsidRPr="00DA7619" w:rsidTr="005200F9">
        <w:trPr>
          <w:trHeight w:val="255"/>
          <w:jc w:val="center"/>
        </w:trPr>
        <w:tc>
          <w:tcPr>
            <w:tcW w:w="0" w:type="auto"/>
            <w:tcBorders>
              <w:top w:val="nil"/>
              <w:left w:val="single" w:sz="4" w:space="0" w:color="auto"/>
              <w:bottom w:val="single" w:sz="4" w:space="0" w:color="auto"/>
              <w:right w:val="single" w:sz="4" w:space="0" w:color="auto"/>
            </w:tcBorders>
            <w:shd w:val="clear" w:color="000000" w:fill="D7E4BC"/>
            <w:noWrap/>
            <w:vAlign w:val="center"/>
            <w:hideMark/>
          </w:tcPr>
          <w:p w:rsidR="00705196" w:rsidRPr="00DA7619" w:rsidRDefault="00705196" w:rsidP="00705196">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Growth in Oil Sector (%)</w:t>
            </w:r>
          </w:p>
        </w:tc>
        <w:tc>
          <w:tcPr>
            <w:tcW w:w="0" w:type="auto"/>
            <w:tcBorders>
              <w:top w:val="nil"/>
              <w:left w:val="nil"/>
              <w:bottom w:val="single" w:sz="4" w:space="0" w:color="auto"/>
              <w:right w:val="single" w:sz="4" w:space="0" w:color="auto"/>
            </w:tcBorders>
            <w:shd w:val="clear" w:color="000000"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-4.1</w:t>
            </w:r>
          </w:p>
        </w:tc>
        <w:tc>
          <w:tcPr>
            <w:tcW w:w="0" w:type="auto"/>
            <w:tcBorders>
              <w:top w:val="nil"/>
              <w:left w:val="nil"/>
              <w:bottom w:val="single" w:sz="4" w:space="0" w:color="auto"/>
              <w:right w:val="single" w:sz="4" w:space="0" w:color="auto"/>
            </w:tcBorders>
            <w:shd w:val="clear" w:color="000000"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4.3</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-8.8</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2.2</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DA7619" w:rsidRDefault="00705196" w:rsidP="00705196">
            <w:pPr>
              <w:spacing w:before="0" w:after="0"/>
              <w:jc w:val="right"/>
              <w:rPr>
                <w:rFonts w:ascii="Arial" w:eastAsia="Times New Roman" w:hAnsi="Arial" w:cs="Arial"/>
                <w:i/>
                <w:iCs/>
                <w:sz w:val="18"/>
                <w:szCs w:val="18"/>
                <w:lang w:eastAsia="en-CA"/>
              </w:rPr>
            </w:pPr>
            <w:r w:rsidRPr="00DA7619">
              <w:rPr>
                <w:rFonts w:ascii="Arial" w:eastAsia="Times New Roman" w:hAnsi="Arial" w:cs="Arial"/>
                <w:i/>
                <w:iCs/>
                <w:sz w:val="18"/>
                <w:szCs w:val="18"/>
                <w:lang w:eastAsia="en-CA"/>
              </w:rPr>
              <w:t>4.3</w:t>
            </w:r>
          </w:p>
        </w:tc>
        <w:tc>
          <w:tcPr>
            <w:tcW w:w="1020" w:type="dxa"/>
            <w:tcBorders>
              <w:top w:val="nil"/>
              <w:left w:val="nil"/>
              <w:bottom w:val="single" w:sz="4" w:space="0" w:color="auto"/>
              <w:right w:val="single" w:sz="4" w:space="0" w:color="auto"/>
            </w:tcBorders>
            <w:shd w:val="clear" w:color="auto" w:fill="auto"/>
            <w:noWrap/>
            <w:vAlign w:val="bottom"/>
            <w:hideMark/>
          </w:tcPr>
          <w:p w:rsidR="00705196" w:rsidRPr="00DA7619" w:rsidRDefault="00705196" w:rsidP="00705196">
            <w:pPr>
              <w:spacing w:before="0" w:after="0"/>
              <w:jc w:val="right"/>
              <w:rPr>
                <w:rFonts w:ascii="MS Sans Serif" w:eastAsia="Times New Roman" w:hAnsi="MS Sans Serif" w:cs="Times New Roman"/>
                <w:sz w:val="20"/>
                <w:szCs w:val="20"/>
                <w:lang w:eastAsia="en-CA"/>
              </w:rPr>
            </w:pPr>
            <w:r w:rsidRPr="00DA7619">
              <w:rPr>
                <w:rFonts w:ascii="MS Sans Serif" w:eastAsia="Times New Roman" w:hAnsi="MS Sans Serif" w:cs="Times New Roman"/>
                <w:sz w:val="20"/>
                <w:szCs w:val="20"/>
                <w:lang w:eastAsia="en-CA"/>
              </w:rPr>
              <w:t>-0.4</w:t>
            </w:r>
          </w:p>
        </w:tc>
      </w:tr>
    </w:tbl>
    <w:p w:rsidR="00705196" w:rsidRPr="00E56FBA" w:rsidRDefault="00E56FBA">
      <w:pPr>
        <w:rPr>
          <w:rFonts w:cs="TimesNewRoman"/>
          <w:sz w:val="18"/>
        </w:rPr>
      </w:pPr>
      <w:r w:rsidRPr="00E56FBA">
        <w:rPr>
          <w:rFonts w:cs="TimesNewRoman"/>
          <w:sz w:val="18"/>
        </w:rPr>
        <w:tab/>
        <w:t>Source:  MEP (see References)</w:t>
      </w:r>
    </w:p>
    <w:p w:rsidR="005F0D3D" w:rsidRPr="00DA7619" w:rsidRDefault="005F0D3D" w:rsidP="0055608D">
      <w:pPr>
        <w:pStyle w:val="Heading3"/>
        <w:numPr>
          <w:ilvl w:val="1"/>
          <w:numId w:val="4"/>
        </w:numPr>
      </w:pPr>
      <w:bookmarkStart w:id="31" w:name="_Toc325940189"/>
      <w:r w:rsidRPr="00DA7619">
        <w:t>Population and work force</w:t>
      </w:r>
      <w:bookmarkEnd w:id="31"/>
      <w:r w:rsidRPr="00DA7619">
        <w:t xml:space="preserve"> </w:t>
      </w:r>
    </w:p>
    <w:p w:rsidR="006F7AC5" w:rsidRPr="00DA7619" w:rsidRDefault="0094668F" w:rsidP="006F7AC5">
      <w:r w:rsidRPr="00DA7619">
        <w:t>A key concern over the last three decades has been coping with the mismatch of skills needed to meet the course of economic development chosen by government planners, and trained personnel holding these skills.  This mismatch has been identified as a crucial blockage by several authors.  One example points to the m</w:t>
      </w:r>
      <w:r w:rsidR="006F7AC5" w:rsidRPr="00DA7619">
        <w:t>any public construction projects</w:t>
      </w:r>
      <w:r w:rsidRPr="00DA7619">
        <w:t xml:space="preserve"> launched under</w:t>
      </w:r>
      <w:r w:rsidR="006F7AC5" w:rsidRPr="00DA7619">
        <w:t xml:space="preserve"> the government’s national development plans</w:t>
      </w:r>
      <w:r w:rsidRPr="00DA7619">
        <w:t xml:space="preserve">, and as part of its economic stimulus counter to external financial crises.  These projects have been undertaken with the use of </w:t>
      </w:r>
      <w:r w:rsidR="006F7AC5" w:rsidRPr="00DA7619">
        <w:t xml:space="preserve">significant public expenditure.  </w:t>
      </w:r>
      <w:r w:rsidRPr="00DA7619">
        <w:t>However, “</w:t>
      </w:r>
      <w:r w:rsidR="006F7AC5" w:rsidRPr="00DA7619">
        <w:t xml:space="preserve">One of the critical problems concerning these projects is the frequent and lengthy delays that occur... It is found the most influencing current cause of delay is the lack of qualified and experienced personnel – attributed to the considerable amount of large, innovative, construction projects and associated current undersupply of manpower in the industry </w:t>
      </w:r>
      <w:r w:rsidR="007D6549" w:rsidRPr="00DA7619">
        <w:fldChar w:fldCharType="begin"/>
      </w:r>
      <w:r w:rsidR="00DB11E7">
        <w:instrText xml:space="preserve"> ADDIN EN.CITE &lt;EndNote&gt;&lt;Cite&gt;&lt;Author&gt;Al-Karashi&lt;/Author&gt;&lt;Year&gt;2009&lt;/Year&gt;&lt;RecNum&gt;1090&lt;/RecNum&gt;&lt;record&gt;&lt;rec-number&gt;1090&lt;/rec-number&gt;&lt;ref-type name="Journal Article"&gt;17&lt;/ref-type&gt;&lt;contributors&gt;&lt;authors&gt;&lt;author&gt;Adel Al-Karashi&lt;/author&gt;&lt;author&gt;Martin Skitmore&lt;/author&gt;&lt;/authors&gt;&lt;/contributors&gt;&lt;titles&gt;&lt;title&gt;Causes of delays in Saudi Arabian public sector construction projects&lt;/title&gt;&lt;secondary-title&gt;Construction Management and Economics, Routledge&lt;/secondary-title&gt;&lt;/titles&gt;&lt;periodical&gt;&lt;full-title&gt;Construction Management and Economics, Routledge&lt;/full-title&gt;&lt;/periodical&gt;&lt;pages&gt; 3-23&lt;/pages&gt;&lt;volume&gt;27&lt;/volume&gt;&lt;number&gt;1&lt;/number&gt;&lt;dates&gt;&lt;year&gt;2009&lt;/year&gt;&lt;/dates&gt;&lt;urls&gt;&lt;related-urls&gt;&lt;url&gt;http://eprints.qut.edu.au/21066/1/c21066.pdf&lt;/url&gt;&lt;/related-urls&gt;&lt;/urls&gt;&lt;/record&gt;&lt;/Cite&gt;&lt;/EndNote&gt;</w:instrText>
      </w:r>
      <w:r w:rsidR="007D6549" w:rsidRPr="00DA7619">
        <w:fldChar w:fldCharType="separate"/>
      </w:r>
      <w:r w:rsidR="006F7AC5" w:rsidRPr="00DA7619">
        <w:t>(Al-Karashi and Skitmore 2009)</w:t>
      </w:r>
      <w:r w:rsidR="007D6549" w:rsidRPr="00DA7619">
        <w:fldChar w:fldCharType="end"/>
      </w:r>
      <w:r w:rsidR="00C30819" w:rsidRPr="00DA7619">
        <w:t>.</w:t>
      </w:r>
    </w:p>
    <w:p w:rsidR="008A1C2C" w:rsidRPr="00DA7619" w:rsidRDefault="0094668F">
      <w:pPr>
        <w:rPr>
          <w:rFonts w:cs="TimesNewRoman"/>
        </w:rPr>
      </w:pPr>
      <w:r w:rsidRPr="00DA7619">
        <w:rPr>
          <w:rFonts w:cs="TimesNewRoman"/>
        </w:rPr>
        <w:t>Of concern to the government is the difficulty in filling these gaps with Saudi nationals.  Because of important financial costs</w:t>
      </w:r>
      <w:r w:rsidR="00C30819" w:rsidRPr="00DA7619">
        <w:rPr>
          <w:rFonts w:cs="TimesNewRoman"/>
        </w:rPr>
        <w:t xml:space="preserve"> to delays, not only in construction but in virtually all projects</w:t>
      </w:r>
      <w:r w:rsidRPr="00DA7619">
        <w:rPr>
          <w:rFonts w:cs="TimesNewRoman"/>
        </w:rPr>
        <w:t xml:space="preserve">, </w:t>
      </w:r>
      <w:r w:rsidR="00C30819" w:rsidRPr="00DA7619">
        <w:rPr>
          <w:rFonts w:cs="TimesNewRoman"/>
        </w:rPr>
        <w:t xml:space="preserve">often </w:t>
      </w:r>
      <w:r w:rsidRPr="00DA7619">
        <w:rPr>
          <w:rFonts w:cs="TimesNewRoman"/>
        </w:rPr>
        <w:t xml:space="preserve">it has </w:t>
      </w:r>
      <w:r w:rsidR="00C30819" w:rsidRPr="00DA7619">
        <w:rPr>
          <w:rFonts w:cs="TimesNewRoman"/>
        </w:rPr>
        <w:t xml:space="preserve">been </w:t>
      </w:r>
      <w:r w:rsidRPr="00DA7619">
        <w:rPr>
          <w:rFonts w:cs="TimesNewRoman"/>
        </w:rPr>
        <w:t xml:space="preserve">necessary to </w:t>
      </w:r>
      <w:r w:rsidR="00EC31A1" w:rsidRPr="00DA7619">
        <w:rPr>
          <w:rFonts w:cs="TimesNewRoman"/>
        </w:rPr>
        <w:t>look outside the country</w:t>
      </w:r>
      <w:r w:rsidR="00C30819" w:rsidRPr="00DA7619">
        <w:rPr>
          <w:rFonts w:cs="TimesNewRoman"/>
        </w:rPr>
        <w:t xml:space="preserve"> to bring in personnel as needed</w:t>
      </w:r>
      <w:r w:rsidR="00EC31A1" w:rsidRPr="00DA7619">
        <w:rPr>
          <w:rFonts w:cs="TimesNewRoman"/>
        </w:rPr>
        <w:t xml:space="preserve">.  </w:t>
      </w:r>
      <w:r w:rsidR="002D3FB3" w:rsidRPr="00DA7619">
        <w:rPr>
          <w:rFonts w:cs="TimesNewRoman"/>
        </w:rPr>
        <w:t xml:space="preserve">Of the total population, </w:t>
      </w:r>
      <w:r w:rsidR="00387A34" w:rsidRPr="00DA7619">
        <w:rPr>
          <w:rFonts w:cs="TimesNewRoman"/>
        </w:rPr>
        <w:t xml:space="preserve">as of 2010 </w:t>
      </w:r>
      <w:r w:rsidR="005F0AAA" w:rsidRPr="00DA7619">
        <w:rPr>
          <w:rFonts w:cs="TimesNewRoman"/>
        </w:rPr>
        <w:t>some 8</w:t>
      </w:r>
      <w:r w:rsidR="00803939" w:rsidRPr="00DA7619">
        <w:rPr>
          <w:rFonts w:cs="TimesNewRoman"/>
        </w:rPr>
        <w:t>.</w:t>
      </w:r>
      <w:r w:rsidR="00387A34" w:rsidRPr="00DA7619">
        <w:rPr>
          <w:rFonts w:cs="TimesNewRoman"/>
        </w:rPr>
        <w:t>6 million or 31</w:t>
      </w:r>
      <w:r w:rsidR="005F0AAA" w:rsidRPr="00DA7619">
        <w:rPr>
          <w:rFonts w:cs="TimesNewRoman"/>
        </w:rPr>
        <w:t xml:space="preserve"> percent were expatriates. </w:t>
      </w:r>
      <w:r w:rsidR="00387A34" w:rsidRPr="00DA7619">
        <w:rPr>
          <w:rFonts w:cs="TimesNewRoman"/>
        </w:rPr>
        <w:t xml:space="preserve">Although the non-Saudi share of the population had not </w:t>
      </w:r>
      <w:r w:rsidR="00545C23" w:rsidRPr="00DA7619">
        <w:rPr>
          <w:rFonts w:cs="TimesNewRoman"/>
        </w:rPr>
        <w:t>fallen</w:t>
      </w:r>
      <w:r w:rsidR="00387A34" w:rsidRPr="00DA7619">
        <w:rPr>
          <w:rFonts w:cs="TimesNewRoman"/>
        </w:rPr>
        <w:t xml:space="preserve">, there was some small decrease in </w:t>
      </w:r>
      <w:r w:rsidR="008A1C2C" w:rsidRPr="00DA7619">
        <w:rPr>
          <w:rFonts w:cs="TimesNewRoman"/>
        </w:rPr>
        <w:t xml:space="preserve">the share of </w:t>
      </w:r>
      <w:r w:rsidR="00387A34" w:rsidRPr="00DA7619">
        <w:rPr>
          <w:rFonts w:cs="TimesNewRoman"/>
        </w:rPr>
        <w:t>non-nationals among the employed population:  this percentage declined slightly from 54.4 percent in 2006 to just below 53 percent</w:t>
      </w:r>
      <w:r w:rsidR="008A1C2C" w:rsidRPr="00DA7619">
        <w:rPr>
          <w:rFonts w:cs="TimesNewRoman"/>
        </w:rPr>
        <w:t xml:space="preserve"> in 2009 (the latest year for which data are available.  </w:t>
      </w:r>
    </w:p>
    <w:p w:rsidR="00545C23" w:rsidRPr="00DA7619" w:rsidRDefault="00545C23" w:rsidP="00545C23">
      <w:pPr>
        <w:pStyle w:val="Caption"/>
        <w:rPr>
          <w:rFonts w:cs="TimesNewRoman"/>
        </w:rPr>
      </w:pPr>
      <w:bookmarkStart w:id="32" w:name="_Toc325940221"/>
      <w:r w:rsidRPr="00DA7619">
        <w:t xml:space="preserve">Table </w:t>
      </w:r>
      <w:r w:rsidR="002916D7">
        <w:t>4</w:t>
      </w:r>
      <w:r w:rsidR="00DC37BE" w:rsidRPr="00DA7619">
        <w:noBreakHyphen/>
      </w:r>
      <w:fldSimple w:instr=" SEQ Table \* ARABIC \s 1 ">
        <w:r w:rsidR="00DC37BE" w:rsidRPr="00DA7619">
          <w:rPr>
            <w:noProof/>
          </w:rPr>
          <w:t>2</w:t>
        </w:r>
      </w:fldSimple>
      <w:r w:rsidRPr="00DA7619">
        <w:t xml:space="preserve">  Saudi Arabia Total and Employed Population, 2004-2011</w:t>
      </w:r>
      <w:bookmarkEnd w:id="32"/>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764"/>
        <w:gridCol w:w="764"/>
        <w:gridCol w:w="764"/>
        <w:gridCol w:w="764"/>
        <w:gridCol w:w="764"/>
        <w:gridCol w:w="764"/>
        <w:gridCol w:w="682"/>
        <w:gridCol w:w="641"/>
      </w:tblGrid>
      <w:tr w:rsidR="00387A34" w:rsidRPr="00DA7619" w:rsidTr="005F0D3D">
        <w:trPr>
          <w:trHeight w:val="360"/>
          <w:jc w:val="center"/>
        </w:trPr>
        <w:tc>
          <w:tcPr>
            <w:tcW w:w="0" w:type="auto"/>
            <w:shd w:val="clear" w:color="auto" w:fill="auto"/>
            <w:noWrap/>
            <w:vAlign w:val="bottom"/>
            <w:hideMark/>
          </w:tcPr>
          <w:p w:rsidR="00387A34" w:rsidRPr="00DA7619" w:rsidRDefault="00387A34" w:rsidP="00387A34">
            <w:pPr>
              <w:spacing w:before="0" w:after="0"/>
              <w:rPr>
                <w:rFonts w:ascii="Arial Narrow" w:eastAsia="Times New Roman" w:hAnsi="Arial Narrow" w:cs="Times New Roman"/>
                <w:sz w:val="20"/>
                <w:szCs w:val="20"/>
                <w:lang w:eastAsia="en-CA"/>
              </w:rPr>
            </w:pP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2004</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2005</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2006</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2007</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2008</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2009</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2010</w:t>
            </w:r>
            <w:r w:rsidRPr="00DA7619">
              <w:rPr>
                <w:rFonts w:ascii="Arial Narrow" w:eastAsia="Times New Roman" w:hAnsi="Arial Narrow" w:cs="Arial"/>
                <w:bCs/>
                <w:sz w:val="20"/>
                <w:szCs w:val="20"/>
                <w:vertAlign w:val="superscript"/>
                <w:lang w:eastAsia="en-CA"/>
              </w:rPr>
              <w:t>r</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2011</w:t>
            </w:r>
            <w:r w:rsidRPr="00DA7619">
              <w:rPr>
                <w:rFonts w:ascii="Arial Narrow" w:eastAsia="Times New Roman" w:hAnsi="Arial Narrow" w:cs="Arial"/>
                <w:bCs/>
                <w:sz w:val="20"/>
                <w:szCs w:val="20"/>
                <w:vertAlign w:val="superscript"/>
                <w:lang w:eastAsia="en-CA"/>
              </w:rPr>
              <w:t>p</w:t>
            </w:r>
          </w:p>
        </w:tc>
      </w:tr>
      <w:tr w:rsidR="00387A34" w:rsidRPr="00DA7619" w:rsidTr="005F0D3D">
        <w:trPr>
          <w:trHeight w:val="255"/>
          <w:jc w:val="center"/>
        </w:trPr>
        <w:tc>
          <w:tcPr>
            <w:tcW w:w="0" w:type="auto"/>
            <w:shd w:val="clear" w:color="000000" w:fill="D7E4BC"/>
            <w:noWrap/>
            <w:vAlign w:val="center"/>
            <w:hideMark/>
          </w:tcPr>
          <w:p w:rsidR="00387A34" w:rsidRPr="00DA7619" w:rsidRDefault="00387A34" w:rsidP="00CA59BE">
            <w:pPr>
              <w:spacing w:before="0" w:after="0"/>
              <w:rPr>
                <w:rFonts w:ascii="Arial Narrow" w:eastAsia="Times New Roman" w:hAnsi="Arial Narrow" w:cs="Times New Roman"/>
                <w:bCs/>
                <w:sz w:val="20"/>
                <w:szCs w:val="20"/>
                <w:lang w:eastAsia="en-CA"/>
              </w:rPr>
            </w:pPr>
            <w:r w:rsidRPr="00DA7619">
              <w:rPr>
                <w:rFonts w:ascii="Arial Narrow" w:eastAsia="Times New Roman" w:hAnsi="Arial Narrow" w:cs="Times New Roman"/>
                <w:bCs/>
                <w:sz w:val="20"/>
                <w:szCs w:val="20"/>
                <w:lang w:eastAsia="en-CA"/>
              </w:rPr>
              <w:t>Total Population</w:t>
            </w:r>
            <w:r w:rsidRPr="00DA7619">
              <w:rPr>
                <w:rFonts w:ascii="Arial Narrow" w:eastAsia="Times New Roman" w:hAnsi="Arial Narrow" w:cs="Times New Roman"/>
                <w:sz w:val="20"/>
                <w:szCs w:val="20"/>
                <w:lang w:eastAsia="en-CA"/>
              </w:rPr>
              <w:t xml:space="preserve"> (</w:t>
            </w:r>
            <w:r w:rsidR="00CA59BE" w:rsidRPr="00DA7619">
              <w:rPr>
                <w:rFonts w:ascii="Arial Narrow" w:eastAsia="Times New Roman" w:hAnsi="Arial Narrow" w:cs="Times New Roman"/>
                <w:sz w:val="20"/>
                <w:szCs w:val="20"/>
                <w:lang w:eastAsia="en-CA"/>
              </w:rPr>
              <w:t>millions</w:t>
            </w:r>
            <w:r w:rsidRPr="00DA7619">
              <w:rPr>
                <w:rFonts w:ascii="Arial Narrow" w:eastAsia="Times New Roman" w:hAnsi="Arial Narrow" w:cs="Times New Roman"/>
                <w:sz w:val="20"/>
                <w:szCs w:val="20"/>
                <w:lang w:eastAsia="en-CA"/>
              </w:rPr>
              <w:t>)</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22.56</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23.33</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24.12</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24.94</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25.79</w:t>
            </w:r>
          </w:p>
        </w:tc>
        <w:tc>
          <w:tcPr>
            <w:tcW w:w="0" w:type="auto"/>
            <w:shd w:val="clear" w:color="FFFFFF" w:fill="D7E4BC"/>
            <w:noWrap/>
            <w:vAlign w:val="center"/>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26.66</w:t>
            </w:r>
          </w:p>
        </w:tc>
        <w:tc>
          <w:tcPr>
            <w:tcW w:w="0" w:type="auto"/>
            <w:shd w:val="clear" w:color="FFFFFF" w:fill="D7E4BC"/>
            <w:noWrap/>
            <w:vAlign w:val="center"/>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27.56</w:t>
            </w:r>
          </w:p>
        </w:tc>
        <w:tc>
          <w:tcPr>
            <w:tcW w:w="0" w:type="auto"/>
            <w:shd w:val="clear" w:color="FFFFFF" w:fill="D7E4BC"/>
            <w:noWrap/>
            <w:vAlign w:val="center"/>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28.38</w:t>
            </w:r>
          </w:p>
        </w:tc>
      </w:tr>
      <w:tr w:rsidR="00387A34" w:rsidRPr="00DA7619" w:rsidTr="005F0D3D">
        <w:trPr>
          <w:trHeight w:val="255"/>
          <w:jc w:val="center"/>
        </w:trPr>
        <w:tc>
          <w:tcPr>
            <w:tcW w:w="0" w:type="auto"/>
            <w:shd w:val="clear" w:color="000000" w:fill="FFFFFF"/>
            <w:noWrap/>
            <w:vAlign w:val="center"/>
            <w:hideMark/>
          </w:tcPr>
          <w:p w:rsidR="00387A34" w:rsidRPr="00DA7619" w:rsidRDefault="00387A34" w:rsidP="00387A34">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 xml:space="preserve">Saudis </w:t>
            </w:r>
          </w:p>
        </w:tc>
        <w:tc>
          <w:tcPr>
            <w:tcW w:w="0" w:type="auto"/>
            <w:shd w:val="clear" w:color="000000" w:fill="FFFFFF"/>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16.44</w:t>
            </w:r>
          </w:p>
        </w:tc>
        <w:tc>
          <w:tcPr>
            <w:tcW w:w="0" w:type="auto"/>
            <w:shd w:val="clear" w:color="000000" w:fill="FFFFFF"/>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16.85</w:t>
            </w:r>
          </w:p>
        </w:tc>
        <w:tc>
          <w:tcPr>
            <w:tcW w:w="0" w:type="auto"/>
            <w:shd w:val="clear" w:color="000000" w:fill="FFFFFF"/>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17.27</w:t>
            </w:r>
          </w:p>
        </w:tc>
        <w:tc>
          <w:tcPr>
            <w:tcW w:w="0" w:type="auto"/>
            <w:shd w:val="clear" w:color="000000" w:fill="FFFFFF"/>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17.69</w:t>
            </w:r>
          </w:p>
        </w:tc>
        <w:tc>
          <w:tcPr>
            <w:tcW w:w="0" w:type="auto"/>
            <w:shd w:val="clear" w:color="000000" w:fill="FFFFFF"/>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18.12</w:t>
            </w:r>
          </w:p>
        </w:tc>
        <w:tc>
          <w:tcPr>
            <w:tcW w:w="0" w:type="auto"/>
            <w:shd w:val="clear" w:color="FFFFFF" w:fill="FFFFFF"/>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18.54</w:t>
            </w:r>
          </w:p>
        </w:tc>
        <w:tc>
          <w:tcPr>
            <w:tcW w:w="0" w:type="auto"/>
            <w:shd w:val="clear" w:color="FFFFFF" w:fill="FFFFFF"/>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18.97</w:t>
            </w:r>
          </w:p>
        </w:tc>
        <w:tc>
          <w:tcPr>
            <w:tcW w:w="0" w:type="auto"/>
            <w:shd w:val="clear" w:color="FFFFFF" w:fill="FFFFFF"/>
            <w:noWrap/>
            <w:vAlign w:val="center"/>
            <w:hideMark/>
          </w:tcPr>
          <w:p w:rsidR="00387A34" w:rsidRPr="00DA7619" w:rsidRDefault="00C3683A" w:rsidP="00C3683A">
            <w:pPr>
              <w:spacing w:before="0" w:after="0"/>
              <w:jc w:val="center"/>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w:t>
            </w:r>
          </w:p>
        </w:tc>
      </w:tr>
      <w:tr w:rsidR="00387A34" w:rsidRPr="00DA7619" w:rsidTr="005F0D3D">
        <w:trPr>
          <w:trHeight w:val="255"/>
          <w:jc w:val="center"/>
        </w:trPr>
        <w:tc>
          <w:tcPr>
            <w:tcW w:w="0" w:type="auto"/>
            <w:shd w:val="clear" w:color="000000" w:fill="D7E4BC"/>
            <w:noWrap/>
            <w:vAlign w:val="center"/>
            <w:hideMark/>
          </w:tcPr>
          <w:p w:rsidR="00387A34" w:rsidRPr="00DA7619" w:rsidRDefault="00387A34" w:rsidP="00387A34">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 xml:space="preserve">Non-Saudis </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6.12</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6.48</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6.85</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7.25</w:t>
            </w:r>
          </w:p>
        </w:tc>
        <w:tc>
          <w:tcPr>
            <w:tcW w:w="0" w:type="auto"/>
            <w:shd w:val="clear" w:color="000000" w:fill="D7E4BC"/>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7.67</w:t>
            </w:r>
          </w:p>
        </w:tc>
        <w:tc>
          <w:tcPr>
            <w:tcW w:w="0" w:type="auto"/>
            <w:shd w:val="clear" w:color="FFFFFF" w:fill="D7E4BC"/>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8.12</w:t>
            </w:r>
          </w:p>
        </w:tc>
        <w:tc>
          <w:tcPr>
            <w:tcW w:w="0" w:type="auto"/>
            <w:shd w:val="clear" w:color="FFFFFF" w:fill="D7E4BC"/>
            <w:noWrap/>
            <w:vAlign w:val="center"/>
            <w:hideMark/>
          </w:tcPr>
          <w:p w:rsidR="00387A34" w:rsidRPr="00DA7619" w:rsidRDefault="00387A34"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8.59</w:t>
            </w:r>
          </w:p>
        </w:tc>
        <w:tc>
          <w:tcPr>
            <w:tcW w:w="0" w:type="auto"/>
            <w:shd w:val="clear" w:color="FFFFFF" w:fill="D7E4BC"/>
            <w:noWrap/>
            <w:vAlign w:val="center"/>
            <w:hideMark/>
          </w:tcPr>
          <w:p w:rsidR="00387A34" w:rsidRPr="00DA7619" w:rsidRDefault="00C3683A" w:rsidP="00C3683A">
            <w:pPr>
              <w:spacing w:before="0" w:after="0"/>
              <w:jc w:val="center"/>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w:t>
            </w:r>
          </w:p>
        </w:tc>
      </w:tr>
      <w:tr w:rsidR="00387A34" w:rsidRPr="00DA7619" w:rsidTr="005F0D3D">
        <w:trPr>
          <w:trHeight w:val="270"/>
          <w:jc w:val="center"/>
        </w:trPr>
        <w:tc>
          <w:tcPr>
            <w:tcW w:w="0" w:type="auto"/>
            <w:shd w:val="clear" w:color="auto" w:fill="auto"/>
            <w:noWrap/>
            <w:vAlign w:val="bottom"/>
            <w:hideMark/>
          </w:tcPr>
          <w:p w:rsidR="00387A34" w:rsidRPr="00DA7619" w:rsidRDefault="00387A34" w:rsidP="00387A34">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lastRenderedPageBreak/>
              <w:t>% Non-Saudis</w:t>
            </w:r>
          </w:p>
        </w:tc>
        <w:tc>
          <w:tcPr>
            <w:tcW w:w="0" w:type="auto"/>
            <w:shd w:val="clear" w:color="auto" w:fill="auto"/>
            <w:noWrap/>
            <w:vAlign w:val="bottom"/>
            <w:hideMark/>
          </w:tcPr>
          <w:p w:rsidR="00387A34" w:rsidRPr="00DA7619" w:rsidRDefault="00387A34" w:rsidP="00387A34">
            <w:pPr>
              <w:spacing w:before="0" w:after="0"/>
              <w:jc w:val="right"/>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27.1%</w:t>
            </w:r>
          </w:p>
        </w:tc>
        <w:tc>
          <w:tcPr>
            <w:tcW w:w="0" w:type="auto"/>
            <w:shd w:val="clear" w:color="auto" w:fill="auto"/>
            <w:noWrap/>
            <w:vAlign w:val="bottom"/>
            <w:hideMark/>
          </w:tcPr>
          <w:p w:rsidR="00387A34" w:rsidRPr="00DA7619" w:rsidRDefault="00387A34" w:rsidP="00387A34">
            <w:pPr>
              <w:spacing w:before="0" w:after="0"/>
              <w:jc w:val="right"/>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27.8%</w:t>
            </w:r>
          </w:p>
        </w:tc>
        <w:tc>
          <w:tcPr>
            <w:tcW w:w="0" w:type="auto"/>
            <w:shd w:val="clear" w:color="auto" w:fill="auto"/>
            <w:noWrap/>
            <w:vAlign w:val="bottom"/>
            <w:hideMark/>
          </w:tcPr>
          <w:p w:rsidR="00387A34" w:rsidRPr="00DA7619" w:rsidRDefault="00387A34" w:rsidP="00387A34">
            <w:pPr>
              <w:spacing w:before="0" w:after="0"/>
              <w:jc w:val="right"/>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28.4%</w:t>
            </w:r>
          </w:p>
        </w:tc>
        <w:tc>
          <w:tcPr>
            <w:tcW w:w="0" w:type="auto"/>
            <w:shd w:val="clear" w:color="auto" w:fill="auto"/>
            <w:noWrap/>
            <w:vAlign w:val="bottom"/>
            <w:hideMark/>
          </w:tcPr>
          <w:p w:rsidR="00387A34" w:rsidRPr="00DA7619" w:rsidRDefault="00387A34" w:rsidP="00387A34">
            <w:pPr>
              <w:spacing w:before="0" w:after="0"/>
              <w:jc w:val="right"/>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29.1%</w:t>
            </w:r>
          </w:p>
        </w:tc>
        <w:tc>
          <w:tcPr>
            <w:tcW w:w="0" w:type="auto"/>
            <w:shd w:val="clear" w:color="auto" w:fill="auto"/>
            <w:noWrap/>
            <w:vAlign w:val="bottom"/>
            <w:hideMark/>
          </w:tcPr>
          <w:p w:rsidR="00387A34" w:rsidRPr="00DA7619" w:rsidRDefault="00387A34" w:rsidP="00387A34">
            <w:pPr>
              <w:spacing w:before="0" w:after="0"/>
              <w:jc w:val="right"/>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29.7%</w:t>
            </w:r>
          </w:p>
        </w:tc>
        <w:tc>
          <w:tcPr>
            <w:tcW w:w="0" w:type="auto"/>
            <w:shd w:val="clear" w:color="auto" w:fill="auto"/>
            <w:noWrap/>
            <w:vAlign w:val="bottom"/>
            <w:hideMark/>
          </w:tcPr>
          <w:p w:rsidR="00387A34" w:rsidRPr="00DA7619" w:rsidRDefault="00387A34" w:rsidP="00387A34">
            <w:pPr>
              <w:spacing w:before="0" w:after="0"/>
              <w:jc w:val="right"/>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30.4%</w:t>
            </w:r>
          </w:p>
        </w:tc>
        <w:tc>
          <w:tcPr>
            <w:tcW w:w="0" w:type="auto"/>
            <w:shd w:val="clear" w:color="auto" w:fill="auto"/>
            <w:noWrap/>
            <w:vAlign w:val="bottom"/>
            <w:hideMark/>
          </w:tcPr>
          <w:p w:rsidR="00387A34" w:rsidRPr="00DA7619" w:rsidRDefault="00387A34" w:rsidP="00387A34">
            <w:pPr>
              <w:spacing w:before="0" w:after="0"/>
              <w:jc w:val="right"/>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31.2%</w:t>
            </w:r>
          </w:p>
        </w:tc>
        <w:tc>
          <w:tcPr>
            <w:tcW w:w="0" w:type="auto"/>
            <w:shd w:val="clear" w:color="auto" w:fill="auto"/>
            <w:noWrap/>
            <w:vAlign w:val="bottom"/>
            <w:hideMark/>
          </w:tcPr>
          <w:p w:rsidR="00387A34" w:rsidRPr="00DA7619" w:rsidRDefault="00C3683A" w:rsidP="00C3683A">
            <w:pPr>
              <w:spacing w:before="0" w:after="0"/>
              <w:jc w:val="center"/>
              <w:rPr>
                <w:rFonts w:ascii="Arial Narrow" w:eastAsia="Times New Roman" w:hAnsi="Arial Narrow" w:cs="Times New Roman"/>
                <w:sz w:val="20"/>
                <w:szCs w:val="20"/>
                <w:lang w:eastAsia="en-CA"/>
              </w:rPr>
            </w:pPr>
            <w:r w:rsidRPr="00DA7619">
              <w:rPr>
                <w:rFonts w:ascii="Arial Narrow" w:eastAsia="Times New Roman" w:hAnsi="Arial Narrow" w:cs="Arial"/>
                <w:sz w:val="20"/>
                <w:szCs w:val="20"/>
                <w:lang w:eastAsia="en-CA"/>
              </w:rPr>
              <w:t>-</w:t>
            </w:r>
          </w:p>
        </w:tc>
      </w:tr>
      <w:tr w:rsidR="00387A34" w:rsidRPr="00DA7619" w:rsidTr="005F0D3D">
        <w:trPr>
          <w:trHeight w:val="360"/>
          <w:jc w:val="center"/>
        </w:trPr>
        <w:tc>
          <w:tcPr>
            <w:tcW w:w="0" w:type="auto"/>
            <w:shd w:val="clear" w:color="auto" w:fill="auto"/>
            <w:noWrap/>
            <w:vAlign w:val="bottom"/>
            <w:hideMark/>
          </w:tcPr>
          <w:p w:rsidR="00387A34" w:rsidRPr="00DA7619" w:rsidRDefault="00387A34" w:rsidP="00387A34">
            <w:pPr>
              <w:spacing w:before="0" w:after="0"/>
              <w:rPr>
                <w:rFonts w:ascii="Arial Narrow" w:eastAsia="Times New Roman" w:hAnsi="Arial Narrow" w:cs="Times New Roman"/>
                <w:sz w:val="20"/>
                <w:szCs w:val="20"/>
                <w:lang w:eastAsia="en-CA"/>
              </w:rPr>
            </w:pP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2004</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2005</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2006</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2007</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2008</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2009</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2010</w:t>
            </w:r>
            <w:r w:rsidRPr="00DA7619">
              <w:rPr>
                <w:rFonts w:ascii="Arial Narrow" w:eastAsia="Times New Roman" w:hAnsi="Arial Narrow" w:cs="Arial"/>
                <w:bCs/>
                <w:sz w:val="20"/>
                <w:szCs w:val="20"/>
                <w:vertAlign w:val="superscript"/>
                <w:lang w:eastAsia="en-CA"/>
              </w:rPr>
              <w:t>r</w:t>
            </w:r>
          </w:p>
        </w:tc>
        <w:tc>
          <w:tcPr>
            <w:tcW w:w="0" w:type="auto"/>
            <w:shd w:val="clear" w:color="000000" w:fill="C2D69A"/>
            <w:noWrap/>
            <w:vAlign w:val="bottom"/>
            <w:hideMark/>
          </w:tcPr>
          <w:p w:rsidR="00387A34" w:rsidRPr="00DA7619" w:rsidRDefault="00387A34"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2011</w:t>
            </w:r>
            <w:r w:rsidRPr="00DA7619">
              <w:rPr>
                <w:rFonts w:ascii="Arial Narrow" w:eastAsia="Times New Roman" w:hAnsi="Arial Narrow" w:cs="Arial"/>
                <w:bCs/>
                <w:sz w:val="20"/>
                <w:szCs w:val="20"/>
                <w:vertAlign w:val="superscript"/>
                <w:lang w:eastAsia="en-CA"/>
              </w:rPr>
              <w:t>p</w:t>
            </w:r>
          </w:p>
        </w:tc>
      </w:tr>
      <w:tr w:rsidR="00C3683A" w:rsidRPr="00DA7619" w:rsidTr="005F0D3D">
        <w:trPr>
          <w:trHeight w:val="300"/>
          <w:jc w:val="center"/>
        </w:trPr>
        <w:tc>
          <w:tcPr>
            <w:tcW w:w="0" w:type="auto"/>
            <w:shd w:val="clear" w:color="auto" w:fill="auto"/>
            <w:noWrap/>
            <w:vAlign w:val="center"/>
            <w:hideMark/>
          </w:tcPr>
          <w:p w:rsidR="00C3683A" w:rsidRPr="00DA7619" w:rsidRDefault="00C3683A" w:rsidP="00CA59BE">
            <w:pPr>
              <w:spacing w:before="0" w:after="0"/>
              <w:rPr>
                <w:rFonts w:ascii="Arial Narrow" w:eastAsia="Times New Roman" w:hAnsi="Arial Narrow" w:cs="Times New Roman"/>
                <w:bCs/>
                <w:sz w:val="20"/>
                <w:szCs w:val="20"/>
                <w:lang w:eastAsia="en-CA"/>
              </w:rPr>
            </w:pPr>
            <w:r w:rsidRPr="00DA7619">
              <w:rPr>
                <w:rFonts w:ascii="Arial Narrow" w:eastAsia="Times New Roman" w:hAnsi="Arial Narrow" w:cs="Times New Roman"/>
                <w:bCs/>
                <w:sz w:val="20"/>
                <w:szCs w:val="20"/>
                <w:lang w:eastAsia="en-CA"/>
              </w:rPr>
              <w:t xml:space="preserve">Total Employment </w:t>
            </w:r>
            <w:r w:rsidR="00427117" w:rsidRPr="00DA7619">
              <w:rPr>
                <w:rFonts w:ascii="Arial Narrow" w:eastAsia="Times New Roman" w:hAnsi="Arial Narrow" w:cs="Times New Roman"/>
                <w:sz w:val="20"/>
                <w:szCs w:val="20"/>
                <w:lang w:eastAsia="en-CA"/>
              </w:rPr>
              <w:t>(</w:t>
            </w:r>
            <w:r w:rsidR="00CA59BE" w:rsidRPr="00DA7619">
              <w:rPr>
                <w:rFonts w:ascii="Arial Narrow" w:eastAsia="Times New Roman" w:hAnsi="Arial Narrow" w:cs="Times New Roman"/>
                <w:sz w:val="20"/>
                <w:szCs w:val="20"/>
                <w:lang w:eastAsia="en-CA"/>
              </w:rPr>
              <w:t>‘000</w:t>
            </w:r>
            <w:r w:rsidRPr="00DA7619">
              <w:rPr>
                <w:rFonts w:ascii="Arial Narrow" w:eastAsia="Times New Roman" w:hAnsi="Arial Narrow" w:cs="Times New Roman"/>
                <w:sz w:val="20"/>
                <w:szCs w:val="20"/>
                <w:lang w:eastAsia="en-CA"/>
              </w:rPr>
              <w:t>)</w:t>
            </w:r>
            <w:r w:rsidRPr="00DA7619">
              <w:rPr>
                <w:rFonts w:ascii="Arial Narrow" w:eastAsia="Times New Roman" w:hAnsi="Arial Narrow" w:cs="Times New Roman"/>
                <w:sz w:val="20"/>
                <w:szCs w:val="20"/>
                <w:vertAlign w:val="superscript"/>
                <w:lang w:eastAsia="en-CA"/>
              </w:rPr>
              <w:t xml:space="preserve"> </w:t>
            </w:r>
          </w:p>
        </w:tc>
        <w:tc>
          <w:tcPr>
            <w:tcW w:w="0" w:type="auto"/>
            <w:shd w:val="clear" w:color="auto" w:fill="auto"/>
            <w:noWrap/>
            <w:vAlign w:val="center"/>
            <w:hideMark/>
          </w:tcPr>
          <w:p w:rsidR="00C3683A" w:rsidRPr="00DA7619" w:rsidRDefault="00C3683A"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7,180.6</w:t>
            </w:r>
          </w:p>
        </w:tc>
        <w:tc>
          <w:tcPr>
            <w:tcW w:w="0" w:type="auto"/>
            <w:shd w:val="clear" w:color="auto" w:fill="auto"/>
            <w:noWrap/>
            <w:vAlign w:val="center"/>
            <w:hideMark/>
          </w:tcPr>
          <w:p w:rsidR="00C3683A" w:rsidRPr="00DA7619" w:rsidRDefault="00C3683A"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7,371.5</w:t>
            </w:r>
          </w:p>
        </w:tc>
        <w:tc>
          <w:tcPr>
            <w:tcW w:w="0" w:type="auto"/>
            <w:shd w:val="clear" w:color="auto" w:fill="auto"/>
            <w:noWrap/>
            <w:vAlign w:val="center"/>
            <w:hideMark/>
          </w:tcPr>
          <w:p w:rsidR="00C3683A" w:rsidRPr="00DA7619" w:rsidRDefault="00C3683A"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7,523.0</w:t>
            </w:r>
          </w:p>
        </w:tc>
        <w:tc>
          <w:tcPr>
            <w:tcW w:w="0" w:type="auto"/>
            <w:shd w:val="clear" w:color="auto" w:fill="auto"/>
            <w:noWrap/>
            <w:vAlign w:val="center"/>
            <w:hideMark/>
          </w:tcPr>
          <w:p w:rsidR="00C3683A" w:rsidRPr="00DA7619" w:rsidRDefault="00C3683A"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7,744.4</w:t>
            </w:r>
          </w:p>
        </w:tc>
        <w:tc>
          <w:tcPr>
            <w:tcW w:w="0" w:type="auto"/>
            <w:shd w:val="clear" w:color="auto" w:fill="auto"/>
            <w:noWrap/>
            <w:vAlign w:val="center"/>
            <w:hideMark/>
          </w:tcPr>
          <w:p w:rsidR="00C3683A" w:rsidRPr="00DA7619" w:rsidRDefault="00C3683A"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8,017.3</w:t>
            </w:r>
          </w:p>
        </w:tc>
        <w:tc>
          <w:tcPr>
            <w:tcW w:w="0" w:type="auto"/>
            <w:shd w:val="clear" w:color="auto" w:fill="auto"/>
            <w:noWrap/>
            <w:vAlign w:val="center"/>
            <w:hideMark/>
          </w:tcPr>
          <w:p w:rsidR="00C3683A" w:rsidRPr="00DA7619" w:rsidRDefault="00C3683A" w:rsidP="00387A34">
            <w:pPr>
              <w:spacing w:before="0" w:after="0"/>
              <w:jc w:val="right"/>
              <w:rPr>
                <w:rFonts w:ascii="Arial Narrow" w:eastAsia="Times New Roman" w:hAnsi="Arial Narrow" w:cs="Arial"/>
                <w:bCs/>
                <w:sz w:val="20"/>
                <w:szCs w:val="20"/>
                <w:lang w:eastAsia="en-CA"/>
              </w:rPr>
            </w:pPr>
            <w:r w:rsidRPr="00DA7619">
              <w:rPr>
                <w:rFonts w:ascii="Arial Narrow" w:eastAsia="Times New Roman" w:hAnsi="Arial Narrow" w:cs="Arial"/>
                <w:bCs/>
                <w:sz w:val="20"/>
                <w:szCs w:val="20"/>
                <w:lang w:eastAsia="en-CA"/>
              </w:rPr>
              <w:t>8,148.0</w:t>
            </w:r>
          </w:p>
        </w:tc>
        <w:tc>
          <w:tcPr>
            <w:tcW w:w="0" w:type="auto"/>
            <w:shd w:val="clear" w:color="auto" w:fill="auto"/>
            <w:noWrap/>
            <w:vAlign w:val="center"/>
            <w:hideMark/>
          </w:tcPr>
          <w:p w:rsidR="00C3683A" w:rsidRPr="00DA7619" w:rsidRDefault="00C3683A" w:rsidP="0037155A">
            <w:pPr>
              <w:spacing w:before="0" w:after="0"/>
              <w:jc w:val="center"/>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w:t>
            </w:r>
          </w:p>
        </w:tc>
        <w:tc>
          <w:tcPr>
            <w:tcW w:w="0" w:type="auto"/>
            <w:shd w:val="clear" w:color="auto" w:fill="auto"/>
            <w:noWrap/>
            <w:vAlign w:val="center"/>
            <w:hideMark/>
          </w:tcPr>
          <w:p w:rsidR="00C3683A" w:rsidRPr="00DA7619" w:rsidRDefault="00C3683A" w:rsidP="0037155A">
            <w:pPr>
              <w:spacing w:before="0" w:after="0"/>
              <w:jc w:val="center"/>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w:t>
            </w:r>
          </w:p>
        </w:tc>
      </w:tr>
      <w:tr w:rsidR="00C3683A" w:rsidRPr="00DA7619" w:rsidTr="005F0D3D">
        <w:trPr>
          <w:trHeight w:val="300"/>
          <w:jc w:val="center"/>
        </w:trPr>
        <w:tc>
          <w:tcPr>
            <w:tcW w:w="0" w:type="auto"/>
            <w:shd w:val="clear" w:color="000000" w:fill="D7E4BC"/>
            <w:noWrap/>
            <w:vAlign w:val="center"/>
            <w:hideMark/>
          </w:tcPr>
          <w:p w:rsidR="00C3683A" w:rsidRPr="00DA7619" w:rsidRDefault="00C3683A" w:rsidP="00387A34">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Saudis</w:t>
            </w:r>
          </w:p>
        </w:tc>
        <w:tc>
          <w:tcPr>
            <w:tcW w:w="0" w:type="auto"/>
            <w:shd w:val="clear" w:color="000000" w:fill="D7E4BC"/>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3,298.2</w:t>
            </w:r>
          </w:p>
        </w:tc>
        <w:tc>
          <w:tcPr>
            <w:tcW w:w="0" w:type="auto"/>
            <w:shd w:val="clear" w:color="000000" w:fill="D7E4BC"/>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3,367.2</w:t>
            </w:r>
          </w:p>
        </w:tc>
        <w:tc>
          <w:tcPr>
            <w:tcW w:w="0" w:type="auto"/>
            <w:shd w:val="clear" w:color="000000" w:fill="D7E4BC"/>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3,431.6</w:t>
            </w:r>
          </w:p>
        </w:tc>
        <w:tc>
          <w:tcPr>
            <w:tcW w:w="0" w:type="auto"/>
            <w:shd w:val="clear" w:color="000000" w:fill="D7E4BC"/>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3,600.8</w:t>
            </w:r>
          </w:p>
        </w:tc>
        <w:tc>
          <w:tcPr>
            <w:tcW w:w="0" w:type="auto"/>
            <w:shd w:val="clear" w:color="000000" w:fill="D7E4BC"/>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3,756.7</w:t>
            </w:r>
          </w:p>
        </w:tc>
        <w:tc>
          <w:tcPr>
            <w:tcW w:w="0" w:type="auto"/>
            <w:shd w:val="clear" w:color="FFFFFF" w:fill="D7E4BC"/>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3,838.0</w:t>
            </w:r>
          </w:p>
        </w:tc>
        <w:tc>
          <w:tcPr>
            <w:tcW w:w="0" w:type="auto"/>
            <w:shd w:val="clear" w:color="FFFFFF" w:fill="D7E4BC"/>
            <w:noWrap/>
            <w:vAlign w:val="center"/>
            <w:hideMark/>
          </w:tcPr>
          <w:p w:rsidR="00C3683A" w:rsidRPr="00DA7619" w:rsidRDefault="00C3683A" w:rsidP="0037155A">
            <w:pPr>
              <w:spacing w:before="0" w:after="0"/>
              <w:jc w:val="center"/>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w:t>
            </w:r>
          </w:p>
        </w:tc>
        <w:tc>
          <w:tcPr>
            <w:tcW w:w="0" w:type="auto"/>
            <w:shd w:val="clear" w:color="FFFFFF" w:fill="D7E4BC"/>
            <w:noWrap/>
            <w:vAlign w:val="center"/>
            <w:hideMark/>
          </w:tcPr>
          <w:p w:rsidR="00C3683A" w:rsidRPr="00DA7619" w:rsidRDefault="00C3683A" w:rsidP="0037155A">
            <w:pPr>
              <w:spacing w:before="0" w:after="0"/>
              <w:jc w:val="center"/>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w:t>
            </w:r>
          </w:p>
        </w:tc>
      </w:tr>
      <w:tr w:rsidR="00C3683A" w:rsidRPr="00DA7619" w:rsidTr="005F0D3D">
        <w:trPr>
          <w:trHeight w:val="255"/>
          <w:jc w:val="center"/>
        </w:trPr>
        <w:tc>
          <w:tcPr>
            <w:tcW w:w="0" w:type="auto"/>
            <w:shd w:val="clear" w:color="000000" w:fill="FFFFFF"/>
            <w:noWrap/>
            <w:vAlign w:val="center"/>
            <w:hideMark/>
          </w:tcPr>
          <w:p w:rsidR="00C3683A" w:rsidRPr="00DA7619" w:rsidRDefault="00C3683A" w:rsidP="00387A34">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Non-Saudis</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3,882.4</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4,004.3</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4,091.4</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4,143.6</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4,260.6</w:t>
            </w:r>
          </w:p>
        </w:tc>
        <w:tc>
          <w:tcPr>
            <w:tcW w:w="0" w:type="auto"/>
            <w:shd w:val="clear" w:color="FFFFFF"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4,310.0</w:t>
            </w:r>
          </w:p>
        </w:tc>
        <w:tc>
          <w:tcPr>
            <w:tcW w:w="0" w:type="auto"/>
            <w:shd w:val="clear" w:color="FFFFFF" w:fill="FFFFFF"/>
            <w:noWrap/>
            <w:vAlign w:val="bottom"/>
            <w:hideMark/>
          </w:tcPr>
          <w:p w:rsidR="00C3683A" w:rsidRPr="00DA7619" w:rsidRDefault="00C3683A" w:rsidP="0037155A">
            <w:pPr>
              <w:spacing w:before="0" w:after="0"/>
              <w:jc w:val="center"/>
              <w:rPr>
                <w:rFonts w:ascii="Arial Narrow" w:eastAsia="Times New Roman" w:hAnsi="Arial Narrow" w:cs="Times New Roman"/>
                <w:sz w:val="20"/>
                <w:szCs w:val="20"/>
                <w:lang w:eastAsia="en-CA"/>
              </w:rPr>
            </w:pPr>
            <w:r w:rsidRPr="00DA7619">
              <w:rPr>
                <w:rFonts w:ascii="Arial Narrow" w:eastAsia="Times New Roman" w:hAnsi="Arial Narrow" w:cs="Arial"/>
                <w:sz w:val="20"/>
                <w:szCs w:val="20"/>
                <w:lang w:eastAsia="en-CA"/>
              </w:rPr>
              <w:t>-</w:t>
            </w:r>
          </w:p>
        </w:tc>
        <w:tc>
          <w:tcPr>
            <w:tcW w:w="0" w:type="auto"/>
            <w:shd w:val="clear" w:color="FFFFFF" w:fill="FFFFFF"/>
            <w:noWrap/>
            <w:vAlign w:val="bottom"/>
            <w:hideMark/>
          </w:tcPr>
          <w:p w:rsidR="00C3683A" w:rsidRPr="00DA7619" w:rsidRDefault="00C3683A" w:rsidP="0037155A">
            <w:pPr>
              <w:spacing w:before="0" w:after="0"/>
              <w:jc w:val="center"/>
              <w:rPr>
                <w:rFonts w:ascii="Arial Narrow" w:eastAsia="Times New Roman" w:hAnsi="Arial Narrow" w:cs="Times New Roman"/>
                <w:sz w:val="20"/>
                <w:szCs w:val="20"/>
                <w:lang w:eastAsia="en-CA"/>
              </w:rPr>
            </w:pPr>
            <w:r w:rsidRPr="00DA7619">
              <w:rPr>
                <w:rFonts w:ascii="Arial Narrow" w:eastAsia="Times New Roman" w:hAnsi="Arial Narrow" w:cs="Arial"/>
                <w:sz w:val="20"/>
                <w:szCs w:val="20"/>
                <w:lang w:eastAsia="en-CA"/>
              </w:rPr>
              <w:t>-</w:t>
            </w:r>
          </w:p>
        </w:tc>
      </w:tr>
      <w:tr w:rsidR="00C3683A" w:rsidRPr="00DA7619" w:rsidTr="005F0D3D">
        <w:trPr>
          <w:trHeight w:val="255"/>
          <w:jc w:val="center"/>
        </w:trPr>
        <w:tc>
          <w:tcPr>
            <w:tcW w:w="0" w:type="auto"/>
            <w:shd w:val="clear" w:color="000000" w:fill="FFFFFF"/>
            <w:noWrap/>
            <w:vAlign w:val="center"/>
            <w:hideMark/>
          </w:tcPr>
          <w:p w:rsidR="00C3683A" w:rsidRPr="00DA7619" w:rsidRDefault="00C3683A" w:rsidP="00C3683A">
            <w:pPr>
              <w:spacing w:before="0" w:after="0"/>
              <w:rPr>
                <w:rFonts w:ascii="Arial Narrow" w:eastAsia="Times New Roman" w:hAnsi="Arial Narrow" w:cs="Times New Roman"/>
                <w:sz w:val="20"/>
                <w:szCs w:val="20"/>
                <w:lang w:eastAsia="en-CA"/>
              </w:rPr>
            </w:pPr>
            <w:r w:rsidRPr="00DA7619">
              <w:rPr>
                <w:rFonts w:ascii="Arial Narrow" w:eastAsia="Times New Roman" w:hAnsi="Arial Narrow" w:cs="Times New Roman"/>
                <w:sz w:val="20"/>
                <w:szCs w:val="20"/>
                <w:lang w:eastAsia="en-CA"/>
              </w:rPr>
              <w:t>% non-Saudis</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54.1%</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54.3%</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54.4%</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53.5%</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53.1%</w:t>
            </w:r>
          </w:p>
        </w:tc>
        <w:tc>
          <w:tcPr>
            <w:tcW w:w="0" w:type="auto"/>
            <w:shd w:val="clear" w:color="000000" w:fill="FFFFFF"/>
            <w:noWrap/>
            <w:vAlign w:val="center"/>
            <w:hideMark/>
          </w:tcPr>
          <w:p w:rsidR="00C3683A" w:rsidRPr="00DA7619" w:rsidRDefault="00C3683A" w:rsidP="00387A34">
            <w:pPr>
              <w:spacing w:before="0" w:after="0"/>
              <w:jc w:val="right"/>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52.9%</w:t>
            </w:r>
          </w:p>
        </w:tc>
        <w:tc>
          <w:tcPr>
            <w:tcW w:w="0" w:type="auto"/>
            <w:shd w:val="clear" w:color="FFFFFF" w:fill="FFFFFF"/>
            <w:noWrap/>
            <w:vAlign w:val="center"/>
            <w:hideMark/>
          </w:tcPr>
          <w:p w:rsidR="00C3683A" w:rsidRPr="00DA7619" w:rsidRDefault="00C3683A" w:rsidP="00C3683A">
            <w:pPr>
              <w:spacing w:before="0" w:after="0"/>
              <w:jc w:val="center"/>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w:t>
            </w:r>
          </w:p>
        </w:tc>
        <w:tc>
          <w:tcPr>
            <w:tcW w:w="0" w:type="auto"/>
            <w:shd w:val="clear" w:color="FFFFFF" w:fill="FFFFFF"/>
            <w:noWrap/>
            <w:vAlign w:val="center"/>
            <w:hideMark/>
          </w:tcPr>
          <w:p w:rsidR="00C3683A" w:rsidRPr="00DA7619" w:rsidRDefault="00C3683A" w:rsidP="00C3683A">
            <w:pPr>
              <w:spacing w:before="0" w:after="0"/>
              <w:jc w:val="center"/>
              <w:rPr>
                <w:rFonts w:ascii="Arial Narrow" w:eastAsia="Times New Roman" w:hAnsi="Arial Narrow" w:cs="Arial"/>
                <w:sz w:val="20"/>
                <w:szCs w:val="20"/>
                <w:lang w:eastAsia="en-CA"/>
              </w:rPr>
            </w:pPr>
            <w:r w:rsidRPr="00DA7619">
              <w:rPr>
                <w:rFonts w:ascii="Arial Narrow" w:eastAsia="Times New Roman" w:hAnsi="Arial Narrow" w:cs="Arial"/>
                <w:sz w:val="20"/>
                <w:szCs w:val="20"/>
                <w:lang w:eastAsia="en-CA"/>
              </w:rPr>
              <w:t>-</w:t>
            </w:r>
          </w:p>
        </w:tc>
      </w:tr>
    </w:tbl>
    <w:p w:rsidR="00387A34" w:rsidRPr="00DA7619" w:rsidRDefault="00387A34" w:rsidP="002D3FB3">
      <w:pPr>
        <w:spacing w:before="0" w:after="0"/>
        <w:rPr>
          <w:rFonts w:cs="TimesNewRoman"/>
          <w:sz w:val="18"/>
        </w:rPr>
      </w:pPr>
      <w:r w:rsidRPr="00DA7619">
        <w:rPr>
          <w:rFonts w:cs="TimesNewRoman"/>
          <w:sz w:val="18"/>
        </w:rPr>
        <w:t>Note:  r</w:t>
      </w:r>
      <w:r w:rsidR="00CA59BE" w:rsidRPr="00DA7619">
        <w:rPr>
          <w:rFonts w:cs="TimesNewRoman"/>
          <w:sz w:val="18"/>
        </w:rPr>
        <w:t xml:space="preserve"> </w:t>
      </w:r>
      <w:r w:rsidRPr="00DA7619">
        <w:rPr>
          <w:rFonts w:cs="TimesNewRoman"/>
          <w:sz w:val="18"/>
        </w:rPr>
        <w:t>:  revised;  p</w:t>
      </w:r>
      <w:r w:rsidR="00CA59BE" w:rsidRPr="00DA7619">
        <w:rPr>
          <w:rFonts w:cs="TimesNewRoman"/>
          <w:sz w:val="18"/>
        </w:rPr>
        <w:t xml:space="preserve"> </w:t>
      </w:r>
      <w:r w:rsidRPr="00DA7619">
        <w:rPr>
          <w:rFonts w:cs="TimesNewRoman"/>
          <w:sz w:val="18"/>
        </w:rPr>
        <w:t>:  preliminary estimates</w:t>
      </w:r>
      <w:r w:rsidR="00C3683A" w:rsidRPr="00DA7619">
        <w:rPr>
          <w:rFonts w:cs="TimesNewRoman"/>
          <w:sz w:val="18"/>
        </w:rPr>
        <w:t>; -</w:t>
      </w:r>
      <w:r w:rsidR="00CA59BE" w:rsidRPr="00DA7619">
        <w:rPr>
          <w:rFonts w:cs="TimesNewRoman"/>
          <w:sz w:val="18"/>
        </w:rPr>
        <w:t xml:space="preserve"> </w:t>
      </w:r>
      <w:r w:rsidR="00C3683A" w:rsidRPr="00DA7619">
        <w:rPr>
          <w:rFonts w:cs="TimesNewRoman"/>
          <w:sz w:val="18"/>
        </w:rPr>
        <w:t>:  no data available</w:t>
      </w:r>
    </w:p>
    <w:p w:rsidR="00270B9C" w:rsidRPr="00DA7619" w:rsidRDefault="00C3683A" w:rsidP="002D3FB3">
      <w:pPr>
        <w:spacing w:before="0" w:after="0"/>
        <w:rPr>
          <w:rFonts w:cs="TimesNewRoman"/>
        </w:rPr>
      </w:pPr>
      <w:r w:rsidRPr="00DA7619">
        <w:rPr>
          <w:rFonts w:cs="TimesNewRoman"/>
          <w:sz w:val="18"/>
        </w:rPr>
        <w:t xml:space="preserve">Source:  </w:t>
      </w:r>
      <w:r w:rsidR="00270B9C" w:rsidRPr="00DA7619">
        <w:rPr>
          <w:rFonts w:cs="TimesNewRoman"/>
          <w:sz w:val="18"/>
        </w:rPr>
        <w:t>SA-MEP</w:t>
      </w:r>
      <w:r w:rsidR="00270B9C" w:rsidRPr="00DA7619">
        <w:rPr>
          <w:rStyle w:val="FootnoteReference"/>
          <w:rFonts w:cs="TimesNewRoman"/>
        </w:rPr>
        <w:footnoteReference w:id="7"/>
      </w:r>
    </w:p>
    <w:p w:rsidR="00270B9C" w:rsidRPr="00DA7619" w:rsidRDefault="00FC5FF9" w:rsidP="0004505C">
      <w:r w:rsidRPr="00DA7619">
        <w:rPr>
          <w:rFonts w:cs="TimesNewRoman"/>
        </w:rPr>
        <w:t xml:space="preserve">It is apparent that </w:t>
      </w:r>
      <w:r w:rsidR="005F0D3D" w:rsidRPr="00DA7619">
        <w:rPr>
          <w:rFonts w:cs="TimesNewRoman"/>
        </w:rPr>
        <w:t xml:space="preserve">finding Saudi nationals to fill certain posts or </w:t>
      </w:r>
      <w:r w:rsidRPr="00DA7619">
        <w:rPr>
          <w:rFonts w:cs="TimesNewRoman"/>
        </w:rPr>
        <w:t xml:space="preserve">demand specific skill sets has remained a challenge.  </w:t>
      </w:r>
      <w:r w:rsidR="0004505C" w:rsidRPr="00DA7619">
        <w:t xml:space="preserve">The portion of Table 3-1 for which data are complete is illustrated below in Figure 3-2.  </w:t>
      </w:r>
      <w:r w:rsidR="00C3683A" w:rsidRPr="00DA7619">
        <w:t>The figure</w:t>
      </w:r>
      <w:r w:rsidR="0004505C" w:rsidRPr="00DA7619">
        <w:t xml:space="preserve"> </w:t>
      </w:r>
      <w:r w:rsidR="005F0D3D" w:rsidRPr="00DA7619">
        <w:t>illustrates the continuing</w:t>
      </w:r>
      <w:r w:rsidR="0004505C" w:rsidRPr="00DA7619">
        <w:t xml:space="preserve"> </w:t>
      </w:r>
      <w:r w:rsidR="005F0D3D" w:rsidRPr="00DA7619">
        <w:t xml:space="preserve">key </w:t>
      </w:r>
      <w:r w:rsidR="0004505C" w:rsidRPr="00DA7619">
        <w:t xml:space="preserve">role of non-Saudi personnel in the Kingdom’s labour force.  While expatriates make up </w:t>
      </w:r>
      <w:r w:rsidR="005F0D3D" w:rsidRPr="00DA7619">
        <w:t>almost one in three</w:t>
      </w:r>
      <w:r w:rsidR="0004505C" w:rsidRPr="00DA7619">
        <w:t xml:space="preserve"> of the population</w:t>
      </w:r>
      <w:r w:rsidR="003F1775" w:rsidRPr="00DA7619">
        <w:t xml:space="preserve"> (panel a)</w:t>
      </w:r>
      <w:r w:rsidR="0004505C" w:rsidRPr="00DA7619">
        <w:t xml:space="preserve">, they account for more than </w:t>
      </w:r>
      <w:r w:rsidR="005F0D3D" w:rsidRPr="00DA7619">
        <w:t xml:space="preserve">half of the working population </w:t>
      </w:r>
      <w:r w:rsidR="003F1775" w:rsidRPr="00DA7619">
        <w:t>(panel b)</w:t>
      </w:r>
      <w:r w:rsidR="0004505C" w:rsidRPr="00DA7619">
        <w:t>.</w:t>
      </w:r>
    </w:p>
    <w:p w:rsidR="0004505C" w:rsidRPr="00DA7619" w:rsidRDefault="0004505C" w:rsidP="0004505C">
      <w:pPr>
        <w:pStyle w:val="Caption"/>
      </w:pPr>
      <w:bookmarkStart w:id="33" w:name="_Toc325940219"/>
      <w:r w:rsidRPr="00DA7619">
        <w:t xml:space="preserve">Figure </w:t>
      </w:r>
      <w:r w:rsidR="002916D7">
        <w:t>4</w:t>
      </w:r>
      <w:r w:rsidR="0097348A" w:rsidRPr="00DA7619">
        <w:noBreakHyphen/>
      </w:r>
      <w:fldSimple w:instr=" SEQ Figure \* ARABIC \s 1 ">
        <w:r w:rsidR="0097348A" w:rsidRPr="00DA7619">
          <w:rPr>
            <w:noProof/>
          </w:rPr>
          <w:t>3</w:t>
        </w:r>
      </w:fldSimple>
      <w:r w:rsidRPr="00DA7619">
        <w:t xml:space="preserve">  comparison of total and employed population shares, Saudi and non-Saudi persons</w:t>
      </w:r>
      <w:bookmarkEnd w:id="33"/>
    </w:p>
    <w:tbl>
      <w:tblPr>
        <w:tblStyle w:val="TableGrid"/>
        <w:tblW w:w="0" w:type="auto"/>
        <w:tblLook w:val="04A0"/>
      </w:tblPr>
      <w:tblGrid>
        <w:gridCol w:w="4776"/>
        <w:gridCol w:w="4915"/>
      </w:tblGrid>
      <w:tr w:rsidR="0004505C" w:rsidRPr="00DA7619" w:rsidTr="00FC5FF9">
        <w:trPr>
          <w:trHeight w:val="3872"/>
        </w:trPr>
        <w:tc>
          <w:tcPr>
            <w:tcW w:w="3292" w:type="dxa"/>
          </w:tcPr>
          <w:p w:rsidR="0004505C" w:rsidRPr="00DA7619" w:rsidRDefault="0004505C" w:rsidP="00FC5FF9">
            <w:r w:rsidRPr="00DA7619">
              <w:rPr>
                <w:noProof/>
                <w:lang w:val="en-CA" w:eastAsia="en-CA"/>
              </w:rPr>
              <w:drawing>
                <wp:inline distT="0" distB="0" distL="0" distR="0">
                  <wp:extent cx="2853546" cy="2394333"/>
                  <wp:effectExtent l="19050" t="0" r="23004" b="5967"/>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28" w:type="dxa"/>
          </w:tcPr>
          <w:p w:rsidR="0004505C" w:rsidRPr="00DA7619" w:rsidRDefault="0004505C" w:rsidP="00FC5FF9">
            <w:r w:rsidRPr="00DA7619">
              <w:rPr>
                <w:noProof/>
                <w:lang w:val="en-CA" w:eastAsia="en-CA"/>
              </w:rPr>
              <w:drawing>
                <wp:inline distT="0" distB="0" distL="0" distR="0">
                  <wp:extent cx="2846189" cy="2380890"/>
                  <wp:effectExtent l="19050" t="0" r="11311" b="36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4505C" w:rsidRPr="00DA7619" w:rsidTr="0004505C">
        <w:trPr>
          <w:trHeight w:val="105"/>
        </w:trPr>
        <w:tc>
          <w:tcPr>
            <w:tcW w:w="3292" w:type="dxa"/>
          </w:tcPr>
          <w:p w:rsidR="0004505C" w:rsidRPr="00DA7619" w:rsidRDefault="0004505C" w:rsidP="0022493A">
            <w:r w:rsidRPr="00DA7619">
              <w:rPr>
                <w:sz w:val="18"/>
              </w:rPr>
              <w:t xml:space="preserve">Source;  Author’s </w:t>
            </w:r>
            <w:r w:rsidR="0022493A">
              <w:rPr>
                <w:sz w:val="18"/>
              </w:rPr>
              <w:t>construction</w:t>
            </w:r>
            <w:r w:rsidRPr="00DA7619">
              <w:rPr>
                <w:sz w:val="18"/>
              </w:rPr>
              <w:t xml:space="preserve"> from Table </w:t>
            </w:r>
            <w:r w:rsidR="00C3683A" w:rsidRPr="00DA7619">
              <w:rPr>
                <w:sz w:val="18"/>
              </w:rPr>
              <w:t>3-1</w:t>
            </w:r>
          </w:p>
        </w:tc>
        <w:tc>
          <w:tcPr>
            <w:tcW w:w="5128" w:type="dxa"/>
          </w:tcPr>
          <w:p w:rsidR="0004505C" w:rsidRPr="00DA7619" w:rsidRDefault="0004505C" w:rsidP="00FC5FF9"/>
        </w:tc>
      </w:tr>
    </w:tbl>
    <w:p w:rsidR="00B16181" w:rsidRPr="00DA7619" w:rsidRDefault="00B16181" w:rsidP="005F0AAA">
      <w:pPr>
        <w:autoSpaceDE w:val="0"/>
        <w:autoSpaceDN w:val="0"/>
        <w:adjustRightInd w:val="0"/>
        <w:spacing w:before="0" w:after="0"/>
        <w:ind w:left="360"/>
        <w:rPr>
          <w:rFonts w:cs="TimesNewRoman"/>
        </w:rPr>
      </w:pPr>
    </w:p>
    <w:p w:rsidR="00E33409" w:rsidRPr="00DA7619" w:rsidRDefault="00C30819" w:rsidP="00F07C1C">
      <w:r w:rsidRPr="00DA7619">
        <w:t xml:space="preserve">It is the government sector that has retained high proportions of national staff – although some would say at the cost of bloating public sector rosters.  </w:t>
      </w:r>
      <w:r w:rsidR="00A41EEF" w:rsidRPr="00DA7619">
        <w:t>Despite years of government plans to bring more Saudi nationals into all sectors, according to some observers</w:t>
      </w:r>
      <w:r w:rsidR="00D10167" w:rsidRPr="00DA7619">
        <w:t xml:space="preserve"> the private sector in particular is increasingly turning to non-nationals, because their salary expectations are lower, </w:t>
      </w:r>
      <w:r w:rsidR="007D5296" w:rsidRPr="00DA7619">
        <w:t xml:space="preserve">while </w:t>
      </w:r>
      <w:r w:rsidR="00D10167" w:rsidRPr="00DA7619">
        <w:t xml:space="preserve">many are </w:t>
      </w:r>
      <w:r w:rsidR="007D5296" w:rsidRPr="00DA7619">
        <w:t xml:space="preserve">also </w:t>
      </w:r>
      <w:r w:rsidR="00D10167" w:rsidRPr="00DA7619">
        <w:t xml:space="preserve">highly skilled </w:t>
      </w:r>
      <w:r w:rsidR="007D6549" w:rsidRPr="00DA7619">
        <w:fldChar w:fldCharType="begin"/>
      </w:r>
      <w:r w:rsidR="00DB11E7">
        <w:instrText xml:space="preserve"> ADDIN EN.CITE &lt;EndNote&gt;&lt;Cite&gt;&lt;Author&gt;Sfakianakis&lt;/Author&gt;&lt;Year&gt;2011&lt;/Year&gt;&lt;RecNum&gt;1067&lt;/RecNum&gt;&lt;record&gt;&lt;rec-number&gt;1067&lt;/rec-number&gt;&lt;ref-type name="Newspaper Article"&gt;23&lt;/ref-type&gt;&lt;contributors&gt;&lt;authors&gt;&lt;author&gt;John Sfakianakis&lt;/author&gt;&lt;/authors&gt;&lt;/contributors&gt;&lt;titles&gt;&lt;title&gt;New employment rules to shake up Saudi private sector&lt;/title&gt;&lt;secondary-title&gt;Arab News&lt;/secondary-title&gt;&lt;/titles&gt;&lt;dates&gt;&lt;year&gt;2011&lt;/year&gt;&lt;pub-dates&gt;&lt;date&gt;June 15, 2011&lt;/date&gt;&lt;/pub-dates&gt;&lt;/dates&gt;&lt;pub-location&gt;Riyadh&lt;/pub-location&gt;&lt;urls&gt;&lt;related-urls&gt;&lt;url&gt;http://arabnews.com/economy/article454902.ece&lt;/url&gt;&lt;/related-urls&gt;&lt;/urls&gt;&lt;/record&gt;&lt;/Cite&gt;&lt;/EndNote&gt;</w:instrText>
      </w:r>
      <w:r w:rsidR="007D6549" w:rsidRPr="00DA7619">
        <w:fldChar w:fldCharType="separate"/>
      </w:r>
      <w:r w:rsidR="00D10167" w:rsidRPr="00DA7619">
        <w:t>(Sfakianakis 2011)</w:t>
      </w:r>
      <w:r w:rsidR="007D6549" w:rsidRPr="00DA7619">
        <w:fldChar w:fldCharType="end"/>
      </w:r>
      <w:r w:rsidR="00D10167" w:rsidRPr="00DA7619">
        <w:t xml:space="preserve">.  </w:t>
      </w:r>
    </w:p>
    <w:p w:rsidR="00F07C1C" w:rsidRDefault="00F07C1C" w:rsidP="00F07C1C">
      <w:r w:rsidRPr="00DA7619">
        <w:t xml:space="preserve">A new plan launched in 2011, to reward firms that </w:t>
      </w:r>
      <w:r w:rsidR="00F84335" w:rsidRPr="00DA7619">
        <w:t>complied with required</w:t>
      </w:r>
      <w:r w:rsidRPr="00DA7619">
        <w:t xml:space="preserve"> Saudization rates, was not meeting targets within deadlines set by government </w:t>
      </w:r>
      <w:r w:rsidR="007D6549" w:rsidRPr="00DA7619">
        <w:fldChar w:fldCharType="begin"/>
      </w:r>
      <w:r w:rsidR="00DB11E7">
        <w:instrText xml:space="preserve"> ADDIN EN.CITE &lt;EndNote&gt;&lt;Cite&gt;&lt;Author&gt;Mohapatra&lt;/Author&gt;&lt;Year&gt;2011&lt;/Year&gt;&lt;RecNum&gt;1077&lt;/RecNum&gt;&lt;record&gt;&lt;rec-number&gt;1077&lt;/rec-number&gt;&lt;ref-type name="Electronic Article"&gt;43&lt;/ref-type&gt;&lt;contributors&gt;&lt;authors&gt;&lt;author&gt;Sanket Mohapatra&lt;/author&gt;&lt;/authors&gt;&lt;/contributors&gt;&lt;titles&gt;&lt;title&gt;Implications of “Nitaqat”, Saudi Arabia&amp;apos;s Indigenization Program, Likely to be Modest for Migrants&lt;/title&gt;&lt;secondary-title&gt;blogs.worldbank.org&lt;/secondary-title&gt;&lt;/titles&gt;&lt;periodical&gt;&lt;full-title&gt;blogs.worldbank.org&lt;/full-title&gt;&lt;/periodical&gt;&lt;number&gt;28 September 2011&lt;/number&gt;&lt;dates&gt;&lt;year&gt;2011&lt;/year&gt;&lt;pub-dates&gt;&lt;date&gt;10 April 2012&lt;/date&gt;&lt;/pub-dates&gt;&lt;/dates&gt;&lt;urls&gt;&lt;related-urls&gt;&lt;url&gt;http://blogs.worldbank.org/peoplemove/node/1392&lt;/url&gt;&lt;/related-urls&gt;&lt;/urls&gt;&lt;/record&gt;&lt;/Cite&gt;&lt;/EndNote&gt;</w:instrText>
      </w:r>
      <w:r w:rsidR="007D6549" w:rsidRPr="00DA7619">
        <w:fldChar w:fldCharType="separate"/>
      </w:r>
      <w:r w:rsidRPr="00DA7619">
        <w:t>(Mohapatra 2011)</w:t>
      </w:r>
      <w:r w:rsidR="007D6549" w:rsidRPr="00DA7619">
        <w:fldChar w:fldCharType="end"/>
      </w:r>
      <w:r w:rsidRPr="00DA7619">
        <w:t xml:space="preserve">.  </w:t>
      </w:r>
      <w:r w:rsidR="00310B01" w:rsidRPr="00DA7619">
        <w:t>The new plan, called Nitaqat, applies colour codes to firms according to their compliance, with requirements varying from segment to segment.  For example, quotas for Saudis employed are above 6 percent for construction jobs, 30 percent for the oil and gas sector, and as high as 50 percent for the financial sector.</w:t>
      </w:r>
      <w:r w:rsidR="00F84335" w:rsidRPr="00DA7619">
        <w:t xml:space="preserve"> Firms that do not </w:t>
      </w:r>
      <w:r w:rsidR="00F84335" w:rsidRPr="00DA7619">
        <w:lastRenderedPageBreak/>
        <w:t>meet their quotas will be unable to renew their expatriate workers’ visas.</w:t>
      </w:r>
      <w:r w:rsidR="00E33409" w:rsidRPr="00DA7619">
        <w:rPr>
          <w:rStyle w:val="FootnoteReference"/>
        </w:rPr>
        <w:footnoteReference w:id="8"/>
      </w:r>
      <w:r w:rsidR="00F84335" w:rsidRPr="00DA7619">
        <w:t xml:space="preserve">  The new rules put Saudi workers in high demand; nevertheless, employers still appeared frustrated in matching potential employees with availab</w:t>
      </w:r>
      <w:r w:rsidR="0022493A">
        <w:t>le jobs at the prevailing wages</w:t>
      </w:r>
      <w:r w:rsidR="00F84335" w:rsidRPr="00DA7619">
        <w:t xml:space="preserve"> </w:t>
      </w:r>
      <w:r w:rsidR="007D6549" w:rsidRPr="00DA7619">
        <w:fldChar w:fldCharType="begin"/>
      </w:r>
      <w:r w:rsidR="00DB11E7">
        <w:instrText xml:space="preserve"> ADDIN EN.CITE &lt;EndNote&gt;&lt;Cite&gt;&lt;Author&gt;Hasan&lt;/Author&gt;&lt;Year&gt;2012&lt;/Year&gt;&lt;RecNum&gt;1078&lt;/RecNum&gt;&lt;Suffix&gt;, p. 21&lt;/Suffix&gt;&lt;record&gt;&lt;rec-number&gt;1078&lt;/rec-number&gt;&lt;ref-type name="Electronic Article"&gt;43&lt;/ref-type&gt;&lt;contributors&gt;&lt;authors&gt;&lt;author&gt;Faisal Hasan&lt;/author&gt;&lt;author&gt;Naveed Ahmed&lt;/author&gt;&lt;/authors&gt;&lt;/contributors&gt;&lt;titles&gt;&lt;title&gt;KSA Economic Overview&lt;/title&gt;&lt;secondary-title&gt;Global Research Economy&lt;/secondary-title&gt;&lt;/titles&gt;&lt;periodical&gt;&lt;full-title&gt;Global Research Economy&lt;/full-title&gt;&lt;/periodical&gt;&lt;number&gt;Saudi Arabia February 2012&lt;/number&gt;&lt;dates&gt;&lt;year&gt;2012&lt;/year&gt;&lt;pub-dates&gt;&lt;date&gt;12 April 2012&lt;/date&gt;&lt;/pub-dates&gt;&lt;/dates&gt;&lt;urls&gt;&lt;related-urls&gt;&lt;url&gt; http://www.globalinv.net/research/KSA-economic-overview-022012.pdf&lt;/url&gt;&lt;/related-urls&gt;&lt;/urls&gt;&lt;/record&gt;&lt;/Cite&gt;&lt;/EndNote&gt;</w:instrText>
      </w:r>
      <w:r w:rsidR="007D6549" w:rsidRPr="00DA7619">
        <w:fldChar w:fldCharType="separate"/>
      </w:r>
      <w:r w:rsidR="00FB03D1" w:rsidRPr="00DA7619">
        <w:t>(Hasan and Ahmed 2012, p. 21)</w:t>
      </w:r>
      <w:r w:rsidR="007D6549" w:rsidRPr="00DA7619">
        <w:fldChar w:fldCharType="end"/>
      </w:r>
      <w:r w:rsidR="0022493A">
        <w:t>.</w:t>
      </w:r>
    </w:p>
    <w:p w:rsidR="00643A99" w:rsidRPr="00DA7619" w:rsidRDefault="00643A99" w:rsidP="0055608D">
      <w:pPr>
        <w:pStyle w:val="Heading3"/>
        <w:numPr>
          <w:ilvl w:val="1"/>
          <w:numId w:val="4"/>
        </w:numPr>
      </w:pPr>
      <w:bookmarkStart w:id="34" w:name="_Toc325940190"/>
      <w:r>
        <w:t>High and rising government capacities</w:t>
      </w:r>
      <w:bookmarkEnd w:id="34"/>
    </w:p>
    <w:p w:rsidR="003F460E" w:rsidRPr="00DA7619" w:rsidRDefault="00A41EEF" w:rsidP="003F460E">
      <w:r w:rsidRPr="00DA7619">
        <w:t>As this section has underlined, the CP was carried out during a period of impressive growth, significant diversification within the economy, and persistent problems of a mismatch between</w:t>
      </w:r>
      <w:r w:rsidR="00CC26F2" w:rsidRPr="00DA7619">
        <w:t xml:space="preserve"> jobs and </w:t>
      </w:r>
      <w:r w:rsidRPr="00DA7619">
        <w:t>skills</w:t>
      </w:r>
      <w:r w:rsidR="00CC26F2" w:rsidRPr="00DA7619">
        <w:t xml:space="preserve"> in the domestic labour market, resulting in continuing reliance on expatriate personnel in several segments.</w:t>
      </w:r>
      <w:r w:rsidR="0012104F" w:rsidRPr="00DA7619">
        <w:t xml:space="preserve">  </w:t>
      </w:r>
      <w:r w:rsidR="003F460E">
        <w:t>Recognizing that such gaps are the product of long-standing systemic issues including a disordered incentive structure, as well as imbalances in employment opportunities for educated young men and young women, the government also put in place improved interim supports.  By the beginning of 2012, o</w:t>
      </w:r>
      <w:r w:rsidR="003F460E" w:rsidRPr="00DA7619">
        <w:t>ver 700,000 young Saudis received their first $530 monthly unemployment cheque, as the state's jobseeker's allowance scheme</w:t>
      </w:r>
      <w:r w:rsidR="003F460E">
        <w:t xml:space="preserve"> rolled out</w:t>
      </w:r>
      <w:r w:rsidR="003F460E" w:rsidRPr="00DA7619">
        <w:t>.</w:t>
      </w:r>
    </w:p>
    <w:p w:rsidR="0012104F" w:rsidRPr="00DA7619" w:rsidRDefault="0012104F" w:rsidP="00C3683A">
      <w:r w:rsidRPr="00DA7619">
        <w:t xml:space="preserve">Dual demands on the KSA government </w:t>
      </w:r>
      <w:r w:rsidR="003F460E">
        <w:t xml:space="preserve">had </w:t>
      </w:r>
      <w:r w:rsidRPr="00DA7619">
        <w:t>fed into the shape of the 8</w:t>
      </w:r>
      <w:r w:rsidRPr="00DA7619">
        <w:rPr>
          <w:vertAlign w:val="superscript"/>
        </w:rPr>
        <w:t>th</w:t>
      </w:r>
      <w:r w:rsidRPr="00DA7619">
        <w:t xml:space="preserve"> and 9</w:t>
      </w:r>
      <w:r w:rsidRPr="00DA7619">
        <w:rPr>
          <w:vertAlign w:val="superscript"/>
        </w:rPr>
        <w:t>th</w:t>
      </w:r>
      <w:r w:rsidRPr="00DA7619">
        <w:t xml:space="preserve"> development plans, and </w:t>
      </w:r>
      <w:r w:rsidR="00B20189">
        <w:t xml:space="preserve">influenced the direction of </w:t>
      </w:r>
      <w:r w:rsidRPr="00DA7619">
        <w:t xml:space="preserve">the Outcome 3 portion of the CPD outlining UNDP’s cooperation over the course </w:t>
      </w:r>
      <w:r w:rsidR="00C31F49" w:rsidRPr="00DA7619">
        <w:t>of these plans.  These underlying</w:t>
      </w:r>
      <w:r w:rsidRPr="00DA7619">
        <w:t xml:space="preserve"> </w:t>
      </w:r>
      <w:r w:rsidR="00B20189">
        <w:t>requisites</w:t>
      </w:r>
      <w:r w:rsidR="00B20189" w:rsidRPr="00DA7619">
        <w:t xml:space="preserve"> </w:t>
      </w:r>
      <w:r w:rsidRPr="00DA7619">
        <w:t xml:space="preserve">are (1) the need to make government more responsive to the needs of the population and the economy, </w:t>
      </w:r>
      <w:r w:rsidR="00C31F49" w:rsidRPr="00DA7619">
        <w:t xml:space="preserve">doing so </w:t>
      </w:r>
      <w:r w:rsidR="00B20189">
        <w:t>with</w:t>
      </w:r>
      <w:r w:rsidRPr="00DA7619">
        <w:t xml:space="preserve">in the guiding and enabling roles it intends to retain, and (2) the need to provide learning opportunities </w:t>
      </w:r>
      <w:r w:rsidR="002A2E4F" w:rsidRPr="00DA7619">
        <w:t>that will attract Saudi youth to prepare themselves for the</w:t>
      </w:r>
      <w:r w:rsidRPr="00DA7619">
        <w:t xml:space="preserve"> practical applications </w:t>
      </w:r>
      <w:r w:rsidR="00C3471E" w:rsidRPr="00DA7619">
        <w:t>needed by the rapidly evolving, performance-oriented public and private sectors.</w:t>
      </w:r>
      <w:r w:rsidR="003F460E">
        <w:t xml:space="preserve">  </w:t>
      </w:r>
    </w:p>
    <w:p w:rsidR="00221AE2" w:rsidRDefault="00BD23B8" w:rsidP="00BD23B8">
      <w:pPr>
        <w:rPr>
          <w:rFonts w:cs="TimesNewRoman"/>
        </w:rPr>
      </w:pPr>
      <w:r w:rsidRPr="00DA7619">
        <w:t xml:space="preserve">The CP period was marked by </w:t>
      </w:r>
      <w:r w:rsidR="00B20189">
        <w:t xml:space="preserve">the growing appetite for capacity development by </w:t>
      </w:r>
      <w:r w:rsidRPr="00DA7619">
        <w:t xml:space="preserve">government ministries and agencies seeking </w:t>
      </w:r>
      <w:r w:rsidRPr="00DA7619">
        <w:rPr>
          <w:rFonts w:cs="TimesNewRoman"/>
        </w:rPr>
        <w:t>to explore new sectors (partnering with</w:t>
      </w:r>
      <w:r w:rsidRPr="00DA7619">
        <w:t xml:space="preserve"> both </w:t>
      </w:r>
      <w:r w:rsidR="00C31F49" w:rsidRPr="00DA7619">
        <w:rPr>
          <w:rFonts w:cs="TimesNewRoman"/>
        </w:rPr>
        <w:t>d</w:t>
      </w:r>
      <w:r w:rsidRPr="00DA7619">
        <w:rPr>
          <w:rFonts w:cs="TimesNewRoman"/>
        </w:rPr>
        <w:t>omestic and foreign investors), such</w:t>
      </w:r>
      <w:r w:rsidR="00C31F49" w:rsidRPr="00DA7619">
        <w:rPr>
          <w:rFonts w:cs="TimesNewRoman"/>
        </w:rPr>
        <w:t xml:space="preserve"> as the knowledge and</w:t>
      </w:r>
      <w:r w:rsidRPr="00DA7619">
        <w:rPr>
          <w:rFonts w:cs="TimesNewRoman"/>
        </w:rPr>
        <w:t xml:space="preserve"> </w:t>
      </w:r>
      <w:r w:rsidR="00C31F49" w:rsidRPr="00DA7619">
        <w:rPr>
          <w:rFonts w:cs="TimesNewRoman"/>
        </w:rPr>
        <w:t>information technology sectors.</w:t>
      </w:r>
      <w:r w:rsidRPr="00DA7619">
        <w:rPr>
          <w:rFonts w:cs="TimesNewRoman"/>
        </w:rPr>
        <w:t xml:space="preserve">  </w:t>
      </w:r>
    </w:p>
    <w:p w:rsidR="00C31F49" w:rsidRPr="00DA7619" w:rsidRDefault="00221AE2" w:rsidP="00BD23B8">
      <w:pPr>
        <w:rPr>
          <w:rFonts w:cs="TimesNewRoman"/>
        </w:rPr>
      </w:pPr>
      <w:r>
        <w:rPr>
          <w:rFonts w:cs="TimesNewRoman"/>
        </w:rPr>
        <w:t>Because the SA-UNDP partnership has a good grounding in the e</w:t>
      </w:r>
      <w:r w:rsidR="00BD23B8" w:rsidRPr="00DA7619">
        <w:rPr>
          <w:rFonts w:cs="TimesNewRoman"/>
        </w:rPr>
        <w:t>ffective use of</w:t>
      </w:r>
      <w:r>
        <w:rPr>
          <w:rFonts w:cs="TimesNewRoman"/>
        </w:rPr>
        <w:t xml:space="preserve"> national, regional and international consulting services, the government agencies have been able to </w:t>
      </w:r>
      <w:r w:rsidR="00BD0CE9">
        <w:rPr>
          <w:rFonts w:cs="TimesNewRoman"/>
        </w:rPr>
        <w:t>source talent as and where it was needed, using a range of commissioning approaches.  Government’s continuing mastery of sophisticated institutional capacity development has been an important factor contributing to a very</w:t>
      </w:r>
      <w:r w:rsidR="00BD23B8" w:rsidRPr="00DA7619">
        <w:rPr>
          <w:rFonts w:cs="TimesNewRoman"/>
        </w:rPr>
        <w:t xml:space="preserve"> high</w:t>
      </w:r>
      <w:r w:rsidR="00BD0CE9">
        <w:rPr>
          <w:rFonts w:cs="TimesNewRoman"/>
        </w:rPr>
        <w:t xml:space="preserve"> level of</w:t>
      </w:r>
      <w:r w:rsidR="00BD23B8" w:rsidRPr="00DA7619">
        <w:rPr>
          <w:rFonts w:cs="TimesNewRoman"/>
        </w:rPr>
        <w:t xml:space="preserve"> satisfaction</w:t>
      </w:r>
      <w:r w:rsidR="00BD0CE9">
        <w:rPr>
          <w:rFonts w:cs="TimesNewRoman"/>
        </w:rPr>
        <w:t xml:space="preserve"> with its results in improving public sector performance.</w:t>
      </w:r>
    </w:p>
    <w:p w:rsidR="00BC3B6A" w:rsidRPr="00DA7619" w:rsidRDefault="00BC3B6A" w:rsidP="00F37D20"/>
    <w:p w:rsidR="00124802" w:rsidRPr="00DA7619" w:rsidRDefault="00124802" w:rsidP="0055608D">
      <w:pPr>
        <w:pStyle w:val="Heading2"/>
        <w:numPr>
          <w:ilvl w:val="0"/>
          <w:numId w:val="4"/>
        </w:numPr>
      </w:pPr>
      <w:bookmarkStart w:id="35" w:name="_Toc325940191"/>
      <w:r w:rsidRPr="00DA7619">
        <w:t>Assessment of the partnership strategy</w:t>
      </w:r>
      <w:bookmarkEnd w:id="35"/>
      <w:r w:rsidRPr="00DA7619">
        <w:t xml:space="preserve"> </w:t>
      </w:r>
    </w:p>
    <w:p w:rsidR="00FB6775" w:rsidRPr="00655B55" w:rsidRDefault="009A3138" w:rsidP="009A3138">
      <w:r w:rsidRPr="00DA7619">
        <w:t xml:space="preserve">The partnership strategy in a net contributing country is fairly straightforward.  In the NCC context, the government is the donor partner on the </w:t>
      </w:r>
      <w:r w:rsidR="00837276" w:rsidRPr="00DA7619">
        <w:t>financing</w:t>
      </w:r>
      <w:r w:rsidRPr="00DA7619">
        <w:t xml:space="preserve"> side.  </w:t>
      </w:r>
      <w:r w:rsidR="0070575C" w:rsidRPr="00DA7619">
        <w:t>SA p</w:t>
      </w:r>
      <w:r w:rsidRPr="00DA7619">
        <w:t>rojects are funded using the national implementation modality (NIM</w:t>
      </w:r>
      <w:r w:rsidR="00FB6775" w:rsidRPr="00DA7619">
        <w:t xml:space="preserve">), with the partner ministry assuming administrative control, as </w:t>
      </w:r>
      <w:r w:rsidR="00FB6775" w:rsidRPr="00DA7619">
        <w:lastRenderedPageBreak/>
        <w:t xml:space="preserve">Executing Agency (EA) in conjunction with the UNDP CO in Riyadh.  UNDP generally supplies Implementation Support Services (ISS) to boost the capacity of the EA in the recruitment of short- and long-term consultants.  Other UN specialized agencies (such as, in </w:t>
      </w:r>
      <w:r w:rsidR="00FB6775" w:rsidRPr="00655B55">
        <w:t xml:space="preserve">the projects viewed in this Outcome Evaluation </w:t>
      </w:r>
      <w:r w:rsidR="008F3FCE" w:rsidRPr="00655B55">
        <w:t>ITU, UN HABITAT, UN DESA</w:t>
      </w:r>
      <w:r w:rsidR="0070575C" w:rsidRPr="00655B55">
        <w:t>)</w:t>
      </w:r>
      <w:r w:rsidR="00655B55" w:rsidRPr="00655B55">
        <w:t xml:space="preserve">.  On the government side, </w:t>
      </w:r>
      <w:r w:rsidR="00FB6775" w:rsidRPr="00655B55">
        <w:t xml:space="preserve">SA ministries in the current Evaluation included the ministries of Commerce and Industry (MCI), Foreign Affairs (MOFA), </w:t>
      </w:r>
      <w:r w:rsidR="00655B55">
        <w:t>Economy and Planning (MOEP)</w:t>
      </w:r>
      <w:r w:rsidR="00155D7D" w:rsidRPr="00655B55">
        <w:t>, Roads and Transport</w:t>
      </w:r>
      <w:r w:rsidR="00655B55">
        <w:t xml:space="preserve"> (MOT)</w:t>
      </w:r>
      <w:r w:rsidR="0070575C" w:rsidRPr="00655B55">
        <w:t>,</w:t>
      </w:r>
      <w:r w:rsidR="00155D7D" w:rsidRPr="00655B55">
        <w:t xml:space="preserve"> and</w:t>
      </w:r>
      <w:r w:rsidR="0070575C" w:rsidRPr="00655B55">
        <w:t xml:space="preserve"> a</w:t>
      </w:r>
      <w:r w:rsidR="00FB6775" w:rsidRPr="00655B55">
        <w:t xml:space="preserve">gencies </w:t>
      </w:r>
      <w:r w:rsidR="00155D7D" w:rsidRPr="00655B55">
        <w:t xml:space="preserve">and institutions </w:t>
      </w:r>
      <w:r w:rsidR="00655B55">
        <w:t>such as SFD</w:t>
      </w:r>
      <w:r w:rsidR="00FB6775" w:rsidRPr="00655B55">
        <w:t xml:space="preserve">A, </w:t>
      </w:r>
      <w:r w:rsidR="00155D7D" w:rsidRPr="00655B55">
        <w:t xml:space="preserve">KACST, </w:t>
      </w:r>
      <w:r w:rsidR="00655B55">
        <w:t>MUON, AUDI.</w:t>
      </w:r>
    </w:p>
    <w:p w:rsidR="009A3138" w:rsidRPr="00DA7619" w:rsidRDefault="0070075E" w:rsidP="009A3138">
      <w:r>
        <w:t>The narrative review of the outputs’ contribution to the Outcome has repeatedly observed that the SA partners expressed sincere appreciation for the effective skills, networks and management model that UNDP SA has contributed to the government’s successes in working for the objectives of its strategic development plans.</w:t>
      </w:r>
    </w:p>
    <w:p w:rsidR="002230D1" w:rsidRPr="00DA7619" w:rsidRDefault="002230D1" w:rsidP="0055608D">
      <w:pPr>
        <w:pStyle w:val="Heading3"/>
        <w:numPr>
          <w:ilvl w:val="1"/>
          <w:numId w:val="4"/>
        </w:numPr>
      </w:pPr>
      <w:bookmarkStart w:id="36" w:name="_Toc325940192"/>
      <w:r w:rsidRPr="00F14954">
        <w:t>Flexibility</w:t>
      </w:r>
      <w:bookmarkEnd w:id="36"/>
    </w:p>
    <w:p w:rsidR="005966B6" w:rsidRDefault="0070575C" w:rsidP="00155D7D">
      <w:r w:rsidRPr="00DA7619">
        <w:t xml:space="preserve">It is clear from discussions with all projects and programmes that </w:t>
      </w:r>
      <w:r w:rsidR="008F3FCE" w:rsidRPr="00DA7619">
        <w:t xml:space="preserve">SA </w:t>
      </w:r>
      <w:r w:rsidR="006104B9">
        <w:t xml:space="preserve">as a partner </w:t>
      </w:r>
      <w:r w:rsidR="008F3FCE" w:rsidRPr="00DA7619">
        <w:t>greatly appreciates several roles specific to UNDP and the UN as a whole</w:t>
      </w:r>
      <w:r w:rsidR="00015C67" w:rsidRPr="00DA7619">
        <w:t xml:space="preserve">.  </w:t>
      </w:r>
      <w:r w:rsidR="00F14954">
        <w:t xml:space="preserve">One senior official took pains to state, unreservedly, </w:t>
      </w:r>
      <w:r w:rsidR="00015C67" w:rsidRPr="00DA7619">
        <w:t>"From the beginning, UNDP provided u</w:t>
      </w:r>
      <w:r w:rsidR="00F14954">
        <w:t>s</w:t>
      </w:r>
      <w:r w:rsidR="00015C67" w:rsidRPr="00DA7619">
        <w:t xml:space="preserve"> with the flexibility we needed to reach our goals</w:t>
      </w:r>
      <w:r w:rsidR="008F3FCE" w:rsidRPr="00DA7619">
        <w:t>.</w:t>
      </w:r>
      <w:r w:rsidR="00015C67" w:rsidRPr="00DA7619">
        <w:t>”</w:t>
      </w:r>
      <w:r w:rsidR="00A913FD" w:rsidRPr="00DA7619">
        <w:t xml:space="preserve">  </w:t>
      </w:r>
      <w:r w:rsidR="00155D7D" w:rsidRPr="00DA7619">
        <w:t>Counterparts noted that</w:t>
      </w:r>
      <w:r w:rsidR="00F14954">
        <w:t>, given official goals of increasing the proportions of nationals in public sector as well as in the modern sector</w:t>
      </w:r>
      <w:r w:rsidR="00155D7D" w:rsidRPr="00DA7619">
        <w:t xml:space="preserve"> as a </w:t>
      </w:r>
      <w:r w:rsidR="00F14954">
        <w:t>whole</w:t>
      </w:r>
      <w:r w:rsidR="00155D7D" w:rsidRPr="00DA7619">
        <w:t xml:space="preserve">, government rules </w:t>
      </w:r>
      <w:r w:rsidR="0070075E">
        <w:t xml:space="preserve">have been elaborated to foster the employment of nationals in public sector agencies as well as the private sector.  Without </w:t>
      </w:r>
      <w:r w:rsidR="005966B6">
        <w:t xml:space="preserve">a purpose-designed modality adapted to this setting, it would be difficult to source expertise unhampered.  In other circumstances working within the public sector, </w:t>
      </w:r>
      <w:r w:rsidR="00155D7D" w:rsidRPr="00DA7619">
        <w:t xml:space="preserve">it </w:t>
      </w:r>
      <w:r w:rsidR="005966B6">
        <w:t xml:space="preserve">can be cumbersome and </w:t>
      </w:r>
      <w:r w:rsidR="00155D7D" w:rsidRPr="00DA7619">
        <w:t xml:space="preserve">difficult to </w:t>
      </w:r>
      <w:r w:rsidR="005966B6">
        <w:t xml:space="preserve">commission a </w:t>
      </w:r>
      <w:r w:rsidR="00155D7D" w:rsidRPr="00DA7619">
        <w:t>f</w:t>
      </w:r>
      <w:r w:rsidR="005966B6">
        <w:t xml:space="preserve">oreign expert.  However, under the NCC arrangement as it has evolved, government entities enjoy the flexibility to engage the most appropriate expertise, whether from home or abroad.  </w:t>
      </w:r>
      <w:r w:rsidR="008C7F20">
        <w:t>“The process is easy, and we can channel expertise to the departments where they are needed, whatever the level of the unit concerned.”</w:t>
      </w:r>
    </w:p>
    <w:p w:rsidR="00B14A87" w:rsidRDefault="00B14A87" w:rsidP="00155D7D">
      <w:r>
        <w:t>Because the partnership allows for short-, medium- or long-term consultancies, it is responsive to the ebb and flow of demand for specialized personnel.  Indeed, some informants noted that the arrangement with UNDP has prevented the unnecessary “bloating” of some agencies – that might be tempted to retain high-cost staffers against occasional need, rather than enjoying the “just-in-time” personnel supply afforded by the programme.</w:t>
      </w:r>
    </w:p>
    <w:p w:rsidR="00155D7D" w:rsidRPr="00DA7619" w:rsidRDefault="005966B6" w:rsidP="00155D7D">
      <w:r>
        <w:t xml:space="preserve">Project personnel noted that UNDP has a depth of experience and a </w:t>
      </w:r>
      <w:r w:rsidR="008C7F20">
        <w:t>considerable</w:t>
      </w:r>
      <w:r>
        <w:t xml:space="preserve"> </w:t>
      </w:r>
      <w:r w:rsidR="008C7F20">
        <w:t>pool</w:t>
      </w:r>
      <w:r>
        <w:t xml:space="preserve"> of specialized UN agencies on which to draw, so that CO staff have been able to provide knowledgeable assistance to identify and certify the reliability of the experts </w:t>
      </w:r>
      <w:r w:rsidR="008C7F20">
        <w:t>they propose</w:t>
      </w:r>
      <w:r>
        <w:t xml:space="preserve"> to projects.  Further, project staff have found that in the case of large </w:t>
      </w:r>
      <w:r w:rsidRPr="00DA7619">
        <w:t>international</w:t>
      </w:r>
      <w:r w:rsidR="00155D7D" w:rsidRPr="00DA7619">
        <w:t xml:space="preserve"> consulting firms</w:t>
      </w:r>
      <w:r w:rsidR="00A40FC1">
        <w:t>, not only are costs extremely high, but more critically some firms have been found to rely on standard,</w:t>
      </w:r>
      <w:r w:rsidR="00155D7D" w:rsidRPr="00DA7619">
        <w:t xml:space="preserve"> fixed approaches</w:t>
      </w:r>
      <w:r w:rsidR="00A40FC1">
        <w:t>, or “off-the-rack” solutions</w:t>
      </w:r>
      <w:r w:rsidR="00155D7D" w:rsidRPr="00DA7619">
        <w:t xml:space="preserve">.  </w:t>
      </w:r>
      <w:r w:rsidR="00A40FC1">
        <w:t xml:space="preserve">In contrast, staff reported, </w:t>
      </w:r>
      <w:r w:rsidR="00155D7D" w:rsidRPr="00DA7619">
        <w:t xml:space="preserve">UNDP screens </w:t>
      </w:r>
      <w:r w:rsidR="00A40FC1">
        <w:t>the candidates proposed, “</w:t>
      </w:r>
      <w:r w:rsidR="00155D7D" w:rsidRPr="00DA7619">
        <w:t>and we find the right people for our needs, at a better cost</w:t>
      </w:r>
      <w:r w:rsidR="00A40FC1">
        <w:t>”.</w:t>
      </w:r>
      <w:r w:rsidR="00114FCD">
        <w:t xml:space="preserve">  </w:t>
      </w:r>
    </w:p>
    <w:p w:rsidR="002230D1" w:rsidRPr="00DA7619" w:rsidRDefault="00114FCD" w:rsidP="0055608D">
      <w:pPr>
        <w:pStyle w:val="Heading3"/>
        <w:numPr>
          <w:ilvl w:val="1"/>
          <w:numId w:val="4"/>
        </w:numPr>
      </w:pPr>
      <w:bookmarkStart w:id="37" w:name="_Toc325940193"/>
      <w:r>
        <w:t xml:space="preserve">Accessing the </w:t>
      </w:r>
      <w:r w:rsidR="002230D1" w:rsidRPr="00DA7619">
        <w:t xml:space="preserve">UN </w:t>
      </w:r>
      <w:r w:rsidR="00FA30DD">
        <w:t xml:space="preserve">specialized-agency </w:t>
      </w:r>
      <w:r w:rsidR="002230D1" w:rsidRPr="00DA7619">
        <w:t>network</w:t>
      </w:r>
      <w:bookmarkEnd w:id="37"/>
    </w:p>
    <w:p w:rsidR="002230D1" w:rsidRPr="00DA7619" w:rsidRDefault="00A40FC1" w:rsidP="002230D1">
      <w:r>
        <w:t xml:space="preserve">As already noted, </w:t>
      </w:r>
      <w:r w:rsidR="008F3FCE" w:rsidRPr="00DA7619">
        <w:t xml:space="preserve">SA partner staff in discussions for the Outcome Evaluation expressed their satisfaction with the collegial support and institutional access </w:t>
      </w:r>
      <w:r>
        <w:t xml:space="preserve">accorded to </w:t>
      </w:r>
      <w:r w:rsidR="00860F39">
        <w:t xml:space="preserve">the specialized agencies and knowledge pool linked to UNDP.  The range of international organizations, </w:t>
      </w:r>
      <w:r w:rsidR="008F3FCE" w:rsidRPr="00DA7619">
        <w:t>committ</w:t>
      </w:r>
      <w:r w:rsidR="00860F39">
        <w:t xml:space="preserve">ees, commissions and expertise that have been called on during the CP 2007-11 has been enormous, and is particularly </w:t>
      </w:r>
      <w:r w:rsidR="00860F39">
        <w:lastRenderedPageBreak/>
        <w:t xml:space="preserve">highlighted by the scope of outputs under Outcome 3.  </w:t>
      </w:r>
      <w:r w:rsidR="00AA25CE">
        <w:t>For the partner staff met by the Evaluation mission, the reputation, profile and xx of the UN network are held in the highest regard.</w:t>
      </w:r>
    </w:p>
    <w:p w:rsidR="00EE09AC" w:rsidRPr="00DA7619" w:rsidRDefault="00EE09AC" w:rsidP="00EE09AC"/>
    <w:p w:rsidR="00124802" w:rsidRDefault="003F0C51" w:rsidP="0055608D">
      <w:pPr>
        <w:pStyle w:val="Heading1"/>
        <w:numPr>
          <w:ilvl w:val="0"/>
          <w:numId w:val="4"/>
        </w:numPr>
      </w:pPr>
      <w:bookmarkStart w:id="38" w:name="_Toc325940194"/>
      <w:r w:rsidRPr="00DA7619">
        <w:t>Conclusions</w:t>
      </w:r>
      <w:r w:rsidR="00C201DE" w:rsidRPr="00DA7619">
        <w:t xml:space="preserve"> and </w:t>
      </w:r>
      <w:r w:rsidR="00124802" w:rsidRPr="00DA7619">
        <w:t>Recommendations</w:t>
      </w:r>
      <w:bookmarkEnd w:id="38"/>
      <w:r w:rsidR="00124802" w:rsidRPr="00DA7619">
        <w:t xml:space="preserve"> </w:t>
      </w:r>
    </w:p>
    <w:p w:rsidR="00EA38B6" w:rsidRPr="00DA7619" w:rsidRDefault="00EA38B6" w:rsidP="0055608D">
      <w:pPr>
        <w:pStyle w:val="Heading2"/>
        <w:numPr>
          <w:ilvl w:val="1"/>
          <w:numId w:val="4"/>
        </w:numPr>
      </w:pPr>
      <w:bookmarkStart w:id="39" w:name="_Toc325940195"/>
      <w:r w:rsidRPr="00DA7619">
        <w:t>Programme framing in a High-human-development NCC</w:t>
      </w:r>
      <w:bookmarkEnd w:id="39"/>
      <w:r w:rsidRPr="00DA7619">
        <w:t xml:space="preserve"> </w:t>
      </w:r>
    </w:p>
    <w:p w:rsidR="00EA38B6" w:rsidRPr="00DA7619" w:rsidRDefault="00EA38B6" w:rsidP="0055608D">
      <w:pPr>
        <w:pStyle w:val="Heading3"/>
        <w:numPr>
          <w:ilvl w:val="2"/>
          <w:numId w:val="4"/>
        </w:numPr>
      </w:pPr>
      <w:bookmarkStart w:id="40" w:name="_Toc325940196"/>
      <w:r w:rsidRPr="00DA7619">
        <w:t>Ownership assured</w:t>
      </w:r>
      <w:bookmarkEnd w:id="40"/>
    </w:p>
    <w:p w:rsidR="00EA38B6" w:rsidRDefault="00EA38B6" w:rsidP="00EA38B6">
      <w:r w:rsidRPr="00DA7619">
        <w:t xml:space="preserve">The evaluation of UNDP cooperation with NCC countries in the Arab region made clear the high regard in which these countries hold their partnership with UNDP.  </w:t>
      </w:r>
      <w:r>
        <w:t>In the c</w:t>
      </w:r>
      <w:r w:rsidRPr="00DA7619">
        <w:t xml:space="preserve">ase of </w:t>
      </w:r>
      <w:r>
        <w:t>K</w:t>
      </w:r>
      <w:r w:rsidRPr="00DA7619">
        <w:t xml:space="preserve">SA </w:t>
      </w:r>
      <w:r>
        <w:t xml:space="preserve">this cooperation modality and approach are arguably </w:t>
      </w:r>
      <w:r w:rsidRPr="00DA7619">
        <w:t>all the more</w:t>
      </w:r>
      <w:r>
        <w:t xml:space="preserve"> effective</w:t>
      </w:r>
      <w:r w:rsidRPr="00DA7619">
        <w:t>, since government is able to finance a large programme, and is clear as to its objectives and needs</w:t>
      </w:r>
      <w:r>
        <w:t xml:space="preserve">.  Ownership by government is ensured, and the role of UNDP is one of facilitating access to the best possible resources. </w:t>
      </w:r>
    </w:p>
    <w:p w:rsidR="00EA38B6" w:rsidRDefault="00EA38B6" w:rsidP="0055608D">
      <w:pPr>
        <w:pStyle w:val="Heading3"/>
        <w:numPr>
          <w:ilvl w:val="2"/>
          <w:numId w:val="4"/>
        </w:numPr>
      </w:pPr>
      <w:bookmarkStart w:id="41" w:name="_Toc325940197"/>
      <w:r>
        <w:t>Mutual confidence</w:t>
      </w:r>
      <w:bookmarkEnd w:id="41"/>
      <w:r>
        <w:t xml:space="preserve"> </w:t>
      </w:r>
    </w:p>
    <w:p w:rsidR="00EA38B6" w:rsidRDefault="00EA38B6" w:rsidP="00EA38B6">
      <w:r>
        <w:t>The relevance of cooperation with UNDP in the case of a strong development partner such as KSA lies in the evolution of a relationship over many years</w:t>
      </w:r>
      <w:r w:rsidR="00AF3AAC">
        <w:t>.  The relationship of mutual trust and cooperation is not one that can be built in a short time, and the value of the rapport established on both sides serves as an excellent example of successful partnerships in an NCC setting.</w:t>
      </w:r>
    </w:p>
    <w:p w:rsidR="00AF3AAC" w:rsidRDefault="00AF3AAC" w:rsidP="0055608D">
      <w:pPr>
        <w:pStyle w:val="Heading2"/>
        <w:numPr>
          <w:ilvl w:val="1"/>
          <w:numId w:val="4"/>
        </w:numPr>
      </w:pPr>
      <w:bookmarkStart w:id="42" w:name="_Toc325940198"/>
      <w:r>
        <w:t>Drawing conclusions on a broad Outcome</w:t>
      </w:r>
      <w:bookmarkEnd w:id="42"/>
      <w:r>
        <w:t xml:space="preserve">  </w:t>
      </w:r>
    </w:p>
    <w:p w:rsidR="00306DF9" w:rsidRPr="00306DF9" w:rsidRDefault="00306DF9" w:rsidP="0055608D">
      <w:pPr>
        <w:pStyle w:val="Heading3"/>
        <w:numPr>
          <w:ilvl w:val="2"/>
          <w:numId w:val="4"/>
        </w:numPr>
      </w:pPr>
      <w:bookmarkStart w:id="43" w:name="_Toc325940199"/>
      <w:r>
        <w:t>Public sector performance</w:t>
      </w:r>
      <w:bookmarkEnd w:id="43"/>
    </w:p>
    <w:p w:rsidR="00DF1FB8" w:rsidRDefault="0021257E" w:rsidP="0021257E">
      <w:r>
        <w:t>This evaluation has reviewed the progress made toward the Outcome</w:t>
      </w:r>
      <w:r w:rsidR="00DF1FB8">
        <w:t xml:space="preserve"> 3</w:t>
      </w:r>
      <w:r>
        <w:t xml:space="preserve">: </w:t>
      </w:r>
      <w:r w:rsidR="00DF1FB8" w:rsidRPr="00DA7619">
        <w:t>“An efficient and accountable public sector and institutions are in place”</w:t>
      </w:r>
      <w:r w:rsidR="00DF1FB8">
        <w:t>.  Such an Outcome statement appears on the surface at once simple and straightforward.  The projects executed under this heading were numerous, sophisticated, and by every evidence worthwhile.  Nevertheless, on closer examination, the simple requirement to put in place, and to conclude that one has put in place, an “efficient and accountable” regime across the whole public sector</w:t>
      </w:r>
      <w:r w:rsidR="00916F34">
        <w:t xml:space="preserve">, working through a panoply of regulatory and service delivery institutions, begins to seem too vast to undertake.  </w:t>
      </w:r>
    </w:p>
    <w:p w:rsidR="00DB1C5B" w:rsidRDefault="00916F34" w:rsidP="0021257E">
      <w:r>
        <w:t xml:space="preserve">We can be of good heart, however.  </w:t>
      </w:r>
      <w:r w:rsidR="00DF1FB8">
        <w:t xml:space="preserve">In conducting the review, we have examined the country context in which Outcome 3 and the Country Programme itself were prepared and implemented.  We have drawn together a narrative account of the progress made toward </w:t>
      </w:r>
      <w:r w:rsidR="00CC6BEA">
        <w:t xml:space="preserve">the broad goal of efficiency and accountability </w:t>
      </w:r>
      <w:r w:rsidR="00DB1C5B">
        <w:t>by</w:t>
      </w:r>
      <w:r w:rsidR="00CC6BEA">
        <w:t xml:space="preserve"> nine or more departments and agencies</w:t>
      </w:r>
      <w:r w:rsidR="00DB1C5B">
        <w:t>, in their partnership arrangement with UNDP-SA</w:t>
      </w:r>
      <w:r w:rsidR="00CC6BEA">
        <w:t xml:space="preserve">.  </w:t>
      </w:r>
      <w:r w:rsidR="00DB1C5B">
        <w:t xml:space="preserve">We have considered additional and overriding factors, in a young, ambitious country with enviable national endowments is confident in making its own way – and these factors have played an undeniable key role in the progress achieved.  </w:t>
      </w:r>
    </w:p>
    <w:p w:rsidR="003850A8" w:rsidRDefault="00DB1C5B" w:rsidP="003850A8">
      <w:pPr>
        <w:rPr>
          <w:lang w:val="en-CA"/>
        </w:rPr>
      </w:pPr>
      <w:r>
        <w:t>Given that we are examining an Outcome that derived from multiple contributions, through numerous projects and steps taking place over a period of five years, it is inevitable that the data available has been mixed and varied, and that only a small slice of the undertakings of the programme could be scrutinized.  Some projects provided a wealth</w:t>
      </w:r>
      <w:r w:rsidR="003850A8">
        <w:t xml:space="preserve"> </w:t>
      </w:r>
      <w:r>
        <w:t xml:space="preserve">of reporting detail; others </w:t>
      </w:r>
      <w:r w:rsidR="003850A8">
        <w:t>supplied</w:t>
      </w:r>
      <w:r>
        <w:t xml:space="preserve"> more scanty material.  Unevenness of the data and findings </w:t>
      </w:r>
      <w:r w:rsidR="003850A8">
        <w:t xml:space="preserve">is rarely an obstacle to founded conclusions.  Evaluation </w:t>
      </w:r>
      <w:r w:rsidR="003850A8">
        <w:lastRenderedPageBreak/>
        <w:t xml:space="preserve">methodology tells us:  </w:t>
      </w:r>
      <w:r w:rsidR="003850A8" w:rsidRPr="0021257E">
        <w:rPr>
          <w:lang w:val="en-CA"/>
        </w:rPr>
        <w:t>Conclusions are not</w:t>
      </w:r>
      <w:r w:rsidR="003850A8">
        <w:rPr>
          <w:lang w:val="en-CA"/>
        </w:rPr>
        <w:t xml:space="preserve"> </w:t>
      </w:r>
      <w:r w:rsidR="003850A8" w:rsidRPr="0021257E">
        <w:rPr>
          <w:lang w:val="en-CA"/>
        </w:rPr>
        <w:t>findings; they are interpretations that give meaning to the findings</w:t>
      </w:r>
      <w:r w:rsidR="00045C06">
        <w:rPr>
          <w:lang w:val="en-CA"/>
        </w:rPr>
        <w:t xml:space="preserve">.  </w:t>
      </w:r>
      <w:r w:rsidR="00045C06" w:rsidRPr="0021257E">
        <w:rPr>
          <w:lang w:val="en-CA"/>
        </w:rPr>
        <w:t xml:space="preserve">A conclusion is a reasoned judgement based on a synthesis of </w:t>
      </w:r>
      <w:r w:rsidR="00045C06">
        <w:rPr>
          <w:lang w:val="en-CA"/>
        </w:rPr>
        <w:t>the findings</w:t>
      </w:r>
      <w:r w:rsidR="00544791">
        <w:rPr>
          <w:lang w:val="en-CA"/>
        </w:rPr>
        <w:t>, in this case</w:t>
      </w:r>
      <w:r w:rsidR="00045C06">
        <w:rPr>
          <w:lang w:val="en-CA"/>
        </w:rPr>
        <w:t xml:space="preserve"> of visits, key informant interviews, and various kinds of documentation – always set in the </w:t>
      </w:r>
      <w:r w:rsidR="00045C06" w:rsidRPr="0021257E">
        <w:rPr>
          <w:lang w:val="en-CA"/>
        </w:rPr>
        <w:t>specific circumstances</w:t>
      </w:r>
      <w:r w:rsidR="00045C06">
        <w:rPr>
          <w:lang w:val="en-CA"/>
        </w:rPr>
        <w:t xml:space="preserve"> of the</w:t>
      </w:r>
      <w:r w:rsidR="00544791">
        <w:rPr>
          <w:lang w:val="en-CA"/>
        </w:rPr>
        <w:t xml:space="preserve"> cooperation period and place </w:t>
      </w:r>
      <w:r w:rsidR="007D6549">
        <w:rPr>
          <w:lang w:val="en-CA"/>
        </w:rPr>
        <w:fldChar w:fldCharType="begin"/>
      </w:r>
      <w:r w:rsidR="00DB11E7">
        <w:rPr>
          <w:lang w:val="en-CA"/>
        </w:rPr>
        <w:instrText xml:space="preserve"> ADDIN EN.CITE &lt;EndNote&gt;&lt;Cite&gt;&lt;Author&gt;UNDP&lt;/Author&gt;&lt;Year&gt;2009&lt;/Year&gt;&lt;RecNum&gt;1092&lt;/RecNum&gt;&lt;Suffix&gt;, p. 179.&lt;/Suffix&gt;&lt;record&gt;&lt;rec-number&gt;1092&lt;/rec-number&gt;&lt;ref-type name="Report"&gt;27&lt;/ref-type&gt;&lt;contributors&gt;&lt;authors&gt;&lt;author&gt;UNDP,&lt;/author&gt;&lt;/authors&gt;&lt;/contributors&gt;&lt;titles&gt;&lt;title&gt;Handbook on Planning, Monitoring and Evaluating for Development Results&lt;/title&gt;&lt;/titles&gt;&lt;pages&gt;232&lt;/pages&gt;&lt;dates&gt;&lt;year&gt;2009&lt;/year&gt;&lt;/dates&gt;&lt;pub-location&gt;New York&lt;/pub-location&gt;&lt;publisher&gt;United Nations Development Programme&lt;/publisher&gt;&lt;urls&gt;&lt;/urls&gt;&lt;/record&gt;&lt;/Cite&gt;&lt;/EndNote&gt;</w:instrText>
      </w:r>
      <w:r w:rsidR="007D6549">
        <w:rPr>
          <w:lang w:val="en-CA"/>
        </w:rPr>
        <w:fldChar w:fldCharType="separate"/>
      </w:r>
      <w:r w:rsidR="00045C06">
        <w:rPr>
          <w:lang w:val="en-CA"/>
        </w:rPr>
        <w:t>(UNDP 2009, p. 179.)</w:t>
      </w:r>
      <w:r w:rsidR="007D6549">
        <w:rPr>
          <w:lang w:val="en-CA"/>
        </w:rPr>
        <w:fldChar w:fldCharType="end"/>
      </w:r>
      <w:r w:rsidR="00544791">
        <w:rPr>
          <w:lang w:val="en-CA"/>
        </w:rPr>
        <w:t>.</w:t>
      </w:r>
    </w:p>
    <w:p w:rsidR="00306DF9" w:rsidRDefault="00306DF9" w:rsidP="0055608D">
      <w:pPr>
        <w:pStyle w:val="Heading3"/>
        <w:numPr>
          <w:ilvl w:val="2"/>
          <w:numId w:val="4"/>
        </w:numPr>
        <w:rPr>
          <w:lang w:val="en-CA"/>
        </w:rPr>
      </w:pPr>
      <w:bookmarkStart w:id="44" w:name="_Toc325940200"/>
      <w:r>
        <w:rPr>
          <w:lang w:val="en-CA"/>
        </w:rPr>
        <w:t>Evident progress in efficiency quality of service</w:t>
      </w:r>
      <w:bookmarkEnd w:id="44"/>
    </w:p>
    <w:p w:rsidR="005522C9" w:rsidRDefault="00544791" w:rsidP="00544791">
      <w:pPr>
        <w:rPr>
          <w:lang w:val="en-CA"/>
        </w:rPr>
      </w:pPr>
      <w:r>
        <w:rPr>
          <w:lang w:val="en-CA"/>
        </w:rPr>
        <w:t xml:space="preserve">On the basis of the findings presented in the narrative review and context, it is evident that remarkable progress has been made in the efficient organization and structure of the concerned institutions in the Saudi public service sector.  </w:t>
      </w:r>
      <w:r w:rsidR="005522C9">
        <w:rPr>
          <w:lang w:val="en-CA"/>
        </w:rPr>
        <w:t>A judgment can be made of progress in efficient public service delivery by making relevant comparisons.  The SA public sector shows well in such an exercise.</w:t>
      </w:r>
    </w:p>
    <w:p w:rsidR="00DF1FB8" w:rsidRDefault="00544791" w:rsidP="00544791">
      <w:pPr>
        <w:rPr>
          <w:lang w:val="en-CA"/>
        </w:rPr>
      </w:pPr>
      <w:r>
        <w:rPr>
          <w:lang w:val="en-CA"/>
        </w:rPr>
        <w:t xml:space="preserve">Compared with the state of advancement of the reviewed group of public sector entities at the starting point of the CP, the country </w:t>
      </w:r>
      <w:r w:rsidR="00CB1A57">
        <w:rPr>
          <w:lang w:val="en-CA"/>
        </w:rPr>
        <w:t xml:space="preserve">and its people </w:t>
      </w:r>
      <w:r>
        <w:rPr>
          <w:lang w:val="en-CA"/>
        </w:rPr>
        <w:t>can now be said to enjoy:</w:t>
      </w:r>
    </w:p>
    <w:p w:rsidR="00544791" w:rsidRDefault="00544791" w:rsidP="0055608D">
      <w:pPr>
        <w:pStyle w:val="ListParagraph"/>
        <w:numPr>
          <w:ilvl w:val="0"/>
          <w:numId w:val="9"/>
        </w:numPr>
        <w:rPr>
          <w:lang w:val="en-CA"/>
        </w:rPr>
      </w:pPr>
      <w:r>
        <w:rPr>
          <w:lang w:val="en-CA"/>
        </w:rPr>
        <w:t xml:space="preserve">A sophisticated menu of e-government </w:t>
      </w:r>
      <w:r w:rsidR="0067486D">
        <w:rPr>
          <w:lang w:val="en-CA"/>
        </w:rPr>
        <w:t>facilities</w:t>
      </w:r>
      <w:r>
        <w:rPr>
          <w:lang w:val="en-CA"/>
        </w:rPr>
        <w:t>, offering many essential services to the population more rapidly, efficiently and at lower cost</w:t>
      </w:r>
    </w:p>
    <w:p w:rsidR="0067486D" w:rsidRDefault="0067486D" w:rsidP="0055608D">
      <w:pPr>
        <w:pStyle w:val="ListParagraph"/>
        <w:numPr>
          <w:ilvl w:val="0"/>
          <w:numId w:val="9"/>
        </w:numPr>
        <w:rPr>
          <w:lang w:val="en-CA"/>
        </w:rPr>
      </w:pPr>
      <w:r>
        <w:rPr>
          <w:lang w:val="en-CA"/>
        </w:rPr>
        <w:t>A continuously developing network of transport services that has become more effectively integrated, and has laid down the basis for further achievements in rationalizing the system so as to provide better results within existing grids</w:t>
      </w:r>
    </w:p>
    <w:p w:rsidR="0067486D" w:rsidRDefault="00ED6A28" w:rsidP="0055608D">
      <w:pPr>
        <w:pStyle w:val="ListParagraph"/>
        <w:numPr>
          <w:ilvl w:val="0"/>
          <w:numId w:val="9"/>
        </w:numPr>
        <w:rPr>
          <w:lang w:val="en-CA"/>
        </w:rPr>
      </w:pPr>
      <w:r>
        <w:rPr>
          <w:lang w:val="en-CA"/>
        </w:rPr>
        <w:t>A trustworthy food and drug administration that is capable of securing essential food and medical supplies and services to world standards of excellence, and has demonstrated its ongoing capability to continue to improve, in coverage, reliability and public confidence</w:t>
      </w:r>
    </w:p>
    <w:p w:rsidR="00ED6A28" w:rsidRDefault="00FA1194" w:rsidP="0055608D">
      <w:pPr>
        <w:pStyle w:val="ListParagraph"/>
        <w:numPr>
          <w:ilvl w:val="0"/>
          <w:numId w:val="9"/>
        </w:numPr>
        <w:rPr>
          <w:lang w:val="en-CA"/>
        </w:rPr>
      </w:pPr>
      <w:r>
        <w:rPr>
          <w:lang w:val="en-CA"/>
        </w:rPr>
        <w:t>Regulatory authorities such as SFDA, above, and CITC, have used international and regional expertise to adopt and implement standards that place them in good standing with world technical bodies, and rationalize services such as radio band allocation and drug inspection</w:t>
      </w:r>
    </w:p>
    <w:p w:rsidR="00FA1194" w:rsidRDefault="002914BD" w:rsidP="0055608D">
      <w:pPr>
        <w:pStyle w:val="ListParagraph"/>
        <w:numPr>
          <w:ilvl w:val="0"/>
          <w:numId w:val="9"/>
        </w:numPr>
        <w:rPr>
          <w:lang w:val="en-CA"/>
        </w:rPr>
      </w:pPr>
      <w:r>
        <w:rPr>
          <w:lang w:val="en-CA"/>
        </w:rPr>
        <w:t xml:space="preserve">Municipal affairs including election communications and preparation, urban planning on the basis of a core group of standard indicators, and networking of local and regional urban statistical authorities have made outstanding progress in the period of CP 2007-11.  The pioneering </w:t>
      </w:r>
    </w:p>
    <w:p w:rsidR="002914BD" w:rsidRDefault="002914BD" w:rsidP="002914BD">
      <w:pPr>
        <w:rPr>
          <w:lang w:val="en-CA"/>
        </w:rPr>
      </w:pPr>
      <w:r>
        <w:rPr>
          <w:lang w:val="en-CA"/>
        </w:rPr>
        <w:t xml:space="preserve">The above conclusions, based on a </w:t>
      </w:r>
      <w:r w:rsidRPr="002914BD">
        <w:rPr>
          <w:b/>
          <w:i/>
          <w:lang w:val="en-CA"/>
        </w:rPr>
        <w:t>comparison of the start and end points</w:t>
      </w:r>
      <w:r>
        <w:rPr>
          <w:lang w:val="en-CA"/>
        </w:rPr>
        <w:t xml:space="preserve"> of the CPD, can be drawn from the evidence provided to the Evaluation mission.</w:t>
      </w:r>
    </w:p>
    <w:p w:rsidR="005522C9" w:rsidRDefault="002914BD" w:rsidP="005522C9">
      <w:r w:rsidRPr="001D5914">
        <w:rPr>
          <w:lang w:val="en-CA"/>
        </w:rPr>
        <w:t xml:space="preserve">Similar conclusions of </w:t>
      </w:r>
      <w:r w:rsidR="001D5914" w:rsidRPr="001D5914">
        <w:rPr>
          <w:lang w:val="en-CA"/>
        </w:rPr>
        <w:t>significant</w:t>
      </w:r>
      <w:r w:rsidRPr="001D5914">
        <w:rPr>
          <w:lang w:val="en-CA"/>
        </w:rPr>
        <w:t xml:space="preserve"> progress can be made on the basis of </w:t>
      </w:r>
      <w:r w:rsidRPr="001D5914">
        <w:rPr>
          <w:b/>
          <w:i/>
          <w:lang w:val="en-CA"/>
        </w:rPr>
        <w:t>comparisons with regional and global standards</w:t>
      </w:r>
      <w:r w:rsidRPr="001D5914">
        <w:rPr>
          <w:lang w:val="en-CA"/>
        </w:rPr>
        <w:t xml:space="preserve">.  Section </w:t>
      </w:r>
      <w:r w:rsidR="001D5914" w:rsidRPr="001D5914">
        <w:rPr>
          <w:lang w:val="en-CA"/>
        </w:rPr>
        <w:t>3.1.2.9, above, noted that the indicator, “</w:t>
      </w:r>
      <w:r w:rsidR="001D5914" w:rsidRPr="008462C8">
        <w:t>Public institutions more responsive to clients’ demand for quality and efficient services in terms of costs and timeliness</w:t>
      </w:r>
      <w:r w:rsidR="001D5914">
        <w:t xml:space="preserve">”, could serve as a measure of the </w:t>
      </w:r>
      <w:r w:rsidR="001D5914" w:rsidRPr="00DA7619">
        <w:t xml:space="preserve">over-arching objectives </w:t>
      </w:r>
      <w:r w:rsidR="001D5914">
        <w:t xml:space="preserve">and theme </w:t>
      </w:r>
      <w:r w:rsidR="001D5914" w:rsidRPr="00DA7619">
        <w:t>of Outcome 3</w:t>
      </w:r>
      <w:r w:rsidR="001D5914">
        <w:t xml:space="preserve">.  KSA’s standing has been marked by its movement up the ranks in </w:t>
      </w:r>
      <w:r w:rsidR="001D5914" w:rsidRPr="00DA7619">
        <w:t xml:space="preserve">a number of global performance indicators, such as the </w:t>
      </w:r>
      <w:r w:rsidR="001D5914" w:rsidRPr="00DA7619">
        <w:rPr>
          <w:lang w:eastAsia="en-CA"/>
        </w:rPr>
        <w:t>United Nation</w:t>
      </w:r>
      <w:r w:rsidR="001D5914">
        <w:rPr>
          <w:lang w:eastAsia="en-CA"/>
        </w:rPr>
        <w:t>s</w:t>
      </w:r>
      <w:r w:rsidR="001D5914" w:rsidRPr="00DA7619">
        <w:rPr>
          <w:lang w:eastAsia="en-CA"/>
        </w:rPr>
        <w:t xml:space="preserve"> e-Government Survey</w:t>
      </w:r>
      <w:r w:rsidR="001D5914" w:rsidRPr="00DA7619">
        <w:t xml:space="preserve">, the WEF </w:t>
      </w:r>
      <w:r w:rsidR="001D5914" w:rsidRPr="00DA7619">
        <w:rPr>
          <w:lang w:eastAsia="en-CA"/>
        </w:rPr>
        <w:t>Network Readiness Index</w:t>
      </w:r>
      <w:r w:rsidR="001D5914" w:rsidRPr="00DA7619">
        <w:t xml:space="preserve">, and the WB group’s Doing Business Report. </w:t>
      </w:r>
    </w:p>
    <w:p w:rsidR="001D5914" w:rsidRDefault="005522C9" w:rsidP="001D5914">
      <w:r>
        <w:t xml:space="preserve">Finally, using a </w:t>
      </w:r>
      <w:r w:rsidRPr="005522C9">
        <w:rPr>
          <w:b/>
          <w:i/>
        </w:rPr>
        <w:t xml:space="preserve">comparison with </w:t>
      </w:r>
      <w:r w:rsidRPr="005522C9">
        <w:rPr>
          <w:b/>
          <w:i/>
          <w:lang w:val="en-CA"/>
        </w:rPr>
        <w:t>national norms, past performance or growing needs</w:t>
      </w:r>
      <w:r>
        <w:rPr>
          <w:lang w:val="en-CA"/>
        </w:rPr>
        <w:t>, we have noted a large number of absolute indicators provided by the e-Government programme under MOFA, including t</w:t>
      </w:r>
      <w:r w:rsidR="001D5914" w:rsidRPr="00DA7619">
        <w:t>he record numbers of public e-transactions, such as</w:t>
      </w:r>
      <w:r>
        <w:t>:</w:t>
      </w:r>
      <w:r w:rsidR="001D5914" w:rsidRPr="00DA7619">
        <w:t xml:space="preserve"> the issuance of more than eight million e-visas in </w:t>
      </w:r>
      <w:r>
        <w:t>a one-year period</w:t>
      </w:r>
      <w:r w:rsidR="001D5914" w:rsidRPr="00DA7619">
        <w:t xml:space="preserve"> by </w:t>
      </w:r>
      <w:r>
        <w:t>MOFA</w:t>
      </w:r>
      <w:r w:rsidR="001D5914" w:rsidRPr="00DA7619">
        <w:t>, testifying to more efficient interactions of the global co</w:t>
      </w:r>
      <w:r w:rsidR="001D5914">
        <w:t>mmunity with the KSA government, and an improved capability to provide customer satisfaction</w:t>
      </w:r>
      <w:r>
        <w:t xml:space="preserve">; and the achievements in training.   </w:t>
      </w:r>
    </w:p>
    <w:p w:rsidR="008C5961" w:rsidRPr="00DA7619" w:rsidRDefault="008C5961" w:rsidP="0055608D">
      <w:pPr>
        <w:pStyle w:val="Heading4"/>
        <w:numPr>
          <w:ilvl w:val="2"/>
          <w:numId w:val="4"/>
        </w:numPr>
      </w:pPr>
      <w:bookmarkStart w:id="45" w:name="_Toc325940201"/>
      <w:r w:rsidRPr="00DA7619">
        <w:lastRenderedPageBreak/>
        <w:t>Administrative management</w:t>
      </w:r>
      <w:bookmarkEnd w:id="45"/>
      <w:r w:rsidRPr="00DA7619">
        <w:t xml:space="preserve"> </w:t>
      </w:r>
    </w:p>
    <w:p w:rsidR="008C5961" w:rsidRDefault="008C5961" w:rsidP="008C5961">
      <w:r>
        <w:t>The Evaluation mission found adequate documentation of project objectives and results, not only in project documents, but also on the excellent UNDP-SA portal, which generally provides an up-to-date summary of projects, both complet</w:t>
      </w:r>
      <w:r w:rsidR="00E66A8A">
        <w:t>ed</w:t>
      </w:r>
      <w:r>
        <w:t xml:space="preserve"> and ongoing or extended.  </w:t>
      </w:r>
    </w:p>
    <w:p w:rsidR="0063385E" w:rsidRDefault="0063385E" w:rsidP="008C5961">
      <w:r>
        <w:t>On the other hand, i</w:t>
      </w:r>
      <w:r w:rsidR="008C5961">
        <w:t xml:space="preserve">n comparison with non-NCC </w:t>
      </w:r>
      <w:r>
        <w:t>cooperation programmes</w:t>
      </w:r>
      <w:r w:rsidR="008C5961">
        <w:t xml:space="preserve">, annual or other periodic reports of projects by the NIM agencies were less </w:t>
      </w:r>
      <w:r>
        <w:t>consistently</w:t>
      </w:r>
      <w:r w:rsidR="008C5961">
        <w:t xml:space="preserve"> available.  </w:t>
      </w:r>
      <w:r>
        <w:t xml:space="preserve">The production of annual reports and narratives </w:t>
      </w:r>
      <w:r w:rsidR="008C5961" w:rsidRPr="00DA7619">
        <w:t>may be deemed onerous by government</w:t>
      </w:r>
      <w:r>
        <w:t xml:space="preserve"> and agency partners.  It is possible that the partners</w:t>
      </w:r>
      <w:r w:rsidR="008C5961" w:rsidRPr="00DA7619">
        <w:t xml:space="preserve"> could explore ways of simplifying</w:t>
      </w:r>
      <w:r>
        <w:t xml:space="preserve"> results-based reporting beyond financial records (which are well taken in hand on both sides).  It may be possible that mutually agreeable formats such as stripped-down </w:t>
      </w:r>
      <w:r w:rsidR="008C5961" w:rsidRPr="00DA7619">
        <w:t>templates</w:t>
      </w:r>
      <w:r>
        <w:t xml:space="preserve"> that focused on targets with their respective indicators could be devised.</w:t>
      </w:r>
    </w:p>
    <w:p w:rsidR="008C5961" w:rsidRDefault="008C5961" w:rsidP="008C5961">
      <w:r>
        <w:t>It is not the task of an Outcome Evaluation to touch on matters pertaining to other reviews such as</w:t>
      </w:r>
      <w:r w:rsidRPr="00DA7619">
        <w:t xml:space="preserve"> financial audit</w:t>
      </w:r>
      <w:r>
        <w:t>s; however, in the way of reporting on partner relations in administrative matters, one comment is noteworthy.  Without exception, key informants who met with the Evaluation mission volunteered their appreciation for the expert and consistent assistance provided by their UNDP partners in ensuring the smooth and documented flow of all resources.  There was also appreciation expressed for the handling of fund residuals remaining available in any period, and the lack of difficulty for the government to re-assign funds as necessary to evolved or re-cast project needs.</w:t>
      </w:r>
    </w:p>
    <w:p w:rsidR="005522C9" w:rsidRDefault="005522C9" w:rsidP="0055608D">
      <w:pPr>
        <w:pStyle w:val="Heading2"/>
        <w:numPr>
          <w:ilvl w:val="1"/>
          <w:numId w:val="4"/>
        </w:numPr>
      </w:pPr>
      <w:bookmarkStart w:id="46" w:name="_Toc325940202"/>
      <w:r>
        <w:t>Recommendations</w:t>
      </w:r>
      <w:bookmarkEnd w:id="46"/>
    </w:p>
    <w:p w:rsidR="00AF2293" w:rsidRDefault="00AF2293" w:rsidP="0055608D">
      <w:pPr>
        <w:pStyle w:val="Heading3"/>
        <w:numPr>
          <w:ilvl w:val="2"/>
          <w:numId w:val="4"/>
        </w:numPr>
      </w:pPr>
      <w:bookmarkStart w:id="47" w:name="_Toc325940203"/>
      <w:r>
        <w:t>Current arrangements work well and should be continued</w:t>
      </w:r>
      <w:bookmarkEnd w:id="47"/>
    </w:p>
    <w:p w:rsidR="0063385E" w:rsidRPr="00DA7619" w:rsidRDefault="0063385E" w:rsidP="00AF2293">
      <w:r w:rsidRPr="00DA7619">
        <w:t>Drawing important lessons from earlier cooperation</w:t>
      </w:r>
      <w:r w:rsidR="00AF2293">
        <w:t xml:space="preserve"> experience</w:t>
      </w:r>
      <w:r w:rsidRPr="00DA7619">
        <w:t xml:space="preserve">, the </w:t>
      </w:r>
      <w:r>
        <w:t>CPAP (2008)</w:t>
      </w:r>
      <w:r w:rsidRPr="00DA7619">
        <w:t xml:space="preserve"> noted that administrative modalities within NIM execution were best designed as flexible and simple protocols.  </w:t>
      </w:r>
      <w:r w:rsidR="00AF2293">
        <w:t xml:space="preserve">The CPAP underscored UNDP’s </w:t>
      </w:r>
      <w:r w:rsidRPr="00DA7619">
        <w:t>recognition that the greatest benefit to SA deriving from UNDP partnership was the access provided to advisory and capacity development services.  The CPAP endorsed the opinion of government partners, citing their views on this emphasis:</w:t>
      </w:r>
    </w:p>
    <w:p w:rsidR="0063385E" w:rsidRPr="00DA7619" w:rsidRDefault="0063385E" w:rsidP="00AF2293">
      <w:pPr>
        <w:ind w:left="720"/>
      </w:pPr>
      <w:r w:rsidRPr="00DA7619">
        <w:t>Partner government agencies believe UNDP should extend its support beyond financial management to the active use of the international experiences of its network of country offices and expertise around the world. The source of expert consultants should be extended to also include the United Nations specialized agencies (UNDP 2008, p.3).</w:t>
      </w:r>
    </w:p>
    <w:p w:rsidR="00AF2293" w:rsidRDefault="0063385E" w:rsidP="00AF2293">
      <w:r w:rsidRPr="00DA7619">
        <w:t>The CPAP embraced this view, and indicated that virtually all o</w:t>
      </w:r>
      <w:r w:rsidR="00AF2293">
        <w:t>f its activities under Outcome 3</w:t>
      </w:r>
      <w:r w:rsidRPr="00DA7619">
        <w:t xml:space="preserve"> would be directed to the provision of expert advice, the development of training frameworks and exchanges, and the provision of access to relevant UN specialized agencies and rosters.  </w:t>
      </w:r>
      <w:r w:rsidR="00AF2293">
        <w:t xml:space="preserve">This statement served as a </w:t>
      </w:r>
      <w:r w:rsidRPr="00DA7619">
        <w:t>clear acknowledgement of the expressed wishes of partner government agencies</w:t>
      </w:r>
      <w:r w:rsidR="00AF2293">
        <w:t xml:space="preserve">, </w:t>
      </w:r>
      <w:r w:rsidRPr="00DA7619">
        <w:t xml:space="preserve">supporting the government’s desire to find its way via commissioning advice so as to tap global best practices and to efficiently source assistance – whether from the private or public sector, at home or in the region and abroad.  </w:t>
      </w:r>
    </w:p>
    <w:p w:rsidR="0071505C" w:rsidRDefault="0071505C" w:rsidP="0055608D">
      <w:pPr>
        <w:pStyle w:val="Heading3"/>
        <w:numPr>
          <w:ilvl w:val="2"/>
          <w:numId w:val="4"/>
        </w:numPr>
      </w:pPr>
      <w:bookmarkStart w:id="48" w:name="_Toc325940204"/>
      <w:r>
        <w:t>The current relationship between the partners, a</w:t>
      </w:r>
      <w:r w:rsidRPr="00DA7619">
        <w:t>rticulating Outcomes in relation to national goals</w:t>
      </w:r>
      <w:r>
        <w:t>, should be continued</w:t>
      </w:r>
      <w:bookmarkEnd w:id="48"/>
      <w:r>
        <w:t xml:space="preserve"> </w:t>
      </w:r>
    </w:p>
    <w:p w:rsidR="00E44D9C" w:rsidRDefault="00EA38B6" w:rsidP="00E44D9C">
      <w:r>
        <w:t xml:space="preserve">Project and programme documents of CP 2007-11 make repeated reference to the source of Outcome 3 priorities in the national plans of government.  The partnership with UNDP has contributed to SA’s progress toward its goals of modernizing government, improving the performance of the public sector, </w:t>
      </w:r>
      <w:r>
        <w:lastRenderedPageBreak/>
        <w:t>and providing a high quality of services to the people to achieve a high standard of human development.  This contribution reflects UNDP’s mandate to support human rights and development.</w:t>
      </w:r>
    </w:p>
    <w:p w:rsidR="00EA38B6" w:rsidRDefault="00EA38B6" w:rsidP="0055608D">
      <w:pPr>
        <w:pStyle w:val="Heading3"/>
        <w:numPr>
          <w:ilvl w:val="2"/>
          <w:numId w:val="4"/>
        </w:numPr>
      </w:pPr>
      <w:bookmarkStart w:id="49" w:name="_Toc325940205"/>
      <w:r>
        <w:t>Encouragement of long-term relationships between specialized UN agencies and the government of KSA is worthwhile, and should envisage expansion to a wider range of UN entities</w:t>
      </w:r>
      <w:bookmarkEnd w:id="49"/>
    </w:p>
    <w:p w:rsidR="00DE7CAD" w:rsidRDefault="00AF3AAC" w:rsidP="00AF3AAC">
      <w:r>
        <w:t>It was repeatedly drawn to the attention of the Evaluation mission that the f</w:t>
      </w:r>
      <w:r w:rsidR="00D62696" w:rsidRPr="00DA7619">
        <w:t xml:space="preserve">lexibility of </w:t>
      </w:r>
      <w:r>
        <w:t xml:space="preserve">the UNDP KSA </w:t>
      </w:r>
      <w:r w:rsidR="00D62696" w:rsidRPr="00DA7619">
        <w:t xml:space="preserve">partnership </w:t>
      </w:r>
      <w:r>
        <w:t xml:space="preserve">is </w:t>
      </w:r>
      <w:r w:rsidR="00D62696" w:rsidRPr="00DA7619">
        <w:t xml:space="preserve">one of greatest aces of the </w:t>
      </w:r>
      <w:r w:rsidR="00513756" w:rsidRPr="00DA7619">
        <w:t>relationship</w:t>
      </w:r>
      <w:r>
        <w:t>.  On the basis of the appropriate modalities used by UNDP, the SA partner has been able to benefit from UNDP’s i</w:t>
      </w:r>
      <w:r w:rsidR="00F86EB9" w:rsidRPr="00DA7619">
        <w:t xml:space="preserve">mportant capability to gain access to experts in neighbouring countries, </w:t>
      </w:r>
      <w:r w:rsidR="00DE7CAD">
        <w:t>notably</w:t>
      </w:r>
      <w:r w:rsidR="00F86EB9" w:rsidRPr="00DA7619">
        <w:t xml:space="preserve"> other Middle Eastern countries</w:t>
      </w:r>
      <w:r w:rsidR="00DE7CAD">
        <w:t xml:space="preserve"> whose experience is highly relevant to SA.  The Kingdom has also been able to develop cooperation with UN agencies in a range of specialized fields.  UNDP should continue to facilitate</w:t>
      </w:r>
      <w:r w:rsidR="00C228D0">
        <w:t xml:space="preserve"> such partnerships, and to seek out opportunities to extend the cooperation to other suitable UN entities.</w:t>
      </w:r>
    </w:p>
    <w:p w:rsidR="00C228D0" w:rsidRDefault="00C228D0" w:rsidP="00AF3AAC"/>
    <w:p w:rsidR="00C228D0" w:rsidRDefault="00C228D0" w:rsidP="00AF3AAC">
      <w:r>
        <w:t xml:space="preserve">The last word on the experience of SA government bodies should be given to </w:t>
      </w:r>
      <w:r w:rsidR="00322480">
        <w:t>the representative of the Ministry of Foreign Affairs, summing up his government’s views:</w:t>
      </w:r>
    </w:p>
    <w:p w:rsidR="00DE7CAD" w:rsidRDefault="00322480" w:rsidP="00322480">
      <w:pPr>
        <w:ind w:left="360"/>
        <w:rPr>
          <w:lang w:val="en-CA"/>
        </w:rPr>
      </w:pPr>
      <w:r>
        <w:rPr>
          <w:lang w:val="en-CA"/>
        </w:rPr>
        <w:t>“</w:t>
      </w:r>
      <w:r w:rsidR="006779DB">
        <w:rPr>
          <w:lang w:val="en-CA"/>
        </w:rPr>
        <w:t xml:space="preserve">The Ministry has </w:t>
      </w:r>
      <w:r>
        <w:rPr>
          <w:lang w:val="en-CA"/>
        </w:rPr>
        <w:t>engaged in</w:t>
      </w:r>
      <w:r w:rsidR="006779DB">
        <w:rPr>
          <w:lang w:val="en-CA"/>
        </w:rPr>
        <w:t xml:space="preserve"> a partnership with the </w:t>
      </w:r>
      <w:r w:rsidR="00DE7CAD">
        <w:rPr>
          <w:lang w:val="en-CA"/>
        </w:rPr>
        <w:t xml:space="preserve">UNDP </w:t>
      </w:r>
      <w:r w:rsidR="006779DB">
        <w:rPr>
          <w:lang w:val="en-CA"/>
        </w:rPr>
        <w:t>office in advisory projects, media and technical concerns for</w:t>
      </w:r>
      <w:r w:rsidR="00DE7CAD">
        <w:rPr>
          <w:lang w:val="en-CA"/>
        </w:rPr>
        <w:t xml:space="preserve"> </w:t>
      </w:r>
      <w:r w:rsidR="006779DB">
        <w:rPr>
          <w:lang w:val="en-CA"/>
        </w:rPr>
        <w:t>multiple reasons such as:</w:t>
      </w:r>
    </w:p>
    <w:p w:rsidR="00322480" w:rsidRDefault="00DE7CAD" w:rsidP="0055608D">
      <w:pPr>
        <w:pStyle w:val="ListParagraph"/>
        <w:numPr>
          <w:ilvl w:val="0"/>
          <w:numId w:val="10"/>
        </w:numPr>
        <w:ind w:left="1080"/>
        <w:rPr>
          <w:lang w:val="en-CA"/>
        </w:rPr>
      </w:pPr>
      <w:r w:rsidRPr="00322480">
        <w:rPr>
          <w:lang w:val="en-CA"/>
        </w:rPr>
        <w:t>UNDP’s greater</w:t>
      </w:r>
      <w:r w:rsidR="006779DB" w:rsidRPr="00322480">
        <w:rPr>
          <w:lang w:val="en-CA"/>
        </w:rPr>
        <w:t xml:space="preserve"> flexibility in hiring experts and highly qualified</w:t>
      </w:r>
      <w:r w:rsidRPr="00322480">
        <w:rPr>
          <w:lang w:val="en-CA"/>
        </w:rPr>
        <w:t xml:space="preserve"> </w:t>
      </w:r>
      <w:r w:rsidR="006779DB" w:rsidRPr="00322480">
        <w:rPr>
          <w:lang w:val="en-CA"/>
        </w:rPr>
        <w:t>consultants</w:t>
      </w:r>
      <w:r w:rsidRPr="00322480">
        <w:rPr>
          <w:lang w:val="en-CA"/>
        </w:rPr>
        <w:t xml:space="preserve"> if compared with other methods</w:t>
      </w:r>
    </w:p>
    <w:p w:rsidR="00322480" w:rsidRPr="00322480" w:rsidRDefault="006779DB" w:rsidP="0055608D">
      <w:pPr>
        <w:pStyle w:val="ListParagraph"/>
        <w:numPr>
          <w:ilvl w:val="0"/>
          <w:numId w:val="10"/>
        </w:numPr>
        <w:ind w:left="1080"/>
      </w:pPr>
      <w:r w:rsidRPr="00322480">
        <w:rPr>
          <w:lang w:val="en-CA"/>
        </w:rPr>
        <w:t>The UNDP office is an appropriate international</w:t>
      </w:r>
      <w:r w:rsidR="00DE7CAD" w:rsidRPr="00322480">
        <w:rPr>
          <w:lang w:val="en-CA"/>
        </w:rPr>
        <w:t xml:space="preserve"> </w:t>
      </w:r>
      <w:r w:rsidRPr="00322480">
        <w:rPr>
          <w:lang w:val="en-CA"/>
        </w:rPr>
        <w:t xml:space="preserve">institute to be a partner with the </w:t>
      </w:r>
      <w:r w:rsidR="00322480">
        <w:rPr>
          <w:lang w:val="en-CA"/>
        </w:rPr>
        <w:t>ministry</w:t>
      </w:r>
      <w:r w:rsidRPr="00322480">
        <w:rPr>
          <w:lang w:val="en-CA"/>
        </w:rPr>
        <w:t xml:space="preserve"> taking into</w:t>
      </w:r>
      <w:r w:rsidR="00322480" w:rsidRPr="00322480">
        <w:rPr>
          <w:lang w:val="en-CA"/>
        </w:rPr>
        <w:t xml:space="preserve"> </w:t>
      </w:r>
      <w:r w:rsidRPr="00322480">
        <w:rPr>
          <w:lang w:val="en-CA"/>
        </w:rPr>
        <w:t>consideration MOFA's na</w:t>
      </w:r>
      <w:r w:rsidR="00322480">
        <w:rPr>
          <w:lang w:val="en-CA"/>
        </w:rPr>
        <w:t>tional and</w:t>
      </w:r>
      <w:r w:rsidR="00322480" w:rsidRPr="00322480">
        <w:rPr>
          <w:lang w:val="en-CA"/>
        </w:rPr>
        <w:t xml:space="preserve"> international features</w:t>
      </w:r>
    </w:p>
    <w:p w:rsidR="006779DB" w:rsidRDefault="006779DB" w:rsidP="0055608D">
      <w:pPr>
        <w:pStyle w:val="ListParagraph"/>
        <w:numPr>
          <w:ilvl w:val="0"/>
          <w:numId w:val="10"/>
        </w:numPr>
        <w:ind w:left="1080"/>
      </w:pPr>
      <w:r w:rsidRPr="00322480">
        <w:rPr>
          <w:lang w:val="en-CA"/>
        </w:rPr>
        <w:t>The partnership is</w:t>
      </w:r>
      <w:r w:rsidR="00DE7CAD" w:rsidRPr="00322480">
        <w:rPr>
          <w:lang w:val="en-CA"/>
        </w:rPr>
        <w:t xml:space="preserve"> characterized by a high level and </w:t>
      </w:r>
      <w:r w:rsidRPr="00322480">
        <w:rPr>
          <w:lang w:val="en-CA"/>
        </w:rPr>
        <w:t xml:space="preserve">international standard of governance </w:t>
      </w:r>
      <w:r w:rsidR="00DE7CAD" w:rsidRPr="00322480">
        <w:rPr>
          <w:lang w:val="en-CA"/>
        </w:rPr>
        <w:t xml:space="preserve">and </w:t>
      </w:r>
      <w:r w:rsidRPr="00322480">
        <w:rPr>
          <w:lang w:val="en-CA"/>
        </w:rPr>
        <w:t>methodology</w:t>
      </w:r>
      <w:r w:rsidR="00DE7CAD" w:rsidRPr="00322480">
        <w:rPr>
          <w:lang w:val="en-CA"/>
        </w:rPr>
        <w:t xml:space="preserve"> </w:t>
      </w:r>
      <w:r w:rsidRPr="00322480">
        <w:rPr>
          <w:lang w:val="en-CA"/>
        </w:rPr>
        <w:t>where strategic planning and transparency of financial</w:t>
      </w:r>
      <w:r w:rsidR="00DE7CAD" w:rsidRPr="00322480">
        <w:rPr>
          <w:lang w:val="en-CA"/>
        </w:rPr>
        <w:t xml:space="preserve"> </w:t>
      </w:r>
      <w:r w:rsidRPr="00322480">
        <w:rPr>
          <w:lang w:val="en-CA"/>
        </w:rPr>
        <w:t>and substantive ongoing outcomes are followed up</w:t>
      </w:r>
      <w:r w:rsidR="00DE7CAD" w:rsidRPr="00322480">
        <w:rPr>
          <w:lang w:val="en-CA"/>
        </w:rPr>
        <w:t xml:space="preserve"> </w:t>
      </w:r>
      <w:r w:rsidRPr="00322480">
        <w:rPr>
          <w:lang w:val="en-CA"/>
        </w:rPr>
        <w:t>continuously.</w:t>
      </w:r>
      <w:r w:rsidR="00322480">
        <w:rPr>
          <w:lang w:val="en-CA"/>
        </w:rPr>
        <w:t>”</w:t>
      </w:r>
    </w:p>
    <w:p w:rsidR="00926BDA" w:rsidRDefault="00926BDA" w:rsidP="00322480">
      <w:pPr>
        <w:ind w:left="360"/>
      </w:pPr>
    </w:p>
    <w:p w:rsidR="009418E8" w:rsidRDefault="009418E8">
      <w:pPr>
        <w:rPr>
          <w:rFonts w:asciiTheme="majorHAnsi" w:eastAsiaTheme="majorEastAsia" w:hAnsiTheme="majorHAnsi" w:cstheme="majorBidi"/>
          <w:b/>
          <w:bCs/>
          <w:color w:val="365F91" w:themeColor="accent1" w:themeShade="BF"/>
          <w:sz w:val="28"/>
          <w:szCs w:val="28"/>
        </w:rPr>
      </w:pPr>
      <w:bookmarkStart w:id="50" w:name="_Toc325840219"/>
      <w:r>
        <w:br w:type="page"/>
      </w:r>
    </w:p>
    <w:p w:rsidR="00827576" w:rsidRDefault="00827576" w:rsidP="00827576">
      <w:pPr>
        <w:pStyle w:val="Heading1"/>
      </w:pPr>
      <w:bookmarkStart w:id="51" w:name="_Toc325940206"/>
      <w:r>
        <w:lastRenderedPageBreak/>
        <w:t>Annex 1. Note on Methodology</w:t>
      </w:r>
      <w:bookmarkEnd w:id="50"/>
      <w:bookmarkEnd w:id="51"/>
    </w:p>
    <w:p w:rsidR="00827576" w:rsidRPr="009418E8" w:rsidRDefault="00827576" w:rsidP="00827576">
      <w:pPr>
        <w:jc w:val="both"/>
        <w:rPr>
          <w:rFonts w:cstheme="majorBidi"/>
          <w:b/>
          <w:bCs/>
        </w:rPr>
      </w:pPr>
      <w:r w:rsidRPr="009418E8">
        <w:rPr>
          <w:rFonts w:cstheme="majorBidi"/>
          <w:b/>
          <w:bCs/>
        </w:rPr>
        <w:t>Objective of the evaluation</w:t>
      </w:r>
    </w:p>
    <w:p w:rsidR="00827576" w:rsidRDefault="00827576" w:rsidP="00827576">
      <w:r>
        <w:t>As detailed in the Terms of Reference (TORs), given in Annex 3, t</w:t>
      </w:r>
      <w:r w:rsidRPr="00025E88">
        <w:t xml:space="preserve">he Outcome Evaluation </w:t>
      </w:r>
      <w:r>
        <w:t>was required to</w:t>
      </w:r>
      <w:r w:rsidRPr="00025E88">
        <w:t xml:space="preserve"> </w:t>
      </w:r>
      <w:r>
        <w:t>analyse the Outcome in the sense of assessing what and how much progress had</w:t>
      </w:r>
      <w:r w:rsidRPr="00025E88">
        <w:t xml:space="preserve"> been made towards the achievement of the outcome (including contributing factors and constraints), the relevance of and progress made in terms of the UNDP outputs (including an analysis of both project activities and soft-assistance activities), and what contribution UNDP has made/is making to the progress </w:t>
      </w:r>
      <w:r>
        <w:t>towards the achievement of the O</w:t>
      </w:r>
      <w:r w:rsidRPr="00025E88">
        <w:t xml:space="preserve">utcome (including an analysis of the partnership strategy). </w:t>
      </w:r>
    </w:p>
    <w:p w:rsidR="00827576" w:rsidRPr="00025E88" w:rsidRDefault="00827576" w:rsidP="00827576">
      <w:r w:rsidRPr="00025E88">
        <w:t>The results of the outcome evaluation</w:t>
      </w:r>
      <w:r>
        <w:t xml:space="preserve"> should be articulated in such a way as to provide direction or focus for a new Country Programme (CPD)</w:t>
      </w:r>
      <w:r w:rsidRPr="00025E88">
        <w:t xml:space="preserve"> and future programming of a similar nature.</w:t>
      </w:r>
    </w:p>
    <w:p w:rsidR="00827576" w:rsidRPr="009418E8" w:rsidRDefault="00827576" w:rsidP="009418E8">
      <w:pPr>
        <w:jc w:val="both"/>
        <w:rPr>
          <w:rFonts w:cstheme="majorBidi"/>
          <w:b/>
          <w:bCs/>
        </w:rPr>
      </w:pPr>
      <w:r w:rsidRPr="009418E8">
        <w:rPr>
          <w:rFonts w:cstheme="majorBidi"/>
          <w:b/>
          <w:bCs/>
        </w:rPr>
        <w:t>Scope of the evaluation</w:t>
      </w:r>
    </w:p>
    <w:p w:rsidR="00827576" w:rsidRDefault="00827576" w:rsidP="00827576">
      <w:pPr>
        <w:rPr>
          <w:color w:val="000000" w:themeColor="text1"/>
        </w:rPr>
      </w:pPr>
      <w:r>
        <w:t>The</w:t>
      </w:r>
      <w:r w:rsidRPr="00025E88">
        <w:t xml:space="preserve"> evaluation </w:t>
      </w:r>
      <w:r>
        <w:t>examined</w:t>
      </w:r>
      <w:r w:rsidRPr="00025E88">
        <w:t xml:space="preserve"> the relevance and contributions of UNDP project activities and </w:t>
      </w:r>
      <w:r>
        <w:t>upstream policy advice</w:t>
      </w:r>
      <w:r w:rsidRPr="00025E88">
        <w:t xml:space="preserve"> efforts with regard to the outcome. Specifically, the outcome evaluation </w:t>
      </w:r>
      <w:r>
        <w:t xml:space="preserve">addressed the question:  </w:t>
      </w:r>
      <w:r w:rsidRPr="007F5432">
        <w:rPr>
          <w:color w:val="000000" w:themeColor="text1"/>
        </w:rPr>
        <w:t>How</w:t>
      </w:r>
      <w:r>
        <w:rPr>
          <w:color w:val="000000" w:themeColor="text1"/>
        </w:rPr>
        <w:t xml:space="preserve"> did UNDP outputs contribute to economic diversification of the country?</w:t>
      </w:r>
    </w:p>
    <w:p w:rsidR="00827576" w:rsidRDefault="00827576" w:rsidP="00827576">
      <w:r>
        <w:t xml:space="preserve">To do so, it assessed the role of UNDP outputs with respect to the question of their continuing relevance to the Outcome concerned; to progress of the outputs by the end of the CP period; and to other </w:t>
      </w:r>
      <w:r w:rsidRPr="00025E88">
        <w:t>factors (positive and negative) that affect</w:t>
      </w:r>
      <w:r>
        <w:t>ed</w:t>
      </w:r>
      <w:r w:rsidRPr="00025E88">
        <w:t xml:space="preserve"> th</w:t>
      </w:r>
      <w:r>
        <w:t xml:space="preserve">e accomplishment of the outputs.  Further, it looked at </w:t>
      </w:r>
      <w:r w:rsidRPr="00025E88">
        <w:t>UNDP’s ability to advocate best practices and desired goals</w:t>
      </w:r>
      <w:r>
        <w:t>,</w:t>
      </w:r>
      <w:r w:rsidRPr="00025E88">
        <w:t xml:space="preserve"> and to influence national </w:t>
      </w:r>
      <w:r>
        <w:t xml:space="preserve">and local </w:t>
      </w:r>
      <w:r w:rsidRPr="00025E88">
        <w:t>policies on sustainable development.</w:t>
      </w:r>
      <w:r>
        <w:t xml:space="preserve"> </w:t>
      </w:r>
    </w:p>
    <w:p w:rsidR="00827576" w:rsidRPr="009418E8" w:rsidRDefault="00827576" w:rsidP="00827576">
      <w:pPr>
        <w:jc w:val="both"/>
        <w:rPr>
          <w:rFonts w:cstheme="majorBidi"/>
          <w:b/>
          <w:bCs/>
        </w:rPr>
      </w:pPr>
      <w:r w:rsidRPr="009418E8">
        <w:rPr>
          <w:rFonts w:cstheme="majorBidi"/>
          <w:b/>
          <w:bCs/>
        </w:rPr>
        <w:t>Output-outcome link</w:t>
      </w:r>
    </w:p>
    <w:p w:rsidR="00827576" w:rsidRDefault="00827576" w:rsidP="00827576">
      <w:r>
        <w:t>The Evaluation mission was asked to assess: w</w:t>
      </w:r>
      <w:r w:rsidRPr="00025E88">
        <w:t xml:space="preserve">hether UNDP’s outputs </w:t>
      </w:r>
      <w:r>
        <w:t>could</w:t>
      </w:r>
      <w:r w:rsidRPr="00025E88">
        <w:t xml:space="preserve"> be credibly linked to the achievement of the Outcome;</w:t>
      </w:r>
      <w:r>
        <w:t xml:space="preserve"> </w:t>
      </w:r>
      <w:r w:rsidRPr="00025E88">
        <w:t>the role of UNDP soft-assistance activities</w:t>
      </w:r>
      <w:r>
        <w:t>; and whether UNDP’s partnership strategy had</w:t>
      </w:r>
      <w:r w:rsidRPr="00025E88">
        <w:t xml:space="preserve"> been appropriate and effective</w:t>
      </w:r>
      <w:r>
        <w:t xml:space="preserve">; and whether </w:t>
      </w:r>
      <w:r w:rsidRPr="00025E88">
        <w:t>UNDP interventions</w:t>
      </w:r>
      <w:r>
        <w:t xml:space="preserve"> could be expected to be sustainable.</w:t>
      </w:r>
    </w:p>
    <w:p w:rsidR="00827576" w:rsidRDefault="00827576" w:rsidP="00827576">
      <w:pPr>
        <w:jc w:val="both"/>
        <w:rPr>
          <w:b/>
        </w:rPr>
      </w:pPr>
      <w:r>
        <w:rPr>
          <w:b/>
        </w:rPr>
        <w:t>Evaluation approach</w:t>
      </w:r>
    </w:p>
    <w:p w:rsidR="00827576" w:rsidRPr="00025E88" w:rsidRDefault="00827576" w:rsidP="00827576">
      <w:r>
        <w:t>O</w:t>
      </w:r>
      <w:r w:rsidRPr="00025E88">
        <w:t xml:space="preserve">verall guidance </w:t>
      </w:r>
      <w:r>
        <w:t>was taken from</w:t>
      </w:r>
      <w:r w:rsidRPr="00025E88">
        <w:t xml:space="preserve"> </w:t>
      </w:r>
      <w:r w:rsidRPr="00FE2148">
        <w:t>the UNDP Guidelines for Outcome Evaluators</w:t>
      </w:r>
      <w:r>
        <w:t>, as well as documents noted in the References section:  the UNDP Technical Note, “</w:t>
      </w:r>
      <w:r w:rsidRPr="008B25CB">
        <w:rPr>
          <w:rFonts w:ascii="Times New Roman" w:hAnsi="Times New Roman" w:cs="Times New Roman"/>
        </w:rPr>
        <w:t>Knowing the What and the How</w:t>
      </w:r>
      <w:r>
        <w:rPr>
          <w:rFonts w:ascii="Times New Roman" w:hAnsi="Times New Roman" w:cs="Times New Roman"/>
        </w:rPr>
        <w:t xml:space="preserve">” (see UNDP 2007), the </w:t>
      </w:r>
      <w:r>
        <w:t>Handbook on Planning, Monitoring and Evaluating for Development Results (UNDP 2009), and other Outcome Evaluations prepared earlier for the UNDP KSA 2007-2011 CP.</w:t>
      </w:r>
    </w:p>
    <w:p w:rsidR="00827576" w:rsidRDefault="00827576" w:rsidP="00827576">
      <w:r w:rsidRPr="00025E88">
        <w:t>Specifically, during the out</w:t>
      </w:r>
      <w:r>
        <w:t>come evaluation, the evaluator applied</w:t>
      </w:r>
      <w:r w:rsidRPr="00025E88">
        <w:t xml:space="preserve"> the following approaches for data collection and analysis: (i) desk review of existing documents and materials, (ii) interviews with partners and stakeholders</w:t>
      </w:r>
      <w:r>
        <w:t>, and (iii</w:t>
      </w:r>
      <w:r w:rsidRPr="00025E88">
        <w:t xml:space="preserve">) briefing and debriefing sessions with UNDP and the government, as well as with </w:t>
      </w:r>
      <w:r>
        <w:t>other partners</w:t>
      </w:r>
      <w:r w:rsidRPr="00025E88">
        <w:t>.</w:t>
      </w:r>
    </w:p>
    <w:p w:rsidR="00827576" w:rsidRDefault="00827576" w:rsidP="00827576">
      <w:r>
        <w:t>Persons met and consulted are listed in Annex 3.</w:t>
      </w:r>
    </w:p>
    <w:p w:rsidR="0005270D" w:rsidRDefault="00B57514" w:rsidP="0005270D">
      <w:pPr>
        <w:pStyle w:val="Heading1"/>
      </w:pPr>
      <w:bookmarkStart w:id="52" w:name="_Toc325840220"/>
      <w:bookmarkStart w:id="53" w:name="_Toc325940207"/>
      <w:r>
        <w:t>Annex 2</w:t>
      </w:r>
      <w:r w:rsidR="0005270D">
        <w:t xml:space="preserve">. Terms of Reference, Outcome </w:t>
      </w:r>
      <w:bookmarkEnd w:id="52"/>
      <w:r w:rsidR="00105109">
        <w:t>3</w:t>
      </w:r>
      <w:r w:rsidR="0005270D">
        <w:t xml:space="preserve"> Evaluation</w:t>
      </w:r>
      <w:bookmarkEnd w:id="53"/>
    </w:p>
    <w:p w:rsidR="0005270D" w:rsidRDefault="00105109" w:rsidP="00105109">
      <w:r>
        <w:t>Note:  the Terms of Reference (TORs) covered two assignments, for the separate evaluations of Outcomes 2 and 3.  The portions of the TORs relating to the relevant Outcome are given below.</w:t>
      </w:r>
    </w:p>
    <w:p w:rsidR="00105109" w:rsidRDefault="00105109" w:rsidP="00105109"/>
    <w:p w:rsidR="00105109" w:rsidRPr="00B95E2D" w:rsidRDefault="00105109" w:rsidP="00105109"/>
    <w:p w:rsidR="0005270D" w:rsidRPr="002E0D48" w:rsidRDefault="0005270D" w:rsidP="0005270D">
      <w:pPr>
        <w:jc w:val="center"/>
        <w:rPr>
          <w:b/>
        </w:rPr>
      </w:pPr>
      <w:r>
        <w:rPr>
          <w:b/>
        </w:rPr>
        <w:t xml:space="preserve">UNDP </w:t>
      </w:r>
      <w:r w:rsidRPr="002E0D48">
        <w:rPr>
          <w:b/>
        </w:rPr>
        <w:t>INDIVIDUAL CONSULTANT PROCUREMENT NOTICE</w:t>
      </w:r>
    </w:p>
    <w:p w:rsidR="0005270D" w:rsidRDefault="0005270D" w:rsidP="0005270D">
      <w:pPr>
        <w:tabs>
          <w:tab w:val="left" w:pos="1410"/>
        </w:tabs>
        <w:jc w:val="right"/>
      </w:pPr>
      <w:r>
        <w:t xml:space="preserve">                          Date:     </w:t>
      </w:r>
      <w:r w:rsidRPr="008B0751">
        <w:t>March 2012</w:t>
      </w:r>
      <w:r>
        <w:t xml:space="preserve"> </w:t>
      </w:r>
    </w:p>
    <w:p w:rsidR="00E415EB" w:rsidRPr="009E2B22" w:rsidRDefault="00E415EB" w:rsidP="00E415EB">
      <w:pPr>
        <w:tabs>
          <w:tab w:val="left" w:pos="1410"/>
        </w:tabs>
        <w:rPr>
          <w:b/>
        </w:rPr>
      </w:pPr>
    </w:p>
    <w:p w:rsidR="00E415EB" w:rsidRPr="009E2B22" w:rsidRDefault="00E415EB" w:rsidP="00E415EB">
      <w:pPr>
        <w:tabs>
          <w:tab w:val="left" w:pos="1410"/>
        </w:tabs>
        <w:rPr>
          <w:b/>
        </w:rPr>
      </w:pPr>
      <w:r w:rsidRPr="009E2B22">
        <w:rPr>
          <w:b/>
        </w:rPr>
        <w:t>Country:</w:t>
      </w:r>
      <w:r>
        <w:rPr>
          <w:b/>
        </w:rPr>
        <w:t xml:space="preserve"> Riyadh, Saudi Arabia</w:t>
      </w:r>
      <w:r>
        <w:rPr>
          <w:b/>
        </w:rPr>
        <w:tab/>
      </w:r>
      <w:r>
        <w:rPr>
          <w:b/>
        </w:rPr>
        <w:tab/>
      </w:r>
      <w:r>
        <w:rPr>
          <w:b/>
        </w:rPr>
        <w:tab/>
      </w:r>
    </w:p>
    <w:p w:rsidR="00E415EB" w:rsidRDefault="00E415EB" w:rsidP="00E415EB">
      <w:pPr>
        <w:rPr>
          <w:b/>
          <w:bCs/>
          <w:color w:val="000000"/>
        </w:rPr>
      </w:pPr>
      <w:r>
        <w:rPr>
          <w:b/>
        </w:rPr>
        <w:t>Description of the assignment</w:t>
      </w:r>
      <w:r w:rsidRPr="009E2B22">
        <w:rPr>
          <w:b/>
        </w:rPr>
        <w:t>:</w:t>
      </w:r>
      <w:r>
        <w:rPr>
          <w:b/>
        </w:rPr>
        <w:t xml:space="preserve"> </w:t>
      </w:r>
      <w:r w:rsidRPr="00F4412E">
        <w:rPr>
          <w:b/>
        </w:rPr>
        <w:t>Outcome Evaluation</w:t>
      </w:r>
      <w:r w:rsidR="00105109">
        <w:rPr>
          <w:b/>
        </w:rPr>
        <w:t>s</w:t>
      </w:r>
    </w:p>
    <w:p w:rsidR="00E415EB" w:rsidRDefault="00E415EB" w:rsidP="00E415EB">
      <w:pPr>
        <w:tabs>
          <w:tab w:val="left" w:pos="1410"/>
        </w:tabs>
        <w:rPr>
          <w:b/>
        </w:rPr>
      </w:pPr>
      <w:r w:rsidRPr="009E2B22">
        <w:rPr>
          <w:b/>
        </w:rPr>
        <w:t>Period of assignment/services:</w:t>
      </w:r>
      <w:r>
        <w:rPr>
          <w:b/>
        </w:rPr>
        <w:t xml:space="preserve"> Two months </w:t>
      </w:r>
    </w:p>
    <w:p w:rsidR="00E415EB" w:rsidRDefault="007D6549" w:rsidP="00E415EB">
      <w:pPr>
        <w:tabs>
          <w:tab w:val="left" w:pos="1410"/>
        </w:tabs>
      </w:pPr>
      <w:r w:rsidRPr="007D6549">
        <w:rPr>
          <w:noProof/>
          <w:lang w:val="en-US"/>
        </w:rPr>
        <w:pict>
          <v:shapetype id="_x0000_t32" coordsize="21600,21600" o:spt="32" o:oned="t" path="m,l21600,21600e" filled="f">
            <v:path arrowok="t" fillok="f" o:connecttype="none"/>
            <o:lock v:ext="edit" shapetype="t"/>
          </v:shapetype>
          <v:shape id="_x0000_s1026" type="#_x0000_t32" style="position:absolute;margin-left:-.75pt;margin-top:8.55pt;width:522.75pt;height:0;z-index:251660288" o:connectortype="straight" strokecolor="blue" strokeweight="4.5pt"/>
        </w:pict>
      </w:r>
    </w:p>
    <w:p w:rsidR="00E415EB" w:rsidRDefault="00E415EB" w:rsidP="00E415EB">
      <w:pPr>
        <w:tabs>
          <w:tab w:val="left" w:pos="1410"/>
        </w:tabs>
        <w:rPr>
          <w:b/>
        </w:rPr>
      </w:pPr>
      <w:r w:rsidRPr="009E2B22">
        <w:rPr>
          <w:b/>
        </w:rPr>
        <w:t>1.</w:t>
      </w:r>
      <w:r>
        <w:rPr>
          <w:b/>
        </w:rPr>
        <w:t xml:space="preserve"> </w:t>
      </w:r>
      <w:r w:rsidRPr="009E2B22">
        <w:rPr>
          <w:b/>
        </w:rPr>
        <w:t>BACKGROUND</w:t>
      </w:r>
    </w:p>
    <w:tbl>
      <w:tblPr>
        <w:tblStyle w:val="TableGrid"/>
        <w:tblW w:w="0" w:type="auto"/>
        <w:tblLook w:val="04A0"/>
      </w:tblPr>
      <w:tblGrid>
        <w:gridCol w:w="9576"/>
      </w:tblGrid>
      <w:tr w:rsidR="00E415EB" w:rsidTr="00416F6A">
        <w:tc>
          <w:tcPr>
            <w:tcW w:w="9576" w:type="dxa"/>
          </w:tcPr>
          <w:p w:rsidR="00E415EB" w:rsidRPr="00025E88" w:rsidRDefault="00E415EB" w:rsidP="00416F6A">
            <w:pPr>
              <w:jc w:val="both"/>
            </w:pPr>
            <w:r w:rsidRPr="00025E88">
              <w:t>The growing demand for development effectiveness is largely based on the realization that producing good “deliverables” is simply not enough. Efficient or well-managed development projects and outputs will lose their relevance if they yield no discernible improvements in development conditions and ultimately in people’s lives. Being a key international development agency, the United Nations Development Programme (UNDP) has been increasing its focus on achievement of clearly stated results. Nowadays, results-based management (RBM) has become UNDP’s management philosophy.</w:t>
            </w:r>
          </w:p>
          <w:p w:rsidR="00E415EB" w:rsidRPr="00025E88" w:rsidRDefault="00E415EB" w:rsidP="00416F6A">
            <w:pPr>
              <w:ind w:left="360"/>
              <w:jc w:val="both"/>
            </w:pPr>
          </w:p>
          <w:p w:rsidR="00E415EB" w:rsidRPr="0047496D" w:rsidRDefault="00E415EB" w:rsidP="00416F6A">
            <w:pPr>
              <w:jc w:val="both"/>
              <w:rPr>
                <w:lang w:bidi="ar-JO"/>
              </w:rPr>
            </w:pPr>
            <w:r w:rsidRPr="00025E88">
              <w:t>As part of its efforts in enhancing RBM, UNDP has shifted from traditional project monitoring and evaluation (M&amp;E) to results-oriented M&amp;E, especially outcome monitoring and evaluation that cover a set of related projects, programmes and strategies intended to bring about a certain outcome. An outcome evaluation assesses how and why an outcome is or is not being achieved in a given country context, and the role that UNDP has played. Outcome evaluations also help to clarify underlying factors affecting the situation, highlight unintended consequences (positive and negative), recommend actions to improve performance in future programming, and generate lessons learned.</w:t>
            </w:r>
          </w:p>
        </w:tc>
      </w:tr>
    </w:tbl>
    <w:p w:rsidR="00E415EB" w:rsidRDefault="00E415EB" w:rsidP="00E415EB">
      <w:pPr>
        <w:tabs>
          <w:tab w:val="left" w:pos="1410"/>
        </w:tabs>
        <w:rPr>
          <w:b/>
        </w:rPr>
      </w:pPr>
    </w:p>
    <w:p w:rsidR="00E415EB" w:rsidRDefault="00E415EB" w:rsidP="00E415EB">
      <w:pPr>
        <w:rPr>
          <w:b/>
        </w:rPr>
      </w:pPr>
      <w:r>
        <w:rPr>
          <w:b/>
        </w:rPr>
        <w:t xml:space="preserve">2. SCOPE OF WORK, RESPONSIBILITIES AND DESCRIPTION OF THE PROPOSED ANALYTICAL WORK </w:t>
      </w:r>
    </w:p>
    <w:tbl>
      <w:tblPr>
        <w:tblStyle w:val="TableGrid"/>
        <w:tblW w:w="0" w:type="auto"/>
        <w:tblLook w:val="04A0"/>
      </w:tblPr>
      <w:tblGrid>
        <w:gridCol w:w="9576"/>
      </w:tblGrid>
      <w:tr w:rsidR="00E415EB" w:rsidTr="00416F6A">
        <w:tc>
          <w:tcPr>
            <w:tcW w:w="9576" w:type="dxa"/>
          </w:tcPr>
          <w:p w:rsidR="00E415EB" w:rsidRDefault="00E415EB" w:rsidP="00416F6A">
            <w:pPr>
              <w:jc w:val="both"/>
              <w:rPr>
                <w:rFonts w:asciiTheme="majorBidi" w:hAnsiTheme="majorBidi" w:cstheme="majorBidi"/>
                <w:b/>
                <w:bCs/>
                <w:u w:val="single"/>
              </w:rPr>
            </w:pPr>
            <w:r w:rsidRPr="00F10C2F">
              <w:rPr>
                <w:rFonts w:asciiTheme="majorBidi" w:hAnsiTheme="majorBidi" w:cstheme="majorBidi"/>
                <w:b/>
                <w:bCs/>
                <w:u w:val="single"/>
              </w:rPr>
              <w:t>Outcome</w:t>
            </w:r>
            <w:r>
              <w:rPr>
                <w:rFonts w:asciiTheme="majorBidi" w:hAnsiTheme="majorBidi" w:cstheme="majorBidi"/>
                <w:b/>
                <w:bCs/>
                <w:u w:val="single"/>
              </w:rPr>
              <w:t>s</w:t>
            </w:r>
            <w:r w:rsidRPr="00F10C2F">
              <w:rPr>
                <w:rFonts w:asciiTheme="majorBidi" w:hAnsiTheme="majorBidi" w:cstheme="majorBidi"/>
                <w:b/>
                <w:bCs/>
                <w:u w:val="single"/>
              </w:rPr>
              <w:t xml:space="preserve"> to be evaluated</w:t>
            </w:r>
          </w:p>
          <w:p w:rsidR="00E415EB" w:rsidRPr="00F10C2F" w:rsidRDefault="00E415EB" w:rsidP="00416F6A">
            <w:pPr>
              <w:jc w:val="both"/>
              <w:rPr>
                <w:rFonts w:asciiTheme="majorBidi" w:hAnsiTheme="majorBidi" w:cstheme="majorBidi"/>
                <w:b/>
                <w:bCs/>
                <w:u w:val="single"/>
              </w:rPr>
            </w:pPr>
            <w:r>
              <w:rPr>
                <w:rFonts w:asciiTheme="majorBidi" w:hAnsiTheme="majorBidi" w:cstheme="majorBidi"/>
                <w:b/>
                <w:bCs/>
                <w:u w:val="single"/>
              </w:rPr>
              <w:t xml:space="preserve">I) Outcome Three: </w:t>
            </w:r>
          </w:p>
          <w:p w:rsidR="00E415EB" w:rsidRDefault="00E415EB" w:rsidP="00416F6A">
            <w:pPr>
              <w:spacing w:before="240" w:after="240"/>
              <w:ind w:left="360"/>
              <w:jc w:val="both"/>
            </w:pPr>
            <w:r w:rsidRPr="00F4729A">
              <w:t xml:space="preserve">UNDP’s </w:t>
            </w:r>
            <w:r>
              <w:t xml:space="preserve">Country </w:t>
            </w:r>
            <w:r w:rsidRPr="00F4729A">
              <w:t xml:space="preserve">Programme </w:t>
            </w:r>
            <w:r>
              <w:t xml:space="preserve">(CP; 2007-2011) </w:t>
            </w:r>
            <w:r w:rsidRPr="00F4729A">
              <w:t xml:space="preserve">constitutes a flexible partnership between Saudi Arabia and UNDP and is anchored in the overall development priorities of the country, as outlined in the eighth </w:t>
            </w:r>
            <w:r>
              <w:t xml:space="preserve">and ninth </w:t>
            </w:r>
            <w:r w:rsidRPr="00F4729A">
              <w:t>development plan</w:t>
            </w:r>
            <w:r>
              <w:t>s</w:t>
            </w:r>
            <w:r w:rsidRPr="00F4729A">
              <w:t>. The plan</w:t>
            </w:r>
            <w:r>
              <w:t>s</w:t>
            </w:r>
            <w:r w:rsidRPr="00F4729A">
              <w:t xml:space="preserve"> recognize challenges that </w:t>
            </w:r>
            <w:r>
              <w:t>the Country Programme</w:t>
            </w:r>
            <w:r w:rsidRPr="00F4729A">
              <w:t xml:space="preserve"> intends to address, including greater diversification of the sustainable base of the economy, enhanced efficiency of the public sector and the full participation of youth and women in socio-economic progress. The plan’s overall objectives aim at enhancing the living standards of Saudi citizens by increasing their livelihood opportunities through entrepreneurship, investment and employment, and at maximizing the benefits from the current growth trends and </w:t>
            </w:r>
            <w:r w:rsidRPr="00F4729A">
              <w:lastRenderedPageBreak/>
              <w:t xml:space="preserve">the integration into the global economy. Moreover, the country believes it has a regional and global responsibility and has a substantial official development assistance (ODA) programme that benefits poorer countries. </w:t>
            </w:r>
          </w:p>
          <w:p w:rsidR="00E415EB" w:rsidRPr="006F0435" w:rsidRDefault="00E415EB" w:rsidP="00416F6A">
            <w:pPr>
              <w:ind w:left="360"/>
              <w:jc w:val="both"/>
            </w:pPr>
            <w:r w:rsidRPr="00025E88">
              <w:t xml:space="preserve">In the current </w:t>
            </w:r>
            <w:r>
              <w:t>Country Programme Document (CPD</w:t>
            </w:r>
            <w:r w:rsidRPr="00025E88">
              <w:t xml:space="preserve">) </w:t>
            </w:r>
            <w:r>
              <w:t xml:space="preserve">and the Country Programme Action Plan </w:t>
            </w:r>
            <w:r w:rsidRPr="00025E88">
              <w:t xml:space="preserve">of UNDP </w:t>
            </w:r>
            <w:r>
              <w:t>Saudi Arabia</w:t>
            </w:r>
            <w:r w:rsidRPr="00025E88">
              <w:t xml:space="preserve"> (200</w:t>
            </w:r>
            <w:r>
              <w:t>7</w:t>
            </w:r>
            <w:r w:rsidRPr="00025E88">
              <w:t>-20</w:t>
            </w:r>
            <w:r>
              <w:t>11</w:t>
            </w:r>
            <w:r w:rsidRPr="00025E88">
              <w:t xml:space="preserve">), there are </w:t>
            </w:r>
            <w:r>
              <w:t>five</w:t>
            </w:r>
            <w:r w:rsidRPr="00025E88">
              <w:t xml:space="preserve"> development outcomes to which UNDP would like to contribute. </w:t>
            </w:r>
            <w:r w:rsidRPr="00F963DD">
              <w:t>Outcome 2</w:t>
            </w:r>
            <w:r>
              <w:t xml:space="preserve"> </w:t>
            </w:r>
            <w:r w:rsidRPr="002002FB">
              <w:t>is on Economic framework diversified to encourage tourism, international trade and FDI.</w:t>
            </w:r>
            <w:r>
              <w:t xml:space="preserve"> Outcome 3 is</w:t>
            </w:r>
            <w:r w:rsidRPr="006F0435">
              <w:t xml:space="preserve"> to </w:t>
            </w:r>
            <w:r>
              <w:t>improve</w:t>
            </w:r>
            <w:r w:rsidRPr="00731C4D">
              <w:t xml:space="preserve"> public sector performance for equitable provision of services on the local level to empower communities</w:t>
            </w:r>
            <w:r w:rsidRPr="006F0435" w:rsidDel="00E27DC5">
              <w:t xml:space="preserve"> </w:t>
            </w:r>
            <w:r w:rsidRPr="006F0435">
              <w:t xml:space="preserve">which in turn involves several outputs and projects to enhance public sector performance. </w:t>
            </w:r>
          </w:p>
          <w:p w:rsidR="00E415EB" w:rsidRDefault="00E415EB" w:rsidP="00416F6A">
            <w:pPr>
              <w:ind w:left="360"/>
              <w:jc w:val="both"/>
            </w:pPr>
            <w:r>
              <w:t xml:space="preserve"> </w:t>
            </w:r>
            <w:r w:rsidRPr="002002FB">
              <w:t xml:space="preserve"> </w:t>
            </w:r>
          </w:p>
          <w:p w:rsidR="00E415EB" w:rsidRPr="006F0435" w:rsidRDefault="00E415EB" w:rsidP="00416F6A">
            <w:pPr>
              <w:ind w:left="360"/>
              <w:jc w:val="both"/>
            </w:pPr>
            <w:r w:rsidRPr="006F0435">
              <w:t>UNDP works with Saudi Arabia to strengthen its capacity to response to increasing demands on the quality and quantity of services from a modernizing society with growing expectations, the Government of Saudi Arabia has been developing its administrative and institutional systems and restructuring its public agencies, thus enhancing service delivery and rendering it cost-effective not only at the central level, but in all regions of the country. In this effort the Government intends to make best use of modern management techniques, and information technology such as e-government.</w:t>
            </w:r>
          </w:p>
          <w:p w:rsidR="00E415EB" w:rsidRPr="006F0435" w:rsidRDefault="00E415EB" w:rsidP="00416F6A">
            <w:pPr>
              <w:spacing w:before="240" w:after="240"/>
              <w:ind w:left="360"/>
              <w:jc w:val="lowKashida"/>
            </w:pPr>
            <w:r w:rsidRPr="006F0435">
              <w:t>In particular, UNDP will assist the Government by providing recommendations for a more effective alignment of mandates and structures in a few pilot units. It will provide options for enhancement of service delivery at the central, regional and local levels, and will also propose guidelines that would help one pilot government institution in assessing its own performance. Finally, UNDP will help the Government replicate and scale up its highly successful experience in e-government in the Ministry of Foreign Affairs, which was jointly developed with UNDP.</w:t>
            </w:r>
          </w:p>
          <w:p w:rsidR="00E415EB" w:rsidRPr="00934787" w:rsidRDefault="00E415EB" w:rsidP="00416F6A">
            <w:pPr>
              <w:spacing w:before="240" w:after="240"/>
              <w:ind w:left="360"/>
              <w:jc w:val="lowKashida"/>
            </w:pPr>
            <w:r w:rsidRPr="006F0435">
              <w:t>It is expected that these efforts will also have a positive impact on a larger number of citizens through enhanced service delivery at the local level.</w:t>
            </w:r>
          </w:p>
          <w:p w:rsidR="00E415EB" w:rsidRDefault="00E415EB" w:rsidP="00416F6A">
            <w:pPr>
              <w:ind w:left="360"/>
              <w:jc w:val="both"/>
            </w:pPr>
            <w:r w:rsidRPr="00025E88">
              <w:t xml:space="preserve">The </w:t>
            </w:r>
            <w:r>
              <w:t xml:space="preserve">first </w:t>
            </w:r>
            <w:r w:rsidRPr="00025E88">
              <w:t xml:space="preserve">outcome evaluation will provide important information on (i) the contributions that UNDP has made to the </w:t>
            </w:r>
            <w:r>
              <w:t>diversification of economy outputs under Outcome 2 of the CP</w:t>
            </w:r>
            <w:r w:rsidRPr="00025E88">
              <w:t xml:space="preserve">, (ii) whether the UNDP strategy has been effective, and (iii) whether some adjustments are needed so that UNDP can stay relevant in the field in future. </w:t>
            </w:r>
          </w:p>
          <w:p w:rsidR="00E415EB" w:rsidRDefault="00E415EB" w:rsidP="00416F6A">
            <w:pPr>
              <w:ind w:left="360"/>
              <w:jc w:val="both"/>
            </w:pPr>
          </w:p>
          <w:p w:rsidR="00E415EB" w:rsidRDefault="00E415EB" w:rsidP="00416F6A">
            <w:pPr>
              <w:ind w:left="360"/>
              <w:jc w:val="both"/>
            </w:pPr>
            <w:r w:rsidRPr="006F0435">
              <w:t xml:space="preserve">The </w:t>
            </w:r>
            <w:r>
              <w:t xml:space="preserve">second </w:t>
            </w:r>
            <w:r w:rsidRPr="006F0435">
              <w:t xml:space="preserve">outcome evaluation will provide important information on (i) the contributions that UNDP has made to the public sector performance related outputs under Outcome </w:t>
            </w:r>
            <w:r w:rsidRPr="00471BA9">
              <w:t>3</w:t>
            </w:r>
            <w:r w:rsidRPr="006F0435">
              <w:t xml:space="preserve"> of the CP, (ii) whether the UNDP strategy has been effective, and (iii) whether some adjustments are needed so that UNDP can stay relevant in the field in future. A detailed results framework for the selected outcome is summarized below</w:t>
            </w:r>
          </w:p>
          <w:p w:rsidR="00E415EB" w:rsidRDefault="00E415EB" w:rsidP="00416F6A">
            <w:pPr>
              <w:ind w:left="360"/>
              <w:jc w:val="both"/>
            </w:pPr>
          </w:p>
          <w:p w:rsidR="00E415EB" w:rsidRDefault="00E415EB" w:rsidP="00416F6A">
            <w:pPr>
              <w:ind w:left="360"/>
              <w:jc w:val="both"/>
            </w:pPr>
            <w:r w:rsidRPr="00025E88">
              <w:t>A detailed results framework for the selected outcome</w:t>
            </w:r>
            <w:r>
              <w:t>s</w:t>
            </w:r>
            <w:r w:rsidRPr="00025E88">
              <w:t xml:space="preserve"> is summarized below:</w:t>
            </w:r>
          </w:p>
          <w:tbl>
            <w:tblPr>
              <w:tblpPr w:leftFromText="180" w:rightFromText="180" w:vertAnchor="text" w:horzAnchor="margin" w:tblpY="271"/>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10"/>
            </w:tblGrid>
            <w:tr w:rsidR="00E415EB" w:rsidRPr="00025E88" w:rsidTr="00416F6A">
              <w:trPr>
                <w:trHeight w:val="3686"/>
              </w:trPr>
              <w:tc>
                <w:tcPr>
                  <w:tcW w:w="9210" w:type="dxa"/>
                  <w:shd w:val="clear" w:color="auto" w:fill="D9D9D9"/>
                </w:tcPr>
                <w:p w:rsidR="00E415EB" w:rsidRDefault="00E415EB" w:rsidP="00416F6A">
                  <w:pPr>
                    <w:jc w:val="both"/>
                  </w:pPr>
                  <w:r w:rsidRPr="00C35E31">
                    <w:rPr>
                      <w:b/>
                      <w:bCs/>
                      <w:u w:val="single"/>
                    </w:rPr>
                    <w:lastRenderedPageBreak/>
                    <w:t>Intended Outcome</w:t>
                  </w:r>
                  <w:r>
                    <w:rPr>
                      <w:b/>
                      <w:bCs/>
                      <w:u w:val="single"/>
                    </w:rPr>
                    <w:t xml:space="preserve"> 2</w:t>
                  </w:r>
                  <w:r w:rsidRPr="00C35E31">
                    <w:rPr>
                      <w:b/>
                      <w:bCs/>
                      <w:u w:val="single"/>
                    </w:rPr>
                    <w:t>:</w:t>
                  </w:r>
                  <w:r w:rsidRPr="00025E88">
                    <w:t xml:space="preserve"> </w:t>
                  </w:r>
                </w:p>
                <w:p w:rsidR="00E415EB" w:rsidRPr="00025E88" w:rsidRDefault="00E415EB" w:rsidP="00416F6A">
                  <w:pPr>
                    <w:jc w:val="both"/>
                  </w:pPr>
                  <w:r w:rsidRPr="004A4ADB">
                    <w:t>Economic framework is diversified to encourage tourism, international trade and FDI</w:t>
                  </w:r>
                </w:p>
                <w:p w:rsidR="00E415EB" w:rsidRPr="00C35E31" w:rsidRDefault="00E415EB" w:rsidP="00416F6A">
                  <w:pPr>
                    <w:jc w:val="both"/>
                    <w:rPr>
                      <w:b/>
                      <w:bCs/>
                      <w:u w:val="single"/>
                    </w:rPr>
                  </w:pPr>
                  <w:r w:rsidRPr="00C35E31">
                    <w:rPr>
                      <w:b/>
                      <w:bCs/>
                      <w:u w:val="single"/>
                    </w:rPr>
                    <w:t xml:space="preserve">Outcome Indicators: </w:t>
                  </w:r>
                </w:p>
                <w:p w:rsidR="00E415EB" w:rsidRDefault="00E415EB" w:rsidP="0055608D">
                  <w:pPr>
                    <w:pStyle w:val="ListParagraph"/>
                    <w:numPr>
                      <w:ilvl w:val="0"/>
                      <w:numId w:val="3"/>
                    </w:numPr>
                    <w:spacing w:before="0" w:after="0"/>
                  </w:pPr>
                  <w:r w:rsidRPr="00C35E31">
                    <w:t xml:space="preserve">Increased foreign </w:t>
                  </w:r>
                  <w:r>
                    <w:t>direct investment in KSA by 10</w:t>
                  </w:r>
                </w:p>
                <w:p w:rsidR="00E415EB" w:rsidRPr="00C35E31" w:rsidRDefault="00E415EB" w:rsidP="0055608D">
                  <w:pPr>
                    <w:pStyle w:val="ListParagraph"/>
                    <w:numPr>
                      <w:ilvl w:val="0"/>
                      <w:numId w:val="3"/>
                    </w:numPr>
                    <w:spacing w:before="0" w:after="0"/>
                  </w:pPr>
                  <w:r w:rsidRPr="00C35E31">
                    <w:t>Increased number of tourists in KSA by 15%</w:t>
                  </w:r>
                </w:p>
                <w:p w:rsidR="00E415EB" w:rsidRPr="00C35E31" w:rsidRDefault="00E415EB" w:rsidP="00416F6A">
                  <w:pPr>
                    <w:jc w:val="both"/>
                    <w:rPr>
                      <w:b/>
                      <w:bCs/>
                      <w:u w:val="single"/>
                    </w:rPr>
                  </w:pPr>
                  <w:r w:rsidRPr="00C35E31">
                    <w:rPr>
                      <w:b/>
                      <w:bCs/>
                      <w:u w:val="single"/>
                    </w:rPr>
                    <w:t xml:space="preserve">Baseline (2007): </w:t>
                  </w:r>
                </w:p>
                <w:p w:rsidR="00E415EB" w:rsidRDefault="00E415EB" w:rsidP="0055608D">
                  <w:pPr>
                    <w:pStyle w:val="ListParagraph"/>
                    <w:numPr>
                      <w:ilvl w:val="0"/>
                      <w:numId w:val="2"/>
                    </w:numPr>
                    <w:spacing w:before="0" w:after="0"/>
                    <w:ind w:left="360"/>
                  </w:pPr>
                  <w:r w:rsidRPr="00C35E31">
                    <w:t>Economic and Institutional frameworks not fully utilizing global integration opportunities in favor of SME promotion and sustainable employment creation.</w:t>
                  </w:r>
                </w:p>
                <w:p w:rsidR="00E415EB" w:rsidRDefault="00E415EB" w:rsidP="0055608D">
                  <w:pPr>
                    <w:pStyle w:val="ListParagraph"/>
                    <w:numPr>
                      <w:ilvl w:val="0"/>
                      <w:numId w:val="2"/>
                    </w:numPr>
                    <w:spacing w:before="0" w:after="0"/>
                    <w:ind w:left="360"/>
                  </w:pPr>
                  <w:r w:rsidRPr="00C35E31">
                    <w:t>Not all tourist areas/sites in KSA fully developed.</w:t>
                  </w:r>
                </w:p>
                <w:p w:rsidR="00E415EB" w:rsidRPr="00025E88" w:rsidRDefault="00E415EB" w:rsidP="0055608D">
                  <w:pPr>
                    <w:pStyle w:val="ListParagraph"/>
                    <w:numPr>
                      <w:ilvl w:val="0"/>
                      <w:numId w:val="2"/>
                    </w:numPr>
                    <w:spacing w:before="0" w:after="0"/>
                    <w:ind w:left="360"/>
                  </w:pPr>
                  <w:r w:rsidRPr="00C35E31">
                    <w:t>National focus solely on WTO commitments rather than benefits.</w:t>
                  </w:r>
                </w:p>
              </w:tc>
            </w:tr>
          </w:tbl>
          <w:p w:rsidR="00E415EB" w:rsidRDefault="00E415EB" w:rsidP="00416F6A">
            <w:pPr>
              <w:jc w:val="both"/>
            </w:pPr>
          </w:p>
          <w:p w:rsidR="00E415EB" w:rsidRDefault="00E415EB" w:rsidP="00416F6A">
            <w:pPr>
              <w:jc w:val="both"/>
              <w:rPr>
                <w:rFonts w:asciiTheme="majorBidi" w:hAnsiTheme="majorBidi" w:cstheme="majorBidi"/>
                <w:b/>
                <w:bCs/>
                <w:u w:val="single"/>
              </w:rPr>
            </w:pPr>
          </w:p>
          <w:p w:rsidR="00E415EB" w:rsidRDefault="00E415EB" w:rsidP="00416F6A">
            <w:pPr>
              <w:jc w:val="both"/>
              <w:rPr>
                <w:rFonts w:asciiTheme="majorBidi" w:hAnsiTheme="majorBidi" w:cstheme="majorBidi"/>
                <w:b/>
                <w:bCs/>
                <w:u w:val="single"/>
              </w:rPr>
            </w:pPr>
          </w:p>
          <w:p w:rsidR="00E415EB" w:rsidRPr="00F10C2F" w:rsidRDefault="00E415EB" w:rsidP="00416F6A">
            <w:pPr>
              <w:rPr>
                <w:rFonts w:asciiTheme="majorBidi" w:hAnsiTheme="majorBidi" w:cstheme="majorBidi"/>
                <w:b/>
                <w:bCs/>
                <w:u w:val="single"/>
              </w:rPr>
            </w:pPr>
            <w:r>
              <w:rPr>
                <w:rFonts w:asciiTheme="majorBidi" w:hAnsiTheme="majorBidi" w:cstheme="majorBidi"/>
                <w:b/>
                <w:bCs/>
                <w:u w:val="single"/>
              </w:rPr>
              <w:t>II</w:t>
            </w:r>
            <w:r w:rsidRPr="00F10C2F">
              <w:rPr>
                <w:rFonts w:asciiTheme="majorBidi" w:hAnsiTheme="majorBidi" w:cstheme="majorBidi"/>
                <w:b/>
                <w:bCs/>
                <w:u w:val="single"/>
              </w:rPr>
              <w:t>) Output background information:</w:t>
            </w:r>
            <w:r w:rsidRPr="00464A06">
              <w:rPr>
                <w:rFonts w:asciiTheme="majorBidi" w:hAnsiTheme="majorBidi" w:cstheme="majorBidi"/>
                <w:b/>
                <w:bCs/>
              </w:rPr>
              <w:t xml:space="preserve"> </w:t>
            </w:r>
            <w:r>
              <w:rPr>
                <w:rFonts w:asciiTheme="majorBidi" w:hAnsiTheme="majorBidi" w:cstheme="majorBidi"/>
                <w:b/>
                <w:bCs/>
              </w:rPr>
              <w:t xml:space="preserve"> </w:t>
            </w:r>
            <w:r w:rsidRPr="00464A06">
              <w:rPr>
                <w:rFonts w:asciiTheme="majorBidi" w:hAnsiTheme="majorBidi" w:cstheme="majorBidi"/>
                <w:bCs/>
                <w:i/>
                <w:iCs/>
              </w:rPr>
              <w:t>(</w:t>
            </w:r>
            <w:r w:rsidRPr="00DF5022">
              <w:rPr>
                <w:i/>
                <w:iCs/>
              </w:rPr>
              <w:t>the information mentioned bellow refers to the situation analysis at the drafting stage of the project document for each output)</w:t>
            </w:r>
          </w:p>
          <w:p w:rsidR="00E415EB" w:rsidRDefault="00E415EB" w:rsidP="00416F6A">
            <w:pPr>
              <w:ind w:left="360"/>
              <w:jc w:val="both"/>
            </w:pPr>
          </w:p>
          <w:p w:rsidR="00E415EB" w:rsidRPr="007F5432" w:rsidRDefault="00E415EB" w:rsidP="0055608D">
            <w:pPr>
              <w:pStyle w:val="ListParagraph"/>
              <w:numPr>
                <w:ilvl w:val="0"/>
                <w:numId w:val="21"/>
              </w:numPr>
              <w:jc w:val="both"/>
              <w:rPr>
                <w:rFonts w:ascii="Arial" w:hAnsi="Arial" w:cs="Arial"/>
                <w:b/>
                <w:bCs/>
                <w:sz w:val="20"/>
                <w:szCs w:val="20"/>
                <w:u w:val="single"/>
              </w:rPr>
            </w:pPr>
            <w:r>
              <w:rPr>
                <w:rFonts w:ascii="Arial" w:hAnsi="Arial" w:cs="Arial"/>
                <w:b/>
                <w:bCs/>
                <w:sz w:val="20"/>
                <w:szCs w:val="20"/>
                <w:u w:val="single"/>
              </w:rPr>
              <w:t>T</w:t>
            </w:r>
            <w:r w:rsidRPr="007F5432">
              <w:rPr>
                <w:rFonts w:ascii="Arial" w:hAnsi="Arial" w:cs="Arial"/>
                <w:b/>
                <w:bCs/>
                <w:sz w:val="20"/>
                <w:szCs w:val="20"/>
                <w:u w:val="single"/>
              </w:rPr>
              <w:t>here are nine</w:t>
            </w:r>
            <w:r>
              <w:rPr>
                <w:rFonts w:ascii="Arial" w:hAnsi="Arial" w:cs="Arial"/>
                <w:b/>
                <w:bCs/>
                <w:sz w:val="20"/>
                <w:szCs w:val="20"/>
                <w:u w:val="single"/>
              </w:rPr>
              <w:t xml:space="preserve"> main outputs to</w:t>
            </w:r>
            <w:r w:rsidRPr="007F5432">
              <w:rPr>
                <w:rFonts w:ascii="Arial" w:hAnsi="Arial" w:cs="Arial"/>
                <w:b/>
                <w:bCs/>
                <w:sz w:val="20"/>
                <w:szCs w:val="20"/>
                <w:u w:val="single"/>
              </w:rPr>
              <w:t xml:space="preserve"> outcome</w:t>
            </w:r>
            <w:r>
              <w:rPr>
                <w:rFonts w:ascii="Arial" w:hAnsi="Arial" w:cs="Arial"/>
                <w:b/>
                <w:bCs/>
                <w:sz w:val="20"/>
                <w:szCs w:val="20"/>
                <w:u w:val="single"/>
              </w:rPr>
              <w:t xml:space="preserve"> three</w:t>
            </w:r>
            <w:r w:rsidRPr="007F5432">
              <w:rPr>
                <w:rFonts w:ascii="Arial" w:hAnsi="Arial" w:cs="Arial"/>
                <w:b/>
                <w:bCs/>
                <w:sz w:val="20"/>
                <w:szCs w:val="20"/>
                <w:u w:val="single"/>
              </w:rPr>
              <w:t>:</w:t>
            </w:r>
          </w:p>
          <w:p w:rsidR="00E415EB" w:rsidRPr="007F5432" w:rsidRDefault="00E415EB" w:rsidP="00416F6A">
            <w:pPr>
              <w:pStyle w:val="ListParagraph"/>
              <w:ind w:left="1440"/>
              <w:jc w:val="both"/>
              <w:rPr>
                <w:rFonts w:ascii="Arial" w:hAnsi="Arial" w:cs="Arial"/>
                <w:sz w:val="20"/>
                <w:szCs w:val="20"/>
              </w:rPr>
            </w:pPr>
          </w:p>
          <w:p w:rsidR="00E415EB" w:rsidRDefault="00E415EB" w:rsidP="00416F6A">
            <w:pPr>
              <w:ind w:left="360"/>
              <w:jc w:val="both"/>
              <w:rPr>
                <w:rFonts w:ascii="Arial" w:hAnsi="Arial" w:cs="Arial"/>
                <w:b/>
                <w:bCs/>
                <w:sz w:val="20"/>
                <w:szCs w:val="20"/>
                <w:u w:val="single"/>
              </w:rPr>
            </w:pPr>
          </w:p>
          <w:p w:rsidR="00E415EB" w:rsidRPr="00FD1819" w:rsidRDefault="00E415EB" w:rsidP="0055608D">
            <w:pPr>
              <w:pStyle w:val="ListParagraph"/>
              <w:numPr>
                <w:ilvl w:val="0"/>
                <w:numId w:val="22"/>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Advisory Services to the Ministry of Foreign Affairs</w:t>
            </w:r>
          </w:p>
          <w:p w:rsidR="00E415EB" w:rsidRPr="00184328" w:rsidRDefault="00E415EB" w:rsidP="00416F6A">
            <w:pPr>
              <w:ind w:left="360"/>
              <w:jc w:val="both"/>
            </w:pPr>
          </w:p>
          <w:p w:rsidR="00E415EB" w:rsidRPr="00184328" w:rsidRDefault="00E415EB" w:rsidP="00416F6A">
            <w:pPr>
              <w:ind w:left="360"/>
              <w:jc w:val="both"/>
            </w:pPr>
            <w:r>
              <w:t>Within the scope of the overall national development in the kingdom of Saudi Arabia, it has become increasingly important for the government to undertake the required administrative and organizational development of tits institutions to manage the expansion and implementation of the development processes.  This urgent need is seen as an integral part of the general trend to enhance the performance of public sector through a set of policies that includes:  a) developing the internal organizational structures of the government units; b)ensuring better coordination between the specializations and activities of the various government units; c) reviewing and simplifying administrative procedures in order to remove bureaucratic  complications; d) providing more flexibility and autonomy to management leaders in making decisions on the use of resources available to them; and e) developing precise and specific criteria to evaluate staff performance.</w:t>
            </w:r>
          </w:p>
          <w:p w:rsidR="00E415EB" w:rsidRPr="00184328" w:rsidRDefault="00E415EB" w:rsidP="00416F6A">
            <w:pPr>
              <w:ind w:left="360"/>
            </w:pPr>
          </w:p>
          <w:p w:rsidR="00E415EB" w:rsidRPr="00FD1819" w:rsidRDefault="00E415EB" w:rsidP="0055608D">
            <w:pPr>
              <w:pStyle w:val="ListParagraph"/>
              <w:numPr>
                <w:ilvl w:val="0"/>
                <w:numId w:val="22"/>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Urban Planning III</w:t>
            </w:r>
          </w:p>
          <w:p w:rsidR="00E415EB" w:rsidRPr="00184328" w:rsidRDefault="00E415EB" w:rsidP="00416F6A">
            <w:pPr>
              <w:ind w:left="360"/>
            </w:pPr>
          </w:p>
          <w:p w:rsidR="00E415EB" w:rsidRPr="00E064B3" w:rsidRDefault="00E415EB" w:rsidP="00416F6A">
            <w:pPr>
              <w:ind w:left="360"/>
              <w:jc w:val="both"/>
            </w:pPr>
            <w:r w:rsidRPr="00E064B3">
              <w:t xml:space="preserve">With the beginning of the new Millennium, Saudi Arabia would have completed three decades of planned development.  The resulting growth and structural changes have led to very significant changes in the settlement structure, transport links, industrial location, land use patterns and living standards.  Since 1970, the successive Five-Year Development Plans allocated enormous amount of public expenditure for the provision of infrastructure and services nationwide.  However, due to the vast size of the country, the geographic distribution of its population and natural resources and to realize high rate of economic growth, the government allocated large </w:t>
            </w:r>
            <w:r w:rsidRPr="00E064B3">
              <w:lastRenderedPageBreak/>
              <w:t xml:space="preserve">percentages of national investment in productive activities toward regions and areas with definite comparative advantages.  This spatial investment pattern in productive activities, which favored specific areas, although was justified on efficiency grounds, resulted in inter-regional disparities in terms of availabilities of jobs and specialized services and amenities.  As development of growing areas progressed at fast rates, regional disparities became wider and inflow of migrants from lagging regions toward the capitals of the fast growing regions increased at an accelerated rates.  </w:t>
            </w:r>
          </w:p>
          <w:p w:rsidR="00E415EB" w:rsidRPr="00E064B3" w:rsidRDefault="00E415EB" w:rsidP="00416F6A">
            <w:pPr>
              <w:ind w:left="360"/>
              <w:jc w:val="both"/>
            </w:pPr>
          </w:p>
          <w:p w:rsidR="00E415EB" w:rsidRPr="00E064B3" w:rsidRDefault="00E415EB" w:rsidP="00416F6A">
            <w:pPr>
              <w:ind w:left="360"/>
              <w:jc w:val="both"/>
            </w:pPr>
            <w:r w:rsidRPr="00E064B3">
              <w:t>Due to the fast growth in national population, which reached a stage of exerting considerable influence on many aspects of economic and social policy, the problem of regional disparities will be further complicated unless intentional and vigorous efforts by the government are directed toward solving it.  Annual growth rate of Saudi population is among the highest in the world.  Since 1974, national population has been growing at an annual rate of 3.4%.  This rate is not expected to decline much in the near future as the mortality rate is on the decline and life expectancy is on the rise.  At present, Saudi Arabia’s total population stands at 19.8 million and expected to reach 38 million by 2020.  Continuous out migration towards growing cities will put further pressure on these cities infrastructure and living standards.  At present, total population of Riyadh, Jeddah and Dammam, the largest urban centers of the three growing regions reached 7.4 million representing 47.2% of total national urban population.  It will also deplete lagging regions from their human capital and reduce their abilities to develop and utilize their untapped natural resources.</w:t>
            </w:r>
          </w:p>
          <w:p w:rsidR="00E415EB" w:rsidRPr="00184328" w:rsidRDefault="00E415EB" w:rsidP="00416F6A">
            <w:pPr>
              <w:ind w:left="360"/>
            </w:pPr>
          </w:p>
          <w:p w:rsidR="00E415EB" w:rsidRPr="00FD1819" w:rsidRDefault="00E415EB" w:rsidP="0055608D">
            <w:pPr>
              <w:pStyle w:val="ListParagraph"/>
              <w:numPr>
                <w:ilvl w:val="0"/>
                <w:numId w:val="22"/>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Urban Observatory Network</w:t>
            </w:r>
          </w:p>
          <w:p w:rsidR="00E415EB" w:rsidRPr="00A46051" w:rsidRDefault="00E415EB" w:rsidP="00416F6A">
            <w:pPr>
              <w:ind w:left="360"/>
              <w:jc w:val="both"/>
            </w:pPr>
            <w:r w:rsidRPr="00A46051">
              <w:t>In less than four decades ago, the Kingdom of Saudi Arabia has undergone an extensive economic and social development and high quality infrastructures have been established. One of the main development objectives evolves around the keen interest of the government in allocating financial resources and undertaking the necessary measures to formulate and implement plans, policies, programmes and projects to further enhance the well being of the Saudi citizens. Life expectancy has increased from 53.9 years in 1975 to 71 years in 2000. During 1970 and 1999, infant mortality has decreased from 118 to 20 per 1,000 live births. Health services have covered the urban and rural areas as well. The expansion of education has decreased drastically the illiteracy rate. The youth literacy rate, of ages 15 to 24 has reached 99 percent. Housing, urban and rural development have expanded the cities and converted villages to small towns and all basic services became available. Generally, according to the Human Development Report (2001) of the United Nations, the human development index of the Kingdom has increased from (0.65) in 1975 to (0.76) in 1999.</w:t>
            </w:r>
          </w:p>
          <w:p w:rsidR="00E415EB" w:rsidRPr="00A46051" w:rsidRDefault="00E415EB" w:rsidP="00416F6A">
            <w:pPr>
              <w:ind w:left="360"/>
              <w:jc w:val="both"/>
            </w:pPr>
          </w:p>
          <w:p w:rsidR="00E415EB" w:rsidRPr="00A46051" w:rsidRDefault="00E415EB" w:rsidP="00416F6A">
            <w:pPr>
              <w:ind w:left="360"/>
              <w:jc w:val="both"/>
            </w:pPr>
            <w:r w:rsidRPr="00A46051">
              <w:t>The demographic trend of the Saudi Arabia is rapidly escalating. The population size in 1975 was approximately 7 million. The official estimate of 1999 indicates that the total population is 21.4 million among which 15.7 million Saudis and 5.7 million foreign expatriates and semi-skilled labor forces. The current population growth rate is about 2.9 percent with forecasting estimate of 30 million Saudis in the year 2020.</w:t>
            </w:r>
          </w:p>
          <w:p w:rsidR="00E415EB" w:rsidRPr="00184328" w:rsidRDefault="00E415EB" w:rsidP="00416F6A">
            <w:pPr>
              <w:ind w:left="360"/>
            </w:pPr>
          </w:p>
          <w:p w:rsidR="00E415EB" w:rsidRPr="00FD1819" w:rsidRDefault="00E415EB" w:rsidP="0055608D">
            <w:pPr>
              <w:pStyle w:val="ListParagraph"/>
              <w:numPr>
                <w:ilvl w:val="0"/>
                <w:numId w:val="22"/>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Support to Saudi Food and Drug</w:t>
            </w:r>
            <w:r>
              <w:rPr>
                <w:rFonts w:ascii="Arial" w:hAnsi="Arial" w:cs="Arial"/>
                <w:b/>
                <w:bCs/>
                <w:color w:val="4F81BD" w:themeColor="accent1"/>
                <w:sz w:val="20"/>
                <w:szCs w:val="20"/>
                <w:u w:val="single"/>
              </w:rPr>
              <w:t xml:space="preserve"> Authority (SFDA)</w:t>
            </w:r>
          </w:p>
          <w:p w:rsidR="00E415EB" w:rsidRPr="00184328" w:rsidRDefault="00E415EB" w:rsidP="00416F6A">
            <w:pPr>
              <w:ind w:left="360"/>
            </w:pPr>
          </w:p>
          <w:p w:rsidR="00E415EB" w:rsidRPr="00E30D04" w:rsidRDefault="00E415EB" w:rsidP="00416F6A">
            <w:pPr>
              <w:ind w:left="450"/>
              <w:jc w:val="both"/>
            </w:pPr>
            <w:smartTag w:uri="urn:schemas-microsoft-com:office:smarttags" w:element="place">
              <w:smartTag w:uri="urn:schemas-microsoft-com:office:smarttags" w:element="country-region">
                <w:r w:rsidRPr="00E30D04">
                  <w:lastRenderedPageBreak/>
                  <w:t>Saudi Arabia</w:t>
                </w:r>
              </w:smartTag>
            </w:smartTag>
            <w:r w:rsidRPr="00E30D04">
              <w:t xml:space="preserve"> has made considerable progress in improving the health status of its population over the last 30 years, which has been evident in the substantial increase in life expectancy at birth over the last three decades (1970-2000). Life expectancy has increased from 53.9 years to 70.9 years. The economic boom of the seventies and early eighties was used to establish necessary socio–economic development infrastructures, including the distribution and availability of basic services such as health facilities and safe drinking water throughout the </w:t>
            </w:r>
            <w:smartTag w:uri="urn:schemas-microsoft-com:office:smarttags" w:element="place">
              <w:smartTag w:uri="urn:schemas-microsoft-com:office:smarttags" w:element="PlaceType">
                <w:r w:rsidRPr="00E30D04">
                  <w:t>Kingdom</w:t>
                </w:r>
              </w:smartTag>
              <w:r w:rsidRPr="00E30D04">
                <w:t xml:space="preserve"> of </w:t>
              </w:r>
              <w:smartTag w:uri="urn:schemas-microsoft-com:office:smarttags" w:element="PlaceName">
                <w:r w:rsidRPr="00E30D04">
                  <w:t>Saudi Arabia</w:t>
                </w:r>
              </w:smartTag>
            </w:smartTag>
            <w:r w:rsidRPr="00E30D04">
              <w:t xml:space="preserve">. Moreover the Kingdom has in the past 20 years adopted a group of policies that supported the development of the agriculture, food processing, and manufacturing sectors. This has resulted in making the Kingdom a leading country in the region in regards of agriculture production, dairy products, and food manufacturing that has contributed to the excellent social indicators relating to survival, development, and protection of human-beings. </w:t>
            </w:r>
          </w:p>
          <w:p w:rsidR="00E415EB" w:rsidRPr="00E30D04" w:rsidRDefault="00E415EB" w:rsidP="00416F6A">
            <w:pPr>
              <w:ind w:left="450"/>
              <w:jc w:val="both"/>
            </w:pPr>
          </w:p>
          <w:p w:rsidR="00E415EB" w:rsidRPr="00184328" w:rsidRDefault="00E415EB" w:rsidP="00416F6A">
            <w:pPr>
              <w:ind w:left="450"/>
              <w:jc w:val="both"/>
            </w:pPr>
            <w:r w:rsidRPr="00E30D04">
              <w:t>Nutrition and food security constitute an important target within the framework of the Millennium Development Goals approved in 2000 by the world leaders, including the Kingdom. The target set in this respect stipulates working diligently to halve the proportion of undernourished people and the proportion of underweight children under five years old. In the meantime, the present Five-Year Development Plan of the Kingdom (the 5th DP) aspires to upgrade nutritional standards and specifications.</w:t>
            </w:r>
          </w:p>
          <w:p w:rsidR="00E415EB" w:rsidRPr="00184328" w:rsidRDefault="00E415EB" w:rsidP="00416F6A">
            <w:pPr>
              <w:ind w:left="360"/>
            </w:pPr>
          </w:p>
          <w:p w:rsidR="00E415EB" w:rsidRPr="00FD1819" w:rsidRDefault="00E415EB" w:rsidP="0055608D">
            <w:pPr>
              <w:pStyle w:val="ListParagraph"/>
              <w:numPr>
                <w:ilvl w:val="0"/>
                <w:numId w:val="22"/>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Support to Municipal Elections</w:t>
            </w:r>
          </w:p>
          <w:p w:rsidR="00E415EB" w:rsidRDefault="00E415EB" w:rsidP="00416F6A">
            <w:pPr>
              <w:ind w:left="450"/>
              <w:jc w:val="both"/>
            </w:pPr>
          </w:p>
          <w:p w:rsidR="00E415EB" w:rsidRDefault="00E415EB" w:rsidP="00416F6A">
            <w:pPr>
              <w:ind w:left="450"/>
              <w:jc w:val="both"/>
            </w:pPr>
            <w:r>
              <w:t>UNDP provided technical and advisory support to the first municipal elections that were held in 2005. The project then entered into a new phase with the key objective of evaluating the</w:t>
            </w:r>
            <w:r w:rsidRPr="00336F89">
              <w:t xml:space="preserve"> results of the Municipal elections to draw lessons for </w:t>
            </w:r>
            <w:r>
              <w:t xml:space="preserve">the </w:t>
            </w:r>
            <w:r w:rsidRPr="00336F89">
              <w:t xml:space="preserve">next round of elections; and </w:t>
            </w:r>
            <w:r>
              <w:t xml:space="preserve">to build </w:t>
            </w:r>
            <w:r w:rsidRPr="00336F89">
              <w:t xml:space="preserve">consensus </w:t>
            </w:r>
            <w:r>
              <w:t xml:space="preserve">around the evaluation </w:t>
            </w:r>
            <w:r w:rsidRPr="00336F89">
              <w:t>recommendations</w:t>
            </w:r>
            <w:r>
              <w:t xml:space="preserve">. This process of evaluation will be completed by a compilation and analysis of the best practices in the most relevant municipal elections around the world. </w:t>
            </w:r>
          </w:p>
          <w:p w:rsidR="00E415EB" w:rsidRPr="00184328" w:rsidRDefault="00E415EB" w:rsidP="00416F6A">
            <w:pPr>
              <w:ind w:left="360"/>
            </w:pPr>
          </w:p>
          <w:p w:rsidR="00E415EB" w:rsidRPr="00FD1819" w:rsidRDefault="00E415EB" w:rsidP="0055608D">
            <w:pPr>
              <w:pStyle w:val="ListParagraph"/>
              <w:numPr>
                <w:ilvl w:val="0"/>
                <w:numId w:val="22"/>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Roads and Transport management</w:t>
            </w:r>
          </w:p>
          <w:p w:rsidR="00E415EB" w:rsidRPr="00184328" w:rsidRDefault="00E415EB" w:rsidP="00416F6A">
            <w:pPr>
              <w:ind w:left="360"/>
            </w:pPr>
          </w:p>
          <w:p w:rsidR="00E415EB" w:rsidRPr="00184328" w:rsidRDefault="00E415EB" w:rsidP="00416F6A">
            <w:pPr>
              <w:ind w:left="360"/>
              <w:jc w:val="both"/>
            </w:pPr>
            <w:r w:rsidRPr="00850910">
              <w:t>Equally important and increasingly significant is the evolution of a comprehensive operations and maintenance capability for each of the transport modes, their inter</w:t>
            </w:r>
            <w:r>
              <w:t>-</w:t>
            </w:r>
            <w:r w:rsidRPr="00850910">
              <w:t>modal integration, and a</w:t>
            </w:r>
            <w:r>
              <w:t>n adequate</w:t>
            </w:r>
            <w:r w:rsidRPr="00850910">
              <w:t xml:space="preserve"> regulatory system requiring the active involvement of </w:t>
            </w:r>
            <w:r>
              <w:t>all concerned</w:t>
            </w:r>
            <w:r w:rsidRPr="00850910">
              <w:t xml:space="preserve"> organizations and agencies.</w:t>
            </w:r>
          </w:p>
          <w:p w:rsidR="00E415EB" w:rsidRDefault="00E415EB" w:rsidP="00416F6A">
            <w:pPr>
              <w:ind w:left="360"/>
              <w:jc w:val="both"/>
            </w:pPr>
            <w:r>
              <w:t xml:space="preserve">Since 2002 the Ministry of Transport (MOT) is pursuing the development of </w:t>
            </w:r>
            <w:smartTag w:uri="urn:schemas-microsoft-com:office:smarttags" w:element="country-region">
              <w:smartTag w:uri="urn:schemas-microsoft-com:office:smarttags" w:element="place">
                <w:r>
                  <w:t>Saudi Arabia</w:t>
                </w:r>
              </w:smartTag>
            </w:smartTag>
            <w:r>
              <w:t xml:space="preserve">’s National Transportation Strategy NTS. The purpose of the NTS is to “provide an overall comprehensive framework for achieving the national development goals by efficiently managing the transport sector.” During Phase I of the NTS, the Ministry of Transport has developed jointly with concerned transport sector agencies the principle strategic framework for the NTS. The agreed vision of the NTS has been formulated as follows: </w:t>
            </w:r>
            <w:r w:rsidRPr="003E74EB">
              <w:t>“To develop and maintain a multimodal transportation system, serving the needs of society by ensuring a safe, efficient and technologically advanced transport system that promotes social and economic development and international competitiveness, and ensures a healthy and secure environment for its citizens”</w:t>
            </w:r>
            <w:r>
              <w:t>;</w:t>
            </w:r>
          </w:p>
          <w:p w:rsidR="00E415EB" w:rsidRPr="00184328" w:rsidRDefault="00E415EB" w:rsidP="00416F6A">
            <w:pPr>
              <w:ind w:left="360"/>
            </w:pPr>
          </w:p>
          <w:p w:rsidR="00E415EB" w:rsidRPr="00FD1819" w:rsidRDefault="00E415EB" w:rsidP="0055608D">
            <w:pPr>
              <w:pStyle w:val="ListParagraph"/>
              <w:numPr>
                <w:ilvl w:val="0"/>
                <w:numId w:val="22"/>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E-Services &amp; E-Transaction Development</w:t>
            </w:r>
          </w:p>
          <w:p w:rsidR="00E415EB" w:rsidRDefault="00E415EB" w:rsidP="00416F6A">
            <w:pPr>
              <w:pStyle w:val="ListParagraph"/>
              <w:ind w:left="360"/>
              <w:rPr>
                <w:b/>
                <w:bCs/>
                <w:color w:val="00B0F0"/>
                <w:u w:val="single"/>
              </w:rPr>
            </w:pPr>
          </w:p>
          <w:p w:rsidR="00E415EB" w:rsidRPr="006D2AD2" w:rsidRDefault="00E415EB" w:rsidP="00416F6A">
            <w:pPr>
              <w:ind w:left="360"/>
              <w:jc w:val="both"/>
            </w:pPr>
            <w:r w:rsidRPr="006D2AD2">
              <w:t xml:space="preserve">The e-Government index of Saudi Arabia is 1.86. It is considered as having a medium e-government capacity (1.6-1.99) and above the </w:t>
            </w:r>
            <w:smartTag w:uri="urn:schemas-microsoft-com:office:smarttags" w:element="place">
              <w:r w:rsidRPr="006D2AD2">
                <w:t>Middle East</w:t>
              </w:r>
            </w:smartTag>
            <w:r w:rsidRPr="006D2AD2">
              <w:t xml:space="preserve"> average (1.72). </w:t>
            </w:r>
          </w:p>
          <w:p w:rsidR="00E415EB" w:rsidRPr="006D2AD2" w:rsidRDefault="00E415EB" w:rsidP="00416F6A">
            <w:pPr>
              <w:pStyle w:val="BodyTextIndent"/>
              <w:ind w:left="360"/>
              <w:jc w:val="both"/>
              <w:rPr>
                <w:rFonts w:ascii="Times New Roman" w:hAnsi="Times New Roman" w:cs="Times New Roman"/>
              </w:rPr>
            </w:pPr>
            <w:r w:rsidRPr="006D2AD2">
              <w:rPr>
                <w:rFonts w:ascii="Times New Roman" w:hAnsi="Times New Roman" w:cs="Times New Roman"/>
              </w:rPr>
              <w:t xml:space="preserve">In the direction of adapting e-Government, the </w:t>
            </w:r>
            <w:smartTag w:uri="urn:schemas-microsoft-com:office:smarttags" w:element="place">
              <w:smartTag w:uri="urn:schemas-microsoft-com:office:smarttags" w:element="PlaceType">
                <w:r w:rsidRPr="006D2AD2">
                  <w:rPr>
                    <w:rFonts w:ascii="Times New Roman" w:hAnsi="Times New Roman" w:cs="Times New Roman"/>
                  </w:rPr>
                  <w:t>Kingdom</w:t>
                </w:r>
              </w:smartTag>
              <w:r w:rsidRPr="006D2AD2">
                <w:rPr>
                  <w:rFonts w:ascii="Times New Roman" w:hAnsi="Times New Roman" w:cs="Times New Roman"/>
                </w:rPr>
                <w:t xml:space="preserve"> of </w:t>
              </w:r>
              <w:smartTag w:uri="urn:schemas-microsoft-com:office:smarttags" w:element="PlaceName">
                <w:r w:rsidRPr="006D2AD2">
                  <w:rPr>
                    <w:rFonts w:ascii="Times New Roman" w:hAnsi="Times New Roman" w:cs="Times New Roman"/>
                  </w:rPr>
                  <w:t>Saudi Arabia</w:t>
                </w:r>
              </w:smartTag>
            </w:smartTag>
            <w:r w:rsidRPr="006D2AD2">
              <w:rPr>
                <w:rFonts w:ascii="Times New Roman" w:hAnsi="Times New Roman" w:cs="Times New Roman"/>
              </w:rPr>
              <w:t xml:space="preserve"> has launched many ICT initiatives and plans. For example, the 7th national development plan encouraged government institutions to acquire the necessary ICT infrastructure as well as the necessary regulations to enhance their use of information. Accordingly, a National Information Technology Plan  is working for national IT strategic objectives:</w:t>
            </w:r>
          </w:p>
          <w:p w:rsidR="00E415EB" w:rsidRPr="006D2AD2" w:rsidRDefault="00E415EB" w:rsidP="0055608D">
            <w:pPr>
              <w:pStyle w:val="BodyTextIndent"/>
              <w:numPr>
                <w:ilvl w:val="0"/>
                <w:numId w:val="20"/>
              </w:numPr>
              <w:jc w:val="both"/>
              <w:rPr>
                <w:rFonts w:ascii="Times New Roman" w:hAnsi="Times New Roman" w:cs="Times New Roman"/>
              </w:rPr>
            </w:pPr>
            <w:r w:rsidRPr="006D2AD2">
              <w:rPr>
                <w:rFonts w:ascii="Times New Roman" w:hAnsi="Times New Roman" w:cs="Times New Roman"/>
              </w:rPr>
              <w:t>To support the national economy by creating and developing an IT industry and reliance on e-Commerce and Teleworking.</w:t>
            </w:r>
          </w:p>
          <w:p w:rsidR="00E415EB" w:rsidRPr="006D2AD2" w:rsidRDefault="00E415EB" w:rsidP="0055608D">
            <w:pPr>
              <w:pStyle w:val="BodyTextIndent"/>
              <w:numPr>
                <w:ilvl w:val="0"/>
                <w:numId w:val="20"/>
              </w:numPr>
              <w:jc w:val="both"/>
              <w:rPr>
                <w:rFonts w:ascii="Times New Roman" w:hAnsi="Times New Roman" w:cs="Times New Roman"/>
              </w:rPr>
            </w:pPr>
            <w:r w:rsidRPr="006D2AD2">
              <w:rPr>
                <w:rFonts w:ascii="Times New Roman" w:hAnsi="Times New Roman" w:cs="Times New Roman"/>
              </w:rPr>
              <w:t>Creating vast job opportunities for young men and women.</w:t>
            </w:r>
          </w:p>
          <w:p w:rsidR="00E415EB" w:rsidRPr="006D2AD2" w:rsidRDefault="00E415EB" w:rsidP="0055608D">
            <w:pPr>
              <w:pStyle w:val="BodyTextIndent"/>
              <w:numPr>
                <w:ilvl w:val="0"/>
                <w:numId w:val="20"/>
              </w:numPr>
              <w:tabs>
                <w:tab w:val="right" w:pos="720"/>
              </w:tabs>
              <w:jc w:val="both"/>
              <w:rPr>
                <w:rFonts w:ascii="Times New Roman" w:hAnsi="Times New Roman" w:cs="Times New Roman"/>
              </w:rPr>
            </w:pPr>
            <w:r w:rsidRPr="006D2AD2">
              <w:rPr>
                <w:rFonts w:ascii="Times New Roman" w:hAnsi="Times New Roman" w:cs="Times New Roman"/>
              </w:rPr>
              <w:t>Urbanization through electronic education, electronic government, and remote medical assistance.</w:t>
            </w:r>
          </w:p>
          <w:p w:rsidR="00E415EB" w:rsidRPr="006D2AD2" w:rsidRDefault="00E415EB" w:rsidP="0055608D">
            <w:pPr>
              <w:pStyle w:val="BodyTextIndent"/>
              <w:numPr>
                <w:ilvl w:val="0"/>
                <w:numId w:val="20"/>
              </w:numPr>
              <w:jc w:val="both"/>
              <w:rPr>
                <w:rFonts w:ascii="Times New Roman" w:hAnsi="Times New Roman" w:cs="Times New Roman"/>
              </w:rPr>
            </w:pPr>
            <w:r w:rsidRPr="006D2AD2">
              <w:rPr>
                <w:rFonts w:ascii="Times New Roman" w:hAnsi="Times New Roman" w:cs="Times New Roman"/>
              </w:rPr>
              <w:t>Preserving the Arab and Islamic cultures in the digital world.</w:t>
            </w:r>
          </w:p>
          <w:p w:rsidR="00E415EB" w:rsidRPr="006D2AD2" w:rsidRDefault="00E415EB" w:rsidP="0055608D">
            <w:pPr>
              <w:pStyle w:val="BodyTextIndent"/>
              <w:numPr>
                <w:ilvl w:val="0"/>
                <w:numId w:val="20"/>
              </w:numPr>
              <w:jc w:val="both"/>
              <w:rPr>
                <w:rFonts w:ascii="Times New Roman" w:hAnsi="Times New Roman" w:cs="Times New Roman"/>
              </w:rPr>
            </w:pPr>
            <w:r w:rsidRPr="006D2AD2">
              <w:rPr>
                <w:rFonts w:ascii="Times New Roman" w:hAnsi="Times New Roman" w:cs="Times New Roman"/>
              </w:rPr>
              <w:t>Enhancing productivity and efficiency and minimizing costs.</w:t>
            </w:r>
          </w:p>
          <w:p w:rsidR="00E415EB" w:rsidRPr="006D2AD2" w:rsidRDefault="00E415EB" w:rsidP="0055608D">
            <w:pPr>
              <w:pStyle w:val="BodyTextIndent"/>
              <w:numPr>
                <w:ilvl w:val="0"/>
                <w:numId w:val="20"/>
              </w:numPr>
              <w:jc w:val="both"/>
              <w:rPr>
                <w:rFonts w:ascii="Times New Roman" w:hAnsi="Times New Roman" w:cs="Times New Roman"/>
              </w:rPr>
            </w:pPr>
            <w:r w:rsidRPr="006D2AD2">
              <w:rPr>
                <w:rFonts w:ascii="Times New Roman" w:hAnsi="Times New Roman" w:cs="Times New Roman"/>
              </w:rPr>
              <w:t>Strengthening national security through investment in information technology.</w:t>
            </w:r>
          </w:p>
          <w:p w:rsidR="00E415EB" w:rsidRPr="006D2AD2" w:rsidRDefault="00E415EB" w:rsidP="0055608D">
            <w:pPr>
              <w:pStyle w:val="BodyTextIndent"/>
              <w:numPr>
                <w:ilvl w:val="0"/>
                <w:numId w:val="20"/>
              </w:numPr>
              <w:jc w:val="both"/>
              <w:rPr>
                <w:rFonts w:ascii="Times New Roman" w:hAnsi="Times New Roman" w:cs="Times New Roman"/>
              </w:rPr>
            </w:pPr>
            <w:r w:rsidRPr="006D2AD2">
              <w:rPr>
                <w:rFonts w:ascii="Times New Roman" w:hAnsi="Times New Roman" w:cs="Times New Roman"/>
              </w:rPr>
              <w:t>Enhancing infrastructure to achieve the foregoing objectives.</w:t>
            </w:r>
          </w:p>
          <w:p w:rsidR="00E415EB" w:rsidRPr="006D2AD2" w:rsidRDefault="00E415EB" w:rsidP="00416F6A">
            <w:pPr>
              <w:pStyle w:val="NormalWeb"/>
              <w:spacing w:before="0" w:beforeAutospacing="0" w:after="0" w:afterAutospacing="0" w:line="240" w:lineRule="auto"/>
              <w:ind w:left="360"/>
              <w:jc w:val="both"/>
            </w:pPr>
          </w:p>
          <w:p w:rsidR="00E415EB" w:rsidRPr="006D2AD2" w:rsidRDefault="00E415EB" w:rsidP="00416F6A">
            <w:pPr>
              <w:pStyle w:val="NormalWeb"/>
              <w:spacing w:before="0" w:beforeAutospacing="0" w:after="0" w:afterAutospacing="0" w:line="240" w:lineRule="auto"/>
              <w:ind w:left="360"/>
              <w:jc w:val="both"/>
            </w:pPr>
            <w:r w:rsidRPr="006D2AD2">
              <w:t>Recently, the Ministerial Council issued a decree stating that the Ministry of Posts, Telegrams and Telephones will be renamed the Ministry of Telecommunications and Information Technology (MOTIT). Information Technology related activities would be assigned to the Telecommunications Commission, the name of which will be changed to Telecommunications and Information Technology Commission. Currently, the MOTIT is in the process of drafting an E-signature act.</w:t>
            </w:r>
          </w:p>
          <w:p w:rsidR="00E415EB" w:rsidRPr="006D2AD2" w:rsidRDefault="00E415EB" w:rsidP="00416F6A">
            <w:pPr>
              <w:pStyle w:val="BodyTextIndent"/>
              <w:ind w:left="360"/>
              <w:jc w:val="both"/>
              <w:rPr>
                <w:rFonts w:ascii="Times New Roman" w:hAnsi="Times New Roman" w:cs="Times New Roman"/>
              </w:rPr>
            </w:pPr>
          </w:p>
          <w:p w:rsidR="00E415EB" w:rsidRPr="00184328" w:rsidRDefault="00E415EB" w:rsidP="00416F6A">
            <w:pPr>
              <w:ind w:left="360"/>
              <w:jc w:val="both"/>
            </w:pPr>
            <w:r w:rsidRPr="006D2AD2">
              <w:t xml:space="preserve">In this regard, the Ministry of Foreign Affairs (MOFA) had already carried out IT project, with the support of UNDP, for capacity building of Information Technology Division </w:t>
            </w:r>
            <w:r>
              <w:t>at MOFA,</w:t>
            </w:r>
            <w:r w:rsidRPr="006D2AD2">
              <w:t xml:space="preserve"> to achieve the objective of the national development plan, with the ultimate goal of transforming MOFA into an e-government entity that may used as a model for other Ministerial bodies. The project assisted MOFA in mapping infrastructure, human resources, and capacity needs, implement pilot IT projects at the Information Technology Division (ITD) and other departments and embassies abroad. Moreover, it relatively raised the awareness and use of IT potentials in the whole Ministry and provided professional training to ITD staff as well as staff from other departments.</w:t>
            </w:r>
          </w:p>
          <w:p w:rsidR="00E415EB" w:rsidRPr="00184328" w:rsidRDefault="00E415EB" w:rsidP="00416F6A">
            <w:pPr>
              <w:ind w:left="360"/>
            </w:pPr>
          </w:p>
          <w:p w:rsidR="00E415EB" w:rsidRPr="00FD1819" w:rsidRDefault="00E415EB" w:rsidP="0055608D">
            <w:pPr>
              <w:pStyle w:val="ListParagraph"/>
              <w:numPr>
                <w:ilvl w:val="0"/>
                <w:numId w:val="22"/>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Advisory Services to SCC</w:t>
            </w:r>
          </w:p>
          <w:p w:rsidR="00E415EB" w:rsidRDefault="00E415EB" w:rsidP="00416F6A">
            <w:pPr>
              <w:rPr>
                <w:b/>
                <w:bCs/>
                <w:color w:val="00B0F0"/>
                <w:u w:val="single"/>
              </w:rPr>
            </w:pPr>
          </w:p>
          <w:p w:rsidR="00E415EB" w:rsidRPr="004A6DCC" w:rsidRDefault="00E415EB" w:rsidP="00416F6A">
            <w:pPr>
              <w:jc w:val="both"/>
            </w:pPr>
            <w:r w:rsidRPr="004A6DCC">
              <w:t>The telecommunication sector has been very important in the development plans of the Kingdom of Saudi Arabia. Until recently, the public telecommunication services in the Kingdom have been provided by government institutions under the Ministry of P.T.T. The present telecommunication network in the Kingdom provides most of the modem services and is comparable with the developed public telecommunication networks in the world. Radio communication services in the Kingdom for public services as well as for strategic and captive applications have seen tremendous growth over the years.</w:t>
            </w:r>
          </w:p>
          <w:p w:rsidR="00E415EB" w:rsidRPr="004A6DCC" w:rsidRDefault="00E415EB" w:rsidP="00416F6A">
            <w:pPr>
              <w:jc w:val="both"/>
            </w:pPr>
          </w:p>
          <w:p w:rsidR="00E415EB" w:rsidRPr="004A6DCC" w:rsidRDefault="00E415EB" w:rsidP="00416F6A">
            <w:pPr>
              <w:jc w:val="both"/>
            </w:pPr>
            <w:r w:rsidRPr="004A6DCC">
              <w:lastRenderedPageBreak/>
              <w:t>With the view to further improve the delivery of telecommunication services in the Kingdom, and in keeping with the global trends, the government decided to liberalize the sector to allow private participation in the provision of telecommunication services in the Kingdom.</w:t>
            </w:r>
          </w:p>
          <w:p w:rsidR="00E415EB" w:rsidRPr="004A6DCC" w:rsidRDefault="00E415EB" w:rsidP="00416F6A">
            <w:pPr>
              <w:jc w:val="both"/>
            </w:pPr>
          </w:p>
          <w:p w:rsidR="00E415EB" w:rsidRPr="004A6DCC" w:rsidRDefault="00E415EB" w:rsidP="00416F6A">
            <w:pPr>
              <w:jc w:val="both"/>
            </w:pPr>
            <w:r w:rsidRPr="004A6DCC">
              <w:t>To achieve the objective, the government has taken certain necessary steps which include the promulgation and publication in the Official Gazette, of the Telecommunications Act which lays down the policy and regulations for the supervision of the telecommunications sector in the Kingdom, and the Ordinance establishing the Saudi Communications Commission (SCC) as the telecommunication regulatory authority.</w:t>
            </w:r>
          </w:p>
          <w:p w:rsidR="00E415EB" w:rsidRPr="00184328" w:rsidRDefault="00E415EB" w:rsidP="00416F6A"/>
          <w:p w:rsidR="00E415EB" w:rsidRPr="00FD1819" w:rsidRDefault="00E415EB" w:rsidP="0055608D">
            <w:pPr>
              <w:pStyle w:val="ListParagraph"/>
              <w:numPr>
                <w:ilvl w:val="0"/>
                <w:numId w:val="22"/>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National Open Source Software</w:t>
            </w:r>
          </w:p>
          <w:p w:rsidR="00E415EB" w:rsidRPr="00184328" w:rsidRDefault="00E415EB" w:rsidP="00416F6A">
            <w:pPr>
              <w:pStyle w:val="ListParagraph"/>
              <w:ind w:left="360"/>
              <w:contextualSpacing w:val="0"/>
              <w:jc w:val="both"/>
              <w:rPr>
                <w:rFonts w:ascii="Arial" w:hAnsi="Arial" w:cs="Arial"/>
                <w:sz w:val="20"/>
                <w:szCs w:val="20"/>
              </w:rPr>
            </w:pPr>
          </w:p>
          <w:p w:rsidR="00E415EB" w:rsidRPr="00A905FB" w:rsidRDefault="00E415EB" w:rsidP="00416F6A">
            <w:pPr>
              <w:jc w:val="both"/>
            </w:pPr>
            <w:r w:rsidRPr="00A905FB">
              <w:t>King Abdul Aziz City for Science and Technology is working towards establishing a national Open Source Software (OSS) center that will act as a single point of reference on OSS focusing on coordinating and facilitating development and implementation of OSS for the public sector in Saudi Arabia</w:t>
            </w:r>
          </w:p>
          <w:p w:rsidR="00E415EB" w:rsidRDefault="00E415EB" w:rsidP="00416F6A">
            <w:pPr>
              <w:jc w:val="both"/>
            </w:pPr>
          </w:p>
          <w:p w:rsidR="00E415EB" w:rsidRPr="00A905FB" w:rsidRDefault="00E415EB" w:rsidP="00416F6A">
            <w:pPr>
              <w:jc w:val="both"/>
            </w:pPr>
            <w:r w:rsidRPr="00A905FB">
              <w:t>The decision concerning the establishment of such a center came from the concerns regarding propriety software.  These include issues of licensing fees, security vulnerabilities and possible vendor lock-in.  partially for these reasons, KACST decided to encourage the development and localization of OSS in the Kingdom several years ago.</w:t>
            </w:r>
          </w:p>
          <w:p w:rsidR="00E415EB" w:rsidRDefault="00E415EB" w:rsidP="00416F6A">
            <w:pPr>
              <w:jc w:val="both"/>
            </w:pPr>
          </w:p>
          <w:p w:rsidR="00E415EB" w:rsidRPr="00A905FB" w:rsidRDefault="00E415EB" w:rsidP="00416F6A">
            <w:pPr>
              <w:jc w:val="both"/>
            </w:pPr>
            <w:r w:rsidRPr="00A905FB">
              <w:t xml:space="preserve">Since 2000, among other things, KACST has worked on a project for linux Arabization.  It has produced an Arabic e-mail client and editor for linux users.  Following these projects, KACST has carried out several OSS projects through which it contributed to the Arabization and localization of several international OSS products such as K Desktop Environment (KDE), Open Office and Fedora.  KACST has also developed open sources fonts for Linux.  </w:t>
            </w:r>
          </w:p>
          <w:p w:rsidR="00E415EB" w:rsidRPr="00D7070A" w:rsidRDefault="00E415EB" w:rsidP="00416F6A">
            <w:pPr>
              <w:jc w:val="both"/>
            </w:pPr>
          </w:p>
          <w:p w:rsidR="00E415EB" w:rsidRPr="00F10C2F" w:rsidRDefault="00E415EB" w:rsidP="00416F6A">
            <w:pPr>
              <w:jc w:val="both"/>
              <w:rPr>
                <w:rFonts w:asciiTheme="majorBidi" w:hAnsiTheme="majorBidi" w:cstheme="majorBidi"/>
                <w:b/>
                <w:bCs/>
                <w:u w:val="single"/>
              </w:rPr>
            </w:pPr>
            <w:r>
              <w:rPr>
                <w:rFonts w:asciiTheme="majorBidi" w:hAnsiTheme="majorBidi" w:cstheme="majorBidi"/>
                <w:b/>
                <w:bCs/>
                <w:u w:val="single"/>
              </w:rPr>
              <w:t>III</w:t>
            </w:r>
            <w:r w:rsidRPr="00F10C2F">
              <w:rPr>
                <w:rFonts w:asciiTheme="majorBidi" w:hAnsiTheme="majorBidi" w:cstheme="majorBidi"/>
                <w:b/>
                <w:bCs/>
                <w:u w:val="single"/>
              </w:rPr>
              <w:t>)  Objectives of the evaluation</w:t>
            </w:r>
            <w:r>
              <w:rPr>
                <w:rFonts w:asciiTheme="majorBidi" w:hAnsiTheme="majorBidi" w:cstheme="majorBidi"/>
                <w:b/>
                <w:bCs/>
                <w:u w:val="single"/>
              </w:rPr>
              <w:t>s</w:t>
            </w:r>
          </w:p>
          <w:p w:rsidR="00E415EB" w:rsidRPr="00F10C2F" w:rsidRDefault="00E415EB" w:rsidP="00416F6A">
            <w:pPr>
              <w:jc w:val="both"/>
              <w:rPr>
                <w:rFonts w:asciiTheme="majorBidi" w:hAnsiTheme="majorBidi" w:cstheme="majorBidi"/>
                <w:b/>
                <w:bCs/>
                <w:u w:val="single"/>
              </w:rPr>
            </w:pPr>
          </w:p>
          <w:p w:rsidR="00E415EB" w:rsidRPr="00025E88" w:rsidRDefault="00E415EB" w:rsidP="00416F6A">
            <w:pPr>
              <w:jc w:val="both"/>
            </w:pPr>
            <w:r w:rsidRPr="00025E88">
              <w:t xml:space="preserve">The outcome evaluation shall assess the following: (i) </w:t>
            </w:r>
            <w:r w:rsidRPr="00025E88">
              <w:rPr>
                <w:i/>
              </w:rPr>
              <w:t>outcome analysis</w:t>
            </w:r>
            <w:r w:rsidRPr="00025E88">
              <w:t xml:space="preserve"> - what and how much progress has been made towards the achievement of the outcome (including contributing factors and constraints), (ii) </w:t>
            </w:r>
            <w:r w:rsidRPr="00025E88">
              <w:rPr>
                <w:i/>
              </w:rPr>
              <w:t>output analysis</w:t>
            </w:r>
            <w:r w:rsidRPr="00025E88">
              <w:t xml:space="preserve"> - the relevance of and progress made in terms of the UNDP outputs (including an analysis of both project activities and soft-assistance activities), and (iii) </w:t>
            </w:r>
            <w:r w:rsidRPr="00025E88">
              <w:rPr>
                <w:i/>
              </w:rPr>
              <w:t>output-outcome link</w:t>
            </w:r>
            <w:r w:rsidRPr="00025E88">
              <w:t xml:space="preserve"> - what contribution UNDP has made/is making to the progress towards the achievement of the outcome (including an analysis of the partnership strategy). The results of the outcome evaluation will be used for re-focusing the interventions during </w:t>
            </w:r>
            <w:r>
              <w:t xml:space="preserve">new Country Programme (CPD) </w:t>
            </w:r>
            <w:r w:rsidRPr="00025E88">
              <w:t>if necessary</w:t>
            </w:r>
            <w:r>
              <w:t>,</w:t>
            </w:r>
            <w:r w:rsidRPr="00025E88">
              <w:t xml:space="preserve"> and guiding future programming of a similar nature.</w:t>
            </w:r>
          </w:p>
          <w:p w:rsidR="00E415EB" w:rsidRDefault="00E415EB" w:rsidP="00416F6A">
            <w:pPr>
              <w:jc w:val="both"/>
              <w:rPr>
                <w:rFonts w:asciiTheme="majorBidi" w:hAnsiTheme="majorBidi" w:cstheme="majorBidi"/>
                <w:b/>
                <w:bCs/>
                <w:u w:val="single"/>
              </w:rPr>
            </w:pPr>
          </w:p>
          <w:p w:rsidR="00E415EB" w:rsidRPr="00F10C2F" w:rsidRDefault="00E415EB" w:rsidP="00416F6A">
            <w:pPr>
              <w:jc w:val="both"/>
              <w:rPr>
                <w:rFonts w:asciiTheme="majorBidi" w:hAnsiTheme="majorBidi" w:cstheme="majorBidi"/>
                <w:b/>
                <w:bCs/>
                <w:u w:val="single"/>
              </w:rPr>
            </w:pPr>
            <w:r>
              <w:rPr>
                <w:rFonts w:asciiTheme="majorBidi" w:hAnsiTheme="majorBidi" w:cstheme="majorBidi"/>
                <w:b/>
                <w:bCs/>
                <w:u w:val="single"/>
              </w:rPr>
              <w:t>IV</w:t>
            </w:r>
            <w:r w:rsidRPr="00F10C2F">
              <w:rPr>
                <w:rFonts w:asciiTheme="majorBidi" w:hAnsiTheme="majorBidi" w:cstheme="majorBidi"/>
                <w:b/>
                <w:bCs/>
                <w:u w:val="single"/>
              </w:rPr>
              <w:t>)  Scope of the evaluation</w:t>
            </w:r>
            <w:r>
              <w:rPr>
                <w:rFonts w:asciiTheme="majorBidi" w:hAnsiTheme="majorBidi" w:cstheme="majorBidi"/>
                <w:b/>
                <w:bCs/>
                <w:u w:val="single"/>
              </w:rPr>
              <w:t>s</w:t>
            </w:r>
          </w:p>
          <w:p w:rsidR="00E415EB" w:rsidRPr="00025E88" w:rsidRDefault="00E415EB" w:rsidP="00416F6A">
            <w:pPr>
              <w:jc w:val="both"/>
            </w:pPr>
          </w:p>
          <w:p w:rsidR="00E415EB" w:rsidRPr="00025E88" w:rsidRDefault="00E415EB" w:rsidP="0055608D">
            <w:pPr>
              <w:numPr>
                <w:ilvl w:val="0"/>
                <w:numId w:val="17"/>
              </w:numPr>
              <w:jc w:val="both"/>
            </w:pPr>
            <w:r w:rsidRPr="00025E88">
              <w:t xml:space="preserve">This outcome evaluation will be looking at the relevance and contributions of UNDP project activities and </w:t>
            </w:r>
            <w:r>
              <w:t>upstream policy advice</w:t>
            </w:r>
            <w:r w:rsidRPr="00025E88">
              <w:t xml:space="preserve"> efforts with regard to the outcome. Specifically, the outcome evaluation is expected to address the following issues</w:t>
            </w:r>
            <w:r>
              <w:t xml:space="preserve"> along with providing recommendations to achieve the targets and developing lessons learned.</w:t>
            </w:r>
          </w:p>
          <w:p w:rsidR="00E415EB" w:rsidRPr="00025E88" w:rsidRDefault="00E415EB" w:rsidP="00416F6A">
            <w:pPr>
              <w:jc w:val="both"/>
            </w:pPr>
          </w:p>
          <w:p w:rsidR="00E415EB" w:rsidRPr="00025E88" w:rsidRDefault="00E415EB" w:rsidP="00416F6A">
            <w:pPr>
              <w:jc w:val="both"/>
              <w:rPr>
                <w:u w:val="single"/>
              </w:rPr>
            </w:pPr>
            <w:r w:rsidRPr="00025E88">
              <w:rPr>
                <w:u w:val="single"/>
              </w:rPr>
              <w:t>Outcome analysis</w:t>
            </w:r>
          </w:p>
          <w:p w:rsidR="00E415EB" w:rsidRPr="00025E88" w:rsidRDefault="00E415EB" w:rsidP="00416F6A">
            <w:pPr>
              <w:jc w:val="both"/>
            </w:pPr>
          </w:p>
          <w:p w:rsidR="00E415EB" w:rsidRDefault="00E415EB" w:rsidP="0055608D">
            <w:pPr>
              <w:numPr>
                <w:ilvl w:val="0"/>
                <w:numId w:val="15"/>
              </w:numPr>
              <w:jc w:val="both"/>
              <w:rPr>
                <w:color w:val="000000" w:themeColor="text1"/>
              </w:rPr>
            </w:pPr>
            <w:r w:rsidRPr="007F5432">
              <w:rPr>
                <w:color w:val="000000" w:themeColor="text1"/>
              </w:rPr>
              <w:t>How</w:t>
            </w:r>
            <w:r>
              <w:rPr>
                <w:color w:val="000000" w:themeColor="text1"/>
              </w:rPr>
              <w:t xml:space="preserve"> did UNDP outputs contribute to economic diversification of the country?</w:t>
            </w:r>
          </w:p>
          <w:p w:rsidR="00E415EB" w:rsidRPr="00025E88" w:rsidRDefault="00E415EB" w:rsidP="0055608D">
            <w:pPr>
              <w:numPr>
                <w:ilvl w:val="0"/>
                <w:numId w:val="15"/>
              </w:numPr>
              <w:jc w:val="both"/>
            </w:pPr>
            <w:r w:rsidRPr="002F25A0">
              <w:rPr>
                <w:color w:val="000000" w:themeColor="text1"/>
              </w:rPr>
              <w:t xml:space="preserve">How </w:t>
            </w:r>
            <w:r>
              <w:rPr>
                <w:color w:val="000000" w:themeColor="text1"/>
              </w:rPr>
              <w:t>did UNDP outputs contribute to the efficiency of the public sector?</w:t>
            </w:r>
          </w:p>
          <w:p w:rsidR="00E415EB" w:rsidRPr="00025E88" w:rsidRDefault="00E415EB" w:rsidP="00416F6A">
            <w:pPr>
              <w:jc w:val="both"/>
            </w:pPr>
          </w:p>
          <w:p w:rsidR="00E415EB" w:rsidRPr="00025E88" w:rsidRDefault="00E415EB" w:rsidP="00416F6A">
            <w:pPr>
              <w:jc w:val="both"/>
              <w:rPr>
                <w:u w:val="single"/>
              </w:rPr>
            </w:pPr>
            <w:r w:rsidRPr="00025E88">
              <w:rPr>
                <w:u w:val="single"/>
              </w:rPr>
              <w:t>Output analysis</w:t>
            </w:r>
          </w:p>
          <w:p w:rsidR="00E415EB" w:rsidRPr="00025E88" w:rsidRDefault="00E415EB" w:rsidP="00416F6A">
            <w:pPr>
              <w:jc w:val="both"/>
            </w:pPr>
          </w:p>
          <w:p w:rsidR="00E415EB" w:rsidRPr="00025E88" w:rsidRDefault="00E415EB" w:rsidP="0055608D">
            <w:pPr>
              <w:numPr>
                <w:ilvl w:val="0"/>
                <w:numId w:val="16"/>
              </w:numPr>
              <w:jc w:val="both"/>
            </w:pPr>
            <w:r w:rsidRPr="00025E88">
              <w:t xml:space="preserve">Are the UNDP outputs still relevant to </w:t>
            </w:r>
            <w:r>
              <w:t>CP O</w:t>
            </w:r>
            <w:r w:rsidRPr="00025E88">
              <w:t>utcome</w:t>
            </w:r>
            <w:r>
              <w:t>s two and three</w:t>
            </w:r>
            <w:r w:rsidRPr="00025E88">
              <w:t>?</w:t>
            </w:r>
          </w:p>
          <w:p w:rsidR="00E415EB" w:rsidRPr="00025E88" w:rsidRDefault="00E415EB" w:rsidP="0055608D">
            <w:pPr>
              <w:numPr>
                <w:ilvl w:val="0"/>
                <w:numId w:val="16"/>
              </w:numPr>
              <w:jc w:val="both"/>
            </w:pPr>
            <w:r w:rsidRPr="00025E88">
              <w:t>Has sufficient progress been made in relation to the UNDP outputs?</w:t>
            </w:r>
            <w:r w:rsidRPr="00253E0B">
              <w:t xml:space="preserve"> </w:t>
            </w:r>
            <w:r>
              <w:t>What is the likely trajectory of the outputs by end of the CP in 2011?</w:t>
            </w:r>
          </w:p>
          <w:p w:rsidR="00E415EB" w:rsidRPr="00025E88" w:rsidRDefault="00E415EB" w:rsidP="0055608D">
            <w:pPr>
              <w:numPr>
                <w:ilvl w:val="0"/>
                <w:numId w:val="16"/>
              </w:numPr>
              <w:jc w:val="both"/>
            </w:pPr>
            <w:r w:rsidRPr="00025E88">
              <w:t>What are the factors (positive and negative) that affect the accomplishment of the outputs?</w:t>
            </w:r>
          </w:p>
          <w:p w:rsidR="00E415EB" w:rsidRPr="00025E88" w:rsidRDefault="00E415EB" w:rsidP="0055608D">
            <w:pPr>
              <w:numPr>
                <w:ilvl w:val="0"/>
                <w:numId w:val="16"/>
              </w:numPr>
              <w:jc w:val="both"/>
            </w:pPr>
            <w:r w:rsidRPr="00025E88">
              <w:t xml:space="preserve">Assessment of UNDP’s ability to advocate best practices and desired goals; UNDP’s role and participation in national debate and ability to influence national </w:t>
            </w:r>
            <w:r>
              <w:t xml:space="preserve">and local </w:t>
            </w:r>
            <w:r w:rsidRPr="00025E88">
              <w:t>policies on sustainable development.</w:t>
            </w:r>
          </w:p>
          <w:p w:rsidR="00E415EB" w:rsidRPr="00025E88" w:rsidRDefault="00E415EB" w:rsidP="00416F6A">
            <w:pPr>
              <w:jc w:val="both"/>
            </w:pPr>
          </w:p>
          <w:p w:rsidR="00E415EB" w:rsidRPr="00025E88" w:rsidRDefault="00E415EB" w:rsidP="00416F6A">
            <w:pPr>
              <w:jc w:val="both"/>
              <w:rPr>
                <w:u w:val="single"/>
              </w:rPr>
            </w:pPr>
            <w:r w:rsidRPr="00025E88">
              <w:rPr>
                <w:u w:val="single"/>
              </w:rPr>
              <w:t>Output-outcome link</w:t>
            </w:r>
          </w:p>
          <w:p w:rsidR="00E415EB" w:rsidRPr="00025E88" w:rsidRDefault="00E415EB" w:rsidP="00416F6A">
            <w:pPr>
              <w:jc w:val="both"/>
            </w:pPr>
          </w:p>
          <w:p w:rsidR="00E415EB" w:rsidRPr="00025E88" w:rsidRDefault="00E415EB" w:rsidP="0055608D">
            <w:pPr>
              <w:numPr>
                <w:ilvl w:val="0"/>
                <w:numId w:val="17"/>
              </w:numPr>
              <w:jc w:val="both"/>
            </w:pPr>
            <w:r w:rsidRPr="00025E88">
              <w:t>Whether UNDP’s outputs or other interventions can be credibly linked to the achievement of the outcome (including the key outputs, projects and assistance soft and hard that contributed to the outcome);</w:t>
            </w:r>
          </w:p>
          <w:p w:rsidR="00E415EB" w:rsidRDefault="00E415EB" w:rsidP="0055608D">
            <w:pPr>
              <w:numPr>
                <w:ilvl w:val="0"/>
                <w:numId w:val="17"/>
              </w:numPr>
              <w:jc w:val="both"/>
            </w:pPr>
            <w:r w:rsidRPr="00025E88">
              <w:t xml:space="preserve">What has been the role of UNDP soft-assistance activities in helping achieve the outcome? </w:t>
            </w:r>
          </w:p>
          <w:p w:rsidR="00E415EB" w:rsidRPr="00025E88" w:rsidRDefault="00E415EB" w:rsidP="0055608D">
            <w:pPr>
              <w:numPr>
                <w:ilvl w:val="0"/>
                <w:numId w:val="17"/>
              </w:numPr>
              <w:jc w:val="both"/>
            </w:pPr>
            <w:r w:rsidRPr="00025E88">
              <w:t>With the current planned interventions in partnership with other actors and stakeholders, will UNDP be able to achieve the outcome within the set timeframe and inputs – or whether additional resources are required and new or changed interventions are needed?</w:t>
            </w:r>
          </w:p>
          <w:p w:rsidR="00E415EB" w:rsidRPr="00025E88" w:rsidRDefault="00E415EB" w:rsidP="0055608D">
            <w:pPr>
              <w:numPr>
                <w:ilvl w:val="0"/>
                <w:numId w:val="17"/>
              </w:numPr>
              <w:jc w:val="both"/>
            </w:pPr>
            <w:r w:rsidRPr="00025E88">
              <w:t xml:space="preserve">Whether UNDP’s partnership strategy has been appropriate and effective. Has UNDP been able to bring together various partners across sectoral lines to address </w:t>
            </w:r>
            <w:r>
              <w:t>economic diversity and efficiency</w:t>
            </w:r>
            <w:r w:rsidRPr="00025E88">
              <w:t xml:space="preserve"> concerns in a holistic manner? </w:t>
            </w:r>
          </w:p>
          <w:p w:rsidR="00E415EB" w:rsidRDefault="00E415EB" w:rsidP="0055608D">
            <w:pPr>
              <w:numPr>
                <w:ilvl w:val="0"/>
                <w:numId w:val="17"/>
              </w:numPr>
              <w:jc w:val="both"/>
            </w:pPr>
            <w:r w:rsidRPr="00025E88">
              <w:t>What is the prospect of the sustainability of UNDP interventions related to the outcome? Can it be ensured that outcome will be reached and maintained even after the UNDP intervention?</w:t>
            </w:r>
          </w:p>
          <w:p w:rsidR="00E415EB" w:rsidRPr="00025E88" w:rsidRDefault="00E415EB" w:rsidP="00416F6A">
            <w:pPr>
              <w:jc w:val="both"/>
            </w:pPr>
          </w:p>
          <w:p w:rsidR="00E415EB" w:rsidRPr="00F10C2F" w:rsidRDefault="00E415EB" w:rsidP="00416F6A">
            <w:pPr>
              <w:jc w:val="both"/>
              <w:rPr>
                <w:rFonts w:asciiTheme="majorBidi" w:hAnsiTheme="majorBidi" w:cstheme="majorBidi"/>
                <w:b/>
                <w:bCs/>
                <w:u w:val="single"/>
              </w:rPr>
            </w:pPr>
            <w:r>
              <w:rPr>
                <w:rFonts w:asciiTheme="majorBidi" w:hAnsiTheme="majorBidi" w:cstheme="majorBidi"/>
                <w:b/>
                <w:bCs/>
                <w:u w:val="single"/>
              </w:rPr>
              <w:t>V</w:t>
            </w:r>
            <w:r w:rsidRPr="00F10C2F">
              <w:rPr>
                <w:rFonts w:asciiTheme="majorBidi" w:hAnsiTheme="majorBidi" w:cstheme="majorBidi"/>
                <w:b/>
                <w:bCs/>
                <w:u w:val="single"/>
              </w:rPr>
              <w:t>)  Products expected from the evaluation</w:t>
            </w:r>
            <w:r>
              <w:rPr>
                <w:rFonts w:asciiTheme="majorBidi" w:hAnsiTheme="majorBidi" w:cstheme="majorBidi"/>
                <w:b/>
                <w:bCs/>
                <w:u w:val="single"/>
              </w:rPr>
              <w:t>s</w:t>
            </w:r>
          </w:p>
          <w:p w:rsidR="00E415EB" w:rsidRPr="00025E88" w:rsidRDefault="00E415EB" w:rsidP="00416F6A">
            <w:pPr>
              <w:jc w:val="both"/>
            </w:pPr>
          </w:p>
          <w:p w:rsidR="00E415EB" w:rsidRPr="00025E88" w:rsidRDefault="00E415EB" w:rsidP="00416F6A">
            <w:pPr>
              <w:jc w:val="both"/>
            </w:pPr>
            <w:r w:rsidRPr="00025E88">
              <w:t>The key product</w:t>
            </w:r>
            <w:r>
              <w:t>s expected from these</w:t>
            </w:r>
            <w:r w:rsidRPr="00025E88">
              <w:t xml:space="preserve"> outcome evaluation</w:t>
            </w:r>
            <w:r>
              <w:t>s are</w:t>
            </w:r>
            <w:r w:rsidRPr="00025E88">
              <w:t xml:space="preserve"> </w:t>
            </w:r>
            <w:r>
              <w:t xml:space="preserve">two </w:t>
            </w:r>
            <w:r w:rsidRPr="00025E88">
              <w:t>comprehensive analytical report</w:t>
            </w:r>
            <w:r>
              <w:t>s</w:t>
            </w:r>
            <w:r w:rsidRPr="00025E88">
              <w:t xml:space="preserve"> in English that should, at least, include the following contents:</w:t>
            </w:r>
          </w:p>
          <w:p w:rsidR="00E415EB" w:rsidRPr="00025E88" w:rsidRDefault="00E415EB" w:rsidP="00416F6A">
            <w:pPr>
              <w:jc w:val="both"/>
            </w:pPr>
          </w:p>
          <w:p w:rsidR="00E415EB" w:rsidRDefault="00E415EB" w:rsidP="0055608D">
            <w:pPr>
              <w:numPr>
                <w:ilvl w:val="0"/>
                <w:numId w:val="18"/>
              </w:numPr>
              <w:jc w:val="both"/>
            </w:pPr>
            <w:r>
              <w:t>Final report on each of the outcomes which includes:</w:t>
            </w:r>
          </w:p>
          <w:p w:rsidR="00E415EB" w:rsidRPr="00025E88" w:rsidRDefault="00E415EB" w:rsidP="0055608D">
            <w:pPr>
              <w:numPr>
                <w:ilvl w:val="1"/>
                <w:numId w:val="19"/>
              </w:numPr>
              <w:jc w:val="both"/>
            </w:pPr>
            <w:r w:rsidRPr="00025E88">
              <w:t>Executive summary</w:t>
            </w:r>
          </w:p>
          <w:p w:rsidR="00E415EB" w:rsidRPr="00025E88" w:rsidRDefault="00E415EB" w:rsidP="0055608D">
            <w:pPr>
              <w:numPr>
                <w:ilvl w:val="1"/>
                <w:numId w:val="19"/>
              </w:numPr>
              <w:jc w:val="both"/>
            </w:pPr>
            <w:r w:rsidRPr="00025E88">
              <w:t>Introduction</w:t>
            </w:r>
          </w:p>
          <w:p w:rsidR="00E415EB" w:rsidRPr="00025E88" w:rsidRDefault="00E415EB" w:rsidP="0055608D">
            <w:pPr>
              <w:numPr>
                <w:ilvl w:val="1"/>
                <w:numId w:val="19"/>
              </w:numPr>
              <w:jc w:val="both"/>
            </w:pPr>
            <w:r w:rsidRPr="00025E88">
              <w:t>Description of the evaluation methodology</w:t>
            </w:r>
          </w:p>
          <w:p w:rsidR="00E415EB" w:rsidRPr="00025E88" w:rsidRDefault="00E415EB" w:rsidP="0055608D">
            <w:pPr>
              <w:numPr>
                <w:ilvl w:val="1"/>
                <w:numId w:val="19"/>
              </w:numPr>
              <w:jc w:val="both"/>
            </w:pPr>
            <w:r w:rsidRPr="00025E88">
              <w:t>An analysis of the situation with regard to the outcome, the outputs and the partnership strategy;</w:t>
            </w:r>
          </w:p>
          <w:p w:rsidR="00E415EB" w:rsidRDefault="00E415EB" w:rsidP="0055608D">
            <w:pPr>
              <w:numPr>
                <w:ilvl w:val="1"/>
                <w:numId w:val="19"/>
              </w:numPr>
              <w:jc w:val="both"/>
            </w:pPr>
            <w:r w:rsidRPr="00025E88">
              <w:t>Key findings (including best practice and lessons learned)</w:t>
            </w:r>
          </w:p>
          <w:p w:rsidR="00E415EB" w:rsidRPr="00B5680B" w:rsidRDefault="00E415EB" w:rsidP="0055608D">
            <w:pPr>
              <w:pStyle w:val="ListParagraph"/>
              <w:numPr>
                <w:ilvl w:val="1"/>
                <w:numId w:val="19"/>
              </w:numPr>
              <w:jc w:val="both"/>
            </w:pPr>
            <w:r w:rsidRPr="00B5680B">
              <w:t xml:space="preserve">Strategies and recommendations for continued UNDP assistance towards the achievement of </w:t>
            </w:r>
            <w:r w:rsidRPr="00B5680B">
              <w:lastRenderedPageBreak/>
              <w:t>the outcome</w:t>
            </w:r>
          </w:p>
          <w:p w:rsidR="00E415EB" w:rsidRPr="00025E88" w:rsidRDefault="00E415EB" w:rsidP="0055608D">
            <w:pPr>
              <w:numPr>
                <w:ilvl w:val="1"/>
                <w:numId w:val="19"/>
              </w:numPr>
              <w:jc w:val="both"/>
            </w:pPr>
            <w:r w:rsidRPr="00025E88">
              <w:t>Conclusions and recommendations</w:t>
            </w:r>
          </w:p>
          <w:p w:rsidR="00E415EB" w:rsidRPr="00025E88" w:rsidRDefault="00E415EB" w:rsidP="0055608D">
            <w:pPr>
              <w:numPr>
                <w:ilvl w:val="1"/>
                <w:numId w:val="19"/>
              </w:numPr>
              <w:jc w:val="both"/>
            </w:pPr>
            <w:r w:rsidRPr="00025E88">
              <w:t>Annexes: TOR, field visits, people interviewed, documents reviewed, etc.</w:t>
            </w:r>
          </w:p>
          <w:p w:rsidR="00E415EB" w:rsidRPr="00025E88" w:rsidRDefault="00E415EB" w:rsidP="00416F6A">
            <w:pPr>
              <w:jc w:val="both"/>
            </w:pPr>
          </w:p>
          <w:p w:rsidR="00E415EB" w:rsidRPr="00025E88" w:rsidRDefault="00E415EB" w:rsidP="00416F6A">
            <w:pPr>
              <w:jc w:val="both"/>
            </w:pPr>
            <w:r w:rsidRPr="00025E88">
              <w:t xml:space="preserve">(See the </w:t>
            </w:r>
            <w:r w:rsidRPr="00025E88">
              <w:rPr>
                <w:i/>
                <w:u w:val="single"/>
              </w:rPr>
              <w:t>UNDP Guidelines for Outcome Evaluators</w:t>
            </w:r>
            <w:r w:rsidRPr="00025E88">
              <w:t xml:space="preserve"> for a detailed guidance on the preparation of an outcome evaluation report).</w:t>
            </w:r>
          </w:p>
          <w:p w:rsidR="00E415EB" w:rsidRPr="00025E88" w:rsidRDefault="00E415EB" w:rsidP="00416F6A">
            <w:pPr>
              <w:jc w:val="both"/>
            </w:pPr>
          </w:p>
          <w:p w:rsidR="00E415EB" w:rsidRPr="00F10C2F" w:rsidRDefault="00E415EB" w:rsidP="00416F6A">
            <w:pPr>
              <w:jc w:val="both"/>
              <w:rPr>
                <w:rFonts w:asciiTheme="majorBidi" w:hAnsiTheme="majorBidi" w:cstheme="majorBidi"/>
                <w:b/>
                <w:bCs/>
                <w:u w:val="single"/>
              </w:rPr>
            </w:pPr>
            <w:r>
              <w:rPr>
                <w:rFonts w:asciiTheme="majorBidi" w:hAnsiTheme="majorBidi" w:cstheme="majorBidi"/>
                <w:b/>
                <w:bCs/>
                <w:u w:val="single"/>
              </w:rPr>
              <w:t>VI</w:t>
            </w:r>
            <w:r w:rsidRPr="00F10C2F">
              <w:rPr>
                <w:rFonts w:asciiTheme="majorBidi" w:hAnsiTheme="majorBidi" w:cstheme="majorBidi"/>
                <w:b/>
                <w:bCs/>
                <w:u w:val="single"/>
              </w:rPr>
              <w:t>) Methodology or evaluation approach</w:t>
            </w:r>
          </w:p>
          <w:p w:rsidR="00E415EB" w:rsidRPr="00025E88" w:rsidRDefault="00E415EB" w:rsidP="00416F6A">
            <w:pPr>
              <w:jc w:val="both"/>
            </w:pPr>
          </w:p>
          <w:p w:rsidR="00E415EB" w:rsidRPr="00025E88" w:rsidRDefault="00E415EB" w:rsidP="00416F6A">
            <w:pPr>
              <w:jc w:val="both"/>
            </w:pPr>
            <w:r w:rsidRPr="00025E88">
              <w:t xml:space="preserve">An overall guidance on outcome evaluation methodology can be found in the </w:t>
            </w:r>
            <w:r w:rsidRPr="00025E88">
              <w:rPr>
                <w:i/>
                <w:u w:val="single"/>
              </w:rPr>
              <w:t>UNDP Handbook on Monitoring and Evaluating for Results</w:t>
            </w:r>
            <w:r w:rsidRPr="00025E88">
              <w:t xml:space="preserve"> and the </w:t>
            </w:r>
            <w:r w:rsidRPr="00025E88">
              <w:rPr>
                <w:i/>
                <w:u w:val="single"/>
              </w:rPr>
              <w:t>UNDP Guidelines for Outcome Evaluators</w:t>
            </w:r>
            <w:r w:rsidRPr="00025E88">
              <w:t>. The evaluators should study those two documents very carefully before they come up with the concrete methodology for the outcome evaluation.</w:t>
            </w:r>
          </w:p>
          <w:p w:rsidR="00E415EB" w:rsidRPr="00025E88" w:rsidRDefault="00E415EB" w:rsidP="00416F6A">
            <w:pPr>
              <w:jc w:val="both"/>
            </w:pPr>
          </w:p>
          <w:p w:rsidR="00E415EB" w:rsidRDefault="00E415EB" w:rsidP="00416F6A">
            <w:r w:rsidRPr="00025E88">
              <w:t>Specifically, during the outcome evaluation, the evaluators are expected to apply the following approaches for data collection and analysis: (i) desk review of existing documents and materials, (ii) interviews with partners and stakeholders (including what the partners have achieved with regard to the outcome and what s</w:t>
            </w:r>
            <w:r>
              <w:t>trategies they have used, and (iii</w:t>
            </w:r>
            <w:r w:rsidRPr="00025E88">
              <w:t xml:space="preserve">) briefing and debriefing sessions with UNDP and the government, as well as with </w:t>
            </w:r>
            <w:r>
              <w:t>other partners</w:t>
            </w:r>
            <w:r w:rsidRPr="00025E88">
              <w:t>.</w:t>
            </w:r>
          </w:p>
          <w:p w:rsidR="00E415EB" w:rsidRPr="00F15644" w:rsidRDefault="00E415EB" w:rsidP="00416F6A">
            <w:pPr>
              <w:jc w:val="both"/>
            </w:pPr>
            <w:r w:rsidRPr="00F15644">
              <w:t>Specifically, the consultant will perform the following tasks:</w:t>
            </w:r>
          </w:p>
          <w:p w:rsidR="00E415EB" w:rsidRDefault="00E415EB" w:rsidP="00416F6A">
            <w:pPr>
              <w:jc w:val="both"/>
              <w:rPr>
                <w:color w:val="00B0F0"/>
              </w:rPr>
            </w:pPr>
          </w:p>
          <w:p w:rsidR="00E415EB" w:rsidRPr="00C34AE2" w:rsidRDefault="00E415EB" w:rsidP="0055608D">
            <w:pPr>
              <w:numPr>
                <w:ilvl w:val="0"/>
                <w:numId w:val="25"/>
              </w:numPr>
              <w:jc w:val="both"/>
            </w:pPr>
            <w:r w:rsidRPr="00C34AE2">
              <w:t>Evaluation preparation, e.g., design, approach, document review, focus of the Evaluation efforts (past or future orientation etc.);</w:t>
            </w:r>
          </w:p>
          <w:p w:rsidR="00E415EB" w:rsidRPr="00C34AE2" w:rsidRDefault="00E415EB" w:rsidP="0055608D">
            <w:pPr>
              <w:numPr>
                <w:ilvl w:val="0"/>
                <w:numId w:val="25"/>
              </w:numPr>
              <w:jc w:val="both"/>
            </w:pPr>
            <w:r w:rsidRPr="00C34AE2">
              <w:t>Realistic scoping of the Evaluation (e.g., format, contents, and length of the Evaluation report, level of details expected including the amount of quantitative data, roles and participation of key partners), within the available resources (time and financial budget etc.);</w:t>
            </w:r>
          </w:p>
          <w:p w:rsidR="00E415EB" w:rsidRPr="00C34AE2" w:rsidRDefault="00E415EB" w:rsidP="0055608D">
            <w:pPr>
              <w:numPr>
                <w:ilvl w:val="0"/>
                <w:numId w:val="25"/>
              </w:numPr>
              <w:jc w:val="both"/>
            </w:pPr>
            <w:r w:rsidRPr="00C34AE2">
              <w:t>Interviews with partners and stakeholders;</w:t>
            </w:r>
          </w:p>
          <w:p w:rsidR="00E415EB" w:rsidRPr="00C34AE2" w:rsidRDefault="00E415EB" w:rsidP="0055608D">
            <w:pPr>
              <w:numPr>
                <w:ilvl w:val="0"/>
                <w:numId w:val="25"/>
              </w:numPr>
              <w:jc w:val="both"/>
            </w:pPr>
            <w:r w:rsidRPr="00C34AE2">
              <w:t>Implementation of the Evaluation;</w:t>
            </w:r>
          </w:p>
          <w:p w:rsidR="00E415EB" w:rsidRPr="00C34AE2" w:rsidRDefault="00E415EB" w:rsidP="0055608D">
            <w:pPr>
              <w:numPr>
                <w:ilvl w:val="0"/>
                <w:numId w:val="25"/>
              </w:numPr>
              <w:jc w:val="both"/>
            </w:pPr>
            <w:r w:rsidRPr="00C34AE2">
              <w:t>Focusing on the institutional aspects, across the levels of institutions from policy to legislation, regulation, and organizations;  assessing institutional capacity and incentives;  and assessing complex situations in order to succinctly and clearly distill critical issues and draw forward looking conclusions;</w:t>
            </w:r>
          </w:p>
          <w:p w:rsidR="00E415EB" w:rsidRPr="00C34AE2" w:rsidRDefault="00E415EB" w:rsidP="0055608D">
            <w:pPr>
              <w:numPr>
                <w:ilvl w:val="0"/>
                <w:numId w:val="25"/>
              </w:numPr>
              <w:jc w:val="both"/>
            </w:pPr>
            <w:r w:rsidRPr="00C34AE2">
              <w:t>Final report writing to meet the objectives of the Evaluation TOR. Realistic scoping of the Evaluation (e.g., format, contents, and length of the Evaluation report, level of details expected including the amount of quantitative data, roles and participation of key partners), within the available resources (time and financial budget etc.);</w:t>
            </w:r>
          </w:p>
          <w:p w:rsidR="00E415EB" w:rsidRPr="00F15644" w:rsidRDefault="00E415EB" w:rsidP="00416F6A">
            <w:pPr>
              <w:jc w:val="both"/>
            </w:pPr>
          </w:p>
          <w:p w:rsidR="00E415EB" w:rsidRPr="00F15644" w:rsidRDefault="00E415EB" w:rsidP="00416F6A">
            <w:pPr>
              <w:jc w:val="both"/>
            </w:pPr>
          </w:p>
          <w:p w:rsidR="00E415EB" w:rsidRPr="00F10C2F" w:rsidRDefault="00E415EB" w:rsidP="00416F6A">
            <w:pPr>
              <w:jc w:val="both"/>
              <w:rPr>
                <w:rFonts w:asciiTheme="majorBidi" w:hAnsiTheme="majorBidi" w:cstheme="majorBidi"/>
                <w:b/>
                <w:bCs/>
                <w:u w:val="single"/>
              </w:rPr>
            </w:pPr>
            <w:r>
              <w:rPr>
                <w:rFonts w:asciiTheme="majorBidi" w:hAnsiTheme="majorBidi" w:cstheme="majorBidi"/>
                <w:b/>
                <w:bCs/>
                <w:u w:val="single"/>
              </w:rPr>
              <w:t>VI</w:t>
            </w:r>
            <w:r w:rsidRPr="00F10C2F">
              <w:rPr>
                <w:rFonts w:asciiTheme="majorBidi" w:hAnsiTheme="majorBidi" w:cstheme="majorBidi"/>
                <w:b/>
                <w:bCs/>
                <w:u w:val="single"/>
              </w:rPr>
              <w:t>I)  Implementation arrangements</w:t>
            </w:r>
          </w:p>
          <w:p w:rsidR="00E415EB" w:rsidRPr="00F15644" w:rsidRDefault="00E415EB" w:rsidP="00416F6A">
            <w:pPr>
              <w:jc w:val="both"/>
            </w:pPr>
          </w:p>
          <w:p w:rsidR="00E415EB" w:rsidRPr="00F15644" w:rsidRDefault="00E415EB" w:rsidP="00416F6A">
            <w:pPr>
              <w:jc w:val="both"/>
            </w:pPr>
            <w:r w:rsidRPr="00F15644">
              <w:t xml:space="preserve">To facilitate the outcome evaluation, UNDP Saudi Arabia will set up </w:t>
            </w:r>
            <w:r>
              <w:t>an</w:t>
            </w:r>
            <w:r w:rsidRPr="00F15644">
              <w:t xml:space="preserve"> Evaluation Focal Team (EFT), which will provide substantive support to the evaluation consultant and will help identify the key partners for interviews as well as providing the consultant with background materials. The EFT will review and comment on the draft evaluation reports submitted by the consultant.</w:t>
            </w:r>
            <w:r>
              <w:t xml:space="preserve"> The EFT will </w:t>
            </w:r>
            <w:r>
              <w:lastRenderedPageBreak/>
              <w:t>consist of members of the Programme Team (which manages all programmes on daily basis) and UNDP Assistant Resident Representative in charge of Monitoring and Evaluation who will serve as chair of the EFT.</w:t>
            </w:r>
          </w:p>
          <w:p w:rsidR="00E415EB" w:rsidRPr="00F15644" w:rsidRDefault="00E415EB" w:rsidP="00416F6A">
            <w:pPr>
              <w:jc w:val="both"/>
            </w:pPr>
          </w:p>
          <w:p w:rsidR="00E415EB" w:rsidRPr="00F15644" w:rsidRDefault="00E415EB" w:rsidP="00416F6A">
            <w:pPr>
              <w:jc w:val="both"/>
            </w:pPr>
            <w:r w:rsidRPr="00F15644">
              <w:t xml:space="preserve">A total of about </w:t>
            </w:r>
            <w:r>
              <w:t>46</w:t>
            </w:r>
            <w:r w:rsidRPr="00F15644">
              <w:t xml:space="preserve"> work days are required for the evaluation</w:t>
            </w:r>
            <w:r>
              <w:t xml:space="preserve"> (paired with another)</w:t>
            </w:r>
            <w:r w:rsidRPr="00F15644">
              <w:t>, which are broken down as follows:</w:t>
            </w:r>
          </w:p>
          <w:p w:rsidR="00E415EB" w:rsidRPr="00F15644" w:rsidRDefault="00E415EB" w:rsidP="00416F6A">
            <w:pPr>
              <w:jc w:val="both"/>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2"/>
              <w:gridCol w:w="4622"/>
            </w:tblGrid>
            <w:tr w:rsidR="00E415EB" w:rsidRPr="00F15644" w:rsidTr="00416F6A">
              <w:tc>
                <w:tcPr>
                  <w:tcW w:w="4622" w:type="dxa"/>
                </w:tcPr>
                <w:p w:rsidR="00E415EB" w:rsidRPr="00F15644" w:rsidRDefault="00E415EB" w:rsidP="00416F6A">
                  <w:pPr>
                    <w:spacing w:after="0"/>
                    <w:jc w:val="center"/>
                    <w:rPr>
                      <w:b/>
                    </w:rPr>
                  </w:pPr>
                  <w:r w:rsidRPr="00F15644">
                    <w:rPr>
                      <w:b/>
                    </w:rPr>
                    <w:t>Activity</w:t>
                  </w:r>
                  <w:r>
                    <w:rPr>
                      <w:b/>
                    </w:rPr>
                    <w:t>, two Outcome Evaluations</w:t>
                  </w:r>
                </w:p>
              </w:tc>
              <w:tc>
                <w:tcPr>
                  <w:tcW w:w="4622" w:type="dxa"/>
                </w:tcPr>
                <w:p w:rsidR="00E415EB" w:rsidRDefault="00E415EB" w:rsidP="00416F6A">
                  <w:pPr>
                    <w:spacing w:after="0"/>
                    <w:jc w:val="center"/>
                    <w:rPr>
                      <w:b/>
                    </w:rPr>
                  </w:pPr>
                  <w:r>
                    <w:rPr>
                      <w:b/>
                    </w:rPr>
                    <w:t>Suggested t</w:t>
                  </w:r>
                  <w:r w:rsidRPr="00F15644">
                    <w:rPr>
                      <w:b/>
                    </w:rPr>
                    <w:t>imeframe and responsible party</w:t>
                  </w:r>
                </w:p>
              </w:tc>
            </w:tr>
            <w:tr w:rsidR="00E415EB" w:rsidRPr="00F15644" w:rsidTr="00416F6A">
              <w:tc>
                <w:tcPr>
                  <w:tcW w:w="4622" w:type="dxa"/>
                </w:tcPr>
                <w:p w:rsidR="00E415EB" w:rsidRPr="00F15644" w:rsidRDefault="00E415EB" w:rsidP="00416F6A">
                  <w:pPr>
                    <w:spacing w:after="0"/>
                    <w:jc w:val="both"/>
                  </w:pPr>
                  <w:r w:rsidRPr="00F15644">
                    <w:t>Briefing with UNDP Saudi Arabia</w:t>
                  </w:r>
                </w:p>
              </w:tc>
              <w:tc>
                <w:tcPr>
                  <w:tcW w:w="4622" w:type="dxa"/>
                </w:tcPr>
                <w:p w:rsidR="00E415EB" w:rsidRPr="00F15644" w:rsidRDefault="00E415EB" w:rsidP="00416F6A">
                  <w:pPr>
                    <w:spacing w:after="0"/>
                    <w:jc w:val="both"/>
                  </w:pPr>
                  <w:r w:rsidRPr="00F15644">
                    <w:t>0.5 day, by UNDP Evaluation Focal Team</w:t>
                  </w:r>
                </w:p>
              </w:tc>
            </w:tr>
            <w:tr w:rsidR="00E415EB" w:rsidRPr="00F15644" w:rsidTr="00416F6A">
              <w:tc>
                <w:tcPr>
                  <w:tcW w:w="4622" w:type="dxa"/>
                </w:tcPr>
                <w:p w:rsidR="00E415EB" w:rsidRPr="00F15644" w:rsidRDefault="00E415EB" w:rsidP="00416F6A">
                  <w:pPr>
                    <w:spacing w:after="0"/>
                    <w:jc w:val="both"/>
                  </w:pPr>
                  <w:r w:rsidRPr="00F15644">
                    <w:t>Desk review of existing documents</w:t>
                  </w:r>
                  <w:r>
                    <w:t>, develop</w:t>
                  </w:r>
                  <w:r w:rsidRPr="00C34AE2">
                    <w:t xml:space="preserve"> Evaluation design (schedule, scope, methodology, forward-looking strategy, information and documents needed, their availability and alternatives, partners and agencies to meet); data collection</w:t>
                  </w:r>
                </w:p>
              </w:tc>
              <w:tc>
                <w:tcPr>
                  <w:tcW w:w="4622" w:type="dxa"/>
                </w:tcPr>
                <w:p w:rsidR="00E415EB" w:rsidRPr="00F15644" w:rsidRDefault="00E415EB" w:rsidP="00416F6A">
                  <w:pPr>
                    <w:spacing w:after="0"/>
                    <w:jc w:val="both"/>
                  </w:pPr>
                  <w:r>
                    <w:t xml:space="preserve">10 days, </w:t>
                  </w:r>
                  <w:r w:rsidRPr="00F15644">
                    <w:t>by the Consultant</w:t>
                  </w:r>
                </w:p>
              </w:tc>
            </w:tr>
            <w:tr w:rsidR="00E415EB" w:rsidRPr="00F15644" w:rsidTr="00416F6A">
              <w:tc>
                <w:tcPr>
                  <w:tcW w:w="4622" w:type="dxa"/>
                </w:tcPr>
                <w:p w:rsidR="00E415EB" w:rsidRPr="00F15644" w:rsidRDefault="00E415EB" w:rsidP="00416F6A">
                  <w:pPr>
                    <w:spacing w:after="0"/>
                    <w:jc w:val="both"/>
                  </w:pPr>
                  <w:r w:rsidRPr="00F15644">
                    <w:t>Interviews with partners</w:t>
                  </w:r>
                </w:p>
              </w:tc>
              <w:tc>
                <w:tcPr>
                  <w:tcW w:w="4622" w:type="dxa"/>
                </w:tcPr>
                <w:p w:rsidR="00E415EB" w:rsidRPr="00F15644" w:rsidRDefault="00E415EB" w:rsidP="00416F6A">
                  <w:pPr>
                    <w:spacing w:after="0"/>
                    <w:jc w:val="both"/>
                  </w:pPr>
                  <w:r>
                    <w:t>6</w:t>
                  </w:r>
                  <w:r w:rsidRPr="00F15644">
                    <w:t xml:space="preserve"> days, by the Consultant</w:t>
                  </w:r>
                </w:p>
              </w:tc>
            </w:tr>
            <w:tr w:rsidR="00E415EB" w:rsidRPr="00F15644" w:rsidTr="00416F6A">
              <w:tc>
                <w:tcPr>
                  <w:tcW w:w="4622" w:type="dxa"/>
                </w:tcPr>
                <w:p w:rsidR="00E415EB" w:rsidRPr="00F15644" w:rsidRDefault="00E415EB" w:rsidP="00416F6A">
                  <w:pPr>
                    <w:spacing w:after="0"/>
                    <w:jc w:val="both"/>
                  </w:pPr>
                  <w:r w:rsidRPr="00F15644">
                    <w:t>Debriefing with UNDP Saudi Arabia</w:t>
                  </w:r>
                </w:p>
              </w:tc>
              <w:tc>
                <w:tcPr>
                  <w:tcW w:w="4622" w:type="dxa"/>
                </w:tcPr>
                <w:p w:rsidR="00E415EB" w:rsidRPr="00F15644" w:rsidRDefault="00E415EB" w:rsidP="00416F6A">
                  <w:pPr>
                    <w:spacing w:after="0"/>
                    <w:jc w:val="both"/>
                  </w:pPr>
                  <w:r w:rsidRPr="00F15644">
                    <w:t>0.5 day, UNDP and the Consultant</w:t>
                  </w:r>
                </w:p>
              </w:tc>
            </w:tr>
            <w:tr w:rsidR="00E415EB" w:rsidRPr="00F15644" w:rsidTr="00416F6A">
              <w:tc>
                <w:tcPr>
                  <w:tcW w:w="4622" w:type="dxa"/>
                </w:tcPr>
                <w:p w:rsidR="00E415EB" w:rsidRPr="00F15644" w:rsidRDefault="00E415EB" w:rsidP="00416F6A">
                  <w:pPr>
                    <w:spacing w:after="0"/>
                    <w:jc w:val="both"/>
                  </w:pPr>
                  <w:r w:rsidRPr="00F15644">
                    <w:t>Drafting of the evaluation report</w:t>
                  </w:r>
                  <w:r>
                    <w:t>s</w:t>
                  </w:r>
                  <w:r w:rsidRPr="00F15644">
                    <w:t xml:space="preserve"> and submi</w:t>
                  </w:r>
                  <w:r>
                    <w:t>ssion of</w:t>
                  </w:r>
                  <w:r w:rsidRPr="00F15644">
                    <w:t xml:space="preserve"> 1</w:t>
                  </w:r>
                  <w:r w:rsidRPr="00F15644">
                    <w:rPr>
                      <w:vertAlign w:val="superscript"/>
                    </w:rPr>
                    <w:t>st</w:t>
                  </w:r>
                  <w:r w:rsidRPr="00F15644">
                    <w:t xml:space="preserve"> draft</w:t>
                  </w:r>
                  <w:r>
                    <w:t>s</w:t>
                  </w:r>
                </w:p>
              </w:tc>
              <w:tc>
                <w:tcPr>
                  <w:tcW w:w="4622" w:type="dxa"/>
                </w:tcPr>
                <w:p w:rsidR="00E415EB" w:rsidRPr="00F15644" w:rsidRDefault="00E415EB" w:rsidP="00416F6A">
                  <w:pPr>
                    <w:spacing w:after="0"/>
                    <w:jc w:val="both"/>
                  </w:pPr>
                  <w:r w:rsidRPr="00F15644">
                    <w:t>1</w:t>
                  </w:r>
                  <w:r>
                    <w:t>5</w:t>
                  </w:r>
                  <w:r w:rsidRPr="00F15644">
                    <w:t xml:space="preserve"> days, by the Consultant </w:t>
                  </w:r>
                </w:p>
              </w:tc>
            </w:tr>
            <w:tr w:rsidR="00E415EB" w:rsidRPr="00F15644" w:rsidTr="00416F6A">
              <w:tc>
                <w:tcPr>
                  <w:tcW w:w="4622" w:type="dxa"/>
                </w:tcPr>
                <w:p w:rsidR="00E415EB" w:rsidRPr="00F15644" w:rsidRDefault="00E415EB" w:rsidP="00416F6A">
                  <w:pPr>
                    <w:spacing w:after="0"/>
                    <w:jc w:val="both"/>
                  </w:pPr>
                  <w:r w:rsidRPr="00F15644">
                    <w:t>Review First Draft</w:t>
                  </w:r>
                  <w:r>
                    <w:t>s</w:t>
                  </w:r>
                  <w:r w:rsidRPr="00F15644">
                    <w:t xml:space="preserve"> </w:t>
                  </w:r>
                </w:p>
              </w:tc>
              <w:tc>
                <w:tcPr>
                  <w:tcW w:w="4622" w:type="dxa"/>
                </w:tcPr>
                <w:p w:rsidR="00E415EB" w:rsidRPr="00F15644" w:rsidRDefault="00E415EB" w:rsidP="00416F6A">
                  <w:pPr>
                    <w:spacing w:after="0"/>
                    <w:jc w:val="both"/>
                  </w:pPr>
                  <w:r w:rsidRPr="00F15644">
                    <w:t>2 days, by UNDP Evaluation Focal Team</w:t>
                  </w:r>
                </w:p>
              </w:tc>
            </w:tr>
            <w:tr w:rsidR="00E415EB" w:rsidRPr="00F15644" w:rsidTr="00416F6A">
              <w:tc>
                <w:tcPr>
                  <w:tcW w:w="4622" w:type="dxa"/>
                </w:tcPr>
                <w:p w:rsidR="00E415EB" w:rsidRPr="00F15644" w:rsidRDefault="00E415EB" w:rsidP="00416F6A">
                  <w:pPr>
                    <w:spacing w:after="0"/>
                    <w:jc w:val="both"/>
                  </w:pPr>
                  <w:r w:rsidRPr="00F15644">
                    <w:t>Submi</w:t>
                  </w:r>
                  <w:r>
                    <w:t>ssion of</w:t>
                  </w:r>
                  <w:r w:rsidRPr="00F15644">
                    <w:t xml:space="preserve"> Second draft</w:t>
                  </w:r>
                  <w:r>
                    <w:t>s</w:t>
                  </w:r>
                </w:p>
              </w:tc>
              <w:tc>
                <w:tcPr>
                  <w:tcW w:w="4622" w:type="dxa"/>
                </w:tcPr>
                <w:p w:rsidR="00E415EB" w:rsidRPr="00F15644" w:rsidRDefault="00E415EB" w:rsidP="00416F6A">
                  <w:pPr>
                    <w:spacing w:after="0"/>
                    <w:jc w:val="both"/>
                  </w:pPr>
                  <w:r>
                    <w:t>5</w:t>
                  </w:r>
                  <w:r w:rsidRPr="00F15644">
                    <w:t xml:space="preserve"> days, by the Consultant</w:t>
                  </w:r>
                </w:p>
              </w:tc>
            </w:tr>
            <w:tr w:rsidR="00E415EB" w:rsidRPr="00F15644" w:rsidTr="00416F6A">
              <w:tc>
                <w:tcPr>
                  <w:tcW w:w="4622" w:type="dxa"/>
                </w:tcPr>
                <w:p w:rsidR="00E415EB" w:rsidRPr="00F15644" w:rsidRDefault="00E415EB" w:rsidP="00416F6A">
                  <w:pPr>
                    <w:spacing w:after="0"/>
                    <w:jc w:val="both"/>
                  </w:pPr>
                  <w:r w:rsidRPr="00F15644">
                    <w:t xml:space="preserve">Review Second Draft </w:t>
                  </w:r>
                </w:p>
              </w:tc>
              <w:tc>
                <w:tcPr>
                  <w:tcW w:w="4622" w:type="dxa"/>
                </w:tcPr>
                <w:p w:rsidR="00E415EB" w:rsidRPr="00F15644" w:rsidRDefault="00E415EB" w:rsidP="00416F6A">
                  <w:pPr>
                    <w:spacing w:after="0"/>
                    <w:jc w:val="both"/>
                  </w:pPr>
                  <w:r w:rsidRPr="00F15644">
                    <w:t>2 days, by UNDP Evaluation Focal Team</w:t>
                  </w:r>
                </w:p>
              </w:tc>
            </w:tr>
            <w:tr w:rsidR="00E415EB" w:rsidRPr="00F15644" w:rsidTr="00416F6A">
              <w:tc>
                <w:tcPr>
                  <w:tcW w:w="4622" w:type="dxa"/>
                </w:tcPr>
                <w:p w:rsidR="00E415EB" w:rsidRPr="00F15644" w:rsidRDefault="00E415EB" w:rsidP="00416F6A">
                  <w:pPr>
                    <w:spacing w:after="0"/>
                    <w:jc w:val="both"/>
                  </w:pPr>
                  <w:r w:rsidRPr="00F15644">
                    <w:t>Finalization of the evaluation report</w:t>
                  </w:r>
                  <w:r>
                    <w:t>s</w:t>
                  </w:r>
                </w:p>
              </w:tc>
              <w:tc>
                <w:tcPr>
                  <w:tcW w:w="4622" w:type="dxa"/>
                </w:tcPr>
                <w:p w:rsidR="00E415EB" w:rsidRPr="00F15644" w:rsidRDefault="00E415EB" w:rsidP="00416F6A">
                  <w:pPr>
                    <w:spacing w:after="0"/>
                    <w:jc w:val="both"/>
                  </w:pPr>
                  <w:r w:rsidRPr="00F15644">
                    <w:t>5 days, by the Consultant</w:t>
                  </w:r>
                </w:p>
              </w:tc>
            </w:tr>
          </w:tbl>
          <w:p w:rsidR="00E415EB" w:rsidRPr="00F15644" w:rsidRDefault="00E415EB" w:rsidP="00416F6A">
            <w:pPr>
              <w:jc w:val="both"/>
            </w:pPr>
          </w:p>
          <w:p w:rsidR="00E415EB" w:rsidRPr="00F10C2F" w:rsidRDefault="00E415EB" w:rsidP="00416F6A">
            <w:pPr>
              <w:jc w:val="both"/>
              <w:rPr>
                <w:rFonts w:asciiTheme="majorBidi" w:hAnsiTheme="majorBidi" w:cstheme="majorBidi"/>
                <w:b/>
                <w:bCs/>
                <w:u w:val="single"/>
              </w:rPr>
            </w:pPr>
            <w:r>
              <w:rPr>
                <w:rFonts w:asciiTheme="majorBidi" w:hAnsiTheme="majorBidi" w:cstheme="majorBidi"/>
                <w:b/>
                <w:bCs/>
                <w:u w:val="single"/>
              </w:rPr>
              <w:t>VII</w:t>
            </w:r>
            <w:r w:rsidRPr="00F10C2F">
              <w:rPr>
                <w:rFonts w:asciiTheme="majorBidi" w:hAnsiTheme="majorBidi" w:cstheme="majorBidi"/>
                <w:b/>
                <w:bCs/>
                <w:u w:val="single"/>
              </w:rPr>
              <w:t>I)  Selected documents to be studied by the evaluators</w:t>
            </w:r>
          </w:p>
          <w:p w:rsidR="00E415EB" w:rsidRPr="00F15644" w:rsidRDefault="00E415EB" w:rsidP="00416F6A">
            <w:pPr>
              <w:jc w:val="both"/>
            </w:pPr>
          </w:p>
          <w:p w:rsidR="00E415EB" w:rsidRPr="00F15644" w:rsidRDefault="00E415EB" w:rsidP="00416F6A">
            <w:pPr>
              <w:jc w:val="both"/>
            </w:pPr>
            <w:r w:rsidRPr="00F15644">
              <w:t>The following documents should be studied by the consultant:</w:t>
            </w:r>
          </w:p>
          <w:p w:rsidR="00E415EB" w:rsidRPr="00F15644" w:rsidRDefault="00E415EB" w:rsidP="0055608D">
            <w:pPr>
              <w:numPr>
                <w:ilvl w:val="0"/>
                <w:numId w:val="24"/>
              </w:numPr>
              <w:jc w:val="both"/>
            </w:pPr>
            <w:r w:rsidRPr="00F15644">
              <w:t>UNDP Handbook on Monitoring and Evaluating for Results</w:t>
            </w:r>
          </w:p>
          <w:p w:rsidR="00E415EB" w:rsidRPr="00F15644" w:rsidRDefault="00E415EB" w:rsidP="0055608D">
            <w:pPr>
              <w:numPr>
                <w:ilvl w:val="0"/>
                <w:numId w:val="24"/>
              </w:numPr>
              <w:jc w:val="both"/>
            </w:pPr>
            <w:r w:rsidRPr="00F15644">
              <w:t>UNDP Guidelines for Outcome Evaluators.</w:t>
            </w:r>
          </w:p>
          <w:p w:rsidR="00E415EB" w:rsidRPr="00F15644" w:rsidRDefault="00E415EB" w:rsidP="0055608D">
            <w:pPr>
              <w:numPr>
                <w:ilvl w:val="0"/>
                <w:numId w:val="23"/>
              </w:numPr>
              <w:jc w:val="both"/>
            </w:pPr>
            <w:r w:rsidRPr="00F15644">
              <w:t>UNDP Results-Based Management: Technical Note</w:t>
            </w:r>
          </w:p>
          <w:p w:rsidR="00E415EB" w:rsidRDefault="00E415EB" w:rsidP="0055608D">
            <w:pPr>
              <w:numPr>
                <w:ilvl w:val="0"/>
                <w:numId w:val="23"/>
              </w:numPr>
              <w:jc w:val="both"/>
            </w:pPr>
            <w:r>
              <w:t>UNDP Country Programme Document</w:t>
            </w:r>
          </w:p>
          <w:p w:rsidR="00E415EB" w:rsidRDefault="00E415EB" w:rsidP="0055608D">
            <w:pPr>
              <w:numPr>
                <w:ilvl w:val="0"/>
                <w:numId w:val="23"/>
              </w:numPr>
              <w:jc w:val="both"/>
            </w:pPr>
            <w:r w:rsidRPr="00F15644">
              <w:t>UNDP Project documents</w:t>
            </w:r>
            <w:r>
              <w:t xml:space="preserve"> </w:t>
            </w:r>
          </w:p>
          <w:p w:rsidR="00E415EB" w:rsidRDefault="00E415EB" w:rsidP="0055608D">
            <w:pPr>
              <w:numPr>
                <w:ilvl w:val="0"/>
                <w:numId w:val="23"/>
              </w:numPr>
              <w:jc w:val="both"/>
            </w:pPr>
            <w:r w:rsidRPr="00F15644">
              <w:t>UNDP National Human Development Reports for KSA</w:t>
            </w:r>
          </w:p>
          <w:p w:rsidR="00E415EB" w:rsidRDefault="00E415EB" w:rsidP="0055608D">
            <w:pPr>
              <w:numPr>
                <w:ilvl w:val="0"/>
                <w:numId w:val="23"/>
              </w:numPr>
              <w:jc w:val="both"/>
            </w:pPr>
            <w:r>
              <w:t>8</w:t>
            </w:r>
            <w:r w:rsidRPr="00F705EB">
              <w:rPr>
                <w:vertAlign w:val="superscript"/>
              </w:rPr>
              <w:t>th</w:t>
            </w:r>
            <w:r>
              <w:t xml:space="preserve"> and 9</w:t>
            </w:r>
            <w:r w:rsidRPr="00F705EB">
              <w:rPr>
                <w:vertAlign w:val="superscript"/>
              </w:rPr>
              <w:t>th</w:t>
            </w:r>
            <w:r>
              <w:t xml:space="preserve"> (if published) National Development Plans</w:t>
            </w:r>
          </w:p>
          <w:p w:rsidR="00E415EB" w:rsidRPr="00536ABB" w:rsidRDefault="00E415EB" w:rsidP="0055608D">
            <w:pPr>
              <w:numPr>
                <w:ilvl w:val="0"/>
                <w:numId w:val="23"/>
              </w:numPr>
              <w:jc w:val="both"/>
            </w:pPr>
            <w:r>
              <w:t>Sample of previous outcome evaluations</w:t>
            </w:r>
          </w:p>
          <w:p w:rsidR="00E415EB" w:rsidRPr="00127575" w:rsidRDefault="00E415EB" w:rsidP="00416F6A">
            <w:pPr>
              <w:jc w:val="both"/>
              <w:rPr>
                <w:color w:val="00B0F0"/>
                <w:lang w:val="en-AU"/>
              </w:rPr>
            </w:pPr>
          </w:p>
          <w:p w:rsidR="00E415EB" w:rsidRDefault="00E415EB" w:rsidP="00416F6A">
            <w:pPr>
              <w:jc w:val="both"/>
            </w:pPr>
            <w:r w:rsidRPr="00397B1E">
              <w:t>Before the mission starts consultant is expected to read relevant documents sent by UNDP.</w:t>
            </w:r>
          </w:p>
          <w:p w:rsidR="00E415EB" w:rsidRPr="00397B1E" w:rsidRDefault="00E415EB" w:rsidP="00416F6A">
            <w:pPr>
              <w:jc w:val="both"/>
            </w:pPr>
          </w:p>
          <w:p w:rsidR="00E415EB" w:rsidRPr="00C34AE2" w:rsidRDefault="00E415EB" w:rsidP="00416F6A">
            <w:pPr>
              <w:jc w:val="both"/>
            </w:pPr>
            <w:r w:rsidRPr="00C34AE2">
              <w:t xml:space="preserve"> The </w:t>
            </w:r>
            <w:r w:rsidRPr="00C0705F">
              <w:t>consultant will</w:t>
            </w:r>
            <w:r w:rsidRPr="00C34AE2">
              <w:t xml:space="preserve"> prepare a final report to cover the contents required by the Evaluation TOR and agreed to with UNDP during the specific design of the evaluation. The length of the final report is </w:t>
            </w:r>
            <w:r w:rsidRPr="00C34AE2">
              <w:lastRenderedPageBreak/>
              <w:t>expected to be 20-25 pages, with any additional details needed to be supplied in supporting appendices/annexes.</w:t>
            </w:r>
          </w:p>
          <w:p w:rsidR="00E415EB" w:rsidRPr="00C34AE2" w:rsidRDefault="00E415EB" w:rsidP="00416F6A">
            <w:pPr>
              <w:jc w:val="both"/>
            </w:pPr>
          </w:p>
          <w:p w:rsidR="00E415EB" w:rsidRPr="00464A06" w:rsidRDefault="00E415EB" w:rsidP="00416F6A">
            <w:pPr>
              <w:jc w:val="both"/>
            </w:pPr>
            <w:r w:rsidRPr="00C34AE2">
              <w:t xml:space="preserve">Based on the response to the above points and timely preparation of the final evaluation report, the performance of the </w:t>
            </w:r>
            <w:r>
              <w:t>consultant</w:t>
            </w:r>
            <w:r w:rsidRPr="00C34AE2">
              <w:t xml:space="preserve"> services will be certified by UNDP Saudi Arabia Office.</w:t>
            </w:r>
          </w:p>
          <w:p w:rsidR="00E415EB" w:rsidRPr="00127575" w:rsidRDefault="00E415EB" w:rsidP="00416F6A">
            <w:pPr>
              <w:jc w:val="both"/>
              <w:rPr>
                <w:color w:val="00B0F0"/>
                <w:spacing w:val="-3"/>
              </w:rPr>
            </w:pPr>
          </w:p>
          <w:p w:rsidR="00E415EB" w:rsidRPr="00F10C2F" w:rsidRDefault="00E415EB" w:rsidP="00416F6A">
            <w:pPr>
              <w:jc w:val="both"/>
              <w:rPr>
                <w:rFonts w:asciiTheme="majorBidi" w:hAnsiTheme="majorBidi" w:cstheme="majorBidi"/>
                <w:b/>
                <w:bCs/>
                <w:u w:val="single"/>
              </w:rPr>
            </w:pPr>
            <w:r>
              <w:rPr>
                <w:rFonts w:asciiTheme="majorBidi" w:hAnsiTheme="majorBidi" w:cstheme="majorBidi"/>
                <w:b/>
                <w:bCs/>
                <w:u w:val="single"/>
              </w:rPr>
              <w:t>IX</w:t>
            </w:r>
            <w:r w:rsidRPr="00F10C2F">
              <w:rPr>
                <w:rFonts w:asciiTheme="majorBidi" w:hAnsiTheme="majorBidi" w:cstheme="majorBidi"/>
                <w:b/>
                <w:bCs/>
                <w:u w:val="single"/>
              </w:rPr>
              <w:t>) Reporting to UNDP Country Office</w:t>
            </w:r>
          </w:p>
          <w:p w:rsidR="00E415EB" w:rsidRDefault="00E415EB" w:rsidP="00416F6A">
            <w:pPr>
              <w:jc w:val="both"/>
              <w:rPr>
                <w:spacing w:val="-3"/>
              </w:rPr>
            </w:pPr>
            <w:r w:rsidRPr="00C34AE2">
              <w:rPr>
                <w:spacing w:val="-3"/>
              </w:rPr>
              <w:t xml:space="preserve">The evaluation consultant will maintain </w:t>
            </w:r>
            <w:r>
              <w:rPr>
                <w:spacing w:val="-3"/>
              </w:rPr>
              <w:t xml:space="preserve">in </w:t>
            </w:r>
            <w:r w:rsidRPr="00C34AE2">
              <w:rPr>
                <w:spacing w:val="-3"/>
              </w:rPr>
              <w:t>close contact with all the key and relevant partners and stakeholders and will report to UNDP Saudi Arabia Country Office. Although the consultant should feel free to discuss any relevant matters with the partners/stakeholders in relation to its assignment, it is not authorised to make any commitment on behalf of UNDP or the Government.</w:t>
            </w:r>
          </w:p>
          <w:p w:rsidR="00E415EB" w:rsidRDefault="00E415EB" w:rsidP="00416F6A">
            <w:pPr>
              <w:jc w:val="both"/>
              <w:rPr>
                <w:spacing w:val="-3"/>
              </w:rPr>
            </w:pPr>
          </w:p>
          <w:p w:rsidR="00E415EB" w:rsidRPr="00233C1A" w:rsidRDefault="00E415EB" w:rsidP="00416F6A">
            <w:pPr>
              <w:jc w:val="both"/>
              <w:rPr>
                <w:rFonts w:asciiTheme="majorBidi" w:hAnsiTheme="majorBidi" w:cstheme="majorBidi"/>
                <w:b/>
                <w:bCs/>
                <w:u w:val="single"/>
              </w:rPr>
            </w:pPr>
            <w:r w:rsidRPr="00BF4610">
              <w:rPr>
                <w:rFonts w:asciiTheme="majorBidi" w:hAnsiTheme="majorBidi" w:cstheme="majorBidi"/>
                <w:b/>
                <w:bCs/>
                <w:u w:val="single"/>
              </w:rPr>
              <w:t>X) Payment Schedule</w:t>
            </w:r>
          </w:p>
          <w:p w:rsidR="00E415EB" w:rsidRDefault="00E415EB" w:rsidP="00416F6A">
            <w:pPr>
              <w:jc w:val="both"/>
              <w:rPr>
                <w:spacing w:val="-3"/>
              </w:rPr>
            </w:pPr>
            <w:r>
              <w:rPr>
                <w:spacing w:val="-3"/>
              </w:rPr>
              <w:t>25% upon certification by UNDP of draft 1 of the reports</w:t>
            </w:r>
          </w:p>
          <w:p w:rsidR="00E415EB" w:rsidRDefault="00E415EB" w:rsidP="00416F6A">
            <w:pPr>
              <w:jc w:val="both"/>
              <w:rPr>
                <w:spacing w:val="-3"/>
              </w:rPr>
            </w:pPr>
            <w:r>
              <w:rPr>
                <w:spacing w:val="-3"/>
              </w:rPr>
              <w:t>25% upon certification by UNDP of draft 2 of the reports</w:t>
            </w:r>
          </w:p>
          <w:p w:rsidR="00E415EB" w:rsidRPr="00C34AE2" w:rsidRDefault="00E415EB" w:rsidP="00416F6A">
            <w:pPr>
              <w:jc w:val="both"/>
            </w:pPr>
            <w:r>
              <w:rPr>
                <w:spacing w:val="-3"/>
              </w:rPr>
              <w:t>50% upon certification by UNDP of Final Report</w:t>
            </w:r>
          </w:p>
          <w:p w:rsidR="00E415EB" w:rsidRPr="00366465" w:rsidRDefault="00E415EB" w:rsidP="00416F6A">
            <w:pPr>
              <w:rPr>
                <w:i/>
                <w:u w:val="single"/>
              </w:rPr>
            </w:pPr>
          </w:p>
        </w:tc>
      </w:tr>
    </w:tbl>
    <w:p w:rsidR="00E415EB" w:rsidRDefault="00E415EB" w:rsidP="00E415EB">
      <w:pPr>
        <w:rPr>
          <w:b/>
        </w:rPr>
      </w:pPr>
    </w:p>
    <w:p w:rsidR="00E415EB" w:rsidRDefault="00E415EB" w:rsidP="00E415EB">
      <w:pPr>
        <w:rPr>
          <w:b/>
        </w:rPr>
      </w:pPr>
      <w:r>
        <w:rPr>
          <w:b/>
        </w:rPr>
        <w:t>3.</w:t>
      </w:r>
      <w:r w:rsidRPr="002223E0">
        <w:rPr>
          <w:b/>
        </w:rPr>
        <w:t xml:space="preserve"> </w:t>
      </w:r>
      <w:r>
        <w:rPr>
          <w:b/>
        </w:rPr>
        <w:t>REQUIREMENTS FOR EXPERIENCE AND QUALIFICATIONS</w:t>
      </w:r>
    </w:p>
    <w:tbl>
      <w:tblPr>
        <w:tblStyle w:val="TableGrid"/>
        <w:tblW w:w="0" w:type="auto"/>
        <w:tblLook w:val="04A0"/>
      </w:tblPr>
      <w:tblGrid>
        <w:gridCol w:w="9576"/>
      </w:tblGrid>
      <w:tr w:rsidR="00E415EB" w:rsidTr="00416F6A">
        <w:tc>
          <w:tcPr>
            <w:tcW w:w="9576" w:type="dxa"/>
          </w:tcPr>
          <w:p w:rsidR="00E415EB" w:rsidRPr="007C4235" w:rsidRDefault="00E415EB" w:rsidP="00416F6A">
            <w:pPr>
              <w:spacing w:before="120" w:after="120"/>
              <w:jc w:val="both"/>
              <w:rPr>
                <w:rFonts w:ascii="Calibri" w:hAnsi="Calibri" w:cs="Arial"/>
                <w:u w:val="single"/>
              </w:rPr>
            </w:pPr>
            <w:r w:rsidRPr="007C4235">
              <w:rPr>
                <w:rFonts w:ascii="Calibri" w:hAnsi="Calibri" w:cs="Arial"/>
                <w:u w:val="single"/>
              </w:rPr>
              <w:t>I. Academic Qualifications:</w:t>
            </w:r>
          </w:p>
          <w:p w:rsidR="00E415EB" w:rsidRPr="002104D1" w:rsidRDefault="00E415EB" w:rsidP="0055608D">
            <w:pPr>
              <w:pStyle w:val="ListParagraph"/>
              <w:numPr>
                <w:ilvl w:val="0"/>
                <w:numId w:val="14"/>
              </w:numPr>
              <w:ind w:left="360"/>
              <w:jc w:val="both"/>
            </w:pPr>
            <w:r>
              <w:t>A</w:t>
            </w:r>
            <w:r w:rsidRPr="00F15644">
              <w:t>dvanced university degree</w:t>
            </w:r>
            <w:r w:rsidRPr="0047496D">
              <w:rPr>
                <w:lang w:bidi="ar-JO"/>
              </w:rPr>
              <w:t xml:space="preserve">   in a field of relevance to the present assignment</w:t>
            </w:r>
            <w:r w:rsidRPr="0047496D">
              <w:rPr>
                <w:b/>
                <w:bCs/>
                <w:lang w:bidi="ar-JO"/>
              </w:rPr>
              <w:t xml:space="preserve">. </w:t>
            </w:r>
          </w:p>
          <w:p w:rsidR="00E415EB" w:rsidRPr="007C4235" w:rsidRDefault="00E415EB" w:rsidP="00416F6A">
            <w:pPr>
              <w:spacing w:before="120" w:after="120"/>
              <w:jc w:val="both"/>
              <w:rPr>
                <w:rFonts w:ascii="Calibri" w:hAnsi="Calibri" w:cs="Arial"/>
                <w:u w:val="single"/>
              </w:rPr>
            </w:pPr>
            <w:r w:rsidRPr="007C4235">
              <w:rPr>
                <w:rFonts w:ascii="Calibri" w:hAnsi="Calibri" w:cs="Arial"/>
                <w:u w:val="single"/>
              </w:rPr>
              <w:t>II. Years of experience:</w:t>
            </w:r>
          </w:p>
          <w:p w:rsidR="00E415EB" w:rsidRPr="00366465" w:rsidRDefault="00E415EB" w:rsidP="0055608D">
            <w:pPr>
              <w:pStyle w:val="ListParagraph"/>
              <w:numPr>
                <w:ilvl w:val="0"/>
                <w:numId w:val="13"/>
              </w:numPr>
              <w:spacing w:after="240"/>
              <w:ind w:left="360"/>
              <w:rPr>
                <w:lang w:bidi="ar-JO"/>
              </w:rPr>
            </w:pPr>
            <w:r w:rsidRPr="006C3DB5">
              <w:rPr>
                <w:lang w:bidi="ar-JO"/>
              </w:rPr>
              <w:t xml:space="preserve">Minimum </w:t>
            </w:r>
            <w:r>
              <w:rPr>
                <w:lang w:bidi="ar-JO"/>
              </w:rPr>
              <w:t xml:space="preserve">5 </w:t>
            </w:r>
            <w:r w:rsidRPr="006C3DB5">
              <w:rPr>
                <w:lang w:bidi="ar-JO"/>
              </w:rPr>
              <w:t xml:space="preserve">years of relevant experience </w:t>
            </w:r>
            <w:r w:rsidRPr="00F15644">
              <w:t>in the field of sustainable environment and energy development, sound knowledge about results-based management (especially results-oriented monitoring and evaluation). The Selected consultant will take the overall responsibility for the quality and timely submission of the evaluation report in English.</w:t>
            </w:r>
          </w:p>
        </w:tc>
      </w:tr>
    </w:tbl>
    <w:p w:rsidR="00E415EB" w:rsidRDefault="00E415EB" w:rsidP="00E415EB">
      <w:pPr>
        <w:rPr>
          <w:b/>
        </w:rPr>
      </w:pPr>
    </w:p>
    <w:p w:rsidR="00E415EB" w:rsidRDefault="00E415EB" w:rsidP="00E415EB">
      <w:pPr>
        <w:rPr>
          <w:b/>
        </w:rPr>
      </w:pPr>
      <w:r>
        <w:rPr>
          <w:b/>
        </w:rPr>
        <w:t>4. DOCUMENTS TO BE INCLUDED WHEN SUBMITTING THE PROPOSALS.</w:t>
      </w:r>
    </w:p>
    <w:tbl>
      <w:tblPr>
        <w:tblStyle w:val="TableGrid"/>
        <w:tblW w:w="0" w:type="auto"/>
        <w:tblLook w:val="04A0"/>
      </w:tblPr>
      <w:tblGrid>
        <w:gridCol w:w="9576"/>
      </w:tblGrid>
      <w:tr w:rsidR="00E415EB" w:rsidTr="00416F6A">
        <w:tc>
          <w:tcPr>
            <w:tcW w:w="9576" w:type="dxa"/>
          </w:tcPr>
          <w:p w:rsidR="00E415EB" w:rsidRDefault="00E415EB" w:rsidP="00416F6A">
            <w:r>
              <w:t>Interested individual consultants must submit the following documents/information to demonstrate their qualifications:</w:t>
            </w:r>
          </w:p>
          <w:p w:rsidR="00E415EB" w:rsidRPr="006C1240" w:rsidRDefault="00E415EB" w:rsidP="00416F6A">
            <w:pPr>
              <w:rPr>
                <w:u w:val="single"/>
              </w:rPr>
            </w:pPr>
            <w:r>
              <w:t xml:space="preserve">1. </w:t>
            </w:r>
            <w:r w:rsidRPr="006C1240">
              <w:rPr>
                <w:u w:val="single"/>
              </w:rPr>
              <w:t>Proposal:</w:t>
            </w:r>
          </w:p>
          <w:p w:rsidR="00E415EB" w:rsidRPr="000A7151" w:rsidRDefault="00E415EB" w:rsidP="00416F6A">
            <w:r w:rsidRPr="000A7151">
              <w:t>(i) Explaining why they are the most suitable for the work</w:t>
            </w:r>
            <w:r>
              <w:t>.</w:t>
            </w:r>
          </w:p>
          <w:p w:rsidR="00E415EB" w:rsidRPr="000A7151" w:rsidRDefault="00E415EB" w:rsidP="00416F6A">
            <w:r w:rsidRPr="000A7151">
              <w:t xml:space="preserve">(ii) Provide a brief methodology on how they will approach and conduct the </w:t>
            </w:r>
            <w:r>
              <w:t>work.</w:t>
            </w:r>
          </w:p>
          <w:p w:rsidR="00E415EB" w:rsidRDefault="00E415EB" w:rsidP="00416F6A">
            <w:r>
              <w:t>2</w:t>
            </w:r>
            <w:r w:rsidRPr="006C1240">
              <w:rPr>
                <w:b/>
                <w:bCs/>
                <w:u w:val="single"/>
              </w:rPr>
              <w:t xml:space="preserve">. </w:t>
            </w:r>
            <w:r w:rsidRPr="000A7151">
              <w:rPr>
                <w:u w:val="single"/>
              </w:rPr>
              <w:t>Financial proposal</w:t>
            </w:r>
          </w:p>
          <w:p w:rsidR="00E415EB" w:rsidRPr="006C1240" w:rsidRDefault="00E415EB" w:rsidP="00416F6A">
            <w:pPr>
              <w:rPr>
                <w:b/>
                <w:u w:val="single"/>
              </w:rPr>
            </w:pPr>
            <w:r w:rsidRPr="006C1240">
              <w:rPr>
                <w:u w:val="single"/>
              </w:rPr>
              <w:t>3. Personal CV including past experience in similar projects and at least 3 reference</w:t>
            </w:r>
            <w:r w:rsidRPr="00366465">
              <w:rPr>
                <w:bCs/>
                <w:u w:val="single"/>
              </w:rPr>
              <w:t>s</w:t>
            </w:r>
            <w:r>
              <w:rPr>
                <w:bCs/>
                <w:u w:val="single"/>
              </w:rPr>
              <w:t>.</w:t>
            </w:r>
          </w:p>
        </w:tc>
      </w:tr>
    </w:tbl>
    <w:p w:rsidR="00E415EB" w:rsidRDefault="00E415EB" w:rsidP="00E415EB">
      <w:pPr>
        <w:autoSpaceDE w:val="0"/>
        <w:autoSpaceDN w:val="0"/>
        <w:adjustRightInd w:val="0"/>
        <w:spacing w:after="0"/>
        <w:rPr>
          <w:rFonts w:ascii="Calibri" w:hAnsi="Calibri" w:cs="Calibri"/>
          <w:b/>
        </w:rPr>
      </w:pPr>
    </w:p>
    <w:p w:rsidR="00E415EB" w:rsidRPr="00A6756E" w:rsidRDefault="00E415EB" w:rsidP="00E415EB">
      <w:pPr>
        <w:autoSpaceDE w:val="0"/>
        <w:autoSpaceDN w:val="0"/>
        <w:adjustRightInd w:val="0"/>
        <w:spacing w:after="0"/>
        <w:rPr>
          <w:rFonts w:ascii="Calibri" w:hAnsi="Calibri" w:cs="Calibri"/>
          <w:b/>
        </w:rPr>
      </w:pPr>
      <w:r>
        <w:rPr>
          <w:rFonts w:ascii="Calibri" w:hAnsi="Calibri" w:cs="Calibri"/>
          <w:b/>
        </w:rPr>
        <w:t>5</w:t>
      </w:r>
      <w:r w:rsidRPr="00FE7C9D">
        <w:rPr>
          <w:rFonts w:ascii="Calibri" w:hAnsi="Calibri" w:cs="Calibri"/>
          <w:b/>
        </w:rPr>
        <w:t xml:space="preserve">. </w:t>
      </w:r>
      <w:r>
        <w:rPr>
          <w:rFonts w:ascii="Calibri" w:hAnsi="Calibri" w:cs="Calibri"/>
          <w:b/>
        </w:rPr>
        <w:t>FINANCIAL PROPOSAL</w:t>
      </w:r>
    </w:p>
    <w:tbl>
      <w:tblPr>
        <w:tblStyle w:val="TableGrid"/>
        <w:tblW w:w="0" w:type="auto"/>
        <w:tblLook w:val="04A0"/>
      </w:tblPr>
      <w:tblGrid>
        <w:gridCol w:w="9576"/>
      </w:tblGrid>
      <w:tr w:rsidR="00E415EB" w:rsidTr="00416F6A">
        <w:tc>
          <w:tcPr>
            <w:tcW w:w="9576" w:type="dxa"/>
          </w:tcPr>
          <w:p w:rsidR="00E415EB" w:rsidRPr="00EC344C" w:rsidRDefault="00E415EB" w:rsidP="0055608D">
            <w:pPr>
              <w:pStyle w:val="ListParagraph"/>
              <w:numPr>
                <w:ilvl w:val="0"/>
                <w:numId w:val="12"/>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rsidR="00E415EB" w:rsidRPr="00C64099" w:rsidRDefault="00E415EB" w:rsidP="00416F6A">
            <w:pPr>
              <w:spacing w:line="288" w:lineRule="auto"/>
              <w:jc w:val="both"/>
            </w:pPr>
            <w:r w:rsidRPr="00C64099">
              <w:t xml:space="preserve">The financial proposal </w:t>
            </w:r>
            <w:r>
              <w:t>shall specify</w:t>
            </w:r>
            <w:r w:rsidRPr="00C64099">
              <w:t xml:space="preserve"> a total lump sum amount, and payment terms around specific and </w:t>
            </w:r>
            <w:r w:rsidRPr="00C64099">
              <w:lastRenderedPageBreak/>
              <w:t xml:space="preserve">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rsidR="00E415EB" w:rsidRDefault="00E415EB" w:rsidP="00416F6A">
            <w:pPr>
              <w:jc w:val="both"/>
              <w:rPr>
                <w:rFonts w:ascii="Cambria" w:hAnsi="Cambria" w:cs="Myriad Pro"/>
                <w:sz w:val="24"/>
                <w:szCs w:val="24"/>
              </w:rPr>
            </w:pPr>
          </w:p>
          <w:p w:rsidR="00E415EB" w:rsidRPr="00E8310E" w:rsidRDefault="00E415EB" w:rsidP="00416F6A">
            <w:pPr>
              <w:spacing w:line="288" w:lineRule="auto"/>
              <w:jc w:val="both"/>
              <w:rPr>
                <w:b/>
                <w:u w:val="single"/>
              </w:rPr>
            </w:pPr>
            <w:r w:rsidRPr="00E8310E">
              <w:rPr>
                <w:b/>
                <w:u w:val="single"/>
              </w:rPr>
              <w:t>Travel;</w:t>
            </w:r>
          </w:p>
          <w:p w:rsidR="00E415EB" w:rsidRPr="00443E94" w:rsidRDefault="00E415EB" w:rsidP="00416F6A">
            <w:pPr>
              <w:spacing w:line="288" w:lineRule="auto"/>
              <w:jc w:val="both"/>
            </w:pPr>
            <w:r w:rsidRPr="00E8310E">
              <w:rPr>
                <w:u w:val="single"/>
              </w:rPr>
              <w:t>All envisaged travel costs must be included in the financial proposal</w:t>
            </w:r>
            <w:r w:rsidRPr="00E8310E">
              <w:t xml:space="preserve">. </w:t>
            </w:r>
            <w:r>
              <w:t>(Travel within Saudi Arabia).</w:t>
            </w:r>
          </w:p>
        </w:tc>
      </w:tr>
    </w:tbl>
    <w:p w:rsidR="00E415EB" w:rsidRDefault="00E415EB" w:rsidP="00E415EB">
      <w:pPr>
        <w:rPr>
          <w:b/>
        </w:rPr>
      </w:pPr>
    </w:p>
    <w:p w:rsidR="00E415EB" w:rsidRDefault="00E415EB" w:rsidP="00E415EB">
      <w:pPr>
        <w:rPr>
          <w:b/>
        </w:rPr>
      </w:pPr>
      <w:r>
        <w:rPr>
          <w:b/>
        </w:rPr>
        <w:t>6. EVALUATION</w:t>
      </w:r>
    </w:p>
    <w:tbl>
      <w:tblPr>
        <w:tblStyle w:val="TableGrid"/>
        <w:tblW w:w="0" w:type="auto"/>
        <w:tblLook w:val="04A0"/>
      </w:tblPr>
      <w:tblGrid>
        <w:gridCol w:w="9576"/>
      </w:tblGrid>
      <w:tr w:rsidR="00E415EB" w:rsidTr="00416F6A">
        <w:tc>
          <w:tcPr>
            <w:tcW w:w="9576" w:type="dxa"/>
          </w:tcPr>
          <w:p w:rsidR="00E415EB" w:rsidRPr="00EA697D" w:rsidRDefault="00E415EB" w:rsidP="00416F6A"/>
          <w:p w:rsidR="00E415EB" w:rsidRPr="00816B78" w:rsidRDefault="00E415EB" w:rsidP="00416F6A">
            <w:r w:rsidRPr="00816B78">
              <w:t>In</w:t>
            </w:r>
            <w:r>
              <w:t>dividual consultants will be evaluated based on the following methodologies:</w:t>
            </w:r>
          </w:p>
          <w:p w:rsidR="00E415EB" w:rsidRPr="00432027" w:rsidRDefault="00E415EB" w:rsidP="00416F6A">
            <w:pPr>
              <w:rPr>
                <w:i/>
                <w:u w:val="thick"/>
              </w:rPr>
            </w:pPr>
            <w:r w:rsidRPr="00432027">
              <w:rPr>
                <w:i/>
                <w:u w:val="thick"/>
              </w:rPr>
              <w:t>1. Lowest price</w:t>
            </w:r>
            <w:r>
              <w:rPr>
                <w:i/>
                <w:u w:val="thick"/>
              </w:rPr>
              <w:t xml:space="preserve"> and</w:t>
            </w:r>
            <w:r w:rsidRPr="00432027">
              <w:rPr>
                <w:i/>
                <w:u w:val="thick"/>
              </w:rPr>
              <w:t xml:space="preserve"> technically compliant offer</w:t>
            </w:r>
          </w:p>
          <w:p w:rsidR="00E415EB" w:rsidRDefault="00E415EB" w:rsidP="00416F6A">
            <w:pPr>
              <w:rPr>
                <w:i/>
              </w:rPr>
            </w:pPr>
          </w:p>
          <w:p w:rsidR="00E415EB" w:rsidRPr="00432027" w:rsidRDefault="00E415EB" w:rsidP="00416F6A">
            <w:pPr>
              <w:rPr>
                <w:i/>
              </w:rPr>
            </w:pPr>
            <w:r w:rsidRPr="00432027">
              <w:rPr>
                <w:i/>
              </w:rPr>
              <w:t xml:space="preserve">When using this method, the award of a contract should be made to the </w:t>
            </w:r>
            <w:r>
              <w:rPr>
                <w:i/>
              </w:rPr>
              <w:t xml:space="preserve">individual consultant </w:t>
            </w:r>
            <w:r w:rsidRPr="00432027">
              <w:rPr>
                <w:i/>
              </w:rPr>
              <w:t>whose offer has been evaluated and determined as both:</w:t>
            </w:r>
          </w:p>
          <w:p w:rsidR="00E415EB" w:rsidRPr="00432027" w:rsidRDefault="00E415EB" w:rsidP="00416F6A">
            <w:pPr>
              <w:rPr>
                <w:i/>
              </w:rPr>
            </w:pPr>
            <w:r w:rsidRPr="00432027">
              <w:rPr>
                <w:i/>
              </w:rPr>
              <w:t>a) responsive/compliant/acceptable, and</w:t>
            </w:r>
          </w:p>
          <w:p w:rsidR="00E415EB" w:rsidRPr="00432027" w:rsidRDefault="00E415EB" w:rsidP="00416F6A">
            <w:pPr>
              <w:rPr>
                <w:i/>
              </w:rPr>
            </w:pPr>
            <w:r w:rsidRPr="00432027">
              <w:rPr>
                <w:i/>
              </w:rPr>
              <w:t xml:space="preserve">b) </w:t>
            </w:r>
            <w:r>
              <w:rPr>
                <w:i/>
              </w:rPr>
              <w:t>o</w:t>
            </w:r>
            <w:r w:rsidRPr="00432027">
              <w:rPr>
                <w:i/>
              </w:rPr>
              <w:t>ffering the lowest price/cost</w:t>
            </w:r>
          </w:p>
          <w:p w:rsidR="00E415EB" w:rsidRDefault="00E415EB" w:rsidP="00416F6A">
            <w:pPr>
              <w:rPr>
                <w:i/>
              </w:rPr>
            </w:pPr>
            <w:r w:rsidRPr="00432027">
              <w:rPr>
                <w:i/>
              </w:rPr>
              <w:t xml:space="preserve">“responsive/compliant/acceptable” can be defined as fully meeting the </w:t>
            </w:r>
            <w:r>
              <w:rPr>
                <w:i/>
              </w:rPr>
              <w:t>TOR</w:t>
            </w:r>
            <w:r w:rsidRPr="00432027">
              <w:rPr>
                <w:i/>
              </w:rPr>
              <w:t xml:space="preserve"> </w:t>
            </w:r>
            <w:r>
              <w:rPr>
                <w:i/>
              </w:rPr>
              <w:t>provided</w:t>
            </w:r>
            <w:r w:rsidRPr="00432027">
              <w:rPr>
                <w:i/>
              </w:rPr>
              <w:t xml:space="preserve">. </w:t>
            </w:r>
          </w:p>
          <w:p w:rsidR="00E415EB" w:rsidRDefault="00E415EB" w:rsidP="00416F6A">
            <w:pPr>
              <w:rPr>
                <w:i/>
              </w:rPr>
            </w:pPr>
          </w:p>
          <w:p w:rsidR="00E415EB" w:rsidRPr="00432027" w:rsidRDefault="00E415EB" w:rsidP="00416F6A">
            <w:pPr>
              <w:rPr>
                <w:i/>
                <w:u w:val="thick"/>
              </w:rPr>
            </w:pPr>
            <w:r w:rsidRPr="00432027">
              <w:rPr>
                <w:i/>
                <w:u w:val="thick"/>
              </w:rPr>
              <w:t xml:space="preserve">2. Cumulative analysis </w:t>
            </w:r>
          </w:p>
          <w:p w:rsidR="00E415EB" w:rsidRPr="00432027" w:rsidRDefault="00E415EB" w:rsidP="00416F6A">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rsidR="00E415EB" w:rsidRPr="00432027" w:rsidRDefault="00E415EB" w:rsidP="00416F6A">
            <w:pPr>
              <w:rPr>
                <w:i/>
              </w:rPr>
            </w:pPr>
            <w:r w:rsidRPr="00432027">
              <w:rPr>
                <w:i/>
              </w:rPr>
              <w:t>a) responsive/compliant/acceptable, and</w:t>
            </w:r>
          </w:p>
          <w:p w:rsidR="00E415EB" w:rsidRDefault="00E415EB" w:rsidP="00416F6A">
            <w:pPr>
              <w:rPr>
                <w:i/>
              </w:rPr>
            </w:pPr>
            <w:r w:rsidRPr="00432027">
              <w:rPr>
                <w:i/>
              </w:rPr>
              <w:t xml:space="preserve">b) Having received the highest score out of a pre-determined set of weighted technical and financial criteria specific to the solicitation. </w:t>
            </w:r>
          </w:p>
          <w:p w:rsidR="00E415EB" w:rsidRDefault="00E415EB" w:rsidP="00416F6A">
            <w:pPr>
              <w:rPr>
                <w:i/>
              </w:rPr>
            </w:pPr>
            <w:r>
              <w:rPr>
                <w:i/>
              </w:rPr>
              <w:t>* Technical Criteria weight; [70%]</w:t>
            </w:r>
          </w:p>
          <w:p w:rsidR="00E415EB" w:rsidRDefault="00E415EB" w:rsidP="00416F6A">
            <w:pPr>
              <w:rPr>
                <w:i/>
              </w:rPr>
            </w:pPr>
            <w:r>
              <w:rPr>
                <w:i/>
              </w:rPr>
              <w:t>* Financial Criteria weight; [30%]</w:t>
            </w:r>
          </w:p>
          <w:p w:rsidR="00E415EB" w:rsidRDefault="00E415EB" w:rsidP="00416F6A">
            <w:pPr>
              <w:spacing w:line="360" w:lineRule="auto"/>
              <w:rPr>
                <w:i/>
              </w:rPr>
            </w:pPr>
          </w:p>
          <w:tbl>
            <w:tblPr>
              <w:tblStyle w:val="TableGrid"/>
              <w:tblW w:w="0" w:type="auto"/>
              <w:tblLook w:val="04A0"/>
            </w:tblPr>
            <w:tblGrid>
              <w:gridCol w:w="3209"/>
              <w:gridCol w:w="3082"/>
              <w:gridCol w:w="3059"/>
            </w:tblGrid>
            <w:tr w:rsidR="00E415EB" w:rsidTr="00416F6A">
              <w:tc>
                <w:tcPr>
                  <w:tcW w:w="3209" w:type="dxa"/>
                </w:tcPr>
                <w:p w:rsidR="00E415EB" w:rsidRPr="004758AA" w:rsidRDefault="00E415EB" w:rsidP="00416F6A">
                  <w:pPr>
                    <w:rPr>
                      <w:b/>
                      <w:i/>
                    </w:rPr>
                  </w:pPr>
                  <w:r w:rsidRPr="004758AA">
                    <w:rPr>
                      <w:b/>
                      <w:i/>
                    </w:rPr>
                    <w:t>Criteria</w:t>
                  </w:r>
                </w:p>
              </w:tc>
              <w:tc>
                <w:tcPr>
                  <w:tcW w:w="3082" w:type="dxa"/>
                </w:tcPr>
                <w:p w:rsidR="00E415EB" w:rsidRPr="004758AA" w:rsidRDefault="00E415EB" w:rsidP="00416F6A">
                  <w:pPr>
                    <w:rPr>
                      <w:b/>
                      <w:i/>
                    </w:rPr>
                  </w:pPr>
                  <w:r w:rsidRPr="004758AA">
                    <w:rPr>
                      <w:b/>
                      <w:i/>
                    </w:rPr>
                    <w:t xml:space="preserve">Weight </w:t>
                  </w:r>
                </w:p>
              </w:tc>
              <w:tc>
                <w:tcPr>
                  <w:tcW w:w="3059" w:type="dxa"/>
                </w:tcPr>
                <w:p w:rsidR="00E415EB" w:rsidRPr="004758AA" w:rsidRDefault="00E415EB" w:rsidP="00416F6A">
                  <w:pPr>
                    <w:rPr>
                      <w:b/>
                      <w:i/>
                    </w:rPr>
                  </w:pPr>
                  <w:r w:rsidRPr="004758AA">
                    <w:rPr>
                      <w:b/>
                      <w:i/>
                    </w:rPr>
                    <w:t>Max. Point</w:t>
                  </w:r>
                </w:p>
              </w:tc>
            </w:tr>
            <w:tr w:rsidR="00E415EB" w:rsidTr="00416F6A">
              <w:tc>
                <w:tcPr>
                  <w:tcW w:w="3209" w:type="dxa"/>
                </w:tcPr>
                <w:p w:rsidR="00E415EB" w:rsidRPr="004758AA" w:rsidRDefault="00E415EB" w:rsidP="00416F6A">
                  <w:pPr>
                    <w:rPr>
                      <w:i/>
                      <w:u w:val="single"/>
                    </w:rPr>
                  </w:pPr>
                  <w:r w:rsidRPr="004758AA">
                    <w:rPr>
                      <w:i/>
                      <w:u w:val="single"/>
                    </w:rPr>
                    <w:t>Technical</w:t>
                  </w:r>
                </w:p>
              </w:tc>
              <w:tc>
                <w:tcPr>
                  <w:tcW w:w="3082" w:type="dxa"/>
                </w:tcPr>
                <w:p w:rsidR="00E415EB" w:rsidRDefault="00E415EB" w:rsidP="00416F6A">
                  <w:pPr>
                    <w:rPr>
                      <w:i/>
                    </w:rPr>
                  </w:pPr>
                </w:p>
              </w:tc>
              <w:tc>
                <w:tcPr>
                  <w:tcW w:w="3059" w:type="dxa"/>
                </w:tcPr>
                <w:p w:rsidR="00E415EB" w:rsidRDefault="00E415EB" w:rsidP="00416F6A">
                  <w:pPr>
                    <w:rPr>
                      <w:i/>
                    </w:rPr>
                  </w:pPr>
                </w:p>
              </w:tc>
            </w:tr>
            <w:tr w:rsidR="00E415EB" w:rsidTr="00416F6A">
              <w:tc>
                <w:tcPr>
                  <w:tcW w:w="3209" w:type="dxa"/>
                </w:tcPr>
                <w:p w:rsidR="00E415EB" w:rsidRPr="004758AA" w:rsidRDefault="00E415EB" w:rsidP="0055608D">
                  <w:pPr>
                    <w:pStyle w:val="ListParagraph"/>
                    <w:numPr>
                      <w:ilvl w:val="0"/>
                      <w:numId w:val="11"/>
                    </w:numPr>
                    <w:rPr>
                      <w:i/>
                    </w:rPr>
                  </w:pPr>
                  <w:r>
                    <w:rPr>
                      <w:i/>
                    </w:rPr>
                    <w:t>Criteria A</w:t>
                  </w:r>
                </w:p>
              </w:tc>
              <w:tc>
                <w:tcPr>
                  <w:tcW w:w="3082" w:type="dxa"/>
                </w:tcPr>
                <w:p w:rsidR="00E415EB" w:rsidRDefault="00E415EB" w:rsidP="00416F6A">
                  <w:pPr>
                    <w:rPr>
                      <w:i/>
                    </w:rPr>
                  </w:pPr>
                </w:p>
              </w:tc>
              <w:tc>
                <w:tcPr>
                  <w:tcW w:w="3059" w:type="dxa"/>
                </w:tcPr>
                <w:p w:rsidR="00E415EB" w:rsidRDefault="00E415EB" w:rsidP="00416F6A">
                  <w:pPr>
                    <w:rPr>
                      <w:i/>
                    </w:rPr>
                  </w:pPr>
                </w:p>
              </w:tc>
            </w:tr>
            <w:tr w:rsidR="00E415EB" w:rsidTr="00416F6A">
              <w:tc>
                <w:tcPr>
                  <w:tcW w:w="3209" w:type="dxa"/>
                </w:tcPr>
                <w:p w:rsidR="00E415EB" w:rsidRPr="004758AA" w:rsidRDefault="00E415EB" w:rsidP="0055608D">
                  <w:pPr>
                    <w:pStyle w:val="ListParagraph"/>
                    <w:numPr>
                      <w:ilvl w:val="0"/>
                      <w:numId w:val="11"/>
                    </w:numPr>
                    <w:rPr>
                      <w:i/>
                    </w:rPr>
                  </w:pPr>
                  <w:r w:rsidRPr="004758AA">
                    <w:rPr>
                      <w:i/>
                    </w:rPr>
                    <w:t xml:space="preserve">Criteria </w:t>
                  </w:r>
                  <w:r>
                    <w:rPr>
                      <w:i/>
                    </w:rPr>
                    <w:t>B</w:t>
                  </w:r>
                </w:p>
              </w:tc>
              <w:tc>
                <w:tcPr>
                  <w:tcW w:w="3082" w:type="dxa"/>
                </w:tcPr>
                <w:p w:rsidR="00E415EB" w:rsidRDefault="00E415EB" w:rsidP="00416F6A">
                  <w:pPr>
                    <w:rPr>
                      <w:i/>
                    </w:rPr>
                  </w:pPr>
                </w:p>
              </w:tc>
              <w:tc>
                <w:tcPr>
                  <w:tcW w:w="3059" w:type="dxa"/>
                </w:tcPr>
                <w:p w:rsidR="00E415EB" w:rsidRDefault="00E415EB" w:rsidP="00416F6A">
                  <w:pPr>
                    <w:rPr>
                      <w:i/>
                    </w:rPr>
                  </w:pPr>
                </w:p>
              </w:tc>
            </w:tr>
            <w:tr w:rsidR="00E415EB" w:rsidTr="00416F6A">
              <w:tc>
                <w:tcPr>
                  <w:tcW w:w="3209" w:type="dxa"/>
                </w:tcPr>
                <w:p w:rsidR="00E415EB" w:rsidRPr="004758AA" w:rsidRDefault="00E415EB" w:rsidP="0055608D">
                  <w:pPr>
                    <w:pStyle w:val="ListParagraph"/>
                    <w:numPr>
                      <w:ilvl w:val="0"/>
                      <w:numId w:val="11"/>
                    </w:numPr>
                    <w:rPr>
                      <w:i/>
                    </w:rPr>
                  </w:pPr>
                  <w:r>
                    <w:rPr>
                      <w:i/>
                    </w:rPr>
                    <w:t>Criteria C</w:t>
                  </w:r>
                </w:p>
              </w:tc>
              <w:tc>
                <w:tcPr>
                  <w:tcW w:w="3082" w:type="dxa"/>
                </w:tcPr>
                <w:p w:rsidR="00E415EB" w:rsidRDefault="00E415EB" w:rsidP="00416F6A">
                  <w:pPr>
                    <w:rPr>
                      <w:i/>
                    </w:rPr>
                  </w:pPr>
                </w:p>
              </w:tc>
              <w:tc>
                <w:tcPr>
                  <w:tcW w:w="3059" w:type="dxa"/>
                </w:tcPr>
                <w:p w:rsidR="00E415EB" w:rsidRDefault="00E415EB" w:rsidP="00416F6A">
                  <w:pPr>
                    <w:rPr>
                      <w:i/>
                    </w:rPr>
                  </w:pPr>
                </w:p>
              </w:tc>
            </w:tr>
            <w:tr w:rsidR="00E415EB" w:rsidTr="00416F6A">
              <w:tc>
                <w:tcPr>
                  <w:tcW w:w="3209" w:type="dxa"/>
                </w:tcPr>
                <w:p w:rsidR="00E415EB" w:rsidRPr="004758AA" w:rsidRDefault="00E415EB" w:rsidP="0055608D">
                  <w:pPr>
                    <w:pStyle w:val="ListParagraph"/>
                    <w:numPr>
                      <w:ilvl w:val="0"/>
                      <w:numId w:val="11"/>
                    </w:numPr>
                    <w:rPr>
                      <w:i/>
                    </w:rPr>
                  </w:pPr>
                  <w:r>
                    <w:rPr>
                      <w:i/>
                    </w:rPr>
                    <w:t>Criteria […]</w:t>
                  </w:r>
                </w:p>
              </w:tc>
              <w:tc>
                <w:tcPr>
                  <w:tcW w:w="3082" w:type="dxa"/>
                </w:tcPr>
                <w:p w:rsidR="00E415EB" w:rsidRDefault="00E415EB" w:rsidP="00416F6A">
                  <w:pPr>
                    <w:rPr>
                      <w:i/>
                    </w:rPr>
                  </w:pPr>
                </w:p>
              </w:tc>
              <w:tc>
                <w:tcPr>
                  <w:tcW w:w="3059" w:type="dxa"/>
                </w:tcPr>
                <w:p w:rsidR="00E415EB" w:rsidRDefault="00E415EB" w:rsidP="00416F6A">
                  <w:pPr>
                    <w:rPr>
                      <w:i/>
                    </w:rPr>
                  </w:pPr>
                </w:p>
              </w:tc>
            </w:tr>
            <w:tr w:rsidR="00E415EB" w:rsidTr="00416F6A">
              <w:tc>
                <w:tcPr>
                  <w:tcW w:w="3209" w:type="dxa"/>
                </w:tcPr>
                <w:p w:rsidR="00E415EB" w:rsidRPr="004758AA" w:rsidRDefault="00E415EB" w:rsidP="00416F6A">
                  <w:pPr>
                    <w:rPr>
                      <w:i/>
                      <w:u w:val="single"/>
                    </w:rPr>
                  </w:pPr>
                  <w:r w:rsidRPr="004758AA">
                    <w:rPr>
                      <w:i/>
                      <w:u w:val="single"/>
                    </w:rPr>
                    <w:t>Financial</w:t>
                  </w:r>
                </w:p>
              </w:tc>
              <w:tc>
                <w:tcPr>
                  <w:tcW w:w="3082" w:type="dxa"/>
                </w:tcPr>
                <w:p w:rsidR="00E415EB" w:rsidRDefault="00E415EB" w:rsidP="00416F6A">
                  <w:pPr>
                    <w:rPr>
                      <w:i/>
                    </w:rPr>
                  </w:pPr>
                </w:p>
              </w:tc>
              <w:tc>
                <w:tcPr>
                  <w:tcW w:w="3059" w:type="dxa"/>
                </w:tcPr>
                <w:p w:rsidR="00E415EB" w:rsidRDefault="00E415EB" w:rsidP="00416F6A">
                  <w:pPr>
                    <w:rPr>
                      <w:i/>
                    </w:rPr>
                  </w:pPr>
                </w:p>
              </w:tc>
            </w:tr>
          </w:tbl>
          <w:p w:rsidR="00E415EB" w:rsidRDefault="00E415EB" w:rsidP="00416F6A">
            <w:pPr>
              <w:rPr>
                <w:b/>
              </w:rPr>
            </w:pPr>
          </w:p>
        </w:tc>
      </w:tr>
    </w:tbl>
    <w:p w:rsidR="00E415EB" w:rsidRDefault="00E415EB" w:rsidP="00E415EB">
      <w:pPr>
        <w:rPr>
          <w:b/>
        </w:rPr>
      </w:pPr>
    </w:p>
    <w:p w:rsidR="00D26309" w:rsidRDefault="00D26309">
      <w:pPr>
        <w:rPr>
          <w:rFonts w:asciiTheme="majorHAnsi" w:eastAsiaTheme="majorEastAsia" w:hAnsiTheme="majorHAnsi" w:cstheme="majorBidi"/>
          <w:b/>
          <w:bCs/>
          <w:color w:val="365F91" w:themeColor="accent1" w:themeShade="BF"/>
          <w:sz w:val="28"/>
          <w:szCs w:val="28"/>
        </w:rPr>
      </w:pPr>
      <w:r>
        <w:br w:type="page"/>
      </w:r>
    </w:p>
    <w:p w:rsidR="0005305E" w:rsidRPr="00DA7619" w:rsidRDefault="00B45350" w:rsidP="00794230">
      <w:pPr>
        <w:pStyle w:val="Heading1"/>
      </w:pPr>
      <w:bookmarkStart w:id="54" w:name="_Toc325940208"/>
      <w:r w:rsidRPr="00DA7619">
        <w:lastRenderedPageBreak/>
        <w:t>Annex</w:t>
      </w:r>
      <w:r w:rsidR="00827576">
        <w:t xml:space="preserve"> 3</w:t>
      </w:r>
      <w:r w:rsidR="00033D91" w:rsidRPr="00DA7619">
        <w:t xml:space="preserve">.  </w:t>
      </w:r>
      <w:r w:rsidR="0005305E" w:rsidRPr="00DA7619">
        <w:t>Persons met</w:t>
      </w:r>
      <w:r w:rsidR="00F521F5" w:rsidRPr="00DA7619">
        <w:t>, schedule of meetings</w:t>
      </w:r>
      <w:r w:rsidR="00A50C31" w:rsidRPr="00DA7619">
        <w:t xml:space="preserve"> for Outcome 3</w:t>
      </w:r>
      <w:bookmarkEnd w:id="54"/>
    </w:p>
    <w:p w:rsidR="007E2879" w:rsidRPr="00DA7619" w:rsidRDefault="007E2879" w:rsidP="007E2879"/>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2030"/>
        <w:gridCol w:w="5770"/>
      </w:tblGrid>
      <w:tr w:rsidR="006F7CA7" w:rsidRPr="00DA7619" w:rsidTr="005301E8">
        <w:trPr>
          <w:cnfStyle w:val="100000000000"/>
        </w:trPr>
        <w:tc>
          <w:tcPr>
            <w:cnfStyle w:val="001000000000"/>
            <w:tcW w:w="0" w:type="auto"/>
            <w:tcBorders>
              <w:top w:val="none" w:sz="0" w:space="0" w:color="auto"/>
              <w:left w:val="none" w:sz="0" w:space="0" w:color="auto"/>
              <w:bottom w:val="single" w:sz="4" w:space="0" w:color="auto"/>
              <w:right w:val="none" w:sz="0" w:space="0" w:color="auto"/>
            </w:tcBorders>
            <w:shd w:val="clear" w:color="auto" w:fill="auto"/>
          </w:tcPr>
          <w:p w:rsidR="006F7CA7" w:rsidRPr="00DA7619" w:rsidRDefault="006F7CA7" w:rsidP="00CE24BA">
            <w:pPr>
              <w:jc w:val="center"/>
              <w:rPr>
                <w:color w:val="auto"/>
              </w:rPr>
            </w:pPr>
            <w:r w:rsidRPr="00DA7619">
              <w:rPr>
                <w:color w:val="auto"/>
              </w:rPr>
              <w:t>Date</w:t>
            </w:r>
          </w:p>
        </w:tc>
        <w:tc>
          <w:tcPr>
            <w:tcW w:w="0" w:type="auto"/>
            <w:tcBorders>
              <w:top w:val="none" w:sz="0" w:space="0" w:color="auto"/>
              <w:left w:val="none" w:sz="0" w:space="0" w:color="auto"/>
              <w:bottom w:val="single" w:sz="4" w:space="0" w:color="auto"/>
              <w:right w:val="none" w:sz="0" w:space="0" w:color="auto"/>
            </w:tcBorders>
            <w:shd w:val="clear" w:color="auto" w:fill="auto"/>
          </w:tcPr>
          <w:p w:rsidR="006F7CA7" w:rsidRPr="00DA7619" w:rsidRDefault="006F7CA7" w:rsidP="00CE24BA">
            <w:pPr>
              <w:jc w:val="center"/>
              <w:cnfStyle w:val="100000000000"/>
              <w:rPr>
                <w:color w:val="auto"/>
              </w:rPr>
            </w:pPr>
            <w:r w:rsidRPr="00DA7619">
              <w:rPr>
                <w:color w:val="auto"/>
              </w:rPr>
              <w:t>Institution</w:t>
            </w:r>
          </w:p>
        </w:tc>
        <w:tc>
          <w:tcPr>
            <w:tcW w:w="0" w:type="auto"/>
            <w:tcBorders>
              <w:top w:val="none" w:sz="0" w:space="0" w:color="auto"/>
              <w:left w:val="none" w:sz="0" w:space="0" w:color="auto"/>
              <w:bottom w:val="single" w:sz="4" w:space="0" w:color="auto"/>
              <w:right w:val="none" w:sz="0" w:space="0" w:color="auto"/>
            </w:tcBorders>
            <w:shd w:val="clear" w:color="auto" w:fill="auto"/>
          </w:tcPr>
          <w:p w:rsidR="006F7CA7" w:rsidRPr="00DA7619" w:rsidRDefault="006F7CA7" w:rsidP="006F7CA7">
            <w:pPr>
              <w:jc w:val="center"/>
              <w:cnfStyle w:val="100000000000"/>
              <w:rPr>
                <w:color w:val="auto"/>
              </w:rPr>
            </w:pPr>
            <w:r w:rsidRPr="00DA7619">
              <w:rPr>
                <w:color w:val="auto"/>
              </w:rPr>
              <w:t>Persons met</w:t>
            </w:r>
          </w:p>
        </w:tc>
      </w:tr>
      <w:tr w:rsidR="005301E8" w:rsidRPr="00DA7619" w:rsidTr="00D049C9">
        <w:trPr>
          <w:cnfStyle w:val="000000100000"/>
        </w:trPr>
        <w:tc>
          <w:tcPr>
            <w:cnfStyle w:val="001000000000"/>
            <w:tcW w:w="0" w:type="auto"/>
            <w:tcBorders>
              <w:left w:val="single" w:sz="4" w:space="0" w:color="auto"/>
              <w:right w:val="single" w:sz="4" w:space="0" w:color="auto"/>
            </w:tcBorders>
            <w:shd w:val="clear" w:color="auto" w:fill="auto"/>
            <w:vAlign w:val="center"/>
          </w:tcPr>
          <w:p w:rsidR="005301E8" w:rsidRPr="00DA7619" w:rsidRDefault="005301E8" w:rsidP="00D049C9">
            <w:pPr>
              <w:jc w:val="center"/>
              <w:rPr>
                <w:b w:val="0"/>
                <w:color w:val="auto"/>
              </w:rPr>
            </w:pPr>
            <w:r w:rsidRPr="00DA7619">
              <w:rPr>
                <w:b w:val="0"/>
                <w:color w:val="auto"/>
              </w:rPr>
              <w:t>Mission hosted by:</w:t>
            </w:r>
          </w:p>
        </w:tc>
        <w:tc>
          <w:tcPr>
            <w:tcW w:w="0" w:type="auto"/>
            <w:tcBorders>
              <w:left w:val="single" w:sz="4" w:space="0" w:color="auto"/>
              <w:right w:val="single" w:sz="4" w:space="0" w:color="auto"/>
            </w:tcBorders>
            <w:shd w:val="clear" w:color="auto" w:fill="auto"/>
            <w:vAlign w:val="center"/>
          </w:tcPr>
          <w:p w:rsidR="005301E8" w:rsidRPr="00DA7619" w:rsidRDefault="005301E8" w:rsidP="00D049C9">
            <w:pPr>
              <w:jc w:val="center"/>
              <w:cnfStyle w:val="000000100000"/>
              <w:rPr>
                <w:color w:val="auto"/>
              </w:rPr>
            </w:pPr>
            <w:r w:rsidRPr="00DA7619">
              <w:rPr>
                <w:color w:val="auto"/>
              </w:rPr>
              <w:t>UNDP</w:t>
            </w:r>
          </w:p>
        </w:tc>
        <w:tc>
          <w:tcPr>
            <w:tcW w:w="0" w:type="auto"/>
            <w:tcBorders>
              <w:left w:val="single" w:sz="4" w:space="0" w:color="auto"/>
              <w:right w:val="single" w:sz="4" w:space="0" w:color="auto"/>
            </w:tcBorders>
            <w:shd w:val="clear" w:color="auto" w:fill="auto"/>
          </w:tcPr>
          <w:p w:rsidR="00A67121" w:rsidRPr="00DA7619" w:rsidRDefault="00A67121" w:rsidP="006F7CA7">
            <w:pPr>
              <w:cnfStyle w:val="000000100000"/>
              <w:rPr>
                <w:color w:val="auto"/>
              </w:rPr>
            </w:pPr>
            <w:r w:rsidRPr="00DA7619">
              <w:rPr>
                <w:color w:val="auto"/>
              </w:rPr>
              <w:t xml:space="preserve">Dr. Riyad Musa,  </w:t>
            </w:r>
            <w:r w:rsidRPr="00DA7619">
              <w:rPr>
                <w:i/>
                <w:color w:val="auto"/>
              </w:rPr>
              <w:t>Resident Representative</w:t>
            </w:r>
            <w:r w:rsidRPr="00DA7619">
              <w:rPr>
                <w:color w:val="auto"/>
              </w:rPr>
              <w:t xml:space="preserve"> </w:t>
            </w:r>
          </w:p>
          <w:p w:rsidR="00A67121" w:rsidRPr="00DA7619" w:rsidRDefault="00A67121" w:rsidP="006F7CA7">
            <w:pPr>
              <w:cnfStyle w:val="000000100000"/>
              <w:rPr>
                <w:i/>
                <w:color w:val="auto"/>
              </w:rPr>
            </w:pPr>
            <w:r w:rsidRPr="00DA7619">
              <w:rPr>
                <w:color w:val="auto"/>
              </w:rPr>
              <w:t xml:space="preserve">Kishan Khoday, </w:t>
            </w:r>
            <w:r w:rsidRPr="00DA7619">
              <w:rPr>
                <w:i/>
                <w:color w:val="auto"/>
              </w:rPr>
              <w:t xml:space="preserve">Deputy Resident Representative </w:t>
            </w:r>
          </w:p>
          <w:p w:rsidR="00A67121" w:rsidRPr="00DA7619" w:rsidRDefault="005301E8" w:rsidP="00A67121">
            <w:pPr>
              <w:cnfStyle w:val="000000100000"/>
              <w:rPr>
                <w:color w:val="auto"/>
              </w:rPr>
            </w:pPr>
            <w:r w:rsidRPr="00DA7619">
              <w:rPr>
                <w:color w:val="auto"/>
              </w:rPr>
              <w:t>Mayssam Tamim</w:t>
            </w:r>
            <w:r w:rsidR="00A67121" w:rsidRPr="00DA7619">
              <w:rPr>
                <w:color w:val="auto"/>
              </w:rPr>
              <w:t xml:space="preserve">, </w:t>
            </w:r>
            <w:r w:rsidR="00A67121" w:rsidRPr="00DA7619">
              <w:rPr>
                <w:i/>
                <w:color w:val="auto"/>
              </w:rPr>
              <w:t>Assistant Resident Representative</w:t>
            </w:r>
            <w:r w:rsidR="00A67121" w:rsidRPr="00DA7619">
              <w:rPr>
                <w:color w:val="auto"/>
              </w:rPr>
              <w:t xml:space="preserve"> </w:t>
            </w:r>
          </w:p>
          <w:p w:rsidR="00A67121" w:rsidRPr="00DA7619" w:rsidRDefault="00A67121" w:rsidP="00A67121">
            <w:pPr>
              <w:cnfStyle w:val="000000100000"/>
              <w:rPr>
                <w:color w:val="auto"/>
              </w:rPr>
            </w:pPr>
            <w:r w:rsidRPr="00DA7619">
              <w:rPr>
                <w:color w:val="auto"/>
              </w:rPr>
              <w:t xml:space="preserve">Yassin Yassin, </w:t>
            </w:r>
            <w:r w:rsidRPr="00DA7619">
              <w:rPr>
                <w:i/>
                <w:color w:val="auto"/>
              </w:rPr>
              <w:t>Senior Programme Associate</w:t>
            </w:r>
          </w:p>
          <w:p w:rsidR="00A67121" w:rsidRPr="00DA7619" w:rsidRDefault="00A67121" w:rsidP="006F7CA7">
            <w:pPr>
              <w:cnfStyle w:val="000000100000"/>
              <w:rPr>
                <w:color w:val="auto"/>
              </w:rPr>
            </w:pPr>
            <w:r w:rsidRPr="00DA7619">
              <w:rPr>
                <w:color w:val="auto"/>
              </w:rPr>
              <w:t>Sarah Al</w:t>
            </w:r>
            <w:r w:rsidR="00D049C9" w:rsidRPr="00DA7619">
              <w:rPr>
                <w:color w:val="auto"/>
              </w:rPr>
              <w:t>-S</w:t>
            </w:r>
            <w:r w:rsidRPr="00DA7619">
              <w:rPr>
                <w:color w:val="auto"/>
              </w:rPr>
              <w:t xml:space="preserve">houra, </w:t>
            </w:r>
            <w:r w:rsidRPr="00DA7619">
              <w:rPr>
                <w:i/>
                <w:color w:val="auto"/>
              </w:rPr>
              <w:t>Programme Associate</w:t>
            </w:r>
          </w:p>
          <w:p w:rsidR="00A67121" w:rsidRPr="00DA7619" w:rsidRDefault="00A67121" w:rsidP="006F7CA7">
            <w:pPr>
              <w:cnfStyle w:val="000000100000"/>
              <w:rPr>
                <w:color w:val="auto"/>
              </w:rPr>
            </w:pPr>
            <w:r w:rsidRPr="00DA7619">
              <w:rPr>
                <w:color w:val="auto"/>
              </w:rPr>
              <w:t>Haifa Al</w:t>
            </w:r>
            <w:r w:rsidR="00D049C9" w:rsidRPr="00DA7619">
              <w:rPr>
                <w:color w:val="auto"/>
              </w:rPr>
              <w:t>-</w:t>
            </w:r>
            <w:r w:rsidRPr="00DA7619">
              <w:rPr>
                <w:color w:val="auto"/>
              </w:rPr>
              <w:t xml:space="preserve">Mogrin, </w:t>
            </w:r>
            <w:r w:rsidRPr="00DA7619">
              <w:rPr>
                <w:i/>
                <w:color w:val="auto"/>
              </w:rPr>
              <w:t>Programme Associate</w:t>
            </w:r>
          </w:p>
        </w:tc>
      </w:tr>
      <w:tr w:rsidR="006F7CA7" w:rsidRPr="00DA7619" w:rsidTr="00D049C9">
        <w:tc>
          <w:tcPr>
            <w:cnfStyle w:val="001000000000"/>
            <w:tcW w:w="0" w:type="auto"/>
            <w:tcBorders>
              <w:bottom w:val="single" w:sz="4" w:space="0" w:color="auto"/>
            </w:tcBorders>
            <w:shd w:val="clear" w:color="auto" w:fill="auto"/>
            <w:vAlign w:val="center"/>
          </w:tcPr>
          <w:p w:rsidR="006F7CA7" w:rsidRPr="00DA7619" w:rsidRDefault="006F7CA7" w:rsidP="00D049C9">
            <w:pPr>
              <w:jc w:val="center"/>
              <w:rPr>
                <w:b w:val="0"/>
                <w:color w:val="auto"/>
              </w:rPr>
            </w:pPr>
            <w:r w:rsidRPr="00DA7619">
              <w:rPr>
                <w:b w:val="0"/>
                <w:color w:val="auto"/>
              </w:rPr>
              <w:t>Sunday, March 11, 2012</w:t>
            </w:r>
          </w:p>
        </w:tc>
        <w:tc>
          <w:tcPr>
            <w:tcW w:w="0" w:type="auto"/>
            <w:tcBorders>
              <w:bottom w:val="single" w:sz="4" w:space="0" w:color="auto"/>
            </w:tcBorders>
            <w:shd w:val="clear" w:color="auto" w:fill="auto"/>
            <w:vAlign w:val="center"/>
          </w:tcPr>
          <w:p w:rsidR="006F7CA7" w:rsidRPr="00DA7619" w:rsidRDefault="006F7CA7" w:rsidP="00D049C9">
            <w:pPr>
              <w:jc w:val="center"/>
              <w:cnfStyle w:val="000000000000"/>
              <w:rPr>
                <w:color w:val="auto"/>
              </w:rPr>
            </w:pPr>
            <w:r w:rsidRPr="00DA7619">
              <w:rPr>
                <w:color w:val="auto"/>
              </w:rPr>
              <w:t>SFDA</w:t>
            </w:r>
          </w:p>
        </w:tc>
        <w:tc>
          <w:tcPr>
            <w:tcW w:w="0" w:type="auto"/>
            <w:tcBorders>
              <w:bottom w:val="single" w:sz="4" w:space="0" w:color="auto"/>
            </w:tcBorders>
            <w:shd w:val="clear" w:color="auto" w:fill="auto"/>
          </w:tcPr>
          <w:p w:rsidR="006F7CA7" w:rsidRPr="00DA7619" w:rsidRDefault="006F7CA7" w:rsidP="006F7CA7">
            <w:pPr>
              <w:cnfStyle w:val="000000000000"/>
              <w:rPr>
                <w:color w:val="auto"/>
              </w:rPr>
            </w:pPr>
            <w:r w:rsidRPr="00DA7619">
              <w:rPr>
                <w:color w:val="auto"/>
              </w:rPr>
              <w:t>Mohammad O. Al Kharashi</w:t>
            </w:r>
          </w:p>
          <w:p w:rsidR="006F7CA7" w:rsidRPr="00DA7619" w:rsidRDefault="006F7CA7" w:rsidP="006F7CA7">
            <w:pPr>
              <w:cnfStyle w:val="000000000000"/>
              <w:rPr>
                <w:i/>
                <w:color w:val="auto"/>
              </w:rPr>
            </w:pPr>
            <w:r w:rsidRPr="00DA7619">
              <w:rPr>
                <w:i/>
                <w:color w:val="auto"/>
              </w:rPr>
              <w:t>Executive President Assistant of Shared Services</w:t>
            </w:r>
          </w:p>
          <w:p w:rsidR="006F7CA7" w:rsidRPr="00DA7619" w:rsidRDefault="00D049C9" w:rsidP="006F7CA7">
            <w:pPr>
              <w:cnfStyle w:val="000000000000"/>
              <w:rPr>
                <w:i/>
                <w:color w:val="auto"/>
              </w:rPr>
            </w:pPr>
            <w:r w:rsidRPr="00DA7619">
              <w:rPr>
                <w:color w:val="auto"/>
              </w:rPr>
              <w:t>Ziad Abdulaziz Al-</w:t>
            </w:r>
            <w:r w:rsidR="006F7CA7" w:rsidRPr="00DA7619">
              <w:rPr>
                <w:color w:val="auto"/>
              </w:rPr>
              <w:t>Bassam</w:t>
            </w:r>
            <w:r w:rsidR="00412D75" w:rsidRPr="00DA7619">
              <w:rPr>
                <w:color w:val="auto"/>
              </w:rPr>
              <w:t xml:space="preserve">, </w:t>
            </w:r>
            <w:r w:rsidR="006F7CA7" w:rsidRPr="00DA7619">
              <w:rPr>
                <w:i/>
                <w:color w:val="auto"/>
              </w:rPr>
              <w:t>Accountant</w:t>
            </w:r>
          </w:p>
          <w:p w:rsidR="006F7CA7" w:rsidRPr="00DA7619" w:rsidRDefault="006F7CA7" w:rsidP="00412D75">
            <w:pPr>
              <w:cnfStyle w:val="000000000000"/>
              <w:rPr>
                <w:i/>
                <w:color w:val="auto"/>
              </w:rPr>
            </w:pPr>
            <w:r w:rsidRPr="00DA7619">
              <w:rPr>
                <w:color w:val="auto"/>
              </w:rPr>
              <w:t>Ali Alrasheed</w:t>
            </w:r>
            <w:r w:rsidR="00412D75" w:rsidRPr="00DA7619">
              <w:rPr>
                <w:color w:val="auto"/>
              </w:rPr>
              <w:t xml:space="preserve">, </w:t>
            </w:r>
            <w:r w:rsidRPr="00DA7619">
              <w:rPr>
                <w:i/>
                <w:color w:val="auto"/>
              </w:rPr>
              <w:t>Finance Controller</w:t>
            </w:r>
          </w:p>
        </w:tc>
      </w:tr>
      <w:tr w:rsidR="006F7CA7" w:rsidRPr="00DA7619" w:rsidTr="00D049C9">
        <w:trPr>
          <w:cnfStyle w:val="000000100000"/>
        </w:trPr>
        <w:tc>
          <w:tcPr>
            <w:cnfStyle w:val="001000000000"/>
            <w:tcW w:w="0" w:type="auto"/>
            <w:tcBorders>
              <w:left w:val="single" w:sz="4" w:space="0" w:color="auto"/>
              <w:right w:val="single" w:sz="4" w:space="0" w:color="auto"/>
            </w:tcBorders>
            <w:shd w:val="clear" w:color="auto" w:fill="auto"/>
            <w:vAlign w:val="center"/>
          </w:tcPr>
          <w:p w:rsidR="006F7CA7" w:rsidRPr="00DA7619" w:rsidRDefault="006F7CA7" w:rsidP="00D049C9">
            <w:pPr>
              <w:jc w:val="center"/>
              <w:rPr>
                <w:b w:val="0"/>
                <w:color w:val="auto"/>
              </w:rPr>
            </w:pPr>
            <w:r w:rsidRPr="00DA7619">
              <w:rPr>
                <w:b w:val="0"/>
                <w:color w:val="auto"/>
              </w:rPr>
              <w:t>Monday</w:t>
            </w:r>
            <w:r w:rsidRPr="00DA7619">
              <w:rPr>
                <w:color w:val="auto"/>
              </w:rPr>
              <w:t xml:space="preserve">, </w:t>
            </w:r>
            <w:r w:rsidRPr="00DA7619">
              <w:rPr>
                <w:b w:val="0"/>
                <w:color w:val="auto"/>
              </w:rPr>
              <w:t>March 12, 2012</w:t>
            </w:r>
          </w:p>
        </w:tc>
        <w:tc>
          <w:tcPr>
            <w:tcW w:w="0" w:type="auto"/>
            <w:tcBorders>
              <w:left w:val="single" w:sz="4" w:space="0" w:color="auto"/>
              <w:right w:val="single" w:sz="4" w:space="0" w:color="auto"/>
            </w:tcBorders>
            <w:shd w:val="clear" w:color="auto" w:fill="auto"/>
            <w:vAlign w:val="center"/>
          </w:tcPr>
          <w:p w:rsidR="006F7CA7" w:rsidRPr="00DA7619" w:rsidRDefault="006F7CA7" w:rsidP="00D049C9">
            <w:pPr>
              <w:jc w:val="center"/>
              <w:cnfStyle w:val="000000100000"/>
              <w:rPr>
                <w:color w:val="auto"/>
              </w:rPr>
            </w:pPr>
            <w:r w:rsidRPr="00DA7619">
              <w:rPr>
                <w:color w:val="auto"/>
              </w:rPr>
              <w:t>MOFA</w:t>
            </w:r>
          </w:p>
        </w:tc>
        <w:tc>
          <w:tcPr>
            <w:tcW w:w="0" w:type="auto"/>
            <w:tcBorders>
              <w:left w:val="single" w:sz="4" w:space="0" w:color="auto"/>
              <w:right w:val="single" w:sz="4" w:space="0" w:color="auto"/>
            </w:tcBorders>
            <w:shd w:val="clear" w:color="auto" w:fill="auto"/>
          </w:tcPr>
          <w:p w:rsidR="006F7CA7" w:rsidRPr="00DA7619" w:rsidRDefault="006F7CA7" w:rsidP="006F7CA7">
            <w:pPr>
              <w:cnfStyle w:val="000000100000"/>
              <w:rPr>
                <w:i/>
                <w:color w:val="auto"/>
              </w:rPr>
            </w:pPr>
            <w:r w:rsidRPr="00DA7619">
              <w:rPr>
                <w:color w:val="auto"/>
              </w:rPr>
              <w:t>Ibrahim Al-Dowayyan</w:t>
            </w:r>
            <w:r w:rsidR="00D049C9" w:rsidRPr="00DA7619">
              <w:rPr>
                <w:color w:val="auto"/>
              </w:rPr>
              <w:t xml:space="preserve">, </w:t>
            </w:r>
            <w:r w:rsidRPr="00DA7619">
              <w:rPr>
                <w:i/>
                <w:color w:val="auto"/>
              </w:rPr>
              <w:t>Financial and Management Advisor</w:t>
            </w:r>
          </w:p>
          <w:p w:rsidR="006F7CA7" w:rsidRPr="00DA7619" w:rsidRDefault="006F7CA7" w:rsidP="006F7CA7">
            <w:pPr>
              <w:cnfStyle w:val="000000100000"/>
              <w:rPr>
                <w:i/>
                <w:color w:val="auto"/>
              </w:rPr>
            </w:pPr>
            <w:r w:rsidRPr="00DA7619">
              <w:rPr>
                <w:color w:val="auto"/>
              </w:rPr>
              <w:t>Dr. Abubakr Sultan</w:t>
            </w:r>
            <w:r w:rsidR="00412D75" w:rsidRPr="00DA7619">
              <w:rPr>
                <w:color w:val="auto"/>
              </w:rPr>
              <w:t xml:space="preserve">, </w:t>
            </w:r>
            <w:r w:rsidRPr="00DA7619">
              <w:rPr>
                <w:i/>
                <w:color w:val="auto"/>
              </w:rPr>
              <w:t>ICT Consultant</w:t>
            </w:r>
          </w:p>
          <w:p w:rsidR="006F7CA7" w:rsidRPr="00DA7619" w:rsidRDefault="006F7CA7" w:rsidP="006F7CA7">
            <w:pPr>
              <w:cnfStyle w:val="000000100000"/>
              <w:rPr>
                <w:i/>
                <w:color w:val="auto"/>
              </w:rPr>
            </w:pPr>
            <w:r w:rsidRPr="00DA7619">
              <w:rPr>
                <w:color w:val="auto"/>
              </w:rPr>
              <w:t>Abdulaziz Al-Muammar</w:t>
            </w:r>
            <w:r w:rsidR="00412D75" w:rsidRPr="00DA7619">
              <w:rPr>
                <w:color w:val="auto"/>
              </w:rPr>
              <w:t xml:space="preserve">, </w:t>
            </w:r>
            <w:r w:rsidRPr="00DA7619">
              <w:rPr>
                <w:i/>
                <w:color w:val="auto"/>
              </w:rPr>
              <w:t>Director, IT Project</w:t>
            </w:r>
          </w:p>
          <w:p w:rsidR="006F7CA7" w:rsidRPr="00DA7619" w:rsidRDefault="006F7CA7" w:rsidP="00412D75">
            <w:pPr>
              <w:cnfStyle w:val="000000100000"/>
              <w:rPr>
                <w:i/>
                <w:color w:val="auto"/>
              </w:rPr>
            </w:pPr>
            <w:r w:rsidRPr="00DA7619">
              <w:rPr>
                <w:color w:val="auto"/>
              </w:rPr>
              <w:t>Ahmed Mahir</w:t>
            </w:r>
            <w:r w:rsidR="00412D75" w:rsidRPr="00DA7619">
              <w:rPr>
                <w:color w:val="auto"/>
              </w:rPr>
              <w:t xml:space="preserve">, </w:t>
            </w:r>
            <w:r w:rsidRPr="00DA7619">
              <w:rPr>
                <w:i/>
                <w:color w:val="auto"/>
              </w:rPr>
              <w:t>Projects Manager</w:t>
            </w:r>
          </w:p>
        </w:tc>
      </w:tr>
      <w:tr w:rsidR="007E2879" w:rsidRPr="00DA7619" w:rsidTr="00D049C9">
        <w:trPr>
          <w:trHeight w:val="887"/>
        </w:trPr>
        <w:tc>
          <w:tcPr>
            <w:cnfStyle w:val="001000000000"/>
            <w:tcW w:w="0" w:type="auto"/>
            <w:vMerge w:val="restart"/>
            <w:shd w:val="clear" w:color="auto" w:fill="auto"/>
            <w:vAlign w:val="center"/>
          </w:tcPr>
          <w:p w:rsidR="007E2879" w:rsidRPr="00DA7619" w:rsidRDefault="007E2879" w:rsidP="00D049C9">
            <w:pPr>
              <w:jc w:val="center"/>
              <w:rPr>
                <w:b w:val="0"/>
                <w:color w:val="auto"/>
              </w:rPr>
            </w:pPr>
            <w:r w:rsidRPr="00DA7619">
              <w:rPr>
                <w:b w:val="0"/>
                <w:color w:val="auto"/>
              </w:rPr>
              <w:t>Wednesday, March 14, 2012</w:t>
            </w:r>
          </w:p>
        </w:tc>
        <w:tc>
          <w:tcPr>
            <w:tcW w:w="0" w:type="auto"/>
            <w:shd w:val="clear" w:color="auto" w:fill="auto"/>
            <w:vAlign w:val="center"/>
          </w:tcPr>
          <w:p w:rsidR="007E2879" w:rsidRPr="00DA7619" w:rsidRDefault="007E2879" w:rsidP="00D049C9">
            <w:pPr>
              <w:jc w:val="center"/>
              <w:cnfStyle w:val="000000000000"/>
              <w:rPr>
                <w:color w:val="auto"/>
              </w:rPr>
            </w:pPr>
            <w:r w:rsidRPr="00DA7619">
              <w:rPr>
                <w:color w:val="auto"/>
              </w:rPr>
              <w:t>Urban Observatory</w:t>
            </w:r>
          </w:p>
          <w:p w:rsidR="007E2879" w:rsidRPr="00DA7619" w:rsidRDefault="007E2879" w:rsidP="00D049C9">
            <w:pPr>
              <w:jc w:val="center"/>
              <w:cnfStyle w:val="000000000000"/>
              <w:rPr>
                <w:color w:val="auto"/>
              </w:rPr>
            </w:pPr>
          </w:p>
          <w:p w:rsidR="007E2879" w:rsidRPr="00DA7619" w:rsidRDefault="007E2879" w:rsidP="00D049C9">
            <w:pPr>
              <w:jc w:val="center"/>
              <w:cnfStyle w:val="000000000000"/>
              <w:rPr>
                <w:color w:val="auto"/>
              </w:rPr>
            </w:pPr>
          </w:p>
          <w:p w:rsidR="007E2879" w:rsidRPr="00DA7619" w:rsidRDefault="007E2879" w:rsidP="00D049C9">
            <w:pPr>
              <w:jc w:val="center"/>
              <w:cnfStyle w:val="000000000000"/>
              <w:rPr>
                <w:color w:val="auto"/>
              </w:rPr>
            </w:pPr>
          </w:p>
        </w:tc>
        <w:tc>
          <w:tcPr>
            <w:tcW w:w="0" w:type="auto"/>
            <w:shd w:val="clear" w:color="auto" w:fill="auto"/>
          </w:tcPr>
          <w:p w:rsidR="007E2879" w:rsidRPr="00DA7619" w:rsidRDefault="007E2879" w:rsidP="006F7CA7">
            <w:pPr>
              <w:cnfStyle w:val="000000000000"/>
              <w:rPr>
                <w:rFonts w:cs="Calibri"/>
                <w:i/>
                <w:color w:val="auto"/>
              </w:rPr>
            </w:pPr>
            <w:r w:rsidRPr="00DA7619">
              <w:rPr>
                <w:rFonts w:cs="Calibri"/>
                <w:color w:val="auto"/>
              </w:rPr>
              <w:t>H. E. Mr. Ahmed Al-Salloum</w:t>
            </w:r>
            <w:r w:rsidR="00D049C9" w:rsidRPr="00DA7619">
              <w:rPr>
                <w:rFonts w:cs="Calibri"/>
                <w:color w:val="auto"/>
              </w:rPr>
              <w:t>,</w:t>
            </w:r>
            <w:r w:rsidRPr="00DA7619">
              <w:rPr>
                <w:rFonts w:cs="Calibri"/>
                <w:color w:val="auto"/>
              </w:rPr>
              <w:t xml:space="preserve"> </w:t>
            </w:r>
            <w:r w:rsidRPr="00DA7619">
              <w:rPr>
                <w:rFonts w:cs="Calibri"/>
                <w:i/>
                <w:color w:val="auto"/>
              </w:rPr>
              <w:t>Director General Arab Urban Development Institute (AUDI)</w:t>
            </w:r>
          </w:p>
          <w:p w:rsidR="007E2879" w:rsidRPr="00DA7619" w:rsidRDefault="007E2879" w:rsidP="00D049C9">
            <w:pPr>
              <w:cnfStyle w:val="000000000000"/>
              <w:rPr>
                <w:rFonts w:cs="Calibri"/>
                <w:i/>
                <w:color w:val="auto"/>
              </w:rPr>
            </w:pPr>
            <w:r w:rsidRPr="00DA7619">
              <w:rPr>
                <w:rFonts w:cs="Calibri"/>
                <w:color w:val="auto"/>
              </w:rPr>
              <w:t xml:space="preserve">Dr. Ahmed Taha, </w:t>
            </w:r>
            <w:r w:rsidRPr="00DA7619">
              <w:rPr>
                <w:rFonts w:cs="Calibri"/>
                <w:i/>
                <w:color w:val="auto"/>
              </w:rPr>
              <w:t>Urban Observatories Expert (</w:t>
            </w:r>
            <w:r w:rsidR="00D049C9" w:rsidRPr="00DA7619">
              <w:rPr>
                <w:rFonts w:cs="Calibri"/>
                <w:i/>
                <w:color w:val="auto"/>
              </w:rPr>
              <w:t>Senior Consulta</w:t>
            </w:r>
            <w:r w:rsidRPr="00DA7619">
              <w:rPr>
                <w:rFonts w:cs="Calibri"/>
                <w:i/>
                <w:color w:val="auto"/>
              </w:rPr>
              <w:t xml:space="preserve">nt for Madinah </w:t>
            </w:r>
            <w:r w:rsidR="00D049C9" w:rsidRPr="00DA7619">
              <w:rPr>
                <w:rFonts w:cs="Calibri"/>
                <w:i/>
                <w:color w:val="auto"/>
              </w:rPr>
              <w:t xml:space="preserve">Urban </w:t>
            </w:r>
            <w:r w:rsidRPr="00DA7619">
              <w:rPr>
                <w:rFonts w:cs="Calibri"/>
                <w:i/>
                <w:color w:val="auto"/>
              </w:rPr>
              <w:t>Observatory Network in the period under evaluation)</w:t>
            </w:r>
          </w:p>
        </w:tc>
      </w:tr>
      <w:tr w:rsidR="007E2879" w:rsidRPr="00DA7619" w:rsidTr="00D049C9">
        <w:trPr>
          <w:cnfStyle w:val="000000100000"/>
          <w:trHeight w:val="886"/>
        </w:trPr>
        <w:tc>
          <w:tcPr>
            <w:cnfStyle w:val="001000000000"/>
            <w:tcW w:w="0" w:type="auto"/>
            <w:vMerge/>
            <w:tcBorders>
              <w:left w:val="single" w:sz="4" w:space="0" w:color="auto"/>
              <w:right w:val="single" w:sz="4" w:space="0" w:color="auto"/>
            </w:tcBorders>
            <w:shd w:val="clear" w:color="auto" w:fill="auto"/>
            <w:vAlign w:val="center"/>
          </w:tcPr>
          <w:p w:rsidR="007E2879" w:rsidRPr="00DA7619" w:rsidRDefault="007E2879" w:rsidP="00D049C9">
            <w:pPr>
              <w:jc w:val="center"/>
              <w:rPr>
                <w:b w:val="0"/>
                <w:color w:val="auto"/>
              </w:rPr>
            </w:pPr>
          </w:p>
        </w:tc>
        <w:tc>
          <w:tcPr>
            <w:tcW w:w="0" w:type="auto"/>
            <w:tcBorders>
              <w:left w:val="single" w:sz="4" w:space="0" w:color="auto"/>
              <w:right w:val="single" w:sz="4" w:space="0" w:color="auto"/>
            </w:tcBorders>
            <w:shd w:val="clear" w:color="auto" w:fill="auto"/>
            <w:vAlign w:val="center"/>
          </w:tcPr>
          <w:p w:rsidR="007E2879" w:rsidRPr="00DA7619" w:rsidRDefault="007E2879" w:rsidP="00D049C9">
            <w:pPr>
              <w:jc w:val="center"/>
              <w:cnfStyle w:val="000000100000"/>
              <w:rPr>
                <w:color w:val="auto"/>
              </w:rPr>
            </w:pPr>
          </w:p>
        </w:tc>
        <w:tc>
          <w:tcPr>
            <w:tcW w:w="0" w:type="auto"/>
            <w:tcBorders>
              <w:left w:val="single" w:sz="4" w:space="0" w:color="auto"/>
              <w:right w:val="single" w:sz="4" w:space="0" w:color="auto"/>
            </w:tcBorders>
            <w:shd w:val="clear" w:color="auto" w:fill="auto"/>
          </w:tcPr>
          <w:p w:rsidR="007E2879" w:rsidRPr="00DA7619" w:rsidRDefault="007E2879" w:rsidP="007E2879">
            <w:pPr>
              <w:cnfStyle w:val="000000100000"/>
              <w:rPr>
                <w:rFonts w:cs="Calibri"/>
                <w:color w:val="auto"/>
              </w:rPr>
            </w:pPr>
          </w:p>
        </w:tc>
      </w:tr>
      <w:tr w:rsidR="006F7CA7" w:rsidRPr="00DA7619" w:rsidTr="00D049C9">
        <w:tc>
          <w:tcPr>
            <w:cnfStyle w:val="001000000000"/>
            <w:tcW w:w="0" w:type="auto"/>
            <w:tcBorders>
              <w:bottom w:val="single" w:sz="4" w:space="0" w:color="auto"/>
            </w:tcBorders>
            <w:shd w:val="clear" w:color="auto" w:fill="auto"/>
            <w:vAlign w:val="center"/>
          </w:tcPr>
          <w:p w:rsidR="006F7CA7" w:rsidRPr="00DA7619" w:rsidRDefault="006F7CA7" w:rsidP="00D049C9">
            <w:pPr>
              <w:jc w:val="center"/>
              <w:rPr>
                <w:b w:val="0"/>
                <w:color w:val="auto"/>
              </w:rPr>
            </w:pPr>
            <w:r w:rsidRPr="00DA7619">
              <w:rPr>
                <w:b w:val="0"/>
                <w:color w:val="auto"/>
              </w:rPr>
              <w:t>Saturday, March 17, 2012</w:t>
            </w:r>
          </w:p>
        </w:tc>
        <w:tc>
          <w:tcPr>
            <w:tcW w:w="0" w:type="auto"/>
            <w:tcBorders>
              <w:bottom w:val="single" w:sz="4" w:space="0" w:color="auto"/>
            </w:tcBorders>
            <w:shd w:val="clear" w:color="auto" w:fill="auto"/>
            <w:vAlign w:val="center"/>
          </w:tcPr>
          <w:p w:rsidR="006F7CA7" w:rsidRPr="00DA7619" w:rsidRDefault="006F7CA7" w:rsidP="00D049C9">
            <w:pPr>
              <w:jc w:val="center"/>
              <w:cnfStyle w:val="000000000000"/>
              <w:rPr>
                <w:color w:val="auto"/>
              </w:rPr>
            </w:pPr>
            <w:r w:rsidRPr="00DA7619">
              <w:rPr>
                <w:color w:val="auto"/>
              </w:rPr>
              <w:t>Open-Source Software</w:t>
            </w:r>
          </w:p>
        </w:tc>
        <w:tc>
          <w:tcPr>
            <w:tcW w:w="0" w:type="auto"/>
            <w:tcBorders>
              <w:bottom w:val="single" w:sz="4" w:space="0" w:color="auto"/>
            </w:tcBorders>
            <w:shd w:val="clear" w:color="auto" w:fill="auto"/>
          </w:tcPr>
          <w:p w:rsidR="006F7CA7" w:rsidRPr="00DA7619" w:rsidRDefault="006F7CA7" w:rsidP="006F7CA7">
            <w:pPr>
              <w:cnfStyle w:val="000000000000"/>
              <w:rPr>
                <w:i/>
                <w:color w:val="auto"/>
              </w:rPr>
            </w:pPr>
            <w:r w:rsidRPr="00DA7619">
              <w:rPr>
                <w:color w:val="auto"/>
              </w:rPr>
              <w:t>Abdulrahman Alarifi</w:t>
            </w:r>
            <w:r w:rsidR="00412D75" w:rsidRPr="00DA7619">
              <w:rPr>
                <w:color w:val="auto"/>
              </w:rPr>
              <w:t xml:space="preserve">, </w:t>
            </w:r>
            <w:r w:rsidRPr="00DA7619">
              <w:rPr>
                <w:i/>
                <w:color w:val="auto"/>
              </w:rPr>
              <w:t>Program Director</w:t>
            </w:r>
            <w:r w:rsidR="00412D75" w:rsidRPr="00DA7619">
              <w:rPr>
                <w:i/>
                <w:color w:val="auto"/>
              </w:rPr>
              <w:t xml:space="preserve"> </w:t>
            </w:r>
            <w:r w:rsidRPr="00DA7619">
              <w:rPr>
                <w:i/>
                <w:color w:val="auto"/>
              </w:rPr>
              <w:t>(Project Manager)</w:t>
            </w:r>
          </w:p>
          <w:p w:rsidR="006F7CA7" w:rsidRPr="00DA7619" w:rsidRDefault="006F7CA7" w:rsidP="00412D75">
            <w:pPr>
              <w:cnfStyle w:val="000000000000"/>
              <w:rPr>
                <w:i/>
                <w:color w:val="auto"/>
              </w:rPr>
            </w:pPr>
            <w:r w:rsidRPr="00DA7619">
              <w:rPr>
                <w:color w:val="auto"/>
              </w:rPr>
              <w:t xml:space="preserve">Mohammad Zarour </w:t>
            </w:r>
            <w:r w:rsidRPr="00DA7619">
              <w:rPr>
                <w:i/>
                <w:color w:val="auto"/>
              </w:rPr>
              <w:t>Ph.D</w:t>
            </w:r>
            <w:r w:rsidR="00412D75" w:rsidRPr="00DA7619">
              <w:rPr>
                <w:i/>
                <w:color w:val="auto"/>
              </w:rPr>
              <w:t xml:space="preserve">, </w:t>
            </w:r>
            <w:r w:rsidRPr="00DA7619">
              <w:rPr>
                <w:i/>
                <w:color w:val="auto"/>
              </w:rPr>
              <w:t>Chief Technical Advisor (KACST)</w:t>
            </w:r>
          </w:p>
        </w:tc>
      </w:tr>
      <w:tr w:rsidR="006F7CA7" w:rsidRPr="00DA7619" w:rsidTr="00D049C9">
        <w:trPr>
          <w:cnfStyle w:val="000000100000"/>
        </w:trPr>
        <w:tc>
          <w:tcPr>
            <w:cnfStyle w:val="001000000000"/>
            <w:tcW w:w="0" w:type="auto"/>
            <w:tcBorders>
              <w:left w:val="single" w:sz="4" w:space="0" w:color="auto"/>
              <w:right w:val="single" w:sz="4" w:space="0" w:color="auto"/>
            </w:tcBorders>
            <w:shd w:val="clear" w:color="auto" w:fill="auto"/>
            <w:vAlign w:val="center"/>
          </w:tcPr>
          <w:p w:rsidR="006F7CA7" w:rsidRPr="00DA7619" w:rsidRDefault="006F7CA7" w:rsidP="00D049C9">
            <w:pPr>
              <w:jc w:val="center"/>
              <w:rPr>
                <w:b w:val="0"/>
                <w:color w:val="auto"/>
              </w:rPr>
            </w:pPr>
            <w:r w:rsidRPr="00DA7619">
              <w:rPr>
                <w:b w:val="0"/>
                <w:color w:val="auto"/>
              </w:rPr>
              <w:t>Sunday, March 18, 2012</w:t>
            </w:r>
          </w:p>
        </w:tc>
        <w:tc>
          <w:tcPr>
            <w:tcW w:w="0" w:type="auto"/>
            <w:tcBorders>
              <w:left w:val="single" w:sz="4" w:space="0" w:color="auto"/>
              <w:right w:val="single" w:sz="4" w:space="0" w:color="auto"/>
            </w:tcBorders>
            <w:shd w:val="clear" w:color="auto" w:fill="auto"/>
            <w:vAlign w:val="center"/>
          </w:tcPr>
          <w:p w:rsidR="006F7CA7" w:rsidRPr="00DA7619" w:rsidRDefault="006F7CA7" w:rsidP="00D049C9">
            <w:pPr>
              <w:jc w:val="center"/>
              <w:cnfStyle w:val="000000100000"/>
              <w:rPr>
                <w:color w:val="auto"/>
              </w:rPr>
            </w:pPr>
            <w:r w:rsidRPr="00DA7619">
              <w:rPr>
                <w:color w:val="auto"/>
              </w:rPr>
              <w:t>SFDA</w:t>
            </w:r>
          </w:p>
        </w:tc>
        <w:tc>
          <w:tcPr>
            <w:tcW w:w="0" w:type="auto"/>
            <w:tcBorders>
              <w:left w:val="single" w:sz="4" w:space="0" w:color="auto"/>
              <w:right w:val="single" w:sz="4" w:space="0" w:color="auto"/>
            </w:tcBorders>
            <w:shd w:val="clear" w:color="auto" w:fill="auto"/>
          </w:tcPr>
          <w:p w:rsidR="006F7CA7" w:rsidRPr="00DA7619" w:rsidRDefault="006F7CA7" w:rsidP="006F7CA7">
            <w:pPr>
              <w:cnfStyle w:val="000000100000"/>
              <w:rPr>
                <w:color w:val="auto"/>
              </w:rPr>
            </w:pPr>
            <w:r w:rsidRPr="00DA7619">
              <w:rPr>
                <w:color w:val="auto"/>
              </w:rPr>
              <w:t>Dr. Mohammed Al Kanhal</w:t>
            </w:r>
            <w:r w:rsidR="00F46593" w:rsidRPr="00DA7619">
              <w:rPr>
                <w:color w:val="auto"/>
              </w:rPr>
              <w:t xml:space="preserve">, </w:t>
            </w:r>
            <w:r w:rsidR="00D049C9" w:rsidRPr="00DA7619">
              <w:rPr>
                <w:i/>
                <w:color w:val="auto"/>
              </w:rPr>
              <w:t xml:space="preserve">President, </w:t>
            </w:r>
            <w:r w:rsidRPr="00DA7619">
              <w:rPr>
                <w:i/>
                <w:color w:val="auto"/>
              </w:rPr>
              <w:t>SFDA</w:t>
            </w:r>
            <w:r w:rsidRPr="00DA7619">
              <w:rPr>
                <w:color w:val="auto"/>
              </w:rPr>
              <w:t xml:space="preserve"> </w:t>
            </w:r>
          </w:p>
          <w:p w:rsidR="006F7CA7" w:rsidRPr="00DA7619" w:rsidRDefault="006F7CA7" w:rsidP="006F7CA7">
            <w:pPr>
              <w:cnfStyle w:val="000000100000"/>
              <w:rPr>
                <w:color w:val="auto"/>
              </w:rPr>
            </w:pPr>
            <w:r w:rsidRPr="00DA7619">
              <w:rPr>
                <w:color w:val="auto"/>
              </w:rPr>
              <w:t>Mohammad A. Dahhas</w:t>
            </w:r>
            <w:r w:rsidR="00412D75" w:rsidRPr="00DA7619">
              <w:rPr>
                <w:color w:val="auto"/>
              </w:rPr>
              <w:t xml:space="preserve">, </w:t>
            </w:r>
            <w:r w:rsidRPr="00DA7619">
              <w:rPr>
                <w:i/>
                <w:color w:val="auto"/>
              </w:rPr>
              <w:t>Executive Director of Inspection and Law Enforcement (Dru</w:t>
            </w:r>
            <w:r w:rsidRPr="00DA7619">
              <w:rPr>
                <w:color w:val="auto"/>
              </w:rPr>
              <w:t xml:space="preserve">g </w:t>
            </w:r>
            <w:r w:rsidRPr="00DA7619">
              <w:rPr>
                <w:i/>
                <w:color w:val="auto"/>
              </w:rPr>
              <w:t>Sector</w:t>
            </w:r>
            <w:r w:rsidRPr="00DA7619">
              <w:rPr>
                <w:color w:val="auto"/>
              </w:rPr>
              <w:t>)</w:t>
            </w:r>
          </w:p>
          <w:p w:rsidR="006F7CA7" w:rsidRPr="00DA7619" w:rsidRDefault="006F7CA7" w:rsidP="006F7CA7">
            <w:pPr>
              <w:cnfStyle w:val="000000100000"/>
              <w:rPr>
                <w:i/>
                <w:color w:val="auto"/>
              </w:rPr>
            </w:pPr>
            <w:r w:rsidRPr="00DA7619">
              <w:rPr>
                <w:color w:val="auto"/>
              </w:rPr>
              <w:t>Prof. Saleh A. Bawazir</w:t>
            </w:r>
            <w:r w:rsidR="00412D75" w:rsidRPr="00DA7619">
              <w:rPr>
                <w:color w:val="auto"/>
              </w:rPr>
              <w:t xml:space="preserve">, </w:t>
            </w:r>
            <w:r w:rsidRPr="00DA7619">
              <w:rPr>
                <w:i/>
                <w:color w:val="auto"/>
              </w:rPr>
              <w:t>Vice President of Drug Affairs</w:t>
            </w:r>
          </w:p>
          <w:p w:rsidR="006F7CA7" w:rsidRPr="00DA7619" w:rsidRDefault="006F7CA7" w:rsidP="006F7CA7">
            <w:pPr>
              <w:cnfStyle w:val="000000100000"/>
              <w:rPr>
                <w:i/>
                <w:color w:val="auto"/>
              </w:rPr>
            </w:pPr>
            <w:r w:rsidRPr="00DA7619">
              <w:rPr>
                <w:color w:val="auto"/>
              </w:rPr>
              <w:t>Hajed M. H. Hashan</w:t>
            </w:r>
            <w:r w:rsidR="00412D75" w:rsidRPr="00DA7619">
              <w:rPr>
                <w:color w:val="auto"/>
              </w:rPr>
              <w:t xml:space="preserve">, </w:t>
            </w:r>
            <w:r w:rsidRPr="00DA7619">
              <w:rPr>
                <w:i/>
                <w:color w:val="auto"/>
              </w:rPr>
              <w:t>Executive Director of Licensing Department (Drug Sector)</w:t>
            </w:r>
          </w:p>
          <w:p w:rsidR="006F7CA7" w:rsidRPr="00DA7619" w:rsidRDefault="006F7CA7" w:rsidP="006F7CA7">
            <w:pPr>
              <w:cnfStyle w:val="000000100000"/>
              <w:rPr>
                <w:i/>
                <w:color w:val="auto"/>
              </w:rPr>
            </w:pPr>
            <w:r w:rsidRPr="00DA7619">
              <w:rPr>
                <w:color w:val="auto"/>
              </w:rPr>
              <w:t>Dr. Zohair S. Mulla</w:t>
            </w:r>
            <w:r w:rsidR="00412D75" w:rsidRPr="00DA7619">
              <w:rPr>
                <w:color w:val="auto"/>
              </w:rPr>
              <w:t xml:space="preserve">, </w:t>
            </w:r>
            <w:r w:rsidRPr="00DA7619">
              <w:rPr>
                <w:i/>
                <w:color w:val="auto"/>
              </w:rPr>
              <w:t>Consultant (Food Sector)</w:t>
            </w:r>
          </w:p>
          <w:p w:rsidR="006F7CA7" w:rsidRPr="00DA7619" w:rsidRDefault="006F7CA7" w:rsidP="00412D75">
            <w:pPr>
              <w:cnfStyle w:val="000000100000"/>
              <w:rPr>
                <w:i/>
                <w:color w:val="auto"/>
              </w:rPr>
            </w:pPr>
            <w:r w:rsidRPr="00DA7619">
              <w:rPr>
                <w:color w:val="auto"/>
              </w:rPr>
              <w:t>Dr. Ibraheem A. Al Sheddy</w:t>
            </w:r>
            <w:r w:rsidR="00412D75" w:rsidRPr="00DA7619">
              <w:rPr>
                <w:color w:val="auto"/>
              </w:rPr>
              <w:t xml:space="preserve">, </w:t>
            </w:r>
            <w:r w:rsidRPr="00DA7619">
              <w:rPr>
                <w:i/>
                <w:color w:val="auto"/>
              </w:rPr>
              <w:t>Consultant (Food Sector)</w:t>
            </w:r>
          </w:p>
        </w:tc>
      </w:tr>
      <w:tr w:rsidR="006F7CA7" w:rsidRPr="00DA7619" w:rsidTr="00D049C9">
        <w:tc>
          <w:tcPr>
            <w:cnfStyle w:val="001000000000"/>
            <w:tcW w:w="0" w:type="auto"/>
            <w:tcBorders>
              <w:bottom w:val="single" w:sz="4" w:space="0" w:color="auto"/>
            </w:tcBorders>
            <w:shd w:val="clear" w:color="auto" w:fill="auto"/>
            <w:vAlign w:val="center"/>
          </w:tcPr>
          <w:p w:rsidR="006F7CA7" w:rsidRPr="00DA7619" w:rsidRDefault="006F7CA7" w:rsidP="00D049C9">
            <w:pPr>
              <w:jc w:val="center"/>
              <w:rPr>
                <w:b w:val="0"/>
                <w:color w:val="auto"/>
              </w:rPr>
            </w:pPr>
            <w:r w:rsidRPr="00DA7619">
              <w:rPr>
                <w:b w:val="0"/>
                <w:color w:val="auto"/>
              </w:rPr>
              <w:t>Monday, March 19, 2012</w:t>
            </w:r>
          </w:p>
        </w:tc>
        <w:tc>
          <w:tcPr>
            <w:tcW w:w="0" w:type="auto"/>
            <w:tcBorders>
              <w:bottom w:val="single" w:sz="4" w:space="0" w:color="auto"/>
            </w:tcBorders>
            <w:shd w:val="clear" w:color="auto" w:fill="auto"/>
            <w:vAlign w:val="center"/>
          </w:tcPr>
          <w:p w:rsidR="006F7CA7" w:rsidRPr="00DA7619" w:rsidRDefault="006F7CA7" w:rsidP="00D049C9">
            <w:pPr>
              <w:jc w:val="center"/>
              <w:cnfStyle w:val="000000000000"/>
              <w:rPr>
                <w:color w:val="auto"/>
              </w:rPr>
            </w:pPr>
            <w:r w:rsidRPr="00DA7619">
              <w:rPr>
                <w:color w:val="auto"/>
              </w:rPr>
              <w:t>MOMRA</w:t>
            </w:r>
          </w:p>
          <w:p w:rsidR="006F7CA7" w:rsidRPr="00DA7619" w:rsidRDefault="006F7CA7" w:rsidP="00D049C9">
            <w:pPr>
              <w:jc w:val="center"/>
              <w:cnfStyle w:val="000000000000"/>
              <w:rPr>
                <w:color w:val="auto"/>
              </w:rPr>
            </w:pPr>
            <w:r w:rsidRPr="00DA7619">
              <w:rPr>
                <w:color w:val="auto"/>
              </w:rPr>
              <w:t>ITU</w:t>
            </w:r>
          </w:p>
        </w:tc>
        <w:tc>
          <w:tcPr>
            <w:tcW w:w="0" w:type="auto"/>
            <w:tcBorders>
              <w:bottom w:val="single" w:sz="4" w:space="0" w:color="auto"/>
            </w:tcBorders>
            <w:shd w:val="clear" w:color="auto" w:fill="auto"/>
          </w:tcPr>
          <w:p w:rsidR="006F7CA7" w:rsidRPr="00DA7619" w:rsidRDefault="006F7CA7" w:rsidP="006F7CA7">
            <w:pPr>
              <w:cnfStyle w:val="000000000000"/>
              <w:rPr>
                <w:i/>
                <w:color w:val="auto"/>
              </w:rPr>
            </w:pPr>
            <w:r w:rsidRPr="00DA7619">
              <w:rPr>
                <w:color w:val="auto"/>
              </w:rPr>
              <w:t>Mr. Jassir Al Jassir</w:t>
            </w:r>
            <w:r w:rsidR="00412D75" w:rsidRPr="00DA7619">
              <w:rPr>
                <w:color w:val="auto"/>
              </w:rPr>
              <w:t xml:space="preserve">, </w:t>
            </w:r>
            <w:r w:rsidRPr="00DA7619">
              <w:rPr>
                <w:i/>
                <w:color w:val="auto"/>
              </w:rPr>
              <w:t>Deputy Minister for Ministry of Programme and Planning</w:t>
            </w:r>
          </w:p>
          <w:p w:rsidR="006F7CA7" w:rsidRPr="00DA7619" w:rsidRDefault="00D049C9" w:rsidP="00D049C9">
            <w:pPr>
              <w:cnfStyle w:val="000000000000"/>
              <w:rPr>
                <w:color w:val="auto"/>
              </w:rPr>
            </w:pPr>
            <w:r w:rsidRPr="00DA7619">
              <w:rPr>
                <w:color w:val="auto"/>
              </w:rPr>
              <w:t xml:space="preserve">Mr. Fareed Y. Khashoggi,  </w:t>
            </w:r>
            <w:r w:rsidR="006D6C6B" w:rsidRPr="00DA7619">
              <w:rPr>
                <w:i/>
                <w:color w:val="auto"/>
              </w:rPr>
              <w:t>Deputy Minister International Organizations Affairs</w:t>
            </w:r>
            <w:r w:rsidR="0041419C" w:rsidRPr="00DA7619">
              <w:rPr>
                <w:i/>
                <w:color w:val="auto"/>
              </w:rPr>
              <w:t xml:space="preserve"> and </w:t>
            </w:r>
            <w:r w:rsidR="006D6C6B" w:rsidRPr="00DA7619">
              <w:rPr>
                <w:i/>
                <w:color w:val="auto"/>
              </w:rPr>
              <w:t xml:space="preserve">Project Coordinator MCIT, </w:t>
            </w:r>
            <w:r w:rsidR="006F7CA7" w:rsidRPr="00DA7619">
              <w:rPr>
                <w:color w:val="auto"/>
              </w:rPr>
              <w:t xml:space="preserve"> </w:t>
            </w:r>
          </w:p>
        </w:tc>
      </w:tr>
      <w:tr w:rsidR="006F7CA7" w:rsidRPr="00DA7619" w:rsidTr="00D049C9">
        <w:trPr>
          <w:cnfStyle w:val="000000100000"/>
        </w:trPr>
        <w:tc>
          <w:tcPr>
            <w:cnfStyle w:val="001000000000"/>
            <w:tcW w:w="0" w:type="auto"/>
            <w:tcBorders>
              <w:left w:val="single" w:sz="4" w:space="0" w:color="auto"/>
              <w:right w:val="single" w:sz="4" w:space="0" w:color="auto"/>
            </w:tcBorders>
            <w:shd w:val="clear" w:color="auto" w:fill="auto"/>
            <w:vAlign w:val="center"/>
          </w:tcPr>
          <w:p w:rsidR="006F7CA7" w:rsidRPr="00DA7619" w:rsidRDefault="006F7CA7" w:rsidP="00D049C9">
            <w:pPr>
              <w:jc w:val="center"/>
              <w:rPr>
                <w:b w:val="0"/>
                <w:color w:val="auto"/>
              </w:rPr>
            </w:pPr>
            <w:r w:rsidRPr="00DA7619">
              <w:rPr>
                <w:b w:val="0"/>
                <w:color w:val="auto"/>
              </w:rPr>
              <w:t>Tuesday, March 20, 2012</w:t>
            </w:r>
          </w:p>
        </w:tc>
        <w:tc>
          <w:tcPr>
            <w:tcW w:w="0" w:type="auto"/>
            <w:tcBorders>
              <w:left w:val="single" w:sz="4" w:space="0" w:color="auto"/>
              <w:right w:val="single" w:sz="4" w:space="0" w:color="auto"/>
            </w:tcBorders>
            <w:shd w:val="clear" w:color="auto" w:fill="auto"/>
            <w:vAlign w:val="center"/>
          </w:tcPr>
          <w:p w:rsidR="006F7CA7" w:rsidRPr="00DA7619" w:rsidRDefault="006F7CA7" w:rsidP="00D049C9">
            <w:pPr>
              <w:jc w:val="center"/>
              <w:cnfStyle w:val="000000100000"/>
              <w:rPr>
                <w:color w:val="auto"/>
              </w:rPr>
            </w:pPr>
            <w:r w:rsidRPr="00DA7619">
              <w:rPr>
                <w:color w:val="auto"/>
              </w:rPr>
              <w:t>Ministry of Roads and Transport</w:t>
            </w:r>
          </w:p>
        </w:tc>
        <w:tc>
          <w:tcPr>
            <w:tcW w:w="0" w:type="auto"/>
            <w:tcBorders>
              <w:left w:val="single" w:sz="4" w:space="0" w:color="auto"/>
              <w:right w:val="single" w:sz="4" w:space="0" w:color="auto"/>
            </w:tcBorders>
            <w:shd w:val="clear" w:color="auto" w:fill="auto"/>
          </w:tcPr>
          <w:p w:rsidR="006F7CA7" w:rsidRPr="00DA7619" w:rsidRDefault="006F7CA7" w:rsidP="006F7CA7">
            <w:pPr>
              <w:cnfStyle w:val="000000100000"/>
              <w:rPr>
                <w:color w:val="auto"/>
              </w:rPr>
            </w:pPr>
            <w:r w:rsidRPr="00DA7619">
              <w:rPr>
                <w:color w:val="auto"/>
              </w:rPr>
              <w:t>Eng Abdullah Al Mogbel</w:t>
            </w:r>
            <w:r w:rsidR="00D049C9" w:rsidRPr="00DA7619">
              <w:rPr>
                <w:color w:val="auto"/>
              </w:rPr>
              <w:t>,</w:t>
            </w:r>
          </w:p>
          <w:p w:rsidR="006F7CA7" w:rsidRPr="00DA7619" w:rsidRDefault="006F7CA7" w:rsidP="006F7CA7">
            <w:pPr>
              <w:cnfStyle w:val="000000100000"/>
              <w:rPr>
                <w:i/>
                <w:color w:val="auto"/>
              </w:rPr>
            </w:pPr>
            <w:r w:rsidRPr="00DA7619">
              <w:rPr>
                <w:i/>
                <w:color w:val="auto"/>
              </w:rPr>
              <w:t>Deputy Minister for Ministry of Roads and Transport</w:t>
            </w:r>
          </w:p>
        </w:tc>
      </w:tr>
    </w:tbl>
    <w:p w:rsidR="006F7CA7" w:rsidRPr="00DA7619" w:rsidRDefault="006F7CA7" w:rsidP="006F7CA7"/>
    <w:p w:rsidR="0005305E" w:rsidRPr="00DA7619" w:rsidRDefault="00105109" w:rsidP="00794230">
      <w:pPr>
        <w:pStyle w:val="Heading1"/>
      </w:pPr>
      <w:bookmarkStart w:id="55" w:name="_Toc325940209"/>
      <w:r>
        <w:lastRenderedPageBreak/>
        <w:t>Annex 4</w:t>
      </w:r>
      <w:r w:rsidR="0005305E" w:rsidRPr="00DA7619">
        <w:t xml:space="preserve">.  </w:t>
      </w:r>
      <w:r w:rsidR="00F06BCD" w:rsidRPr="00DA7619">
        <w:t>Selected d</w:t>
      </w:r>
      <w:r w:rsidR="0005305E" w:rsidRPr="00DA7619">
        <w:t>ocuments reviewed</w:t>
      </w:r>
      <w:bookmarkEnd w:id="55"/>
    </w:p>
    <w:p w:rsidR="009754A9" w:rsidRPr="00DA7619" w:rsidRDefault="009754A9" w:rsidP="009754A9">
      <w:pPr>
        <w:pStyle w:val="Heading2"/>
      </w:pPr>
      <w:bookmarkStart w:id="56" w:name="_Toc325940210"/>
      <w:r w:rsidRPr="00DA7619">
        <w:t>Government Plans</w:t>
      </w:r>
      <w:bookmarkEnd w:id="56"/>
    </w:p>
    <w:p w:rsidR="009754A9" w:rsidRPr="00DA7619" w:rsidRDefault="009754A9" w:rsidP="00FB7219">
      <w:pPr>
        <w:ind w:left="720"/>
      </w:pPr>
      <w:r w:rsidRPr="00DA7619">
        <w:t>7</w:t>
      </w:r>
      <w:r w:rsidRPr="00DA7619">
        <w:rPr>
          <w:vertAlign w:val="superscript"/>
        </w:rPr>
        <w:t>th</w:t>
      </w:r>
      <w:r w:rsidRPr="00DA7619">
        <w:t xml:space="preserve"> Five-year </w:t>
      </w:r>
      <w:r w:rsidR="00E84A5D" w:rsidRPr="00DA7619">
        <w:t xml:space="preserve">Development </w:t>
      </w:r>
      <w:r w:rsidRPr="00DA7619">
        <w:t>Plan</w:t>
      </w:r>
    </w:p>
    <w:p w:rsidR="009754A9" w:rsidRPr="00DA7619" w:rsidRDefault="009754A9" w:rsidP="00FB7219">
      <w:pPr>
        <w:ind w:left="720"/>
      </w:pPr>
      <w:r w:rsidRPr="00DA7619">
        <w:t>8</w:t>
      </w:r>
      <w:r w:rsidRPr="00DA7619">
        <w:rPr>
          <w:vertAlign w:val="superscript"/>
        </w:rPr>
        <w:t>th</w:t>
      </w:r>
      <w:r w:rsidRPr="00DA7619">
        <w:t xml:space="preserve"> Five-year </w:t>
      </w:r>
      <w:r w:rsidR="00E84A5D" w:rsidRPr="00DA7619">
        <w:t xml:space="preserve">Development </w:t>
      </w:r>
      <w:r w:rsidRPr="00DA7619">
        <w:t>Plan</w:t>
      </w:r>
      <w:r w:rsidR="00857F48" w:rsidRPr="00DA7619">
        <w:t xml:space="preserve"> </w:t>
      </w:r>
      <w:r w:rsidR="00857F48" w:rsidRPr="00DA7619">
        <w:rPr>
          <w:sz w:val="23"/>
          <w:szCs w:val="23"/>
        </w:rPr>
        <w:t>(2005–2009)</w:t>
      </w:r>
    </w:p>
    <w:p w:rsidR="009754A9" w:rsidRPr="00DA7619" w:rsidRDefault="009754A9" w:rsidP="00FB7219">
      <w:pPr>
        <w:ind w:left="720"/>
      </w:pPr>
      <w:r w:rsidRPr="00DA7619">
        <w:t>9</w:t>
      </w:r>
      <w:r w:rsidRPr="00DA7619">
        <w:rPr>
          <w:vertAlign w:val="superscript"/>
        </w:rPr>
        <w:t>th</w:t>
      </w:r>
      <w:r w:rsidRPr="00DA7619">
        <w:t xml:space="preserve"> Five-year </w:t>
      </w:r>
      <w:r w:rsidR="00E84A5D" w:rsidRPr="00DA7619">
        <w:t xml:space="preserve">Development </w:t>
      </w:r>
      <w:r w:rsidRPr="00DA7619">
        <w:t xml:space="preserve">Plan </w:t>
      </w:r>
      <w:r w:rsidR="00857F48" w:rsidRPr="00DA7619">
        <w:rPr>
          <w:sz w:val="23"/>
          <w:szCs w:val="23"/>
        </w:rPr>
        <w:t>(2009-2014)</w:t>
      </w:r>
    </w:p>
    <w:p w:rsidR="00F06BCD" w:rsidRPr="00DA7619" w:rsidRDefault="00F06BCD" w:rsidP="00F06BCD">
      <w:pPr>
        <w:ind w:left="720"/>
      </w:pPr>
      <w:r w:rsidRPr="00DA7619">
        <w:t xml:space="preserve">The Long Term Strategy (LTS) and VISION 2025 </w:t>
      </w:r>
      <w:r w:rsidR="00857F48" w:rsidRPr="00DA7619">
        <w:t>(2005)</w:t>
      </w:r>
    </w:p>
    <w:p w:rsidR="00642FB7" w:rsidRDefault="009754A9" w:rsidP="00F06BCD">
      <w:pPr>
        <w:pStyle w:val="Heading2"/>
      </w:pPr>
      <w:bookmarkStart w:id="57" w:name="_Toc325940211"/>
      <w:r w:rsidRPr="00DA7619">
        <w:t>UNDP programme materials</w:t>
      </w:r>
      <w:bookmarkEnd w:id="57"/>
      <w:r w:rsidR="00857F48" w:rsidRPr="00DA7619">
        <w:t xml:space="preserve"> </w:t>
      </w:r>
    </w:p>
    <w:p w:rsidR="009754A9" w:rsidRPr="00DA7619" w:rsidRDefault="00857F48" w:rsidP="00642FB7">
      <w:pPr>
        <w:ind w:left="720"/>
      </w:pPr>
      <w:r w:rsidRPr="00DA7619">
        <w:t>(</w:t>
      </w:r>
      <w:r w:rsidR="00642FB7">
        <w:t xml:space="preserve">Note:  </w:t>
      </w:r>
      <w:r w:rsidR="00642FB7" w:rsidRPr="00DA7619">
        <w:t>See</w:t>
      </w:r>
      <w:r w:rsidRPr="00DA7619">
        <w:t xml:space="preserve"> </w:t>
      </w:r>
      <w:r w:rsidR="00642FB7" w:rsidRPr="00DA7619">
        <w:t>References</w:t>
      </w:r>
      <w:r w:rsidR="00642FB7">
        <w:t xml:space="preserve"> section for full citations</w:t>
      </w:r>
      <w:r w:rsidRPr="00DA7619">
        <w:t>)</w:t>
      </w:r>
    </w:p>
    <w:p w:rsidR="009754A9" w:rsidRPr="00DA7619" w:rsidRDefault="00857F48" w:rsidP="00FB7219">
      <w:pPr>
        <w:ind w:left="720"/>
      </w:pPr>
      <w:r w:rsidRPr="00DA7619">
        <w:t>Country Programme Document (CPD)</w:t>
      </w:r>
      <w:r w:rsidR="009754A9" w:rsidRPr="00DA7619">
        <w:t xml:space="preserve"> 2007 – 2011 </w:t>
      </w:r>
    </w:p>
    <w:p w:rsidR="009754A9" w:rsidRPr="00DA7619" w:rsidRDefault="00BA64B1" w:rsidP="00FB7219">
      <w:pPr>
        <w:ind w:left="720"/>
      </w:pPr>
      <w:r w:rsidRPr="00DA7619">
        <w:t>Country Programme Action Plan (CPAP)</w:t>
      </w:r>
      <w:r w:rsidR="009754A9" w:rsidRPr="00DA7619">
        <w:t xml:space="preserve"> 2008</w:t>
      </w:r>
    </w:p>
    <w:p w:rsidR="009754A9" w:rsidRPr="00DA7619" w:rsidRDefault="009754A9" w:rsidP="00FB7219">
      <w:pPr>
        <w:ind w:left="720"/>
      </w:pPr>
      <w:r w:rsidRPr="00DA7619">
        <w:t xml:space="preserve">Country programme performance summary </w:t>
      </w:r>
      <w:r w:rsidR="00F521F5" w:rsidRPr="00DA7619">
        <w:t xml:space="preserve">(CPPS) </w:t>
      </w:r>
      <w:r w:rsidRPr="00DA7619">
        <w:t>January 2011</w:t>
      </w:r>
    </w:p>
    <w:p w:rsidR="00386018" w:rsidRPr="00DA7619" w:rsidRDefault="00386018" w:rsidP="00386018">
      <w:pPr>
        <w:ind w:left="720"/>
      </w:pPr>
      <w:r w:rsidRPr="00DA7619">
        <w:t xml:space="preserve">All available project documents for listed outputs, </w:t>
      </w:r>
      <w:r w:rsidR="00BA64B1" w:rsidRPr="00DA7619">
        <w:t xml:space="preserve">covering projects </w:t>
      </w:r>
      <w:r w:rsidR="00F06BCD" w:rsidRPr="00DA7619">
        <w:t xml:space="preserve">with </w:t>
      </w:r>
      <w:r w:rsidR="00BA64B1" w:rsidRPr="00DA7619">
        <w:t xml:space="preserve">ministries of:  </w:t>
      </w:r>
      <w:r w:rsidRPr="00DA7619">
        <w:t>Roads and Transport, Foreign Aff</w:t>
      </w:r>
      <w:r w:rsidR="00BA64B1" w:rsidRPr="00DA7619">
        <w:t xml:space="preserve">airs, </w:t>
      </w:r>
      <w:r w:rsidR="00F06BCD" w:rsidRPr="00DA7619">
        <w:t>Municipal and Rural Affairs, and with agencies and commissions:  MUON, SFDA, CITC, and KACST.</w:t>
      </w:r>
    </w:p>
    <w:p w:rsidR="00F82E28" w:rsidRDefault="0021798D" w:rsidP="00F82E28">
      <w:pPr>
        <w:pStyle w:val="Heading1"/>
      </w:pPr>
      <w:bookmarkStart w:id="58" w:name="_Toc325871802"/>
      <w:bookmarkStart w:id="59" w:name="_Toc325940212"/>
      <w:r>
        <w:t>Annex 5</w:t>
      </w:r>
      <w:r w:rsidR="00F82E28">
        <w:t>.  Biography of the Evaluator</w:t>
      </w:r>
      <w:bookmarkEnd w:id="58"/>
      <w:bookmarkEnd w:id="59"/>
    </w:p>
    <w:p w:rsidR="00F82E28" w:rsidRPr="00D637CA" w:rsidRDefault="00F82E28" w:rsidP="00F82E28">
      <w:pPr>
        <w:rPr>
          <w:rFonts w:ascii="Times New Roman" w:hAnsi="Times New Roman"/>
          <w:lang w:val="en-CA" w:eastAsia="en-CA"/>
        </w:rPr>
      </w:pPr>
      <w:r w:rsidRPr="00D637CA">
        <w:rPr>
          <w:lang w:eastAsia="en-CA"/>
        </w:rPr>
        <w:t xml:space="preserve">Patricia Alexander is an Independent Consultant, specialising in evaluation, macroeconomics, gender, and large-scale sample surveys and population censuses. </w:t>
      </w:r>
      <w:r>
        <w:rPr>
          <w:lang w:eastAsia="en-CA"/>
        </w:rPr>
        <w:t xml:space="preserve"> </w:t>
      </w:r>
      <w:r w:rsidRPr="00D637CA">
        <w:rPr>
          <w:lang w:eastAsia="en-CA"/>
        </w:rPr>
        <w:t xml:space="preserve">She has served as Regional Adviser on Poverty Statistics for the UN Economic and Social Commission for Asia-Pacific (UNESCAP); Regional Programme Coordinator for the Gender Programme, UNDP Asia-Pacific Regional Centre; </w:t>
      </w:r>
      <w:r>
        <w:rPr>
          <w:lang w:eastAsia="en-CA"/>
        </w:rPr>
        <w:t xml:space="preserve">and </w:t>
      </w:r>
      <w:r w:rsidRPr="00D637CA">
        <w:rPr>
          <w:lang w:eastAsia="en-CA"/>
        </w:rPr>
        <w:t>Regional Adviser for Econom</w:t>
      </w:r>
      <w:r>
        <w:rPr>
          <w:lang w:eastAsia="en-CA"/>
        </w:rPr>
        <w:t>ic Security and Rights, UNIFEM.  She w</w:t>
      </w:r>
      <w:r w:rsidRPr="00D637CA">
        <w:rPr>
          <w:lang w:eastAsia="en-CA"/>
        </w:rPr>
        <w:t xml:space="preserve">as Country Economist for the Asian Development Bank. </w:t>
      </w:r>
    </w:p>
    <w:p w:rsidR="00F82E28" w:rsidRPr="00D637CA" w:rsidRDefault="00F82E28" w:rsidP="00F82E28">
      <w:pPr>
        <w:rPr>
          <w:rFonts w:ascii="Times New Roman" w:hAnsi="Times New Roman"/>
          <w:lang w:val="en-CA" w:eastAsia="en-CA"/>
        </w:rPr>
      </w:pPr>
      <w:r>
        <w:rPr>
          <w:lang w:eastAsia="en-CA"/>
        </w:rPr>
        <w:t>Ms Alexander</w:t>
      </w:r>
      <w:r w:rsidRPr="00D637CA">
        <w:rPr>
          <w:lang w:eastAsia="en-CA"/>
        </w:rPr>
        <w:t xml:space="preserve"> has </w:t>
      </w:r>
      <w:r>
        <w:rPr>
          <w:lang w:eastAsia="en-CA"/>
        </w:rPr>
        <w:t xml:space="preserve">successfully </w:t>
      </w:r>
      <w:r w:rsidRPr="00D637CA">
        <w:rPr>
          <w:lang w:eastAsia="en-CA"/>
        </w:rPr>
        <w:t xml:space="preserve">provided consulting and technical advisory services in more than thirty countries in the Middle East, Africa, Central Asia and Asia-Pacific, Eastern Europe and Latin America. </w:t>
      </w:r>
      <w:r>
        <w:rPr>
          <w:lang w:eastAsia="en-CA"/>
        </w:rPr>
        <w:t xml:space="preserve"> </w:t>
      </w:r>
      <w:r w:rsidRPr="00D637CA">
        <w:rPr>
          <w:lang w:eastAsia="en-CA"/>
        </w:rPr>
        <w:t>She holds an MA in Economics from McGill University (Canada); she did post-graduate work at the University of Manchester, School of Economics and the Centre for Cen</w:t>
      </w:r>
      <w:r>
        <w:rPr>
          <w:lang w:eastAsia="en-CA"/>
        </w:rPr>
        <w:t xml:space="preserve">sus and Survey Research (U.K.).  She also did post-graduate research at </w:t>
      </w:r>
      <w:r w:rsidRPr="00D637CA">
        <w:rPr>
          <w:lang w:eastAsia="en-CA"/>
        </w:rPr>
        <w:t xml:space="preserve">the People’s University of China, Beijing. </w:t>
      </w:r>
    </w:p>
    <w:p w:rsidR="001F2357" w:rsidRDefault="001F2357">
      <w:pPr>
        <w:rPr>
          <w:rFonts w:asciiTheme="majorHAnsi" w:eastAsiaTheme="majorEastAsia" w:hAnsiTheme="majorHAnsi" w:cstheme="majorBidi"/>
          <w:b/>
          <w:bCs/>
          <w:color w:val="365F91" w:themeColor="accent1" w:themeShade="BF"/>
          <w:sz w:val="28"/>
          <w:szCs w:val="28"/>
        </w:rPr>
      </w:pPr>
      <w:bookmarkStart w:id="60" w:name="_Toc325871803"/>
      <w:r>
        <w:br w:type="page"/>
      </w:r>
    </w:p>
    <w:p w:rsidR="001F2357" w:rsidRPr="00414304" w:rsidRDefault="001F2357" w:rsidP="001F2357">
      <w:pPr>
        <w:pStyle w:val="Heading1"/>
        <w:rPr>
          <w:szCs w:val="36"/>
        </w:rPr>
      </w:pPr>
      <w:bookmarkStart w:id="61" w:name="_Toc325940213"/>
      <w:r w:rsidRPr="00414304">
        <w:lastRenderedPageBreak/>
        <w:t xml:space="preserve">Annex </w:t>
      </w:r>
      <w:r w:rsidR="0021798D">
        <w:t>6</w:t>
      </w:r>
      <w:r w:rsidRPr="00414304">
        <w:t>:  United Nations Evaluation Group Code of Conduct</w:t>
      </w:r>
      <w:r w:rsidRPr="00414304">
        <w:rPr>
          <w:szCs w:val="36"/>
        </w:rPr>
        <w:t xml:space="preserve"> for Evaluation in the UN System</w:t>
      </w:r>
      <w:bookmarkEnd w:id="60"/>
      <w:bookmarkEnd w:id="61"/>
      <w:r w:rsidRPr="00414304">
        <w:rPr>
          <w:szCs w:val="36"/>
        </w:rPr>
        <w:t xml:space="preserve"> </w:t>
      </w:r>
    </w:p>
    <w:p w:rsidR="001F2357" w:rsidRPr="00BF7C53" w:rsidRDefault="001F2357" w:rsidP="001F2357">
      <w:pPr>
        <w:pStyle w:val="Default"/>
        <w:rPr>
          <w:sz w:val="36"/>
          <w:szCs w:val="36"/>
          <w:lang w:val="en-GB"/>
        </w:rPr>
      </w:pPr>
    </w:p>
    <w:p w:rsidR="001F2357" w:rsidRDefault="001F2357" w:rsidP="001F2357">
      <w:pPr>
        <w:pStyle w:val="Default"/>
        <w:rPr>
          <w:b/>
          <w:bCs/>
          <w:sz w:val="30"/>
          <w:szCs w:val="30"/>
          <w:lang w:val="en-GB"/>
        </w:rPr>
      </w:pPr>
      <w:r w:rsidRPr="00BF7C53">
        <w:rPr>
          <w:b/>
          <w:bCs/>
          <w:sz w:val="30"/>
          <w:szCs w:val="30"/>
          <w:lang w:val="en-GB"/>
        </w:rPr>
        <w:t xml:space="preserve">Evaluation Consultants Agreement Form </w:t>
      </w:r>
    </w:p>
    <w:p w:rsidR="001F2357" w:rsidRPr="00BF7C53" w:rsidRDefault="001F2357" w:rsidP="001F2357">
      <w:pPr>
        <w:pStyle w:val="Default"/>
        <w:rPr>
          <w:sz w:val="30"/>
          <w:szCs w:val="30"/>
          <w:lang w:val="en-GB"/>
        </w:rPr>
      </w:pPr>
    </w:p>
    <w:p w:rsidR="001F2357" w:rsidRDefault="001F2357" w:rsidP="001F2357">
      <w:pPr>
        <w:pStyle w:val="Default"/>
        <w:rPr>
          <w:sz w:val="22"/>
          <w:szCs w:val="22"/>
          <w:lang w:val="en-GB"/>
        </w:rPr>
      </w:pPr>
      <w:r w:rsidRPr="00BF7C53">
        <w:rPr>
          <w:sz w:val="22"/>
          <w:szCs w:val="22"/>
          <w:lang w:val="en-GB"/>
        </w:rPr>
        <w:t xml:space="preserve">To be signed by all consultants as individuals (not by or on behalf of a consultancy company) before a contract can be issued. </w:t>
      </w:r>
    </w:p>
    <w:p w:rsidR="001F2357" w:rsidRPr="00BF7C53" w:rsidRDefault="001F2357" w:rsidP="001F2357">
      <w:pPr>
        <w:pStyle w:val="Default"/>
        <w:rPr>
          <w:sz w:val="22"/>
          <w:szCs w:val="22"/>
          <w:lang w:val="en-GB"/>
        </w:rPr>
      </w:pPr>
    </w:p>
    <w:p w:rsidR="001F2357" w:rsidRDefault="001F2357" w:rsidP="001F2357">
      <w:pPr>
        <w:pStyle w:val="Default"/>
        <w:rPr>
          <w:b/>
          <w:bCs/>
          <w:sz w:val="30"/>
          <w:szCs w:val="30"/>
          <w:lang w:val="en-GB"/>
        </w:rPr>
      </w:pPr>
      <w:r w:rsidRPr="00BF7C53">
        <w:rPr>
          <w:b/>
          <w:bCs/>
          <w:sz w:val="30"/>
          <w:szCs w:val="30"/>
          <w:lang w:val="en-GB"/>
        </w:rPr>
        <w:t xml:space="preserve">Agreement to abide by the Code of Conduct for Evaluation in the UN System </w:t>
      </w:r>
    </w:p>
    <w:p w:rsidR="001F2357" w:rsidRPr="00BF7C53" w:rsidRDefault="001F2357" w:rsidP="001F2357">
      <w:pPr>
        <w:pStyle w:val="Default"/>
        <w:rPr>
          <w:sz w:val="30"/>
          <w:szCs w:val="30"/>
          <w:lang w:val="en-GB"/>
        </w:rPr>
      </w:pPr>
    </w:p>
    <w:p w:rsidR="001F2357" w:rsidRDefault="001F2357" w:rsidP="001F2357">
      <w:pPr>
        <w:pStyle w:val="Default"/>
        <w:rPr>
          <w:b/>
          <w:bCs/>
          <w:sz w:val="22"/>
          <w:szCs w:val="22"/>
          <w:lang w:val="en-GB"/>
        </w:rPr>
      </w:pPr>
      <w:r w:rsidRPr="00BF7C53">
        <w:rPr>
          <w:b/>
          <w:bCs/>
          <w:sz w:val="22"/>
          <w:szCs w:val="22"/>
          <w:lang w:val="en-GB"/>
        </w:rPr>
        <w:t xml:space="preserve">Name of Consultant: </w:t>
      </w:r>
      <w:r>
        <w:rPr>
          <w:b/>
          <w:bCs/>
          <w:sz w:val="22"/>
          <w:szCs w:val="22"/>
          <w:lang w:val="en-GB"/>
        </w:rPr>
        <w:t xml:space="preserve">      Patricia Alexander </w:t>
      </w:r>
    </w:p>
    <w:p w:rsidR="001F2357" w:rsidRDefault="001F2357" w:rsidP="001F2357">
      <w:pPr>
        <w:pStyle w:val="Default"/>
        <w:rPr>
          <w:b/>
          <w:bCs/>
          <w:sz w:val="22"/>
          <w:szCs w:val="22"/>
          <w:lang w:val="en-GB"/>
        </w:rPr>
      </w:pPr>
    </w:p>
    <w:p w:rsidR="001F2357" w:rsidRDefault="001F2357" w:rsidP="001F2357">
      <w:pPr>
        <w:pStyle w:val="Default"/>
        <w:rPr>
          <w:sz w:val="22"/>
          <w:szCs w:val="22"/>
          <w:lang w:val="en-GB"/>
        </w:rPr>
      </w:pPr>
      <w:r w:rsidRPr="00BF7C53">
        <w:rPr>
          <w:b/>
          <w:bCs/>
          <w:sz w:val="22"/>
          <w:szCs w:val="22"/>
          <w:lang w:val="en-GB"/>
        </w:rPr>
        <w:t xml:space="preserve">Name of Consultancy Organisation </w:t>
      </w:r>
      <w:r w:rsidRPr="00BF7C53">
        <w:rPr>
          <w:sz w:val="22"/>
          <w:szCs w:val="22"/>
          <w:lang w:val="en-GB"/>
        </w:rPr>
        <w:t>(where relevant)</w:t>
      </w:r>
      <w:r w:rsidRPr="00BF7C53">
        <w:rPr>
          <w:b/>
          <w:bCs/>
          <w:sz w:val="22"/>
          <w:szCs w:val="22"/>
          <w:lang w:val="en-GB"/>
        </w:rPr>
        <w:t xml:space="preserve">: </w:t>
      </w:r>
      <w:r w:rsidRPr="00BF7C53">
        <w:rPr>
          <w:sz w:val="22"/>
          <w:szCs w:val="22"/>
          <w:lang w:val="en-GB"/>
        </w:rPr>
        <w:t xml:space="preserve">________________________________________ </w:t>
      </w:r>
    </w:p>
    <w:p w:rsidR="001F2357" w:rsidRDefault="001F2357" w:rsidP="001F2357">
      <w:pPr>
        <w:pStyle w:val="Default"/>
        <w:rPr>
          <w:sz w:val="22"/>
          <w:szCs w:val="22"/>
          <w:lang w:val="en-GB"/>
        </w:rPr>
      </w:pPr>
    </w:p>
    <w:p w:rsidR="001F2357" w:rsidRPr="00BF7C53" w:rsidRDefault="001F2357" w:rsidP="001F2357">
      <w:pPr>
        <w:pStyle w:val="Default"/>
        <w:rPr>
          <w:sz w:val="22"/>
          <w:szCs w:val="22"/>
          <w:lang w:val="en-GB"/>
        </w:rPr>
      </w:pPr>
    </w:p>
    <w:p w:rsidR="001F2357" w:rsidRDefault="001F2357" w:rsidP="001F2357">
      <w:pPr>
        <w:pStyle w:val="Default"/>
        <w:rPr>
          <w:b/>
          <w:bCs/>
          <w:sz w:val="22"/>
          <w:szCs w:val="22"/>
          <w:lang w:val="en-GB"/>
        </w:rPr>
      </w:pPr>
      <w:r w:rsidRPr="00BF7C53">
        <w:rPr>
          <w:b/>
          <w:bCs/>
          <w:sz w:val="22"/>
          <w:szCs w:val="22"/>
          <w:lang w:val="en-GB"/>
        </w:rPr>
        <w:t xml:space="preserve">I confirm that I have received and understood and will abide by the United Nations Code of Conduct for Evaluation. </w:t>
      </w:r>
    </w:p>
    <w:p w:rsidR="001F2357" w:rsidRDefault="001F2357" w:rsidP="001F2357">
      <w:pPr>
        <w:pStyle w:val="Default"/>
        <w:rPr>
          <w:b/>
          <w:bCs/>
          <w:sz w:val="22"/>
          <w:szCs w:val="22"/>
          <w:lang w:val="en-GB"/>
        </w:rPr>
      </w:pPr>
    </w:p>
    <w:p w:rsidR="001F2357" w:rsidRPr="00BF7C53" w:rsidRDefault="001F2357" w:rsidP="001F2357">
      <w:pPr>
        <w:pStyle w:val="Default"/>
        <w:rPr>
          <w:sz w:val="22"/>
          <w:szCs w:val="22"/>
          <w:lang w:val="en-GB"/>
        </w:rPr>
      </w:pPr>
    </w:p>
    <w:p w:rsidR="001F2357" w:rsidRDefault="001F2357" w:rsidP="001F2357">
      <w:pPr>
        <w:rPr>
          <w:rFonts w:ascii="Times New Roman" w:hAnsi="Times New Roman" w:cs="Times New Roman"/>
        </w:rPr>
      </w:pPr>
      <w:r>
        <w:rPr>
          <w:rFonts w:ascii="Times New Roman" w:hAnsi="Times New Roman" w:cs="Times New Roman"/>
        </w:rPr>
        <w:t>Signed at Yangon, Myanmar  on  21 May 2012</w:t>
      </w:r>
    </w:p>
    <w:p w:rsidR="001F2357" w:rsidRDefault="001F2357" w:rsidP="001F2357">
      <w:pPr>
        <w:rPr>
          <w:rFonts w:ascii="Times New Roman" w:hAnsi="Times New Roman" w:cs="Times New Roman"/>
        </w:rPr>
      </w:pPr>
    </w:p>
    <w:p w:rsidR="001F2357" w:rsidRDefault="001F2357" w:rsidP="001F2357">
      <w:pPr>
        <w:ind w:left="2160"/>
        <w:rPr>
          <w:rFonts w:ascii="Times New Roman" w:hAnsi="Times New Roman" w:cs="Times New Roman"/>
        </w:rPr>
      </w:pPr>
      <w:r>
        <w:rPr>
          <w:rFonts w:ascii="Arial" w:hAnsi="Arial" w:cs="Arial"/>
          <w:noProof/>
          <w:lang w:val="en-CA" w:eastAsia="en-CA"/>
        </w:rPr>
        <w:drawing>
          <wp:inline distT="0" distB="0" distL="0" distR="0">
            <wp:extent cx="1574165" cy="588645"/>
            <wp:effectExtent l="19050" t="0" r="6985" b="0"/>
            <wp:docPr id="2" name="Picture 1" descr="sign_p1_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_p1_f2"/>
                    <pic:cNvPicPr>
                      <a:picLocks noChangeAspect="1" noChangeArrowheads="1"/>
                    </pic:cNvPicPr>
                  </pic:nvPicPr>
                  <pic:blipFill>
                    <a:blip r:embed="rId20" cstate="print"/>
                    <a:srcRect/>
                    <a:stretch>
                      <a:fillRect/>
                    </a:stretch>
                  </pic:blipFill>
                  <pic:spPr bwMode="auto">
                    <a:xfrm>
                      <a:off x="0" y="0"/>
                      <a:ext cx="1574165" cy="588645"/>
                    </a:xfrm>
                    <a:prstGeom prst="rect">
                      <a:avLst/>
                    </a:prstGeom>
                    <a:noFill/>
                    <a:ln w="9525">
                      <a:noFill/>
                      <a:miter lim="800000"/>
                      <a:headEnd/>
                      <a:tailEnd/>
                    </a:ln>
                  </pic:spPr>
                </pic:pic>
              </a:graphicData>
            </a:graphic>
          </wp:inline>
        </w:drawing>
      </w:r>
    </w:p>
    <w:p w:rsidR="001F2357" w:rsidRDefault="001F2357" w:rsidP="001F2357">
      <w:r w:rsidRPr="00BF7C53">
        <w:t>Signature: __________________________________________________________________________</w:t>
      </w:r>
    </w:p>
    <w:p w:rsidR="001F2357" w:rsidRDefault="001F2357" w:rsidP="001F2357"/>
    <w:p w:rsidR="001F2357" w:rsidRDefault="001F2357" w:rsidP="001F2357"/>
    <w:p w:rsidR="001F2357" w:rsidRDefault="001F2357" w:rsidP="001F2357"/>
    <w:p w:rsidR="001F2357" w:rsidRDefault="001F2357" w:rsidP="001F2357"/>
    <w:p w:rsidR="001F2357" w:rsidRDefault="001F2357" w:rsidP="001F2357"/>
    <w:p w:rsidR="001F2357" w:rsidRDefault="001F2357" w:rsidP="001F2357"/>
    <w:p w:rsidR="001F2357" w:rsidRDefault="001F2357" w:rsidP="001F2357"/>
    <w:p w:rsidR="001F2357" w:rsidRDefault="001F2357" w:rsidP="001F2357"/>
    <w:p w:rsidR="001F2357" w:rsidRDefault="001F2357" w:rsidP="001F2357"/>
    <w:p w:rsidR="001F2357" w:rsidRDefault="001F2357" w:rsidP="001F2357">
      <w:r>
        <w:t>6</w:t>
      </w:r>
    </w:p>
    <w:p w:rsidR="001F2357" w:rsidRPr="008C3963" w:rsidRDefault="001F2357" w:rsidP="001F2357">
      <w:pPr>
        <w:jc w:val="right"/>
        <w:rPr>
          <w:color w:val="365F91" w:themeColor="accent1" w:themeShade="BF"/>
        </w:rPr>
      </w:pPr>
      <w:r w:rsidRPr="008C3963">
        <w:rPr>
          <w:b/>
          <w:bCs/>
          <w:color w:val="365F91" w:themeColor="accent1" w:themeShade="BF"/>
          <w:sz w:val="20"/>
          <w:szCs w:val="20"/>
        </w:rPr>
        <w:t>UNEG Code of Conduct (2008)</w:t>
      </w:r>
    </w:p>
    <w:p w:rsidR="00353F50" w:rsidRPr="00DA7619" w:rsidRDefault="00353F50" w:rsidP="001F2357"/>
    <w:p w:rsidR="003E617F" w:rsidRPr="00DA7619" w:rsidRDefault="003E617F" w:rsidP="003E617F">
      <w:pPr>
        <w:pStyle w:val="Heading1"/>
      </w:pPr>
      <w:bookmarkStart w:id="62" w:name="_Toc325940214"/>
      <w:r w:rsidRPr="00DA7619">
        <w:lastRenderedPageBreak/>
        <w:t>References</w:t>
      </w:r>
      <w:bookmarkEnd w:id="62"/>
    </w:p>
    <w:p w:rsidR="003B614C" w:rsidRPr="00DA7619" w:rsidRDefault="003B614C" w:rsidP="00DC5A10"/>
    <w:p w:rsidR="00DB11E7" w:rsidRDefault="007D6549" w:rsidP="00DB11E7">
      <w:pPr>
        <w:spacing w:after="0"/>
        <w:ind w:left="720" w:hanging="720"/>
      </w:pPr>
      <w:r w:rsidRPr="00DA7619">
        <w:fldChar w:fldCharType="begin"/>
      </w:r>
      <w:r w:rsidR="003B614C" w:rsidRPr="00DA7619">
        <w:instrText xml:space="preserve"> ADDIN EN.REFLIST </w:instrText>
      </w:r>
      <w:r w:rsidRPr="00DA7619">
        <w:fldChar w:fldCharType="separate"/>
      </w:r>
      <w:r w:rsidR="00DB11E7">
        <w:t xml:space="preserve">Al-Karashi, Adel and Martin Skitmore. 2009. "Causes of delays in Saudi Arabian public sector construction projects." </w:t>
      </w:r>
      <w:r w:rsidR="00DB11E7" w:rsidRPr="00DB11E7">
        <w:rPr>
          <w:i/>
        </w:rPr>
        <w:t>Construction Management and Economics, Routledge</w:t>
      </w:r>
      <w:r w:rsidR="00DB11E7">
        <w:t xml:space="preserve"> 27: 3-23.  </w:t>
      </w:r>
      <w:hyperlink r:id="rId21" w:history="1">
        <w:r w:rsidR="00DB11E7" w:rsidRPr="00DB11E7">
          <w:rPr>
            <w:rStyle w:val="Hyperlink"/>
          </w:rPr>
          <w:t>http://eprints.qut.edu.au/21066/1/c21066.pdf</w:t>
        </w:r>
      </w:hyperlink>
    </w:p>
    <w:p w:rsidR="00DB11E7" w:rsidRDefault="00DB11E7" w:rsidP="00DB11E7">
      <w:pPr>
        <w:spacing w:after="0"/>
      </w:pPr>
    </w:p>
    <w:p w:rsidR="00DB11E7" w:rsidRDefault="00DB11E7" w:rsidP="00DB11E7">
      <w:pPr>
        <w:spacing w:after="0"/>
        <w:ind w:left="720" w:hanging="720"/>
      </w:pPr>
      <w:r>
        <w:t xml:space="preserve">Badger, Mark O., Mustafa M. Khan and Bruno Lanvin. 2011. "Growing Talent for the Knowledge Economy: The Experience of Saudi Arabia."  Chapter 2 in </w:t>
      </w:r>
      <w:r w:rsidRPr="00DB11E7">
        <w:rPr>
          <w:i/>
        </w:rPr>
        <w:t>The Global Information Technology Report 2010–2011</w:t>
      </w:r>
      <w:r>
        <w:t xml:space="preserve">, edited by World Economic Forum. Geneva: World Economic Forum.  </w:t>
      </w:r>
      <w:hyperlink r:id="rId22" w:history="1">
        <w:r w:rsidRPr="00DB11E7">
          <w:rPr>
            <w:rStyle w:val="Hyperlink"/>
          </w:rPr>
          <w:t>http://www.weforum.org/reports/global-information-technology-report-2010-2011-0</w:t>
        </w:r>
      </w:hyperlink>
    </w:p>
    <w:p w:rsidR="00DB11E7" w:rsidRDefault="00DB11E7" w:rsidP="00DB11E7">
      <w:pPr>
        <w:spacing w:after="0"/>
      </w:pPr>
    </w:p>
    <w:p w:rsidR="00DB11E7" w:rsidRDefault="00DB11E7" w:rsidP="00DB11E7">
      <w:pPr>
        <w:spacing w:after="0"/>
        <w:ind w:left="720" w:hanging="720"/>
      </w:pPr>
      <w:r>
        <w:t xml:space="preserve">Hasan, Faisal and Naveed Ahmed. 2012. "KSA Economic Overview." in </w:t>
      </w:r>
      <w:r w:rsidRPr="00DB11E7">
        <w:rPr>
          <w:i/>
        </w:rPr>
        <w:t>Global Research Economy</w:t>
      </w:r>
      <w:r>
        <w:t xml:space="preserve">. </w:t>
      </w:r>
      <w:hyperlink r:id="rId23" w:history="1">
        <w:r w:rsidRPr="00DB11E7">
          <w:rPr>
            <w:rStyle w:val="Hyperlink"/>
          </w:rPr>
          <w:t>http://www.globalinv.net/research/KSA-economic-overview-022012.pdf</w:t>
        </w:r>
      </w:hyperlink>
    </w:p>
    <w:p w:rsidR="00DB11E7" w:rsidRDefault="00DB11E7" w:rsidP="00DB11E7">
      <w:pPr>
        <w:spacing w:after="0"/>
      </w:pPr>
    </w:p>
    <w:p w:rsidR="00DB11E7" w:rsidRDefault="00DB11E7" w:rsidP="00DB11E7">
      <w:pPr>
        <w:spacing w:after="0"/>
        <w:ind w:left="720" w:hanging="720"/>
      </w:pPr>
      <w:r>
        <w:t>Khoday, Kishan. 2010. "UNDP and Saudi Arabia:  A Partnership in Human Development, 1965-2010." Riyadh: UNDP Saudi Arabia.  unpublished manuscript</w:t>
      </w:r>
    </w:p>
    <w:p w:rsidR="00DB11E7" w:rsidRDefault="00DB11E7" w:rsidP="00DB11E7">
      <w:pPr>
        <w:spacing w:after="0"/>
      </w:pPr>
    </w:p>
    <w:p w:rsidR="00DB11E7" w:rsidRDefault="00DB11E7" w:rsidP="00DB11E7">
      <w:pPr>
        <w:spacing w:after="0"/>
        <w:ind w:left="720" w:hanging="720"/>
      </w:pPr>
      <w:r>
        <w:t xml:space="preserve">Mohapatra, Sanket. 2011. "Implications of “Nitaqat”, Saudi Arabia's Indigenization Program, Likely to be Modest for Migrants." in </w:t>
      </w:r>
      <w:r w:rsidRPr="00DB11E7">
        <w:rPr>
          <w:i/>
        </w:rPr>
        <w:t>blogs.worldbank.org</w:t>
      </w:r>
      <w:r>
        <w:t xml:space="preserve">.  </w:t>
      </w:r>
      <w:hyperlink r:id="rId24" w:history="1">
        <w:r w:rsidRPr="00DB11E7">
          <w:rPr>
            <w:rStyle w:val="Hyperlink"/>
          </w:rPr>
          <w:t>http://blogs.worldbank.org/peoplemove/node/1392</w:t>
        </w:r>
      </w:hyperlink>
    </w:p>
    <w:p w:rsidR="00DB11E7" w:rsidRDefault="00DB11E7" w:rsidP="00DB11E7">
      <w:pPr>
        <w:spacing w:after="0"/>
      </w:pPr>
    </w:p>
    <w:p w:rsidR="00DB11E7" w:rsidRDefault="00DB11E7" w:rsidP="00DB11E7">
      <w:pPr>
        <w:spacing w:after="0"/>
        <w:ind w:left="720" w:hanging="720"/>
      </w:pPr>
      <w:r>
        <w:t xml:space="preserve">OSI. 2010. "The Open Source Definition." in </w:t>
      </w:r>
      <w:r w:rsidRPr="00DB11E7">
        <w:rPr>
          <w:i/>
        </w:rPr>
        <w:t>The Open Source Initiative</w:t>
      </w:r>
      <w:r>
        <w:t xml:space="preserve">, vol. 2012. San Francisco.  </w:t>
      </w:r>
      <w:hyperlink r:id="rId25" w:history="1">
        <w:r w:rsidRPr="00DB11E7">
          <w:rPr>
            <w:rStyle w:val="Hyperlink"/>
          </w:rPr>
          <w:t>http://www.opensource.org/</w:t>
        </w:r>
      </w:hyperlink>
    </w:p>
    <w:p w:rsidR="00DB11E7" w:rsidRDefault="00DB11E7" w:rsidP="00DB11E7">
      <w:pPr>
        <w:spacing w:after="0"/>
      </w:pPr>
    </w:p>
    <w:p w:rsidR="00DB11E7" w:rsidRDefault="00DB11E7" w:rsidP="00DB11E7">
      <w:pPr>
        <w:spacing w:after="0"/>
        <w:ind w:left="720" w:hanging="720"/>
      </w:pPr>
      <w:r>
        <w:t xml:space="preserve">Saudi Arabia Ministry of Economy and Planning. 2012. "KSA Economy." Kingdom of Saudi Arabia.  </w:t>
      </w:r>
      <w:hyperlink r:id="rId26" w:history="1">
        <w:r w:rsidRPr="00DB11E7">
          <w:rPr>
            <w:rStyle w:val="Hyperlink"/>
          </w:rPr>
          <w:t>http://www.mep.gov.sa/index.jsp;jsessionid=7587746E923F7BF1B822164456479332.beta?event=ArticleView&amp;Article.ObjectID=45</w:t>
        </w:r>
      </w:hyperlink>
    </w:p>
    <w:p w:rsidR="00DB11E7" w:rsidRDefault="00DB11E7" w:rsidP="00DB11E7">
      <w:pPr>
        <w:spacing w:after="0"/>
      </w:pPr>
    </w:p>
    <w:p w:rsidR="00DB11E7" w:rsidRDefault="00DB11E7" w:rsidP="00DB11E7">
      <w:pPr>
        <w:spacing w:after="0"/>
        <w:ind w:left="720" w:hanging="720"/>
      </w:pPr>
      <w:r>
        <w:t xml:space="preserve">Sfakianakis, John. 2011. "New employment rules to shake up Saudi private sector." in </w:t>
      </w:r>
      <w:r w:rsidRPr="00DB11E7">
        <w:rPr>
          <w:i/>
        </w:rPr>
        <w:t>Arab News</w:t>
      </w:r>
      <w:r>
        <w:t xml:space="preserve">. Riyadh.  </w:t>
      </w:r>
      <w:hyperlink r:id="rId27" w:history="1">
        <w:r w:rsidRPr="00DB11E7">
          <w:rPr>
            <w:rStyle w:val="Hyperlink"/>
          </w:rPr>
          <w:t>http://arabnews.com/economy/article454902.ece</w:t>
        </w:r>
      </w:hyperlink>
    </w:p>
    <w:p w:rsidR="00DB11E7" w:rsidRDefault="00DB11E7" w:rsidP="00DB11E7">
      <w:pPr>
        <w:spacing w:after="0"/>
      </w:pPr>
    </w:p>
    <w:p w:rsidR="00DB11E7" w:rsidRDefault="00DB11E7" w:rsidP="00DB11E7">
      <w:pPr>
        <w:spacing w:after="0"/>
        <w:ind w:left="720" w:hanging="720"/>
      </w:pPr>
      <w:r>
        <w:t xml:space="preserve">UN DESA. 2012. "United Nations E-Government Survey 2012: E-Government for the People ". New York: UN Department of Economic and Social Affairs, Division for Public Administration and Development Management.  </w:t>
      </w:r>
      <w:hyperlink r:id="rId28" w:history="1">
        <w:r w:rsidRPr="00DB11E7">
          <w:rPr>
            <w:rStyle w:val="Hyperlink"/>
          </w:rPr>
          <w:t>http://www.un.org/en/development/desa/publications/connecting-governments-to-citizens.html</w:t>
        </w:r>
      </w:hyperlink>
    </w:p>
    <w:p w:rsidR="00DB11E7" w:rsidRDefault="00DB11E7" w:rsidP="00DB11E7">
      <w:pPr>
        <w:spacing w:after="0"/>
      </w:pPr>
    </w:p>
    <w:p w:rsidR="00DB11E7" w:rsidRDefault="00DB11E7" w:rsidP="00DB11E7">
      <w:pPr>
        <w:spacing w:after="0"/>
      </w:pPr>
    </w:p>
    <w:p w:rsidR="00DB11E7" w:rsidRDefault="00DB11E7" w:rsidP="00DB11E7">
      <w:pPr>
        <w:spacing w:after="0"/>
        <w:ind w:left="720" w:hanging="720"/>
      </w:pPr>
      <w:r>
        <w:t>UNDP. 2007. "</w:t>
      </w:r>
      <w:r w:rsidRPr="00DB11E7">
        <w:rPr>
          <w:rFonts w:ascii="Times New Roman" w:hAnsi="Times New Roman" w:cs="Times New Roman"/>
        </w:rPr>
        <w:t>Knowing the What and the How. RBM in UNDP:  Technical Note</w:t>
      </w:r>
      <w:r>
        <w:t xml:space="preserve">." New York: UNDP.  </w:t>
      </w:r>
      <w:r w:rsidRPr="00DB11E7">
        <w:rPr>
          <w:rFonts w:ascii="Times New Roman" w:hAnsi="Times New Roman" w:cs="Times New Roman"/>
          <w:u w:val="single"/>
        </w:rPr>
        <w:t>Knowing the What and the How &lt;</w:t>
      </w:r>
      <w:hyperlink r:id="rId29" w:history="1">
        <w:r w:rsidRPr="00DB11E7">
          <w:rPr>
            <w:rStyle w:val="Hyperlink"/>
            <w:rFonts w:ascii="Times New Roman" w:hAnsi="Times New Roman" w:cs="Times New Roman"/>
          </w:rPr>
          <w:t>http://intra.undp.org/eo/documents/methodology/rbm/RBM-technical-note.doc</w:t>
        </w:r>
      </w:hyperlink>
      <w:r w:rsidRPr="00DB11E7">
        <w:rPr>
          <w:rFonts w:ascii="Times New Roman" w:hAnsi="Times New Roman" w:cs="Times New Roman"/>
          <w:u w:val="single"/>
        </w:rPr>
        <w:t>&gt;</w:t>
      </w:r>
    </w:p>
    <w:p w:rsidR="00DB11E7" w:rsidRDefault="00DB11E7" w:rsidP="00DB11E7">
      <w:pPr>
        <w:spacing w:after="0"/>
      </w:pPr>
    </w:p>
    <w:p w:rsidR="00DB11E7" w:rsidRDefault="00DB11E7" w:rsidP="00DB11E7">
      <w:pPr>
        <w:spacing w:after="0"/>
        <w:ind w:left="720" w:hanging="720"/>
      </w:pPr>
      <w:r>
        <w:t xml:space="preserve">—. 2009. "Handbook on Planning, Monitoring and Evaluating for Development Results." New York: United Nations Development Programme.  </w:t>
      </w:r>
    </w:p>
    <w:p w:rsidR="00DB11E7" w:rsidRDefault="00DB11E7" w:rsidP="00DB11E7">
      <w:pPr>
        <w:spacing w:after="0"/>
        <w:ind w:left="720" w:hanging="720"/>
      </w:pPr>
      <w:r>
        <w:t>UNDP Evaluation Office. 2008. "Evaluation of the Role of UNDP in the Net Contributor Countries of the Arab Region ".  DP/2008/26</w:t>
      </w:r>
    </w:p>
    <w:p w:rsidR="00DB11E7" w:rsidRDefault="00DB11E7" w:rsidP="00DB11E7">
      <w:pPr>
        <w:spacing w:after="0"/>
        <w:ind w:left="720" w:hanging="720"/>
      </w:pPr>
      <w:r>
        <w:t xml:space="preserve">New York: Evaluation Office, United Nations Development Programme.  </w:t>
      </w:r>
      <w:hyperlink r:id="rId30" w:history="1">
        <w:r w:rsidRPr="00DB11E7">
          <w:rPr>
            <w:rStyle w:val="Hyperlink"/>
          </w:rPr>
          <w:t>http://web.undp.org/evaluation/documents/thematic/ncc/NCC.pdf</w:t>
        </w:r>
      </w:hyperlink>
    </w:p>
    <w:p w:rsidR="00DB11E7" w:rsidRDefault="00DB11E7" w:rsidP="00DB11E7">
      <w:pPr>
        <w:spacing w:after="0"/>
      </w:pPr>
    </w:p>
    <w:p w:rsidR="00DB11E7" w:rsidRDefault="00DB11E7" w:rsidP="00DB11E7">
      <w:pPr>
        <w:spacing w:after="0"/>
        <w:ind w:left="720" w:hanging="720"/>
      </w:pPr>
      <w:r>
        <w:t xml:space="preserve">UNDP Saudi Arabia. 2006. "Country programme document for Saudi Arabia (2007-2011)." New York: Executive Board of the United Nations Development Programme and of the United Nations Population Fund.  </w:t>
      </w:r>
      <w:hyperlink r:id="rId31" w:history="1">
        <w:r w:rsidRPr="00DB11E7">
          <w:rPr>
            <w:rStyle w:val="Hyperlink"/>
          </w:rPr>
          <w:t>http://www.undp.org.sa/sa/documents/home/cpd_2007_2011.pdf</w:t>
        </w:r>
      </w:hyperlink>
    </w:p>
    <w:p w:rsidR="00DB11E7" w:rsidRDefault="00DB11E7" w:rsidP="00DB11E7">
      <w:pPr>
        <w:spacing w:after="0"/>
      </w:pPr>
    </w:p>
    <w:p w:rsidR="00DB11E7" w:rsidRDefault="00DB11E7" w:rsidP="00DB11E7">
      <w:pPr>
        <w:spacing w:after="0"/>
        <w:ind w:left="720" w:hanging="720"/>
      </w:pPr>
      <w:r>
        <w:t xml:space="preserve">—. 2008. "Country Programme Action Plan." Riyadh: Government of the Kingdom of Saudi Arabia and UNDP SA Country Office.  </w:t>
      </w:r>
      <w:hyperlink r:id="rId32" w:history="1">
        <w:r w:rsidRPr="00DB11E7">
          <w:rPr>
            <w:rStyle w:val="Hyperlink"/>
          </w:rPr>
          <w:t>www.undp.org.sa/sa/.../cpap_narrative_review_final-mwt-matrix.doc</w:t>
        </w:r>
      </w:hyperlink>
    </w:p>
    <w:p w:rsidR="00DB11E7" w:rsidRDefault="00DB11E7" w:rsidP="00DB11E7">
      <w:pPr>
        <w:spacing w:after="0"/>
      </w:pPr>
    </w:p>
    <w:p w:rsidR="00DB11E7" w:rsidRDefault="00DB11E7" w:rsidP="00DB11E7">
      <w:pPr>
        <w:spacing w:after="0"/>
        <w:ind w:left="720" w:hanging="720"/>
      </w:pPr>
      <w:r>
        <w:t xml:space="preserve">—. 2011. "Country Programme Performance Summary." Riyadh: UNDP.  web.undp.org/.../SAU%20Statement_of_challenges_and_performance </w:t>
      </w:r>
    </w:p>
    <w:p w:rsidR="00DB11E7" w:rsidRDefault="00DB11E7" w:rsidP="00DB11E7">
      <w:pPr>
        <w:spacing w:after="0"/>
      </w:pPr>
    </w:p>
    <w:p w:rsidR="00DB11E7" w:rsidRDefault="00DB11E7" w:rsidP="00DB11E7">
      <w:pPr>
        <w:spacing w:after="0"/>
        <w:ind w:left="720" w:hanging="720"/>
      </w:pPr>
      <w:r>
        <w:t xml:space="preserve">World Bank. various years. "World Development Indicators." International Bank for Reconstruction and Development (The World Bank).  </w:t>
      </w:r>
      <w:hyperlink r:id="rId33" w:history="1">
        <w:r w:rsidRPr="00DB11E7">
          <w:rPr>
            <w:rStyle w:val="Hyperlink"/>
          </w:rPr>
          <w:t>http://data.worldbank.org/indicator/NY.GDP.MKTP.KD.ZG?page=1</w:t>
        </w:r>
      </w:hyperlink>
    </w:p>
    <w:p w:rsidR="00DB11E7" w:rsidRDefault="00DB11E7" w:rsidP="00DB11E7">
      <w:pPr>
        <w:spacing w:after="0"/>
      </w:pPr>
    </w:p>
    <w:p w:rsidR="00DB11E7" w:rsidRDefault="00DB11E7" w:rsidP="00DB11E7">
      <w:pPr>
        <w:spacing w:after="0"/>
        <w:ind w:left="720" w:hanging="720"/>
      </w:pPr>
      <w:r>
        <w:t xml:space="preserve">World Economic Forum. 2012. "The Global Information Technology Report 2011–2012." Geneva: World Economic Forum.  </w:t>
      </w:r>
      <w:hyperlink r:id="rId34" w:history="1">
        <w:r w:rsidRPr="00DB11E7">
          <w:rPr>
            <w:rStyle w:val="Hyperlink"/>
          </w:rPr>
          <w:t>http://www.weforum.org/reports/global-information-technology-report-2011-2012-0</w:t>
        </w:r>
      </w:hyperlink>
    </w:p>
    <w:p w:rsidR="00DB11E7" w:rsidRDefault="00DB11E7" w:rsidP="00DB11E7">
      <w:pPr>
        <w:spacing w:after="0"/>
      </w:pPr>
    </w:p>
    <w:p w:rsidR="00DB11E7" w:rsidRDefault="00DB11E7" w:rsidP="00DB11E7">
      <w:pPr>
        <w:spacing w:after="0"/>
      </w:pPr>
    </w:p>
    <w:p w:rsidR="0064757E" w:rsidRPr="00DA7619" w:rsidRDefault="007D6549" w:rsidP="00DB11E7">
      <w:pPr>
        <w:spacing w:after="0"/>
        <w:ind w:left="720" w:hanging="720"/>
      </w:pPr>
      <w:r w:rsidRPr="00DA7619">
        <w:fldChar w:fldCharType="end"/>
      </w:r>
    </w:p>
    <w:sectPr w:rsidR="0064757E" w:rsidRPr="00DA7619" w:rsidSect="00F71362">
      <w:footerReference w:type="default" r:id="rId35"/>
      <w:pgSz w:w="12240" w:h="15840"/>
      <w:pgMar w:top="1440" w:right="1325"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1A" w:rsidRDefault="000C701A" w:rsidP="009C1C1C">
      <w:pPr>
        <w:spacing w:before="0" w:after="0"/>
      </w:pPr>
      <w:r>
        <w:separator/>
      </w:r>
    </w:p>
  </w:endnote>
  <w:endnote w:type="continuationSeparator" w:id="0">
    <w:p w:rsidR="000C701A" w:rsidRDefault="000C701A" w:rsidP="009C1C1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4369"/>
      <w:docPartObj>
        <w:docPartGallery w:val="Page Numbers (Bottom of Page)"/>
        <w:docPartUnique/>
      </w:docPartObj>
    </w:sdtPr>
    <w:sdtContent>
      <w:p w:rsidR="00547794" w:rsidRDefault="007D6549">
        <w:pPr>
          <w:pStyle w:val="Footer"/>
          <w:jc w:val="center"/>
        </w:pPr>
        <w:fldSimple w:instr=" PAGE   \* MERGEFORMAT ">
          <w:r w:rsidR="001D2A48">
            <w:rPr>
              <w:noProof/>
            </w:rPr>
            <w:t>6</w:t>
          </w:r>
        </w:fldSimple>
      </w:p>
    </w:sdtContent>
  </w:sdt>
  <w:p w:rsidR="00547794" w:rsidRDefault="00547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1A" w:rsidRDefault="000C701A" w:rsidP="009C1C1C">
      <w:pPr>
        <w:spacing w:before="0" w:after="0"/>
      </w:pPr>
      <w:r>
        <w:separator/>
      </w:r>
    </w:p>
  </w:footnote>
  <w:footnote w:type="continuationSeparator" w:id="0">
    <w:p w:rsidR="000C701A" w:rsidRDefault="000C701A" w:rsidP="009C1C1C">
      <w:pPr>
        <w:spacing w:before="0" w:after="0"/>
      </w:pPr>
      <w:r>
        <w:continuationSeparator/>
      </w:r>
    </w:p>
  </w:footnote>
  <w:footnote w:id="1">
    <w:p w:rsidR="00547794" w:rsidRDefault="00547794">
      <w:pPr>
        <w:pStyle w:val="FootnoteText"/>
      </w:pPr>
      <w:r>
        <w:rPr>
          <w:rStyle w:val="FootnoteReference"/>
        </w:rPr>
        <w:footnoteRef/>
      </w:r>
      <w:r>
        <w:t xml:space="preserve"> WB.  World Development Indicators, see References</w:t>
      </w:r>
    </w:p>
  </w:footnote>
  <w:footnote w:id="2">
    <w:p w:rsidR="00547794" w:rsidRDefault="00547794" w:rsidP="00B57514">
      <w:pPr>
        <w:pStyle w:val="FootnoteText"/>
      </w:pPr>
      <w:r>
        <w:rPr>
          <w:rStyle w:val="FootnoteReference"/>
        </w:rPr>
        <w:footnoteRef/>
      </w:r>
      <w:r>
        <w:t xml:space="preserve"> The ninth plan was prepared by government during the course of the CP activities, and the CPD took the updated needs of the new plan into account in its review and final years.</w:t>
      </w:r>
    </w:p>
  </w:footnote>
  <w:footnote w:id="3">
    <w:p w:rsidR="00547794" w:rsidRDefault="00547794">
      <w:pPr>
        <w:pStyle w:val="FootnoteText"/>
      </w:pPr>
      <w:r>
        <w:rPr>
          <w:rStyle w:val="FootnoteReference"/>
        </w:rPr>
        <w:footnoteRef/>
      </w:r>
      <w:r>
        <w:t xml:space="preserve"> See p. 2 for current indicators.</w:t>
      </w:r>
    </w:p>
  </w:footnote>
  <w:footnote w:id="4">
    <w:p w:rsidR="00547794" w:rsidRDefault="00547794">
      <w:pPr>
        <w:pStyle w:val="FootnoteText"/>
      </w:pPr>
      <w:r>
        <w:rPr>
          <w:rStyle w:val="FootnoteReference"/>
        </w:rPr>
        <w:footnoteRef/>
      </w:r>
      <w:r>
        <w:t xml:space="preserve"> This programme was initially referred to as a more narrowly defined technical assistance project:  "</w:t>
      </w:r>
      <w:r w:rsidRPr="00F872AF">
        <w:t>A major revision of the draft National Frequency Plan implemented for the Ministry of Communication</w:t>
      </w:r>
      <w:r>
        <w:t>"</w:t>
      </w:r>
    </w:p>
  </w:footnote>
  <w:footnote w:id="5">
    <w:p w:rsidR="00547794" w:rsidRDefault="00547794">
      <w:pPr>
        <w:pStyle w:val="FootnoteText"/>
      </w:pPr>
      <w:r>
        <w:rPr>
          <w:rStyle w:val="FootnoteReference"/>
        </w:rPr>
        <w:footnoteRef/>
      </w:r>
      <w:r>
        <w:t xml:space="preserve"> </w:t>
      </w:r>
      <w:r w:rsidRPr="00A6283F">
        <w:t>Member States are ranked in accordance with the E-Government Development Index (EGDI), a composite indicator measuring the willingness and capacity of national administrations to use information and communication technologies to deliver public services. The EGDI is a weighted average of three normalized scores on the most important dimensions of e-government: scope and quality of online services, development status of telecommunication infrastructure, and inherent human capital.</w:t>
      </w:r>
      <w:r>
        <w:t xml:space="preserve"> (See References, UN DESA 2012.)</w:t>
      </w:r>
    </w:p>
  </w:footnote>
  <w:footnote w:id="6">
    <w:p w:rsidR="00547794" w:rsidRDefault="00547794">
      <w:pPr>
        <w:pStyle w:val="FootnoteText"/>
      </w:pPr>
      <w:r>
        <w:rPr>
          <w:rStyle w:val="FootnoteReference"/>
        </w:rPr>
        <w:footnoteRef/>
      </w:r>
      <w:r>
        <w:t xml:space="preserve"> Note that these are growth rates, not levels of growth; that is, while the number is positive, the economy or the sector is growing.  The downturn in the graph shows that the sector or economy is growing at a slower rate, but is still growing.  Negative values show that the sector is not growing, but is in fact shrinking – experiencing so-called negative growth – as the oil sector did in 2006, 2007 and 2009. </w:t>
      </w:r>
    </w:p>
  </w:footnote>
  <w:footnote w:id="7">
    <w:p w:rsidR="00547794" w:rsidRDefault="00547794" w:rsidP="00270B9C">
      <w:pPr>
        <w:pStyle w:val="FootnoteText"/>
      </w:pPr>
      <w:r>
        <w:rPr>
          <w:rStyle w:val="FootnoteReference"/>
        </w:rPr>
        <w:footnoteRef/>
      </w:r>
      <w:r>
        <w:t xml:space="preserve"> Saudi Arabia MEP, see References</w:t>
      </w:r>
    </w:p>
  </w:footnote>
  <w:footnote w:id="8">
    <w:p w:rsidR="00547794" w:rsidRDefault="00547794">
      <w:pPr>
        <w:pStyle w:val="FootnoteText"/>
      </w:pPr>
      <w:r>
        <w:rPr>
          <w:rStyle w:val="FootnoteReference"/>
        </w:rPr>
        <w:footnoteRef/>
      </w:r>
      <w:r>
        <w:t xml:space="preserve"> </w:t>
      </w:r>
      <w:r w:rsidRPr="00F84335">
        <w:rPr>
          <w:lang w:val="en-CA"/>
        </w:rPr>
        <w:t>‘Nitaqat’ came into effect on September 2011. Saudi firms have been color coded to four categories - Red, Yellow and Green, and Blue/VIP. Firms labeled ‘Red’ will not be able to renew their expat workers' visas and had until end November 2011 to improve their status by hiring more Saudi people. ‘Yellow’ firms have until end February 2012 to improve their status and will not be allowed to extend their existing foreign employees' work visas beyond 6 years. ‘Green’ or ‘Excellent’ firms with high Saudization rates will be allowed to offer jobs to foreign workers that are employed by firms in the Red and Yellow categories and transfer their visas. And firms in the highest ‘VIP’ category will enjoy the ability to hire workers from any part of the world using a web-based system with minimal clearance.</w:t>
      </w:r>
      <w:r>
        <w:rPr>
          <w:lang w:val="en-CA"/>
        </w:rPr>
        <w:t xml:space="preserve"> (Hasan and Ahmed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32BA"/>
    <w:multiLevelType w:val="hybridMultilevel"/>
    <w:tmpl w:val="7764CA04"/>
    <w:lvl w:ilvl="0" w:tplc="852EAC9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5D5388C"/>
    <w:multiLevelType w:val="hybridMultilevel"/>
    <w:tmpl w:val="061A6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600E50"/>
    <w:multiLevelType w:val="hybridMultilevel"/>
    <w:tmpl w:val="6B10A2BC"/>
    <w:lvl w:ilvl="0" w:tplc="532410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E02C0"/>
    <w:multiLevelType w:val="hybridMultilevel"/>
    <w:tmpl w:val="45F42D8C"/>
    <w:lvl w:ilvl="0" w:tplc="FB36DC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3F86"/>
    <w:multiLevelType w:val="hybridMultilevel"/>
    <w:tmpl w:val="4C10518A"/>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FB36DC14">
      <w:numFmt w:val="bullet"/>
      <w:lvlText w:val="-"/>
      <w:lvlJc w:val="left"/>
      <w:pPr>
        <w:tabs>
          <w:tab w:val="num" w:pos="840"/>
        </w:tabs>
        <w:ind w:left="840" w:hanging="420"/>
      </w:pPr>
      <w:rPr>
        <w:rFonts w:ascii="Times New Roman" w:eastAsia="SimSun" w:hAnsi="Times New Roman"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3645B10"/>
    <w:multiLevelType w:val="hybridMultilevel"/>
    <w:tmpl w:val="9BFED8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C33F6"/>
    <w:multiLevelType w:val="hybridMultilevel"/>
    <w:tmpl w:val="4D483048"/>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3B020C"/>
    <w:multiLevelType w:val="multilevel"/>
    <w:tmpl w:val="9F60BB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D0C4E41"/>
    <w:multiLevelType w:val="hybridMultilevel"/>
    <w:tmpl w:val="A7284B00"/>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E396DC4"/>
    <w:multiLevelType w:val="hybridMultilevel"/>
    <w:tmpl w:val="7CDEF67E"/>
    <w:lvl w:ilvl="0" w:tplc="10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E0543"/>
    <w:multiLevelType w:val="hybridMultilevel"/>
    <w:tmpl w:val="FB383514"/>
    <w:lvl w:ilvl="0" w:tplc="852EAC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3471D"/>
    <w:multiLevelType w:val="hybridMultilevel"/>
    <w:tmpl w:val="C3C4D9E8"/>
    <w:lvl w:ilvl="0" w:tplc="40404928">
      <w:start w:val="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F6EA1"/>
    <w:multiLevelType w:val="hybridMultilevel"/>
    <w:tmpl w:val="5AB64C36"/>
    <w:lvl w:ilvl="0" w:tplc="532410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17C51"/>
    <w:multiLevelType w:val="hybridMultilevel"/>
    <w:tmpl w:val="2368C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49D5AC3"/>
    <w:multiLevelType w:val="hybridMultilevel"/>
    <w:tmpl w:val="4BF088E2"/>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54F74DDE"/>
    <w:multiLevelType w:val="hybridMultilevel"/>
    <w:tmpl w:val="1C7C4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16C57"/>
    <w:multiLevelType w:val="multilevel"/>
    <w:tmpl w:val="0BDA26FC"/>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nsid w:val="5E4A7A17"/>
    <w:multiLevelType w:val="hybridMultilevel"/>
    <w:tmpl w:val="0D70E63E"/>
    <w:lvl w:ilvl="0" w:tplc="BF4426F6">
      <w:start w:val="1"/>
      <w:numFmt w:val="lowerRoman"/>
      <w:lvlText w:val="%1)"/>
      <w:lvlJc w:val="left"/>
      <w:pPr>
        <w:ind w:left="1440" w:hanging="720"/>
      </w:pPr>
      <w:rPr>
        <w:rFonts w:ascii="Arial" w:hAnsi="Arial" w:cs="Arial" w:hint="default"/>
        <w:b/>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6874F3"/>
    <w:multiLevelType w:val="hybridMultilevel"/>
    <w:tmpl w:val="D660C4E4"/>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35906D9"/>
    <w:multiLevelType w:val="hybridMultilevel"/>
    <w:tmpl w:val="C242040A"/>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38833B0"/>
    <w:multiLevelType w:val="hybridMultilevel"/>
    <w:tmpl w:val="514067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655547E0"/>
    <w:multiLevelType w:val="hybridMultilevel"/>
    <w:tmpl w:val="75800A7E"/>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FB36DC14">
      <w:numFmt w:val="bullet"/>
      <w:lvlText w:val="-"/>
      <w:lvlJc w:val="left"/>
      <w:pPr>
        <w:tabs>
          <w:tab w:val="num" w:pos="780"/>
        </w:tabs>
        <w:ind w:left="780" w:hanging="360"/>
      </w:pPr>
      <w:rPr>
        <w:rFonts w:ascii="Times New Roman" w:eastAsia="SimSun" w:hAnsi="Times New Roman"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B996669"/>
    <w:multiLevelType w:val="multilevel"/>
    <w:tmpl w:val="29BC7B9C"/>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6"/>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25">
    <w:nsid w:val="7D2708B5"/>
    <w:multiLevelType w:val="hybridMultilevel"/>
    <w:tmpl w:val="70806DC4"/>
    <w:lvl w:ilvl="0" w:tplc="40404928">
      <w:start w:val="6"/>
      <w:numFmt w:val="bullet"/>
      <w:lvlText w:val="-"/>
      <w:lvlJc w:val="left"/>
      <w:pPr>
        <w:ind w:left="45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18"/>
  </w:num>
  <w:num w:numId="5">
    <w:abstractNumId w:val="22"/>
  </w:num>
  <w:num w:numId="6">
    <w:abstractNumId w:val="24"/>
  </w:num>
  <w:num w:numId="7">
    <w:abstractNumId w:val="25"/>
  </w:num>
  <w:num w:numId="8">
    <w:abstractNumId w:val="2"/>
  </w:num>
  <w:num w:numId="9">
    <w:abstractNumId w:val="14"/>
  </w:num>
  <w:num w:numId="10">
    <w:abstractNumId w:val="16"/>
  </w:num>
  <w:num w:numId="11">
    <w:abstractNumId w:val="0"/>
  </w:num>
  <w:num w:numId="12">
    <w:abstractNumId w:val="17"/>
  </w:num>
  <w:num w:numId="13">
    <w:abstractNumId w:val="3"/>
  </w:num>
  <w:num w:numId="14">
    <w:abstractNumId w:val="13"/>
  </w:num>
  <w:num w:numId="15">
    <w:abstractNumId w:val="15"/>
  </w:num>
  <w:num w:numId="16">
    <w:abstractNumId w:val="21"/>
  </w:num>
  <w:num w:numId="17">
    <w:abstractNumId w:val="7"/>
  </w:num>
  <w:num w:numId="18">
    <w:abstractNumId w:val="9"/>
  </w:num>
  <w:num w:numId="19">
    <w:abstractNumId w:val="5"/>
  </w:num>
  <w:num w:numId="20">
    <w:abstractNumId w:val="11"/>
  </w:num>
  <w:num w:numId="21">
    <w:abstractNumId w:val="19"/>
  </w:num>
  <w:num w:numId="22">
    <w:abstractNumId w:val="6"/>
  </w:num>
  <w:num w:numId="23">
    <w:abstractNumId w:val="23"/>
  </w:num>
  <w:num w:numId="24">
    <w:abstractNumId w:val="20"/>
  </w:num>
  <w:num w:numId="25">
    <w:abstractNumId w:val="4"/>
  </w:num>
  <w:num w:numId="26">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ThesisD&amp;amp;UN 2007-Converted Copy1.enl&lt;/item&gt;&lt;/Libraries&gt;&lt;/ENLibraries&gt;"/>
  </w:docVars>
  <w:rsids>
    <w:rsidRoot w:val="00DC5A10"/>
    <w:rsid w:val="000020EC"/>
    <w:rsid w:val="00002A22"/>
    <w:rsid w:val="0000441D"/>
    <w:rsid w:val="00005976"/>
    <w:rsid w:val="00005ACF"/>
    <w:rsid w:val="00006F0A"/>
    <w:rsid w:val="000120E0"/>
    <w:rsid w:val="00014CA1"/>
    <w:rsid w:val="00015813"/>
    <w:rsid w:val="00015C67"/>
    <w:rsid w:val="00015E37"/>
    <w:rsid w:val="00016108"/>
    <w:rsid w:val="00016413"/>
    <w:rsid w:val="00017012"/>
    <w:rsid w:val="0002124E"/>
    <w:rsid w:val="00025563"/>
    <w:rsid w:val="000279A0"/>
    <w:rsid w:val="00033D91"/>
    <w:rsid w:val="0003704F"/>
    <w:rsid w:val="00043F2C"/>
    <w:rsid w:val="0004505C"/>
    <w:rsid w:val="00045C06"/>
    <w:rsid w:val="00051B92"/>
    <w:rsid w:val="0005270D"/>
    <w:rsid w:val="0005305E"/>
    <w:rsid w:val="0005557F"/>
    <w:rsid w:val="000558F7"/>
    <w:rsid w:val="00061C72"/>
    <w:rsid w:val="000717B4"/>
    <w:rsid w:val="000725F1"/>
    <w:rsid w:val="00076B36"/>
    <w:rsid w:val="0008088E"/>
    <w:rsid w:val="0008385C"/>
    <w:rsid w:val="00084101"/>
    <w:rsid w:val="00086122"/>
    <w:rsid w:val="00093945"/>
    <w:rsid w:val="000950CF"/>
    <w:rsid w:val="00095E03"/>
    <w:rsid w:val="0009632D"/>
    <w:rsid w:val="0009688B"/>
    <w:rsid w:val="000A1FB6"/>
    <w:rsid w:val="000A2052"/>
    <w:rsid w:val="000A2532"/>
    <w:rsid w:val="000A2E17"/>
    <w:rsid w:val="000A3F4B"/>
    <w:rsid w:val="000A490A"/>
    <w:rsid w:val="000A5326"/>
    <w:rsid w:val="000A6772"/>
    <w:rsid w:val="000B184E"/>
    <w:rsid w:val="000B1F07"/>
    <w:rsid w:val="000B4A66"/>
    <w:rsid w:val="000B51E9"/>
    <w:rsid w:val="000B53F5"/>
    <w:rsid w:val="000B7DFD"/>
    <w:rsid w:val="000C2818"/>
    <w:rsid w:val="000C701A"/>
    <w:rsid w:val="000D03B2"/>
    <w:rsid w:val="000D0D67"/>
    <w:rsid w:val="000D1389"/>
    <w:rsid w:val="000D3867"/>
    <w:rsid w:val="000D6735"/>
    <w:rsid w:val="000E3E28"/>
    <w:rsid w:val="000E4FA2"/>
    <w:rsid w:val="000F05C1"/>
    <w:rsid w:val="0010020E"/>
    <w:rsid w:val="0010257B"/>
    <w:rsid w:val="00105109"/>
    <w:rsid w:val="001051CD"/>
    <w:rsid w:val="00107431"/>
    <w:rsid w:val="0011171D"/>
    <w:rsid w:val="00114FCD"/>
    <w:rsid w:val="0012104F"/>
    <w:rsid w:val="0012292B"/>
    <w:rsid w:val="00123157"/>
    <w:rsid w:val="001236A9"/>
    <w:rsid w:val="00124802"/>
    <w:rsid w:val="00126806"/>
    <w:rsid w:val="00131F34"/>
    <w:rsid w:val="001361EB"/>
    <w:rsid w:val="00136E52"/>
    <w:rsid w:val="001424AA"/>
    <w:rsid w:val="0014313E"/>
    <w:rsid w:val="0014465B"/>
    <w:rsid w:val="00146C36"/>
    <w:rsid w:val="001522B6"/>
    <w:rsid w:val="00152A81"/>
    <w:rsid w:val="00153E38"/>
    <w:rsid w:val="00155D7D"/>
    <w:rsid w:val="0015761F"/>
    <w:rsid w:val="0016043C"/>
    <w:rsid w:val="00163EE5"/>
    <w:rsid w:val="00165DF2"/>
    <w:rsid w:val="00171F43"/>
    <w:rsid w:val="0017474C"/>
    <w:rsid w:val="00174A1C"/>
    <w:rsid w:val="001802C6"/>
    <w:rsid w:val="0018585D"/>
    <w:rsid w:val="00187691"/>
    <w:rsid w:val="00195DAE"/>
    <w:rsid w:val="001A0D29"/>
    <w:rsid w:val="001A0DAF"/>
    <w:rsid w:val="001A44B8"/>
    <w:rsid w:val="001A5AAB"/>
    <w:rsid w:val="001A7C6C"/>
    <w:rsid w:val="001A7D56"/>
    <w:rsid w:val="001B3151"/>
    <w:rsid w:val="001B4C4E"/>
    <w:rsid w:val="001D1093"/>
    <w:rsid w:val="001D1D10"/>
    <w:rsid w:val="001D2A48"/>
    <w:rsid w:val="001D48AB"/>
    <w:rsid w:val="001D5914"/>
    <w:rsid w:val="001D59E9"/>
    <w:rsid w:val="001E00B4"/>
    <w:rsid w:val="001E633B"/>
    <w:rsid w:val="001E64CF"/>
    <w:rsid w:val="001F2357"/>
    <w:rsid w:val="001F28EC"/>
    <w:rsid w:val="001F2A4B"/>
    <w:rsid w:val="001F43ED"/>
    <w:rsid w:val="001F4830"/>
    <w:rsid w:val="001F4EF8"/>
    <w:rsid w:val="00201048"/>
    <w:rsid w:val="00201540"/>
    <w:rsid w:val="00202CAA"/>
    <w:rsid w:val="0020548A"/>
    <w:rsid w:val="002065D3"/>
    <w:rsid w:val="0021257E"/>
    <w:rsid w:val="0021798D"/>
    <w:rsid w:val="002203E7"/>
    <w:rsid w:val="00221AE2"/>
    <w:rsid w:val="002230D1"/>
    <w:rsid w:val="002242A0"/>
    <w:rsid w:val="0022493A"/>
    <w:rsid w:val="002258F2"/>
    <w:rsid w:val="00227AB0"/>
    <w:rsid w:val="00233077"/>
    <w:rsid w:val="002332C4"/>
    <w:rsid w:val="00233FEC"/>
    <w:rsid w:val="002347AE"/>
    <w:rsid w:val="00234EC3"/>
    <w:rsid w:val="002363FC"/>
    <w:rsid w:val="00236DDF"/>
    <w:rsid w:val="00237C0B"/>
    <w:rsid w:val="0024252D"/>
    <w:rsid w:val="00243808"/>
    <w:rsid w:val="0024530B"/>
    <w:rsid w:val="00247380"/>
    <w:rsid w:val="00251C32"/>
    <w:rsid w:val="00251F2F"/>
    <w:rsid w:val="00254176"/>
    <w:rsid w:val="0026018F"/>
    <w:rsid w:val="002646B2"/>
    <w:rsid w:val="00265D1C"/>
    <w:rsid w:val="002661F4"/>
    <w:rsid w:val="0027010E"/>
    <w:rsid w:val="002702ED"/>
    <w:rsid w:val="00270B9C"/>
    <w:rsid w:val="00271DE0"/>
    <w:rsid w:val="00272506"/>
    <w:rsid w:val="002754A4"/>
    <w:rsid w:val="00275FFD"/>
    <w:rsid w:val="00276241"/>
    <w:rsid w:val="0027699B"/>
    <w:rsid w:val="00280BF7"/>
    <w:rsid w:val="002821BE"/>
    <w:rsid w:val="00282A09"/>
    <w:rsid w:val="00282DF6"/>
    <w:rsid w:val="00284B4D"/>
    <w:rsid w:val="00290115"/>
    <w:rsid w:val="002914BD"/>
    <w:rsid w:val="002916D7"/>
    <w:rsid w:val="00293302"/>
    <w:rsid w:val="00293577"/>
    <w:rsid w:val="002A028B"/>
    <w:rsid w:val="002A2E4F"/>
    <w:rsid w:val="002A4439"/>
    <w:rsid w:val="002A48DD"/>
    <w:rsid w:val="002A5EC9"/>
    <w:rsid w:val="002A7094"/>
    <w:rsid w:val="002B1675"/>
    <w:rsid w:val="002B192F"/>
    <w:rsid w:val="002B2768"/>
    <w:rsid w:val="002C2562"/>
    <w:rsid w:val="002C2C12"/>
    <w:rsid w:val="002C557A"/>
    <w:rsid w:val="002D21E4"/>
    <w:rsid w:val="002D2221"/>
    <w:rsid w:val="002D3FB3"/>
    <w:rsid w:val="002D64C2"/>
    <w:rsid w:val="002E0D81"/>
    <w:rsid w:val="002E3A8A"/>
    <w:rsid w:val="002E3B80"/>
    <w:rsid w:val="002E511E"/>
    <w:rsid w:val="002F1F7C"/>
    <w:rsid w:val="002F276F"/>
    <w:rsid w:val="002F771E"/>
    <w:rsid w:val="002F7C71"/>
    <w:rsid w:val="00304D0B"/>
    <w:rsid w:val="0030684F"/>
    <w:rsid w:val="00306DF9"/>
    <w:rsid w:val="00310B01"/>
    <w:rsid w:val="00310F54"/>
    <w:rsid w:val="003110C1"/>
    <w:rsid w:val="00311582"/>
    <w:rsid w:val="00312510"/>
    <w:rsid w:val="00314E41"/>
    <w:rsid w:val="00317C0E"/>
    <w:rsid w:val="003206A3"/>
    <w:rsid w:val="00322480"/>
    <w:rsid w:val="00327E41"/>
    <w:rsid w:val="003363D8"/>
    <w:rsid w:val="003373AC"/>
    <w:rsid w:val="003417EF"/>
    <w:rsid w:val="00343FD6"/>
    <w:rsid w:val="003513F1"/>
    <w:rsid w:val="00351CDC"/>
    <w:rsid w:val="00351F6D"/>
    <w:rsid w:val="00352D92"/>
    <w:rsid w:val="00353F50"/>
    <w:rsid w:val="003558DF"/>
    <w:rsid w:val="00355AD6"/>
    <w:rsid w:val="00357BDF"/>
    <w:rsid w:val="00367992"/>
    <w:rsid w:val="00370E70"/>
    <w:rsid w:val="0037155A"/>
    <w:rsid w:val="00371EB3"/>
    <w:rsid w:val="0037591D"/>
    <w:rsid w:val="0037765F"/>
    <w:rsid w:val="003850A8"/>
    <w:rsid w:val="00385B63"/>
    <w:rsid w:val="00386018"/>
    <w:rsid w:val="00387A34"/>
    <w:rsid w:val="00391BD7"/>
    <w:rsid w:val="00393159"/>
    <w:rsid w:val="0039362A"/>
    <w:rsid w:val="00393E3E"/>
    <w:rsid w:val="0039522A"/>
    <w:rsid w:val="00397301"/>
    <w:rsid w:val="003A2740"/>
    <w:rsid w:val="003A29B8"/>
    <w:rsid w:val="003A322E"/>
    <w:rsid w:val="003A44FC"/>
    <w:rsid w:val="003A4F9F"/>
    <w:rsid w:val="003A5D1E"/>
    <w:rsid w:val="003B1D54"/>
    <w:rsid w:val="003B3C78"/>
    <w:rsid w:val="003B614C"/>
    <w:rsid w:val="003B630C"/>
    <w:rsid w:val="003C74AA"/>
    <w:rsid w:val="003D25DD"/>
    <w:rsid w:val="003E42A7"/>
    <w:rsid w:val="003E617F"/>
    <w:rsid w:val="003E6CFC"/>
    <w:rsid w:val="003F0C51"/>
    <w:rsid w:val="003F1775"/>
    <w:rsid w:val="003F460E"/>
    <w:rsid w:val="003F58FA"/>
    <w:rsid w:val="0041212A"/>
    <w:rsid w:val="00412B1C"/>
    <w:rsid w:val="00412D75"/>
    <w:rsid w:val="00412F4B"/>
    <w:rsid w:val="0041419C"/>
    <w:rsid w:val="00416F6A"/>
    <w:rsid w:val="004173CE"/>
    <w:rsid w:val="00420393"/>
    <w:rsid w:val="00423921"/>
    <w:rsid w:val="00427117"/>
    <w:rsid w:val="00432A18"/>
    <w:rsid w:val="00433EA9"/>
    <w:rsid w:val="004355EC"/>
    <w:rsid w:val="0043652B"/>
    <w:rsid w:val="00436627"/>
    <w:rsid w:val="00437DD7"/>
    <w:rsid w:val="0044138C"/>
    <w:rsid w:val="004431F8"/>
    <w:rsid w:val="0044353C"/>
    <w:rsid w:val="00444E43"/>
    <w:rsid w:val="00445C85"/>
    <w:rsid w:val="00446E34"/>
    <w:rsid w:val="00450C8C"/>
    <w:rsid w:val="00450EDB"/>
    <w:rsid w:val="00453827"/>
    <w:rsid w:val="00456EC8"/>
    <w:rsid w:val="004614BD"/>
    <w:rsid w:val="004623BF"/>
    <w:rsid w:val="00465D6E"/>
    <w:rsid w:val="00467839"/>
    <w:rsid w:val="00472892"/>
    <w:rsid w:val="0047460E"/>
    <w:rsid w:val="00477547"/>
    <w:rsid w:val="004801D4"/>
    <w:rsid w:val="00483373"/>
    <w:rsid w:val="0048465E"/>
    <w:rsid w:val="00486EBC"/>
    <w:rsid w:val="00490A8A"/>
    <w:rsid w:val="00494F95"/>
    <w:rsid w:val="00495754"/>
    <w:rsid w:val="00496DF8"/>
    <w:rsid w:val="00496FF9"/>
    <w:rsid w:val="00497B6E"/>
    <w:rsid w:val="00497DAC"/>
    <w:rsid w:val="004A08CE"/>
    <w:rsid w:val="004A0A24"/>
    <w:rsid w:val="004A2BEC"/>
    <w:rsid w:val="004A341E"/>
    <w:rsid w:val="004A4AE8"/>
    <w:rsid w:val="004A750C"/>
    <w:rsid w:val="004A7C5C"/>
    <w:rsid w:val="004B7BEA"/>
    <w:rsid w:val="004C00A0"/>
    <w:rsid w:val="004C2A58"/>
    <w:rsid w:val="004C38FB"/>
    <w:rsid w:val="004C4B0C"/>
    <w:rsid w:val="004C70E7"/>
    <w:rsid w:val="004D05BD"/>
    <w:rsid w:val="004D0F1A"/>
    <w:rsid w:val="004D37F1"/>
    <w:rsid w:val="004D3E2F"/>
    <w:rsid w:val="004D3E6E"/>
    <w:rsid w:val="004D463D"/>
    <w:rsid w:val="004E1DB9"/>
    <w:rsid w:val="004E7041"/>
    <w:rsid w:val="004F248F"/>
    <w:rsid w:val="004F31F2"/>
    <w:rsid w:val="004F3D04"/>
    <w:rsid w:val="004F6F5B"/>
    <w:rsid w:val="004F746F"/>
    <w:rsid w:val="0050021E"/>
    <w:rsid w:val="00500F1D"/>
    <w:rsid w:val="00502C37"/>
    <w:rsid w:val="00506A32"/>
    <w:rsid w:val="00510911"/>
    <w:rsid w:val="00510951"/>
    <w:rsid w:val="0051315B"/>
    <w:rsid w:val="00513705"/>
    <w:rsid w:val="00513756"/>
    <w:rsid w:val="005200F9"/>
    <w:rsid w:val="00521037"/>
    <w:rsid w:val="005225C1"/>
    <w:rsid w:val="00526242"/>
    <w:rsid w:val="0053004F"/>
    <w:rsid w:val="005301E8"/>
    <w:rsid w:val="00534049"/>
    <w:rsid w:val="00534650"/>
    <w:rsid w:val="00534CEC"/>
    <w:rsid w:val="005445E1"/>
    <w:rsid w:val="00544791"/>
    <w:rsid w:val="00545C23"/>
    <w:rsid w:val="00545F6A"/>
    <w:rsid w:val="00546474"/>
    <w:rsid w:val="00547794"/>
    <w:rsid w:val="0055044E"/>
    <w:rsid w:val="00551680"/>
    <w:rsid w:val="00551791"/>
    <w:rsid w:val="005522C9"/>
    <w:rsid w:val="00555CDE"/>
    <w:rsid w:val="0055608D"/>
    <w:rsid w:val="005629E9"/>
    <w:rsid w:val="00564341"/>
    <w:rsid w:val="005679B7"/>
    <w:rsid w:val="00572B7D"/>
    <w:rsid w:val="00582D41"/>
    <w:rsid w:val="00582EBA"/>
    <w:rsid w:val="005866E5"/>
    <w:rsid w:val="005948A5"/>
    <w:rsid w:val="00594D89"/>
    <w:rsid w:val="00595978"/>
    <w:rsid w:val="00595C01"/>
    <w:rsid w:val="005966B6"/>
    <w:rsid w:val="005974EB"/>
    <w:rsid w:val="005A13CA"/>
    <w:rsid w:val="005A2995"/>
    <w:rsid w:val="005A2B79"/>
    <w:rsid w:val="005A3302"/>
    <w:rsid w:val="005A3C2A"/>
    <w:rsid w:val="005A4C02"/>
    <w:rsid w:val="005A5D23"/>
    <w:rsid w:val="005A6B25"/>
    <w:rsid w:val="005B14EE"/>
    <w:rsid w:val="005B165A"/>
    <w:rsid w:val="005B3980"/>
    <w:rsid w:val="005B7DB9"/>
    <w:rsid w:val="005C55C3"/>
    <w:rsid w:val="005C73E7"/>
    <w:rsid w:val="005C7FDF"/>
    <w:rsid w:val="005D1F57"/>
    <w:rsid w:val="005D2832"/>
    <w:rsid w:val="005D3235"/>
    <w:rsid w:val="005D4C20"/>
    <w:rsid w:val="005D4CF2"/>
    <w:rsid w:val="005D5EFF"/>
    <w:rsid w:val="005D5F07"/>
    <w:rsid w:val="005E40C4"/>
    <w:rsid w:val="005E4165"/>
    <w:rsid w:val="005E6284"/>
    <w:rsid w:val="005E6D9C"/>
    <w:rsid w:val="005E75D3"/>
    <w:rsid w:val="005F0AAA"/>
    <w:rsid w:val="005F0D3D"/>
    <w:rsid w:val="005F2DE4"/>
    <w:rsid w:val="006001BB"/>
    <w:rsid w:val="00601756"/>
    <w:rsid w:val="00602091"/>
    <w:rsid w:val="00602FEA"/>
    <w:rsid w:val="006031B7"/>
    <w:rsid w:val="00603573"/>
    <w:rsid w:val="006041F3"/>
    <w:rsid w:val="006047E7"/>
    <w:rsid w:val="00607534"/>
    <w:rsid w:val="006104B9"/>
    <w:rsid w:val="00610721"/>
    <w:rsid w:val="00615F63"/>
    <w:rsid w:val="00615F6A"/>
    <w:rsid w:val="00617352"/>
    <w:rsid w:val="0062041F"/>
    <w:rsid w:val="0062472C"/>
    <w:rsid w:val="006267F7"/>
    <w:rsid w:val="00633035"/>
    <w:rsid w:val="0063385E"/>
    <w:rsid w:val="00634691"/>
    <w:rsid w:val="00635902"/>
    <w:rsid w:val="00642FB7"/>
    <w:rsid w:val="00643A99"/>
    <w:rsid w:val="00644631"/>
    <w:rsid w:val="0064757E"/>
    <w:rsid w:val="006530BB"/>
    <w:rsid w:val="00653334"/>
    <w:rsid w:val="00653BF7"/>
    <w:rsid w:val="00654258"/>
    <w:rsid w:val="00655649"/>
    <w:rsid w:val="006557A3"/>
    <w:rsid w:val="00655B55"/>
    <w:rsid w:val="00655D95"/>
    <w:rsid w:val="00656B5A"/>
    <w:rsid w:val="006601DD"/>
    <w:rsid w:val="00660EA8"/>
    <w:rsid w:val="006624B0"/>
    <w:rsid w:val="00665A59"/>
    <w:rsid w:val="00666876"/>
    <w:rsid w:val="0067486D"/>
    <w:rsid w:val="006778DE"/>
    <w:rsid w:val="006779DB"/>
    <w:rsid w:val="0068189B"/>
    <w:rsid w:val="00682A69"/>
    <w:rsid w:val="00685615"/>
    <w:rsid w:val="0069037D"/>
    <w:rsid w:val="00695460"/>
    <w:rsid w:val="0069743F"/>
    <w:rsid w:val="006B236E"/>
    <w:rsid w:val="006B2692"/>
    <w:rsid w:val="006B54EE"/>
    <w:rsid w:val="006C2157"/>
    <w:rsid w:val="006C63B0"/>
    <w:rsid w:val="006C6863"/>
    <w:rsid w:val="006C7084"/>
    <w:rsid w:val="006D51CB"/>
    <w:rsid w:val="006D6C6B"/>
    <w:rsid w:val="006E2A72"/>
    <w:rsid w:val="006E6A1F"/>
    <w:rsid w:val="006F05B1"/>
    <w:rsid w:val="006F0B21"/>
    <w:rsid w:val="006F3D90"/>
    <w:rsid w:val="006F3F6A"/>
    <w:rsid w:val="006F7AC5"/>
    <w:rsid w:val="006F7CA7"/>
    <w:rsid w:val="0070075E"/>
    <w:rsid w:val="00700B99"/>
    <w:rsid w:val="00702A4A"/>
    <w:rsid w:val="00705086"/>
    <w:rsid w:val="00705196"/>
    <w:rsid w:val="0070575C"/>
    <w:rsid w:val="0071232B"/>
    <w:rsid w:val="00713690"/>
    <w:rsid w:val="0071505C"/>
    <w:rsid w:val="00720FF7"/>
    <w:rsid w:val="00722B80"/>
    <w:rsid w:val="00723D75"/>
    <w:rsid w:val="00725264"/>
    <w:rsid w:val="00725BBA"/>
    <w:rsid w:val="00726CDF"/>
    <w:rsid w:val="0073515B"/>
    <w:rsid w:val="00740CF0"/>
    <w:rsid w:val="007506A7"/>
    <w:rsid w:val="0075427A"/>
    <w:rsid w:val="0075473B"/>
    <w:rsid w:val="00757BB7"/>
    <w:rsid w:val="00757D97"/>
    <w:rsid w:val="00760B7F"/>
    <w:rsid w:val="00762001"/>
    <w:rsid w:val="00764F0E"/>
    <w:rsid w:val="00764F56"/>
    <w:rsid w:val="007656CB"/>
    <w:rsid w:val="0076617B"/>
    <w:rsid w:val="00770977"/>
    <w:rsid w:val="00772D31"/>
    <w:rsid w:val="00773430"/>
    <w:rsid w:val="007739F8"/>
    <w:rsid w:val="007739FB"/>
    <w:rsid w:val="007776BE"/>
    <w:rsid w:val="00780749"/>
    <w:rsid w:val="007836DE"/>
    <w:rsid w:val="00787FC0"/>
    <w:rsid w:val="007918E8"/>
    <w:rsid w:val="0079412D"/>
    <w:rsid w:val="00794230"/>
    <w:rsid w:val="00794737"/>
    <w:rsid w:val="00795D95"/>
    <w:rsid w:val="00795F16"/>
    <w:rsid w:val="007A12D1"/>
    <w:rsid w:val="007A18FA"/>
    <w:rsid w:val="007A2B95"/>
    <w:rsid w:val="007A4A43"/>
    <w:rsid w:val="007A6658"/>
    <w:rsid w:val="007B2EF4"/>
    <w:rsid w:val="007B4F96"/>
    <w:rsid w:val="007C12A0"/>
    <w:rsid w:val="007C1F6F"/>
    <w:rsid w:val="007C211F"/>
    <w:rsid w:val="007C295D"/>
    <w:rsid w:val="007C4CBA"/>
    <w:rsid w:val="007D08EE"/>
    <w:rsid w:val="007D0974"/>
    <w:rsid w:val="007D1B7F"/>
    <w:rsid w:val="007D47B6"/>
    <w:rsid w:val="007D5296"/>
    <w:rsid w:val="007D6420"/>
    <w:rsid w:val="007D6549"/>
    <w:rsid w:val="007E278E"/>
    <w:rsid w:val="007E2879"/>
    <w:rsid w:val="007E316B"/>
    <w:rsid w:val="007E3A8C"/>
    <w:rsid w:val="007E7230"/>
    <w:rsid w:val="007F09C6"/>
    <w:rsid w:val="007F2648"/>
    <w:rsid w:val="007F60D5"/>
    <w:rsid w:val="007F7A82"/>
    <w:rsid w:val="007F7D73"/>
    <w:rsid w:val="00802D26"/>
    <w:rsid w:val="008036DE"/>
    <w:rsid w:val="00803939"/>
    <w:rsid w:val="00803CD5"/>
    <w:rsid w:val="00804041"/>
    <w:rsid w:val="00806048"/>
    <w:rsid w:val="0080610C"/>
    <w:rsid w:val="00806F57"/>
    <w:rsid w:val="00810DC2"/>
    <w:rsid w:val="00814F82"/>
    <w:rsid w:val="008151E7"/>
    <w:rsid w:val="00816E3C"/>
    <w:rsid w:val="008208D4"/>
    <w:rsid w:val="00821003"/>
    <w:rsid w:val="00824FA3"/>
    <w:rsid w:val="00827576"/>
    <w:rsid w:val="008334AE"/>
    <w:rsid w:val="00833F39"/>
    <w:rsid w:val="00837276"/>
    <w:rsid w:val="00841A65"/>
    <w:rsid w:val="008462C8"/>
    <w:rsid w:val="00847395"/>
    <w:rsid w:val="00852323"/>
    <w:rsid w:val="0085337D"/>
    <w:rsid w:val="008566BA"/>
    <w:rsid w:val="00857BFA"/>
    <w:rsid w:val="00857F48"/>
    <w:rsid w:val="00860F39"/>
    <w:rsid w:val="0086179C"/>
    <w:rsid w:val="00865574"/>
    <w:rsid w:val="00865992"/>
    <w:rsid w:val="00866A57"/>
    <w:rsid w:val="00871F0B"/>
    <w:rsid w:val="00880653"/>
    <w:rsid w:val="00882F51"/>
    <w:rsid w:val="00883CCE"/>
    <w:rsid w:val="008854A0"/>
    <w:rsid w:val="00885F9C"/>
    <w:rsid w:val="00890C2E"/>
    <w:rsid w:val="008937D0"/>
    <w:rsid w:val="00896D5C"/>
    <w:rsid w:val="008A1C2C"/>
    <w:rsid w:val="008A37E4"/>
    <w:rsid w:val="008A5C78"/>
    <w:rsid w:val="008B5708"/>
    <w:rsid w:val="008B6754"/>
    <w:rsid w:val="008C027E"/>
    <w:rsid w:val="008C12B4"/>
    <w:rsid w:val="008C1F91"/>
    <w:rsid w:val="008C5961"/>
    <w:rsid w:val="008C6994"/>
    <w:rsid w:val="008C7F20"/>
    <w:rsid w:val="008D3EF8"/>
    <w:rsid w:val="008D76D0"/>
    <w:rsid w:val="008D7DA1"/>
    <w:rsid w:val="008E07C7"/>
    <w:rsid w:val="008E330E"/>
    <w:rsid w:val="008E3586"/>
    <w:rsid w:val="008E60C1"/>
    <w:rsid w:val="008F0613"/>
    <w:rsid w:val="008F1822"/>
    <w:rsid w:val="008F3422"/>
    <w:rsid w:val="008F3FCE"/>
    <w:rsid w:val="009105D4"/>
    <w:rsid w:val="00916CCE"/>
    <w:rsid w:val="00916F34"/>
    <w:rsid w:val="0092091F"/>
    <w:rsid w:val="0092249E"/>
    <w:rsid w:val="00926BDA"/>
    <w:rsid w:val="00932B85"/>
    <w:rsid w:val="00932F01"/>
    <w:rsid w:val="00933904"/>
    <w:rsid w:val="00933906"/>
    <w:rsid w:val="00933CA3"/>
    <w:rsid w:val="009353CB"/>
    <w:rsid w:val="00940407"/>
    <w:rsid w:val="00941331"/>
    <w:rsid w:val="009418E8"/>
    <w:rsid w:val="0094243D"/>
    <w:rsid w:val="009458D0"/>
    <w:rsid w:val="0094668F"/>
    <w:rsid w:val="009515D1"/>
    <w:rsid w:val="009550B9"/>
    <w:rsid w:val="009551FA"/>
    <w:rsid w:val="00955B86"/>
    <w:rsid w:val="00956D13"/>
    <w:rsid w:val="00957CE0"/>
    <w:rsid w:val="00964A02"/>
    <w:rsid w:val="009650AA"/>
    <w:rsid w:val="00965291"/>
    <w:rsid w:val="00965C7D"/>
    <w:rsid w:val="00966577"/>
    <w:rsid w:val="00971600"/>
    <w:rsid w:val="00972D02"/>
    <w:rsid w:val="0097348A"/>
    <w:rsid w:val="009754A9"/>
    <w:rsid w:val="00976006"/>
    <w:rsid w:val="00977E68"/>
    <w:rsid w:val="00980293"/>
    <w:rsid w:val="00980442"/>
    <w:rsid w:val="00983681"/>
    <w:rsid w:val="009845A5"/>
    <w:rsid w:val="00987BFD"/>
    <w:rsid w:val="00987D9D"/>
    <w:rsid w:val="0099227F"/>
    <w:rsid w:val="00992962"/>
    <w:rsid w:val="00995D8B"/>
    <w:rsid w:val="00996B08"/>
    <w:rsid w:val="009A0841"/>
    <w:rsid w:val="009A12DA"/>
    <w:rsid w:val="009A3138"/>
    <w:rsid w:val="009A507C"/>
    <w:rsid w:val="009A5E49"/>
    <w:rsid w:val="009A699B"/>
    <w:rsid w:val="009B0048"/>
    <w:rsid w:val="009B22F4"/>
    <w:rsid w:val="009B5ACD"/>
    <w:rsid w:val="009B7743"/>
    <w:rsid w:val="009B79EF"/>
    <w:rsid w:val="009C0D26"/>
    <w:rsid w:val="009C1C1C"/>
    <w:rsid w:val="009C4141"/>
    <w:rsid w:val="009C4E28"/>
    <w:rsid w:val="009C5782"/>
    <w:rsid w:val="009C74A4"/>
    <w:rsid w:val="009D13CA"/>
    <w:rsid w:val="009D505C"/>
    <w:rsid w:val="009E5509"/>
    <w:rsid w:val="009E6A51"/>
    <w:rsid w:val="009F3790"/>
    <w:rsid w:val="009F54C3"/>
    <w:rsid w:val="009F57C0"/>
    <w:rsid w:val="009F601B"/>
    <w:rsid w:val="009F6E77"/>
    <w:rsid w:val="009F7154"/>
    <w:rsid w:val="00A00D90"/>
    <w:rsid w:val="00A2125A"/>
    <w:rsid w:val="00A24129"/>
    <w:rsid w:val="00A24F94"/>
    <w:rsid w:val="00A25236"/>
    <w:rsid w:val="00A26A5E"/>
    <w:rsid w:val="00A26CC7"/>
    <w:rsid w:val="00A27564"/>
    <w:rsid w:val="00A34BDA"/>
    <w:rsid w:val="00A351AA"/>
    <w:rsid w:val="00A359B3"/>
    <w:rsid w:val="00A35D27"/>
    <w:rsid w:val="00A40FC1"/>
    <w:rsid w:val="00A41EEF"/>
    <w:rsid w:val="00A41FFF"/>
    <w:rsid w:val="00A46DA3"/>
    <w:rsid w:val="00A50C31"/>
    <w:rsid w:val="00A53E64"/>
    <w:rsid w:val="00A53F06"/>
    <w:rsid w:val="00A543D6"/>
    <w:rsid w:val="00A60A44"/>
    <w:rsid w:val="00A625DC"/>
    <w:rsid w:val="00A6283F"/>
    <w:rsid w:val="00A657C6"/>
    <w:rsid w:val="00A67121"/>
    <w:rsid w:val="00A7306F"/>
    <w:rsid w:val="00A7342C"/>
    <w:rsid w:val="00A77175"/>
    <w:rsid w:val="00A81C74"/>
    <w:rsid w:val="00A90213"/>
    <w:rsid w:val="00A90AB5"/>
    <w:rsid w:val="00A90AC4"/>
    <w:rsid w:val="00A913FD"/>
    <w:rsid w:val="00A92638"/>
    <w:rsid w:val="00A9312C"/>
    <w:rsid w:val="00A93ADC"/>
    <w:rsid w:val="00A94B65"/>
    <w:rsid w:val="00A95AE7"/>
    <w:rsid w:val="00A97D90"/>
    <w:rsid w:val="00AA0E26"/>
    <w:rsid w:val="00AA25CE"/>
    <w:rsid w:val="00AA52EB"/>
    <w:rsid w:val="00AA5345"/>
    <w:rsid w:val="00AA6711"/>
    <w:rsid w:val="00AA7499"/>
    <w:rsid w:val="00AB209E"/>
    <w:rsid w:val="00AB65F5"/>
    <w:rsid w:val="00AB6682"/>
    <w:rsid w:val="00AB6772"/>
    <w:rsid w:val="00AB6C8A"/>
    <w:rsid w:val="00AB6E33"/>
    <w:rsid w:val="00AC106C"/>
    <w:rsid w:val="00AC31FA"/>
    <w:rsid w:val="00AC4974"/>
    <w:rsid w:val="00AC59CF"/>
    <w:rsid w:val="00AC686E"/>
    <w:rsid w:val="00AD11CB"/>
    <w:rsid w:val="00AD467E"/>
    <w:rsid w:val="00AE3BCD"/>
    <w:rsid w:val="00AE7626"/>
    <w:rsid w:val="00AE7793"/>
    <w:rsid w:val="00AF04D8"/>
    <w:rsid w:val="00AF2293"/>
    <w:rsid w:val="00AF24B1"/>
    <w:rsid w:val="00AF3AAC"/>
    <w:rsid w:val="00AF5735"/>
    <w:rsid w:val="00AF5EC2"/>
    <w:rsid w:val="00B02C67"/>
    <w:rsid w:val="00B040CC"/>
    <w:rsid w:val="00B05F50"/>
    <w:rsid w:val="00B10689"/>
    <w:rsid w:val="00B1147D"/>
    <w:rsid w:val="00B138FC"/>
    <w:rsid w:val="00B14A87"/>
    <w:rsid w:val="00B14AA6"/>
    <w:rsid w:val="00B14F39"/>
    <w:rsid w:val="00B15CFB"/>
    <w:rsid w:val="00B16181"/>
    <w:rsid w:val="00B1783B"/>
    <w:rsid w:val="00B20189"/>
    <w:rsid w:val="00B22D4A"/>
    <w:rsid w:val="00B22EA6"/>
    <w:rsid w:val="00B230B0"/>
    <w:rsid w:val="00B23AC2"/>
    <w:rsid w:val="00B27116"/>
    <w:rsid w:val="00B27B1B"/>
    <w:rsid w:val="00B36EEF"/>
    <w:rsid w:val="00B4207A"/>
    <w:rsid w:val="00B442F1"/>
    <w:rsid w:val="00B4534D"/>
    <w:rsid w:val="00B45350"/>
    <w:rsid w:val="00B54FA9"/>
    <w:rsid w:val="00B56415"/>
    <w:rsid w:val="00B56AAB"/>
    <w:rsid w:val="00B57514"/>
    <w:rsid w:val="00B60A08"/>
    <w:rsid w:val="00B635D5"/>
    <w:rsid w:val="00B63C20"/>
    <w:rsid w:val="00B6670D"/>
    <w:rsid w:val="00B73AB2"/>
    <w:rsid w:val="00B74776"/>
    <w:rsid w:val="00B75A21"/>
    <w:rsid w:val="00B77E83"/>
    <w:rsid w:val="00B8272C"/>
    <w:rsid w:val="00B8278E"/>
    <w:rsid w:val="00B8283A"/>
    <w:rsid w:val="00B82A60"/>
    <w:rsid w:val="00B85AAF"/>
    <w:rsid w:val="00B905D2"/>
    <w:rsid w:val="00B915DA"/>
    <w:rsid w:val="00B9213B"/>
    <w:rsid w:val="00B92243"/>
    <w:rsid w:val="00B978E2"/>
    <w:rsid w:val="00BA2613"/>
    <w:rsid w:val="00BA35BC"/>
    <w:rsid w:val="00BA3EAF"/>
    <w:rsid w:val="00BA4095"/>
    <w:rsid w:val="00BA64B1"/>
    <w:rsid w:val="00BC39B0"/>
    <w:rsid w:val="00BC3B6A"/>
    <w:rsid w:val="00BC645B"/>
    <w:rsid w:val="00BD0CE9"/>
    <w:rsid w:val="00BD1142"/>
    <w:rsid w:val="00BD205A"/>
    <w:rsid w:val="00BD23B8"/>
    <w:rsid w:val="00BD26C1"/>
    <w:rsid w:val="00BD4390"/>
    <w:rsid w:val="00BD60FF"/>
    <w:rsid w:val="00BD61A6"/>
    <w:rsid w:val="00BE08DF"/>
    <w:rsid w:val="00BE11B1"/>
    <w:rsid w:val="00BE12AC"/>
    <w:rsid w:val="00BE6280"/>
    <w:rsid w:val="00BF33E6"/>
    <w:rsid w:val="00BF390B"/>
    <w:rsid w:val="00BF40D7"/>
    <w:rsid w:val="00BF7E4D"/>
    <w:rsid w:val="00BF7F36"/>
    <w:rsid w:val="00C05D54"/>
    <w:rsid w:val="00C06266"/>
    <w:rsid w:val="00C12EA0"/>
    <w:rsid w:val="00C13C0E"/>
    <w:rsid w:val="00C156D6"/>
    <w:rsid w:val="00C15754"/>
    <w:rsid w:val="00C17F2D"/>
    <w:rsid w:val="00C201DE"/>
    <w:rsid w:val="00C20F56"/>
    <w:rsid w:val="00C228D0"/>
    <w:rsid w:val="00C30819"/>
    <w:rsid w:val="00C309E3"/>
    <w:rsid w:val="00C31F49"/>
    <w:rsid w:val="00C3413D"/>
    <w:rsid w:val="00C3471E"/>
    <w:rsid w:val="00C3683A"/>
    <w:rsid w:val="00C370D8"/>
    <w:rsid w:val="00C378FC"/>
    <w:rsid w:val="00C41810"/>
    <w:rsid w:val="00C41BF8"/>
    <w:rsid w:val="00C4537C"/>
    <w:rsid w:val="00C46F57"/>
    <w:rsid w:val="00C536BE"/>
    <w:rsid w:val="00C6287B"/>
    <w:rsid w:val="00C63E33"/>
    <w:rsid w:val="00C640D0"/>
    <w:rsid w:val="00C65830"/>
    <w:rsid w:val="00C6655C"/>
    <w:rsid w:val="00C70737"/>
    <w:rsid w:val="00C72037"/>
    <w:rsid w:val="00C732CC"/>
    <w:rsid w:val="00C73965"/>
    <w:rsid w:val="00C73AF9"/>
    <w:rsid w:val="00C74BF1"/>
    <w:rsid w:val="00C75AE4"/>
    <w:rsid w:val="00C81E0B"/>
    <w:rsid w:val="00C825E4"/>
    <w:rsid w:val="00C82A7C"/>
    <w:rsid w:val="00C8326D"/>
    <w:rsid w:val="00C833E2"/>
    <w:rsid w:val="00C84773"/>
    <w:rsid w:val="00C87D9E"/>
    <w:rsid w:val="00C87E92"/>
    <w:rsid w:val="00C91A48"/>
    <w:rsid w:val="00C92079"/>
    <w:rsid w:val="00C93D8B"/>
    <w:rsid w:val="00C9465C"/>
    <w:rsid w:val="00C95693"/>
    <w:rsid w:val="00CA2036"/>
    <w:rsid w:val="00CA2D6E"/>
    <w:rsid w:val="00CA4C81"/>
    <w:rsid w:val="00CA59BE"/>
    <w:rsid w:val="00CB0343"/>
    <w:rsid w:val="00CB1A57"/>
    <w:rsid w:val="00CB3255"/>
    <w:rsid w:val="00CB393F"/>
    <w:rsid w:val="00CB39EE"/>
    <w:rsid w:val="00CB75F6"/>
    <w:rsid w:val="00CC03A2"/>
    <w:rsid w:val="00CC26F2"/>
    <w:rsid w:val="00CC6BEA"/>
    <w:rsid w:val="00CD0D1C"/>
    <w:rsid w:val="00CD0F2E"/>
    <w:rsid w:val="00CD67F8"/>
    <w:rsid w:val="00CD6B55"/>
    <w:rsid w:val="00CE24BA"/>
    <w:rsid w:val="00CE59BC"/>
    <w:rsid w:val="00CF41AA"/>
    <w:rsid w:val="00CF41F5"/>
    <w:rsid w:val="00CF5029"/>
    <w:rsid w:val="00D020C8"/>
    <w:rsid w:val="00D04791"/>
    <w:rsid w:val="00D049C9"/>
    <w:rsid w:val="00D070C9"/>
    <w:rsid w:val="00D079E4"/>
    <w:rsid w:val="00D10167"/>
    <w:rsid w:val="00D11F84"/>
    <w:rsid w:val="00D204FB"/>
    <w:rsid w:val="00D21228"/>
    <w:rsid w:val="00D21E6F"/>
    <w:rsid w:val="00D22007"/>
    <w:rsid w:val="00D22470"/>
    <w:rsid w:val="00D24B69"/>
    <w:rsid w:val="00D260CE"/>
    <w:rsid w:val="00D26309"/>
    <w:rsid w:val="00D27119"/>
    <w:rsid w:val="00D30B8F"/>
    <w:rsid w:val="00D32F0E"/>
    <w:rsid w:val="00D33C15"/>
    <w:rsid w:val="00D354CA"/>
    <w:rsid w:val="00D4031F"/>
    <w:rsid w:val="00D45CC6"/>
    <w:rsid w:val="00D47BAD"/>
    <w:rsid w:val="00D47C0C"/>
    <w:rsid w:val="00D47FE6"/>
    <w:rsid w:val="00D526EE"/>
    <w:rsid w:val="00D52D2C"/>
    <w:rsid w:val="00D54EB7"/>
    <w:rsid w:val="00D55252"/>
    <w:rsid w:val="00D5693E"/>
    <w:rsid w:val="00D61B5E"/>
    <w:rsid w:val="00D62696"/>
    <w:rsid w:val="00D723C7"/>
    <w:rsid w:val="00D749DA"/>
    <w:rsid w:val="00D8061F"/>
    <w:rsid w:val="00D82BE9"/>
    <w:rsid w:val="00D84875"/>
    <w:rsid w:val="00D86923"/>
    <w:rsid w:val="00D96198"/>
    <w:rsid w:val="00D97C51"/>
    <w:rsid w:val="00DA008D"/>
    <w:rsid w:val="00DA701F"/>
    <w:rsid w:val="00DA7619"/>
    <w:rsid w:val="00DB11E7"/>
    <w:rsid w:val="00DB132A"/>
    <w:rsid w:val="00DB1C5B"/>
    <w:rsid w:val="00DB4BAC"/>
    <w:rsid w:val="00DB5C92"/>
    <w:rsid w:val="00DB6328"/>
    <w:rsid w:val="00DC1356"/>
    <w:rsid w:val="00DC37BE"/>
    <w:rsid w:val="00DC48D0"/>
    <w:rsid w:val="00DC5A10"/>
    <w:rsid w:val="00DD2FCF"/>
    <w:rsid w:val="00DE1B6E"/>
    <w:rsid w:val="00DE1B76"/>
    <w:rsid w:val="00DE2D94"/>
    <w:rsid w:val="00DE3356"/>
    <w:rsid w:val="00DE688C"/>
    <w:rsid w:val="00DE700B"/>
    <w:rsid w:val="00DE7CAD"/>
    <w:rsid w:val="00DF1BE4"/>
    <w:rsid w:val="00DF1FB8"/>
    <w:rsid w:val="00DF36DC"/>
    <w:rsid w:val="00DF3858"/>
    <w:rsid w:val="00DF5D9B"/>
    <w:rsid w:val="00DF6448"/>
    <w:rsid w:val="00DF6914"/>
    <w:rsid w:val="00E03B3F"/>
    <w:rsid w:val="00E04941"/>
    <w:rsid w:val="00E10806"/>
    <w:rsid w:val="00E11C58"/>
    <w:rsid w:val="00E11C89"/>
    <w:rsid w:val="00E13B3C"/>
    <w:rsid w:val="00E14D65"/>
    <w:rsid w:val="00E21DCE"/>
    <w:rsid w:val="00E23AEB"/>
    <w:rsid w:val="00E23D98"/>
    <w:rsid w:val="00E313D8"/>
    <w:rsid w:val="00E31499"/>
    <w:rsid w:val="00E31B6D"/>
    <w:rsid w:val="00E321C9"/>
    <w:rsid w:val="00E33409"/>
    <w:rsid w:val="00E335CB"/>
    <w:rsid w:val="00E3413B"/>
    <w:rsid w:val="00E36013"/>
    <w:rsid w:val="00E36AFD"/>
    <w:rsid w:val="00E415EB"/>
    <w:rsid w:val="00E41BFC"/>
    <w:rsid w:val="00E424B2"/>
    <w:rsid w:val="00E43347"/>
    <w:rsid w:val="00E44D9C"/>
    <w:rsid w:val="00E47443"/>
    <w:rsid w:val="00E47716"/>
    <w:rsid w:val="00E56FBA"/>
    <w:rsid w:val="00E605D9"/>
    <w:rsid w:val="00E61729"/>
    <w:rsid w:val="00E61D02"/>
    <w:rsid w:val="00E6259C"/>
    <w:rsid w:val="00E66A8A"/>
    <w:rsid w:val="00E6716A"/>
    <w:rsid w:val="00E67679"/>
    <w:rsid w:val="00E67858"/>
    <w:rsid w:val="00E70334"/>
    <w:rsid w:val="00E75011"/>
    <w:rsid w:val="00E80CA0"/>
    <w:rsid w:val="00E8294B"/>
    <w:rsid w:val="00E83AF2"/>
    <w:rsid w:val="00E83C6B"/>
    <w:rsid w:val="00E8413A"/>
    <w:rsid w:val="00E84A5D"/>
    <w:rsid w:val="00E8670D"/>
    <w:rsid w:val="00E917AD"/>
    <w:rsid w:val="00E91800"/>
    <w:rsid w:val="00E92109"/>
    <w:rsid w:val="00E9436D"/>
    <w:rsid w:val="00E95A45"/>
    <w:rsid w:val="00EA1E5A"/>
    <w:rsid w:val="00EA2824"/>
    <w:rsid w:val="00EA38B6"/>
    <w:rsid w:val="00EB07B2"/>
    <w:rsid w:val="00EB274C"/>
    <w:rsid w:val="00EB4424"/>
    <w:rsid w:val="00EB5E09"/>
    <w:rsid w:val="00EC06C6"/>
    <w:rsid w:val="00EC0DF7"/>
    <w:rsid w:val="00EC31A1"/>
    <w:rsid w:val="00EC46A0"/>
    <w:rsid w:val="00ED10C6"/>
    <w:rsid w:val="00ED1389"/>
    <w:rsid w:val="00ED31CD"/>
    <w:rsid w:val="00ED5E41"/>
    <w:rsid w:val="00ED6A28"/>
    <w:rsid w:val="00ED7F16"/>
    <w:rsid w:val="00EE09AC"/>
    <w:rsid w:val="00EE0F3E"/>
    <w:rsid w:val="00EE1774"/>
    <w:rsid w:val="00EE67D5"/>
    <w:rsid w:val="00EF4DEB"/>
    <w:rsid w:val="00EF7010"/>
    <w:rsid w:val="00F06AC7"/>
    <w:rsid w:val="00F06BCD"/>
    <w:rsid w:val="00F07C1C"/>
    <w:rsid w:val="00F11500"/>
    <w:rsid w:val="00F12E63"/>
    <w:rsid w:val="00F13D49"/>
    <w:rsid w:val="00F14744"/>
    <w:rsid w:val="00F14954"/>
    <w:rsid w:val="00F16CE5"/>
    <w:rsid w:val="00F20485"/>
    <w:rsid w:val="00F22D76"/>
    <w:rsid w:val="00F31561"/>
    <w:rsid w:val="00F3612F"/>
    <w:rsid w:val="00F37215"/>
    <w:rsid w:val="00F37D20"/>
    <w:rsid w:val="00F46593"/>
    <w:rsid w:val="00F521F5"/>
    <w:rsid w:val="00F53A3D"/>
    <w:rsid w:val="00F53CDF"/>
    <w:rsid w:val="00F55D05"/>
    <w:rsid w:val="00F57861"/>
    <w:rsid w:val="00F57D52"/>
    <w:rsid w:val="00F61A9D"/>
    <w:rsid w:val="00F63863"/>
    <w:rsid w:val="00F71362"/>
    <w:rsid w:val="00F719C4"/>
    <w:rsid w:val="00F7224D"/>
    <w:rsid w:val="00F75A50"/>
    <w:rsid w:val="00F80B3F"/>
    <w:rsid w:val="00F81563"/>
    <w:rsid w:val="00F81EF9"/>
    <w:rsid w:val="00F82E28"/>
    <w:rsid w:val="00F84335"/>
    <w:rsid w:val="00F8475E"/>
    <w:rsid w:val="00F84E01"/>
    <w:rsid w:val="00F86EB9"/>
    <w:rsid w:val="00F872AF"/>
    <w:rsid w:val="00F87B07"/>
    <w:rsid w:val="00F9318B"/>
    <w:rsid w:val="00F96247"/>
    <w:rsid w:val="00F96F36"/>
    <w:rsid w:val="00FA0069"/>
    <w:rsid w:val="00FA1194"/>
    <w:rsid w:val="00FA13FB"/>
    <w:rsid w:val="00FA2EF5"/>
    <w:rsid w:val="00FA30DD"/>
    <w:rsid w:val="00FA7678"/>
    <w:rsid w:val="00FA7E21"/>
    <w:rsid w:val="00FB03D1"/>
    <w:rsid w:val="00FB09BA"/>
    <w:rsid w:val="00FB4CF3"/>
    <w:rsid w:val="00FB6775"/>
    <w:rsid w:val="00FB7219"/>
    <w:rsid w:val="00FC3818"/>
    <w:rsid w:val="00FC3E74"/>
    <w:rsid w:val="00FC4034"/>
    <w:rsid w:val="00FC586A"/>
    <w:rsid w:val="00FC5FF9"/>
    <w:rsid w:val="00FD09A0"/>
    <w:rsid w:val="00FD11AB"/>
    <w:rsid w:val="00FE0894"/>
    <w:rsid w:val="00FE7C1B"/>
    <w:rsid w:val="00FF3BF5"/>
    <w:rsid w:val="00FF4509"/>
    <w:rsid w:val="00FF4D66"/>
    <w:rsid w:val="00FF5BEA"/>
    <w:rsid w:val="00FF7E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10"/>
    <w:rPr>
      <w:rFonts w:ascii="Sylfaen" w:hAnsi="Sylfaen"/>
      <w:lang w:val="en-GB"/>
    </w:rPr>
  </w:style>
  <w:style w:type="paragraph" w:styleId="Heading1">
    <w:name w:val="heading 1"/>
    <w:basedOn w:val="Normal"/>
    <w:next w:val="Normal"/>
    <w:link w:val="Heading1Char"/>
    <w:uiPriority w:val="9"/>
    <w:qFormat/>
    <w:rsid w:val="003B6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uiPriority w:val="9"/>
    <w:unhideWhenUsed/>
    <w:qFormat/>
    <w:rsid w:val="00C17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0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3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71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71D"/>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3B614C"/>
    <w:rPr>
      <w:color w:val="0000FF" w:themeColor="hyperlink"/>
      <w:u w:val="single"/>
    </w:rPr>
  </w:style>
  <w:style w:type="character" w:customStyle="1" w:styleId="Heading1Char">
    <w:name w:val="Heading 1 Char"/>
    <w:basedOn w:val="DefaultParagraphFont"/>
    <w:link w:val="Heading1"/>
    <w:uiPriority w:val="9"/>
    <w:rsid w:val="003B614C"/>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3B614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17F2D"/>
    <w:rPr>
      <w:rFonts w:asciiTheme="majorHAnsi" w:eastAsiaTheme="majorEastAsia" w:hAnsiTheme="majorHAnsi" w:cstheme="majorBidi"/>
      <w:b/>
      <w:bCs/>
      <w:color w:val="4F81BD" w:themeColor="accent1"/>
      <w:sz w:val="26"/>
      <w:szCs w:val="26"/>
      <w:lang w:val="en-GB"/>
    </w:rPr>
  </w:style>
  <w:style w:type="paragraph" w:styleId="Caption">
    <w:name w:val="caption"/>
    <w:basedOn w:val="Normal"/>
    <w:next w:val="Normal"/>
    <w:uiPriority w:val="35"/>
    <w:unhideWhenUsed/>
    <w:qFormat/>
    <w:rsid w:val="00E11C89"/>
    <w:pPr>
      <w:spacing w:before="0" w:after="200"/>
    </w:pPr>
    <w:rPr>
      <w:b/>
      <w:bCs/>
      <w:color w:val="4F81BD" w:themeColor="accent1"/>
      <w:sz w:val="18"/>
      <w:szCs w:val="18"/>
    </w:rPr>
  </w:style>
  <w:style w:type="paragraph" w:styleId="ListParagraph">
    <w:name w:val="List Paragraph"/>
    <w:basedOn w:val="Normal"/>
    <w:uiPriority w:val="34"/>
    <w:qFormat/>
    <w:rsid w:val="005F0AAA"/>
    <w:pPr>
      <w:ind w:left="720"/>
      <w:contextualSpacing/>
    </w:pPr>
  </w:style>
  <w:style w:type="character" w:customStyle="1" w:styleId="Heading3Char">
    <w:name w:val="Heading 3 Char"/>
    <w:basedOn w:val="DefaultParagraphFont"/>
    <w:link w:val="Heading3"/>
    <w:uiPriority w:val="9"/>
    <w:rsid w:val="006C7084"/>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9C1C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1C"/>
    <w:rPr>
      <w:rFonts w:ascii="Tahoma" w:hAnsi="Tahoma" w:cs="Tahoma"/>
      <w:sz w:val="16"/>
      <w:szCs w:val="16"/>
      <w:lang w:val="en-GB"/>
    </w:rPr>
  </w:style>
  <w:style w:type="paragraph" w:styleId="FootnoteText">
    <w:name w:val="footnote text"/>
    <w:basedOn w:val="Normal"/>
    <w:link w:val="FootnoteTextChar"/>
    <w:uiPriority w:val="99"/>
    <w:semiHidden/>
    <w:unhideWhenUsed/>
    <w:rsid w:val="009C1C1C"/>
    <w:pPr>
      <w:spacing w:before="0" w:after="0"/>
    </w:pPr>
    <w:rPr>
      <w:sz w:val="20"/>
      <w:szCs w:val="20"/>
    </w:rPr>
  </w:style>
  <w:style w:type="character" w:customStyle="1" w:styleId="FootnoteTextChar">
    <w:name w:val="Footnote Text Char"/>
    <w:basedOn w:val="DefaultParagraphFont"/>
    <w:link w:val="FootnoteText"/>
    <w:uiPriority w:val="99"/>
    <w:semiHidden/>
    <w:rsid w:val="009C1C1C"/>
    <w:rPr>
      <w:rFonts w:ascii="Sylfaen" w:hAnsi="Sylfaen"/>
      <w:sz w:val="20"/>
      <w:szCs w:val="20"/>
      <w:lang w:val="en-GB"/>
    </w:rPr>
  </w:style>
  <w:style w:type="character" w:styleId="FootnoteReference">
    <w:name w:val="footnote reference"/>
    <w:basedOn w:val="DefaultParagraphFont"/>
    <w:uiPriority w:val="99"/>
    <w:semiHidden/>
    <w:unhideWhenUsed/>
    <w:rsid w:val="009C1C1C"/>
    <w:rPr>
      <w:vertAlign w:val="superscript"/>
    </w:rPr>
  </w:style>
  <w:style w:type="paragraph" w:styleId="TOCHeading">
    <w:name w:val="TOC Heading"/>
    <w:basedOn w:val="Heading1"/>
    <w:next w:val="Normal"/>
    <w:uiPriority w:val="39"/>
    <w:semiHidden/>
    <w:unhideWhenUsed/>
    <w:qFormat/>
    <w:rsid w:val="00A351AA"/>
    <w:pPr>
      <w:spacing w:line="276" w:lineRule="auto"/>
      <w:outlineLvl w:val="9"/>
    </w:pPr>
    <w:rPr>
      <w:lang w:val="en-US"/>
    </w:rPr>
  </w:style>
  <w:style w:type="paragraph" w:styleId="TOC1">
    <w:name w:val="toc 1"/>
    <w:basedOn w:val="Normal"/>
    <w:next w:val="Normal"/>
    <w:autoRedefine/>
    <w:uiPriority w:val="39"/>
    <w:unhideWhenUsed/>
    <w:rsid w:val="00A351AA"/>
    <w:pPr>
      <w:spacing w:after="100"/>
    </w:pPr>
  </w:style>
  <w:style w:type="paragraph" w:styleId="TOC2">
    <w:name w:val="toc 2"/>
    <w:basedOn w:val="Normal"/>
    <w:next w:val="Normal"/>
    <w:autoRedefine/>
    <w:uiPriority w:val="39"/>
    <w:unhideWhenUsed/>
    <w:rsid w:val="00A351AA"/>
    <w:pPr>
      <w:spacing w:after="100"/>
      <w:ind w:left="220"/>
    </w:pPr>
  </w:style>
  <w:style w:type="paragraph" w:styleId="TOC3">
    <w:name w:val="toc 3"/>
    <w:basedOn w:val="Normal"/>
    <w:next w:val="Normal"/>
    <w:autoRedefine/>
    <w:uiPriority w:val="39"/>
    <w:unhideWhenUsed/>
    <w:rsid w:val="00A351AA"/>
    <w:pPr>
      <w:spacing w:after="100"/>
      <w:ind w:left="440"/>
    </w:pPr>
  </w:style>
  <w:style w:type="character" w:styleId="FollowedHyperlink">
    <w:name w:val="FollowedHyperlink"/>
    <w:basedOn w:val="DefaultParagraphFont"/>
    <w:uiPriority w:val="99"/>
    <w:semiHidden/>
    <w:unhideWhenUsed/>
    <w:rsid w:val="0076617B"/>
    <w:rPr>
      <w:color w:val="800080" w:themeColor="followedHyperlink"/>
      <w:u w:val="single"/>
    </w:rPr>
  </w:style>
  <w:style w:type="paragraph" w:styleId="Header">
    <w:name w:val="header"/>
    <w:basedOn w:val="Normal"/>
    <w:link w:val="HeaderChar"/>
    <w:uiPriority w:val="99"/>
    <w:semiHidden/>
    <w:unhideWhenUsed/>
    <w:rsid w:val="00FC3818"/>
    <w:pPr>
      <w:tabs>
        <w:tab w:val="center" w:pos="4680"/>
        <w:tab w:val="right" w:pos="9360"/>
      </w:tabs>
      <w:spacing w:before="0" w:after="0"/>
    </w:pPr>
  </w:style>
  <w:style w:type="character" w:customStyle="1" w:styleId="HeaderChar">
    <w:name w:val="Header Char"/>
    <w:basedOn w:val="DefaultParagraphFont"/>
    <w:link w:val="Header"/>
    <w:uiPriority w:val="99"/>
    <w:semiHidden/>
    <w:rsid w:val="00FC3818"/>
    <w:rPr>
      <w:rFonts w:ascii="Sylfaen" w:hAnsi="Sylfaen"/>
      <w:lang w:val="en-GB"/>
    </w:rPr>
  </w:style>
  <w:style w:type="paragraph" w:styleId="Footer">
    <w:name w:val="footer"/>
    <w:basedOn w:val="Normal"/>
    <w:link w:val="FooterChar"/>
    <w:uiPriority w:val="99"/>
    <w:unhideWhenUsed/>
    <w:rsid w:val="00FC3818"/>
    <w:pPr>
      <w:tabs>
        <w:tab w:val="center" w:pos="4680"/>
        <w:tab w:val="right" w:pos="9360"/>
      </w:tabs>
      <w:spacing w:before="0" w:after="0"/>
    </w:pPr>
  </w:style>
  <w:style w:type="character" w:customStyle="1" w:styleId="FooterChar">
    <w:name w:val="Footer Char"/>
    <w:basedOn w:val="DefaultParagraphFont"/>
    <w:link w:val="Footer"/>
    <w:uiPriority w:val="99"/>
    <w:rsid w:val="00FC3818"/>
    <w:rPr>
      <w:rFonts w:ascii="Sylfaen" w:hAnsi="Sylfaen"/>
      <w:lang w:val="en-GB"/>
    </w:rPr>
  </w:style>
  <w:style w:type="character" w:customStyle="1" w:styleId="Heading4Char">
    <w:name w:val="Heading 4 Char"/>
    <w:basedOn w:val="DefaultParagraphFont"/>
    <w:link w:val="Heading4"/>
    <w:uiPriority w:val="9"/>
    <w:rsid w:val="00C63E33"/>
    <w:rPr>
      <w:rFonts w:asciiTheme="majorHAnsi" w:eastAsiaTheme="majorEastAsia" w:hAnsiTheme="majorHAnsi" w:cstheme="majorBidi"/>
      <w:b/>
      <w:bCs/>
      <w:i/>
      <w:iCs/>
      <w:color w:val="4F81BD" w:themeColor="accent1"/>
      <w:lang w:val="en-GB"/>
    </w:rPr>
  </w:style>
  <w:style w:type="paragraph" w:styleId="TOC4">
    <w:name w:val="toc 4"/>
    <w:basedOn w:val="Normal"/>
    <w:next w:val="Normal"/>
    <w:autoRedefine/>
    <w:uiPriority w:val="39"/>
    <w:unhideWhenUsed/>
    <w:rsid w:val="003E617F"/>
    <w:pPr>
      <w:spacing w:after="100"/>
      <w:ind w:left="660"/>
    </w:pPr>
  </w:style>
  <w:style w:type="paragraph" w:styleId="Subtitle">
    <w:name w:val="Subtitle"/>
    <w:basedOn w:val="Normal"/>
    <w:next w:val="Normal"/>
    <w:link w:val="SubtitleChar"/>
    <w:uiPriority w:val="11"/>
    <w:qFormat/>
    <w:rsid w:val="004A0A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0A24"/>
    <w:rPr>
      <w:rFonts w:asciiTheme="majorHAnsi" w:eastAsiaTheme="majorEastAsia" w:hAnsiTheme="majorHAnsi" w:cstheme="majorBidi"/>
      <w:i/>
      <w:iCs/>
      <w:color w:val="4F81BD" w:themeColor="accent1"/>
      <w:spacing w:val="15"/>
      <w:sz w:val="24"/>
      <w:szCs w:val="24"/>
      <w:lang w:val="en-GB"/>
    </w:rPr>
  </w:style>
  <w:style w:type="character" w:styleId="BookTitle">
    <w:name w:val="Book Title"/>
    <w:basedOn w:val="DefaultParagraphFont"/>
    <w:uiPriority w:val="33"/>
    <w:qFormat/>
    <w:rsid w:val="006D51CB"/>
    <w:rPr>
      <w:b/>
      <w:bCs/>
      <w:smallCaps/>
      <w:spacing w:val="5"/>
    </w:rPr>
  </w:style>
  <w:style w:type="character" w:styleId="IntenseEmphasis">
    <w:name w:val="Intense Emphasis"/>
    <w:basedOn w:val="DefaultParagraphFont"/>
    <w:uiPriority w:val="21"/>
    <w:qFormat/>
    <w:rsid w:val="00654258"/>
    <w:rPr>
      <w:b/>
      <w:bCs/>
      <w:i/>
      <w:iCs/>
      <w:color w:val="4F81BD" w:themeColor="accent1"/>
    </w:rPr>
  </w:style>
  <w:style w:type="paragraph" w:customStyle="1" w:styleId="Default">
    <w:name w:val="Default"/>
    <w:rsid w:val="0024530B"/>
    <w:pPr>
      <w:autoSpaceDE w:val="0"/>
      <w:autoSpaceDN w:val="0"/>
      <w:adjustRightInd w:val="0"/>
      <w:spacing w:before="0" w:after="0"/>
    </w:pPr>
    <w:rPr>
      <w:rFonts w:ascii="Times New Roman" w:hAnsi="Times New Roman" w:cs="Times New Roman"/>
      <w:color w:val="000000"/>
      <w:sz w:val="24"/>
      <w:szCs w:val="24"/>
    </w:rPr>
  </w:style>
  <w:style w:type="character" w:styleId="Strong">
    <w:name w:val="Strong"/>
    <w:basedOn w:val="DefaultParagraphFont"/>
    <w:uiPriority w:val="22"/>
    <w:qFormat/>
    <w:rsid w:val="00CA59BE"/>
    <w:rPr>
      <w:b/>
      <w:bCs/>
    </w:rPr>
  </w:style>
  <w:style w:type="table" w:customStyle="1" w:styleId="LightShading-Accent11">
    <w:name w:val="Light Shading - Accent 11"/>
    <w:basedOn w:val="TableNormal"/>
    <w:uiPriority w:val="60"/>
    <w:rsid w:val="006F7CA7"/>
    <w:pPr>
      <w:spacing w:before="0" w:after="0"/>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uiPriority w:val="99"/>
    <w:unhideWhenUsed/>
    <w:rsid w:val="00CE24BA"/>
    <w:pPr>
      <w:spacing w:after="0"/>
    </w:pPr>
  </w:style>
  <w:style w:type="paragraph" w:customStyle="1" w:styleId="ecxmsolistparagraph">
    <w:name w:val="ecxmsolistparagraph"/>
    <w:basedOn w:val="Normal"/>
    <w:rsid w:val="00233FEC"/>
    <w:pPr>
      <w:spacing w:before="0" w:after="324"/>
    </w:pPr>
    <w:rPr>
      <w:rFonts w:ascii="Times New Roman" w:eastAsia="Times New Roman" w:hAnsi="Times New Roman" w:cs="Times New Roman"/>
      <w:sz w:val="24"/>
      <w:szCs w:val="24"/>
      <w:lang w:val="en-CA" w:eastAsia="en-CA"/>
    </w:rPr>
  </w:style>
  <w:style w:type="character" w:customStyle="1" w:styleId="apple-style-span">
    <w:name w:val="apple-style-span"/>
    <w:basedOn w:val="DefaultParagraphFont"/>
    <w:rsid w:val="00254176"/>
  </w:style>
  <w:style w:type="paragraph" w:styleId="BodyTextIndent">
    <w:name w:val="Body Text Indent"/>
    <w:basedOn w:val="Normal"/>
    <w:link w:val="BodyTextIndentChar"/>
    <w:rsid w:val="00E415EB"/>
    <w:pPr>
      <w:spacing w:before="0" w:after="0"/>
      <w:ind w:left="435"/>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E415EB"/>
    <w:rPr>
      <w:rFonts w:ascii="Arial" w:eastAsia="Times New Roman" w:hAnsi="Arial" w:cs="Arial"/>
      <w:sz w:val="24"/>
      <w:szCs w:val="24"/>
      <w:lang w:val="en-US"/>
    </w:rPr>
  </w:style>
  <w:style w:type="paragraph" w:styleId="NormalWeb">
    <w:name w:val="Normal (Web)"/>
    <w:basedOn w:val="Normal"/>
    <w:unhideWhenUsed/>
    <w:rsid w:val="00E415EB"/>
    <w:pPr>
      <w:spacing w:before="100" w:beforeAutospacing="1" w:after="100" w:afterAutospacing="1" w:line="312"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621927">
      <w:bodyDiv w:val="1"/>
      <w:marLeft w:val="0"/>
      <w:marRight w:val="0"/>
      <w:marTop w:val="0"/>
      <w:marBottom w:val="0"/>
      <w:divBdr>
        <w:top w:val="none" w:sz="0" w:space="0" w:color="auto"/>
        <w:left w:val="none" w:sz="0" w:space="0" w:color="auto"/>
        <w:bottom w:val="none" w:sz="0" w:space="0" w:color="auto"/>
        <w:right w:val="none" w:sz="0" w:space="0" w:color="auto"/>
      </w:divBdr>
    </w:div>
    <w:div w:id="61293508">
      <w:bodyDiv w:val="1"/>
      <w:marLeft w:val="0"/>
      <w:marRight w:val="0"/>
      <w:marTop w:val="0"/>
      <w:marBottom w:val="0"/>
      <w:divBdr>
        <w:top w:val="none" w:sz="0" w:space="0" w:color="auto"/>
        <w:left w:val="none" w:sz="0" w:space="0" w:color="auto"/>
        <w:bottom w:val="none" w:sz="0" w:space="0" w:color="auto"/>
        <w:right w:val="none" w:sz="0" w:space="0" w:color="auto"/>
      </w:divBdr>
    </w:div>
    <w:div w:id="61562018">
      <w:bodyDiv w:val="1"/>
      <w:marLeft w:val="0"/>
      <w:marRight w:val="0"/>
      <w:marTop w:val="0"/>
      <w:marBottom w:val="0"/>
      <w:divBdr>
        <w:top w:val="none" w:sz="0" w:space="0" w:color="auto"/>
        <w:left w:val="none" w:sz="0" w:space="0" w:color="auto"/>
        <w:bottom w:val="none" w:sz="0" w:space="0" w:color="auto"/>
        <w:right w:val="none" w:sz="0" w:space="0" w:color="auto"/>
      </w:divBdr>
      <w:divsChild>
        <w:div w:id="944531713">
          <w:marLeft w:val="0"/>
          <w:marRight w:val="0"/>
          <w:marTop w:val="0"/>
          <w:marBottom w:val="0"/>
          <w:divBdr>
            <w:top w:val="none" w:sz="0" w:space="0" w:color="auto"/>
            <w:left w:val="none" w:sz="0" w:space="0" w:color="auto"/>
            <w:bottom w:val="none" w:sz="0" w:space="0" w:color="auto"/>
            <w:right w:val="none" w:sz="0" w:space="0" w:color="auto"/>
          </w:divBdr>
          <w:divsChild>
            <w:div w:id="1052001296">
              <w:marLeft w:val="0"/>
              <w:marRight w:val="0"/>
              <w:marTop w:val="0"/>
              <w:marBottom w:val="0"/>
              <w:divBdr>
                <w:top w:val="none" w:sz="0" w:space="0" w:color="auto"/>
                <w:left w:val="none" w:sz="0" w:space="0" w:color="auto"/>
                <w:bottom w:val="none" w:sz="0" w:space="0" w:color="auto"/>
                <w:right w:val="none" w:sz="0" w:space="0" w:color="auto"/>
              </w:divBdr>
              <w:divsChild>
                <w:div w:id="1662855239">
                  <w:marLeft w:val="0"/>
                  <w:marRight w:val="0"/>
                  <w:marTop w:val="0"/>
                  <w:marBottom w:val="0"/>
                  <w:divBdr>
                    <w:top w:val="none" w:sz="0" w:space="0" w:color="auto"/>
                    <w:left w:val="none" w:sz="0" w:space="0" w:color="auto"/>
                    <w:bottom w:val="none" w:sz="0" w:space="0" w:color="auto"/>
                    <w:right w:val="none" w:sz="0" w:space="0" w:color="auto"/>
                  </w:divBdr>
                  <w:divsChild>
                    <w:div w:id="325860646">
                      <w:marLeft w:val="0"/>
                      <w:marRight w:val="0"/>
                      <w:marTop w:val="0"/>
                      <w:marBottom w:val="0"/>
                      <w:divBdr>
                        <w:top w:val="none" w:sz="0" w:space="0" w:color="auto"/>
                        <w:left w:val="none" w:sz="0" w:space="0" w:color="auto"/>
                        <w:bottom w:val="none" w:sz="0" w:space="0" w:color="auto"/>
                        <w:right w:val="none" w:sz="0" w:space="0" w:color="auto"/>
                      </w:divBdr>
                      <w:divsChild>
                        <w:div w:id="1898278443">
                          <w:marLeft w:val="0"/>
                          <w:marRight w:val="0"/>
                          <w:marTop w:val="0"/>
                          <w:marBottom w:val="0"/>
                          <w:divBdr>
                            <w:top w:val="none" w:sz="0" w:space="0" w:color="auto"/>
                            <w:left w:val="none" w:sz="0" w:space="0" w:color="auto"/>
                            <w:bottom w:val="none" w:sz="0" w:space="0" w:color="auto"/>
                            <w:right w:val="none" w:sz="0" w:space="0" w:color="auto"/>
                          </w:divBdr>
                          <w:divsChild>
                            <w:div w:id="2067335558">
                              <w:marLeft w:val="0"/>
                              <w:marRight w:val="0"/>
                              <w:marTop w:val="0"/>
                              <w:marBottom w:val="0"/>
                              <w:divBdr>
                                <w:top w:val="none" w:sz="0" w:space="0" w:color="auto"/>
                                <w:left w:val="none" w:sz="0" w:space="0" w:color="auto"/>
                                <w:bottom w:val="none" w:sz="0" w:space="0" w:color="auto"/>
                                <w:right w:val="none" w:sz="0" w:space="0" w:color="auto"/>
                              </w:divBdr>
                              <w:divsChild>
                                <w:div w:id="1537043276">
                                  <w:marLeft w:val="0"/>
                                  <w:marRight w:val="0"/>
                                  <w:marTop w:val="0"/>
                                  <w:marBottom w:val="0"/>
                                  <w:divBdr>
                                    <w:top w:val="none" w:sz="0" w:space="0" w:color="auto"/>
                                    <w:left w:val="none" w:sz="0" w:space="0" w:color="auto"/>
                                    <w:bottom w:val="none" w:sz="0" w:space="0" w:color="auto"/>
                                    <w:right w:val="none" w:sz="0" w:space="0" w:color="auto"/>
                                  </w:divBdr>
                                  <w:divsChild>
                                    <w:div w:id="1091051791">
                                      <w:marLeft w:val="0"/>
                                      <w:marRight w:val="0"/>
                                      <w:marTop w:val="0"/>
                                      <w:marBottom w:val="0"/>
                                      <w:divBdr>
                                        <w:top w:val="none" w:sz="0" w:space="0" w:color="auto"/>
                                        <w:left w:val="none" w:sz="0" w:space="0" w:color="auto"/>
                                        <w:bottom w:val="none" w:sz="0" w:space="0" w:color="auto"/>
                                        <w:right w:val="none" w:sz="0" w:space="0" w:color="auto"/>
                                      </w:divBdr>
                                      <w:divsChild>
                                        <w:div w:id="276371363">
                                          <w:marLeft w:val="0"/>
                                          <w:marRight w:val="0"/>
                                          <w:marTop w:val="0"/>
                                          <w:marBottom w:val="0"/>
                                          <w:divBdr>
                                            <w:top w:val="none" w:sz="0" w:space="0" w:color="auto"/>
                                            <w:left w:val="none" w:sz="0" w:space="0" w:color="auto"/>
                                            <w:bottom w:val="none" w:sz="0" w:space="0" w:color="auto"/>
                                            <w:right w:val="none" w:sz="0" w:space="0" w:color="auto"/>
                                          </w:divBdr>
                                        </w:div>
                                        <w:div w:id="14055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87706">
      <w:bodyDiv w:val="1"/>
      <w:marLeft w:val="0"/>
      <w:marRight w:val="0"/>
      <w:marTop w:val="0"/>
      <w:marBottom w:val="0"/>
      <w:divBdr>
        <w:top w:val="none" w:sz="0" w:space="0" w:color="auto"/>
        <w:left w:val="none" w:sz="0" w:space="0" w:color="auto"/>
        <w:bottom w:val="none" w:sz="0" w:space="0" w:color="auto"/>
        <w:right w:val="none" w:sz="0" w:space="0" w:color="auto"/>
      </w:divBdr>
      <w:divsChild>
        <w:div w:id="2123259097">
          <w:marLeft w:val="0"/>
          <w:marRight w:val="0"/>
          <w:marTop w:val="0"/>
          <w:marBottom w:val="0"/>
          <w:divBdr>
            <w:top w:val="none" w:sz="0" w:space="0" w:color="auto"/>
            <w:left w:val="none" w:sz="0" w:space="0" w:color="auto"/>
            <w:bottom w:val="none" w:sz="0" w:space="0" w:color="auto"/>
            <w:right w:val="none" w:sz="0" w:space="0" w:color="auto"/>
          </w:divBdr>
          <w:divsChild>
            <w:div w:id="1859193199">
              <w:marLeft w:val="0"/>
              <w:marRight w:val="0"/>
              <w:marTop w:val="0"/>
              <w:marBottom w:val="0"/>
              <w:divBdr>
                <w:top w:val="none" w:sz="0" w:space="0" w:color="auto"/>
                <w:left w:val="none" w:sz="0" w:space="0" w:color="auto"/>
                <w:bottom w:val="none" w:sz="0" w:space="0" w:color="auto"/>
                <w:right w:val="none" w:sz="0" w:space="0" w:color="auto"/>
              </w:divBdr>
              <w:divsChild>
                <w:div w:id="1555507536">
                  <w:marLeft w:val="0"/>
                  <w:marRight w:val="0"/>
                  <w:marTop w:val="0"/>
                  <w:marBottom w:val="0"/>
                  <w:divBdr>
                    <w:top w:val="none" w:sz="0" w:space="0" w:color="auto"/>
                    <w:left w:val="none" w:sz="0" w:space="0" w:color="auto"/>
                    <w:bottom w:val="none" w:sz="0" w:space="0" w:color="auto"/>
                    <w:right w:val="none" w:sz="0" w:space="0" w:color="auto"/>
                  </w:divBdr>
                  <w:divsChild>
                    <w:div w:id="1400638177">
                      <w:marLeft w:val="0"/>
                      <w:marRight w:val="0"/>
                      <w:marTop w:val="0"/>
                      <w:marBottom w:val="0"/>
                      <w:divBdr>
                        <w:top w:val="none" w:sz="0" w:space="0" w:color="auto"/>
                        <w:left w:val="none" w:sz="0" w:space="0" w:color="auto"/>
                        <w:bottom w:val="none" w:sz="0" w:space="0" w:color="auto"/>
                        <w:right w:val="none" w:sz="0" w:space="0" w:color="auto"/>
                      </w:divBdr>
                      <w:divsChild>
                        <w:div w:id="155003265">
                          <w:marLeft w:val="0"/>
                          <w:marRight w:val="0"/>
                          <w:marTop w:val="0"/>
                          <w:marBottom w:val="0"/>
                          <w:divBdr>
                            <w:top w:val="none" w:sz="0" w:space="0" w:color="auto"/>
                            <w:left w:val="none" w:sz="0" w:space="0" w:color="auto"/>
                            <w:bottom w:val="none" w:sz="0" w:space="0" w:color="auto"/>
                            <w:right w:val="none" w:sz="0" w:space="0" w:color="auto"/>
                          </w:divBdr>
                          <w:divsChild>
                            <w:div w:id="1314525669">
                              <w:marLeft w:val="0"/>
                              <w:marRight w:val="0"/>
                              <w:marTop w:val="0"/>
                              <w:marBottom w:val="0"/>
                              <w:divBdr>
                                <w:top w:val="none" w:sz="0" w:space="0" w:color="auto"/>
                                <w:left w:val="none" w:sz="0" w:space="0" w:color="auto"/>
                                <w:bottom w:val="none" w:sz="0" w:space="0" w:color="auto"/>
                                <w:right w:val="none" w:sz="0" w:space="0" w:color="auto"/>
                              </w:divBdr>
                              <w:divsChild>
                                <w:div w:id="557782546">
                                  <w:marLeft w:val="0"/>
                                  <w:marRight w:val="0"/>
                                  <w:marTop w:val="0"/>
                                  <w:marBottom w:val="0"/>
                                  <w:divBdr>
                                    <w:top w:val="none" w:sz="0" w:space="0" w:color="auto"/>
                                    <w:left w:val="none" w:sz="0" w:space="0" w:color="auto"/>
                                    <w:bottom w:val="none" w:sz="0" w:space="0" w:color="auto"/>
                                    <w:right w:val="none" w:sz="0" w:space="0" w:color="auto"/>
                                  </w:divBdr>
                                  <w:divsChild>
                                    <w:div w:id="20015576">
                                      <w:marLeft w:val="0"/>
                                      <w:marRight w:val="0"/>
                                      <w:marTop w:val="0"/>
                                      <w:marBottom w:val="0"/>
                                      <w:divBdr>
                                        <w:top w:val="none" w:sz="0" w:space="0" w:color="auto"/>
                                        <w:left w:val="none" w:sz="0" w:space="0" w:color="auto"/>
                                        <w:bottom w:val="none" w:sz="0" w:space="0" w:color="auto"/>
                                        <w:right w:val="none" w:sz="0" w:space="0" w:color="auto"/>
                                      </w:divBdr>
                                      <w:divsChild>
                                        <w:div w:id="679699786">
                                          <w:marLeft w:val="0"/>
                                          <w:marRight w:val="0"/>
                                          <w:marTop w:val="0"/>
                                          <w:marBottom w:val="0"/>
                                          <w:divBdr>
                                            <w:top w:val="none" w:sz="0" w:space="0" w:color="auto"/>
                                            <w:left w:val="none" w:sz="0" w:space="0" w:color="auto"/>
                                            <w:bottom w:val="none" w:sz="0" w:space="0" w:color="auto"/>
                                            <w:right w:val="none" w:sz="0" w:space="0" w:color="auto"/>
                                          </w:divBdr>
                                          <w:divsChild>
                                            <w:div w:id="1381855032">
                                              <w:marLeft w:val="0"/>
                                              <w:marRight w:val="0"/>
                                              <w:marTop w:val="0"/>
                                              <w:marBottom w:val="0"/>
                                              <w:divBdr>
                                                <w:top w:val="none" w:sz="0" w:space="0" w:color="auto"/>
                                                <w:left w:val="none" w:sz="0" w:space="0" w:color="auto"/>
                                                <w:bottom w:val="none" w:sz="0" w:space="0" w:color="auto"/>
                                                <w:right w:val="none" w:sz="0" w:space="0" w:color="auto"/>
                                              </w:divBdr>
                                            </w:div>
                                            <w:div w:id="483590301">
                                              <w:marLeft w:val="0"/>
                                              <w:marRight w:val="0"/>
                                              <w:marTop w:val="0"/>
                                              <w:marBottom w:val="0"/>
                                              <w:divBdr>
                                                <w:top w:val="none" w:sz="0" w:space="0" w:color="auto"/>
                                                <w:left w:val="none" w:sz="0" w:space="0" w:color="auto"/>
                                                <w:bottom w:val="none" w:sz="0" w:space="0" w:color="auto"/>
                                                <w:right w:val="none" w:sz="0" w:space="0" w:color="auto"/>
                                              </w:divBdr>
                                            </w:div>
                                            <w:div w:id="15734267">
                                              <w:marLeft w:val="0"/>
                                              <w:marRight w:val="0"/>
                                              <w:marTop w:val="0"/>
                                              <w:marBottom w:val="0"/>
                                              <w:divBdr>
                                                <w:top w:val="none" w:sz="0" w:space="0" w:color="auto"/>
                                                <w:left w:val="none" w:sz="0" w:space="0" w:color="auto"/>
                                                <w:bottom w:val="none" w:sz="0" w:space="0" w:color="auto"/>
                                                <w:right w:val="none" w:sz="0" w:space="0" w:color="auto"/>
                                              </w:divBdr>
                                            </w:div>
                                            <w:div w:id="13302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25744">
      <w:bodyDiv w:val="1"/>
      <w:marLeft w:val="0"/>
      <w:marRight w:val="0"/>
      <w:marTop w:val="0"/>
      <w:marBottom w:val="0"/>
      <w:divBdr>
        <w:top w:val="none" w:sz="0" w:space="0" w:color="auto"/>
        <w:left w:val="none" w:sz="0" w:space="0" w:color="auto"/>
        <w:bottom w:val="none" w:sz="0" w:space="0" w:color="auto"/>
        <w:right w:val="none" w:sz="0" w:space="0" w:color="auto"/>
      </w:divBdr>
    </w:div>
    <w:div w:id="130025783">
      <w:bodyDiv w:val="1"/>
      <w:marLeft w:val="0"/>
      <w:marRight w:val="0"/>
      <w:marTop w:val="0"/>
      <w:marBottom w:val="0"/>
      <w:divBdr>
        <w:top w:val="none" w:sz="0" w:space="0" w:color="auto"/>
        <w:left w:val="none" w:sz="0" w:space="0" w:color="auto"/>
        <w:bottom w:val="none" w:sz="0" w:space="0" w:color="auto"/>
        <w:right w:val="none" w:sz="0" w:space="0" w:color="auto"/>
      </w:divBdr>
    </w:div>
    <w:div w:id="161043426">
      <w:bodyDiv w:val="1"/>
      <w:marLeft w:val="0"/>
      <w:marRight w:val="0"/>
      <w:marTop w:val="0"/>
      <w:marBottom w:val="0"/>
      <w:divBdr>
        <w:top w:val="none" w:sz="0" w:space="0" w:color="auto"/>
        <w:left w:val="none" w:sz="0" w:space="0" w:color="auto"/>
        <w:bottom w:val="none" w:sz="0" w:space="0" w:color="auto"/>
        <w:right w:val="none" w:sz="0" w:space="0" w:color="auto"/>
      </w:divBdr>
    </w:div>
    <w:div w:id="182591483">
      <w:bodyDiv w:val="1"/>
      <w:marLeft w:val="0"/>
      <w:marRight w:val="0"/>
      <w:marTop w:val="0"/>
      <w:marBottom w:val="0"/>
      <w:divBdr>
        <w:top w:val="none" w:sz="0" w:space="0" w:color="auto"/>
        <w:left w:val="none" w:sz="0" w:space="0" w:color="auto"/>
        <w:bottom w:val="none" w:sz="0" w:space="0" w:color="auto"/>
        <w:right w:val="none" w:sz="0" w:space="0" w:color="auto"/>
      </w:divBdr>
      <w:divsChild>
        <w:div w:id="63063582">
          <w:marLeft w:val="0"/>
          <w:marRight w:val="0"/>
          <w:marTop w:val="0"/>
          <w:marBottom w:val="0"/>
          <w:divBdr>
            <w:top w:val="none" w:sz="0" w:space="0" w:color="auto"/>
            <w:left w:val="none" w:sz="0" w:space="0" w:color="auto"/>
            <w:bottom w:val="none" w:sz="0" w:space="0" w:color="auto"/>
            <w:right w:val="none" w:sz="0" w:space="0" w:color="auto"/>
          </w:divBdr>
          <w:divsChild>
            <w:div w:id="1482312429">
              <w:marLeft w:val="0"/>
              <w:marRight w:val="0"/>
              <w:marTop w:val="0"/>
              <w:marBottom w:val="0"/>
              <w:divBdr>
                <w:top w:val="none" w:sz="0" w:space="0" w:color="auto"/>
                <w:left w:val="none" w:sz="0" w:space="0" w:color="auto"/>
                <w:bottom w:val="none" w:sz="0" w:space="0" w:color="auto"/>
                <w:right w:val="none" w:sz="0" w:space="0" w:color="auto"/>
              </w:divBdr>
              <w:divsChild>
                <w:div w:id="1258438586">
                  <w:marLeft w:val="0"/>
                  <w:marRight w:val="0"/>
                  <w:marTop w:val="0"/>
                  <w:marBottom w:val="0"/>
                  <w:divBdr>
                    <w:top w:val="none" w:sz="0" w:space="0" w:color="auto"/>
                    <w:left w:val="none" w:sz="0" w:space="0" w:color="auto"/>
                    <w:bottom w:val="none" w:sz="0" w:space="0" w:color="auto"/>
                    <w:right w:val="none" w:sz="0" w:space="0" w:color="auto"/>
                  </w:divBdr>
                  <w:divsChild>
                    <w:div w:id="1815876541">
                      <w:marLeft w:val="0"/>
                      <w:marRight w:val="0"/>
                      <w:marTop w:val="0"/>
                      <w:marBottom w:val="0"/>
                      <w:divBdr>
                        <w:top w:val="none" w:sz="0" w:space="0" w:color="auto"/>
                        <w:left w:val="none" w:sz="0" w:space="0" w:color="auto"/>
                        <w:bottom w:val="none" w:sz="0" w:space="0" w:color="auto"/>
                        <w:right w:val="none" w:sz="0" w:space="0" w:color="auto"/>
                      </w:divBdr>
                      <w:divsChild>
                        <w:div w:id="215623272">
                          <w:marLeft w:val="0"/>
                          <w:marRight w:val="0"/>
                          <w:marTop w:val="0"/>
                          <w:marBottom w:val="0"/>
                          <w:divBdr>
                            <w:top w:val="none" w:sz="0" w:space="0" w:color="auto"/>
                            <w:left w:val="none" w:sz="0" w:space="0" w:color="auto"/>
                            <w:bottom w:val="none" w:sz="0" w:space="0" w:color="auto"/>
                            <w:right w:val="none" w:sz="0" w:space="0" w:color="auto"/>
                          </w:divBdr>
                          <w:divsChild>
                            <w:div w:id="791753388">
                              <w:marLeft w:val="0"/>
                              <w:marRight w:val="0"/>
                              <w:marTop w:val="0"/>
                              <w:marBottom w:val="0"/>
                              <w:divBdr>
                                <w:top w:val="none" w:sz="0" w:space="0" w:color="auto"/>
                                <w:left w:val="none" w:sz="0" w:space="0" w:color="auto"/>
                                <w:bottom w:val="none" w:sz="0" w:space="0" w:color="auto"/>
                                <w:right w:val="none" w:sz="0" w:space="0" w:color="auto"/>
                              </w:divBdr>
                              <w:divsChild>
                                <w:div w:id="2101174957">
                                  <w:marLeft w:val="0"/>
                                  <w:marRight w:val="0"/>
                                  <w:marTop w:val="0"/>
                                  <w:marBottom w:val="0"/>
                                  <w:divBdr>
                                    <w:top w:val="none" w:sz="0" w:space="0" w:color="auto"/>
                                    <w:left w:val="none" w:sz="0" w:space="0" w:color="auto"/>
                                    <w:bottom w:val="none" w:sz="0" w:space="0" w:color="auto"/>
                                    <w:right w:val="none" w:sz="0" w:space="0" w:color="auto"/>
                                  </w:divBdr>
                                  <w:divsChild>
                                    <w:div w:id="1537696658">
                                      <w:marLeft w:val="0"/>
                                      <w:marRight w:val="0"/>
                                      <w:marTop w:val="0"/>
                                      <w:marBottom w:val="0"/>
                                      <w:divBdr>
                                        <w:top w:val="none" w:sz="0" w:space="0" w:color="auto"/>
                                        <w:left w:val="none" w:sz="0" w:space="0" w:color="auto"/>
                                        <w:bottom w:val="none" w:sz="0" w:space="0" w:color="auto"/>
                                        <w:right w:val="none" w:sz="0" w:space="0" w:color="auto"/>
                                      </w:divBdr>
                                      <w:divsChild>
                                        <w:div w:id="271592138">
                                          <w:marLeft w:val="0"/>
                                          <w:marRight w:val="0"/>
                                          <w:marTop w:val="0"/>
                                          <w:marBottom w:val="0"/>
                                          <w:divBdr>
                                            <w:top w:val="none" w:sz="0" w:space="0" w:color="auto"/>
                                            <w:left w:val="none" w:sz="0" w:space="0" w:color="auto"/>
                                            <w:bottom w:val="none" w:sz="0" w:space="0" w:color="auto"/>
                                            <w:right w:val="none" w:sz="0" w:space="0" w:color="auto"/>
                                          </w:divBdr>
                                        </w:div>
                                        <w:div w:id="338390932">
                                          <w:marLeft w:val="0"/>
                                          <w:marRight w:val="0"/>
                                          <w:marTop w:val="0"/>
                                          <w:marBottom w:val="0"/>
                                          <w:divBdr>
                                            <w:top w:val="none" w:sz="0" w:space="0" w:color="auto"/>
                                            <w:left w:val="none" w:sz="0" w:space="0" w:color="auto"/>
                                            <w:bottom w:val="none" w:sz="0" w:space="0" w:color="auto"/>
                                            <w:right w:val="none" w:sz="0" w:space="0" w:color="auto"/>
                                          </w:divBdr>
                                        </w:div>
                                        <w:div w:id="704602214">
                                          <w:marLeft w:val="0"/>
                                          <w:marRight w:val="0"/>
                                          <w:marTop w:val="0"/>
                                          <w:marBottom w:val="0"/>
                                          <w:divBdr>
                                            <w:top w:val="none" w:sz="0" w:space="0" w:color="auto"/>
                                            <w:left w:val="none" w:sz="0" w:space="0" w:color="auto"/>
                                            <w:bottom w:val="none" w:sz="0" w:space="0" w:color="auto"/>
                                            <w:right w:val="none" w:sz="0" w:space="0" w:color="auto"/>
                                          </w:divBdr>
                                        </w:div>
                                        <w:div w:id="1423262047">
                                          <w:marLeft w:val="0"/>
                                          <w:marRight w:val="0"/>
                                          <w:marTop w:val="0"/>
                                          <w:marBottom w:val="0"/>
                                          <w:divBdr>
                                            <w:top w:val="none" w:sz="0" w:space="0" w:color="auto"/>
                                            <w:left w:val="none" w:sz="0" w:space="0" w:color="auto"/>
                                            <w:bottom w:val="none" w:sz="0" w:space="0" w:color="auto"/>
                                            <w:right w:val="none" w:sz="0" w:space="0" w:color="auto"/>
                                          </w:divBdr>
                                        </w:div>
                                        <w:div w:id="1829440755">
                                          <w:marLeft w:val="0"/>
                                          <w:marRight w:val="0"/>
                                          <w:marTop w:val="0"/>
                                          <w:marBottom w:val="0"/>
                                          <w:divBdr>
                                            <w:top w:val="none" w:sz="0" w:space="0" w:color="auto"/>
                                            <w:left w:val="none" w:sz="0" w:space="0" w:color="auto"/>
                                            <w:bottom w:val="none" w:sz="0" w:space="0" w:color="auto"/>
                                            <w:right w:val="none" w:sz="0" w:space="0" w:color="auto"/>
                                          </w:divBdr>
                                        </w:div>
                                        <w:div w:id="1625578760">
                                          <w:marLeft w:val="0"/>
                                          <w:marRight w:val="0"/>
                                          <w:marTop w:val="0"/>
                                          <w:marBottom w:val="0"/>
                                          <w:divBdr>
                                            <w:top w:val="none" w:sz="0" w:space="0" w:color="auto"/>
                                            <w:left w:val="none" w:sz="0" w:space="0" w:color="auto"/>
                                            <w:bottom w:val="none" w:sz="0" w:space="0" w:color="auto"/>
                                            <w:right w:val="none" w:sz="0" w:space="0" w:color="auto"/>
                                          </w:divBdr>
                                        </w:div>
                                        <w:div w:id="509368068">
                                          <w:marLeft w:val="0"/>
                                          <w:marRight w:val="0"/>
                                          <w:marTop w:val="0"/>
                                          <w:marBottom w:val="0"/>
                                          <w:divBdr>
                                            <w:top w:val="none" w:sz="0" w:space="0" w:color="auto"/>
                                            <w:left w:val="none" w:sz="0" w:space="0" w:color="auto"/>
                                            <w:bottom w:val="none" w:sz="0" w:space="0" w:color="auto"/>
                                            <w:right w:val="none" w:sz="0" w:space="0" w:color="auto"/>
                                          </w:divBdr>
                                        </w:div>
                                        <w:div w:id="1197039668">
                                          <w:marLeft w:val="0"/>
                                          <w:marRight w:val="0"/>
                                          <w:marTop w:val="0"/>
                                          <w:marBottom w:val="0"/>
                                          <w:divBdr>
                                            <w:top w:val="none" w:sz="0" w:space="0" w:color="auto"/>
                                            <w:left w:val="none" w:sz="0" w:space="0" w:color="auto"/>
                                            <w:bottom w:val="none" w:sz="0" w:space="0" w:color="auto"/>
                                            <w:right w:val="none" w:sz="0" w:space="0" w:color="auto"/>
                                          </w:divBdr>
                                        </w:div>
                                        <w:div w:id="1256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36942">
      <w:bodyDiv w:val="1"/>
      <w:marLeft w:val="0"/>
      <w:marRight w:val="0"/>
      <w:marTop w:val="0"/>
      <w:marBottom w:val="0"/>
      <w:divBdr>
        <w:top w:val="none" w:sz="0" w:space="0" w:color="auto"/>
        <w:left w:val="none" w:sz="0" w:space="0" w:color="auto"/>
        <w:bottom w:val="none" w:sz="0" w:space="0" w:color="auto"/>
        <w:right w:val="none" w:sz="0" w:space="0" w:color="auto"/>
      </w:divBdr>
      <w:divsChild>
        <w:div w:id="76171116">
          <w:marLeft w:val="0"/>
          <w:marRight w:val="0"/>
          <w:marTop w:val="0"/>
          <w:marBottom w:val="0"/>
          <w:divBdr>
            <w:top w:val="none" w:sz="0" w:space="0" w:color="auto"/>
            <w:left w:val="none" w:sz="0" w:space="0" w:color="auto"/>
            <w:bottom w:val="none" w:sz="0" w:space="0" w:color="auto"/>
            <w:right w:val="none" w:sz="0" w:space="0" w:color="auto"/>
          </w:divBdr>
          <w:divsChild>
            <w:div w:id="862523964">
              <w:marLeft w:val="0"/>
              <w:marRight w:val="0"/>
              <w:marTop w:val="0"/>
              <w:marBottom w:val="0"/>
              <w:divBdr>
                <w:top w:val="none" w:sz="0" w:space="0" w:color="auto"/>
                <w:left w:val="none" w:sz="0" w:space="0" w:color="auto"/>
                <w:bottom w:val="none" w:sz="0" w:space="0" w:color="auto"/>
                <w:right w:val="none" w:sz="0" w:space="0" w:color="auto"/>
              </w:divBdr>
              <w:divsChild>
                <w:div w:id="777062612">
                  <w:marLeft w:val="0"/>
                  <w:marRight w:val="0"/>
                  <w:marTop w:val="0"/>
                  <w:marBottom w:val="0"/>
                  <w:divBdr>
                    <w:top w:val="none" w:sz="0" w:space="0" w:color="auto"/>
                    <w:left w:val="none" w:sz="0" w:space="0" w:color="auto"/>
                    <w:bottom w:val="none" w:sz="0" w:space="0" w:color="auto"/>
                    <w:right w:val="none" w:sz="0" w:space="0" w:color="auto"/>
                  </w:divBdr>
                  <w:divsChild>
                    <w:div w:id="1253975924">
                      <w:marLeft w:val="0"/>
                      <w:marRight w:val="0"/>
                      <w:marTop w:val="0"/>
                      <w:marBottom w:val="0"/>
                      <w:divBdr>
                        <w:top w:val="none" w:sz="0" w:space="0" w:color="auto"/>
                        <w:left w:val="none" w:sz="0" w:space="0" w:color="auto"/>
                        <w:bottom w:val="none" w:sz="0" w:space="0" w:color="auto"/>
                        <w:right w:val="none" w:sz="0" w:space="0" w:color="auto"/>
                      </w:divBdr>
                      <w:divsChild>
                        <w:div w:id="199588184">
                          <w:marLeft w:val="0"/>
                          <w:marRight w:val="0"/>
                          <w:marTop w:val="0"/>
                          <w:marBottom w:val="0"/>
                          <w:divBdr>
                            <w:top w:val="none" w:sz="0" w:space="0" w:color="auto"/>
                            <w:left w:val="none" w:sz="0" w:space="0" w:color="auto"/>
                            <w:bottom w:val="none" w:sz="0" w:space="0" w:color="auto"/>
                            <w:right w:val="none" w:sz="0" w:space="0" w:color="auto"/>
                          </w:divBdr>
                          <w:divsChild>
                            <w:div w:id="248540651">
                              <w:marLeft w:val="0"/>
                              <w:marRight w:val="0"/>
                              <w:marTop w:val="0"/>
                              <w:marBottom w:val="0"/>
                              <w:divBdr>
                                <w:top w:val="none" w:sz="0" w:space="0" w:color="auto"/>
                                <w:left w:val="none" w:sz="0" w:space="0" w:color="auto"/>
                                <w:bottom w:val="none" w:sz="0" w:space="0" w:color="auto"/>
                                <w:right w:val="none" w:sz="0" w:space="0" w:color="auto"/>
                              </w:divBdr>
                              <w:divsChild>
                                <w:div w:id="2107843256">
                                  <w:marLeft w:val="0"/>
                                  <w:marRight w:val="0"/>
                                  <w:marTop w:val="0"/>
                                  <w:marBottom w:val="0"/>
                                  <w:divBdr>
                                    <w:top w:val="none" w:sz="0" w:space="0" w:color="auto"/>
                                    <w:left w:val="none" w:sz="0" w:space="0" w:color="auto"/>
                                    <w:bottom w:val="none" w:sz="0" w:space="0" w:color="auto"/>
                                    <w:right w:val="none" w:sz="0" w:space="0" w:color="auto"/>
                                  </w:divBdr>
                                  <w:divsChild>
                                    <w:div w:id="243075753">
                                      <w:marLeft w:val="0"/>
                                      <w:marRight w:val="0"/>
                                      <w:marTop w:val="0"/>
                                      <w:marBottom w:val="0"/>
                                      <w:divBdr>
                                        <w:top w:val="none" w:sz="0" w:space="0" w:color="auto"/>
                                        <w:left w:val="none" w:sz="0" w:space="0" w:color="auto"/>
                                        <w:bottom w:val="none" w:sz="0" w:space="0" w:color="auto"/>
                                        <w:right w:val="none" w:sz="0" w:space="0" w:color="auto"/>
                                      </w:divBdr>
                                      <w:divsChild>
                                        <w:div w:id="1442148554">
                                          <w:marLeft w:val="0"/>
                                          <w:marRight w:val="0"/>
                                          <w:marTop w:val="0"/>
                                          <w:marBottom w:val="0"/>
                                          <w:divBdr>
                                            <w:top w:val="none" w:sz="0" w:space="0" w:color="auto"/>
                                            <w:left w:val="none" w:sz="0" w:space="0" w:color="auto"/>
                                            <w:bottom w:val="none" w:sz="0" w:space="0" w:color="auto"/>
                                            <w:right w:val="none" w:sz="0" w:space="0" w:color="auto"/>
                                          </w:divBdr>
                                        </w:div>
                                        <w:div w:id="348530993">
                                          <w:marLeft w:val="0"/>
                                          <w:marRight w:val="0"/>
                                          <w:marTop w:val="0"/>
                                          <w:marBottom w:val="0"/>
                                          <w:divBdr>
                                            <w:top w:val="none" w:sz="0" w:space="0" w:color="auto"/>
                                            <w:left w:val="none" w:sz="0" w:space="0" w:color="auto"/>
                                            <w:bottom w:val="none" w:sz="0" w:space="0" w:color="auto"/>
                                            <w:right w:val="none" w:sz="0" w:space="0" w:color="auto"/>
                                          </w:divBdr>
                                        </w:div>
                                        <w:div w:id="1665864304">
                                          <w:marLeft w:val="0"/>
                                          <w:marRight w:val="0"/>
                                          <w:marTop w:val="0"/>
                                          <w:marBottom w:val="0"/>
                                          <w:divBdr>
                                            <w:top w:val="none" w:sz="0" w:space="0" w:color="auto"/>
                                            <w:left w:val="none" w:sz="0" w:space="0" w:color="auto"/>
                                            <w:bottom w:val="none" w:sz="0" w:space="0" w:color="auto"/>
                                            <w:right w:val="none" w:sz="0" w:space="0" w:color="auto"/>
                                          </w:divBdr>
                                        </w:div>
                                        <w:div w:id="1375731720">
                                          <w:marLeft w:val="0"/>
                                          <w:marRight w:val="0"/>
                                          <w:marTop w:val="0"/>
                                          <w:marBottom w:val="0"/>
                                          <w:divBdr>
                                            <w:top w:val="none" w:sz="0" w:space="0" w:color="auto"/>
                                            <w:left w:val="none" w:sz="0" w:space="0" w:color="auto"/>
                                            <w:bottom w:val="none" w:sz="0" w:space="0" w:color="auto"/>
                                            <w:right w:val="none" w:sz="0" w:space="0" w:color="auto"/>
                                          </w:divBdr>
                                        </w:div>
                                        <w:div w:id="1029065277">
                                          <w:marLeft w:val="0"/>
                                          <w:marRight w:val="0"/>
                                          <w:marTop w:val="0"/>
                                          <w:marBottom w:val="0"/>
                                          <w:divBdr>
                                            <w:top w:val="none" w:sz="0" w:space="0" w:color="auto"/>
                                            <w:left w:val="none" w:sz="0" w:space="0" w:color="auto"/>
                                            <w:bottom w:val="none" w:sz="0" w:space="0" w:color="auto"/>
                                            <w:right w:val="none" w:sz="0" w:space="0" w:color="auto"/>
                                          </w:divBdr>
                                        </w:div>
                                        <w:div w:id="4128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326673">
      <w:bodyDiv w:val="1"/>
      <w:marLeft w:val="0"/>
      <w:marRight w:val="0"/>
      <w:marTop w:val="0"/>
      <w:marBottom w:val="0"/>
      <w:divBdr>
        <w:top w:val="none" w:sz="0" w:space="0" w:color="auto"/>
        <w:left w:val="none" w:sz="0" w:space="0" w:color="auto"/>
        <w:bottom w:val="none" w:sz="0" w:space="0" w:color="auto"/>
        <w:right w:val="none" w:sz="0" w:space="0" w:color="auto"/>
      </w:divBdr>
    </w:div>
    <w:div w:id="354621891">
      <w:bodyDiv w:val="1"/>
      <w:marLeft w:val="0"/>
      <w:marRight w:val="0"/>
      <w:marTop w:val="0"/>
      <w:marBottom w:val="0"/>
      <w:divBdr>
        <w:top w:val="none" w:sz="0" w:space="0" w:color="auto"/>
        <w:left w:val="none" w:sz="0" w:space="0" w:color="auto"/>
        <w:bottom w:val="none" w:sz="0" w:space="0" w:color="auto"/>
        <w:right w:val="none" w:sz="0" w:space="0" w:color="auto"/>
      </w:divBdr>
    </w:div>
    <w:div w:id="496650171">
      <w:bodyDiv w:val="1"/>
      <w:marLeft w:val="0"/>
      <w:marRight w:val="0"/>
      <w:marTop w:val="0"/>
      <w:marBottom w:val="0"/>
      <w:divBdr>
        <w:top w:val="none" w:sz="0" w:space="0" w:color="auto"/>
        <w:left w:val="none" w:sz="0" w:space="0" w:color="auto"/>
        <w:bottom w:val="none" w:sz="0" w:space="0" w:color="auto"/>
        <w:right w:val="none" w:sz="0" w:space="0" w:color="auto"/>
      </w:divBdr>
      <w:divsChild>
        <w:div w:id="1813056430">
          <w:marLeft w:val="0"/>
          <w:marRight w:val="0"/>
          <w:marTop w:val="0"/>
          <w:marBottom w:val="0"/>
          <w:divBdr>
            <w:top w:val="none" w:sz="0" w:space="0" w:color="auto"/>
            <w:left w:val="none" w:sz="0" w:space="0" w:color="auto"/>
            <w:bottom w:val="none" w:sz="0" w:space="0" w:color="auto"/>
            <w:right w:val="none" w:sz="0" w:space="0" w:color="auto"/>
          </w:divBdr>
          <w:divsChild>
            <w:div w:id="737288007">
              <w:marLeft w:val="0"/>
              <w:marRight w:val="0"/>
              <w:marTop w:val="0"/>
              <w:marBottom w:val="0"/>
              <w:divBdr>
                <w:top w:val="none" w:sz="0" w:space="0" w:color="auto"/>
                <w:left w:val="none" w:sz="0" w:space="0" w:color="auto"/>
                <w:bottom w:val="none" w:sz="0" w:space="0" w:color="auto"/>
                <w:right w:val="none" w:sz="0" w:space="0" w:color="auto"/>
              </w:divBdr>
              <w:divsChild>
                <w:div w:id="509570113">
                  <w:marLeft w:val="0"/>
                  <w:marRight w:val="0"/>
                  <w:marTop w:val="136"/>
                  <w:marBottom w:val="0"/>
                  <w:divBdr>
                    <w:top w:val="none" w:sz="0" w:space="0" w:color="auto"/>
                    <w:left w:val="none" w:sz="0" w:space="0" w:color="auto"/>
                    <w:bottom w:val="none" w:sz="0" w:space="0" w:color="auto"/>
                    <w:right w:val="none" w:sz="0" w:space="0" w:color="auto"/>
                  </w:divBdr>
                  <w:divsChild>
                    <w:div w:id="139010783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90323">
      <w:bodyDiv w:val="1"/>
      <w:marLeft w:val="0"/>
      <w:marRight w:val="0"/>
      <w:marTop w:val="0"/>
      <w:marBottom w:val="0"/>
      <w:divBdr>
        <w:top w:val="none" w:sz="0" w:space="0" w:color="auto"/>
        <w:left w:val="none" w:sz="0" w:space="0" w:color="auto"/>
        <w:bottom w:val="none" w:sz="0" w:space="0" w:color="auto"/>
        <w:right w:val="none" w:sz="0" w:space="0" w:color="auto"/>
      </w:divBdr>
      <w:divsChild>
        <w:div w:id="729501589">
          <w:marLeft w:val="0"/>
          <w:marRight w:val="0"/>
          <w:marTop w:val="0"/>
          <w:marBottom w:val="0"/>
          <w:divBdr>
            <w:top w:val="none" w:sz="0" w:space="0" w:color="auto"/>
            <w:left w:val="none" w:sz="0" w:space="0" w:color="auto"/>
            <w:bottom w:val="none" w:sz="0" w:space="0" w:color="auto"/>
            <w:right w:val="none" w:sz="0" w:space="0" w:color="auto"/>
          </w:divBdr>
          <w:divsChild>
            <w:div w:id="1845433360">
              <w:marLeft w:val="0"/>
              <w:marRight w:val="0"/>
              <w:marTop w:val="0"/>
              <w:marBottom w:val="0"/>
              <w:divBdr>
                <w:top w:val="none" w:sz="0" w:space="0" w:color="auto"/>
                <w:left w:val="none" w:sz="0" w:space="0" w:color="auto"/>
                <w:bottom w:val="none" w:sz="0" w:space="0" w:color="auto"/>
                <w:right w:val="none" w:sz="0" w:space="0" w:color="auto"/>
              </w:divBdr>
              <w:divsChild>
                <w:div w:id="594364761">
                  <w:marLeft w:val="0"/>
                  <w:marRight w:val="0"/>
                  <w:marTop w:val="0"/>
                  <w:marBottom w:val="0"/>
                  <w:divBdr>
                    <w:top w:val="none" w:sz="0" w:space="0" w:color="auto"/>
                    <w:left w:val="none" w:sz="0" w:space="0" w:color="auto"/>
                    <w:bottom w:val="none" w:sz="0" w:space="0" w:color="auto"/>
                    <w:right w:val="none" w:sz="0" w:space="0" w:color="auto"/>
                  </w:divBdr>
                  <w:divsChild>
                    <w:div w:id="980841127">
                      <w:marLeft w:val="0"/>
                      <w:marRight w:val="0"/>
                      <w:marTop w:val="0"/>
                      <w:marBottom w:val="0"/>
                      <w:divBdr>
                        <w:top w:val="none" w:sz="0" w:space="0" w:color="auto"/>
                        <w:left w:val="none" w:sz="0" w:space="0" w:color="auto"/>
                        <w:bottom w:val="none" w:sz="0" w:space="0" w:color="auto"/>
                        <w:right w:val="none" w:sz="0" w:space="0" w:color="auto"/>
                      </w:divBdr>
                      <w:divsChild>
                        <w:div w:id="1106464244">
                          <w:marLeft w:val="0"/>
                          <w:marRight w:val="0"/>
                          <w:marTop w:val="0"/>
                          <w:marBottom w:val="0"/>
                          <w:divBdr>
                            <w:top w:val="none" w:sz="0" w:space="0" w:color="auto"/>
                            <w:left w:val="none" w:sz="0" w:space="0" w:color="auto"/>
                            <w:bottom w:val="none" w:sz="0" w:space="0" w:color="auto"/>
                            <w:right w:val="none" w:sz="0" w:space="0" w:color="auto"/>
                          </w:divBdr>
                          <w:divsChild>
                            <w:div w:id="710887714">
                              <w:marLeft w:val="0"/>
                              <w:marRight w:val="0"/>
                              <w:marTop w:val="0"/>
                              <w:marBottom w:val="0"/>
                              <w:divBdr>
                                <w:top w:val="none" w:sz="0" w:space="0" w:color="auto"/>
                                <w:left w:val="none" w:sz="0" w:space="0" w:color="auto"/>
                                <w:bottom w:val="none" w:sz="0" w:space="0" w:color="auto"/>
                                <w:right w:val="none" w:sz="0" w:space="0" w:color="auto"/>
                              </w:divBdr>
                              <w:divsChild>
                                <w:div w:id="584536121">
                                  <w:marLeft w:val="0"/>
                                  <w:marRight w:val="0"/>
                                  <w:marTop w:val="0"/>
                                  <w:marBottom w:val="0"/>
                                  <w:divBdr>
                                    <w:top w:val="none" w:sz="0" w:space="0" w:color="auto"/>
                                    <w:left w:val="none" w:sz="0" w:space="0" w:color="auto"/>
                                    <w:bottom w:val="none" w:sz="0" w:space="0" w:color="auto"/>
                                    <w:right w:val="none" w:sz="0" w:space="0" w:color="auto"/>
                                  </w:divBdr>
                                  <w:divsChild>
                                    <w:div w:id="58214960">
                                      <w:marLeft w:val="0"/>
                                      <w:marRight w:val="0"/>
                                      <w:marTop w:val="0"/>
                                      <w:marBottom w:val="0"/>
                                      <w:divBdr>
                                        <w:top w:val="none" w:sz="0" w:space="0" w:color="auto"/>
                                        <w:left w:val="none" w:sz="0" w:space="0" w:color="auto"/>
                                        <w:bottom w:val="none" w:sz="0" w:space="0" w:color="auto"/>
                                        <w:right w:val="none" w:sz="0" w:space="0" w:color="auto"/>
                                      </w:divBdr>
                                      <w:divsChild>
                                        <w:div w:id="1739015807">
                                          <w:marLeft w:val="0"/>
                                          <w:marRight w:val="0"/>
                                          <w:marTop w:val="0"/>
                                          <w:marBottom w:val="0"/>
                                          <w:divBdr>
                                            <w:top w:val="none" w:sz="0" w:space="0" w:color="auto"/>
                                            <w:left w:val="none" w:sz="0" w:space="0" w:color="auto"/>
                                            <w:bottom w:val="none" w:sz="0" w:space="0" w:color="auto"/>
                                            <w:right w:val="none" w:sz="0" w:space="0" w:color="auto"/>
                                          </w:divBdr>
                                        </w:div>
                                        <w:div w:id="96754624">
                                          <w:marLeft w:val="0"/>
                                          <w:marRight w:val="0"/>
                                          <w:marTop w:val="0"/>
                                          <w:marBottom w:val="0"/>
                                          <w:divBdr>
                                            <w:top w:val="none" w:sz="0" w:space="0" w:color="auto"/>
                                            <w:left w:val="none" w:sz="0" w:space="0" w:color="auto"/>
                                            <w:bottom w:val="none" w:sz="0" w:space="0" w:color="auto"/>
                                            <w:right w:val="none" w:sz="0" w:space="0" w:color="auto"/>
                                          </w:divBdr>
                                        </w:div>
                                        <w:div w:id="1750808762">
                                          <w:marLeft w:val="0"/>
                                          <w:marRight w:val="0"/>
                                          <w:marTop w:val="0"/>
                                          <w:marBottom w:val="0"/>
                                          <w:divBdr>
                                            <w:top w:val="none" w:sz="0" w:space="0" w:color="auto"/>
                                            <w:left w:val="none" w:sz="0" w:space="0" w:color="auto"/>
                                            <w:bottom w:val="none" w:sz="0" w:space="0" w:color="auto"/>
                                            <w:right w:val="none" w:sz="0" w:space="0" w:color="auto"/>
                                          </w:divBdr>
                                        </w:div>
                                        <w:div w:id="1358850776">
                                          <w:marLeft w:val="0"/>
                                          <w:marRight w:val="0"/>
                                          <w:marTop w:val="0"/>
                                          <w:marBottom w:val="0"/>
                                          <w:divBdr>
                                            <w:top w:val="none" w:sz="0" w:space="0" w:color="auto"/>
                                            <w:left w:val="none" w:sz="0" w:space="0" w:color="auto"/>
                                            <w:bottom w:val="none" w:sz="0" w:space="0" w:color="auto"/>
                                            <w:right w:val="none" w:sz="0" w:space="0" w:color="auto"/>
                                          </w:divBdr>
                                        </w:div>
                                        <w:div w:id="19692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807225">
      <w:bodyDiv w:val="1"/>
      <w:marLeft w:val="0"/>
      <w:marRight w:val="0"/>
      <w:marTop w:val="0"/>
      <w:marBottom w:val="0"/>
      <w:divBdr>
        <w:top w:val="none" w:sz="0" w:space="0" w:color="auto"/>
        <w:left w:val="none" w:sz="0" w:space="0" w:color="auto"/>
        <w:bottom w:val="none" w:sz="0" w:space="0" w:color="auto"/>
        <w:right w:val="none" w:sz="0" w:space="0" w:color="auto"/>
      </w:divBdr>
    </w:div>
    <w:div w:id="562300025">
      <w:bodyDiv w:val="1"/>
      <w:marLeft w:val="0"/>
      <w:marRight w:val="0"/>
      <w:marTop w:val="0"/>
      <w:marBottom w:val="0"/>
      <w:divBdr>
        <w:top w:val="none" w:sz="0" w:space="0" w:color="auto"/>
        <w:left w:val="none" w:sz="0" w:space="0" w:color="auto"/>
        <w:bottom w:val="none" w:sz="0" w:space="0" w:color="auto"/>
        <w:right w:val="none" w:sz="0" w:space="0" w:color="auto"/>
      </w:divBdr>
      <w:divsChild>
        <w:div w:id="284628968">
          <w:marLeft w:val="0"/>
          <w:marRight w:val="0"/>
          <w:marTop w:val="0"/>
          <w:marBottom w:val="0"/>
          <w:divBdr>
            <w:top w:val="none" w:sz="0" w:space="0" w:color="auto"/>
            <w:left w:val="none" w:sz="0" w:space="0" w:color="auto"/>
            <w:bottom w:val="none" w:sz="0" w:space="0" w:color="auto"/>
            <w:right w:val="none" w:sz="0" w:space="0" w:color="auto"/>
          </w:divBdr>
          <w:divsChild>
            <w:div w:id="1991209409">
              <w:marLeft w:val="0"/>
              <w:marRight w:val="0"/>
              <w:marTop w:val="0"/>
              <w:marBottom w:val="0"/>
              <w:divBdr>
                <w:top w:val="none" w:sz="0" w:space="0" w:color="auto"/>
                <w:left w:val="none" w:sz="0" w:space="0" w:color="auto"/>
                <w:bottom w:val="none" w:sz="0" w:space="0" w:color="auto"/>
                <w:right w:val="none" w:sz="0" w:space="0" w:color="auto"/>
              </w:divBdr>
              <w:divsChild>
                <w:div w:id="2037533995">
                  <w:marLeft w:val="0"/>
                  <w:marRight w:val="0"/>
                  <w:marTop w:val="0"/>
                  <w:marBottom w:val="0"/>
                  <w:divBdr>
                    <w:top w:val="none" w:sz="0" w:space="0" w:color="auto"/>
                    <w:left w:val="none" w:sz="0" w:space="0" w:color="auto"/>
                    <w:bottom w:val="none" w:sz="0" w:space="0" w:color="auto"/>
                    <w:right w:val="none" w:sz="0" w:space="0" w:color="auto"/>
                  </w:divBdr>
                  <w:divsChild>
                    <w:div w:id="1605263073">
                      <w:marLeft w:val="0"/>
                      <w:marRight w:val="0"/>
                      <w:marTop w:val="0"/>
                      <w:marBottom w:val="0"/>
                      <w:divBdr>
                        <w:top w:val="none" w:sz="0" w:space="0" w:color="auto"/>
                        <w:left w:val="none" w:sz="0" w:space="0" w:color="auto"/>
                        <w:bottom w:val="none" w:sz="0" w:space="0" w:color="auto"/>
                        <w:right w:val="none" w:sz="0" w:space="0" w:color="auto"/>
                      </w:divBdr>
                      <w:divsChild>
                        <w:div w:id="1928615638">
                          <w:marLeft w:val="0"/>
                          <w:marRight w:val="0"/>
                          <w:marTop w:val="0"/>
                          <w:marBottom w:val="0"/>
                          <w:divBdr>
                            <w:top w:val="none" w:sz="0" w:space="0" w:color="auto"/>
                            <w:left w:val="none" w:sz="0" w:space="0" w:color="auto"/>
                            <w:bottom w:val="none" w:sz="0" w:space="0" w:color="auto"/>
                            <w:right w:val="none" w:sz="0" w:space="0" w:color="auto"/>
                          </w:divBdr>
                          <w:divsChild>
                            <w:div w:id="277835950">
                              <w:marLeft w:val="0"/>
                              <w:marRight w:val="0"/>
                              <w:marTop w:val="0"/>
                              <w:marBottom w:val="0"/>
                              <w:divBdr>
                                <w:top w:val="none" w:sz="0" w:space="0" w:color="auto"/>
                                <w:left w:val="none" w:sz="0" w:space="0" w:color="auto"/>
                                <w:bottom w:val="none" w:sz="0" w:space="0" w:color="auto"/>
                                <w:right w:val="none" w:sz="0" w:space="0" w:color="auto"/>
                              </w:divBdr>
                              <w:divsChild>
                                <w:div w:id="166100878">
                                  <w:marLeft w:val="0"/>
                                  <w:marRight w:val="0"/>
                                  <w:marTop w:val="0"/>
                                  <w:marBottom w:val="0"/>
                                  <w:divBdr>
                                    <w:top w:val="none" w:sz="0" w:space="0" w:color="auto"/>
                                    <w:left w:val="none" w:sz="0" w:space="0" w:color="auto"/>
                                    <w:bottom w:val="none" w:sz="0" w:space="0" w:color="auto"/>
                                    <w:right w:val="none" w:sz="0" w:space="0" w:color="auto"/>
                                  </w:divBdr>
                                  <w:divsChild>
                                    <w:div w:id="669912876">
                                      <w:marLeft w:val="0"/>
                                      <w:marRight w:val="0"/>
                                      <w:marTop w:val="0"/>
                                      <w:marBottom w:val="0"/>
                                      <w:divBdr>
                                        <w:top w:val="none" w:sz="0" w:space="0" w:color="auto"/>
                                        <w:left w:val="none" w:sz="0" w:space="0" w:color="auto"/>
                                        <w:bottom w:val="none" w:sz="0" w:space="0" w:color="auto"/>
                                        <w:right w:val="none" w:sz="0" w:space="0" w:color="auto"/>
                                      </w:divBdr>
                                      <w:divsChild>
                                        <w:div w:id="859659825">
                                          <w:marLeft w:val="0"/>
                                          <w:marRight w:val="0"/>
                                          <w:marTop w:val="0"/>
                                          <w:marBottom w:val="0"/>
                                          <w:divBdr>
                                            <w:top w:val="none" w:sz="0" w:space="0" w:color="auto"/>
                                            <w:left w:val="none" w:sz="0" w:space="0" w:color="auto"/>
                                            <w:bottom w:val="none" w:sz="0" w:space="0" w:color="auto"/>
                                            <w:right w:val="none" w:sz="0" w:space="0" w:color="auto"/>
                                          </w:divBdr>
                                          <w:divsChild>
                                            <w:div w:id="161316036">
                                              <w:marLeft w:val="0"/>
                                              <w:marRight w:val="0"/>
                                              <w:marTop w:val="0"/>
                                              <w:marBottom w:val="0"/>
                                              <w:divBdr>
                                                <w:top w:val="none" w:sz="0" w:space="0" w:color="auto"/>
                                                <w:left w:val="none" w:sz="0" w:space="0" w:color="auto"/>
                                                <w:bottom w:val="none" w:sz="0" w:space="0" w:color="auto"/>
                                                <w:right w:val="none" w:sz="0" w:space="0" w:color="auto"/>
                                              </w:divBdr>
                                            </w:div>
                                            <w:div w:id="16905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3385">
      <w:bodyDiv w:val="1"/>
      <w:marLeft w:val="0"/>
      <w:marRight w:val="0"/>
      <w:marTop w:val="0"/>
      <w:marBottom w:val="0"/>
      <w:divBdr>
        <w:top w:val="none" w:sz="0" w:space="0" w:color="auto"/>
        <w:left w:val="none" w:sz="0" w:space="0" w:color="auto"/>
        <w:bottom w:val="none" w:sz="0" w:space="0" w:color="auto"/>
        <w:right w:val="none" w:sz="0" w:space="0" w:color="auto"/>
      </w:divBdr>
    </w:div>
    <w:div w:id="896236313">
      <w:bodyDiv w:val="1"/>
      <w:marLeft w:val="0"/>
      <w:marRight w:val="0"/>
      <w:marTop w:val="0"/>
      <w:marBottom w:val="0"/>
      <w:divBdr>
        <w:top w:val="none" w:sz="0" w:space="0" w:color="auto"/>
        <w:left w:val="none" w:sz="0" w:space="0" w:color="auto"/>
        <w:bottom w:val="none" w:sz="0" w:space="0" w:color="auto"/>
        <w:right w:val="none" w:sz="0" w:space="0" w:color="auto"/>
      </w:divBdr>
      <w:divsChild>
        <w:div w:id="1897155267">
          <w:marLeft w:val="0"/>
          <w:marRight w:val="0"/>
          <w:marTop w:val="0"/>
          <w:marBottom w:val="0"/>
          <w:divBdr>
            <w:top w:val="none" w:sz="0" w:space="0" w:color="auto"/>
            <w:left w:val="none" w:sz="0" w:space="0" w:color="auto"/>
            <w:bottom w:val="none" w:sz="0" w:space="0" w:color="auto"/>
            <w:right w:val="none" w:sz="0" w:space="0" w:color="auto"/>
          </w:divBdr>
          <w:divsChild>
            <w:div w:id="1914463379">
              <w:marLeft w:val="0"/>
              <w:marRight w:val="0"/>
              <w:marTop w:val="0"/>
              <w:marBottom w:val="0"/>
              <w:divBdr>
                <w:top w:val="none" w:sz="0" w:space="0" w:color="auto"/>
                <w:left w:val="none" w:sz="0" w:space="0" w:color="auto"/>
                <w:bottom w:val="none" w:sz="0" w:space="0" w:color="auto"/>
                <w:right w:val="none" w:sz="0" w:space="0" w:color="auto"/>
              </w:divBdr>
              <w:divsChild>
                <w:div w:id="1204830993">
                  <w:marLeft w:val="0"/>
                  <w:marRight w:val="0"/>
                  <w:marTop w:val="0"/>
                  <w:marBottom w:val="0"/>
                  <w:divBdr>
                    <w:top w:val="none" w:sz="0" w:space="0" w:color="auto"/>
                    <w:left w:val="none" w:sz="0" w:space="0" w:color="auto"/>
                    <w:bottom w:val="none" w:sz="0" w:space="0" w:color="auto"/>
                    <w:right w:val="none" w:sz="0" w:space="0" w:color="auto"/>
                  </w:divBdr>
                  <w:divsChild>
                    <w:div w:id="2071072264">
                      <w:marLeft w:val="0"/>
                      <w:marRight w:val="0"/>
                      <w:marTop w:val="0"/>
                      <w:marBottom w:val="0"/>
                      <w:divBdr>
                        <w:top w:val="none" w:sz="0" w:space="0" w:color="auto"/>
                        <w:left w:val="none" w:sz="0" w:space="0" w:color="auto"/>
                        <w:bottom w:val="none" w:sz="0" w:space="0" w:color="auto"/>
                        <w:right w:val="none" w:sz="0" w:space="0" w:color="auto"/>
                      </w:divBdr>
                      <w:divsChild>
                        <w:div w:id="594553749">
                          <w:marLeft w:val="0"/>
                          <w:marRight w:val="0"/>
                          <w:marTop w:val="0"/>
                          <w:marBottom w:val="0"/>
                          <w:divBdr>
                            <w:top w:val="none" w:sz="0" w:space="0" w:color="auto"/>
                            <w:left w:val="none" w:sz="0" w:space="0" w:color="auto"/>
                            <w:bottom w:val="none" w:sz="0" w:space="0" w:color="auto"/>
                            <w:right w:val="none" w:sz="0" w:space="0" w:color="auto"/>
                          </w:divBdr>
                          <w:divsChild>
                            <w:div w:id="1606696238">
                              <w:marLeft w:val="0"/>
                              <w:marRight w:val="0"/>
                              <w:marTop w:val="0"/>
                              <w:marBottom w:val="0"/>
                              <w:divBdr>
                                <w:top w:val="none" w:sz="0" w:space="0" w:color="auto"/>
                                <w:left w:val="none" w:sz="0" w:space="0" w:color="auto"/>
                                <w:bottom w:val="none" w:sz="0" w:space="0" w:color="auto"/>
                                <w:right w:val="none" w:sz="0" w:space="0" w:color="auto"/>
                              </w:divBdr>
                              <w:divsChild>
                                <w:div w:id="820388949">
                                  <w:marLeft w:val="0"/>
                                  <w:marRight w:val="0"/>
                                  <w:marTop w:val="0"/>
                                  <w:marBottom w:val="0"/>
                                  <w:divBdr>
                                    <w:top w:val="none" w:sz="0" w:space="0" w:color="auto"/>
                                    <w:left w:val="none" w:sz="0" w:space="0" w:color="auto"/>
                                    <w:bottom w:val="none" w:sz="0" w:space="0" w:color="auto"/>
                                    <w:right w:val="none" w:sz="0" w:space="0" w:color="auto"/>
                                  </w:divBdr>
                                  <w:divsChild>
                                    <w:div w:id="784620235">
                                      <w:marLeft w:val="0"/>
                                      <w:marRight w:val="0"/>
                                      <w:marTop w:val="0"/>
                                      <w:marBottom w:val="0"/>
                                      <w:divBdr>
                                        <w:top w:val="none" w:sz="0" w:space="0" w:color="auto"/>
                                        <w:left w:val="none" w:sz="0" w:space="0" w:color="auto"/>
                                        <w:bottom w:val="none" w:sz="0" w:space="0" w:color="auto"/>
                                        <w:right w:val="none" w:sz="0" w:space="0" w:color="auto"/>
                                      </w:divBdr>
                                      <w:divsChild>
                                        <w:div w:id="373819700">
                                          <w:marLeft w:val="0"/>
                                          <w:marRight w:val="0"/>
                                          <w:marTop w:val="0"/>
                                          <w:marBottom w:val="0"/>
                                          <w:divBdr>
                                            <w:top w:val="none" w:sz="0" w:space="0" w:color="auto"/>
                                            <w:left w:val="none" w:sz="0" w:space="0" w:color="auto"/>
                                            <w:bottom w:val="none" w:sz="0" w:space="0" w:color="auto"/>
                                            <w:right w:val="none" w:sz="0" w:space="0" w:color="auto"/>
                                          </w:divBdr>
                                        </w:div>
                                        <w:div w:id="156965580">
                                          <w:marLeft w:val="0"/>
                                          <w:marRight w:val="0"/>
                                          <w:marTop w:val="0"/>
                                          <w:marBottom w:val="0"/>
                                          <w:divBdr>
                                            <w:top w:val="none" w:sz="0" w:space="0" w:color="auto"/>
                                            <w:left w:val="none" w:sz="0" w:space="0" w:color="auto"/>
                                            <w:bottom w:val="none" w:sz="0" w:space="0" w:color="auto"/>
                                            <w:right w:val="none" w:sz="0" w:space="0" w:color="auto"/>
                                          </w:divBdr>
                                        </w:div>
                                        <w:div w:id="220218777">
                                          <w:marLeft w:val="0"/>
                                          <w:marRight w:val="0"/>
                                          <w:marTop w:val="0"/>
                                          <w:marBottom w:val="0"/>
                                          <w:divBdr>
                                            <w:top w:val="none" w:sz="0" w:space="0" w:color="auto"/>
                                            <w:left w:val="none" w:sz="0" w:space="0" w:color="auto"/>
                                            <w:bottom w:val="none" w:sz="0" w:space="0" w:color="auto"/>
                                            <w:right w:val="none" w:sz="0" w:space="0" w:color="auto"/>
                                          </w:divBdr>
                                        </w:div>
                                        <w:div w:id="720979276">
                                          <w:marLeft w:val="0"/>
                                          <w:marRight w:val="0"/>
                                          <w:marTop w:val="0"/>
                                          <w:marBottom w:val="0"/>
                                          <w:divBdr>
                                            <w:top w:val="none" w:sz="0" w:space="0" w:color="auto"/>
                                            <w:left w:val="none" w:sz="0" w:space="0" w:color="auto"/>
                                            <w:bottom w:val="none" w:sz="0" w:space="0" w:color="auto"/>
                                            <w:right w:val="none" w:sz="0" w:space="0" w:color="auto"/>
                                          </w:divBdr>
                                        </w:div>
                                        <w:div w:id="4071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52079">
      <w:bodyDiv w:val="1"/>
      <w:marLeft w:val="0"/>
      <w:marRight w:val="0"/>
      <w:marTop w:val="0"/>
      <w:marBottom w:val="0"/>
      <w:divBdr>
        <w:top w:val="none" w:sz="0" w:space="0" w:color="auto"/>
        <w:left w:val="none" w:sz="0" w:space="0" w:color="auto"/>
        <w:bottom w:val="none" w:sz="0" w:space="0" w:color="auto"/>
        <w:right w:val="none" w:sz="0" w:space="0" w:color="auto"/>
      </w:divBdr>
    </w:div>
    <w:div w:id="1094402668">
      <w:bodyDiv w:val="1"/>
      <w:marLeft w:val="0"/>
      <w:marRight w:val="0"/>
      <w:marTop w:val="0"/>
      <w:marBottom w:val="0"/>
      <w:divBdr>
        <w:top w:val="none" w:sz="0" w:space="0" w:color="auto"/>
        <w:left w:val="none" w:sz="0" w:space="0" w:color="auto"/>
        <w:bottom w:val="none" w:sz="0" w:space="0" w:color="auto"/>
        <w:right w:val="none" w:sz="0" w:space="0" w:color="auto"/>
      </w:divBdr>
      <w:divsChild>
        <w:div w:id="1278608249">
          <w:marLeft w:val="0"/>
          <w:marRight w:val="0"/>
          <w:marTop w:val="0"/>
          <w:marBottom w:val="0"/>
          <w:divBdr>
            <w:top w:val="none" w:sz="0" w:space="0" w:color="auto"/>
            <w:left w:val="none" w:sz="0" w:space="0" w:color="auto"/>
            <w:bottom w:val="none" w:sz="0" w:space="0" w:color="auto"/>
            <w:right w:val="none" w:sz="0" w:space="0" w:color="auto"/>
          </w:divBdr>
          <w:divsChild>
            <w:div w:id="131145839">
              <w:marLeft w:val="0"/>
              <w:marRight w:val="0"/>
              <w:marTop w:val="0"/>
              <w:marBottom w:val="0"/>
              <w:divBdr>
                <w:top w:val="none" w:sz="0" w:space="0" w:color="auto"/>
                <w:left w:val="none" w:sz="0" w:space="0" w:color="auto"/>
                <w:bottom w:val="none" w:sz="0" w:space="0" w:color="auto"/>
                <w:right w:val="none" w:sz="0" w:space="0" w:color="auto"/>
              </w:divBdr>
              <w:divsChild>
                <w:div w:id="241262819">
                  <w:marLeft w:val="0"/>
                  <w:marRight w:val="0"/>
                  <w:marTop w:val="0"/>
                  <w:marBottom w:val="0"/>
                  <w:divBdr>
                    <w:top w:val="none" w:sz="0" w:space="0" w:color="auto"/>
                    <w:left w:val="none" w:sz="0" w:space="0" w:color="auto"/>
                    <w:bottom w:val="none" w:sz="0" w:space="0" w:color="auto"/>
                    <w:right w:val="none" w:sz="0" w:space="0" w:color="auto"/>
                  </w:divBdr>
                  <w:divsChild>
                    <w:div w:id="981613819">
                      <w:marLeft w:val="0"/>
                      <w:marRight w:val="0"/>
                      <w:marTop w:val="0"/>
                      <w:marBottom w:val="0"/>
                      <w:divBdr>
                        <w:top w:val="none" w:sz="0" w:space="0" w:color="auto"/>
                        <w:left w:val="none" w:sz="0" w:space="0" w:color="auto"/>
                        <w:bottom w:val="none" w:sz="0" w:space="0" w:color="auto"/>
                        <w:right w:val="none" w:sz="0" w:space="0" w:color="auto"/>
                      </w:divBdr>
                      <w:divsChild>
                        <w:div w:id="906453320">
                          <w:marLeft w:val="0"/>
                          <w:marRight w:val="0"/>
                          <w:marTop w:val="0"/>
                          <w:marBottom w:val="0"/>
                          <w:divBdr>
                            <w:top w:val="none" w:sz="0" w:space="0" w:color="auto"/>
                            <w:left w:val="none" w:sz="0" w:space="0" w:color="auto"/>
                            <w:bottom w:val="none" w:sz="0" w:space="0" w:color="auto"/>
                            <w:right w:val="none" w:sz="0" w:space="0" w:color="auto"/>
                          </w:divBdr>
                          <w:divsChild>
                            <w:div w:id="592786187">
                              <w:marLeft w:val="0"/>
                              <w:marRight w:val="0"/>
                              <w:marTop w:val="0"/>
                              <w:marBottom w:val="0"/>
                              <w:divBdr>
                                <w:top w:val="none" w:sz="0" w:space="0" w:color="auto"/>
                                <w:left w:val="none" w:sz="0" w:space="0" w:color="auto"/>
                                <w:bottom w:val="none" w:sz="0" w:space="0" w:color="auto"/>
                                <w:right w:val="none" w:sz="0" w:space="0" w:color="auto"/>
                              </w:divBdr>
                              <w:divsChild>
                                <w:div w:id="2032220955">
                                  <w:marLeft w:val="0"/>
                                  <w:marRight w:val="0"/>
                                  <w:marTop w:val="0"/>
                                  <w:marBottom w:val="0"/>
                                  <w:divBdr>
                                    <w:top w:val="none" w:sz="0" w:space="0" w:color="auto"/>
                                    <w:left w:val="none" w:sz="0" w:space="0" w:color="auto"/>
                                    <w:bottom w:val="none" w:sz="0" w:space="0" w:color="auto"/>
                                    <w:right w:val="none" w:sz="0" w:space="0" w:color="auto"/>
                                  </w:divBdr>
                                  <w:divsChild>
                                    <w:div w:id="1538817159">
                                      <w:marLeft w:val="0"/>
                                      <w:marRight w:val="0"/>
                                      <w:marTop w:val="0"/>
                                      <w:marBottom w:val="0"/>
                                      <w:divBdr>
                                        <w:top w:val="none" w:sz="0" w:space="0" w:color="auto"/>
                                        <w:left w:val="none" w:sz="0" w:space="0" w:color="auto"/>
                                        <w:bottom w:val="none" w:sz="0" w:space="0" w:color="auto"/>
                                        <w:right w:val="none" w:sz="0" w:space="0" w:color="auto"/>
                                      </w:divBdr>
                                      <w:divsChild>
                                        <w:div w:id="6320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941121">
      <w:bodyDiv w:val="1"/>
      <w:marLeft w:val="0"/>
      <w:marRight w:val="0"/>
      <w:marTop w:val="0"/>
      <w:marBottom w:val="0"/>
      <w:divBdr>
        <w:top w:val="none" w:sz="0" w:space="0" w:color="auto"/>
        <w:left w:val="none" w:sz="0" w:space="0" w:color="auto"/>
        <w:bottom w:val="none" w:sz="0" w:space="0" w:color="auto"/>
        <w:right w:val="none" w:sz="0" w:space="0" w:color="auto"/>
      </w:divBdr>
    </w:div>
    <w:div w:id="1151560095">
      <w:bodyDiv w:val="1"/>
      <w:marLeft w:val="0"/>
      <w:marRight w:val="0"/>
      <w:marTop w:val="0"/>
      <w:marBottom w:val="0"/>
      <w:divBdr>
        <w:top w:val="none" w:sz="0" w:space="0" w:color="auto"/>
        <w:left w:val="none" w:sz="0" w:space="0" w:color="auto"/>
        <w:bottom w:val="none" w:sz="0" w:space="0" w:color="auto"/>
        <w:right w:val="none" w:sz="0" w:space="0" w:color="auto"/>
      </w:divBdr>
    </w:div>
    <w:div w:id="1154301208">
      <w:bodyDiv w:val="1"/>
      <w:marLeft w:val="0"/>
      <w:marRight w:val="0"/>
      <w:marTop w:val="0"/>
      <w:marBottom w:val="0"/>
      <w:divBdr>
        <w:top w:val="none" w:sz="0" w:space="0" w:color="auto"/>
        <w:left w:val="none" w:sz="0" w:space="0" w:color="auto"/>
        <w:bottom w:val="none" w:sz="0" w:space="0" w:color="auto"/>
        <w:right w:val="none" w:sz="0" w:space="0" w:color="auto"/>
      </w:divBdr>
    </w:div>
    <w:div w:id="1239287874">
      <w:bodyDiv w:val="1"/>
      <w:marLeft w:val="0"/>
      <w:marRight w:val="0"/>
      <w:marTop w:val="0"/>
      <w:marBottom w:val="0"/>
      <w:divBdr>
        <w:top w:val="none" w:sz="0" w:space="0" w:color="auto"/>
        <w:left w:val="none" w:sz="0" w:space="0" w:color="auto"/>
        <w:bottom w:val="none" w:sz="0" w:space="0" w:color="auto"/>
        <w:right w:val="none" w:sz="0" w:space="0" w:color="auto"/>
      </w:divBdr>
    </w:div>
    <w:div w:id="1242518684">
      <w:bodyDiv w:val="1"/>
      <w:marLeft w:val="0"/>
      <w:marRight w:val="0"/>
      <w:marTop w:val="0"/>
      <w:marBottom w:val="0"/>
      <w:divBdr>
        <w:top w:val="none" w:sz="0" w:space="0" w:color="auto"/>
        <w:left w:val="none" w:sz="0" w:space="0" w:color="auto"/>
        <w:bottom w:val="none" w:sz="0" w:space="0" w:color="auto"/>
        <w:right w:val="none" w:sz="0" w:space="0" w:color="auto"/>
      </w:divBdr>
    </w:div>
    <w:div w:id="1328902457">
      <w:bodyDiv w:val="1"/>
      <w:marLeft w:val="0"/>
      <w:marRight w:val="0"/>
      <w:marTop w:val="0"/>
      <w:marBottom w:val="0"/>
      <w:divBdr>
        <w:top w:val="none" w:sz="0" w:space="0" w:color="auto"/>
        <w:left w:val="none" w:sz="0" w:space="0" w:color="auto"/>
        <w:bottom w:val="none" w:sz="0" w:space="0" w:color="auto"/>
        <w:right w:val="none" w:sz="0" w:space="0" w:color="auto"/>
      </w:divBdr>
      <w:divsChild>
        <w:div w:id="653996564">
          <w:marLeft w:val="0"/>
          <w:marRight w:val="0"/>
          <w:marTop w:val="0"/>
          <w:marBottom w:val="0"/>
          <w:divBdr>
            <w:top w:val="none" w:sz="0" w:space="0" w:color="auto"/>
            <w:left w:val="none" w:sz="0" w:space="0" w:color="auto"/>
            <w:bottom w:val="none" w:sz="0" w:space="0" w:color="auto"/>
            <w:right w:val="none" w:sz="0" w:space="0" w:color="auto"/>
          </w:divBdr>
        </w:div>
      </w:divsChild>
    </w:div>
    <w:div w:id="1393430217">
      <w:bodyDiv w:val="1"/>
      <w:marLeft w:val="0"/>
      <w:marRight w:val="0"/>
      <w:marTop w:val="0"/>
      <w:marBottom w:val="0"/>
      <w:divBdr>
        <w:top w:val="none" w:sz="0" w:space="0" w:color="auto"/>
        <w:left w:val="none" w:sz="0" w:space="0" w:color="auto"/>
        <w:bottom w:val="none" w:sz="0" w:space="0" w:color="auto"/>
        <w:right w:val="none" w:sz="0" w:space="0" w:color="auto"/>
      </w:divBdr>
    </w:div>
    <w:div w:id="1568497659">
      <w:bodyDiv w:val="1"/>
      <w:marLeft w:val="0"/>
      <w:marRight w:val="0"/>
      <w:marTop w:val="0"/>
      <w:marBottom w:val="0"/>
      <w:divBdr>
        <w:top w:val="none" w:sz="0" w:space="0" w:color="auto"/>
        <w:left w:val="none" w:sz="0" w:space="0" w:color="auto"/>
        <w:bottom w:val="none" w:sz="0" w:space="0" w:color="auto"/>
        <w:right w:val="none" w:sz="0" w:space="0" w:color="auto"/>
      </w:divBdr>
      <w:divsChild>
        <w:div w:id="146752713">
          <w:marLeft w:val="0"/>
          <w:marRight w:val="0"/>
          <w:marTop w:val="0"/>
          <w:marBottom w:val="0"/>
          <w:divBdr>
            <w:top w:val="none" w:sz="0" w:space="0" w:color="auto"/>
            <w:left w:val="none" w:sz="0" w:space="0" w:color="auto"/>
            <w:bottom w:val="none" w:sz="0" w:space="0" w:color="auto"/>
            <w:right w:val="none" w:sz="0" w:space="0" w:color="auto"/>
          </w:divBdr>
          <w:divsChild>
            <w:div w:id="751854679">
              <w:marLeft w:val="0"/>
              <w:marRight w:val="0"/>
              <w:marTop w:val="0"/>
              <w:marBottom w:val="0"/>
              <w:divBdr>
                <w:top w:val="none" w:sz="0" w:space="0" w:color="auto"/>
                <w:left w:val="none" w:sz="0" w:space="0" w:color="auto"/>
                <w:bottom w:val="none" w:sz="0" w:space="0" w:color="auto"/>
                <w:right w:val="none" w:sz="0" w:space="0" w:color="auto"/>
              </w:divBdr>
              <w:divsChild>
                <w:div w:id="717818865">
                  <w:marLeft w:val="0"/>
                  <w:marRight w:val="0"/>
                  <w:marTop w:val="0"/>
                  <w:marBottom w:val="0"/>
                  <w:divBdr>
                    <w:top w:val="none" w:sz="0" w:space="0" w:color="auto"/>
                    <w:left w:val="none" w:sz="0" w:space="0" w:color="auto"/>
                    <w:bottom w:val="none" w:sz="0" w:space="0" w:color="auto"/>
                    <w:right w:val="none" w:sz="0" w:space="0" w:color="auto"/>
                  </w:divBdr>
                  <w:divsChild>
                    <w:div w:id="956833378">
                      <w:marLeft w:val="0"/>
                      <w:marRight w:val="0"/>
                      <w:marTop w:val="0"/>
                      <w:marBottom w:val="0"/>
                      <w:divBdr>
                        <w:top w:val="none" w:sz="0" w:space="0" w:color="auto"/>
                        <w:left w:val="none" w:sz="0" w:space="0" w:color="auto"/>
                        <w:bottom w:val="none" w:sz="0" w:space="0" w:color="auto"/>
                        <w:right w:val="none" w:sz="0" w:space="0" w:color="auto"/>
                      </w:divBdr>
                      <w:divsChild>
                        <w:div w:id="1127697288">
                          <w:marLeft w:val="0"/>
                          <w:marRight w:val="0"/>
                          <w:marTop w:val="0"/>
                          <w:marBottom w:val="0"/>
                          <w:divBdr>
                            <w:top w:val="none" w:sz="0" w:space="0" w:color="auto"/>
                            <w:left w:val="none" w:sz="0" w:space="0" w:color="auto"/>
                            <w:bottom w:val="none" w:sz="0" w:space="0" w:color="auto"/>
                            <w:right w:val="none" w:sz="0" w:space="0" w:color="auto"/>
                          </w:divBdr>
                          <w:divsChild>
                            <w:div w:id="180972800">
                              <w:marLeft w:val="0"/>
                              <w:marRight w:val="0"/>
                              <w:marTop w:val="0"/>
                              <w:marBottom w:val="0"/>
                              <w:divBdr>
                                <w:top w:val="none" w:sz="0" w:space="0" w:color="auto"/>
                                <w:left w:val="none" w:sz="0" w:space="0" w:color="auto"/>
                                <w:bottom w:val="none" w:sz="0" w:space="0" w:color="auto"/>
                                <w:right w:val="none" w:sz="0" w:space="0" w:color="auto"/>
                              </w:divBdr>
                              <w:divsChild>
                                <w:div w:id="1221671793">
                                  <w:marLeft w:val="0"/>
                                  <w:marRight w:val="0"/>
                                  <w:marTop w:val="0"/>
                                  <w:marBottom w:val="0"/>
                                  <w:divBdr>
                                    <w:top w:val="none" w:sz="0" w:space="0" w:color="auto"/>
                                    <w:left w:val="none" w:sz="0" w:space="0" w:color="auto"/>
                                    <w:bottom w:val="none" w:sz="0" w:space="0" w:color="auto"/>
                                    <w:right w:val="none" w:sz="0" w:space="0" w:color="auto"/>
                                  </w:divBdr>
                                  <w:divsChild>
                                    <w:div w:id="1352493188">
                                      <w:marLeft w:val="0"/>
                                      <w:marRight w:val="0"/>
                                      <w:marTop w:val="0"/>
                                      <w:marBottom w:val="0"/>
                                      <w:divBdr>
                                        <w:top w:val="none" w:sz="0" w:space="0" w:color="auto"/>
                                        <w:left w:val="none" w:sz="0" w:space="0" w:color="auto"/>
                                        <w:bottom w:val="none" w:sz="0" w:space="0" w:color="auto"/>
                                        <w:right w:val="none" w:sz="0" w:space="0" w:color="auto"/>
                                      </w:divBdr>
                                      <w:divsChild>
                                        <w:div w:id="760641169">
                                          <w:marLeft w:val="0"/>
                                          <w:marRight w:val="0"/>
                                          <w:marTop w:val="0"/>
                                          <w:marBottom w:val="0"/>
                                          <w:divBdr>
                                            <w:top w:val="none" w:sz="0" w:space="0" w:color="auto"/>
                                            <w:left w:val="none" w:sz="0" w:space="0" w:color="auto"/>
                                            <w:bottom w:val="none" w:sz="0" w:space="0" w:color="auto"/>
                                            <w:right w:val="none" w:sz="0" w:space="0" w:color="auto"/>
                                          </w:divBdr>
                                        </w:div>
                                        <w:div w:id="1154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449530">
      <w:bodyDiv w:val="1"/>
      <w:marLeft w:val="0"/>
      <w:marRight w:val="0"/>
      <w:marTop w:val="0"/>
      <w:marBottom w:val="0"/>
      <w:divBdr>
        <w:top w:val="none" w:sz="0" w:space="0" w:color="auto"/>
        <w:left w:val="none" w:sz="0" w:space="0" w:color="auto"/>
        <w:bottom w:val="none" w:sz="0" w:space="0" w:color="auto"/>
        <w:right w:val="none" w:sz="0" w:space="0" w:color="auto"/>
      </w:divBdr>
    </w:div>
    <w:div w:id="1650942819">
      <w:bodyDiv w:val="1"/>
      <w:marLeft w:val="0"/>
      <w:marRight w:val="0"/>
      <w:marTop w:val="0"/>
      <w:marBottom w:val="0"/>
      <w:divBdr>
        <w:top w:val="none" w:sz="0" w:space="0" w:color="auto"/>
        <w:left w:val="none" w:sz="0" w:space="0" w:color="auto"/>
        <w:bottom w:val="none" w:sz="0" w:space="0" w:color="auto"/>
        <w:right w:val="none" w:sz="0" w:space="0" w:color="auto"/>
      </w:divBdr>
    </w:div>
    <w:div w:id="1653364331">
      <w:bodyDiv w:val="1"/>
      <w:marLeft w:val="0"/>
      <w:marRight w:val="0"/>
      <w:marTop w:val="0"/>
      <w:marBottom w:val="0"/>
      <w:divBdr>
        <w:top w:val="none" w:sz="0" w:space="0" w:color="auto"/>
        <w:left w:val="none" w:sz="0" w:space="0" w:color="auto"/>
        <w:bottom w:val="none" w:sz="0" w:space="0" w:color="auto"/>
        <w:right w:val="none" w:sz="0" w:space="0" w:color="auto"/>
      </w:divBdr>
      <w:divsChild>
        <w:div w:id="34234557">
          <w:marLeft w:val="0"/>
          <w:marRight w:val="0"/>
          <w:marTop w:val="0"/>
          <w:marBottom w:val="0"/>
          <w:divBdr>
            <w:top w:val="none" w:sz="0" w:space="0" w:color="auto"/>
            <w:left w:val="none" w:sz="0" w:space="0" w:color="auto"/>
            <w:bottom w:val="none" w:sz="0" w:space="0" w:color="auto"/>
            <w:right w:val="none" w:sz="0" w:space="0" w:color="auto"/>
          </w:divBdr>
          <w:divsChild>
            <w:div w:id="1517496259">
              <w:marLeft w:val="0"/>
              <w:marRight w:val="0"/>
              <w:marTop w:val="0"/>
              <w:marBottom w:val="0"/>
              <w:divBdr>
                <w:top w:val="none" w:sz="0" w:space="0" w:color="auto"/>
                <w:left w:val="none" w:sz="0" w:space="0" w:color="auto"/>
                <w:bottom w:val="none" w:sz="0" w:space="0" w:color="auto"/>
                <w:right w:val="none" w:sz="0" w:space="0" w:color="auto"/>
              </w:divBdr>
              <w:divsChild>
                <w:div w:id="1774400371">
                  <w:marLeft w:val="0"/>
                  <w:marRight w:val="0"/>
                  <w:marTop w:val="0"/>
                  <w:marBottom w:val="0"/>
                  <w:divBdr>
                    <w:top w:val="none" w:sz="0" w:space="0" w:color="auto"/>
                    <w:left w:val="none" w:sz="0" w:space="0" w:color="auto"/>
                    <w:bottom w:val="none" w:sz="0" w:space="0" w:color="auto"/>
                    <w:right w:val="none" w:sz="0" w:space="0" w:color="auto"/>
                  </w:divBdr>
                  <w:divsChild>
                    <w:div w:id="19665767">
                      <w:marLeft w:val="0"/>
                      <w:marRight w:val="0"/>
                      <w:marTop w:val="0"/>
                      <w:marBottom w:val="0"/>
                      <w:divBdr>
                        <w:top w:val="none" w:sz="0" w:space="0" w:color="auto"/>
                        <w:left w:val="none" w:sz="0" w:space="0" w:color="auto"/>
                        <w:bottom w:val="none" w:sz="0" w:space="0" w:color="auto"/>
                        <w:right w:val="none" w:sz="0" w:space="0" w:color="auto"/>
                      </w:divBdr>
                      <w:divsChild>
                        <w:div w:id="1770662064">
                          <w:marLeft w:val="0"/>
                          <w:marRight w:val="0"/>
                          <w:marTop w:val="0"/>
                          <w:marBottom w:val="0"/>
                          <w:divBdr>
                            <w:top w:val="none" w:sz="0" w:space="0" w:color="auto"/>
                            <w:left w:val="none" w:sz="0" w:space="0" w:color="auto"/>
                            <w:bottom w:val="none" w:sz="0" w:space="0" w:color="auto"/>
                            <w:right w:val="none" w:sz="0" w:space="0" w:color="auto"/>
                          </w:divBdr>
                          <w:divsChild>
                            <w:div w:id="1124081472">
                              <w:marLeft w:val="0"/>
                              <w:marRight w:val="0"/>
                              <w:marTop w:val="0"/>
                              <w:marBottom w:val="0"/>
                              <w:divBdr>
                                <w:top w:val="none" w:sz="0" w:space="0" w:color="auto"/>
                                <w:left w:val="none" w:sz="0" w:space="0" w:color="auto"/>
                                <w:bottom w:val="none" w:sz="0" w:space="0" w:color="auto"/>
                                <w:right w:val="none" w:sz="0" w:space="0" w:color="auto"/>
                              </w:divBdr>
                              <w:divsChild>
                                <w:div w:id="764687832">
                                  <w:marLeft w:val="0"/>
                                  <w:marRight w:val="0"/>
                                  <w:marTop w:val="0"/>
                                  <w:marBottom w:val="0"/>
                                  <w:divBdr>
                                    <w:top w:val="none" w:sz="0" w:space="0" w:color="auto"/>
                                    <w:left w:val="none" w:sz="0" w:space="0" w:color="auto"/>
                                    <w:bottom w:val="none" w:sz="0" w:space="0" w:color="auto"/>
                                    <w:right w:val="none" w:sz="0" w:space="0" w:color="auto"/>
                                  </w:divBdr>
                                  <w:divsChild>
                                    <w:div w:id="238441062">
                                      <w:marLeft w:val="0"/>
                                      <w:marRight w:val="0"/>
                                      <w:marTop w:val="0"/>
                                      <w:marBottom w:val="0"/>
                                      <w:divBdr>
                                        <w:top w:val="none" w:sz="0" w:space="0" w:color="auto"/>
                                        <w:left w:val="none" w:sz="0" w:space="0" w:color="auto"/>
                                        <w:bottom w:val="none" w:sz="0" w:space="0" w:color="auto"/>
                                        <w:right w:val="none" w:sz="0" w:space="0" w:color="auto"/>
                                      </w:divBdr>
                                      <w:divsChild>
                                        <w:div w:id="556161723">
                                          <w:marLeft w:val="0"/>
                                          <w:marRight w:val="0"/>
                                          <w:marTop w:val="0"/>
                                          <w:marBottom w:val="0"/>
                                          <w:divBdr>
                                            <w:top w:val="none" w:sz="0" w:space="0" w:color="auto"/>
                                            <w:left w:val="none" w:sz="0" w:space="0" w:color="auto"/>
                                            <w:bottom w:val="none" w:sz="0" w:space="0" w:color="auto"/>
                                            <w:right w:val="none" w:sz="0" w:space="0" w:color="auto"/>
                                          </w:divBdr>
                                        </w:div>
                                        <w:div w:id="1243952880">
                                          <w:marLeft w:val="0"/>
                                          <w:marRight w:val="0"/>
                                          <w:marTop w:val="0"/>
                                          <w:marBottom w:val="0"/>
                                          <w:divBdr>
                                            <w:top w:val="none" w:sz="0" w:space="0" w:color="auto"/>
                                            <w:left w:val="none" w:sz="0" w:space="0" w:color="auto"/>
                                            <w:bottom w:val="none" w:sz="0" w:space="0" w:color="auto"/>
                                            <w:right w:val="none" w:sz="0" w:space="0" w:color="auto"/>
                                          </w:divBdr>
                                        </w:div>
                                        <w:div w:id="536235780">
                                          <w:marLeft w:val="0"/>
                                          <w:marRight w:val="0"/>
                                          <w:marTop w:val="0"/>
                                          <w:marBottom w:val="0"/>
                                          <w:divBdr>
                                            <w:top w:val="none" w:sz="0" w:space="0" w:color="auto"/>
                                            <w:left w:val="none" w:sz="0" w:space="0" w:color="auto"/>
                                            <w:bottom w:val="none" w:sz="0" w:space="0" w:color="auto"/>
                                            <w:right w:val="none" w:sz="0" w:space="0" w:color="auto"/>
                                          </w:divBdr>
                                        </w:div>
                                        <w:div w:id="1626160166">
                                          <w:marLeft w:val="0"/>
                                          <w:marRight w:val="0"/>
                                          <w:marTop w:val="0"/>
                                          <w:marBottom w:val="0"/>
                                          <w:divBdr>
                                            <w:top w:val="none" w:sz="0" w:space="0" w:color="auto"/>
                                            <w:left w:val="none" w:sz="0" w:space="0" w:color="auto"/>
                                            <w:bottom w:val="none" w:sz="0" w:space="0" w:color="auto"/>
                                            <w:right w:val="none" w:sz="0" w:space="0" w:color="auto"/>
                                          </w:divBdr>
                                        </w:div>
                                        <w:div w:id="4617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68904">
      <w:bodyDiv w:val="1"/>
      <w:marLeft w:val="0"/>
      <w:marRight w:val="0"/>
      <w:marTop w:val="0"/>
      <w:marBottom w:val="0"/>
      <w:divBdr>
        <w:top w:val="none" w:sz="0" w:space="0" w:color="auto"/>
        <w:left w:val="none" w:sz="0" w:space="0" w:color="auto"/>
        <w:bottom w:val="none" w:sz="0" w:space="0" w:color="auto"/>
        <w:right w:val="none" w:sz="0" w:space="0" w:color="auto"/>
      </w:divBdr>
    </w:div>
    <w:div w:id="1849562030">
      <w:bodyDiv w:val="1"/>
      <w:marLeft w:val="0"/>
      <w:marRight w:val="0"/>
      <w:marTop w:val="0"/>
      <w:marBottom w:val="0"/>
      <w:divBdr>
        <w:top w:val="none" w:sz="0" w:space="0" w:color="auto"/>
        <w:left w:val="none" w:sz="0" w:space="0" w:color="auto"/>
        <w:bottom w:val="none" w:sz="0" w:space="0" w:color="auto"/>
        <w:right w:val="none" w:sz="0" w:space="0" w:color="auto"/>
      </w:divBdr>
    </w:div>
    <w:div w:id="18840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Copyright" TargetMode="External"/><Relationship Id="rId18" Type="http://schemas.openxmlformats.org/officeDocument/2006/relationships/chart" Target="charts/chart5.xml"/><Relationship Id="rId26" Type="http://schemas.openxmlformats.org/officeDocument/2006/relationships/hyperlink" Target="http://www.mep.gov.sa/index.jsp;jsessionid=7587746E923F7BF1B822164456479332.beta?event=ArticleView&amp;Article.ObjectID=45" TargetMode="External"/><Relationship Id="rId3" Type="http://schemas.openxmlformats.org/officeDocument/2006/relationships/styles" Target="styles.xml"/><Relationship Id="rId21" Type="http://schemas.openxmlformats.org/officeDocument/2006/relationships/hyperlink" Target="http://eprints.qut.edu.au/21066/1/c21066.pdf" TargetMode="External"/><Relationship Id="rId34" Type="http://schemas.openxmlformats.org/officeDocument/2006/relationships/hyperlink" Target="http://www.weforum.org/reports/global-information-technology-report-2011-2012-0" TargetMode="External"/><Relationship Id="rId7" Type="http://schemas.openxmlformats.org/officeDocument/2006/relationships/endnotes" Target="endnotes.xml"/><Relationship Id="rId12" Type="http://schemas.openxmlformats.org/officeDocument/2006/relationships/hyperlink" Target="http://en.wikipedia.org/wiki/Source_code" TargetMode="External"/><Relationship Id="rId17" Type="http://schemas.openxmlformats.org/officeDocument/2006/relationships/chart" Target="charts/chart4.xml"/><Relationship Id="rId25" Type="http://schemas.openxmlformats.org/officeDocument/2006/relationships/hyperlink" Target="http://www.opensource.org/" TargetMode="External"/><Relationship Id="rId33" Type="http://schemas.openxmlformats.org/officeDocument/2006/relationships/hyperlink" Target="http://data.worldbank.org/indicator/NY.GDP.MKTP.KD.ZG?page=1"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jpeg"/><Relationship Id="rId29" Type="http://schemas.openxmlformats.org/officeDocument/2006/relationships/hyperlink" Target="http://intra.undp.org/eo/documents/methodology/rbm/RBM-technical-not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mputer_software" TargetMode="External"/><Relationship Id="rId24" Type="http://schemas.openxmlformats.org/officeDocument/2006/relationships/hyperlink" Target="http://blogs.worldbank.org/peoplemove/node/1392" TargetMode="External"/><Relationship Id="rId32" Type="http://schemas.openxmlformats.org/officeDocument/2006/relationships/hyperlink" Target="http://www.undp.org.sa/sa/.../cpap_narrative_review_final-mwt-matrix.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ollaborative_software_development_model" TargetMode="External"/><Relationship Id="rId23" Type="http://schemas.openxmlformats.org/officeDocument/2006/relationships/hyperlink" Target="http://www.globalinv.net/research/KSA-economic-overview-022012.pdf" TargetMode="External"/><Relationship Id="rId28" Type="http://schemas.openxmlformats.org/officeDocument/2006/relationships/hyperlink" Target="http://www.un.org/en/development/desa/publications/connecting-governments-to-citizens.html"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hyperlink" Target="http://www.undp.org.sa/sa/documents/home/cpd_2007_2011.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en.wikipedia.org/wiki/Open-source_license" TargetMode="External"/><Relationship Id="rId22" Type="http://schemas.openxmlformats.org/officeDocument/2006/relationships/hyperlink" Target="http://www.weforum.org/reports/global-information-technology-report-2010-2011-0" TargetMode="External"/><Relationship Id="rId27" Type="http://schemas.openxmlformats.org/officeDocument/2006/relationships/hyperlink" Target="http://arabnews.com/economy/article454902.ece" TargetMode="External"/><Relationship Id="rId30" Type="http://schemas.openxmlformats.org/officeDocument/2006/relationships/hyperlink" Target="http://web.undp.org/evaluation/documents/thematic/ncc/NCC.pdf"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1200"/>
            </a:pPr>
            <a:r>
              <a:rPr lang="en-US" sz="1200"/>
              <a:t>Per capita income, 1992-2009</a:t>
            </a:r>
          </a:p>
        </c:rich>
      </c:tx>
    </c:title>
    <c:plotArea>
      <c:layout/>
      <c:lineChart>
        <c:grouping val="standard"/>
        <c:ser>
          <c:idx val="0"/>
          <c:order val="0"/>
          <c:tx>
            <c:strRef>
              <c:f>'Calc on 2001-11'!$B$28</c:f>
              <c:strCache>
                <c:ptCount val="1"/>
                <c:pt idx="0">
                  <c:v>Per capita income</c:v>
                </c:pt>
              </c:strCache>
            </c:strRef>
          </c:tx>
          <c:marker>
            <c:symbol val="none"/>
          </c:marker>
          <c:cat>
            <c:numRef>
              <c:f>'Calc on 2001-11'!$C$27:$T$27</c:f>
              <c:numCache>
                <c:formatCode>General</c:formatCode>
                <c:ptCount val="18"/>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numCache>
            </c:numRef>
          </c:cat>
          <c:val>
            <c:numRef>
              <c:f>'Calc on 2001-11'!$C$28:$T$28</c:f>
              <c:numCache>
                <c:formatCode>#,##0</c:formatCode>
                <c:ptCount val="18"/>
                <c:pt idx="0">
                  <c:v>8620</c:v>
                </c:pt>
                <c:pt idx="1">
                  <c:v>8200</c:v>
                </c:pt>
                <c:pt idx="2">
                  <c:v>7800</c:v>
                </c:pt>
                <c:pt idx="3">
                  <c:v>7860</c:v>
                </c:pt>
                <c:pt idx="4">
                  <c:v>8250</c:v>
                </c:pt>
                <c:pt idx="5">
                  <c:v>8600</c:v>
                </c:pt>
                <c:pt idx="6">
                  <c:v>8300</c:v>
                </c:pt>
                <c:pt idx="7">
                  <c:v>8050</c:v>
                </c:pt>
                <c:pt idx="8">
                  <c:v>8390</c:v>
                </c:pt>
                <c:pt idx="9">
                  <c:v>8660</c:v>
                </c:pt>
                <c:pt idx="10">
                  <c:v>8610</c:v>
                </c:pt>
                <c:pt idx="11">
                  <c:v>9280</c:v>
                </c:pt>
                <c:pt idx="12">
                  <c:v>10530</c:v>
                </c:pt>
                <c:pt idx="13">
                  <c:v>12230</c:v>
                </c:pt>
                <c:pt idx="14">
                  <c:v>13630</c:v>
                </c:pt>
                <c:pt idx="15">
                  <c:v>14790</c:v>
                </c:pt>
                <c:pt idx="16">
                  <c:v>16790</c:v>
                </c:pt>
                <c:pt idx="17">
                  <c:v>16190</c:v>
                </c:pt>
              </c:numCache>
            </c:numRef>
          </c:val>
        </c:ser>
        <c:marker val="1"/>
        <c:axId val="87821312"/>
        <c:axId val="88830720"/>
      </c:lineChart>
      <c:catAx>
        <c:axId val="87821312"/>
        <c:scaling>
          <c:orientation val="minMax"/>
        </c:scaling>
        <c:axPos val="b"/>
        <c:numFmt formatCode="General" sourceLinked="1"/>
        <c:tickLblPos val="nextTo"/>
        <c:crossAx val="88830720"/>
        <c:crosses val="autoZero"/>
        <c:auto val="1"/>
        <c:lblAlgn val="ctr"/>
        <c:lblOffset val="100"/>
      </c:catAx>
      <c:valAx>
        <c:axId val="88830720"/>
        <c:scaling>
          <c:orientation val="minMax"/>
        </c:scaling>
        <c:axPos val="l"/>
        <c:majorGridlines/>
        <c:title>
          <c:tx>
            <c:rich>
              <a:bodyPr rot="-5400000" vert="horz"/>
              <a:lstStyle/>
              <a:p>
                <a:pPr>
                  <a:defRPr sz="800" b="0"/>
                </a:pPr>
                <a:r>
                  <a:rPr lang="en-US" sz="800" b="0"/>
                  <a:t>Current USD equivalent</a:t>
                </a:r>
              </a:p>
            </c:rich>
          </c:tx>
        </c:title>
        <c:numFmt formatCode="#,##0" sourceLinked="1"/>
        <c:tickLblPos val="nextTo"/>
        <c:txPr>
          <a:bodyPr/>
          <a:lstStyle/>
          <a:p>
            <a:pPr>
              <a:defRPr sz="800">
                <a:latin typeface="Arial Narrow" pitchFamily="34" charset="0"/>
              </a:defRPr>
            </a:pPr>
            <a:endParaRPr lang="en-US"/>
          </a:p>
        </c:txPr>
        <c:crossAx val="87821312"/>
        <c:crosses val="autoZero"/>
        <c:crossBetween val="between"/>
      </c:valAx>
      <c:dTable>
        <c:showHorzBorder val="1"/>
        <c:showVertBorder val="1"/>
        <c:showOutline val="1"/>
        <c:txPr>
          <a:bodyPr/>
          <a:lstStyle/>
          <a:p>
            <a:pPr rtl="0">
              <a:defRPr sz="700">
                <a:latin typeface="Arial Narrow" pitchFamily="34" charset="0"/>
              </a:defRPr>
            </a:pPr>
            <a:endParaRPr lang="en-US"/>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a:pPr>
            <a:r>
              <a:rPr lang="en-CA" sz="1200"/>
              <a:t>Per capita income and cost-of-living increase</a:t>
            </a:r>
          </a:p>
        </c:rich>
      </c:tx>
    </c:title>
    <c:plotArea>
      <c:layout/>
      <c:lineChart>
        <c:grouping val="standard"/>
        <c:ser>
          <c:idx val="0"/>
          <c:order val="0"/>
          <c:tx>
            <c:strRef>
              <c:f>'Calc on 2001-11'!$A$32</c:f>
              <c:strCache>
                <c:ptCount val="1"/>
                <c:pt idx="0">
                  <c:v>Per capita income (current '000 USD)</c:v>
                </c:pt>
              </c:strCache>
            </c:strRef>
          </c:tx>
          <c:marker>
            <c:symbol val="none"/>
          </c:marker>
          <c:cat>
            <c:numRef>
              <c:f>'Calc on 2001-11'!$B$31:$F$31</c:f>
              <c:numCache>
                <c:formatCode>General</c:formatCode>
                <c:ptCount val="5"/>
                <c:pt idx="0">
                  <c:v>2004</c:v>
                </c:pt>
                <c:pt idx="1">
                  <c:v>2005</c:v>
                </c:pt>
                <c:pt idx="2">
                  <c:v>2006</c:v>
                </c:pt>
                <c:pt idx="3">
                  <c:v>2007</c:v>
                </c:pt>
                <c:pt idx="4">
                  <c:v>2008</c:v>
                </c:pt>
              </c:numCache>
            </c:numRef>
          </c:cat>
          <c:val>
            <c:numRef>
              <c:f>'Calc on 2001-11'!$B$32:$F$32</c:f>
              <c:numCache>
                <c:formatCode>0.0</c:formatCode>
                <c:ptCount val="5"/>
                <c:pt idx="0">
                  <c:v>10.53</c:v>
                </c:pt>
                <c:pt idx="1">
                  <c:v>12.229999999999999</c:v>
                </c:pt>
                <c:pt idx="2">
                  <c:v>13.629999999999999</c:v>
                </c:pt>
                <c:pt idx="3">
                  <c:v>14.79</c:v>
                </c:pt>
                <c:pt idx="4">
                  <c:v>16.79</c:v>
                </c:pt>
              </c:numCache>
            </c:numRef>
          </c:val>
        </c:ser>
        <c:ser>
          <c:idx val="1"/>
          <c:order val="1"/>
          <c:tx>
            <c:strRef>
              <c:f>'Calc on 2001-11'!$A$33</c:f>
              <c:strCache>
                <c:ptCount val="1"/>
                <c:pt idx="0">
                  <c:v>Cost of Living (1999=100)  % change</c:v>
                </c:pt>
              </c:strCache>
            </c:strRef>
          </c:tx>
          <c:marker>
            <c:symbol val="none"/>
          </c:marker>
          <c:cat>
            <c:numRef>
              <c:f>'Calc on 2001-11'!$B$31:$F$31</c:f>
              <c:numCache>
                <c:formatCode>General</c:formatCode>
                <c:ptCount val="5"/>
                <c:pt idx="0">
                  <c:v>2004</c:v>
                </c:pt>
                <c:pt idx="1">
                  <c:v>2005</c:v>
                </c:pt>
                <c:pt idx="2">
                  <c:v>2006</c:v>
                </c:pt>
                <c:pt idx="3">
                  <c:v>2007</c:v>
                </c:pt>
                <c:pt idx="4">
                  <c:v>2008</c:v>
                </c:pt>
              </c:numCache>
            </c:numRef>
          </c:cat>
          <c:val>
            <c:numRef>
              <c:f>'Calc on 2001-11'!$B$33:$F$33</c:f>
              <c:numCache>
                <c:formatCode>General</c:formatCode>
                <c:ptCount val="5"/>
                <c:pt idx="0">
                  <c:v>0.30000000000000032</c:v>
                </c:pt>
                <c:pt idx="1">
                  <c:v>0.70000000000000062</c:v>
                </c:pt>
                <c:pt idx="2">
                  <c:v>2.2000000000000002</c:v>
                </c:pt>
                <c:pt idx="3">
                  <c:v>4.0999999999999996</c:v>
                </c:pt>
                <c:pt idx="4">
                  <c:v>9.9</c:v>
                </c:pt>
              </c:numCache>
            </c:numRef>
          </c:val>
        </c:ser>
        <c:marker val="1"/>
        <c:axId val="70861184"/>
        <c:axId val="70862720"/>
      </c:lineChart>
      <c:catAx>
        <c:axId val="70861184"/>
        <c:scaling>
          <c:orientation val="minMax"/>
        </c:scaling>
        <c:axPos val="b"/>
        <c:numFmt formatCode="General" sourceLinked="1"/>
        <c:tickLblPos val="nextTo"/>
        <c:crossAx val="70862720"/>
        <c:crosses val="autoZero"/>
        <c:auto val="1"/>
        <c:lblAlgn val="ctr"/>
        <c:lblOffset val="100"/>
      </c:catAx>
      <c:valAx>
        <c:axId val="70862720"/>
        <c:scaling>
          <c:orientation val="minMax"/>
        </c:scaling>
        <c:axPos val="l"/>
        <c:majorGridlines/>
        <c:numFmt formatCode="0.0" sourceLinked="1"/>
        <c:tickLblPos val="nextTo"/>
        <c:txPr>
          <a:bodyPr/>
          <a:lstStyle/>
          <a:p>
            <a:pPr>
              <a:defRPr sz="800">
                <a:latin typeface="Arial Narrow" pitchFamily="34" charset="0"/>
              </a:defRPr>
            </a:pPr>
            <a:endParaRPr lang="en-US"/>
          </a:p>
        </c:txPr>
        <c:crossAx val="70861184"/>
        <c:crosses val="autoZero"/>
        <c:crossBetween val="between"/>
      </c:valAx>
      <c:dTable>
        <c:showHorzBorder val="1"/>
        <c:showVertBorder val="1"/>
        <c:showOutline val="1"/>
        <c:showKeys val="1"/>
        <c:txPr>
          <a:bodyPr/>
          <a:lstStyle/>
          <a:p>
            <a:pPr rtl="0">
              <a:defRPr sz="800">
                <a:latin typeface="Arial Narrow" pitchFamily="34" charset="0"/>
              </a:defRPr>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CA"/>
  <c:chart>
    <c:title>
      <c:txPr>
        <a:bodyPr/>
        <a:lstStyle/>
        <a:p>
          <a:pPr>
            <a:defRPr sz="1200"/>
          </a:pPr>
          <a:endParaRPr lang="en-US"/>
        </a:p>
      </c:txPr>
    </c:title>
    <c:plotArea>
      <c:layout/>
      <c:lineChart>
        <c:grouping val="standard"/>
        <c:ser>
          <c:idx val="0"/>
          <c:order val="0"/>
          <c:tx>
            <c:strRef>
              <c:f>'MEP data'!$B$74</c:f>
              <c:strCache>
                <c:ptCount val="1"/>
                <c:pt idx="0">
                  <c:v>Growth in Real-GDP (%)  </c:v>
                </c:pt>
              </c:strCache>
            </c:strRef>
          </c:tx>
          <c:marker>
            <c:symbol val="none"/>
          </c:marker>
          <c:cat>
            <c:strRef>
              <c:f>'MEP data'!$C$73:$G$73</c:f>
              <c:strCache>
                <c:ptCount val="5"/>
                <c:pt idx="0">
                  <c:v>2007</c:v>
                </c:pt>
                <c:pt idx="1">
                  <c:v>2008</c:v>
                </c:pt>
                <c:pt idx="2">
                  <c:v>2009</c:v>
                </c:pt>
                <c:pt idx="3">
                  <c:v>2010r</c:v>
                </c:pt>
                <c:pt idx="4">
                  <c:v>2011p</c:v>
                </c:pt>
              </c:strCache>
            </c:strRef>
          </c:cat>
          <c:val>
            <c:numRef>
              <c:f>'MEP data'!$C$74:$G$74</c:f>
              <c:numCache>
                <c:formatCode>#,##0.0</c:formatCode>
                <c:ptCount val="5"/>
                <c:pt idx="0">
                  <c:v>2.0170407579322092</c:v>
                </c:pt>
                <c:pt idx="1">
                  <c:v>4.2285633081570779</c:v>
                </c:pt>
                <c:pt idx="2">
                  <c:v>9.6276549304946044E-2</c:v>
                </c:pt>
                <c:pt idx="3">
                  <c:v>4.6418014237613834</c:v>
                </c:pt>
                <c:pt idx="4">
                  <c:v>6.8</c:v>
                </c:pt>
              </c:numCache>
            </c:numRef>
          </c:val>
        </c:ser>
        <c:marker val="1"/>
        <c:axId val="70961792"/>
        <c:axId val="71692672"/>
      </c:lineChart>
      <c:catAx>
        <c:axId val="70961792"/>
        <c:scaling>
          <c:orientation val="minMax"/>
        </c:scaling>
        <c:axPos val="b"/>
        <c:tickLblPos val="nextTo"/>
        <c:crossAx val="71692672"/>
        <c:crosses val="autoZero"/>
        <c:auto val="1"/>
        <c:lblAlgn val="ctr"/>
        <c:lblOffset val="100"/>
      </c:catAx>
      <c:valAx>
        <c:axId val="71692672"/>
        <c:scaling>
          <c:orientation val="minMax"/>
        </c:scaling>
        <c:axPos val="l"/>
        <c:majorGridlines/>
        <c:numFmt formatCode="#,##0.0" sourceLinked="1"/>
        <c:tickLblPos val="nextTo"/>
        <c:crossAx val="70961792"/>
        <c:crosses val="autoZero"/>
        <c:crossBetween val="between"/>
      </c:valAx>
      <c:dTable>
        <c:showHorzBorder val="1"/>
        <c:showVertBorder val="1"/>
        <c:showOutline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1200"/>
            </a:pPr>
            <a:r>
              <a:rPr lang="en-US" sz="1200"/>
              <a:t>GDP growth rate, by sectors, 2004-2011</a:t>
            </a:r>
          </a:p>
        </c:rich>
      </c:tx>
    </c:title>
    <c:plotArea>
      <c:layout/>
      <c:lineChart>
        <c:grouping val="standard"/>
        <c:ser>
          <c:idx val="0"/>
          <c:order val="0"/>
          <c:tx>
            <c:strRef>
              <c:f>'MEP data'!$A$101</c:f>
              <c:strCache>
                <c:ptCount val="1"/>
                <c:pt idx="0">
                  <c:v>Growth in Real-GDP (%)  </c:v>
                </c:pt>
              </c:strCache>
            </c:strRef>
          </c:tx>
          <c:marker>
            <c:symbol val="none"/>
          </c:marker>
          <c:cat>
            <c:strRef>
              <c:f>'MEP data'!$B$100:$I$100</c:f>
              <c:strCache>
                <c:ptCount val="8"/>
                <c:pt idx="0">
                  <c:v>2004</c:v>
                </c:pt>
                <c:pt idx="1">
                  <c:v>2005</c:v>
                </c:pt>
                <c:pt idx="2">
                  <c:v>2006</c:v>
                </c:pt>
                <c:pt idx="3">
                  <c:v>2007</c:v>
                </c:pt>
                <c:pt idx="4">
                  <c:v>2008</c:v>
                </c:pt>
                <c:pt idx="5">
                  <c:v>2009</c:v>
                </c:pt>
                <c:pt idx="6">
                  <c:v>2010r</c:v>
                </c:pt>
                <c:pt idx="7">
                  <c:v>2011p</c:v>
                </c:pt>
              </c:strCache>
            </c:strRef>
          </c:cat>
          <c:val>
            <c:numRef>
              <c:f>'MEP data'!$B$101:$I$101</c:f>
              <c:numCache>
                <c:formatCode>#,##0.0</c:formatCode>
                <c:ptCount val="8"/>
                <c:pt idx="0">
                  <c:v>5.2769679300291594</c:v>
                </c:pt>
                <c:pt idx="1">
                  <c:v>5.5524785378011359</c:v>
                </c:pt>
                <c:pt idx="2">
                  <c:v>3.1549258821986115</c:v>
                </c:pt>
                <c:pt idx="3">
                  <c:v>2.0170407579322092</c:v>
                </c:pt>
                <c:pt idx="4">
                  <c:v>4.2285633081570779</c:v>
                </c:pt>
                <c:pt idx="5">
                  <c:v>9.6276549304946044E-2</c:v>
                </c:pt>
                <c:pt idx="6">
                  <c:v>4.6418014237613834</c:v>
                </c:pt>
                <c:pt idx="7">
                  <c:v>6.8</c:v>
                </c:pt>
              </c:numCache>
            </c:numRef>
          </c:val>
        </c:ser>
        <c:ser>
          <c:idx val="1"/>
          <c:order val="1"/>
          <c:tx>
            <c:strRef>
              <c:f>'MEP data'!$A$102</c:f>
              <c:strCache>
                <c:ptCount val="1"/>
                <c:pt idx="0">
                  <c:v>Growth in Private Sector (%)  </c:v>
                </c:pt>
              </c:strCache>
            </c:strRef>
          </c:tx>
          <c:marker>
            <c:symbol val="none"/>
          </c:marker>
          <c:cat>
            <c:strRef>
              <c:f>'MEP data'!$B$100:$I$100</c:f>
              <c:strCache>
                <c:ptCount val="8"/>
                <c:pt idx="0">
                  <c:v>2004</c:v>
                </c:pt>
                <c:pt idx="1">
                  <c:v>2005</c:v>
                </c:pt>
                <c:pt idx="2">
                  <c:v>2006</c:v>
                </c:pt>
                <c:pt idx="3">
                  <c:v>2007</c:v>
                </c:pt>
                <c:pt idx="4">
                  <c:v>2008</c:v>
                </c:pt>
                <c:pt idx="5">
                  <c:v>2009</c:v>
                </c:pt>
                <c:pt idx="6">
                  <c:v>2010r</c:v>
                </c:pt>
                <c:pt idx="7">
                  <c:v>2011p</c:v>
                </c:pt>
              </c:strCache>
            </c:strRef>
          </c:cat>
          <c:val>
            <c:numRef>
              <c:f>'MEP data'!$B$102:$I$102</c:f>
              <c:numCache>
                <c:formatCode>#,##0.0</c:formatCode>
                <c:ptCount val="8"/>
                <c:pt idx="0">
                  <c:v>5.7</c:v>
                </c:pt>
                <c:pt idx="1">
                  <c:v>5.7</c:v>
                </c:pt>
                <c:pt idx="2">
                  <c:v>5.9</c:v>
                </c:pt>
                <c:pt idx="3">
                  <c:v>5.2</c:v>
                </c:pt>
                <c:pt idx="4">
                  <c:v>4.8</c:v>
                </c:pt>
                <c:pt idx="5">
                  <c:v>2.6</c:v>
                </c:pt>
                <c:pt idx="6">
                  <c:v>5.4</c:v>
                </c:pt>
                <c:pt idx="7">
                  <c:v>8.1</c:v>
                </c:pt>
              </c:numCache>
            </c:numRef>
          </c:val>
        </c:ser>
        <c:ser>
          <c:idx val="2"/>
          <c:order val="2"/>
          <c:tx>
            <c:strRef>
              <c:f>'MEP data'!$A$103</c:f>
              <c:strCache>
                <c:ptCount val="1"/>
                <c:pt idx="0">
                  <c:v>Growth in Government Sector (%)  </c:v>
                </c:pt>
              </c:strCache>
            </c:strRef>
          </c:tx>
          <c:marker>
            <c:symbol val="none"/>
          </c:marker>
          <c:cat>
            <c:strRef>
              <c:f>'MEP data'!$B$100:$I$100</c:f>
              <c:strCache>
                <c:ptCount val="8"/>
                <c:pt idx="0">
                  <c:v>2004</c:v>
                </c:pt>
                <c:pt idx="1">
                  <c:v>2005</c:v>
                </c:pt>
                <c:pt idx="2">
                  <c:v>2006</c:v>
                </c:pt>
                <c:pt idx="3">
                  <c:v>2007</c:v>
                </c:pt>
                <c:pt idx="4">
                  <c:v>2008</c:v>
                </c:pt>
                <c:pt idx="5">
                  <c:v>2009</c:v>
                </c:pt>
                <c:pt idx="6">
                  <c:v>2010r</c:v>
                </c:pt>
                <c:pt idx="7">
                  <c:v>2011p</c:v>
                </c:pt>
              </c:strCache>
            </c:strRef>
          </c:cat>
          <c:val>
            <c:numRef>
              <c:f>'MEP data'!$B$103:$I$103</c:f>
              <c:numCache>
                <c:formatCode>#,##0.0</c:formatCode>
                <c:ptCount val="8"/>
                <c:pt idx="0">
                  <c:v>2.2000000000000002</c:v>
                </c:pt>
                <c:pt idx="1">
                  <c:v>3.3</c:v>
                </c:pt>
                <c:pt idx="2">
                  <c:v>1.9000000000000001</c:v>
                </c:pt>
                <c:pt idx="3">
                  <c:v>1.9000000000000001</c:v>
                </c:pt>
                <c:pt idx="4">
                  <c:v>2.4</c:v>
                </c:pt>
                <c:pt idx="5">
                  <c:v>5</c:v>
                </c:pt>
                <c:pt idx="6">
                  <c:v>5.3</c:v>
                </c:pt>
                <c:pt idx="7">
                  <c:v>6.2</c:v>
                </c:pt>
              </c:numCache>
            </c:numRef>
          </c:val>
        </c:ser>
        <c:ser>
          <c:idx val="3"/>
          <c:order val="3"/>
          <c:tx>
            <c:strRef>
              <c:f>'MEP data'!$A$104</c:f>
              <c:strCache>
                <c:ptCount val="1"/>
                <c:pt idx="0">
                  <c:v>Growth in Oil Sector (%)</c:v>
                </c:pt>
              </c:strCache>
            </c:strRef>
          </c:tx>
          <c:marker>
            <c:symbol val="none"/>
          </c:marker>
          <c:cat>
            <c:strRef>
              <c:f>'MEP data'!$B$100:$I$100</c:f>
              <c:strCache>
                <c:ptCount val="8"/>
                <c:pt idx="0">
                  <c:v>2004</c:v>
                </c:pt>
                <c:pt idx="1">
                  <c:v>2005</c:v>
                </c:pt>
                <c:pt idx="2">
                  <c:v>2006</c:v>
                </c:pt>
                <c:pt idx="3">
                  <c:v>2007</c:v>
                </c:pt>
                <c:pt idx="4">
                  <c:v>2008</c:v>
                </c:pt>
                <c:pt idx="5">
                  <c:v>2009</c:v>
                </c:pt>
                <c:pt idx="6">
                  <c:v>2010r</c:v>
                </c:pt>
                <c:pt idx="7">
                  <c:v>2011p</c:v>
                </c:pt>
              </c:strCache>
            </c:strRef>
          </c:cat>
          <c:val>
            <c:numRef>
              <c:f>'MEP data'!$B$104:$I$104</c:f>
              <c:numCache>
                <c:formatCode>#,##0.0</c:formatCode>
                <c:ptCount val="8"/>
                <c:pt idx="0">
                  <c:v>6.6</c:v>
                </c:pt>
                <c:pt idx="1">
                  <c:v>6.6</c:v>
                </c:pt>
                <c:pt idx="2">
                  <c:v>-1.1000000000000001</c:v>
                </c:pt>
                <c:pt idx="3">
                  <c:v>-4.0999999999999996</c:v>
                </c:pt>
                <c:pt idx="4">
                  <c:v>4.3</c:v>
                </c:pt>
                <c:pt idx="5">
                  <c:v>-8.8000000000000007</c:v>
                </c:pt>
                <c:pt idx="6">
                  <c:v>2.2000000000000002</c:v>
                </c:pt>
                <c:pt idx="7">
                  <c:v>4.3</c:v>
                </c:pt>
              </c:numCache>
            </c:numRef>
          </c:val>
        </c:ser>
        <c:marker val="1"/>
        <c:axId val="72105344"/>
        <c:axId val="75564160"/>
      </c:lineChart>
      <c:catAx>
        <c:axId val="72105344"/>
        <c:scaling>
          <c:orientation val="minMax"/>
        </c:scaling>
        <c:axPos val="b"/>
        <c:tickLblPos val="nextTo"/>
        <c:txPr>
          <a:bodyPr/>
          <a:lstStyle/>
          <a:p>
            <a:pPr>
              <a:defRPr sz="800">
                <a:latin typeface="Arial Narrow" pitchFamily="34" charset="0"/>
              </a:defRPr>
            </a:pPr>
            <a:endParaRPr lang="en-US"/>
          </a:p>
        </c:txPr>
        <c:crossAx val="75564160"/>
        <c:crosses val="autoZero"/>
        <c:auto val="1"/>
        <c:lblAlgn val="ctr"/>
        <c:lblOffset val="100"/>
      </c:catAx>
      <c:valAx>
        <c:axId val="75564160"/>
        <c:scaling>
          <c:orientation val="minMax"/>
        </c:scaling>
        <c:axPos val="l"/>
        <c:majorGridlines/>
        <c:numFmt formatCode="#,##0.0" sourceLinked="1"/>
        <c:tickLblPos val="nextTo"/>
        <c:txPr>
          <a:bodyPr/>
          <a:lstStyle/>
          <a:p>
            <a:pPr>
              <a:defRPr sz="800">
                <a:latin typeface="Arial Narrow" pitchFamily="34" charset="0"/>
              </a:defRPr>
            </a:pPr>
            <a:endParaRPr lang="en-US"/>
          </a:p>
        </c:txPr>
        <c:crossAx val="7210534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1200"/>
            </a:pPr>
            <a:r>
              <a:rPr lang="en-US" sz="1100">
                <a:latin typeface="Arial Narrow" pitchFamily="34" charset="0"/>
              </a:rPr>
              <a:t>a. Total population</a:t>
            </a:r>
          </a:p>
        </c:rich>
      </c:tx>
      <c:layout>
        <c:manualLayout>
          <c:xMode val="edge"/>
          <c:yMode val="edge"/>
          <c:x val="0.69569265748652886"/>
          <c:y val="7.9417942282882126E-2"/>
        </c:manualLayout>
      </c:layout>
      <c:overlay val="1"/>
    </c:title>
    <c:plotArea>
      <c:layout/>
      <c:barChart>
        <c:barDir val="col"/>
        <c:grouping val="clustered"/>
        <c:ser>
          <c:idx val="0"/>
          <c:order val="0"/>
          <c:tx>
            <c:strRef>
              <c:f>'MEP data'!$L$16</c:f>
              <c:strCache>
                <c:ptCount val="1"/>
                <c:pt idx="0">
                  <c:v>Total Population (Million persons)</c:v>
                </c:pt>
              </c:strCache>
            </c:strRef>
          </c:tx>
          <c:cat>
            <c:strRef>
              <c:f>'MEP data'!$M$15:$S$15</c:f>
              <c:strCache>
                <c:ptCount val="7"/>
                <c:pt idx="0">
                  <c:v>2004</c:v>
                </c:pt>
                <c:pt idx="1">
                  <c:v>2005</c:v>
                </c:pt>
                <c:pt idx="2">
                  <c:v>2006</c:v>
                </c:pt>
                <c:pt idx="3">
                  <c:v>2007</c:v>
                </c:pt>
                <c:pt idx="4">
                  <c:v>2008</c:v>
                </c:pt>
                <c:pt idx="5">
                  <c:v>2009</c:v>
                </c:pt>
                <c:pt idx="6">
                  <c:v>2010r</c:v>
                </c:pt>
              </c:strCache>
            </c:strRef>
          </c:cat>
          <c:val>
            <c:numRef>
              <c:f>'MEP data'!$M$16:$S$16</c:f>
              <c:numCache>
                <c:formatCode>0.00</c:formatCode>
                <c:ptCount val="7"/>
                <c:pt idx="0">
                  <c:v>22.563886</c:v>
                </c:pt>
                <c:pt idx="1">
                  <c:v>23.329584000000001</c:v>
                </c:pt>
                <c:pt idx="2">
                  <c:v>24.121890000000231</c:v>
                </c:pt>
                <c:pt idx="3">
                  <c:v>24.941298</c:v>
                </c:pt>
                <c:pt idx="4">
                  <c:v>25.787025</c:v>
                </c:pt>
                <c:pt idx="5">
                  <c:v>26.660857000000131</c:v>
                </c:pt>
                <c:pt idx="6">
                  <c:v>27.563431999999889</c:v>
                </c:pt>
              </c:numCache>
            </c:numRef>
          </c:val>
        </c:ser>
        <c:ser>
          <c:idx val="1"/>
          <c:order val="1"/>
          <c:tx>
            <c:strRef>
              <c:f>'MEP data'!$L$17</c:f>
              <c:strCache>
                <c:ptCount val="1"/>
                <c:pt idx="0">
                  <c:v>Saudis </c:v>
                </c:pt>
              </c:strCache>
            </c:strRef>
          </c:tx>
          <c:cat>
            <c:strRef>
              <c:f>'MEP data'!$M$15:$S$15</c:f>
              <c:strCache>
                <c:ptCount val="7"/>
                <c:pt idx="0">
                  <c:v>2004</c:v>
                </c:pt>
                <c:pt idx="1">
                  <c:v>2005</c:v>
                </c:pt>
                <c:pt idx="2">
                  <c:v>2006</c:v>
                </c:pt>
                <c:pt idx="3">
                  <c:v>2007</c:v>
                </c:pt>
                <c:pt idx="4">
                  <c:v>2008</c:v>
                </c:pt>
                <c:pt idx="5">
                  <c:v>2009</c:v>
                </c:pt>
                <c:pt idx="6">
                  <c:v>2010r</c:v>
                </c:pt>
              </c:strCache>
            </c:strRef>
          </c:cat>
          <c:val>
            <c:numRef>
              <c:f>'MEP data'!$M$17:$S$17</c:f>
              <c:numCache>
                <c:formatCode>0.00</c:formatCode>
                <c:ptCount val="7"/>
                <c:pt idx="0">
                  <c:v>16.443987</c:v>
                </c:pt>
                <c:pt idx="1">
                  <c:v>16.854157000000235</c:v>
                </c:pt>
                <c:pt idx="2">
                  <c:v>17.270181000000001</c:v>
                </c:pt>
                <c:pt idx="3">
                  <c:v>17.691336</c:v>
                </c:pt>
                <c:pt idx="4">
                  <c:v>18.115549999999889</c:v>
                </c:pt>
                <c:pt idx="5">
                  <c:v>18.543245999999989</c:v>
                </c:pt>
                <c:pt idx="6">
                  <c:v>18.973614999999889</c:v>
                </c:pt>
              </c:numCache>
            </c:numRef>
          </c:val>
        </c:ser>
        <c:ser>
          <c:idx val="2"/>
          <c:order val="2"/>
          <c:tx>
            <c:strRef>
              <c:f>'MEP data'!$L$18</c:f>
              <c:strCache>
                <c:ptCount val="1"/>
                <c:pt idx="0">
                  <c:v>Non-Saudis </c:v>
                </c:pt>
              </c:strCache>
            </c:strRef>
          </c:tx>
          <c:cat>
            <c:strRef>
              <c:f>'MEP data'!$M$15:$S$15</c:f>
              <c:strCache>
                <c:ptCount val="7"/>
                <c:pt idx="0">
                  <c:v>2004</c:v>
                </c:pt>
                <c:pt idx="1">
                  <c:v>2005</c:v>
                </c:pt>
                <c:pt idx="2">
                  <c:v>2006</c:v>
                </c:pt>
                <c:pt idx="3">
                  <c:v>2007</c:v>
                </c:pt>
                <c:pt idx="4">
                  <c:v>2008</c:v>
                </c:pt>
                <c:pt idx="5">
                  <c:v>2009</c:v>
                </c:pt>
                <c:pt idx="6">
                  <c:v>2010r</c:v>
                </c:pt>
              </c:strCache>
            </c:strRef>
          </c:cat>
          <c:val>
            <c:numRef>
              <c:f>'MEP data'!$M$18:$S$18</c:f>
              <c:numCache>
                <c:formatCode>0.00</c:formatCode>
                <c:ptCount val="7"/>
                <c:pt idx="0">
                  <c:v>6.1198990000000002</c:v>
                </c:pt>
                <c:pt idx="1">
                  <c:v>6.4754269999999998</c:v>
                </c:pt>
                <c:pt idx="2">
                  <c:v>6.8517089999999996</c:v>
                </c:pt>
                <c:pt idx="3">
                  <c:v>7.2499620000000133</c:v>
                </c:pt>
                <c:pt idx="4">
                  <c:v>7.671475</c:v>
                </c:pt>
                <c:pt idx="5">
                  <c:v>8.1176109999999984</c:v>
                </c:pt>
                <c:pt idx="6">
                  <c:v>8.589817</c:v>
                </c:pt>
              </c:numCache>
            </c:numRef>
          </c:val>
        </c:ser>
        <c:axId val="75589888"/>
        <c:axId val="78974976"/>
      </c:barChart>
      <c:catAx>
        <c:axId val="75589888"/>
        <c:scaling>
          <c:orientation val="minMax"/>
        </c:scaling>
        <c:axPos val="b"/>
        <c:numFmt formatCode="General" sourceLinked="1"/>
        <c:tickLblPos val="nextTo"/>
        <c:crossAx val="78974976"/>
        <c:crosses val="autoZero"/>
        <c:auto val="1"/>
        <c:lblAlgn val="ctr"/>
        <c:lblOffset val="100"/>
      </c:catAx>
      <c:valAx>
        <c:axId val="78974976"/>
        <c:scaling>
          <c:orientation val="minMax"/>
        </c:scaling>
        <c:axPos val="l"/>
        <c:majorGridlines/>
        <c:numFmt formatCode="0.00" sourceLinked="1"/>
        <c:tickLblPos val="nextTo"/>
        <c:crossAx val="75589888"/>
        <c:crosses val="autoZero"/>
        <c:crossBetween val="between"/>
      </c:valAx>
    </c:plotArea>
    <c:legend>
      <c:legendPos val="r"/>
      <c:layout>
        <c:manualLayout>
          <c:xMode val="edge"/>
          <c:yMode val="edge"/>
          <c:x val="0.71225131233595795"/>
          <c:y val="0.5463029621297335"/>
          <c:w val="0.268304243219607"/>
          <c:h val="0.39416656251302556"/>
        </c:manualLayout>
      </c:layout>
      <c:txPr>
        <a:bodyPr/>
        <a:lstStyle/>
        <a:p>
          <a:pPr>
            <a:defRPr sz="800">
              <a:latin typeface="Arial Narrow" pitchFamily="34" charset="0"/>
            </a:defRPr>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sz="1200">
                <a:latin typeface="Arial Narrow" pitchFamily="34" charset="0"/>
              </a:defRPr>
            </a:pPr>
            <a:r>
              <a:rPr lang="en-US" sz="1200">
                <a:latin typeface="Arial Narrow" pitchFamily="34" charset="0"/>
              </a:rPr>
              <a:t>b. </a:t>
            </a:r>
            <a:r>
              <a:rPr lang="en-US" sz="1100">
                <a:latin typeface="Arial Narrow" pitchFamily="34" charset="0"/>
              </a:rPr>
              <a:t>Employed</a:t>
            </a:r>
            <a:r>
              <a:rPr lang="en-US" sz="1200">
                <a:latin typeface="Arial Narrow" pitchFamily="34" charset="0"/>
              </a:rPr>
              <a:t> persons</a:t>
            </a:r>
          </a:p>
        </c:rich>
      </c:tx>
      <c:layout>
        <c:manualLayout>
          <c:xMode val="edge"/>
          <c:yMode val="edge"/>
          <c:x val="0.7122430008749"/>
          <c:y val="6.4000000000000112E-2"/>
        </c:manualLayout>
      </c:layout>
      <c:overlay val="1"/>
    </c:title>
    <c:plotArea>
      <c:layout/>
      <c:barChart>
        <c:barDir val="col"/>
        <c:grouping val="clustered"/>
        <c:ser>
          <c:idx val="0"/>
          <c:order val="0"/>
          <c:tx>
            <c:strRef>
              <c:f>'MEP data'!$L$21</c:f>
              <c:strCache>
                <c:ptCount val="1"/>
                <c:pt idx="0">
                  <c:v>Total Employment (Thousand persons) </c:v>
                </c:pt>
              </c:strCache>
            </c:strRef>
          </c:tx>
          <c:cat>
            <c:numRef>
              <c:f>'MEP data'!$M$20:$R$20</c:f>
              <c:numCache>
                <c:formatCode>General</c:formatCode>
                <c:ptCount val="6"/>
                <c:pt idx="0">
                  <c:v>2004</c:v>
                </c:pt>
                <c:pt idx="1">
                  <c:v>2005</c:v>
                </c:pt>
                <c:pt idx="2">
                  <c:v>2006</c:v>
                </c:pt>
                <c:pt idx="3">
                  <c:v>2007</c:v>
                </c:pt>
                <c:pt idx="4">
                  <c:v>2008</c:v>
                </c:pt>
                <c:pt idx="5">
                  <c:v>2009</c:v>
                </c:pt>
              </c:numCache>
            </c:numRef>
          </c:cat>
          <c:val>
            <c:numRef>
              <c:f>'MEP data'!$M$21:$R$21</c:f>
              <c:numCache>
                <c:formatCode>#,##0.0</c:formatCode>
                <c:ptCount val="6"/>
                <c:pt idx="0">
                  <c:v>7180.6</c:v>
                </c:pt>
                <c:pt idx="1">
                  <c:v>7371.5</c:v>
                </c:pt>
                <c:pt idx="2">
                  <c:v>7523</c:v>
                </c:pt>
                <c:pt idx="3">
                  <c:v>7744.4000000000005</c:v>
                </c:pt>
                <c:pt idx="4">
                  <c:v>8017.3</c:v>
                </c:pt>
                <c:pt idx="5">
                  <c:v>8148</c:v>
                </c:pt>
              </c:numCache>
            </c:numRef>
          </c:val>
        </c:ser>
        <c:ser>
          <c:idx val="1"/>
          <c:order val="1"/>
          <c:tx>
            <c:strRef>
              <c:f>'MEP data'!$L$22</c:f>
              <c:strCache>
                <c:ptCount val="1"/>
                <c:pt idx="0">
                  <c:v>Saudis</c:v>
                </c:pt>
              </c:strCache>
            </c:strRef>
          </c:tx>
          <c:cat>
            <c:numRef>
              <c:f>'MEP data'!$M$20:$R$20</c:f>
              <c:numCache>
                <c:formatCode>General</c:formatCode>
                <c:ptCount val="6"/>
                <c:pt idx="0">
                  <c:v>2004</c:v>
                </c:pt>
                <c:pt idx="1">
                  <c:v>2005</c:v>
                </c:pt>
                <c:pt idx="2">
                  <c:v>2006</c:v>
                </c:pt>
                <c:pt idx="3">
                  <c:v>2007</c:v>
                </c:pt>
                <c:pt idx="4">
                  <c:v>2008</c:v>
                </c:pt>
                <c:pt idx="5">
                  <c:v>2009</c:v>
                </c:pt>
              </c:numCache>
            </c:numRef>
          </c:cat>
          <c:val>
            <c:numRef>
              <c:f>'MEP data'!$M$22:$R$22</c:f>
              <c:numCache>
                <c:formatCode>#,##0.0</c:formatCode>
                <c:ptCount val="6"/>
                <c:pt idx="0">
                  <c:v>3298.2</c:v>
                </c:pt>
                <c:pt idx="1">
                  <c:v>3367.2</c:v>
                </c:pt>
                <c:pt idx="2">
                  <c:v>3431.6</c:v>
                </c:pt>
                <c:pt idx="3">
                  <c:v>3600.8</c:v>
                </c:pt>
                <c:pt idx="4">
                  <c:v>3756.7</c:v>
                </c:pt>
                <c:pt idx="5">
                  <c:v>3838</c:v>
                </c:pt>
              </c:numCache>
            </c:numRef>
          </c:val>
        </c:ser>
        <c:ser>
          <c:idx val="2"/>
          <c:order val="2"/>
          <c:tx>
            <c:strRef>
              <c:f>'MEP data'!$L$23</c:f>
              <c:strCache>
                <c:ptCount val="1"/>
                <c:pt idx="0">
                  <c:v>Non-Saudis</c:v>
                </c:pt>
              </c:strCache>
            </c:strRef>
          </c:tx>
          <c:cat>
            <c:numRef>
              <c:f>'MEP data'!$M$20:$R$20</c:f>
              <c:numCache>
                <c:formatCode>General</c:formatCode>
                <c:ptCount val="6"/>
                <c:pt idx="0">
                  <c:v>2004</c:v>
                </c:pt>
                <c:pt idx="1">
                  <c:v>2005</c:v>
                </c:pt>
                <c:pt idx="2">
                  <c:v>2006</c:v>
                </c:pt>
                <c:pt idx="3">
                  <c:v>2007</c:v>
                </c:pt>
                <c:pt idx="4">
                  <c:v>2008</c:v>
                </c:pt>
                <c:pt idx="5">
                  <c:v>2009</c:v>
                </c:pt>
              </c:numCache>
            </c:numRef>
          </c:cat>
          <c:val>
            <c:numRef>
              <c:f>'MEP data'!$M$23:$R$23</c:f>
              <c:numCache>
                <c:formatCode>#,##0.0</c:formatCode>
                <c:ptCount val="6"/>
                <c:pt idx="0">
                  <c:v>3882.4</c:v>
                </c:pt>
                <c:pt idx="1">
                  <c:v>4004.3</c:v>
                </c:pt>
                <c:pt idx="2">
                  <c:v>4091.4</c:v>
                </c:pt>
                <c:pt idx="3">
                  <c:v>4143.6000000000004</c:v>
                </c:pt>
                <c:pt idx="4">
                  <c:v>4260.6000000000004</c:v>
                </c:pt>
                <c:pt idx="5">
                  <c:v>4310</c:v>
                </c:pt>
              </c:numCache>
            </c:numRef>
          </c:val>
        </c:ser>
        <c:axId val="79451264"/>
        <c:axId val="79452800"/>
      </c:barChart>
      <c:catAx>
        <c:axId val="79451264"/>
        <c:scaling>
          <c:orientation val="minMax"/>
        </c:scaling>
        <c:axPos val="b"/>
        <c:numFmt formatCode="General" sourceLinked="1"/>
        <c:tickLblPos val="nextTo"/>
        <c:crossAx val="79452800"/>
        <c:crosses val="autoZero"/>
        <c:auto val="1"/>
        <c:lblAlgn val="ctr"/>
        <c:lblOffset val="100"/>
      </c:catAx>
      <c:valAx>
        <c:axId val="79452800"/>
        <c:scaling>
          <c:orientation val="minMax"/>
        </c:scaling>
        <c:axPos val="l"/>
        <c:majorGridlines/>
        <c:numFmt formatCode="#,##0.0" sourceLinked="1"/>
        <c:tickLblPos val="nextTo"/>
        <c:crossAx val="79451264"/>
        <c:crosses val="autoZero"/>
        <c:crossBetween val="between"/>
      </c:valAx>
    </c:plotArea>
    <c:legend>
      <c:legendPos val="r"/>
      <c:layout>
        <c:manualLayout>
          <c:xMode val="edge"/>
          <c:yMode val="edge"/>
          <c:x val="0.7220581802274717"/>
          <c:y val="0.27645880322065747"/>
          <c:w val="0.20849737532808399"/>
          <c:h val="0.6497267828417107"/>
        </c:manualLayout>
      </c:layout>
      <c:txPr>
        <a:bodyPr/>
        <a:lstStyle/>
        <a:p>
          <a:pPr>
            <a:defRPr sz="800">
              <a:latin typeface="Arial Narrow" pitchFamily="34"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00A15-B3C1-47D1-B6B9-A6645FBD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55</Pages>
  <Words>25263</Words>
  <Characters>144002</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2012-05-27T04:39:00Z</dcterms:created>
  <dcterms:modified xsi:type="dcterms:W3CDTF">2012-05-28T07:46:00Z</dcterms:modified>
</cp:coreProperties>
</file>